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E3AE1">
      <w:pPr>
        <w:jc w:val="center"/>
        <w:outlineLvl w:val="0"/>
        <w:rPr>
          <w:b/>
          <w:sz w:val="44"/>
        </w:rPr>
      </w:pPr>
    </w:p>
    <w:p w14:paraId="7DDA44D4">
      <w:pPr>
        <w:jc w:val="center"/>
        <w:rPr>
          <w:rFonts w:asciiTheme="minorEastAsia" w:hAnsiTheme="minorEastAsia" w:eastAsiaTheme="minorEastAsia"/>
          <w:b/>
          <w:sz w:val="48"/>
        </w:rPr>
      </w:pPr>
      <w:r>
        <w:rPr>
          <w:rFonts w:hint="eastAsia" w:asciiTheme="minorEastAsia" w:hAnsiTheme="minorEastAsia" w:eastAsiaTheme="minorEastAsia"/>
          <w:b/>
          <w:sz w:val="48"/>
        </w:rPr>
        <w:t>2024年采购招标项目</w:t>
      </w:r>
    </w:p>
    <w:p w14:paraId="1A357C8C">
      <w:pPr>
        <w:jc w:val="center"/>
        <w:outlineLvl w:val="0"/>
        <w:rPr>
          <w:rFonts w:ascii="宋体" w:hAnsi="宋体"/>
          <w:b/>
          <w:sz w:val="30"/>
          <w:szCs w:val="30"/>
        </w:rPr>
      </w:pPr>
    </w:p>
    <w:p w14:paraId="63A1CD04">
      <w:pPr>
        <w:spacing w:line="240" w:lineRule="atLeast"/>
        <w:jc w:val="center"/>
        <w:rPr>
          <w:rFonts w:ascii="宋体" w:hAnsi="宋体"/>
          <w:b/>
          <w:sz w:val="30"/>
          <w:szCs w:val="30"/>
        </w:rPr>
      </w:pPr>
    </w:p>
    <w:p w14:paraId="2E042730">
      <w:pPr>
        <w:spacing w:line="240" w:lineRule="atLeast"/>
        <w:jc w:val="center"/>
        <w:rPr>
          <w:rFonts w:ascii="宋体" w:hAnsi="宋体"/>
          <w:b/>
          <w:sz w:val="30"/>
          <w:szCs w:val="30"/>
        </w:rPr>
      </w:pPr>
    </w:p>
    <w:p w14:paraId="625A0EC6">
      <w:pPr>
        <w:spacing w:line="480" w:lineRule="auto"/>
        <w:jc w:val="center"/>
        <w:rPr>
          <w:rFonts w:ascii="宋体" w:hAnsi="宋体"/>
          <w:b/>
          <w:sz w:val="30"/>
          <w:szCs w:val="30"/>
        </w:rPr>
      </w:pPr>
      <w:r>
        <w:rPr>
          <w:rFonts w:hint="eastAsia" w:ascii="宋体" w:hAnsi="宋体"/>
          <w:b/>
          <w:sz w:val="30"/>
          <w:szCs w:val="30"/>
        </w:rPr>
        <w:t>海钢（屯昌）建材科技有限公司2024年-2029年度物业服务项目</w:t>
      </w:r>
    </w:p>
    <w:p w14:paraId="6E99AE7E">
      <w:pPr>
        <w:spacing w:line="480" w:lineRule="auto"/>
        <w:jc w:val="center"/>
        <w:rPr>
          <w:rFonts w:ascii="宋体" w:hAnsi="宋体"/>
          <w:b/>
          <w:sz w:val="30"/>
          <w:szCs w:val="30"/>
        </w:rPr>
      </w:pPr>
      <w:r>
        <w:rPr>
          <w:rFonts w:hint="eastAsia" w:ascii="宋体" w:hAnsi="宋体"/>
          <w:b/>
          <w:sz w:val="30"/>
          <w:szCs w:val="30"/>
        </w:rPr>
        <w:t>招标编号: HNJY2024-88-30</w:t>
      </w:r>
    </w:p>
    <w:p w14:paraId="473BF67A">
      <w:pPr>
        <w:spacing w:line="240" w:lineRule="atLeast"/>
        <w:jc w:val="center"/>
        <w:rPr>
          <w:rFonts w:ascii="宋体" w:hAnsi="宋体"/>
          <w:sz w:val="32"/>
          <w:szCs w:val="32"/>
        </w:rPr>
      </w:pPr>
    </w:p>
    <w:p w14:paraId="0A75DE1A">
      <w:pPr>
        <w:rPr>
          <w:b/>
          <w:sz w:val="72"/>
        </w:rPr>
      </w:pPr>
    </w:p>
    <w:p w14:paraId="777B7DAD">
      <w:pPr>
        <w:jc w:val="center"/>
        <w:rPr>
          <w:b/>
          <w:sz w:val="72"/>
        </w:rPr>
      </w:pPr>
      <w:r>
        <w:rPr>
          <w:rFonts w:hint="eastAsia"/>
          <w:b/>
          <w:sz w:val="72"/>
        </w:rPr>
        <w:t>招</w:t>
      </w:r>
    </w:p>
    <w:p w14:paraId="1D764178">
      <w:pPr>
        <w:jc w:val="center"/>
        <w:rPr>
          <w:b/>
          <w:sz w:val="72"/>
        </w:rPr>
      </w:pPr>
      <w:r>
        <w:rPr>
          <w:rFonts w:hint="eastAsia"/>
          <w:b/>
          <w:sz w:val="72"/>
        </w:rPr>
        <w:t>标</w:t>
      </w:r>
    </w:p>
    <w:p w14:paraId="209C73BF">
      <w:pPr>
        <w:jc w:val="center"/>
        <w:rPr>
          <w:b/>
          <w:sz w:val="72"/>
        </w:rPr>
      </w:pPr>
      <w:r>
        <w:rPr>
          <w:rFonts w:hint="eastAsia"/>
          <w:b/>
          <w:sz w:val="72"/>
        </w:rPr>
        <w:t>文</w:t>
      </w:r>
    </w:p>
    <w:p w14:paraId="4FF7863A">
      <w:pPr>
        <w:jc w:val="center"/>
        <w:rPr>
          <w:sz w:val="22"/>
        </w:rPr>
      </w:pPr>
      <w:r>
        <w:rPr>
          <w:rFonts w:hint="eastAsia"/>
          <w:b/>
          <w:sz w:val="72"/>
        </w:rPr>
        <w:t>件</w:t>
      </w:r>
    </w:p>
    <w:p w14:paraId="27D15055">
      <w:pPr>
        <w:spacing w:line="240" w:lineRule="atLeast"/>
        <w:rPr>
          <w:rFonts w:ascii="宋体"/>
          <w:b/>
          <w:sz w:val="32"/>
        </w:rPr>
      </w:pPr>
    </w:p>
    <w:p w14:paraId="5B72A521">
      <w:pPr>
        <w:pStyle w:val="3"/>
      </w:pPr>
    </w:p>
    <w:p w14:paraId="5886567C">
      <w:pPr>
        <w:jc w:val="center"/>
        <w:rPr>
          <w:rFonts w:ascii="宋体" w:hAnsi="宋体"/>
          <w:sz w:val="30"/>
          <w:szCs w:val="30"/>
        </w:rPr>
      </w:pPr>
      <w:r>
        <w:rPr>
          <w:rFonts w:hint="eastAsia" w:ascii="宋体" w:hAnsi="宋体"/>
          <w:sz w:val="30"/>
          <w:szCs w:val="30"/>
        </w:rPr>
        <w:t>采购人：海钢（屯昌）建材科技有限公司</w:t>
      </w:r>
    </w:p>
    <w:p w14:paraId="3165EC1E">
      <w:pPr>
        <w:spacing w:line="360" w:lineRule="auto"/>
        <w:jc w:val="center"/>
        <w:rPr>
          <w:rFonts w:ascii="宋体" w:hAnsi="宋体"/>
          <w:sz w:val="30"/>
          <w:szCs w:val="30"/>
        </w:rPr>
      </w:pPr>
      <w:r>
        <w:rPr>
          <w:rFonts w:hint="eastAsia" w:ascii="宋体" w:hAnsi="宋体"/>
          <w:sz w:val="30"/>
          <w:szCs w:val="30"/>
        </w:rPr>
        <w:t>采购代理机构：海南省教学仪器设备招标中心有限公司</w:t>
      </w:r>
    </w:p>
    <w:p w14:paraId="450EBBBD">
      <w:pPr>
        <w:spacing w:line="360" w:lineRule="auto"/>
        <w:jc w:val="center"/>
        <w:rPr>
          <w:rFonts w:ascii="宋体" w:hAnsi="宋体"/>
          <w:sz w:val="30"/>
          <w:szCs w:val="30"/>
        </w:rPr>
      </w:pPr>
      <w:r>
        <w:rPr>
          <w:rFonts w:hint="eastAsia" w:ascii="宋体" w:hAnsi="宋体"/>
          <w:sz w:val="30"/>
          <w:szCs w:val="30"/>
        </w:rPr>
        <w:t>2024年12月</w:t>
      </w:r>
    </w:p>
    <w:p w14:paraId="2682C01D">
      <w:pPr>
        <w:spacing w:line="440" w:lineRule="exact"/>
        <w:ind w:right="42" w:rightChars="20"/>
        <w:rPr>
          <w:rFonts w:ascii="宋体" w:hAnsi="宋体"/>
          <w:b/>
          <w:sz w:val="44"/>
          <w:szCs w:val="44"/>
        </w:rPr>
      </w:pPr>
    </w:p>
    <w:sdt>
      <w:sdtPr>
        <w:rPr>
          <w:rFonts w:ascii="Times New Roman" w:hAnsi="Times New Roman" w:eastAsia="宋体" w:cs="Times New Roman"/>
          <w:b w:val="0"/>
          <w:bCs w:val="0"/>
          <w:color w:val="auto"/>
          <w:kern w:val="2"/>
          <w:sz w:val="21"/>
          <w:szCs w:val="24"/>
          <w:lang w:val="zh-CN"/>
        </w:rPr>
        <w:id w:val="835498862"/>
        <w:docPartObj>
          <w:docPartGallery w:val="Table of Contents"/>
          <w:docPartUnique/>
        </w:docPartObj>
      </w:sdtPr>
      <w:sdtEndPr>
        <w:rPr>
          <w:rFonts w:ascii="Times New Roman" w:hAnsi="Times New Roman" w:eastAsia="宋体" w:cs="Times New Roman"/>
          <w:b w:val="0"/>
          <w:bCs w:val="0"/>
          <w:color w:val="auto"/>
          <w:kern w:val="2"/>
          <w:sz w:val="21"/>
          <w:szCs w:val="24"/>
          <w:lang w:val="zh-CN"/>
        </w:rPr>
      </w:sdtEndPr>
      <w:sdtContent>
        <w:p w14:paraId="3A4ADFD2">
          <w:pPr>
            <w:pStyle w:val="222"/>
            <w:jc w:val="center"/>
            <w:rPr>
              <w:color w:val="auto"/>
              <w:sz w:val="32"/>
            </w:rPr>
          </w:pPr>
          <w:r>
            <w:rPr>
              <w:color w:val="auto"/>
              <w:sz w:val="32"/>
              <w:lang w:val="zh-CN"/>
            </w:rPr>
            <w:t>目录</w:t>
          </w:r>
        </w:p>
        <w:p w14:paraId="1C5D9685">
          <w:pPr>
            <w:pStyle w:val="22"/>
            <w:tabs>
              <w:tab w:val="right" w:leader="dot" w:pos="8997"/>
            </w:tabs>
          </w:pPr>
          <w:r>
            <w:fldChar w:fldCharType="begin"/>
          </w:r>
          <w:r>
            <w:instrText xml:space="preserve"> TOC \o "1-3" \h \z \u </w:instrText>
          </w:r>
          <w:r>
            <w:fldChar w:fldCharType="separate"/>
          </w:r>
          <w:r>
            <w:fldChar w:fldCharType="begin"/>
          </w:r>
          <w:r>
            <w:instrText xml:space="preserve"> HYPERLINK \l "_Toc30467" </w:instrText>
          </w:r>
          <w:r>
            <w:fldChar w:fldCharType="separate"/>
          </w:r>
          <w:r>
            <w:rPr>
              <w:rFonts w:hint="eastAsia"/>
              <w:kern w:val="0"/>
            </w:rPr>
            <w:t>第一章</w:t>
          </w:r>
          <w:r>
            <w:rPr>
              <w:rFonts w:hint="eastAsia"/>
            </w:rPr>
            <w:t>投标邀请函</w:t>
          </w:r>
          <w:r>
            <w:tab/>
          </w:r>
          <w:r>
            <w:fldChar w:fldCharType="begin"/>
          </w:r>
          <w:r>
            <w:instrText xml:space="preserve"> PAGEREF _Toc30467 \h </w:instrText>
          </w:r>
          <w:r>
            <w:fldChar w:fldCharType="separate"/>
          </w:r>
          <w:r>
            <w:t>2</w:t>
          </w:r>
          <w:r>
            <w:fldChar w:fldCharType="end"/>
          </w:r>
          <w:r>
            <w:fldChar w:fldCharType="end"/>
          </w:r>
        </w:p>
        <w:p w14:paraId="49737781">
          <w:pPr>
            <w:pStyle w:val="22"/>
            <w:tabs>
              <w:tab w:val="right" w:leader="dot" w:pos="8997"/>
            </w:tabs>
          </w:pPr>
          <w:r>
            <w:fldChar w:fldCharType="begin"/>
          </w:r>
          <w:r>
            <w:instrText xml:space="preserve"> HYPERLINK \l "_Toc29738" </w:instrText>
          </w:r>
          <w:r>
            <w:fldChar w:fldCharType="separate"/>
          </w:r>
          <w:r>
            <w:rPr>
              <w:rFonts w:hint="eastAsia"/>
            </w:rPr>
            <w:t>第二章投标人</w:t>
          </w:r>
          <w:r>
            <w:t>须知</w:t>
          </w:r>
          <w:r>
            <w:tab/>
          </w:r>
          <w:r>
            <w:fldChar w:fldCharType="begin"/>
          </w:r>
          <w:r>
            <w:instrText xml:space="preserve"> PAGEREF _Toc29738 \h </w:instrText>
          </w:r>
          <w:r>
            <w:fldChar w:fldCharType="separate"/>
          </w:r>
          <w:r>
            <w:t>6</w:t>
          </w:r>
          <w:r>
            <w:fldChar w:fldCharType="end"/>
          </w:r>
          <w:r>
            <w:fldChar w:fldCharType="end"/>
          </w:r>
        </w:p>
        <w:p w14:paraId="50BE644F">
          <w:pPr>
            <w:pStyle w:val="26"/>
            <w:tabs>
              <w:tab w:val="right" w:leader="dot" w:pos="8997"/>
            </w:tabs>
          </w:pPr>
          <w:r>
            <w:fldChar w:fldCharType="begin"/>
          </w:r>
          <w:r>
            <w:instrText xml:space="preserve"> HYPERLINK \l "_Toc25755" </w:instrText>
          </w:r>
          <w:r>
            <w:fldChar w:fldCharType="separate"/>
          </w:r>
          <w:r>
            <w:rPr>
              <w:rFonts w:hint="eastAsia"/>
            </w:rPr>
            <w:t>1、说明</w:t>
          </w:r>
          <w:r>
            <w:tab/>
          </w:r>
          <w:r>
            <w:fldChar w:fldCharType="begin"/>
          </w:r>
          <w:r>
            <w:instrText xml:space="preserve"> PAGEREF _Toc25755 \h </w:instrText>
          </w:r>
          <w:r>
            <w:fldChar w:fldCharType="separate"/>
          </w:r>
          <w:r>
            <w:t>7</w:t>
          </w:r>
          <w:r>
            <w:fldChar w:fldCharType="end"/>
          </w:r>
          <w:r>
            <w:fldChar w:fldCharType="end"/>
          </w:r>
        </w:p>
        <w:p w14:paraId="2709CC0C">
          <w:pPr>
            <w:pStyle w:val="26"/>
            <w:tabs>
              <w:tab w:val="right" w:leader="dot" w:pos="8997"/>
            </w:tabs>
          </w:pPr>
          <w:r>
            <w:fldChar w:fldCharType="begin"/>
          </w:r>
          <w:r>
            <w:instrText xml:space="preserve"> HYPERLINK \l "_Toc20231" </w:instrText>
          </w:r>
          <w:r>
            <w:fldChar w:fldCharType="separate"/>
          </w:r>
          <w:r>
            <w:rPr>
              <w:rFonts w:hint="eastAsia"/>
            </w:rPr>
            <w:t>2、招标文件说明</w:t>
          </w:r>
          <w:r>
            <w:tab/>
          </w:r>
          <w:r>
            <w:fldChar w:fldCharType="begin"/>
          </w:r>
          <w:r>
            <w:instrText xml:space="preserve"> PAGEREF _Toc20231 \h </w:instrText>
          </w:r>
          <w:r>
            <w:fldChar w:fldCharType="separate"/>
          </w:r>
          <w:r>
            <w:t>8</w:t>
          </w:r>
          <w:r>
            <w:fldChar w:fldCharType="end"/>
          </w:r>
          <w:r>
            <w:fldChar w:fldCharType="end"/>
          </w:r>
        </w:p>
        <w:p w14:paraId="1B6CD827">
          <w:pPr>
            <w:pStyle w:val="26"/>
            <w:tabs>
              <w:tab w:val="right" w:leader="dot" w:pos="8997"/>
            </w:tabs>
          </w:pPr>
          <w:r>
            <w:fldChar w:fldCharType="begin"/>
          </w:r>
          <w:r>
            <w:instrText xml:space="preserve"> HYPERLINK \l "_Toc16954" </w:instrText>
          </w:r>
          <w:r>
            <w:fldChar w:fldCharType="separate"/>
          </w:r>
          <w:r>
            <w:rPr>
              <w:rFonts w:hint="eastAsia"/>
            </w:rPr>
            <w:t>3、投标文件的编写</w:t>
          </w:r>
          <w:r>
            <w:tab/>
          </w:r>
          <w:r>
            <w:fldChar w:fldCharType="begin"/>
          </w:r>
          <w:r>
            <w:instrText xml:space="preserve"> PAGEREF _Toc16954 \h </w:instrText>
          </w:r>
          <w:r>
            <w:fldChar w:fldCharType="separate"/>
          </w:r>
          <w:r>
            <w:t>9</w:t>
          </w:r>
          <w:r>
            <w:fldChar w:fldCharType="end"/>
          </w:r>
          <w:r>
            <w:fldChar w:fldCharType="end"/>
          </w:r>
        </w:p>
        <w:p w14:paraId="1DA4E7B4">
          <w:pPr>
            <w:pStyle w:val="26"/>
            <w:tabs>
              <w:tab w:val="right" w:leader="dot" w:pos="8997"/>
            </w:tabs>
          </w:pPr>
          <w:r>
            <w:fldChar w:fldCharType="begin"/>
          </w:r>
          <w:r>
            <w:instrText xml:space="preserve"> HYPERLINK \l "_Toc24619" </w:instrText>
          </w:r>
          <w:r>
            <w:fldChar w:fldCharType="separate"/>
          </w:r>
          <w:r>
            <w:rPr>
              <w:rFonts w:hint="eastAsia"/>
            </w:rPr>
            <w:t>4、投标文件的递交</w:t>
          </w:r>
          <w:r>
            <w:tab/>
          </w:r>
          <w:r>
            <w:fldChar w:fldCharType="begin"/>
          </w:r>
          <w:r>
            <w:instrText xml:space="preserve"> PAGEREF _Toc24619 \h </w:instrText>
          </w:r>
          <w:r>
            <w:fldChar w:fldCharType="separate"/>
          </w:r>
          <w:r>
            <w:t>11</w:t>
          </w:r>
          <w:r>
            <w:fldChar w:fldCharType="end"/>
          </w:r>
          <w:r>
            <w:fldChar w:fldCharType="end"/>
          </w:r>
        </w:p>
        <w:p w14:paraId="08DBCFE4">
          <w:pPr>
            <w:pStyle w:val="26"/>
            <w:tabs>
              <w:tab w:val="right" w:leader="dot" w:pos="8997"/>
            </w:tabs>
          </w:pPr>
          <w:r>
            <w:fldChar w:fldCharType="begin"/>
          </w:r>
          <w:r>
            <w:instrText xml:space="preserve"> HYPERLINK \l "_Toc13032" </w:instrText>
          </w:r>
          <w:r>
            <w:fldChar w:fldCharType="separate"/>
          </w:r>
          <w:r>
            <w:rPr>
              <w:rFonts w:hint="eastAsia"/>
            </w:rPr>
            <w:t>5、开标和评标</w:t>
          </w:r>
          <w:r>
            <w:tab/>
          </w:r>
          <w:r>
            <w:fldChar w:fldCharType="begin"/>
          </w:r>
          <w:r>
            <w:instrText xml:space="preserve"> PAGEREF _Toc13032 \h </w:instrText>
          </w:r>
          <w:r>
            <w:fldChar w:fldCharType="separate"/>
          </w:r>
          <w:r>
            <w:t>12</w:t>
          </w:r>
          <w:r>
            <w:fldChar w:fldCharType="end"/>
          </w:r>
          <w:r>
            <w:fldChar w:fldCharType="end"/>
          </w:r>
        </w:p>
        <w:p w14:paraId="065B4AB0">
          <w:pPr>
            <w:pStyle w:val="26"/>
            <w:tabs>
              <w:tab w:val="right" w:leader="dot" w:pos="8997"/>
            </w:tabs>
          </w:pPr>
          <w:r>
            <w:fldChar w:fldCharType="begin"/>
          </w:r>
          <w:r>
            <w:instrText xml:space="preserve"> HYPERLINK \l "_Toc15221" </w:instrText>
          </w:r>
          <w:r>
            <w:fldChar w:fldCharType="separate"/>
          </w:r>
          <w:r>
            <w:rPr>
              <w:rFonts w:hint="eastAsia"/>
            </w:rPr>
            <w:t>6、授予合同</w:t>
          </w:r>
          <w:r>
            <w:tab/>
          </w:r>
          <w:r>
            <w:fldChar w:fldCharType="begin"/>
          </w:r>
          <w:r>
            <w:instrText xml:space="preserve"> PAGEREF _Toc15221 \h </w:instrText>
          </w:r>
          <w:r>
            <w:fldChar w:fldCharType="separate"/>
          </w:r>
          <w:r>
            <w:t>14</w:t>
          </w:r>
          <w:r>
            <w:fldChar w:fldCharType="end"/>
          </w:r>
          <w:r>
            <w:fldChar w:fldCharType="end"/>
          </w:r>
        </w:p>
        <w:p w14:paraId="6A2F01DC">
          <w:pPr>
            <w:pStyle w:val="22"/>
            <w:tabs>
              <w:tab w:val="right" w:leader="dot" w:pos="8997"/>
            </w:tabs>
          </w:pPr>
          <w:r>
            <w:fldChar w:fldCharType="begin"/>
          </w:r>
          <w:r>
            <w:instrText xml:space="preserve"> HYPERLINK \l "_Toc19506" </w:instrText>
          </w:r>
          <w:r>
            <w:fldChar w:fldCharType="separate"/>
          </w:r>
          <w:r>
            <w:rPr>
              <w:rFonts w:hint="eastAsia"/>
            </w:rPr>
            <w:t>第三章采购</w:t>
          </w:r>
          <w:r>
            <w:t>需求</w:t>
          </w:r>
          <w:r>
            <w:tab/>
          </w:r>
          <w:r>
            <w:fldChar w:fldCharType="begin"/>
          </w:r>
          <w:r>
            <w:instrText xml:space="preserve"> PAGEREF _Toc19506 \h </w:instrText>
          </w:r>
          <w:r>
            <w:fldChar w:fldCharType="separate"/>
          </w:r>
          <w:r>
            <w:t>15</w:t>
          </w:r>
          <w:r>
            <w:fldChar w:fldCharType="end"/>
          </w:r>
          <w:r>
            <w:fldChar w:fldCharType="end"/>
          </w:r>
        </w:p>
        <w:p w14:paraId="3B2B73FE">
          <w:pPr>
            <w:pStyle w:val="26"/>
            <w:tabs>
              <w:tab w:val="right" w:leader="dot" w:pos="8997"/>
            </w:tabs>
          </w:pPr>
          <w:r>
            <w:fldChar w:fldCharType="begin"/>
          </w:r>
          <w:r>
            <w:instrText xml:space="preserve"> HYPERLINK \l "_Toc21690" </w:instrText>
          </w:r>
          <w:r>
            <w:fldChar w:fldCharType="separate"/>
          </w:r>
          <w:r>
            <w:rPr>
              <w:rFonts w:hint="eastAsia"/>
            </w:rPr>
            <w:t>1、投标人须知前附表</w:t>
          </w:r>
          <w:r>
            <w:tab/>
          </w:r>
          <w:r>
            <w:fldChar w:fldCharType="begin"/>
          </w:r>
          <w:r>
            <w:instrText xml:space="preserve"> PAGEREF _Toc21690 \h </w:instrText>
          </w:r>
          <w:r>
            <w:fldChar w:fldCharType="separate"/>
          </w:r>
          <w:r>
            <w:t>15</w:t>
          </w:r>
          <w:r>
            <w:fldChar w:fldCharType="end"/>
          </w:r>
          <w:r>
            <w:fldChar w:fldCharType="end"/>
          </w:r>
        </w:p>
        <w:p w14:paraId="056CC6B1">
          <w:pPr>
            <w:pStyle w:val="22"/>
            <w:tabs>
              <w:tab w:val="right" w:leader="dot" w:pos="8997"/>
            </w:tabs>
          </w:pPr>
          <w:r>
            <w:fldChar w:fldCharType="begin"/>
          </w:r>
          <w:r>
            <w:instrText xml:space="preserve"> HYPERLINK \l "_Toc7447" </w:instrText>
          </w:r>
          <w:r>
            <w:fldChar w:fldCharType="separate"/>
          </w:r>
          <w:r>
            <w:rPr>
              <w:rFonts w:hint="eastAsia"/>
            </w:rPr>
            <w:t>第四章评标办法</w:t>
          </w:r>
          <w:r>
            <w:tab/>
          </w:r>
          <w:r>
            <w:fldChar w:fldCharType="begin"/>
          </w:r>
          <w:r>
            <w:instrText xml:space="preserve"> PAGEREF _Toc7447 \h </w:instrText>
          </w:r>
          <w:r>
            <w:fldChar w:fldCharType="separate"/>
          </w:r>
          <w:r>
            <w:t>20</w:t>
          </w:r>
          <w:r>
            <w:fldChar w:fldCharType="end"/>
          </w:r>
          <w:r>
            <w:fldChar w:fldCharType="end"/>
          </w:r>
        </w:p>
        <w:p w14:paraId="70CFCE6D">
          <w:pPr>
            <w:pStyle w:val="26"/>
            <w:tabs>
              <w:tab w:val="right" w:leader="dot" w:pos="8997"/>
            </w:tabs>
          </w:pPr>
          <w:r>
            <w:fldChar w:fldCharType="begin"/>
          </w:r>
          <w:r>
            <w:instrText xml:space="preserve"> HYPERLINK \l "_Toc10132" </w:instrText>
          </w:r>
          <w:r>
            <w:fldChar w:fldCharType="separate"/>
          </w:r>
          <w:r>
            <w:rPr>
              <w:rFonts w:hint="eastAsia"/>
            </w:rPr>
            <w:t>1、资格性审查标准</w:t>
          </w:r>
          <w:r>
            <w:tab/>
          </w:r>
          <w:r>
            <w:fldChar w:fldCharType="begin"/>
          </w:r>
          <w:r>
            <w:instrText xml:space="preserve"> PAGEREF _Toc10132 \h </w:instrText>
          </w:r>
          <w:r>
            <w:fldChar w:fldCharType="separate"/>
          </w:r>
          <w:r>
            <w:t>20</w:t>
          </w:r>
          <w:r>
            <w:fldChar w:fldCharType="end"/>
          </w:r>
          <w:r>
            <w:fldChar w:fldCharType="end"/>
          </w:r>
        </w:p>
        <w:p w14:paraId="471CFAA2">
          <w:pPr>
            <w:pStyle w:val="26"/>
            <w:tabs>
              <w:tab w:val="right" w:leader="dot" w:pos="8997"/>
            </w:tabs>
          </w:pPr>
          <w:r>
            <w:fldChar w:fldCharType="begin"/>
          </w:r>
          <w:r>
            <w:instrText xml:space="preserve"> HYPERLINK \l "_Toc272" </w:instrText>
          </w:r>
          <w:r>
            <w:fldChar w:fldCharType="separate"/>
          </w:r>
          <w:r>
            <w:rPr>
              <w:rFonts w:hint="eastAsia"/>
            </w:rPr>
            <w:t>2、符合性审查标准</w:t>
          </w:r>
          <w:r>
            <w:tab/>
          </w:r>
          <w:r>
            <w:fldChar w:fldCharType="begin"/>
          </w:r>
          <w:r>
            <w:instrText xml:space="preserve"> PAGEREF _Toc272 \h </w:instrText>
          </w:r>
          <w:r>
            <w:fldChar w:fldCharType="separate"/>
          </w:r>
          <w:r>
            <w:t>21</w:t>
          </w:r>
          <w:r>
            <w:fldChar w:fldCharType="end"/>
          </w:r>
          <w:r>
            <w:fldChar w:fldCharType="end"/>
          </w:r>
        </w:p>
        <w:p w14:paraId="4A6FD5CB">
          <w:pPr>
            <w:pStyle w:val="26"/>
            <w:tabs>
              <w:tab w:val="right" w:leader="dot" w:pos="8997"/>
            </w:tabs>
          </w:pPr>
          <w:r>
            <w:fldChar w:fldCharType="begin"/>
          </w:r>
          <w:r>
            <w:instrText xml:space="preserve"> HYPERLINK \l "_Toc24250" </w:instrText>
          </w:r>
          <w:r>
            <w:fldChar w:fldCharType="separate"/>
          </w:r>
          <w:r>
            <w:rPr>
              <w:rFonts w:hint="eastAsia"/>
            </w:rPr>
            <w:t>3、 详细评审标准</w:t>
          </w:r>
          <w:r>
            <w:tab/>
          </w:r>
          <w:r>
            <w:fldChar w:fldCharType="begin"/>
          </w:r>
          <w:r>
            <w:instrText xml:space="preserve"> PAGEREF _Toc24250 \h </w:instrText>
          </w:r>
          <w:r>
            <w:fldChar w:fldCharType="separate"/>
          </w:r>
          <w:r>
            <w:t>22</w:t>
          </w:r>
          <w:r>
            <w:fldChar w:fldCharType="end"/>
          </w:r>
          <w:r>
            <w:fldChar w:fldCharType="end"/>
          </w:r>
        </w:p>
        <w:p w14:paraId="0AA61171">
          <w:pPr>
            <w:pStyle w:val="26"/>
            <w:tabs>
              <w:tab w:val="right" w:leader="dot" w:pos="8997"/>
            </w:tabs>
          </w:pPr>
          <w:r>
            <w:fldChar w:fldCharType="begin"/>
          </w:r>
          <w:r>
            <w:instrText xml:space="preserve"> HYPERLINK \l "_Toc18575" </w:instrText>
          </w:r>
          <w:r>
            <w:fldChar w:fldCharType="separate"/>
          </w:r>
          <w:r>
            <w:rPr>
              <w:rFonts w:hint="eastAsia"/>
            </w:rPr>
            <w:t>4、正文部分</w:t>
          </w:r>
          <w:r>
            <w:tab/>
          </w:r>
          <w:r>
            <w:fldChar w:fldCharType="begin"/>
          </w:r>
          <w:r>
            <w:instrText xml:space="preserve"> PAGEREF _Toc18575 \h </w:instrText>
          </w:r>
          <w:r>
            <w:fldChar w:fldCharType="separate"/>
          </w:r>
          <w:r>
            <w:t>23</w:t>
          </w:r>
          <w:r>
            <w:fldChar w:fldCharType="end"/>
          </w:r>
          <w:r>
            <w:fldChar w:fldCharType="end"/>
          </w:r>
        </w:p>
        <w:p w14:paraId="2C78D874">
          <w:pPr>
            <w:pStyle w:val="22"/>
            <w:tabs>
              <w:tab w:val="right" w:leader="dot" w:pos="8997"/>
            </w:tabs>
          </w:pPr>
          <w:r>
            <w:fldChar w:fldCharType="begin"/>
          </w:r>
          <w:r>
            <w:instrText xml:space="preserve"> HYPERLINK \l "_Toc32516" </w:instrText>
          </w:r>
          <w:r>
            <w:fldChar w:fldCharType="separate"/>
          </w:r>
          <w:r>
            <w:rPr>
              <w:rFonts w:hint="eastAsia"/>
            </w:rPr>
            <w:t>第五章合同</w:t>
          </w:r>
          <w:r>
            <w:t>文本</w:t>
          </w:r>
          <w:r>
            <w:tab/>
          </w:r>
          <w:r>
            <w:fldChar w:fldCharType="begin"/>
          </w:r>
          <w:r>
            <w:instrText xml:space="preserve"> PAGEREF _Toc32516 \h </w:instrText>
          </w:r>
          <w:r>
            <w:fldChar w:fldCharType="separate"/>
          </w:r>
          <w:r>
            <w:t>27</w:t>
          </w:r>
          <w:r>
            <w:fldChar w:fldCharType="end"/>
          </w:r>
          <w:r>
            <w:fldChar w:fldCharType="end"/>
          </w:r>
        </w:p>
        <w:p w14:paraId="0284F5F5">
          <w:pPr>
            <w:pStyle w:val="26"/>
            <w:tabs>
              <w:tab w:val="right" w:leader="dot" w:pos="8997"/>
            </w:tabs>
          </w:pPr>
          <w:r>
            <w:fldChar w:fldCharType="begin"/>
          </w:r>
          <w:r>
            <w:instrText xml:space="preserve"> HYPERLINK \l "_Toc19068" </w:instrText>
          </w:r>
          <w:r>
            <w:fldChar w:fldCharType="separate"/>
          </w:r>
          <w:r>
            <w:rPr>
              <w:rFonts w:hint="eastAsia" w:ascii="宋体" w:hAnsi="宋体" w:eastAsia="宋体" w:cs="宋体"/>
              <w:szCs w:val="32"/>
            </w:rPr>
            <w:t>物业服务合同</w:t>
          </w:r>
          <w:r>
            <w:tab/>
          </w:r>
          <w:r>
            <w:fldChar w:fldCharType="begin"/>
          </w:r>
          <w:r>
            <w:instrText xml:space="preserve"> PAGEREF _Toc19068 \h </w:instrText>
          </w:r>
          <w:r>
            <w:fldChar w:fldCharType="separate"/>
          </w:r>
          <w:r>
            <w:t>27</w:t>
          </w:r>
          <w:r>
            <w:fldChar w:fldCharType="end"/>
          </w:r>
          <w:r>
            <w:fldChar w:fldCharType="end"/>
          </w:r>
        </w:p>
        <w:p w14:paraId="0AD3FFDB">
          <w:pPr>
            <w:pStyle w:val="22"/>
            <w:tabs>
              <w:tab w:val="right" w:leader="dot" w:pos="8997"/>
            </w:tabs>
          </w:pPr>
          <w:r>
            <w:fldChar w:fldCharType="begin"/>
          </w:r>
          <w:r>
            <w:instrText xml:space="preserve"> HYPERLINK \l "_Toc31613" </w:instrText>
          </w:r>
          <w:r>
            <w:fldChar w:fldCharType="separate"/>
          </w:r>
          <w:r>
            <w:rPr>
              <w:rFonts w:hint="eastAsia"/>
            </w:rPr>
            <w:t>第六章投标文件格式</w:t>
          </w:r>
          <w:r>
            <w:tab/>
          </w:r>
          <w:r>
            <w:fldChar w:fldCharType="begin"/>
          </w:r>
          <w:r>
            <w:instrText xml:space="preserve"> PAGEREF _Toc31613 \h </w:instrText>
          </w:r>
          <w:r>
            <w:fldChar w:fldCharType="separate"/>
          </w:r>
          <w:r>
            <w:t>32</w:t>
          </w:r>
          <w:r>
            <w:fldChar w:fldCharType="end"/>
          </w:r>
          <w:r>
            <w:fldChar w:fldCharType="end"/>
          </w:r>
        </w:p>
        <w:p w14:paraId="766326B6">
          <w:pPr>
            <w:pStyle w:val="26"/>
            <w:tabs>
              <w:tab w:val="right" w:leader="dot" w:pos="8997"/>
            </w:tabs>
          </w:pPr>
          <w:r>
            <w:fldChar w:fldCharType="begin"/>
          </w:r>
          <w:r>
            <w:instrText xml:space="preserve"> HYPERLINK \l "_Toc20075" </w:instrText>
          </w:r>
          <w:r>
            <w:fldChar w:fldCharType="separate"/>
          </w:r>
          <w:r>
            <w:rPr>
              <w:rFonts w:hint="eastAsia"/>
            </w:rPr>
            <w:t>1、投标文件格式</w:t>
          </w:r>
          <w:r>
            <w:tab/>
          </w:r>
          <w:r>
            <w:fldChar w:fldCharType="begin"/>
          </w:r>
          <w:r>
            <w:instrText xml:space="preserve"> PAGEREF _Toc20075 \h </w:instrText>
          </w:r>
          <w:r>
            <w:fldChar w:fldCharType="separate"/>
          </w:r>
          <w:r>
            <w:t>32</w:t>
          </w:r>
          <w:r>
            <w:fldChar w:fldCharType="end"/>
          </w:r>
          <w:r>
            <w:fldChar w:fldCharType="end"/>
          </w:r>
        </w:p>
        <w:p w14:paraId="31F2D75A">
          <w:pPr>
            <w:pStyle w:val="26"/>
            <w:tabs>
              <w:tab w:val="right" w:leader="dot" w:pos="8997"/>
            </w:tabs>
          </w:pPr>
          <w:r>
            <w:fldChar w:fldCharType="begin"/>
          </w:r>
          <w:r>
            <w:instrText xml:space="preserve"> HYPERLINK \l "_Toc831" </w:instrText>
          </w:r>
          <w:r>
            <w:fldChar w:fldCharType="separate"/>
          </w:r>
          <w:r>
            <w:rPr>
              <w:rFonts w:hint="eastAsia"/>
            </w:rPr>
            <w:t>2、</w:t>
          </w:r>
          <w:r>
            <w:t>开标一览表和</w:t>
          </w:r>
          <w:r>
            <w:rPr>
              <w:rFonts w:hint="eastAsia"/>
            </w:rPr>
            <w:t>分项报价明细表</w:t>
          </w:r>
          <w:r>
            <w:tab/>
          </w:r>
          <w:r>
            <w:fldChar w:fldCharType="begin"/>
          </w:r>
          <w:r>
            <w:instrText xml:space="preserve"> PAGEREF _Toc831 \h </w:instrText>
          </w:r>
          <w:r>
            <w:fldChar w:fldCharType="separate"/>
          </w:r>
          <w:r>
            <w:t>33</w:t>
          </w:r>
          <w:r>
            <w:fldChar w:fldCharType="end"/>
          </w:r>
          <w:r>
            <w:fldChar w:fldCharType="end"/>
          </w:r>
        </w:p>
        <w:p w14:paraId="4BE5469F">
          <w:pPr>
            <w:pStyle w:val="26"/>
            <w:tabs>
              <w:tab w:val="right" w:leader="dot" w:pos="8997"/>
            </w:tabs>
          </w:pPr>
          <w:r>
            <w:fldChar w:fldCharType="begin"/>
          </w:r>
          <w:r>
            <w:instrText xml:space="preserve"> HYPERLINK \l "_Toc32157" </w:instrText>
          </w:r>
          <w:r>
            <w:fldChar w:fldCharType="separate"/>
          </w:r>
          <w:r>
            <w:rPr>
              <w:rFonts w:hint="eastAsia"/>
            </w:rPr>
            <w:t>3、规格响应表</w:t>
          </w:r>
          <w:r>
            <w:tab/>
          </w:r>
          <w:r>
            <w:fldChar w:fldCharType="begin"/>
          </w:r>
          <w:r>
            <w:instrText xml:space="preserve"> PAGEREF _Toc32157 \h </w:instrText>
          </w:r>
          <w:r>
            <w:fldChar w:fldCharType="separate"/>
          </w:r>
          <w:r>
            <w:t>35</w:t>
          </w:r>
          <w:r>
            <w:fldChar w:fldCharType="end"/>
          </w:r>
          <w:r>
            <w:fldChar w:fldCharType="end"/>
          </w:r>
        </w:p>
        <w:p w14:paraId="09666251">
          <w:pPr>
            <w:pStyle w:val="26"/>
            <w:tabs>
              <w:tab w:val="right" w:leader="dot" w:pos="8997"/>
            </w:tabs>
          </w:pPr>
          <w:r>
            <w:fldChar w:fldCharType="begin"/>
          </w:r>
          <w:r>
            <w:instrText xml:space="preserve"> HYPERLINK \l "_Toc7909" </w:instrText>
          </w:r>
          <w:r>
            <w:fldChar w:fldCharType="separate"/>
          </w:r>
          <w:r>
            <w:rPr>
              <w:rFonts w:hint="eastAsia"/>
            </w:rPr>
            <w:t>4、关于资格的声明函</w:t>
          </w:r>
          <w:r>
            <w:tab/>
          </w:r>
          <w:r>
            <w:fldChar w:fldCharType="begin"/>
          </w:r>
          <w:r>
            <w:instrText xml:space="preserve"> PAGEREF _Toc7909 \h </w:instrText>
          </w:r>
          <w:r>
            <w:fldChar w:fldCharType="separate"/>
          </w:r>
          <w:r>
            <w:t>36</w:t>
          </w:r>
          <w:r>
            <w:fldChar w:fldCharType="end"/>
          </w:r>
          <w:r>
            <w:fldChar w:fldCharType="end"/>
          </w:r>
        </w:p>
        <w:p w14:paraId="046E0A29">
          <w:pPr>
            <w:pStyle w:val="26"/>
            <w:tabs>
              <w:tab w:val="right" w:leader="dot" w:pos="8997"/>
            </w:tabs>
          </w:pPr>
          <w:r>
            <w:fldChar w:fldCharType="begin"/>
          </w:r>
          <w:r>
            <w:instrText xml:space="preserve"> HYPERLINK \l "_Toc14613" </w:instrText>
          </w:r>
          <w:r>
            <w:fldChar w:fldCharType="separate"/>
          </w:r>
          <w:r>
            <w:rPr>
              <w:rFonts w:hint="eastAsia"/>
            </w:rPr>
            <w:t>5、资格证明文件格式</w:t>
          </w:r>
          <w:r>
            <w:tab/>
          </w:r>
          <w:r>
            <w:fldChar w:fldCharType="begin"/>
          </w:r>
          <w:r>
            <w:instrText xml:space="preserve"> PAGEREF _Toc14613 \h </w:instrText>
          </w:r>
          <w:r>
            <w:fldChar w:fldCharType="separate"/>
          </w:r>
          <w:r>
            <w:t>37</w:t>
          </w:r>
          <w:r>
            <w:fldChar w:fldCharType="end"/>
          </w:r>
          <w:r>
            <w:fldChar w:fldCharType="end"/>
          </w:r>
        </w:p>
        <w:p w14:paraId="55326361">
          <w:pPr>
            <w:pStyle w:val="26"/>
            <w:tabs>
              <w:tab w:val="right" w:leader="dot" w:pos="8997"/>
            </w:tabs>
          </w:pPr>
          <w:r>
            <w:fldChar w:fldCharType="begin"/>
          </w:r>
          <w:r>
            <w:instrText xml:space="preserve"> HYPERLINK \l "_Toc8921" </w:instrText>
          </w:r>
          <w:r>
            <w:fldChar w:fldCharType="separate"/>
          </w:r>
          <w:r>
            <w:rPr>
              <w:rFonts w:hint="eastAsia"/>
            </w:rPr>
            <w:t>6、供应商认为需要提供的用于参与评审其他相关资料</w:t>
          </w:r>
          <w:r>
            <w:tab/>
          </w:r>
          <w:r>
            <w:fldChar w:fldCharType="begin"/>
          </w:r>
          <w:r>
            <w:instrText xml:space="preserve"> PAGEREF _Toc8921 \h </w:instrText>
          </w:r>
          <w:r>
            <w:fldChar w:fldCharType="separate"/>
          </w:r>
          <w:r>
            <w:t>43</w:t>
          </w:r>
          <w:r>
            <w:fldChar w:fldCharType="end"/>
          </w:r>
          <w:r>
            <w:fldChar w:fldCharType="end"/>
          </w:r>
        </w:p>
        <w:p w14:paraId="254353A4">
          <w:r>
            <w:rPr>
              <w:bCs/>
              <w:lang w:val="zh-CN"/>
            </w:rPr>
            <w:fldChar w:fldCharType="end"/>
          </w:r>
        </w:p>
      </w:sdtContent>
    </w:sdt>
    <w:p w14:paraId="5E406A5E">
      <w:pPr>
        <w:spacing w:line="440" w:lineRule="exact"/>
        <w:ind w:right="42" w:rightChars="20"/>
        <w:jc w:val="center"/>
        <w:rPr>
          <w:rFonts w:ascii="Arial" w:hAnsi="Arial" w:eastAsia="黑体" w:cs="Arial"/>
          <w:b/>
          <w:sz w:val="36"/>
        </w:rPr>
      </w:pPr>
    </w:p>
    <w:p w14:paraId="08CE722D">
      <w:pPr>
        <w:spacing w:line="200" w:lineRule="exact"/>
        <w:outlineLvl w:val="0"/>
        <w:rPr>
          <w:rFonts w:ascii="宋体" w:hAnsi="宋体"/>
          <w:b/>
          <w:kern w:val="0"/>
          <w:sz w:val="32"/>
          <w:szCs w:val="32"/>
        </w:rPr>
      </w:pPr>
    </w:p>
    <w:p w14:paraId="16D64F9C">
      <w:pPr>
        <w:pStyle w:val="2"/>
        <w:rPr>
          <w:kern w:val="0"/>
        </w:rPr>
      </w:pPr>
      <w:bookmarkStart w:id="0" w:name="_Toc30467"/>
    </w:p>
    <w:p w14:paraId="1A168380"/>
    <w:p w14:paraId="1D7053EF">
      <w:pPr>
        <w:pStyle w:val="2"/>
        <w:jc w:val="center"/>
      </w:pPr>
      <w:r>
        <w:rPr>
          <w:rFonts w:hint="eastAsia"/>
          <w:kern w:val="0"/>
        </w:rPr>
        <w:t>第一章</w:t>
      </w:r>
      <w:r>
        <w:rPr>
          <w:rFonts w:hint="eastAsia"/>
        </w:rPr>
        <w:t>投标邀请函</w:t>
      </w:r>
      <w:bookmarkEnd w:id="0"/>
    </w:p>
    <w:p w14:paraId="3CD4DECB">
      <w:pPr>
        <w:pBdr>
          <w:top w:val="single" w:color="auto" w:sz="4" w:space="1"/>
          <w:left w:val="single" w:color="auto" w:sz="4" w:space="4"/>
          <w:bottom w:val="single" w:color="auto" w:sz="4" w:space="1"/>
          <w:right w:val="single" w:color="auto" w:sz="4" w:space="4"/>
        </w:pBd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项目概况</w:t>
      </w:r>
    </w:p>
    <w:p w14:paraId="4BB33E58">
      <w:pPr>
        <w:pBdr>
          <w:top w:val="single" w:color="auto" w:sz="4" w:space="1"/>
          <w:left w:val="single" w:color="auto" w:sz="4" w:space="4"/>
          <w:bottom w:val="single" w:color="auto" w:sz="4" w:space="1"/>
          <w:right w:val="single" w:color="auto" w:sz="4" w:space="4"/>
        </w:pBd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u w:val="single"/>
        </w:rPr>
        <w:t>海钢（屯昌）建材科技有限公司2024年-2029年度物业服务项目的潜在供应商应在（海南省海口市蓝天路2-8号海南省教学仪器设备招标中心有限公司）获取磋商文件，并于2024年12月23日09点00分（北京时间）前提交响应文件。</w:t>
      </w:r>
    </w:p>
    <w:p w14:paraId="01434E67">
      <w:pPr>
        <w:ind w:firstLine="482" w:firstLineChars="200"/>
        <w:rPr>
          <w:b/>
          <w:sz w:val="24"/>
        </w:rPr>
      </w:pPr>
      <w:bookmarkStart w:id="1" w:name="_Toc35393629"/>
      <w:bookmarkStart w:id="2" w:name="_Toc28359089"/>
      <w:bookmarkStart w:id="3" w:name="_Toc35393798"/>
      <w:bookmarkStart w:id="4" w:name="_Toc28359012"/>
      <w:r>
        <w:rPr>
          <w:rFonts w:hint="eastAsia"/>
          <w:b/>
          <w:sz w:val="24"/>
        </w:rPr>
        <w:t>一、项目基本情况</w:t>
      </w:r>
      <w:bookmarkEnd w:id="1"/>
      <w:bookmarkEnd w:id="2"/>
      <w:bookmarkEnd w:id="3"/>
      <w:bookmarkEnd w:id="4"/>
    </w:p>
    <w:p w14:paraId="638BD142">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项目编号：HNJY2024-88-30</w:t>
      </w:r>
    </w:p>
    <w:p w14:paraId="05489B31">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项目名称：海钢（屯昌）建材科技有限公司2024年-2029年度物业服务项目</w:t>
      </w:r>
    </w:p>
    <w:p w14:paraId="65755158">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采购方式：公开招标</w:t>
      </w:r>
    </w:p>
    <w:p w14:paraId="5B0836D4">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预算金额：2024年-2029年共5年的物业服务外包招标，总价94万元/年。</w:t>
      </w:r>
    </w:p>
    <w:p w14:paraId="45231F4A">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最高限价：470.00万元</w:t>
      </w:r>
    </w:p>
    <w:p w14:paraId="7B8F3FCE">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采购需求：详见招标文件采购需求清单</w:t>
      </w:r>
    </w:p>
    <w:p w14:paraId="58D68551">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合同履行期限：</w:t>
      </w:r>
      <w:r>
        <w:rPr>
          <w:rFonts w:hint="eastAsia"/>
          <w:sz w:val="24"/>
        </w:rPr>
        <w:t>合同签订后5年内。</w:t>
      </w:r>
    </w:p>
    <w:p w14:paraId="729184A7">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本项目不接受联合体。</w:t>
      </w:r>
    </w:p>
    <w:p w14:paraId="6AD55961">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资金来源：自有资金</w:t>
      </w:r>
    </w:p>
    <w:p w14:paraId="454C9BDB">
      <w:pPr>
        <w:ind w:firstLine="482" w:firstLineChars="200"/>
        <w:rPr>
          <w:b/>
          <w:sz w:val="24"/>
        </w:rPr>
      </w:pPr>
      <w:bookmarkStart w:id="5" w:name="_Toc28359013"/>
      <w:bookmarkStart w:id="6" w:name="_Toc35393799"/>
      <w:bookmarkStart w:id="7" w:name="_Toc28359090"/>
      <w:bookmarkStart w:id="8" w:name="_Toc35393630"/>
      <w:r>
        <w:rPr>
          <w:rFonts w:hint="eastAsia"/>
          <w:b/>
          <w:sz w:val="24"/>
        </w:rPr>
        <w:t>二、申请人的资格要求：</w:t>
      </w:r>
      <w:bookmarkEnd w:id="5"/>
      <w:bookmarkEnd w:id="6"/>
      <w:bookmarkEnd w:id="7"/>
      <w:bookmarkEnd w:id="8"/>
    </w:p>
    <w:p w14:paraId="04C5A927">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1.满足《中华人民共和国政府采购法》第二十二条规定；</w:t>
      </w:r>
    </w:p>
    <w:p w14:paraId="268BFB89">
      <w:pPr>
        <w:adjustRightInd w:val="0"/>
        <w:snapToGrid w:val="0"/>
        <w:spacing w:line="500" w:lineRule="exact"/>
        <w:ind w:firstLine="480" w:firstLineChars="200"/>
        <w:rPr>
          <w:rFonts w:ascii="宋体" w:hAnsi="宋体" w:cs="宋体"/>
          <w:kern w:val="0"/>
          <w:sz w:val="24"/>
        </w:rPr>
      </w:pPr>
      <w:bookmarkStart w:id="9" w:name="_Toc28359091"/>
      <w:bookmarkStart w:id="10" w:name="_Toc28359014"/>
      <w:r>
        <w:rPr>
          <w:rFonts w:ascii="宋体" w:hAnsi="宋体" w:cs="宋体"/>
          <w:kern w:val="0"/>
          <w:sz w:val="24"/>
        </w:rPr>
        <w:t>2</w:t>
      </w:r>
      <w:r>
        <w:rPr>
          <w:rFonts w:hint="eastAsia" w:ascii="宋体" w:hAnsi="宋体" w:cs="宋体"/>
          <w:kern w:val="0"/>
          <w:sz w:val="24"/>
        </w:rPr>
        <w:t>.落实政府采购政策需满足的资格要求：无</w:t>
      </w:r>
    </w:p>
    <w:p w14:paraId="454952FD">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3.本项目的特定资格要求：无。</w:t>
      </w:r>
    </w:p>
    <w:p w14:paraId="67B54C46">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4.在中华人民共和国境内注册、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的，提供分支机构“负责人”的相关证明材料；</w:t>
      </w:r>
    </w:p>
    <w:p w14:paraId="0AB833D4">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5.具有良好的商业信誉和健全的财务会计制度(提供承诺函）；</w:t>
      </w:r>
    </w:p>
    <w:p w14:paraId="2178FBE5">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6.具有履行合同所必需的设备和专业技术能力（提供承诺函）；</w:t>
      </w:r>
    </w:p>
    <w:p w14:paraId="244E8828">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7.具有依法缴纳税收和社会保障资金的良好记录（提供承诺函）；</w:t>
      </w:r>
    </w:p>
    <w:p w14:paraId="581C32C8">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8.参加本次政府采购活动前三年内，在经营活动中没有重大违法记录（成立不足三年的从成立之日起计算，提供声明）；</w:t>
      </w:r>
    </w:p>
    <w:p w14:paraId="6415FF79">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9.参加政府采购活动前三年内，在经营活动中没有环保类行政处罚记录（成立不足三年的从成立之日起计算，提供声明）；</w:t>
      </w:r>
    </w:p>
    <w:p w14:paraId="555DB1F1">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10.必须购买采购文件；</w:t>
      </w:r>
      <w:r>
        <w:rPr>
          <w:rFonts w:ascii="宋体" w:hAnsi="宋体" w:cs="宋体"/>
          <w:kern w:val="0"/>
          <w:sz w:val="24"/>
        </w:rPr>
        <w:t xml:space="preserve"> </w:t>
      </w:r>
    </w:p>
    <w:p w14:paraId="44DA9086">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11.投标时提供供应商诚信守法承诺书；</w:t>
      </w:r>
    </w:p>
    <w:p w14:paraId="7FEB2EA4">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12.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p w14:paraId="3E51A610">
      <w:pPr>
        <w:ind w:firstLine="482" w:firstLineChars="200"/>
        <w:rPr>
          <w:b/>
          <w:sz w:val="24"/>
        </w:rPr>
      </w:pPr>
      <w:bookmarkStart w:id="11" w:name="_Toc35393631"/>
      <w:bookmarkStart w:id="12" w:name="_Toc35393800"/>
      <w:r>
        <w:rPr>
          <w:rFonts w:hint="eastAsia"/>
          <w:b/>
          <w:sz w:val="24"/>
        </w:rPr>
        <w:t>三、获取采购文件</w:t>
      </w:r>
      <w:bookmarkEnd w:id="9"/>
      <w:bookmarkEnd w:id="10"/>
      <w:bookmarkEnd w:id="11"/>
      <w:bookmarkEnd w:id="12"/>
    </w:p>
    <w:p w14:paraId="63CB6574">
      <w:pPr>
        <w:adjustRightInd w:val="0"/>
        <w:snapToGrid w:val="0"/>
        <w:spacing w:line="500" w:lineRule="exact"/>
        <w:ind w:firstLine="540"/>
        <w:rPr>
          <w:rFonts w:ascii="宋体" w:hAnsi="宋体" w:cs="宋体"/>
          <w:kern w:val="0"/>
          <w:sz w:val="24"/>
        </w:rPr>
      </w:pPr>
      <w:r>
        <w:rPr>
          <w:rFonts w:hint="eastAsia" w:ascii="宋体" w:hAnsi="宋体" w:cs="宋体"/>
          <w:kern w:val="0"/>
          <w:sz w:val="24"/>
        </w:rPr>
        <w:t>时间：2024年12月2日至2024年12月9日，每天上午08:00至12:00　，下午14:30至17:30（北京时间，法定节假日除外 ）</w:t>
      </w:r>
    </w:p>
    <w:p w14:paraId="3CD99BA0">
      <w:pPr>
        <w:adjustRightInd w:val="0"/>
        <w:snapToGrid w:val="0"/>
        <w:spacing w:line="500" w:lineRule="exact"/>
        <w:ind w:firstLine="540"/>
        <w:rPr>
          <w:rFonts w:ascii="宋体" w:hAnsi="宋体" w:cs="宋体"/>
          <w:kern w:val="0"/>
          <w:sz w:val="24"/>
        </w:rPr>
      </w:pPr>
      <w:r>
        <w:rPr>
          <w:rFonts w:hint="eastAsia" w:ascii="宋体" w:hAnsi="宋体" w:cs="宋体"/>
          <w:kern w:val="0"/>
          <w:sz w:val="24"/>
        </w:rPr>
        <w:t>地点：海南省海口市蓝天路2-8号</w:t>
      </w:r>
    </w:p>
    <w:p w14:paraId="06E31519">
      <w:pPr>
        <w:adjustRightInd w:val="0"/>
        <w:snapToGrid w:val="0"/>
        <w:spacing w:line="500" w:lineRule="exact"/>
        <w:ind w:firstLine="540"/>
        <w:rPr>
          <w:rFonts w:ascii="宋体" w:hAnsi="宋体" w:cs="宋体"/>
          <w:kern w:val="0"/>
          <w:sz w:val="24"/>
        </w:rPr>
      </w:pPr>
      <w:r>
        <w:rPr>
          <w:rFonts w:hint="eastAsia" w:ascii="宋体" w:hAnsi="宋体" w:cs="宋体"/>
          <w:kern w:val="0"/>
          <w:sz w:val="24"/>
        </w:rPr>
        <w:t>方式：现场购买</w:t>
      </w:r>
    </w:p>
    <w:p w14:paraId="0B8848BA">
      <w:pPr>
        <w:adjustRightInd w:val="0"/>
        <w:snapToGrid w:val="0"/>
        <w:spacing w:line="500" w:lineRule="exact"/>
        <w:ind w:firstLine="540"/>
        <w:rPr>
          <w:rFonts w:ascii="宋体" w:hAnsi="宋体" w:cs="宋体"/>
          <w:kern w:val="0"/>
          <w:sz w:val="24"/>
        </w:rPr>
      </w:pPr>
      <w:r>
        <w:rPr>
          <w:rFonts w:hint="eastAsia" w:ascii="宋体" w:hAnsi="宋体" w:cs="宋体"/>
          <w:kern w:val="0"/>
          <w:sz w:val="24"/>
        </w:rPr>
        <w:t>售价：300元</w:t>
      </w:r>
    </w:p>
    <w:p w14:paraId="0ACFF521">
      <w:pPr>
        <w:ind w:firstLine="482" w:firstLineChars="200"/>
        <w:rPr>
          <w:rFonts w:ascii="宋体" w:hAnsi="宋体" w:cs="宋体"/>
          <w:b/>
          <w:kern w:val="0"/>
          <w:sz w:val="24"/>
        </w:rPr>
      </w:pPr>
      <w:bookmarkStart w:id="13" w:name="_Toc35393801"/>
      <w:bookmarkStart w:id="14" w:name="_Toc35393632"/>
      <w:bookmarkStart w:id="15" w:name="_Toc28359015"/>
      <w:bookmarkStart w:id="16" w:name="_Toc28359092"/>
      <w:r>
        <w:rPr>
          <w:rFonts w:hint="eastAsia"/>
          <w:b/>
          <w:sz w:val="24"/>
        </w:rPr>
        <w:t>四、响应文件提交</w:t>
      </w:r>
      <w:bookmarkEnd w:id="13"/>
      <w:bookmarkEnd w:id="14"/>
      <w:bookmarkEnd w:id="15"/>
      <w:bookmarkEnd w:id="16"/>
    </w:p>
    <w:p w14:paraId="2E790AB8">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截止时间：2024年12月23日09点00分（北京时间）</w:t>
      </w:r>
    </w:p>
    <w:p w14:paraId="1FBF29AB">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地点：海南省海口市蓝天路2-8号海南省教学仪器设备招标中心有限公司会议室</w:t>
      </w:r>
    </w:p>
    <w:p w14:paraId="51FF4122">
      <w:pPr>
        <w:ind w:firstLine="482" w:firstLineChars="200"/>
        <w:rPr>
          <w:b/>
          <w:sz w:val="24"/>
        </w:rPr>
      </w:pPr>
      <w:bookmarkStart w:id="17" w:name="_Toc35393633"/>
      <w:bookmarkStart w:id="18" w:name="_Toc28359093"/>
      <w:bookmarkStart w:id="19" w:name="_Toc28359016"/>
      <w:bookmarkStart w:id="20" w:name="_Toc35393802"/>
      <w:r>
        <w:rPr>
          <w:rFonts w:hint="eastAsia"/>
          <w:b/>
          <w:sz w:val="24"/>
        </w:rPr>
        <w:t>五、开启</w:t>
      </w:r>
      <w:bookmarkEnd w:id="17"/>
      <w:bookmarkEnd w:id="18"/>
      <w:bookmarkEnd w:id="19"/>
      <w:bookmarkEnd w:id="20"/>
    </w:p>
    <w:p w14:paraId="1984355A">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时间：2024年12月23日09点00分（北京时间）</w:t>
      </w:r>
    </w:p>
    <w:p w14:paraId="4B157917">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地点：海口市蓝天路2-8号海南省教学仪器设备招标中心有限公司开标室</w:t>
      </w:r>
    </w:p>
    <w:p w14:paraId="14FBAD55">
      <w:pPr>
        <w:spacing w:line="360" w:lineRule="auto"/>
        <w:ind w:firstLine="482" w:firstLineChars="200"/>
        <w:rPr>
          <w:b/>
          <w:sz w:val="24"/>
        </w:rPr>
      </w:pPr>
      <w:bookmarkStart w:id="21" w:name="_Toc35393803"/>
      <w:bookmarkStart w:id="22" w:name="_Toc28359094"/>
      <w:bookmarkStart w:id="23" w:name="_Toc35393634"/>
      <w:bookmarkStart w:id="24" w:name="_Toc28359017"/>
      <w:r>
        <w:rPr>
          <w:rFonts w:hint="eastAsia"/>
          <w:b/>
          <w:sz w:val="24"/>
        </w:rPr>
        <w:t>六、</w:t>
      </w:r>
      <w:bookmarkEnd w:id="21"/>
      <w:bookmarkEnd w:id="22"/>
      <w:bookmarkEnd w:id="23"/>
      <w:bookmarkEnd w:id="24"/>
      <w:bookmarkStart w:id="25" w:name="_Toc35393635"/>
      <w:bookmarkStart w:id="26" w:name="_Toc35393804"/>
      <w:r>
        <w:rPr>
          <w:rFonts w:hint="eastAsia"/>
          <w:b/>
          <w:sz w:val="24"/>
        </w:rPr>
        <w:t>公告期限</w:t>
      </w:r>
      <w:r>
        <w:rPr>
          <w:rFonts w:hint="eastAsia" w:ascii="宋体" w:hAnsi="宋体" w:cs="宋体"/>
          <w:kern w:val="0"/>
          <w:sz w:val="24"/>
        </w:rPr>
        <w:t>：自本公告发布之日起5个工作日</w:t>
      </w:r>
    </w:p>
    <w:p w14:paraId="525BFA3F">
      <w:pPr>
        <w:ind w:firstLine="482" w:firstLineChars="200"/>
        <w:rPr>
          <w:b/>
          <w:sz w:val="24"/>
        </w:rPr>
      </w:pPr>
      <w:r>
        <w:rPr>
          <w:rFonts w:hint="eastAsia"/>
          <w:b/>
          <w:sz w:val="24"/>
        </w:rPr>
        <w:t>七、其他补充事宜</w:t>
      </w:r>
      <w:bookmarkEnd w:id="25"/>
      <w:bookmarkEnd w:id="26"/>
    </w:p>
    <w:p w14:paraId="7F865D2C">
      <w:pPr>
        <w:adjustRightInd w:val="0"/>
        <w:snapToGrid w:val="0"/>
        <w:spacing w:line="360" w:lineRule="auto"/>
        <w:ind w:firstLine="480" w:firstLineChars="200"/>
        <w:rPr>
          <w:rFonts w:ascii="宋体" w:hAnsi="宋体" w:cs="宋体"/>
          <w:kern w:val="0"/>
          <w:sz w:val="24"/>
        </w:rPr>
      </w:pPr>
      <w:bookmarkStart w:id="27" w:name="_Toc28359095"/>
      <w:bookmarkStart w:id="28" w:name="_Toc28359018"/>
      <w:bookmarkStart w:id="29" w:name="_Toc35393805"/>
      <w:bookmarkStart w:id="30" w:name="_Toc35393636"/>
      <w:r>
        <w:rPr>
          <w:rFonts w:hint="eastAsia" w:ascii="宋体" w:hAnsi="宋体" w:cs="宋体"/>
          <w:kern w:val="0"/>
          <w:sz w:val="24"/>
        </w:rPr>
        <w:t>1.标书售后不退，购买标书时需提供以下证明资料及备案：</w:t>
      </w:r>
    </w:p>
    <w:p w14:paraId="30242C5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（1）营业执照复印件（加盖本单位公章）</w:t>
      </w:r>
    </w:p>
    <w:p w14:paraId="103C2937">
      <w:pPr>
        <w:adjustRightInd w:val="0"/>
        <w:snapToGrid w:val="0"/>
        <w:spacing w:line="360" w:lineRule="auto"/>
        <w:ind w:left="479" w:leftChars="228"/>
        <w:rPr>
          <w:rFonts w:ascii="宋体" w:hAnsi="宋体" w:cs="宋体"/>
          <w:kern w:val="0"/>
          <w:sz w:val="24"/>
        </w:rPr>
      </w:pPr>
      <w:r>
        <w:rPr>
          <w:rFonts w:hint="eastAsia" w:ascii="宋体" w:hAnsi="宋体" w:cs="宋体"/>
          <w:kern w:val="0"/>
          <w:sz w:val="24"/>
        </w:rPr>
        <w:t>（2）法人委托函（函中内容要有报名人的联系方式及邮箱，并加盖本单位公章）（3）法人及委托人身份证复印件（加盖本单位公章）</w:t>
      </w:r>
    </w:p>
    <w:p w14:paraId="6CA17B1E">
      <w:pPr>
        <w:adjustRightInd w:val="0"/>
        <w:snapToGrid w:val="0"/>
        <w:spacing w:line="360" w:lineRule="auto"/>
        <w:ind w:firstLine="480" w:firstLineChars="200"/>
        <w:rPr>
          <w:rFonts w:ascii="宋体" w:hAnsi="宋体" w:cs="宋体"/>
          <w:sz w:val="24"/>
        </w:rPr>
      </w:pPr>
      <w:r>
        <w:rPr>
          <w:rFonts w:hint="eastAsia" w:ascii="宋体" w:hAnsi="宋体" w:cs="宋体"/>
          <w:sz w:val="24"/>
        </w:rPr>
        <w:t>2.购买采购文件</w:t>
      </w:r>
    </w:p>
    <w:p w14:paraId="6E6D5A4F">
      <w:pPr>
        <w:adjustRightInd w:val="0"/>
        <w:snapToGrid w:val="0"/>
        <w:spacing w:line="360" w:lineRule="auto"/>
        <w:ind w:firstLine="480" w:firstLineChars="200"/>
        <w:rPr>
          <w:rFonts w:ascii="宋体" w:hAnsi="宋体" w:cs="宋体"/>
          <w:sz w:val="24"/>
        </w:rPr>
      </w:pPr>
      <w:r>
        <w:rPr>
          <w:rFonts w:hint="eastAsia" w:ascii="宋体" w:hAnsi="宋体" w:cs="宋体"/>
          <w:sz w:val="24"/>
        </w:rPr>
        <w:t>单位名称：海南省教学仪器设备招标中心有限公司</w:t>
      </w:r>
    </w:p>
    <w:p w14:paraId="6E78AE4F">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开户银行：中国银行海口琼山支行蓝天西路支行（如果汇款时搜索不到蓝天西路支行，可以直接选择海口琼山支行）       </w:t>
      </w:r>
    </w:p>
    <w:p w14:paraId="3B391D36">
      <w:pPr>
        <w:adjustRightInd w:val="0"/>
        <w:snapToGrid w:val="0"/>
        <w:spacing w:line="360" w:lineRule="auto"/>
        <w:ind w:firstLine="480" w:firstLineChars="200"/>
        <w:rPr>
          <w:rFonts w:ascii="宋体" w:hAnsi="宋体" w:cs="宋体"/>
          <w:sz w:val="24"/>
        </w:rPr>
      </w:pPr>
      <w:r>
        <w:rPr>
          <w:rFonts w:hint="eastAsia" w:ascii="宋体" w:hAnsi="宋体" w:cs="宋体"/>
          <w:sz w:val="24"/>
        </w:rPr>
        <w:t>银行帐号：266255028427</w:t>
      </w:r>
    </w:p>
    <w:p w14:paraId="258853EF">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财务联系电话：0898-66737260</w:t>
      </w:r>
    </w:p>
    <w:p w14:paraId="470A818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3.投标方应准备一份正本和肆份副本，并在每一份“投标文件”上要明确注明“正本”或“副本”字样。</w:t>
      </w:r>
    </w:p>
    <w:p w14:paraId="4C7550F3">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4.投标方应将“投标文件”胶装成册。为了方便开标、评标，投标人应将“投标文件”正本的 “开标一览表和规格响应表打印一份（加盖公章以包为单位）”单独密封于一小信封内，并在该信封上标明“开标一览表”字样，然后再装入“投标文件”正本的密封袋中。</w:t>
      </w:r>
    </w:p>
    <w:p w14:paraId="5B64C1B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5.招标人不接受有任何选择的报价。</w:t>
      </w:r>
    </w:p>
    <w:p w14:paraId="740C73B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6.本项目不收取投标保证金。</w:t>
      </w:r>
    </w:p>
    <w:p w14:paraId="7B06479A">
      <w:pPr>
        <w:adjustRightInd w:val="0"/>
        <w:snapToGrid w:val="0"/>
        <w:spacing w:line="360" w:lineRule="auto"/>
        <w:ind w:firstLine="480" w:firstLineChars="200"/>
        <w:rPr>
          <w:kern w:val="0"/>
          <w:sz w:val="24"/>
        </w:rPr>
      </w:pPr>
      <w:r>
        <w:rPr>
          <w:rFonts w:hint="eastAsia" w:ascii="宋体" w:hAnsi="宋体" w:cs="宋体"/>
          <w:kern w:val="0"/>
          <w:sz w:val="24"/>
        </w:rPr>
        <w:t>7.采购信息查询：</w:t>
      </w:r>
      <w:r>
        <w:fldChar w:fldCharType="begin"/>
      </w:r>
      <w:r>
        <w:instrText xml:space="preserve"> HYPERLINK "http://www.ccgp.gov.cn/" </w:instrText>
      </w:r>
      <w:r>
        <w:fldChar w:fldCharType="separate"/>
      </w:r>
      <w:r>
        <w:rPr>
          <w:rStyle w:val="40"/>
          <w:color w:val="auto"/>
          <w:kern w:val="0"/>
          <w:sz w:val="24"/>
          <w:u w:val="none"/>
        </w:rPr>
        <w:t>http://www.ccgp.gov.cn/</w:t>
      </w:r>
      <w:r>
        <w:rPr>
          <w:rStyle w:val="40"/>
          <w:color w:val="auto"/>
          <w:kern w:val="0"/>
          <w:sz w:val="24"/>
          <w:u w:val="none"/>
        </w:rPr>
        <w:fldChar w:fldCharType="end"/>
      </w:r>
      <w:r>
        <w:rPr>
          <w:rFonts w:hint="eastAsia" w:ascii="宋体" w:hAnsi="宋体" w:cs="宋体"/>
          <w:kern w:val="0"/>
          <w:sz w:val="24"/>
        </w:rPr>
        <w:t>、</w:t>
      </w:r>
      <w:r>
        <w:rPr>
          <w:kern w:val="0"/>
          <w:sz w:val="24"/>
        </w:rPr>
        <w:t>http://www.hainjy.com/</w:t>
      </w:r>
    </w:p>
    <w:p w14:paraId="7A83F7C2">
      <w:pPr>
        <w:ind w:firstLine="482" w:firstLineChars="200"/>
        <w:rPr>
          <w:b/>
          <w:sz w:val="24"/>
        </w:rPr>
      </w:pPr>
      <w:r>
        <w:rPr>
          <w:rFonts w:hint="eastAsia"/>
          <w:b/>
          <w:sz w:val="24"/>
        </w:rPr>
        <w:t>八、凡对本次采购提出询问，请按</w:t>
      </w:r>
      <w:r>
        <w:rPr>
          <w:b/>
          <w:sz w:val="24"/>
        </w:rPr>
        <w:t>以下方式</w:t>
      </w:r>
      <w:r>
        <w:rPr>
          <w:rFonts w:hint="eastAsia"/>
          <w:b/>
          <w:sz w:val="24"/>
        </w:rPr>
        <w:t>联系。</w:t>
      </w:r>
      <w:bookmarkEnd w:id="27"/>
      <w:bookmarkEnd w:id="28"/>
      <w:bookmarkEnd w:id="29"/>
      <w:bookmarkEnd w:id="30"/>
    </w:p>
    <w:p w14:paraId="75EA02A1">
      <w:pPr>
        <w:adjustRightInd w:val="0"/>
        <w:snapToGrid w:val="0"/>
        <w:spacing w:line="500" w:lineRule="exact"/>
        <w:ind w:firstLine="480" w:firstLineChars="200"/>
        <w:rPr>
          <w:rFonts w:ascii="宋体" w:hAnsi="宋体" w:cs="宋体"/>
          <w:kern w:val="0"/>
          <w:sz w:val="24"/>
        </w:rPr>
      </w:pPr>
      <w:bookmarkStart w:id="70" w:name="_GoBack"/>
      <w:bookmarkStart w:id="31" w:name="_Toc28359019"/>
      <w:bookmarkStart w:id="32" w:name="_Toc28359096"/>
      <w:bookmarkStart w:id="33" w:name="_Toc35393806"/>
      <w:bookmarkStart w:id="34" w:name="_Toc35393637"/>
      <w:r>
        <w:rPr>
          <w:rFonts w:hint="eastAsia" w:ascii="宋体" w:hAnsi="宋体" w:cs="宋体"/>
          <w:kern w:val="0"/>
          <w:sz w:val="24"/>
        </w:rPr>
        <w:t>1.采购人信息</w:t>
      </w:r>
      <w:bookmarkEnd w:id="31"/>
      <w:bookmarkEnd w:id="32"/>
      <w:bookmarkEnd w:id="33"/>
      <w:bookmarkEnd w:id="34"/>
    </w:p>
    <w:p w14:paraId="36F6C83C">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名    称：　</w:t>
      </w:r>
      <w:r>
        <w:rPr>
          <w:rFonts w:hint="eastAsia" w:ascii="宋体" w:hAnsi="宋体" w:cs="宋体"/>
          <w:snapToGrid w:val="0"/>
          <w:kern w:val="0"/>
          <w:sz w:val="24"/>
        </w:rPr>
        <w:t>海钢（屯昌）建材科技有限公司</w:t>
      </w:r>
    </w:p>
    <w:p w14:paraId="64CC3152">
      <w:pPr>
        <w:adjustRightInd w:val="0"/>
        <w:snapToGrid w:val="0"/>
        <w:spacing w:line="500" w:lineRule="exact"/>
        <w:ind w:firstLine="480" w:firstLineChars="200"/>
        <w:rPr>
          <w:rFonts w:ascii="宋体" w:hAnsi="宋体" w:cs="宋体"/>
          <w:snapToGrid w:val="0"/>
          <w:kern w:val="0"/>
          <w:sz w:val="24"/>
          <w:lang w:val="pt-BR"/>
        </w:rPr>
      </w:pPr>
      <w:r>
        <w:rPr>
          <w:rFonts w:hint="eastAsia" w:ascii="宋体" w:hAnsi="宋体" w:cs="宋体"/>
          <w:kern w:val="0"/>
          <w:sz w:val="24"/>
        </w:rPr>
        <w:t>地    址：　</w:t>
      </w:r>
      <w:r>
        <w:rPr>
          <w:rFonts w:hint="eastAsia" w:ascii="宋体" w:hAnsi="宋体" w:cs="宋体"/>
          <w:snapToGrid w:val="0"/>
          <w:kern w:val="0"/>
          <w:sz w:val="24"/>
          <w:lang w:val="pt-BR"/>
        </w:rPr>
        <w:t>海南省屯昌县</w:t>
      </w:r>
      <w:r>
        <w:rPr>
          <w:rFonts w:hint="eastAsia" w:ascii="宋体" w:cs="宋体"/>
          <w:snapToGrid w:val="0"/>
          <w:kern w:val="0"/>
          <w:sz w:val="24"/>
          <w:lang w:val="pt-BR"/>
        </w:rPr>
        <w:t>屯城镇大同桥东侧</w:t>
      </w:r>
      <w:r>
        <w:rPr>
          <w:rFonts w:hint="eastAsia" w:ascii="宋体" w:hAnsi="宋体" w:cs="宋体"/>
          <w:snapToGrid w:val="0"/>
          <w:kern w:val="0"/>
          <w:sz w:val="24"/>
          <w:lang w:val="pt-BR"/>
        </w:rPr>
        <w:t>海钢（屯昌）建材科技有限公司</w:t>
      </w:r>
    </w:p>
    <w:p w14:paraId="5BFA3278">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联系方式：　</w:t>
      </w:r>
      <w:bookmarkStart w:id="35" w:name="_Toc35393638"/>
      <w:bookmarkStart w:id="36" w:name="_Toc35393807"/>
      <w:bookmarkStart w:id="37" w:name="_Toc28359020"/>
      <w:bookmarkStart w:id="38" w:name="_Toc28359097"/>
      <w:r>
        <w:rPr>
          <w:rFonts w:hint="eastAsia" w:ascii="宋体" w:cs="宋体"/>
          <w:snapToGrid w:val="0"/>
          <w:kern w:val="0"/>
          <w:sz w:val="24"/>
        </w:rPr>
        <w:t>赵云鹏</w:t>
      </w:r>
      <w:r>
        <w:rPr>
          <w:rFonts w:hint="eastAsia" w:ascii="宋体" w:hAnsi="宋体" w:cs="宋体"/>
          <w:snapToGrid w:val="0"/>
          <w:kern w:val="0"/>
          <w:sz w:val="24"/>
        </w:rPr>
        <w:t xml:space="preserve">   电话：</w:t>
      </w:r>
      <w:r>
        <w:rPr>
          <w:rFonts w:hint="eastAsia" w:ascii="宋体" w:cs="宋体"/>
          <w:snapToGrid w:val="0"/>
          <w:kern w:val="0"/>
          <w:sz w:val="24"/>
        </w:rPr>
        <w:t>15948009773</w:t>
      </w:r>
    </w:p>
    <w:p w14:paraId="37D7F6DE">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2.采购代理机构信息</w:t>
      </w:r>
      <w:bookmarkEnd w:id="35"/>
      <w:bookmarkEnd w:id="36"/>
      <w:bookmarkEnd w:id="37"/>
      <w:bookmarkEnd w:id="38"/>
    </w:p>
    <w:p w14:paraId="47CAECBE">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名    称：　海南省教学仪器设备招标中心有限公司　　</w:t>
      </w:r>
    </w:p>
    <w:p w14:paraId="0EE64AA8">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地　　址：　海南省海口市蓝天路2-8号　　</w:t>
      </w:r>
    </w:p>
    <w:p w14:paraId="346D3970">
      <w:pPr>
        <w:spacing w:line="500" w:lineRule="exact"/>
        <w:ind w:firstLine="480" w:firstLineChars="200"/>
        <w:rPr>
          <w:rFonts w:ascii="宋体" w:hAnsi="宋体"/>
          <w:kern w:val="0"/>
          <w:sz w:val="28"/>
          <w:szCs w:val="28"/>
        </w:rPr>
      </w:pPr>
      <w:r>
        <w:rPr>
          <w:rFonts w:hint="eastAsia" w:ascii="宋体" w:hAnsi="宋体" w:cs="宋体"/>
          <w:kern w:val="0"/>
          <w:sz w:val="24"/>
        </w:rPr>
        <w:t>联系方式：　0898-66779294</w:t>
      </w:r>
    </w:p>
    <w:p w14:paraId="27A8C61C">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3.项目联系方式</w:t>
      </w:r>
    </w:p>
    <w:p w14:paraId="6B5716DE">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项目联系人：李先生</w:t>
      </w:r>
    </w:p>
    <w:p w14:paraId="2CA85D35">
      <w:pPr>
        <w:spacing w:line="500" w:lineRule="exact"/>
        <w:ind w:firstLine="480" w:firstLineChars="200"/>
      </w:pPr>
      <w:r>
        <w:rPr>
          <w:rFonts w:hint="eastAsia" w:ascii="宋体" w:hAnsi="宋体" w:cs="宋体"/>
          <w:kern w:val="0"/>
          <w:sz w:val="24"/>
        </w:rPr>
        <w:t>联系方式： 0898-66779294</w:t>
      </w:r>
    </w:p>
    <w:bookmarkEnd w:id="70"/>
    <w:p w14:paraId="218A7A75">
      <w:pPr>
        <w:pStyle w:val="2"/>
        <w:jc w:val="center"/>
      </w:pPr>
      <w:bookmarkStart w:id="39" w:name="_Toc29738"/>
      <w:r>
        <w:rPr>
          <w:rFonts w:hint="eastAsia"/>
        </w:rPr>
        <w:t>第二章投标人</w:t>
      </w:r>
      <w:r>
        <w:t>须知</w:t>
      </w:r>
      <w:bookmarkEnd w:id="39"/>
    </w:p>
    <w:p w14:paraId="5124BF47">
      <w:pPr>
        <w:spacing w:line="360" w:lineRule="exact"/>
        <w:ind w:firstLine="472" w:firstLineChars="196"/>
        <w:rPr>
          <w:rFonts w:ascii="宋体" w:hAnsi="宋体"/>
          <w:b/>
          <w:bCs/>
          <w:sz w:val="24"/>
          <w:u w:val="single"/>
        </w:rPr>
      </w:pPr>
      <w:r>
        <w:rPr>
          <w:rFonts w:hint="eastAsia" w:ascii="宋体" w:hAnsi="宋体"/>
          <w:b/>
          <w:bCs/>
          <w:sz w:val="24"/>
          <w:u w:val="single"/>
        </w:rPr>
        <w:t>投标人应认真阅读招标文件中所有的事项、格式、条款和规范等要求。投标人没有按照招标文件要求提交全部资料，或者投标文件没有对招标文件各方面都作出实质性响应是投标人的风险，因为没有实质性响应招标文件要求的投标将可能被拒绝。</w:t>
      </w:r>
    </w:p>
    <w:p w14:paraId="637F99A2">
      <w:pPr>
        <w:pStyle w:val="3"/>
      </w:pPr>
      <w:bookmarkStart w:id="40" w:name="_Toc25755"/>
      <w:r>
        <w:rPr>
          <w:rFonts w:hint="eastAsia"/>
        </w:rPr>
        <w:t>1、说明</w:t>
      </w:r>
      <w:bookmarkEnd w:id="40"/>
    </w:p>
    <w:p w14:paraId="535B3537">
      <w:pPr>
        <w:spacing w:line="360" w:lineRule="exact"/>
        <w:ind w:firstLine="480" w:firstLineChars="200"/>
        <w:rPr>
          <w:rFonts w:ascii="宋体" w:hAnsi="宋体"/>
          <w:sz w:val="24"/>
        </w:rPr>
      </w:pPr>
      <w:r>
        <w:rPr>
          <w:rFonts w:hint="eastAsia" w:ascii="宋体" w:hAnsi="宋体"/>
          <w:sz w:val="24"/>
        </w:rPr>
        <w:t>1适用范围</w:t>
      </w:r>
    </w:p>
    <w:p w14:paraId="49C39C58">
      <w:pPr>
        <w:spacing w:line="360" w:lineRule="exact"/>
        <w:ind w:firstLine="480" w:firstLineChars="200"/>
        <w:rPr>
          <w:rFonts w:ascii="宋体" w:hAnsi="宋体"/>
          <w:sz w:val="24"/>
        </w:rPr>
      </w:pPr>
      <w:r>
        <w:rPr>
          <w:rFonts w:hint="eastAsia" w:ascii="宋体" w:hAnsi="宋体"/>
          <w:sz w:val="24"/>
        </w:rPr>
        <w:t>1.1本招标文件仅适用于本次招标采购中所叙述项目的产品及服务采购。</w:t>
      </w:r>
    </w:p>
    <w:p w14:paraId="204D1878">
      <w:pPr>
        <w:spacing w:line="360" w:lineRule="exact"/>
        <w:ind w:firstLine="480" w:firstLineChars="200"/>
        <w:rPr>
          <w:rFonts w:ascii="宋体" w:hAnsi="宋体"/>
          <w:sz w:val="24"/>
        </w:rPr>
      </w:pPr>
      <w:r>
        <w:rPr>
          <w:rFonts w:hint="eastAsia" w:ascii="宋体" w:hAnsi="宋体"/>
          <w:sz w:val="24"/>
        </w:rPr>
        <w:t>1.2资金来源系自有资金</w:t>
      </w:r>
    </w:p>
    <w:p w14:paraId="41A49DEA">
      <w:pPr>
        <w:spacing w:line="360" w:lineRule="exact"/>
        <w:ind w:firstLine="480" w:firstLineChars="200"/>
        <w:rPr>
          <w:rFonts w:ascii="宋体" w:hAnsi="宋体"/>
          <w:sz w:val="24"/>
        </w:rPr>
      </w:pPr>
      <w:r>
        <w:rPr>
          <w:rFonts w:ascii="宋体" w:hAnsi="宋体"/>
          <w:sz w:val="24"/>
        </w:rPr>
        <w:t>2</w:t>
      </w:r>
      <w:r>
        <w:rPr>
          <w:rFonts w:hint="eastAsia" w:ascii="宋体" w:hAnsi="宋体"/>
          <w:sz w:val="24"/>
        </w:rPr>
        <w:t>.定义</w:t>
      </w:r>
    </w:p>
    <w:p w14:paraId="5145BEB7">
      <w:pPr>
        <w:spacing w:line="360" w:lineRule="exact"/>
        <w:ind w:firstLine="465"/>
        <w:rPr>
          <w:rFonts w:ascii="宋体" w:hAnsi="宋体"/>
          <w:sz w:val="24"/>
        </w:rPr>
      </w:pPr>
      <w:r>
        <w:rPr>
          <w:rFonts w:ascii="宋体" w:hAnsi="宋体"/>
          <w:sz w:val="24"/>
        </w:rPr>
        <w:t>2.1</w:t>
      </w:r>
      <w:r>
        <w:rPr>
          <w:rFonts w:hint="eastAsia" w:ascii="宋体" w:hAnsi="宋体"/>
          <w:sz w:val="24"/>
        </w:rPr>
        <w:t>“采购人”系指业主</w:t>
      </w:r>
    </w:p>
    <w:p w14:paraId="632A9E6C">
      <w:pPr>
        <w:spacing w:line="360" w:lineRule="exact"/>
        <w:ind w:firstLine="465"/>
        <w:rPr>
          <w:rFonts w:ascii="宋体" w:hAnsi="宋体"/>
          <w:sz w:val="24"/>
        </w:rPr>
      </w:pPr>
      <w:r>
        <w:rPr>
          <w:rFonts w:ascii="宋体" w:hAnsi="宋体"/>
          <w:sz w:val="24"/>
        </w:rPr>
        <w:t>2.2</w:t>
      </w:r>
      <w:r>
        <w:rPr>
          <w:rFonts w:hint="eastAsia" w:ascii="宋体" w:hAnsi="宋体"/>
          <w:sz w:val="24"/>
        </w:rPr>
        <w:t>“投标人”系指响应招标文件的、参加投标竞争的依法成立的制造商、代理商、供货商或其他组织。</w:t>
      </w:r>
    </w:p>
    <w:p w14:paraId="213DE68D">
      <w:pPr>
        <w:pStyle w:val="28"/>
        <w:spacing w:line="360" w:lineRule="exact"/>
        <w:ind w:firstLine="480" w:firstLineChars="200"/>
        <w:jc w:val="left"/>
        <w:rPr>
          <w:rFonts w:ascii="宋体" w:hAnsi="宋体"/>
          <w:sz w:val="24"/>
        </w:rPr>
      </w:pPr>
      <w:r>
        <w:rPr>
          <w:rFonts w:hint="eastAsia" w:ascii="宋体" w:hAnsi="宋体"/>
          <w:sz w:val="24"/>
        </w:rPr>
        <w:t>2.3“采购代理机构”系指组织本次招标的招标机构海南省教学仪器设备招标中心有限公司。</w:t>
      </w:r>
    </w:p>
    <w:p w14:paraId="471CB908">
      <w:pPr>
        <w:pStyle w:val="28"/>
        <w:spacing w:line="360" w:lineRule="exact"/>
        <w:ind w:firstLine="480" w:firstLineChars="200"/>
        <w:jc w:val="left"/>
        <w:rPr>
          <w:rFonts w:ascii="宋体" w:hAnsi="宋体"/>
          <w:sz w:val="24"/>
        </w:rPr>
      </w:pPr>
      <w:r>
        <w:rPr>
          <w:rFonts w:hint="eastAsia" w:ascii="宋体" w:hAnsi="宋体"/>
          <w:sz w:val="24"/>
        </w:rPr>
        <w:t>2.4“采购人”和“采购代理机构”统称“招标采购单位</w:t>
      </w:r>
      <w:r>
        <w:rPr>
          <w:rFonts w:ascii="宋体" w:hAnsi="宋体"/>
          <w:sz w:val="24"/>
        </w:rPr>
        <w:t>”</w:t>
      </w:r>
    </w:p>
    <w:p w14:paraId="29D07D7F">
      <w:pPr>
        <w:spacing w:line="360" w:lineRule="exact"/>
        <w:ind w:firstLine="480" w:firstLineChars="200"/>
        <w:rPr>
          <w:rFonts w:ascii="宋体" w:hAnsi="宋体"/>
          <w:sz w:val="24"/>
        </w:rPr>
      </w:pPr>
      <w:r>
        <w:rPr>
          <w:rFonts w:hint="eastAsia" w:ascii="宋体" w:hAnsi="宋体"/>
          <w:sz w:val="24"/>
        </w:rPr>
        <w:t>2.5“评标委员会”系指组建专门负责本次招标及其评标工作的临时性机构。</w:t>
      </w:r>
    </w:p>
    <w:p w14:paraId="73129E69">
      <w:pPr>
        <w:pStyle w:val="28"/>
        <w:spacing w:line="360" w:lineRule="exact"/>
        <w:ind w:firstLine="480" w:firstLineChars="200"/>
        <w:jc w:val="left"/>
        <w:rPr>
          <w:rFonts w:ascii="宋体" w:hAnsi="宋体"/>
          <w:sz w:val="24"/>
        </w:rPr>
      </w:pPr>
      <w:r>
        <w:rPr>
          <w:rFonts w:hint="eastAsia" w:ascii="宋体" w:hAnsi="宋体"/>
          <w:sz w:val="24"/>
        </w:rPr>
        <w:t>2.6“货物”系指所有的由投标人为满足招标文件要求而向招标方提供的货物、方案以其它有关技术资料和材料。</w:t>
      </w:r>
    </w:p>
    <w:p w14:paraId="7F43860B">
      <w:pPr>
        <w:spacing w:line="360" w:lineRule="exact"/>
        <w:ind w:firstLine="480" w:firstLineChars="200"/>
        <w:jc w:val="left"/>
        <w:rPr>
          <w:rFonts w:ascii="宋体" w:hAnsi="宋体"/>
          <w:sz w:val="24"/>
        </w:rPr>
      </w:pPr>
      <w:r>
        <w:rPr>
          <w:rFonts w:hint="eastAsia" w:ascii="宋体" w:hAnsi="宋体"/>
          <w:sz w:val="24"/>
        </w:rPr>
        <w:t>2.7“服务”系指投标人为满足招标文件要求而向招标方承担的运输、安装调试、人员培训、技术服务、售后服务、保险和其它类似的义务。</w:t>
      </w:r>
    </w:p>
    <w:p w14:paraId="7BACDE1D">
      <w:pPr>
        <w:spacing w:line="360" w:lineRule="exact"/>
        <w:ind w:firstLine="480" w:firstLineChars="200"/>
        <w:jc w:val="left"/>
        <w:rPr>
          <w:rFonts w:ascii="宋体" w:hAnsi="宋体"/>
          <w:sz w:val="24"/>
        </w:rPr>
      </w:pPr>
      <w:r>
        <w:rPr>
          <w:rFonts w:hint="eastAsia" w:ascii="宋体" w:hAnsi="宋体"/>
          <w:sz w:val="24"/>
        </w:rPr>
        <w:t>2.8“日期、时间”系指公历日、北京时间。</w:t>
      </w:r>
    </w:p>
    <w:p w14:paraId="7B65D68A">
      <w:pPr>
        <w:spacing w:line="360" w:lineRule="exact"/>
        <w:ind w:firstLine="480" w:firstLineChars="200"/>
        <w:jc w:val="left"/>
        <w:rPr>
          <w:rFonts w:ascii="宋体" w:hAnsi="宋体"/>
          <w:sz w:val="24"/>
        </w:rPr>
      </w:pPr>
      <w:r>
        <w:rPr>
          <w:rFonts w:hint="eastAsia" w:ascii="宋体" w:hAnsi="宋体"/>
          <w:sz w:val="24"/>
        </w:rPr>
        <w:t>2.9招标文件中所规定的“书面形式”，是指任何手写、打印或印刷通讯，包括传真发送。</w:t>
      </w:r>
    </w:p>
    <w:p w14:paraId="4BEB2FD8">
      <w:pPr>
        <w:spacing w:line="360" w:lineRule="exact"/>
        <w:ind w:firstLine="480" w:firstLineChars="200"/>
        <w:jc w:val="left"/>
        <w:rPr>
          <w:rFonts w:ascii="宋体" w:hAnsi="宋体"/>
          <w:sz w:val="24"/>
        </w:rPr>
      </w:pPr>
      <w:r>
        <w:rPr>
          <w:rFonts w:hint="eastAsia" w:ascii="宋体" w:hAnsi="宋体"/>
          <w:sz w:val="24"/>
        </w:rPr>
        <w:t>2.10“合同”系指由本次招标所产生的合同或合约文件。</w:t>
      </w:r>
    </w:p>
    <w:p w14:paraId="58B35E8D">
      <w:pPr>
        <w:spacing w:line="360" w:lineRule="exact"/>
        <w:ind w:firstLine="480" w:firstLineChars="200"/>
        <w:jc w:val="left"/>
        <w:rPr>
          <w:rFonts w:ascii="宋体" w:hAnsi="宋体"/>
          <w:sz w:val="24"/>
        </w:rPr>
      </w:pPr>
      <w:r>
        <w:rPr>
          <w:rFonts w:hint="eastAsia" w:ascii="宋体" w:hAnsi="宋体"/>
          <w:sz w:val="24"/>
        </w:rPr>
        <w:t>2．11招标文件中的标题或题名仅起引导作用，而不应视为对招标文件内容的理解和解释。</w:t>
      </w:r>
    </w:p>
    <w:p w14:paraId="50057322">
      <w:pPr>
        <w:spacing w:line="360" w:lineRule="exact"/>
        <w:ind w:firstLine="480" w:firstLineChars="200"/>
        <w:rPr>
          <w:rFonts w:ascii="宋体" w:hAnsi="宋体"/>
          <w:sz w:val="24"/>
        </w:rPr>
      </w:pPr>
      <w:r>
        <w:rPr>
          <w:rFonts w:ascii="宋体" w:hAnsi="宋体"/>
          <w:sz w:val="24"/>
        </w:rPr>
        <w:t>3</w:t>
      </w:r>
      <w:r>
        <w:rPr>
          <w:rFonts w:hint="eastAsia" w:ascii="宋体" w:hAnsi="宋体"/>
          <w:sz w:val="24"/>
        </w:rPr>
        <w:t>合格的投标方</w:t>
      </w:r>
    </w:p>
    <w:p w14:paraId="3B375023">
      <w:pPr>
        <w:spacing w:line="360" w:lineRule="exact"/>
        <w:ind w:firstLine="480" w:firstLineChars="200"/>
        <w:rPr>
          <w:rFonts w:ascii="宋体" w:hAnsi="宋体"/>
          <w:sz w:val="24"/>
        </w:rPr>
      </w:pPr>
      <w:r>
        <w:rPr>
          <w:rFonts w:hint="eastAsia" w:ascii="宋体" w:hAnsi="宋体"/>
          <w:sz w:val="24"/>
        </w:rPr>
        <w:t>3.1是响应招标文件，参加投标竞争，符合《</w:t>
      </w:r>
      <w:r>
        <w:rPr>
          <w:rFonts w:ascii="宋体" w:hAnsi="宋体"/>
          <w:bCs/>
          <w:sz w:val="24"/>
        </w:rPr>
        <w:t>中华人民共和国政府采购法</w:t>
      </w:r>
      <w:r>
        <w:rPr>
          <w:rFonts w:hint="eastAsia" w:ascii="宋体" w:hAnsi="宋体"/>
          <w:bCs/>
          <w:sz w:val="24"/>
        </w:rPr>
        <w:t>》</w:t>
      </w:r>
      <w:r>
        <w:rPr>
          <w:rFonts w:ascii="宋体" w:hAnsi="宋体"/>
          <w:sz w:val="24"/>
        </w:rPr>
        <w:t>第二十二条规定</w:t>
      </w:r>
      <w:r>
        <w:rPr>
          <w:rFonts w:hint="eastAsia" w:ascii="宋体" w:hAnsi="宋体"/>
          <w:sz w:val="24"/>
        </w:rPr>
        <w:t>。且有能力提供招标货物及服务，并通过评标委员会审核的制造厂商、供货商或代理商，均为合格的投标方。</w:t>
      </w:r>
    </w:p>
    <w:p w14:paraId="0E54E415">
      <w:pPr>
        <w:spacing w:line="360" w:lineRule="exact"/>
        <w:ind w:firstLine="480" w:firstLineChars="200"/>
        <w:rPr>
          <w:rFonts w:ascii="宋体" w:hAnsi="宋体"/>
          <w:sz w:val="24"/>
        </w:rPr>
      </w:pPr>
      <w:r>
        <w:rPr>
          <w:rFonts w:hint="eastAsia" w:ascii="宋体" w:hAnsi="宋体"/>
          <w:sz w:val="24"/>
        </w:rPr>
        <w:t>3.2如项目允许，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合同项</w:t>
      </w:r>
      <w:r>
        <w:rPr>
          <w:rFonts w:ascii="宋体" w:hAnsi="宋体"/>
          <w:sz w:val="24"/>
        </w:rPr>
        <w:t>下</w:t>
      </w:r>
      <w:r>
        <w:rPr>
          <w:rFonts w:hint="eastAsia" w:ascii="宋体" w:hAnsi="宋体"/>
          <w:sz w:val="24"/>
        </w:rPr>
        <w:t>投标，也不得组成新的联合体参加同一合同项</w:t>
      </w:r>
      <w:r>
        <w:rPr>
          <w:rFonts w:ascii="宋体" w:hAnsi="宋体"/>
          <w:sz w:val="24"/>
        </w:rPr>
        <w:t>下</w:t>
      </w:r>
      <w:r>
        <w:rPr>
          <w:rFonts w:hint="eastAsia" w:ascii="宋体" w:hAnsi="宋体"/>
          <w:sz w:val="24"/>
        </w:rPr>
        <w:t>投标。</w:t>
      </w:r>
      <w:r>
        <w:rPr>
          <w:rFonts w:ascii="宋体" w:hAnsi="宋体"/>
          <w:sz w:val="24"/>
        </w:rPr>
        <w:t>联合体各方应当共同与采购人签订采购合同，就采购合同约定的事项对采购人承担连带责任。</w:t>
      </w:r>
    </w:p>
    <w:p w14:paraId="082C0A5E">
      <w:pPr>
        <w:spacing w:line="360" w:lineRule="exact"/>
        <w:ind w:firstLine="480" w:firstLineChars="200"/>
        <w:rPr>
          <w:rFonts w:ascii="宋体" w:hAnsi="宋体"/>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43751F8F">
      <w:pPr>
        <w:spacing w:line="360" w:lineRule="exact"/>
        <w:ind w:firstLine="480" w:firstLineChars="200"/>
        <w:rPr>
          <w:rFonts w:ascii="宋体" w:hAnsi="宋体"/>
          <w:sz w:val="24"/>
        </w:rPr>
      </w:pPr>
      <w:r>
        <w:rPr>
          <w:rFonts w:hint="eastAsia" w:ascii="宋体" w:hAnsi="宋体"/>
          <w:sz w:val="24"/>
        </w:rPr>
        <w:t>3.3投标方应遵守《中华人民共和国政府采购法》和有关的法律和招标条例。</w:t>
      </w:r>
    </w:p>
    <w:p w14:paraId="37978D17">
      <w:pPr>
        <w:spacing w:line="360" w:lineRule="exact"/>
        <w:ind w:firstLine="480" w:firstLineChars="200"/>
        <w:rPr>
          <w:rFonts w:ascii="宋体" w:hAnsi="宋体"/>
          <w:sz w:val="24"/>
        </w:rPr>
      </w:pPr>
      <w:r>
        <w:rPr>
          <w:rFonts w:hint="eastAsia" w:ascii="宋体" w:hAnsi="宋体"/>
          <w:sz w:val="24"/>
        </w:rPr>
        <w:t>3.4合同中提供的所有货物及其辅助服务，其来源均应符合招标文件要求而提供的设备、仪表、工具、备件、图纸和其他材料，本合同的支付也仅限于这些货物和服务。</w:t>
      </w:r>
    </w:p>
    <w:p w14:paraId="56BB7468">
      <w:pPr>
        <w:spacing w:line="360" w:lineRule="exact"/>
        <w:ind w:firstLine="480" w:firstLineChars="200"/>
        <w:rPr>
          <w:rFonts w:ascii="宋体" w:hAnsi="宋体"/>
          <w:sz w:val="24"/>
        </w:rPr>
      </w:pPr>
      <w:r>
        <w:rPr>
          <w:rFonts w:hint="eastAsia" w:ascii="宋体" w:hAnsi="宋体"/>
          <w:sz w:val="24"/>
        </w:rPr>
        <w:t>3.5招标文件采购需求中列明标的物的技术要求是采购人基于实际工作需要而提出的基本需求，如果有专利、商标、品牌、型号等信息的，仅起技术说明、参考作用，不具有任何限制型，投标产品响应其指标性能要求即可。</w:t>
      </w:r>
    </w:p>
    <w:p w14:paraId="7EA845CD">
      <w:pPr>
        <w:spacing w:line="360" w:lineRule="exact"/>
        <w:ind w:firstLine="480" w:firstLineChars="200"/>
        <w:rPr>
          <w:rFonts w:ascii="宋体" w:hAnsi="宋体"/>
          <w:sz w:val="24"/>
        </w:rPr>
      </w:pPr>
      <w:r>
        <w:rPr>
          <w:rFonts w:hint="eastAsia" w:ascii="宋体" w:hAnsi="宋体"/>
          <w:sz w:val="24"/>
        </w:rPr>
        <w:t>3.6如果没有特别声明或要求，投标人被视为充分熟悉本招标项目所在地与履行合同有关的各种情况，包括自然环境、气候条件、劳动力及公用设施等，本采购文件不再对上述情况进行描述。</w:t>
      </w:r>
    </w:p>
    <w:p w14:paraId="5F9D50BC">
      <w:pPr>
        <w:spacing w:line="360" w:lineRule="exact"/>
        <w:ind w:firstLine="480" w:firstLineChars="200"/>
        <w:rPr>
          <w:rFonts w:ascii="宋体" w:hAnsi="宋体"/>
          <w:sz w:val="24"/>
        </w:rPr>
      </w:pPr>
      <w:r>
        <w:rPr>
          <w:rFonts w:hint="eastAsia" w:ascii="宋体" w:hAnsi="宋体"/>
          <w:sz w:val="24"/>
        </w:rPr>
        <w:t>4纪律</w:t>
      </w:r>
    </w:p>
    <w:p w14:paraId="4C00961B">
      <w:pPr>
        <w:spacing w:line="360" w:lineRule="exact"/>
        <w:ind w:firstLine="480"/>
        <w:rPr>
          <w:rFonts w:ascii="宋体" w:hAnsi="宋体"/>
          <w:sz w:val="24"/>
        </w:rPr>
      </w:pPr>
      <w:r>
        <w:rPr>
          <w:rFonts w:hint="eastAsia" w:ascii="宋体" w:hAnsi="宋体"/>
          <w:sz w:val="24"/>
        </w:rPr>
        <w:t>4．1投标人不得串通作弊，以不正当的手段妨碍、排挤其他投标人，扰乱招标市场，破坏公平竞争原则。</w:t>
      </w:r>
    </w:p>
    <w:p w14:paraId="6BBFC95D">
      <w:pPr>
        <w:spacing w:line="360" w:lineRule="exact"/>
        <w:ind w:firstLine="480"/>
        <w:rPr>
          <w:rFonts w:ascii="宋体" w:hAnsi="宋体"/>
          <w:sz w:val="24"/>
        </w:rPr>
      </w:pPr>
      <w:r>
        <w:rPr>
          <w:rFonts w:hint="eastAsia" w:ascii="宋体" w:hAnsi="宋体"/>
          <w:sz w:val="24"/>
        </w:rPr>
        <w:t>4．2获得本招标文件的投标人，应对招标文件进行保密，不得用作本次投标以外的其他任何用途。若有要求，开标后，投标人应归还招标文件中的保密资料。</w:t>
      </w:r>
    </w:p>
    <w:p w14:paraId="53AB956B">
      <w:pPr>
        <w:spacing w:line="360" w:lineRule="exact"/>
        <w:ind w:firstLine="480" w:firstLineChars="200"/>
        <w:rPr>
          <w:rFonts w:ascii="宋体" w:hAnsi="宋体"/>
          <w:sz w:val="24"/>
        </w:rPr>
      </w:pPr>
      <w:r>
        <w:rPr>
          <w:rFonts w:hint="eastAsia" w:ascii="宋体" w:hAnsi="宋体"/>
          <w:sz w:val="24"/>
        </w:rPr>
        <w:t>5投标费用的承担</w:t>
      </w:r>
    </w:p>
    <w:p w14:paraId="7B053C5D">
      <w:pPr>
        <w:spacing w:line="360" w:lineRule="exact"/>
        <w:ind w:firstLine="480" w:firstLineChars="200"/>
        <w:rPr>
          <w:rFonts w:ascii="宋体" w:hAnsi="宋体"/>
          <w:sz w:val="24"/>
        </w:rPr>
      </w:pPr>
      <w:r>
        <w:rPr>
          <w:rFonts w:hint="eastAsia" w:ascii="宋体" w:hAnsi="宋体"/>
          <w:sz w:val="24"/>
        </w:rPr>
        <w:t>投标人应自行承担所有与参加投标有关的全部费用，无论投标过程中的结果如何，采购代理机构和采购人在任何情况下均无义务和责任承担这些费用。</w:t>
      </w:r>
    </w:p>
    <w:p w14:paraId="45366EFE">
      <w:pPr>
        <w:pStyle w:val="3"/>
      </w:pPr>
      <w:bookmarkStart w:id="41" w:name="_Toc20231"/>
      <w:r>
        <w:rPr>
          <w:rFonts w:hint="eastAsia"/>
        </w:rPr>
        <w:t>2、招标文件说明</w:t>
      </w:r>
      <w:bookmarkEnd w:id="41"/>
    </w:p>
    <w:p w14:paraId="4A806702">
      <w:pPr>
        <w:spacing w:line="360" w:lineRule="exact"/>
        <w:ind w:firstLine="480" w:firstLineChars="200"/>
        <w:rPr>
          <w:rFonts w:ascii="宋体" w:hAnsi="宋体"/>
          <w:sz w:val="24"/>
        </w:rPr>
      </w:pPr>
      <w:r>
        <w:rPr>
          <w:rFonts w:hint="eastAsia" w:ascii="宋体" w:hAnsi="宋体"/>
          <w:sz w:val="24"/>
        </w:rPr>
        <w:t>6“招标文件”的构成</w:t>
      </w:r>
    </w:p>
    <w:p w14:paraId="00C28DA8">
      <w:pPr>
        <w:spacing w:line="360" w:lineRule="exact"/>
        <w:ind w:firstLine="480" w:firstLineChars="200"/>
        <w:rPr>
          <w:rFonts w:ascii="宋体" w:hAnsi="宋体"/>
          <w:sz w:val="24"/>
        </w:rPr>
      </w:pPr>
      <w:r>
        <w:rPr>
          <w:rFonts w:hint="eastAsia" w:ascii="宋体" w:hAnsi="宋体"/>
          <w:sz w:val="24"/>
        </w:rPr>
        <w:t>6.1“招标文件”是用以阐明所需仪器设备及服务的情况，以及招标、投标程序和相应的合同条款。“招标文件”由下述部份组成：</w:t>
      </w:r>
    </w:p>
    <w:p w14:paraId="62B651F5">
      <w:pPr>
        <w:spacing w:line="360" w:lineRule="exact"/>
        <w:ind w:firstLine="720" w:firstLineChars="300"/>
        <w:jc w:val="left"/>
        <w:rPr>
          <w:rFonts w:ascii="宋体" w:hAnsi="宋体"/>
          <w:sz w:val="24"/>
        </w:rPr>
      </w:pPr>
      <w:r>
        <w:rPr>
          <w:rFonts w:ascii="宋体" w:hAnsi="宋体"/>
          <w:sz w:val="24"/>
        </w:rPr>
        <w:t>(1)</w:t>
      </w:r>
      <w:r>
        <w:rPr>
          <w:rFonts w:hint="eastAsia" w:ascii="宋体" w:hAnsi="宋体"/>
          <w:sz w:val="24"/>
        </w:rPr>
        <w:t>投标邀请函；</w:t>
      </w:r>
    </w:p>
    <w:p w14:paraId="0DEF7D76">
      <w:pPr>
        <w:spacing w:line="360" w:lineRule="exact"/>
        <w:ind w:firstLine="720" w:firstLineChars="300"/>
        <w:rPr>
          <w:rFonts w:ascii="宋体" w:hAnsi="宋体"/>
          <w:sz w:val="24"/>
        </w:rPr>
      </w:pPr>
      <w:r>
        <w:rPr>
          <w:rFonts w:ascii="宋体" w:hAnsi="宋体"/>
          <w:sz w:val="24"/>
        </w:rPr>
        <w:t>(2)</w:t>
      </w:r>
      <w:r>
        <w:rPr>
          <w:rFonts w:hint="eastAsia" w:ascii="宋体" w:hAnsi="宋体"/>
          <w:sz w:val="24"/>
        </w:rPr>
        <w:t>投标项目要求；</w:t>
      </w:r>
    </w:p>
    <w:p w14:paraId="1E249F44">
      <w:pPr>
        <w:spacing w:line="360" w:lineRule="exact"/>
        <w:ind w:firstLine="720" w:firstLineChars="300"/>
        <w:rPr>
          <w:rFonts w:ascii="宋体" w:hAnsi="宋体"/>
          <w:sz w:val="24"/>
        </w:rPr>
      </w:pPr>
      <w:r>
        <w:rPr>
          <w:rFonts w:ascii="宋体" w:hAnsi="宋体"/>
          <w:sz w:val="24"/>
        </w:rPr>
        <w:t>(3)</w:t>
      </w:r>
      <w:r>
        <w:rPr>
          <w:rFonts w:hint="eastAsia" w:ascii="宋体" w:hAnsi="宋体"/>
          <w:sz w:val="24"/>
        </w:rPr>
        <w:t>投标人须知；</w:t>
      </w:r>
    </w:p>
    <w:p w14:paraId="4CFBAC39">
      <w:pPr>
        <w:spacing w:line="360" w:lineRule="exact"/>
        <w:ind w:firstLine="720" w:firstLineChars="300"/>
        <w:rPr>
          <w:rFonts w:ascii="宋体" w:hAnsi="宋体"/>
          <w:sz w:val="24"/>
        </w:rPr>
      </w:pPr>
      <w:r>
        <w:rPr>
          <w:rFonts w:ascii="宋体" w:hAnsi="宋体"/>
          <w:sz w:val="24"/>
        </w:rPr>
        <w:t>(4)</w:t>
      </w:r>
      <w:r>
        <w:rPr>
          <w:rFonts w:hint="eastAsia" w:ascii="宋体" w:hAnsi="宋体"/>
          <w:sz w:val="24"/>
        </w:rPr>
        <w:t>招标采购合同格式；</w:t>
      </w:r>
    </w:p>
    <w:p w14:paraId="4A6C8BB8">
      <w:pPr>
        <w:spacing w:line="360" w:lineRule="exact"/>
        <w:ind w:firstLine="720" w:firstLineChars="300"/>
        <w:rPr>
          <w:rFonts w:ascii="宋体" w:hAnsi="宋体"/>
          <w:sz w:val="24"/>
        </w:rPr>
      </w:pPr>
      <w:r>
        <w:rPr>
          <w:rFonts w:ascii="宋体" w:hAnsi="宋体"/>
          <w:sz w:val="24"/>
        </w:rPr>
        <w:t xml:space="preserve">(5) </w:t>
      </w:r>
      <w:r>
        <w:rPr>
          <w:rFonts w:hint="eastAsia" w:ascii="宋体" w:hAnsi="宋体"/>
          <w:sz w:val="24"/>
        </w:rPr>
        <w:t>附件（投标文件格式、</w:t>
      </w:r>
      <w:r>
        <w:rPr>
          <w:rFonts w:hint="eastAsia" w:ascii="宋体" w:hAnsi="宋体"/>
          <w:kern w:val="0"/>
          <w:sz w:val="24"/>
        </w:rPr>
        <w:t>设备采购清单</w:t>
      </w:r>
      <w:r>
        <w:rPr>
          <w:rFonts w:hint="eastAsia" w:ascii="宋体" w:hAnsi="宋体"/>
          <w:sz w:val="24"/>
        </w:rPr>
        <w:t>）。</w:t>
      </w:r>
    </w:p>
    <w:p w14:paraId="1D6A21C7">
      <w:pPr>
        <w:spacing w:line="360" w:lineRule="exact"/>
        <w:ind w:firstLine="480" w:firstLineChars="200"/>
        <w:rPr>
          <w:rFonts w:ascii="宋体" w:hAnsi="宋体"/>
          <w:sz w:val="24"/>
        </w:rPr>
      </w:pPr>
      <w:r>
        <w:rPr>
          <w:rFonts w:hint="eastAsia" w:ascii="宋体" w:hAnsi="宋体"/>
          <w:sz w:val="24"/>
        </w:rPr>
        <w:t>7招标文件的澄清及质疑</w:t>
      </w:r>
    </w:p>
    <w:p w14:paraId="24EEE6EC">
      <w:pPr>
        <w:tabs>
          <w:tab w:val="left" w:pos="540"/>
        </w:tabs>
        <w:spacing w:line="360" w:lineRule="exact"/>
        <w:ind w:firstLine="480" w:firstLineChars="200"/>
        <w:rPr>
          <w:rFonts w:ascii="宋体" w:hAnsi="宋体"/>
          <w:sz w:val="24"/>
        </w:rPr>
      </w:pPr>
      <w:r>
        <w:rPr>
          <w:rFonts w:hint="eastAsia" w:ascii="宋体" w:hAnsi="宋体"/>
          <w:sz w:val="24"/>
        </w:rPr>
        <w:t>7</w:t>
      </w:r>
      <w:r>
        <w:rPr>
          <w:rFonts w:ascii="宋体" w:hAnsi="宋体"/>
          <w:sz w:val="24"/>
        </w:rPr>
        <w:t>.1</w:t>
      </w:r>
      <w:r>
        <w:rPr>
          <w:rFonts w:hint="eastAsia" w:ascii="宋体" w:hAnsi="宋体"/>
          <w:sz w:val="24"/>
        </w:rPr>
        <w:t>凡参加本次招标的投标人被视为已充分认识和理解了任何与本项目有关的影响事项和困难、风险等情况。在规定的期间内未提出疑问的，视为完全接受招标文件规定的所有条款，并放弃对招标文件（含澄清、修改文件）不明或误解的权利。</w:t>
      </w:r>
    </w:p>
    <w:p w14:paraId="34569D87">
      <w:pPr>
        <w:spacing w:line="360" w:lineRule="exact"/>
        <w:ind w:firstLine="480" w:firstLineChars="200"/>
        <w:rPr>
          <w:rFonts w:ascii="宋体" w:hAnsi="宋体"/>
          <w:sz w:val="24"/>
        </w:rPr>
      </w:pPr>
      <w:r>
        <w:rPr>
          <w:rFonts w:hint="eastAsia" w:ascii="宋体" w:hAnsi="宋体"/>
          <w:sz w:val="24"/>
        </w:rPr>
        <w:t>7.2 投标人对招标采购文件如有疑点，应按投标邀请中载明的地址，以书面形式（包括信函或传真，下同）通知到采购代理机构。采购代理机构将视情况确定采用适当方式予以澄清或在</w:t>
      </w:r>
      <w:r>
        <w:rPr>
          <w:rFonts w:hint="eastAsia" w:ascii="宋体" w:hAnsi="宋体"/>
          <w:bCs/>
          <w:sz w:val="24"/>
        </w:rPr>
        <w:t>中国海南政府采购网以公示</w:t>
      </w:r>
      <w:r>
        <w:rPr>
          <w:rFonts w:hint="eastAsia" w:ascii="宋体" w:hAnsi="宋体"/>
          <w:sz w:val="24"/>
        </w:rPr>
        <w:t>形式予以答复，并在其认为必要时，将不标明查询来源的答复告知已购买招标文件的每一投标人。</w:t>
      </w:r>
    </w:p>
    <w:p w14:paraId="1B4B29EC">
      <w:pPr>
        <w:spacing w:line="360" w:lineRule="exact"/>
        <w:ind w:firstLine="480" w:firstLineChars="200"/>
        <w:rPr>
          <w:rFonts w:ascii="宋体" w:hAnsi="宋体"/>
          <w:sz w:val="24"/>
        </w:rPr>
      </w:pPr>
      <w:r>
        <w:rPr>
          <w:rFonts w:hint="eastAsia" w:ascii="宋体" w:hAnsi="宋体"/>
          <w:sz w:val="24"/>
        </w:rPr>
        <w:t>7.3</w:t>
      </w:r>
      <w:r>
        <w:rPr>
          <w:rFonts w:ascii="宋体" w:hAnsi="宋体"/>
          <w:sz w:val="24"/>
        </w:rPr>
        <w:t>对采购过程提出质疑的，为各采购程序环节结束之日</w:t>
      </w:r>
      <w:r>
        <w:rPr>
          <w:rFonts w:hint="eastAsia" w:ascii="宋体" w:hAnsi="宋体"/>
          <w:sz w:val="24"/>
        </w:rPr>
        <w:t>。</w:t>
      </w:r>
      <w:r>
        <w:rPr>
          <w:rFonts w:ascii="宋体" w:hAnsi="宋体"/>
          <w:sz w:val="24"/>
        </w:rPr>
        <w:t>超过七个工作日、非书面形式以及匿名的质疑将不予受理。</w:t>
      </w:r>
    </w:p>
    <w:p w14:paraId="133B4ADD">
      <w:pPr>
        <w:spacing w:line="360" w:lineRule="exact"/>
        <w:ind w:firstLine="480" w:firstLineChars="200"/>
        <w:rPr>
          <w:rFonts w:ascii="宋体" w:hAnsi="宋体"/>
          <w:sz w:val="24"/>
        </w:rPr>
      </w:pPr>
      <w:r>
        <w:rPr>
          <w:rFonts w:hint="eastAsia" w:ascii="宋体" w:hAnsi="宋体"/>
          <w:sz w:val="24"/>
        </w:rPr>
        <w:t>7.4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54772CC6">
      <w:pPr>
        <w:spacing w:line="360" w:lineRule="exact"/>
        <w:ind w:firstLine="480" w:firstLineChars="200"/>
        <w:rPr>
          <w:rFonts w:ascii="宋体" w:hAnsi="宋体"/>
          <w:sz w:val="24"/>
        </w:rPr>
      </w:pPr>
      <w:r>
        <w:rPr>
          <w:rFonts w:hint="eastAsia" w:ascii="宋体" w:hAnsi="宋体"/>
          <w:sz w:val="24"/>
        </w:rPr>
        <w:t>7.5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2B1FF423">
      <w:pPr>
        <w:spacing w:line="360" w:lineRule="exact"/>
        <w:ind w:firstLine="480" w:firstLineChars="200"/>
        <w:rPr>
          <w:rFonts w:ascii="宋体" w:hAnsi="宋体"/>
          <w:sz w:val="24"/>
        </w:rPr>
      </w:pPr>
      <w:r>
        <w:rPr>
          <w:rFonts w:hint="eastAsia" w:ascii="宋体" w:hAnsi="宋体"/>
          <w:sz w:val="24"/>
        </w:rPr>
        <w:t>8招标文件的修改</w:t>
      </w:r>
    </w:p>
    <w:p w14:paraId="03553514">
      <w:pPr>
        <w:spacing w:line="360" w:lineRule="exact"/>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3897D907">
      <w:pPr>
        <w:spacing w:line="360" w:lineRule="exact"/>
        <w:ind w:firstLine="480" w:firstLineChars="200"/>
        <w:rPr>
          <w:rFonts w:ascii="宋体" w:hAnsi="宋体"/>
          <w:sz w:val="24"/>
        </w:rPr>
      </w:pPr>
      <w:r>
        <w:rPr>
          <w:rFonts w:hint="eastAsia" w:ascii="宋体" w:hAnsi="宋体"/>
          <w:sz w:val="24"/>
        </w:rPr>
        <w:t>8.2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02C66422">
      <w:pPr>
        <w:spacing w:line="360" w:lineRule="exact"/>
        <w:ind w:firstLine="480" w:firstLineChars="200"/>
        <w:rPr>
          <w:rFonts w:ascii="宋体" w:hAnsi="宋体"/>
          <w:sz w:val="24"/>
        </w:rPr>
      </w:pPr>
      <w:r>
        <w:rPr>
          <w:rFonts w:hint="eastAsia" w:ascii="宋体" w:hAnsi="宋体"/>
          <w:sz w:val="24"/>
        </w:rPr>
        <w:t>8.3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14:paraId="30083855">
      <w:pPr>
        <w:spacing w:line="360" w:lineRule="exact"/>
        <w:ind w:firstLine="480" w:firstLineChars="200"/>
        <w:jc w:val="left"/>
        <w:rPr>
          <w:rFonts w:ascii="宋体" w:hAnsi="宋体"/>
          <w:sz w:val="24"/>
        </w:rPr>
      </w:pPr>
      <w:r>
        <w:rPr>
          <w:rFonts w:hint="eastAsia" w:ascii="宋体" w:hAnsi="宋体"/>
          <w:sz w:val="24"/>
        </w:rPr>
        <w:t>8.4招标文件的修改书将构成招标文件的一部分，并对投标人具有约束力。</w:t>
      </w:r>
    </w:p>
    <w:p w14:paraId="550B1C21">
      <w:pPr>
        <w:pStyle w:val="3"/>
      </w:pPr>
      <w:bookmarkStart w:id="42" w:name="_Toc16954"/>
      <w:r>
        <w:rPr>
          <w:rFonts w:hint="eastAsia"/>
        </w:rPr>
        <w:t>3、投标文件的编写</w:t>
      </w:r>
      <w:bookmarkEnd w:id="42"/>
    </w:p>
    <w:p w14:paraId="5196D991">
      <w:pPr>
        <w:spacing w:line="360" w:lineRule="exact"/>
        <w:ind w:firstLine="480" w:firstLineChars="200"/>
        <w:rPr>
          <w:rFonts w:ascii="宋体" w:hAnsi="宋体"/>
          <w:sz w:val="24"/>
        </w:rPr>
      </w:pPr>
      <w:r>
        <w:rPr>
          <w:rFonts w:hint="eastAsia" w:ascii="宋体" w:hAnsi="宋体"/>
          <w:sz w:val="24"/>
        </w:rPr>
        <w:t>9要求</w:t>
      </w:r>
    </w:p>
    <w:p w14:paraId="217C526C">
      <w:pPr>
        <w:spacing w:line="360" w:lineRule="exact"/>
        <w:ind w:firstLine="480" w:firstLineChars="200"/>
        <w:rPr>
          <w:rFonts w:ascii="宋体" w:hAnsi="宋体"/>
          <w:bCs/>
          <w:snapToGrid w:val="0"/>
          <w:kern w:val="0"/>
          <w:sz w:val="24"/>
        </w:rPr>
      </w:pPr>
      <w:r>
        <w:rPr>
          <w:rFonts w:hint="eastAsia" w:ascii="宋体" w:hAnsi="宋体"/>
          <w:sz w:val="24"/>
        </w:rPr>
        <w:t>9.1投标人应仔细阅读“招标文件”的所有内容，按“招标文件”的要求提供“投标文件”，并保证所提供的全部资料的真实性，以确保其投标对“招标文件”做出实质性响应。</w:t>
      </w:r>
      <w:r>
        <w:rPr>
          <w:rFonts w:hint="eastAsia" w:ascii="宋体" w:hAnsi="宋体"/>
          <w:bCs/>
          <w:sz w:val="24"/>
        </w:rPr>
        <w:t>若投标方不能按招标文件要求提供与本标相关的文件、图片资料、证明材料，</w:t>
      </w:r>
      <w:r>
        <w:rPr>
          <w:rFonts w:hint="eastAsia" w:ascii="宋体" w:hAnsi="宋体"/>
          <w:bCs/>
          <w:snapToGrid w:val="0"/>
          <w:kern w:val="0"/>
          <w:sz w:val="24"/>
        </w:rPr>
        <w:t>或者投标文件没有对招标文件各方面都作出实质性响应是投标人的风险，因为没有实质性响应招标文件要求的投标将可能被拒绝。</w:t>
      </w:r>
    </w:p>
    <w:p w14:paraId="38290491">
      <w:pPr>
        <w:spacing w:line="360" w:lineRule="exact"/>
        <w:ind w:firstLine="480" w:firstLineChars="200"/>
        <w:rPr>
          <w:rFonts w:ascii="宋体" w:hAnsi="宋体"/>
          <w:sz w:val="24"/>
        </w:rPr>
      </w:pPr>
      <w:r>
        <w:rPr>
          <w:rFonts w:hint="eastAsia" w:ascii="宋体" w:hAnsi="宋体"/>
          <w:sz w:val="24"/>
        </w:rPr>
        <w:t>9.2投标文件的语言为中文。</w:t>
      </w:r>
    </w:p>
    <w:p w14:paraId="40EB1D2D">
      <w:pPr>
        <w:spacing w:line="360" w:lineRule="exact"/>
        <w:ind w:firstLine="480" w:firstLineChars="200"/>
        <w:rPr>
          <w:rFonts w:ascii="宋体" w:hAnsi="宋体"/>
          <w:sz w:val="24"/>
        </w:rPr>
      </w:pPr>
      <w:r>
        <w:rPr>
          <w:rFonts w:hint="eastAsia" w:ascii="宋体" w:hAnsi="宋体"/>
          <w:sz w:val="24"/>
        </w:rPr>
        <w:t>9.3投标文件的所有计量单位执行中华人民共和国的计量单位。</w:t>
      </w:r>
    </w:p>
    <w:p w14:paraId="5559CBD4">
      <w:pPr>
        <w:spacing w:line="360" w:lineRule="exact"/>
        <w:ind w:firstLine="480" w:firstLineChars="200"/>
        <w:rPr>
          <w:rFonts w:ascii="宋体" w:hAnsi="宋体"/>
          <w:sz w:val="24"/>
        </w:rPr>
      </w:pPr>
      <w:r>
        <w:rPr>
          <w:rFonts w:hint="eastAsia" w:ascii="宋体" w:hAnsi="宋体"/>
          <w:sz w:val="24"/>
        </w:rPr>
        <w:t>10“投标文件”的组成</w:t>
      </w:r>
    </w:p>
    <w:p w14:paraId="69336050">
      <w:pPr>
        <w:spacing w:line="360" w:lineRule="exact"/>
        <w:ind w:firstLine="480" w:firstLineChars="200"/>
        <w:rPr>
          <w:rFonts w:ascii="宋体" w:hAnsi="宋体"/>
          <w:sz w:val="24"/>
        </w:rPr>
      </w:pPr>
      <w:r>
        <w:rPr>
          <w:rFonts w:hint="eastAsia" w:ascii="宋体" w:hAnsi="宋体"/>
          <w:sz w:val="24"/>
        </w:rPr>
        <w:t>“投标文件”（按附件格式制作）</w:t>
      </w:r>
    </w:p>
    <w:p w14:paraId="5BA335A9">
      <w:pPr>
        <w:spacing w:line="360" w:lineRule="exact"/>
        <w:ind w:firstLine="480" w:firstLineChars="200"/>
        <w:rPr>
          <w:rFonts w:ascii="宋体" w:hAnsi="宋体"/>
          <w:sz w:val="24"/>
        </w:rPr>
      </w:pPr>
      <w:r>
        <w:rPr>
          <w:rFonts w:ascii="宋体" w:hAnsi="宋体"/>
          <w:sz w:val="24"/>
        </w:rPr>
        <w:t>投标人</w:t>
      </w:r>
      <w:r>
        <w:rPr>
          <w:rFonts w:hint="eastAsia" w:ascii="宋体" w:hAnsi="宋体"/>
          <w:sz w:val="24"/>
        </w:rPr>
        <w:t>需</w:t>
      </w:r>
      <w:r>
        <w:rPr>
          <w:rFonts w:ascii="宋体" w:hAnsi="宋体"/>
          <w:sz w:val="24"/>
        </w:rPr>
        <w:t>编制完整的投标文件，按上述顺序编制目录及页码。投标人代表可由法定代表人或其委托代理人担任。由委托代理人签署的投标文件中，须同时提交由法定代表人签署的有效的授权委托书。</w:t>
      </w:r>
    </w:p>
    <w:p w14:paraId="11CD257D">
      <w:pPr>
        <w:spacing w:line="360" w:lineRule="exact"/>
        <w:ind w:firstLine="360" w:firstLineChars="150"/>
        <w:rPr>
          <w:rFonts w:ascii="宋体" w:hAnsi="宋体"/>
          <w:sz w:val="24"/>
        </w:rPr>
      </w:pPr>
      <w:r>
        <w:rPr>
          <w:rFonts w:ascii="宋体" w:hAnsi="宋体"/>
          <w:sz w:val="24"/>
        </w:rPr>
        <w:t>1</w:t>
      </w:r>
      <w:r>
        <w:rPr>
          <w:rFonts w:hint="eastAsia" w:ascii="宋体" w:hAnsi="宋体"/>
          <w:sz w:val="24"/>
        </w:rPr>
        <w:t>1“投标文件”格式</w:t>
      </w:r>
    </w:p>
    <w:p w14:paraId="2B978765">
      <w:pPr>
        <w:spacing w:line="360" w:lineRule="exact"/>
        <w:ind w:firstLine="360"/>
        <w:rPr>
          <w:rFonts w:ascii="宋体" w:hAnsi="宋体"/>
          <w:sz w:val="24"/>
        </w:rPr>
      </w:pPr>
      <w:r>
        <w:rPr>
          <w:rFonts w:hint="eastAsia" w:ascii="宋体" w:hAnsi="宋体"/>
          <w:sz w:val="24"/>
        </w:rPr>
        <w:t>11.1投标人应按“招标文件”中提供的“投标文件格式”填写投标书、“开标一览表”、“规格响应表”及“售后服务计划”。投标人应分别在以上表格中注明提供的货物名称、型号规格、技术配置及参数、原产地（</w:t>
      </w:r>
      <w:r>
        <w:rPr>
          <w:rFonts w:hint="eastAsia" w:ascii="宋体" w:hAnsi="宋体"/>
          <w:bCs/>
          <w:sz w:val="24"/>
        </w:rPr>
        <w:t>生产厂名</w:t>
      </w:r>
      <w:r>
        <w:rPr>
          <w:rFonts w:hint="eastAsia" w:ascii="宋体" w:hAnsi="宋体"/>
          <w:sz w:val="24"/>
        </w:rPr>
        <w:t>）、数量和价格等（见附件格式）。</w:t>
      </w:r>
    </w:p>
    <w:p w14:paraId="779C3CC5">
      <w:pPr>
        <w:spacing w:line="360" w:lineRule="exact"/>
        <w:ind w:firstLine="444" w:firstLineChars="185"/>
        <w:rPr>
          <w:rFonts w:ascii="宋体" w:hAnsi="宋体"/>
          <w:bCs/>
          <w:sz w:val="24"/>
        </w:rPr>
      </w:pPr>
      <w:r>
        <w:rPr>
          <w:rFonts w:hint="eastAsia" w:ascii="宋体" w:hAnsi="宋体"/>
          <w:sz w:val="24"/>
        </w:rPr>
        <w:t>11.2投标人可对本“招标文件”中“招标采购项目设备清单及范围”所列的所有货物进行以包为单位投标，投标人可以全部投标，亦可选择其中一包投标。但不得将一包中的内容拆开投标。</w:t>
      </w:r>
    </w:p>
    <w:p w14:paraId="29148AC3">
      <w:pPr>
        <w:spacing w:line="360" w:lineRule="exact"/>
        <w:ind w:firstLine="480" w:firstLineChars="200"/>
        <w:jc w:val="left"/>
        <w:rPr>
          <w:rFonts w:ascii="宋体" w:hAnsi="宋体"/>
          <w:sz w:val="24"/>
        </w:rPr>
      </w:pPr>
      <w:r>
        <w:rPr>
          <w:rFonts w:ascii="宋体" w:hAnsi="宋体"/>
          <w:sz w:val="24"/>
        </w:rPr>
        <w:t>1</w:t>
      </w:r>
      <w:r>
        <w:rPr>
          <w:rFonts w:hint="eastAsia" w:ascii="宋体" w:hAnsi="宋体"/>
          <w:sz w:val="24"/>
        </w:rPr>
        <w:t>2投标报价</w:t>
      </w:r>
    </w:p>
    <w:p w14:paraId="50A547A8">
      <w:pPr>
        <w:spacing w:line="360" w:lineRule="exact"/>
        <w:ind w:firstLine="480" w:firstLineChars="200"/>
        <w:rPr>
          <w:rFonts w:ascii="宋体" w:hAnsi="宋体"/>
          <w:sz w:val="24"/>
        </w:rPr>
      </w:pPr>
      <w:r>
        <w:rPr>
          <w:rFonts w:hint="eastAsia" w:ascii="宋体" w:hAnsi="宋体"/>
          <w:sz w:val="24"/>
        </w:rPr>
        <w:t>12.1投标人应在“招标文件”所附的“开标一览表”（附件格式）上写明投标货物的单价[单价=（货价+运抵用户指定地点运、保、税）]和投标总价。</w:t>
      </w:r>
    </w:p>
    <w:p w14:paraId="329D9D64">
      <w:pPr>
        <w:spacing w:line="360" w:lineRule="exact"/>
        <w:ind w:firstLine="480" w:firstLineChars="200"/>
        <w:rPr>
          <w:rFonts w:ascii="宋体" w:hAnsi="宋体"/>
          <w:sz w:val="24"/>
        </w:rPr>
      </w:pPr>
      <w:r>
        <w:rPr>
          <w:rFonts w:hint="eastAsia" w:ascii="宋体" w:hAnsi="宋体"/>
          <w:sz w:val="24"/>
        </w:rPr>
        <w:t>投标文件报价出现前后不一致的，按照下列规定修正：</w:t>
      </w:r>
    </w:p>
    <w:p w14:paraId="05435425">
      <w:pPr>
        <w:spacing w:line="360" w:lineRule="exact"/>
        <w:ind w:firstLine="480" w:firstLineChars="200"/>
        <w:rPr>
          <w:rFonts w:ascii="宋体" w:hAnsi="宋体"/>
          <w:sz w:val="24"/>
        </w:rPr>
      </w:pPr>
      <w:r>
        <w:rPr>
          <w:rFonts w:hint="eastAsia" w:ascii="宋体" w:hAnsi="宋体"/>
          <w:sz w:val="24"/>
        </w:rPr>
        <w:t>（一）投标文件中开标一览表（报价表）内容与投标文件中相应内容不一致的，以开标一览表（报价表）为准；</w:t>
      </w:r>
    </w:p>
    <w:p w14:paraId="650D9EDE">
      <w:pPr>
        <w:spacing w:line="360" w:lineRule="exact"/>
        <w:ind w:firstLine="480" w:firstLineChars="200"/>
        <w:rPr>
          <w:rFonts w:ascii="宋体" w:hAnsi="宋体"/>
          <w:sz w:val="24"/>
        </w:rPr>
      </w:pPr>
      <w:r>
        <w:rPr>
          <w:rFonts w:hint="eastAsia" w:ascii="宋体" w:hAnsi="宋体"/>
          <w:sz w:val="24"/>
        </w:rPr>
        <w:t>（二）大写金额和小写金额不一致的，以大写金额为准；</w:t>
      </w:r>
    </w:p>
    <w:p w14:paraId="63F3A878">
      <w:pPr>
        <w:spacing w:line="360" w:lineRule="exact"/>
        <w:ind w:firstLine="480" w:firstLineChars="200"/>
        <w:rPr>
          <w:rFonts w:ascii="宋体" w:hAnsi="宋体"/>
          <w:sz w:val="24"/>
        </w:rPr>
      </w:pPr>
      <w:r>
        <w:rPr>
          <w:rFonts w:hint="eastAsia" w:ascii="宋体" w:hAnsi="宋体"/>
          <w:sz w:val="24"/>
        </w:rPr>
        <w:t>（三）单价金额小数点或者百分比有明显错位的，以开标一览表的总价为准，并修改单价；</w:t>
      </w:r>
    </w:p>
    <w:p w14:paraId="6EC86CF8">
      <w:pPr>
        <w:spacing w:line="360" w:lineRule="exact"/>
        <w:ind w:firstLine="480" w:firstLineChars="200"/>
        <w:rPr>
          <w:rFonts w:ascii="宋体" w:hAnsi="宋体"/>
          <w:sz w:val="24"/>
        </w:rPr>
      </w:pPr>
      <w:r>
        <w:rPr>
          <w:rFonts w:hint="eastAsia" w:ascii="宋体" w:hAnsi="宋体"/>
          <w:sz w:val="24"/>
        </w:rPr>
        <w:t>（四）总价金额与按单价汇总金额不一致的，以单价金额计算结果为准。</w:t>
      </w:r>
    </w:p>
    <w:p w14:paraId="6AFD5E29">
      <w:pPr>
        <w:spacing w:line="36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同时出现两种以上不一致的，按照前款规定的顺序修正。修正后的报价按照《政府采购货物和服务招标投标管理办法》第五十一条第二款的规定经投标人确认后产生约束力，投标人不确认的，其投标无效。</w:t>
      </w:r>
    </w:p>
    <w:p w14:paraId="3F374244">
      <w:pPr>
        <w:spacing w:line="360" w:lineRule="exact"/>
        <w:ind w:firstLine="480" w:firstLineChars="200"/>
        <w:rPr>
          <w:rFonts w:ascii="宋体" w:hAnsi="宋体"/>
          <w:sz w:val="24"/>
        </w:rPr>
      </w:pPr>
      <w:r>
        <w:rPr>
          <w:rFonts w:hint="eastAsia" w:ascii="宋体" w:hAnsi="宋体"/>
          <w:sz w:val="24"/>
        </w:rPr>
        <w:t>12.2投标人应按上述条款的要求填写仪器设备报价。此报价作为招标方评标标准，但不能限制买方以其它方式签订合同的权力。</w:t>
      </w:r>
    </w:p>
    <w:p w14:paraId="5D575C34">
      <w:pPr>
        <w:spacing w:line="360" w:lineRule="exact"/>
        <w:ind w:firstLine="480" w:firstLineChars="200"/>
        <w:rPr>
          <w:rFonts w:ascii="宋体" w:hAnsi="宋体"/>
          <w:sz w:val="24"/>
        </w:rPr>
      </w:pPr>
      <w:r>
        <w:rPr>
          <w:rFonts w:hint="eastAsia" w:ascii="宋体" w:hAnsi="宋体"/>
          <w:sz w:val="24"/>
        </w:rPr>
        <w:t>12.3投标人所报的投标价在合同执行期间是固定不变的，不得以任何理由予以变更。投标价不是固定价的投标文件将作为非响应性投标而予以拒绝。</w:t>
      </w:r>
    </w:p>
    <w:p w14:paraId="4A892409">
      <w:pPr>
        <w:spacing w:line="360" w:lineRule="exact"/>
        <w:ind w:firstLine="480" w:firstLineChars="200"/>
        <w:rPr>
          <w:rFonts w:ascii="宋体" w:hAnsi="宋体"/>
          <w:sz w:val="24"/>
        </w:rPr>
      </w:pPr>
      <w:r>
        <w:rPr>
          <w:rFonts w:hint="eastAsia" w:ascii="宋体" w:hAnsi="宋体"/>
          <w:sz w:val="24"/>
        </w:rPr>
        <w:t>12.4投标总报价表及投标分项报价表应包括：</w:t>
      </w:r>
    </w:p>
    <w:p w14:paraId="152193D1">
      <w:pPr>
        <w:tabs>
          <w:tab w:val="left" w:pos="420"/>
        </w:tabs>
        <w:spacing w:line="360" w:lineRule="exact"/>
        <w:ind w:firstLine="480" w:firstLineChars="200"/>
        <w:rPr>
          <w:rFonts w:ascii="宋体" w:hAnsi="宋体"/>
          <w:sz w:val="24"/>
        </w:rPr>
      </w:pPr>
      <w:r>
        <w:rPr>
          <w:rFonts w:hint="eastAsia" w:ascii="宋体" w:hAnsi="宋体"/>
          <w:sz w:val="24"/>
        </w:rPr>
        <w:t>总报价应包括投标人对每个分项下所提供设计、制造、采购、各项税费、交货、技术服务、技术培训、安装、调试、随机零配件、标配工具、运输保险、可靠性运行、预验收、最终验收及质量保证期期间的全部责任和义务及合同实施过程中不可预见费用等。投标人应将货物需求一览表中的所有项目在投标分项报价表上列出并逐项报价。如果投标分项报价表中有列出但未标价的项目，则将其视为已包含在其他项目的报价中，合同执行中不另予支付。</w:t>
      </w:r>
    </w:p>
    <w:p w14:paraId="6537DAF8">
      <w:pPr>
        <w:spacing w:line="360" w:lineRule="exact"/>
        <w:ind w:firstLine="480" w:firstLineChars="200"/>
        <w:rPr>
          <w:rFonts w:ascii="宋体" w:hAnsi="宋体"/>
          <w:sz w:val="24"/>
        </w:rPr>
      </w:pPr>
      <w:r>
        <w:rPr>
          <w:rFonts w:ascii="宋体" w:hAnsi="宋体"/>
          <w:sz w:val="24"/>
        </w:rPr>
        <w:t>1</w:t>
      </w:r>
      <w:r>
        <w:rPr>
          <w:rFonts w:hint="eastAsia" w:ascii="宋体" w:hAnsi="宋体"/>
          <w:sz w:val="24"/>
        </w:rPr>
        <w:t>3投标人资格的证明文件</w:t>
      </w:r>
    </w:p>
    <w:p w14:paraId="18DA8E87">
      <w:pPr>
        <w:spacing w:line="360" w:lineRule="exact"/>
        <w:ind w:left="567"/>
        <w:rPr>
          <w:rFonts w:ascii="宋体" w:hAnsi="宋体"/>
          <w:sz w:val="24"/>
        </w:rPr>
      </w:pPr>
      <w:r>
        <w:rPr>
          <w:rFonts w:hint="eastAsia" w:ascii="宋体" w:hAnsi="宋体"/>
          <w:sz w:val="24"/>
        </w:rPr>
        <w:t>投标人应填写并提交招标文件上所附的“资格证明文件”。</w:t>
      </w:r>
    </w:p>
    <w:p w14:paraId="7710C174">
      <w:pPr>
        <w:widowControl/>
        <w:spacing w:line="320" w:lineRule="atLeast"/>
        <w:ind w:firstLine="480"/>
        <w:rPr>
          <w:rFonts w:ascii="宋体" w:hAnsi="宋体"/>
          <w:kern w:val="0"/>
          <w:sz w:val="24"/>
        </w:rPr>
      </w:pPr>
      <w:r>
        <w:rPr>
          <w:rFonts w:ascii="宋体" w:hAnsi="宋体"/>
          <w:kern w:val="0"/>
          <w:sz w:val="24"/>
        </w:rPr>
        <w:t>1</w:t>
      </w:r>
      <w:r>
        <w:rPr>
          <w:rFonts w:hint="eastAsia" w:ascii="宋体" w:hAnsi="宋体"/>
          <w:kern w:val="0"/>
          <w:sz w:val="24"/>
        </w:rPr>
        <w:t>4投标有效期</w:t>
      </w:r>
    </w:p>
    <w:p w14:paraId="14598E3B">
      <w:pPr>
        <w:widowControl/>
        <w:spacing w:line="320" w:lineRule="atLeast"/>
        <w:ind w:firstLine="480"/>
        <w:rPr>
          <w:rFonts w:ascii="宋体" w:hAnsi="宋体"/>
          <w:kern w:val="0"/>
          <w:sz w:val="24"/>
        </w:rPr>
      </w:pPr>
      <w:r>
        <w:rPr>
          <w:rFonts w:hint="eastAsia" w:ascii="宋体" w:hAnsi="宋体"/>
          <w:kern w:val="0"/>
          <w:sz w:val="24"/>
        </w:rPr>
        <w:t>14</w:t>
      </w:r>
      <w:r>
        <w:rPr>
          <w:rFonts w:ascii="宋体" w:hAnsi="宋体"/>
          <w:kern w:val="0"/>
          <w:sz w:val="24"/>
        </w:rPr>
        <w:t>.1</w:t>
      </w:r>
      <w:r>
        <w:rPr>
          <w:rFonts w:hint="eastAsia" w:ascii="宋体" w:hAnsi="宋体"/>
          <w:kern w:val="0"/>
          <w:sz w:val="24"/>
        </w:rPr>
        <w:t>“投标文件”从开标之日起，投标有效期为90天。</w:t>
      </w:r>
    </w:p>
    <w:p w14:paraId="55ABB312">
      <w:pPr>
        <w:widowControl/>
        <w:spacing w:line="320" w:lineRule="atLeast"/>
        <w:ind w:firstLine="480"/>
        <w:rPr>
          <w:rFonts w:ascii="宋体" w:hAnsi="宋体"/>
          <w:sz w:val="24"/>
        </w:rPr>
      </w:pPr>
      <w:r>
        <w:rPr>
          <w:rFonts w:hint="eastAsia" w:ascii="宋体" w:hAnsi="宋体"/>
          <w:kern w:val="0"/>
          <w:sz w:val="24"/>
        </w:rPr>
        <w:t>14.2特殊情况下，采购代理机构可于投标有效期期满之前</w:t>
      </w:r>
      <w:r>
        <w:rPr>
          <w:rFonts w:hint="eastAsia" w:ascii="宋体" w:hAnsi="宋体"/>
          <w:sz w:val="24"/>
        </w:rPr>
        <w:t>，要求投标人同意延长投标有效期。投标人可以拒绝或同意上述要求，但要求与答复均须是书面文件。对于同意该要求的投标人，招标人既不要求也不允许其修改“投标文件”。</w:t>
      </w:r>
    </w:p>
    <w:p w14:paraId="11703CF5">
      <w:pPr>
        <w:spacing w:line="360" w:lineRule="exact"/>
        <w:ind w:firstLine="480" w:firstLineChars="200"/>
        <w:rPr>
          <w:rFonts w:ascii="宋体" w:hAnsi="宋体"/>
          <w:sz w:val="24"/>
        </w:rPr>
      </w:pPr>
      <w:r>
        <w:rPr>
          <w:rFonts w:ascii="宋体" w:hAnsi="宋体"/>
          <w:sz w:val="24"/>
        </w:rPr>
        <w:t>1</w:t>
      </w:r>
      <w:r>
        <w:rPr>
          <w:rFonts w:hint="eastAsia" w:ascii="宋体" w:hAnsi="宋体"/>
          <w:sz w:val="24"/>
        </w:rPr>
        <w:t>5“投标文件”的签署及修改</w:t>
      </w:r>
    </w:p>
    <w:p w14:paraId="6030239B">
      <w:pPr>
        <w:spacing w:line="360" w:lineRule="exact"/>
        <w:ind w:firstLine="480"/>
        <w:rPr>
          <w:rFonts w:ascii="宋体" w:hAnsi="宋体"/>
          <w:sz w:val="24"/>
        </w:rPr>
      </w:pPr>
      <w:r>
        <w:rPr>
          <w:rFonts w:hint="eastAsia" w:ascii="宋体" w:hAnsi="宋体"/>
          <w:sz w:val="24"/>
        </w:rPr>
        <w:t>15.1投标方应在每一份“投标文件”上要明确注明“正本”或“副本”字样。一旦正本和副本有差异，以正本为准；如果“开标一览表”内容与投标文件中“规格响应表”内容不一致的，以“开标一览表”为准；如果制造厂（商）提供的“产品图片资料”或“产品说明书”内容与投标文件中“规格响应表”内容不一致的，以制造厂（商）提供的“产品图片资料”或“产品说明书”为准。</w:t>
      </w:r>
    </w:p>
    <w:p w14:paraId="29D855E0">
      <w:pPr>
        <w:spacing w:line="360" w:lineRule="exact"/>
        <w:ind w:firstLine="480"/>
        <w:rPr>
          <w:rFonts w:ascii="宋体" w:hAnsi="宋体"/>
          <w:sz w:val="24"/>
        </w:rPr>
      </w:pPr>
      <w:r>
        <w:rPr>
          <w:rFonts w:hint="eastAsia" w:ascii="宋体" w:hAnsi="宋体"/>
          <w:sz w:val="24"/>
        </w:rPr>
        <w:t>15.2</w:t>
      </w:r>
      <w:r>
        <w:rPr>
          <w:rFonts w:hint="eastAsia" w:ascii="宋体" w:hAnsi="宋体"/>
          <w:bCs/>
          <w:snapToGrid w:val="0"/>
          <w:kern w:val="0"/>
          <w:sz w:val="24"/>
        </w:rPr>
        <w:t>招标文件中已明示需要盖章签名处，投标文件均须由投标人法定代表人或其授权代表签名和盖章；</w:t>
      </w:r>
      <w:r>
        <w:rPr>
          <w:rFonts w:hint="eastAsia" w:ascii="宋体" w:hAnsi="宋体"/>
          <w:snapToGrid w:val="0"/>
          <w:kern w:val="0"/>
          <w:sz w:val="24"/>
        </w:rPr>
        <w:t>投标文件的任何行间插字、涂改和增删，必须有投标文件签字人在旁边签名才生效，其修改必须清晰。</w:t>
      </w:r>
    </w:p>
    <w:p w14:paraId="1219E1BB">
      <w:pPr>
        <w:spacing w:line="360" w:lineRule="exact"/>
        <w:rPr>
          <w:rFonts w:ascii="宋体" w:hAnsi="宋体"/>
          <w:sz w:val="24"/>
        </w:rPr>
      </w:pPr>
      <w:r>
        <w:rPr>
          <w:rFonts w:ascii="宋体" w:hAnsi="宋体"/>
          <w:sz w:val="24"/>
        </w:rPr>
        <w:t xml:space="preserve"> 1</w:t>
      </w:r>
      <w:r>
        <w:rPr>
          <w:rFonts w:hint="eastAsia" w:ascii="宋体" w:hAnsi="宋体"/>
          <w:sz w:val="24"/>
        </w:rPr>
        <w:t>5</w:t>
      </w:r>
      <w:r>
        <w:rPr>
          <w:rFonts w:ascii="宋体" w:hAnsi="宋体"/>
          <w:sz w:val="24"/>
        </w:rPr>
        <w:t>.</w:t>
      </w:r>
      <w:r>
        <w:rPr>
          <w:rFonts w:hint="eastAsia" w:ascii="宋体" w:hAnsi="宋体"/>
          <w:sz w:val="24"/>
        </w:rPr>
        <w:t>3电报、电话、传真形式的投标概不接受。</w:t>
      </w:r>
    </w:p>
    <w:p w14:paraId="5F87E625">
      <w:pPr>
        <w:pStyle w:val="3"/>
      </w:pPr>
      <w:bookmarkStart w:id="43" w:name="_Toc24619"/>
      <w:r>
        <w:rPr>
          <w:rFonts w:hint="eastAsia"/>
        </w:rPr>
        <w:t>4、投标文件的递交</w:t>
      </w:r>
      <w:bookmarkEnd w:id="43"/>
    </w:p>
    <w:p w14:paraId="1A71717F">
      <w:pPr>
        <w:spacing w:line="360" w:lineRule="exact"/>
        <w:ind w:firstLine="480" w:firstLineChars="200"/>
        <w:rPr>
          <w:rFonts w:ascii="宋体" w:hAnsi="宋体"/>
          <w:sz w:val="24"/>
        </w:rPr>
      </w:pPr>
      <w:r>
        <w:rPr>
          <w:rFonts w:ascii="宋体" w:hAnsi="宋体"/>
          <w:sz w:val="24"/>
        </w:rPr>
        <w:t>1</w:t>
      </w:r>
      <w:r>
        <w:rPr>
          <w:rFonts w:hint="eastAsia" w:ascii="宋体" w:hAnsi="宋体"/>
          <w:sz w:val="24"/>
        </w:rPr>
        <w:t>7“投标文件”的标记（不作为实质性要求）</w:t>
      </w:r>
    </w:p>
    <w:p w14:paraId="53248E62">
      <w:pPr>
        <w:spacing w:line="360" w:lineRule="exact"/>
        <w:rPr>
          <w:rFonts w:ascii="宋体" w:hAnsi="宋体"/>
          <w:sz w:val="24"/>
        </w:rPr>
      </w:pPr>
      <w:r>
        <w:rPr>
          <w:rFonts w:hint="eastAsia" w:ascii="宋体" w:hAnsi="宋体"/>
          <w:sz w:val="24"/>
        </w:rPr>
        <w:t xml:space="preserve">    不能按“招标文件”提出的要求制作的标书，被视为不完整的投标书，势必影响评标工作进行，</w:t>
      </w:r>
      <w:r>
        <w:rPr>
          <w:rFonts w:hint="eastAsia" w:ascii="宋体" w:hAnsi="宋体"/>
          <w:bCs/>
          <w:sz w:val="24"/>
        </w:rPr>
        <w:t>是投标人潜在的风险</w:t>
      </w:r>
      <w:r>
        <w:rPr>
          <w:rFonts w:hint="eastAsia" w:ascii="宋体" w:hAnsi="宋体"/>
          <w:sz w:val="24"/>
        </w:rPr>
        <w:t>。</w:t>
      </w:r>
    </w:p>
    <w:p w14:paraId="6C86DA9F">
      <w:pPr>
        <w:spacing w:line="360" w:lineRule="exact"/>
        <w:ind w:firstLine="480" w:firstLineChars="200"/>
        <w:rPr>
          <w:rFonts w:ascii="宋体" w:hAnsi="宋体"/>
          <w:sz w:val="24"/>
        </w:rPr>
      </w:pPr>
      <w:r>
        <w:rPr>
          <w:rFonts w:ascii="宋体" w:hAnsi="宋体"/>
          <w:sz w:val="24"/>
        </w:rPr>
        <w:t>1</w:t>
      </w:r>
      <w:r>
        <w:rPr>
          <w:rFonts w:hint="eastAsia" w:ascii="宋体" w:hAnsi="宋体"/>
          <w:sz w:val="24"/>
        </w:rPr>
        <w:t>8“投标文件”的时间以及截止时间</w:t>
      </w:r>
    </w:p>
    <w:p w14:paraId="5ADC1A5B">
      <w:pPr>
        <w:spacing w:line="360" w:lineRule="exact"/>
        <w:ind w:firstLine="468"/>
        <w:rPr>
          <w:rFonts w:ascii="宋体" w:hAnsi="宋体"/>
          <w:sz w:val="24"/>
        </w:rPr>
      </w:pPr>
      <w:r>
        <w:rPr>
          <w:rFonts w:hint="eastAsia" w:ascii="宋体" w:hAnsi="宋体"/>
          <w:sz w:val="24"/>
        </w:rPr>
        <w:t>18.1所有“投标文件”都必须按采购代理机构在“投标邀请函”中规定的投标截止时间之前送达指定地点。</w:t>
      </w:r>
    </w:p>
    <w:p w14:paraId="64F567A3">
      <w:pPr>
        <w:spacing w:line="360" w:lineRule="exact"/>
        <w:ind w:firstLine="468"/>
        <w:rPr>
          <w:rFonts w:ascii="宋体" w:hAnsi="宋体"/>
          <w:sz w:val="24"/>
        </w:rPr>
      </w:pPr>
      <w:r>
        <w:rPr>
          <w:rFonts w:hint="eastAsia" w:ascii="宋体" w:hAnsi="宋体"/>
          <w:sz w:val="24"/>
        </w:rPr>
        <w:t>18.2投标人在投标截止时间前，可以对所递交的投标文件进行补充、修改或者撤回，并书面通知采购人或者采购代理机构。补充、修改的内容应当按照招标文件要求签署、盖章、密封后，作为投标文件的组成部分。</w:t>
      </w:r>
    </w:p>
    <w:p w14:paraId="2FF89DA2">
      <w:pPr>
        <w:spacing w:line="360" w:lineRule="exact"/>
        <w:ind w:firstLine="468"/>
        <w:rPr>
          <w:rFonts w:ascii="宋体" w:hAnsi="宋体"/>
          <w:sz w:val="24"/>
        </w:rPr>
      </w:pPr>
      <w:r>
        <w:rPr>
          <w:rFonts w:ascii="宋体" w:hAnsi="宋体"/>
          <w:sz w:val="24"/>
        </w:rPr>
        <w:t>1</w:t>
      </w:r>
      <w:r>
        <w:rPr>
          <w:rFonts w:hint="eastAsia" w:ascii="宋体" w:hAnsi="宋体"/>
          <w:sz w:val="24"/>
        </w:rPr>
        <w:t>9迟交的“投标文件”</w:t>
      </w:r>
    </w:p>
    <w:p w14:paraId="5A50A74C">
      <w:pPr>
        <w:spacing w:line="360" w:lineRule="exact"/>
        <w:ind w:firstLine="468"/>
        <w:rPr>
          <w:rFonts w:ascii="宋体" w:hAnsi="宋体"/>
          <w:sz w:val="24"/>
        </w:rPr>
      </w:pPr>
      <w:r>
        <w:rPr>
          <w:rFonts w:hint="eastAsia" w:ascii="宋体" w:hAnsi="宋体"/>
          <w:sz w:val="24"/>
        </w:rPr>
        <w:t>19.1采购代理机构拒绝接收在投标截止时间后递交的“投标文件”。</w:t>
      </w:r>
    </w:p>
    <w:p w14:paraId="361986B4">
      <w:pPr>
        <w:spacing w:line="360" w:lineRule="exact"/>
        <w:ind w:firstLine="468"/>
        <w:rPr>
          <w:rFonts w:ascii="宋体" w:hAnsi="宋体"/>
          <w:sz w:val="24"/>
        </w:rPr>
      </w:pPr>
      <w:r>
        <w:rPr>
          <w:rFonts w:hint="eastAsia" w:ascii="宋体" w:hAnsi="宋体"/>
          <w:sz w:val="24"/>
        </w:rPr>
        <w:t>19.2投标截止后如投标人少于3名，本次招标将宣布失败。如需要采取其他方式采购，本招标文件可作为其他采购方式的依据，如不改变采购方式，采购代理机构将原封退回收到的任何投标文件，对受影响的投标人不承担任何责任。</w:t>
      </w:r>
    </w:p>
    <w:p w14:paraId="5DBA3C5C">
      <w:pPr>
        <w:pStyle w:val="3"/>
      </w:pPr>
      <w:bookmarkStart w:id="44" w:name="_Toc13032"/>
      <w:r>
        <w:rPr>
          <w:rFonts w:hint="eastAsia"/>
        </w:rPr>
        <w:t>5、开标和评标</w:t>
      </w:r>
      <w:bookmarkEnd w:id="44"/>
    </w:p>
    <w:p w14:paraId="64E392F6">
      <w:pPr>
        <w:spacing w:line="360" w:lineRule="exact"/>
        <w:ind w:firstLine="480" w:firstLineChars="200"/>
        <w:rPr>
          <w:rFonts w:ascii="宋体" w:hAnsi="宋体"/>
          <w:sz w:val="24"/>
        </w:rPr>
      </w:pPr>
      <w:r>
        <w:rPr>
          <w:rFonts w:hint="eastAsia" w:ascii="宋体" w:hAnsi="宋体"/>
          <w:sz w:val="24"/>
        </w:rPr>
        <w:t>20开标</w:t>
      </w:r>
    </w:p>
    <w:p w14:paraId="4078A6C1">
      <w:pPr>
        <w:spacing w:line="360" w:lineRule="exact"/>
        <w:ind w:firstLine="465"/>
        <w:rPr>
          <w:rFonts w:ascii="宋体" w:hAnsi="宋体"/>
          <w:sz w:val="24"/>
        </w:rPr>
      </w:pPr>
      <w:r>
        <w:rPr>
          <w:rFonts w:hint="eastAsia" w:ascii="宋体" w:hAnsi="宋体"/>
          <w:sz w:val="24"/>
        </w:rPr>
        <w:t>20.1采购代理机构在“招标公告”或“投标邀请函”规定的时间和地点公开开标。</w:t>
      </w:r>
    </w:p>
    <w:p w14:paraId="007A94A2">
      <w:pPr>
        <w:spacing w:line="360" w:lineRule="exact"/>
        <w:ind w:firstLine="465"/>
        <w:rPr>
          <w:rFonts w:ascii="宋体" w:hAnsi="宋体"/>
          <w:sz w:val="24"/>
        </w:rPr>
      </w:pPr>
      <w:r>
        <w:rPr>
          <w:rFonts w:hint="eastAsia" w:ascii="宋体" w:hAnsi="宋体"/>
          <w:sz w:val="24"/>
        </w:rPr>
        <w:t>20.2投标截止后投标人不足3家或者通过资格审查或符合性审查的投标人不足3家的，本项目作废标处理</w:t>
      </w:r>
      <w:r>
        <w:rPr>
          <w:rFonts w:ascii="宋体" w:hAnsi="宋体"/>
          <w:sz w:val="24"/>
        </w:rPr>
        <w:t>。</w:t>
      </w:r>
    </w:p>
    <w:p w14:paraId="3519DB86">
      <w:pPr>
        <w:spacing w:line="360" w:lineRule="exact"/>
        <w:ind w:firstLine="465"/>
        <w:rPr>
          <w:rFonts w:ascii="宋体" w:hAnsi="宋体"/>
          <w:sz w:val="24"/>
        </w:rPr>
      </w:pPr>
      <w:r>
        <w:rPr>
          <w:rFonts w:ascii="宋体" w:hAnsi="宋体"/>
          <w:sz w:val="24"/>
        </w:rPr>
        <w:t>开标过程应当由采购人或者采购代理机构负责记录，由参加开标的各投标人代表和相关工作人员签字确认后随采购文件一并存档。</w:t>
      </w:r>
    </w:p>
    <w:p w14:paraId="7D45A6F2">
      <w:pPr>
        <w:spacing w:line="360" w:lineRule="exact"/>
        <w:rPr>
          <w:rFonts w:ascii="宋体" w:hAnsi="宋体"/>
          <w:sz w:val="24"/>
        </w:rPr>
      </w:pPr>
      <w:r>
        <w:rPr>
          <w:rFonts w:ascii="宋体" w:hAnsi="宋体"/>
          <w:sz w:val="24"/>
        </w:rPr>
        <w:t>　　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691761DE">
      <w:pPr>
        <w:spacing w:line="360" w:lineRule="exact"/>
        <w:ind w:firstLine="480" w:firstLineChars="200"/>
        <w:rPr>
          <w:rFonts w:ascii="宋体" w:hAnsi="宋体"/>
          <w:sz w:val="24"/>
        </w:rPr>
      </w:pPr>
      <w:r>
        <w:rPr>
          <w:rFonts w:ascii="宋体" w:hAnsi="宋体"/>
          <w:sz w:val="24"/>
        </w:rPr>
        <w:t>2</w:t>
      </w:r>
      <w:r>
        <w:rPr>
          <w:rFonts w:hint="eastAsia" w:ascii="宋体" w:hAnsi="宋体"/>
          <w:sz w:val="24"/>
        </w:rPr>
        <w:t>1、评标委员会</w:t>
      </w:r>
    </w:p>
    <w:p w14:paraId="3B582AAC">
      <w:pPr>
        <w:spacing w:line="360" w:lineRule="exact"/>
        <w:ind w:firstLine="480" w:firstLineChars="200"/>
        <w:rPr>
          <w:rFonts w:ascii="宋体" w:hAnsi="宋体"/>
          <w:sz w:val="24"/>
        </w:rPr>
      </w:pPr>
      <w:r>
        <w:rPr>
          <w:rFonts w:hint="eastAsia" w:ascii="宋体" w:hAnsi="宋体"/>
          <w:sz w:val="24"/>
        </w:rPr>
        <w:t>21.1评标委员会是依据《中华人民共和国政府采购法》并结合招标采购货物的特点，组建的专门负责本次招标评标工作的临时性机构，其成员由评审专家组成，成员人数应当为5人以上单数。该委员会独立工作，负责评审所有投标文件并推荐中标候选人。评标委员会对“投标文件”进行审查、质疑、评估和比较。</w:t>
      </w:r>
    </w:p>
    <w:p w14:paraId="21AE11A8">
      <w:pPr>
        <w:spacing w:line="360" w:lineRule="exact"/>
        <w:ind w:firstLine="480" w:firstLineChars="200"/>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评标期间，投标人应由法人代表或授权委托人应答必须的询标。</w:t>
      </w:r>
    </w:p>
    <w:p w14:paraId="767BFE39">
      <w:pPr>
        <w:spacing w:line="360" w:lineRule="exact"/>
        <w:ind w:firstLine="480" w:firstLineChars="200"/>
        <w:rPr>
          <w:rFonts w:ascii="宋体" w:hAnsi="宋体"/>
          <w:sz w:val="24"/>
        </w:rPr>
      </w:pPr>
      <w:r>
        <w:rPr>
          <w:rFonts w:ascii="宋体" w:hAnsi="宋体"/>
          <w:sz w:val="24"/>
        </w:rPr>
        <w:t>2</w:t>
      </w:r>
      <w:r>
        <w:rPr>
          <w:rFonts w:hint="eastAsia" w:ascii="宋体" w:hAnsi="宋体"/>
          <w:sz w:val="24"/>
        </w:rPr>
        <w:t>2对“投标文件”的审查和响应性的确定</w:t>
      </w:r>
    </w:p>
    <w:p w14:paraId="5F1F50D7">
      <w:pPr>
        <w:spacing w:line="360" w:lineRule="exact"/>
        <w:ind w:firstLine="480" w:firstLineChars="200"/>
        <w:rPr>
          <w:rFonts w:ascii="宋体" w:hAnsi="宋体"/>
          <w:sz w:val="24"/>
        </w:rPr>
      </w:pPr>
      <w:r>
        <w:rPr>
          <w:rFonts w:hint="eastAsia" w:ascii="宋体" w:hAnsi="宋体"/>
          <w:sz w:val="24"/>
        </w:rPr>
        <w:t>22.1开标后，采购代理机构将组织审查“投标文件”是否完整；是否有计算错误；文件是否恰当地签署。</w:t>
      </w:r>
      <w:r>
        <w:rPr>
          <w:rFonts w:ascii="宋体" w:hAnsi="宋体"/>
          <w:sz w:val="24"/>
        </w:rPr>
        <w:t>投标文件报价出现前后不一致的，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w:t>
      </w:r>
    </w:p>
    <w:p w14:paraId="3762C7ED">
      <w:pPr>
        <w:spacing w:line="360" w:lineRule="exact"/>
        <w:ind w:firstLine="480" w:firstLineChars="200"/>
        <w:rPr>
          <w:rFonts w:ascii="宋体" w:hAnsi="宋体"/>
          <w:sz w:val="24"/>
        </w:rPr>
      </w:pPr>
      <w:r>
        <w:rPr>
          <w:rFonts w:hint="eastAsia" w:ascii="宋体" w:hAnsi="宋体"/>
          <w:sz w:val="24"/>
        </w:rPr>
        <w:t>22.2在对“投标文件”进行详细评估之前，评标委员会将依据招标文件规定对投标人进行符合性审查，没有通过审查的，其投标将被拒绝。</w:t>
      </w:r>
    </w:p>
    <w:p w14:paraId="11C07466">
      <w:pPr>
        <w:spacing w:line="360" w:lineRule="exact"/>
        <w:ind w:firstLine="480" w:firstLineChars="200"/>
        <w:rPr>
          <w:rFonts w:ascii="宋体" w:hAnsi="宋体"/>
          <w:sz w:val="24"/>
        </w:rPr>
      </w:pPr>
      <w:r>
        <w:rPr>
          <w:rFonts w:hint="eastAsia" w:ascii="宋体" w:hAnsi="宋体"/>
          <w:sz w:val="24"/>
        </w:rPr>
        <w:t>22.3在评标过程中，评标委员会将确定每份投标是否对“招标文件”的实质性要求，做出了实质性的响应。实质性响应的投标是指符合“招标文件”的实质性条款、条件和规定。评标委员会判断“投标文件”的响应性，仅基于“投标文件”本身而不靠外部证据。</w:t>
      </w:r>
    </w:p>
    <w:p w14:paraId="201ED29F">
      <w:pPr>
        <w:spacing w:line="360" w:lineRule="exact"/>
        <w:ind w:firstLine="480" w:firstLineChars="200"/>
        <w:rPr>
          <w:rFonts w:ascii="宋体" w:hAnsi="宋体"/>
          <w:sz w:val="24"/>
        </w:rPr>
      </w:pPr>
      <w:r>
        <w:rPr>
          <w:rFonts w:hint="eastAsia" w:ascii="宋体" w:hAnsi="宋体"/>
          <w:sz w:val="24"/>
        </w:rPr>
        <w:t>22.3.1实质性偏离是指投标文件未能响应招标文件的要求。以下情况属于实质性偏离：</w:t>
      </w:r>
    </w:p>
    <w:p w14:paraId="3FB2198D">
      <w:pPr>
        <w:spacing w:line="360" w:lineRule="exact"/>
        <w:ind w:firstLine="480" w:firstLineChars="200"/>
        <w:rPr>
          <w:rFonts w:ascii="宋体" w:hAnsi="宋体"/>
          <w:sz w:val="24"/>
        </w:rPr>
      </w:pPr>
      <w:r>
        <w:rPr>
          <w:rFonts w:hint="eastAsia" w:ascii="宋体" w:hAnsi="宋体"/>
          <w:sz w:val="24"/>
        </w:rPr>
        <w:t>（1）投标文件载明的招标项目完成期限超过了招标文件规定的期限；</w:t>
      </w:r>
    </w:p>
    <w:p w14:paraId="54AF0C94">
      <w:pPr>
        <w:spacing w:line="360" w:lineRule="exact"/>
        <w:ind w:firstLine="480"/>
        <w:rPr>
          <w:rFonts w:ascii="宋体" w:hAnsi="宋体"/>
          <w:sz w:val="24"/>
        </w:rPr>
      </w:pPr>
      <w:r>
        <w:rPr>
          <w:rFonts w:hint="eastAsia" w:ascii="宋体" w:hAnsi="宋体"/>
          <w:sz w:val="24"/>
        </w:rPr>
        <w:t>（2）投标人的投标报价超过了采购人的预算控制价；</w:t>
      </w:r>
    </w:p>
    <w:p w14:paraId="417D9DE0">
      <w:pPr>
        <w:spacing w:line="360" w:lineRule="exact"/>
        <w:ind w:firstLine="480"/>
        <w:rPr>
          <w:rFonts w:ascii="宋体" w:hAnsi="宋体"/>
          <w:sz w:val="24"/>
        </w:rPr>
      </w:pPr>
      <w:r>
        <w:rPr>
          <w:rFonts w:hint="eastAsia" w:ascii="宋体" w:hAnsi="宋体"/>
          <w:sz w:val="24"/>
        </w:rPr>
        <w:t>（3）投标文件中附有采购人不能接受的条件。</w:t>
      </w:r>
    </w:p>
    <w:p w14:paraId="59531805">
      <w:pPr>
        <w:spacing w:line="360" w:lineRule="exact"/>
        <w:ind w:firstLine="480"/>
        <w:rPr>
          <w:rFonts w:ascii="宋体" w:hAnsi="宋体"/>
          <w:sz w:val="24"/>
        </w:rPr>
      </w:pPr>
      <w:r>
        <w:rPr>
          <w:rFonts w:hint="eastAsia" w:ascii="宋体" w:hAnsi="宋体"/>
          <w:sz w:val="24"/>
        </w:rPr>
        <w:t>投标文件有上述情形之一的，在评标时视为：对招标文件要求有实质性偏离处理。</w:t>
      </w:r>
    </w:p>
    <w:p w14:paraId="2961135A">
      <w:pPr>
        <w:spacing w:line="360" w:lineRule="exact"/>
        <w:ind w:firstLine="480"/>
        <w:rPr>
          <w:rFonts w:ascii="宋体" w:hAnsi="宋体"/>
          <w:sz w:val="24"/>
        </w:rPr>
      </w:pPr>
      <w:r>
        <w:rPr>
          <w:rFonts w:hint="eastAsia" w:ascii="宋体" w:hAnsi="宋体"/>
          <w:sz w:val="24"/>
        </w:rPr>
        <w:t>投标人不能通过修正或撤销不符之处，而使其投标成为实质性响应的投标。</w:t>
      </w:r>
    </w:p>
    <w:p w14:paraId="34B2087A">
      <w:pPr>
        <w:spacing w:line="360" w:lineRule="exact"/>
        <w:ind w:firstLine="480"/>
        <w:rPr>
          <w:rFonts w:ascii="宋体" w:hAnsi="宋体"/>
          <w:sz w:val="24"/>
        </w:rPr>
      </w:pPr>
      <w:r>
        <w:rPr>
          <w:rFonts w:hint="eastAsia" w:ascii="宋体" w:hAnsi="宋体"/>
          <w:sz w:val="24"/>
        </w:rPr>
        <w:t>22.3.2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8484D66">
      <w:pPr>
        <w:spacing w:line="360" w:lineRule="exact"/>
        <w:ind w:firstLine="480"/>
        <w:rPr>
          <w:rFonts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D48A5A">
      <w:pPr>
        <w:spacing w:line="360" w:lineRule="exact"/>
        <w:ind w:firstLine="480"/>
        <w:rPr>
          <w:rFonts w:ascii="宋体" w:hAnsi="宋体"/>
          <w:sz w:val="24"/>
        </w:rPr>
      </w:pPr>
      <w:r>
        <w:rPr>
          <w:rFonts w:hint="eastAsia" w:ascii="宋体" w:hAnsi="宋体"/>
          <w:sz w:val="24"/>
        </w:rPr>
        <w:t>非单一产品采购项目，采购人应当根据采购项目技术构成、产品价格比重等合理确定核心产品，并在招标文件中载明。多家投标人提供的核心产品品牌相同的，按前两款规定处理。核心</w:t>
      </w:r>
      <w:r>
        <w:rPr>
          <w:rFonts w:ascii="宋体" w:hAnsi="宋体"/>
          <w:sz w:val="24"/>
        </w:rPr>
        <w:t>产品详见</w:t>
      </w:r>
      <w:r>
        <w:rPr>
          <w:rFonts w:hint="eastAsia" w:ascii="宋体" w:hAnsi="宋体"/>
          <w:sz w:val="24"/>
        </w:rPr>
        <w:t>“采购需求”。</w:t>
      </w:r>
    </w:p>
    <w:p w14:paraId="0D6F48C0">
      <w:pPr>
        <w:spacing w:line="360" w:lineRule="exact"/>
        <w:ind w:firstLine="480"/>
        <w:rPr>
          <w:rFonts w:ascii="宋体" w:hAnsi="宋体"/>
          <w:sz w:val="24"/>
        </w:rPr>
      </w:pPr>
      <w:r>
        <w:rPr>
          <w:rFonts w:hint="eastAsia" w:ascii="宋体" w:hAnsi="宋体"/>
          <w:sz w:val="24"/>
        </w:rPr>
        <w:t>22.3.3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58CCAD30">
      <w:pPr>
        <w:spacing w:line="360" w:lineRule="exact"/>
        <w:ind w:firstLine="480"/>
        <w:rPr>
          <w:rFonts w:ascii="宋体" w:hAnsi="宋体"/>
          <w:sz w:val="24"/>
        </w:rPr>
      </w:pPr>
      <w:r>
        <w:rPr>
          <w:rFonts w:hint="eastAsia" w:ascii="宋体" w:hAnsi="宋体"/>
          <w:sz w:val="24"/>
        </w:rPr>
        <w:t>（1）文字表述的内容含义不明确；</w:t>
      </w:r>
    </w:p>
    <w:p w14:paraId="3F9124FC">
      <w:pPr>
        <w:spacing w:line="360" w:lineRule="exact"/>
        <w:ind w:firstLine="480"/>
        <w:rPr>
          <w:rFonts w:ascii="宋体" w:hAnsi="宋体"/>
          <w:sz w:val="24"/>
        </w:rPr>
      </w:pPr>
      <w:r>
        <w:rPr>
          <w:rFonts w:hint="eastAsia" w:ascii="宋体" w:hAnsi="宋体"/>
          <w:sz w:val="24"/>
        </w:rPr>
        <w:t>（2）同类问题表述不一致；</w:t>
      </w:r>
    </w:p>
    <w:p w14:paraId="4BE8FA1E">
      <w:pPr>
        <w:spacing w:line="360" w:lineRule="exact"/>
        <w:ind w:firstLine="480"/>
        <w:rPr>
          <w:rFonts w:ascii="宋体" w:hAnsi="宋体"/>
          <w:sz w:val="24"/>
        </w:rPr>
      </w:pPr>
      <w:r>
        <w:rPr>
          <w:rFonts w:hint="eastAsia" w:ascii="宋体" w:hAnsi="宋体"/>
          <w:sz w:val="24"/>
        </w:rPr>
        <w:t>（3）有明显文字和计算错误；</w:t>
      </w:r>
    </w:p>
    <w:p w14:paraId="4C145B6F">
      <w:pPr>
        <w:spacing w:line="360" w:lineRule="exact"/>
        <w:ind w:firstLine="480"/>
        <w:rPr>
          <w:rFonts w:ascii="宋体" w:hAnsi="宋体"/>
          <w:sz w:val="24"/>
        </w:rPr>
      </w:pPr>
      <w:r>
        <w:rPr>
          <w:rFonts w:hint="eastAsia" w:ascii="宋体" w:hAnsi="宋体"/>
          <w:sz w:val="24"/>
        </w:rPr>
        <w:t>（4）提供的技术信息和数据资料不完整；</w:t>
      </w:r>
    </w:p>
    <w:p w14:paraId="3D83F269">
      <w:pPr>
        <w:spacing w:line="360" w:lineRule="exact"/>
        <w:ind w:firstLine="480"/>
        <w:rPr>
          <w:rFonts w:ascii="宋体" w:hAnsi="宋体"/>
          <w:sz w:val="24"/>
        </w:rPr>
      </w:pPr>
      <w:r>
        <w:rPr>
          <w:rFonts w:hint="eastAsia" w:ascii="宋体" w:hAnsi="宋体"/>
          <w:sz w:val="24"/>
        </w:rPr>
        <w:t>（5）投标文件未按招标文件要求进行装订或未编制目录、页码；</w:t>
      </w:r>
    </w:p>
    <w:p w14:paraId="78730976">
      <w:pPr>
        <w:spacing w:line="360" w:lineRule="exact"/>
        <w:ind w:firstLine="480"/>
        <w:rPr>
          <w:rFonts w:ascii="宋体" w:hAnsi="宋体"/>
          <w:sz w:val="24"/>
        </w:rPr>
      </w:pPr>
      <w:r>
        <w:rPr>
          <w:rFonts w:hint="eastAsia" w:ascii="宋体" w:hAnsi="宋体"/>
          <w:sz w:val="24"/>
        </w:rPr>
        <w:t>（6）评标委员会认定的其他非实质性偏离。</w:t>
      </w:r>
    </w:p>
    <w:p w14:paraId="798E8AE0">
      <w:pPr>
        <w:spacing w:line="360" w:lineRule="exact"/>
        <w:ind w:firstLine="480"/>
        <w:rPr>
          <w:rFonts w:ascii="宋体" w:hAnsi="宋体"/>
          <w:sz w:val="24"/>
        </w:rPr>
      </w:pPr>
      <w:r>
        <w:rPr>
          <w:rFonts w:hint="eastAsia" w:ascii="宋体" w:hAnsi="宋体"/>
          <w:sz w:val="24"/>
        </w:rPr>
        <w:t>投标文件有上述（1）--（4）情形之一的，</w:t>
      </w:r>
      <w:r>
        <w:rPr>
          <w:rFonts w:ascii="宋体" w:hAnsi="宋体" w:cs="Arial"/>
          <w:kern w:val="0"/>
          <w:sz w:val="24"/>
        </w:rPr>
        <w:t>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sz w:val="24"/>
        </w:rPr>
        <w:t>澄清、说明、补正的内容也不能说明问题的，视为投标文件制作不规范。按每一项非实质性偏离进行扣分处理，直至该项分值扣完为止。评标委员会不接受投标人主动提出的澄清、说明或补正。</w:t>
      </w:r>
    </w:p>
    <w:p w14:paraId="35649FC4">
      <w:pPr>
        <w:spacing w:line="360" w:lineRule="exact"/>
        <w:ind w:firstLine="480"/>
        <w:rPr>
          <w:rFonts w:ascii="宋体" w:hAnsi="宋体"/>
          <w:sz w:val="24"/>
        </w:rPr>
      </w:pPr>
      <w:r>
        <w:rPr>
          <w:rFonts w:hint="eastAsia" w:ascii="宋体" w:hAnsi="宋体"/>
          <w:sz w:val="24"/>
        </w:rPr>
        <w:t>22.3.4 在投标文件初审过程中，如果出现评标委员会成员意见不一致的情况，按照少数服从多数的原则确定。</w:t>
      </w:r>
    </w:p>
    <w:p w14:paraId="4C9CEDF7">
      <w:pPr>
        <w:spacing w:line="360" w:lineRule="exact"/>
        <w:ind w:firstLine="480"/>
        <w:rPr>
          <w:rFonts w:ascii="宋体" w:hAnsi="宋体" w:cs="Arial"/>
          <w:kern w:val="0"/>
          <w:sz w:val="24"/>
        </w:rPr>
      </w:pPr>
      <w:r>
        <w:rPr>
          <w:rFonts w:hint="eastAsia" w:ascii="宋体" w:hAnsi="宋体" w:cs="Arial"/>
          <w:kern w:val="0"/>
          <w:sz w:val="24"/>
        </w:rPr>
        <w:t>2</w:t>
      </w:r>
      <w:r>
        <w:rPr>
          <w:rFonts w:ascii="宋体" w:hAnsi="宋体" w:cs="Arial"/>
          <w:kern w:val="0"/>
          <w:sz w:val="24"/>
        </w:rPr>
        <w:t>2.</w:t>
      </w:r>
      <w:r>
        <w:rPr>
          <w:rFonts w:hint="eastAsia" w:ascii="宋体" w:hAnsi="宋体" w:cs="Arial"/>
          <w:kern w:val="0"/>
          <w:sz w:val="24"/>
        </w:rPr>
        <w:t>4如投标人提交的投标文件为虚假材料的，按无效标处理。</w:t>
      </w:r>
    </w:p>
    <w:p w14:paraId="5A797D54">
      <w:pPr>
        <w:spacing w:line="360" w:lineRule="exact"/>
        <w:ind w:firstLine="480" w:firstLineChars="200"/>
        <w:rPr>
          <w:rFonts w:ascii="宋体" w:hAnsi="宋体"/>
          <w:sz w:val="24"/>
        </w:rPr>
      </w:pPr>
      <w:r>
        <w:rPr>
          <w:rFonts w:ascii="宋体" w:hAnsi="宋体"/>
          <w:sz w:val="24"/>
        </w:rPr>
        <w:t>2</w:t>
      </w:r>
      <w:r>
        <w:rPr>
          <w:rFonts w:hint="eastAsia" w:ascii="宋体" w:hAnsi="宋体"/>
          <w:sz w:val="24"/>
        </w:rPr>
        <w:t>3投标文件的澄清</w:t>
      </w:r>
    </w:p>
    <w:p w14:paraId="2F8CAB5A">
      <w:pPr>
        <w:spacing w:line="360" w:lineRule="exact"/>
        <w:ind w:firstLine="480" w:firstLineChars="200"/>
        <w:rPr>
          <w:rFonts w:ascii="宋体" w:hAnsi="宋体"/>
          <w:sz w:val="24"/>
        </w:rPr>
      </w:pPr>
      <w:r>
        <w:rPr>
          <w:rFonts w:hint="eastAsia" w:ascii="宋体" w:hAnsi="宋体"/>
          <w:sz w:val="24"/>
        </w:rPr>
        <w:t>23.1为了有助于对“投标文件”进行审查、评估和比较，评标委员会有权向投标人提出质疑，并请投标人澄清其投标内容。投标人有责任，按照采购代理机构通知的时间、地点，指派专人进行答疑和澄清。</w:t>
      </w:r>
    </w:p>
    <w:p w14:paraId="0C654F36">
      <w:pPr>
        <w:ind w:firstLine="480" w:firstLineChars="200"/>
        <w:rPr>
          <w:rFonts w:ascii="宋体" w:hAnsi="宋体"/>
          <w:sz w:val="24"/>
        </w:rPr>
      </w:pPr>
      <w:r>
        <w:rPr>
          <w:rFonts w:hint="eastAsia" w:ascii="宋体" w:hAnsi="宋体"/>
          <w:sz w:val="24"/>
        </w:rPr>
        <w:t>23.2重要的澄清答复应是书面的，但不得对投标内容进行实质性修改。</w:t>
      </w:r>
    </w:p>
    <w:p w14:paraId="394E3A64">
      <w:pPr>
        <w:pStyle w:val="3"/>
      </w:pPr>
      <w:bookmarkStart w:id="45" w:name="_Toc15221"/>
      <w:r>
        <w:rPr>
          <w:rFonts w:hint="eastAsia"/>
        </w:rPr>
        <w:t>6、授予合同</w:t>
      </w:r>
      <w:bookmarkEnd w:id="45"/>
    </w:p>
    <w:p w14:paraId="66F0FC1E">
      <w:pPr>
        <w:spacing w:line="360" w:lineRule="exact"/>
        <w:ind w:left="479" w:leftChars="228"/>
        <w:jc w:val="left"/>
        <w:rPr>
          <w:rFonts w:ascii="宋体" w:hAnsi="宋体"/>
          <w:b/>
          <w:sz w:val="24"/>
        </w:rPr>
      </w:pPr>
      <w:r>
        <w:rPr>
          <w:rFonts w:hint="eastAsia" w:ascii="宋体" w:hAnsi="宋体"/>
          <w:sz w:val="24"/>
        </w:rPr>
        <w:t>24定标原则</w:t>
      </w:r>
    </w:p>
    <w:p w14:paraId="73A1F163">
      <w:pPr>
        <w:spacing w:line="360" w:lineRule="exact"/>
        <w:ind w:left="479" w:leftChars="228"/>
        <w:jc w:val="left"/>
        <w:rPr>
          <w:rFonts w:ascii="宋体" w:hAnsi="宋体"/>
          <w:b/>
          <w:sz w:val="24"/>
        </w:rPr>
      </w:pPr>
      <w:r>
        <w:rPr>
          <w:rFonts w:hint="eastAsia" w:ascii="宋体" w:hAnsi="宋体"/>
          <w:sz w:val="24"/>
        </w:rPr>
        <w:t>24.1严格按照“招标文件”的要求和条件进行评标，择优定标。</w:t>
      </w:r>
    </w:p>
    <w:p w14:paraId="1FC97FCC">
      <w:pPr>
        <w:pStyle w:val="28"/>
        <w:spacing w:line="360" w:lineRule="exact"/>
        <w:ind w:firstLine="480" w:firstLineChars="200"/>
        <w:rPr>
          <w:rFonts w:ascii="宋体" w:hAnsi="宋体"/>
          <w:sz w:val="24"/>
        </w:rPr>
      </w:pPr>
      <w:r>
        <w:rPr>
          <w:rFonts w:hint="eastAsia" w:ascii="宋体" w:hAnsi="宋体"/>
          <w:sz w:val="24"/>
        </w:rPr>
        <w:t>24.2本次招标，合同将授予符合“招标文件”的要求，并且性价比最合理，能提供最佳服务的投标者。</w:t>
      </w:r>
    </w:p>
    <w:p w14:paraId="179BC8B1">
      <w:pPr>
        <w:spacing w:line="360" w:lineRule="exact"/>
        <w:ind w:firstLine="480" w:firstLineChars="200"/>
        <w:rPr>
          <w:rFonts w:ascii="宋体" w:hAnsi="宋体"/>
          <w:sz w:val="24"/>
        </w:rPr>
      </w:pPr>
      <w:r>
        <w:rPr>
          <w:rFonts w:hint="eastAsia" w:ascii="宋体" w:hAnsi="宋体"/>
          <w:sz w:val="24"/>
        </w:rPr>
        <w:t>24.3不能保证最低报价的投标最终中标。</w:t>
      </w:r>
    </w:p>
    <w:p w14:paraId="23853988">
      <w:pPr>
        <w:spacing w:line="360" w:lineRule="exact"/>
        <w:ind w:firstLine="480" w:firstLineChars="200"/>
        <w:rPr>
          <w:rFonts w:ascii="宋体" w:hAnsi="宋体"/>
          <w:sz w:val="24"/>
        </w:rPr>
      </w:pPr>
      <w:r>
        <w:rPr>
          <w:rFonts w:hint="eastAsia" w:ascii="宋体" w:hAnsi="宋体"/>
          <w:sz w:val="24"/>
        </w:rPr>
        <w:t>24.4评标结束后，采购代理机构组织编写评标报告，采购人根据评标报告和授标建议书推荐的中标候选供应商确定中标人，并送报采购管理机关备案。</w:t>
      </w:r>
    </w:p>
    <w:p w14:paraId="65FF5CFB">
      <w:pPr>
        <w:widowControl/>
        <w:spacing w:line="360" w:lineRule="exact"/>
        <w:ind w:firstLine="480" w:firstLineChars="200"/>
        <w:rPr>
          <w:rFonts w:ascii="宋体" w:hAnsi="宋体" w:cs="宋体"/>
          <w:kern w:val="0"/>
          <w:sz w:val="24"/>
        </w:rPr>
      </w:pPr>
      <w:r>
        <w:rPr>
          <w:rFonts w:hint="eastAsia" w:ascii="宋体" w:hAnsi="宋体"/>
          <w:sz w:val="24"/>
        </w:rPr>
        <w:t>24.5根据评标办法推荐出一至三人为中标候选人，并标明排列顺序。采购人将确定排名第一的中标候选人为中标人并向其授予合同。</w:t>
      </w:r>
      <w:r>
        <w:rPr>
          <w:rFonts w:ascii="宋体" w:hAnsi="宋体"/>
          <w:sz w:val="24"/>
        </w:rPr>
        <w:t>中标或者成交供应商拒绝与采购人签订合同的，采购人可以按照评审报告推荐的中标或者成交候选人名单排序，确定下一候选人为中标或者成交供应商，也可以重新开展政府采购活动</w:t>
      </w:r>
      <w:r>
        <w:rPr>
          <w:rFonts w:hint="eastAsia" w:ascii="宋体" w:hAnsi="宋体"/>
          <w:sz w:val="24"/>
        </w:rPr>
        <w:t>。或因供应商对采购过程、中标或者成交结果提出的质疑，合格供应商符合法定数量时，可以从合格的中标或者成交候选人中另行确定中标、成交供应商的，应当依法另行确定中标、成交供应商；否则应当重新开展采购活动。采购人对影响的投标人不承担任何责任。</w:t>
      </w:r>
      <w:r>
        <w:rPr>
          <w:rFonts w:hint="eastAsia" w:ascii="宋体" w:hAnsi="宋体" w:cs="宋体"/>
          <w:kern w:val="0"/>
          <w:sz w:val="24"/>
        </w:rPr>
        <w:t>中标人将在指定的网站上公示。</w:t>
      </w:r>
    </w:p>
    <w:p w14:paraId="196F6A76">
      <w:pPr>
        <w:spacing w:line="360" w:lineRule="exact"/>
        <w:ind w:firstLine="480" w:firstLineChars="200"/>
        <w:rPr>
          <w:rFonts w:ascii="宋体" w:hAnsi="宋体"/>
          <w:sz w:val="24"/>
        </w:rPr>
      </w:pPr>
      <w:r>
        <w:rPr>
          <w:rFonts w:hint="eastAsia" w:ascii="宋体" w:hAnsi="宋体"/>
          <w:sz w:val="24"/>
        </w:rPr>
        <w:t>25中标通知</w:t>
      </w:r>
    </w:p>
    <w:p w14:paraId="150BAA47">
      <w:pPr>
        <w:spacing w:line="360" w:lineRule="exact"/>
        <w:rPr>
          <w:rFonts w:ascii="宋体" w:hAnsi="宋体"/>
          <w:sz w:val="24"/>
        </w:rPr>
      </w:pPr>
      <w:r>
        <w:rPr>
          <w:rFonts w:hint="eastAsia" w:ascii="宋体" w:hAnsi="宋体"/>
          <w:sz w:val="24"/>
        </w:rPr>
        <w:t xml:space="preserve">    25.1评标结束后，根据评标委员会裁定的结果，由海南省教学仪器设备招标中心有限公司签发《中标通知书》。</w:t>
      </w:r>
    </w:p>
    <w:p w14:paraId="573A4093">
      <w:pPr>
        <w:spacing w:line="360" w:lineRule="exact"/>
        <w:ind w:firstLine="480" w:firstLineChars="200"/>
        <w:rPr>
          <w:rFonts w:ascii="宋体" w:hAnsi="宋体"/>
          <w:sz w:val="24"/>
        </w:rPr>
      </w:pPr>
      <w:r>
        <w:rPr>
          <w:rFonts w:hint="eastAsia" w:ascii="宋体" w:hAnsi="宋体"/>
          <w:sz w:val="24"/>
        </w:rPr>
        <w:t>25.2《中标通知书》将作为签订合同的重要依据。中标人不与招标人按期订立合同的，取消其中标资格，给招标人造成的损失的，应当对予以赔偿。</w:t>
      </w:r>
    </w:p>
    <w:p w14:paraId="1B9903C0">
      <w:pPr>
        <w:spacing w:line="360" w:lineRule="exact"/>
        <w:ind w:firstLine="360" w:firstLineChars="150"/>
        <w:rPr>
          <w:rFonts w:ascii="宋体" w:hAnsi="宋体"/>
          <w:sz w:val="24"/>
        </w:rPr>
      </w:pPr>
      <w:r>
        <w:rPr>
          <w:rFonts w:hint="eastAsia" w:ascii="宋体" w:hAnsi="宋体"/>
          <w:sz w:val="24"/>
        </w:rPr>
        <w:t>26授予合同时变更数量的权力</w:t>
      </w:r>
    </w:p>
    <w:p w14:paraId="230FDEE6">
      <w:pPr>
        <w:spacing w:line="360" w:lineRule="exact"/>
        <w:ind w:firstLine="360"/>
        <w:rPr>
          <w:rFonts w:ascii="宋体" w:hAnsi="宋体"/>
          <w:sz w:val="24"/>
        </w:rPr>
      </w:pPr>
      <w:r>
        <w:rPr>
          <w:rFonts w:hint="eastAsia" w:ascii="宋体" w:hAnsi="宋体"/>
          <w:sz w:val="24"/>
        </w:rPr>
        <w:t>采购代理机构在授予合同时，可根据采购人的需求的情况，对“招标货物一览表”中列明的货物的数量和服务予以增加或减少，额度不大于10%。</w:t>
      </w:r>
    </w:p>
    <w:p w14:paraId="0C49991D">
      <w:pPr>
        <w:spacing w:line="360" w:lineRule="exact"/>
        <w:ind w:firstLine="360" w:firstLineChars="150"/>
        <w:rPr>
          <w:rFonts w:ascii="宋体" w:hAnsi="宋体"/>
          <w:sz w:val="24"/>
        </w:rPr>
      </w:pPr>
      <w:r>
        <w:rPr>
          <w:rFonts w:hint="eastAsia" w:ascii="宋体" w:hAnsi="宋体"/>
          <w:sz w:val="24"/>
        </w:rPr>
        <w:t>27签订合同</w:t>
      </w:r>
    </w:p>
    <w:p w14:paraId="17DAE85B">
      <w:pPr>
        <w:snapToGrid w:val="0"/>
        <w:spacing w:line="360" w:lineRule="exact"/>
        <w:rPr>
          <w:rFonts w:ascii="宋体" w:hAnsi="宋体"/>
          <w:sz w:val="24"/>
        </w:rPr>
      </w:pPr>
      <w:r>
        <w:rPr>
          <w:rFonts w:hint="eastAsia" w:ascii="宋体" w:hAnsi="宋体"/>
          <w:sz w:val="24"/>
        </w:rPr>
        <w:t xml:space="preserve">    27.1中标方应按《中标通知书》指定的时间、地点与采购人签订合同，采购代理机构予以鉴证。</w:t>
      </w:r>
    </w:p>
    <w:p w14:paraId="500D3C4B">
      <w:pPr>
        <w:spacing w:line="360" w:lineRule="exact"/>
        <w:ind w:firstLine="480"/>
        <w:rPr>
          <w:rFonts w:ascii="宋体" w:hAnsi="宋体"/>
          <w:sz w:val="24"/>
        </w:rPr>
      </w:pPr>
      <w:r>
        <w:rPr>
          <w:rFonts w:hint="eastAsia" w:ascii="宋体" w:hAnsi="宋体"/>
          <w:sz w:val="24"/>
        </w:rPr>
        <w:t>27.2《中标通知书》中标方的“投标文件”及其澄清文件等，均为签订经济合同的依据。</w:t>
      </w:r>
    </w:p>
    <w:p w14:paraId="1FE5FF98">
      <w:pPr>
        <w:spacing w:line="360" w:lineRule="exact"/>
        <w:ind w:firstLine="360" w:firstLineChars="150"/>
        <w:rPr>
          <w:rFonts w:ascii="宋体" w:hAnsi="宋体"/>
          <w:sz w:val="24"/>
        </w:rPr>
      </w:pPr>
      <w:r>
        <w:rPr>
          <w:rFonts w:hint="eastAsia" w:ascii="宋体" w:hAnsi="宋体"/>
          <w:sz w:val="24"/>
        </w:rPr>
        <w:t>28中标服务费</w:t>
      </w:r>
    </w:p>
    <w:p w14:paraId="65133848">
      <w:pPr>
        <w:spacing w:line="360" w:lineRule="exact"/>
        <w:rPr>
          <w:rFonts w:ascii="宋体" w:hAnsi="宋体"/>
          <w:sz w:val="24"/>
        </w:rPr>
      </w:pPr>
      <w:r>
        <w:rPr>
          <w:rFonts w:hint="eastAsia" w:ascii="宋体" w:hAnsi="宋体"/>
          <w:sz w:val="24"/>
        </w:rPr>
        <w:t xml:space="preserve">   28.1中标方应向海南省教学仪器设备招标中心有限公司支付的中标服务费。</w:t>
      </w:r>
    </w:p>
    <w:p w14:paraId="2DD6EC7D">
      <w:pPr>
        <w:spacing w:line="360" w:lineRule="exact"/>
        <w:ind w:firstLine="360" w:firstLineChars="150"/>
        <w:rPr>
          <w:rFonts w:ascii="宋体" w:hAnsi="宋体"/>
          <w:sz w:val="24"/>
        </w:rPr>
      </w:pPr>
      <w:r>
        <w:rPr>
          <w:rFonts w:hint="eastAsia" w:ascii="宋体" w:hAnsi="宋体"/>
          <w:sz w:val="24"/>
        </w:rPr>
        <w:t>28.2中标服务费参照中华人民共和国国家计划委员会（计价格</w:t>
      </w:r>
      <w:r>
        <w:rPr>
          <w:rFonts w:hint="eastAsia" w:ascii="微软雅黑" w:hAnsi="微软雅黑" w:eastAsia="微软雅黑" w:cs="微软雅黑"/>
          <w:sz w:val="24"/>
        </w:rPr>
        <w:t>〔</w:t>
      </w:r>
      <w:r>
        <w:rPr>
          <w:rFonts w:hint="eastAsia" w:ascii="宋体" w:hAnsi="宋体"/>
          <w:sz w:val="24"/>
        </w:rPr>
        <w:t>2002</w:t>
      </w:r>
      <w:r>
        <w:rPr>
          <w:rFonts w:hint="eastAsia" w:ascii="微软雅黑" w:hAnsi="微软雅黑" w:eastAsia="微软雅黑" w:cs="微软雅黑"/>
          <w:sz w:val="24"/>
        </w:rPr>
        <w:t>〕</w:t>
      </w:r>
      <w:r>
        <w:rPr>
          <w:rFonts w:hint="eastAsia" w:ascii="宋体" w:hAnsi="宋体"/>
          <w:sz w:val="24"/>
        </w:rPr>
        <w:t>1980号）收费标准收取，合计为25000.00元。</w:t>
      </w:r>
    </w:p>
    <w:p w14:paraId="67B0D947">
      <w:pPr>
        <w:spacing w:line="360" w:lineRule="exact"/>
        <w:ind w:firstLine="360" w:firstLineChars="150"/>
        <w:rPr>
          <w:rFonts w:ascii="宋体" w:hAnsi="宋体"/>
          <w:sz w:val="24"/>
        </w:rPr>
      </w:pPr>
      <w:r>
        <w:rPr>
          <w:rFonts w:hint="eastAsia" w:ascii="宋体" w:hAnsi="宋体"/>
          <w:sz w:val="24"/>
        </w:rPr>
        <w:t>29履约保证金(根据合同约定)</w:t>
      </w:r>
    </w:p>
    <w:p w14:paraId="013E3290">
      <w:pPr>
        <w:spacing w:line="360" w:lineRule="exact"/>
        <w:ind w:firstLine="480" w:firstLineChars="200"/>
        <w:rPr>
          <w:rFonts w:ascii="宋体" w:hAnsi="宋体"/>
          <w:sz w:val="24"/>
        </w:rPr>
      </w:pPr>
      <w:r>
        <w:rPr>
          <w:rFonts w:hint="eastAsia" w:ascii="宋体" w:hAnsi="宋体"/>
          <w:sz w:val="24"/>
        </w:rPr>
        <w:t>29.1中标人在收到《中标通知书》后5个工作日内，应按照合同规定向采购人提交金额为合同总价3%的履约保证金函，以银行转账、支票、汇票、本票或者金融机构、担保机构出具的保函等非现金形式提交。</w:t>
      </w:r>
    </w:p>
    <w:p w14:paraId="64D0918F">
      <w:pPr>
        <w:ind w:firstLine="480" w:firstLineChars="200"/>
        <w:rPr>
          <w:sz w:val="24"/>
        </w:rPr>
      </w:pPr>
      <w:r>
        <w:rPr>
          <w:rFonts w:hint="eastAsia" w:ascii="宋体" w:hAnsi="宋体"/>
          <w:sz w:val="24"/>
        </w:rPr>
        <w:t>29.2</w:t>
      </w:r>
      <w:r>
        <w:rPr>
          <w:rFonts w:hint="eastAsia"/>
          <w:sz w:val="24"/>
        </w:rPr>
        <w:t>如果中标人拒绝按时提交履约保证金，视为放弃中标项目，应承担违约责任。</w:t>
      </w:r>
    </w:p>
    <w:p w14:paraId="7F21B4AB">
      <w:pPr>
        <w:spacing w:line="360" w:lineRule="auto"/>
        <w:ind w:firstLine="480" w:firstLineChars="200"/>
        <w:rPr>
          <w:rFonts w:ascii="宋体" w:hAnsi="宋体"/>
          <w:sz w:val="24"/>
        </w:rPr>
      </w:pPr>
      <w:r>
        <w:rPr>
          <w:rFonts w:ascii="宋体" w:hAnsi="宋体"/>
          <w:sz w:val="24"/>
        </w:rPr>
        <w:t xml:space="preserve">29.3 </w:t>
      </w:r>
      <w:r>
        <w:rPr>
          <w:rFonts w:hint="eastAsia" w:ascii="宋体" w:hAnsi="宋体"/>
          <w:sz w:val="24"/>
        </w:rPr>
        <w:t>发生以下情况之一，履约保证金将不予退还：</w:t>
      </w:r>
    </w:p>
    <w:p w14:paraId="26BF4B5D">
      <w:pPr>
        <w:spacing w:line="360" w:lineRule="auto"/>
        <w:ind w:firstLine="480" w:firstLineChars="200"/>
        <w:rPr>
          <w:rFonts w:ascii="宋体" w:hAnsi="宋体"/>
          <w:sz w:val="24"/>
        </w:rPr>
      </w:pPr>
      <w:r>
        <w:rPr>
          <w:rFonts w:hint="eastAsia" w:ascii="宋体" w:hAnsi="宋体"/>
          <w:sz w:val="24"/>
        </w:rPr>
        <w:t>（1）中标人擅自转包、转让的；</w:t>
      </w:r>
    </w:p>
    <w:p w14:paraId="36890393">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）中标人在投标活动中有违反法律、违反政策规定行为的；</w:t>
      </w:r>
    </w:p>
    <w:p w14:paraId="1ED57111">
      <w:pPr>
        <w:spacing w:line="360" w:lineRule="auto"/>
        <w:ind w:firstLine="480" w:firstLineChars="200"/>
        <w:rPr>
          <w:rFonts w:ascii="宋体" w:hAnsi="宋体"/>
          <w:sz w:val="24"/>
        </w:rPr>
      </w:pPr>
      <w:r>
        <w:rPr>
          <w:rFonts w:hint="eastAsia" w:ascii="宋体" w:hAnsi="宋体"/>
          <w:sz w:val="24"/>
        </w:rPr>
        <w:t>（3）采购合同规定的其他情形。</w:t>
      </w:r>
    </w:p>
    <w:p w14:paraId="101A0EE0">
      <w:pPr>
        <w:pStyle w:val="2"/>
        <w:jc w:val="center"/>
      </w:pPr>
    </w:p>
    <w:p w14:paraId="06BA87A1">
      <w:pPr>
        <w:pStyle w:val="2"/>
      </w:pPr>
    </w:p>
    <w:p w14:paraId="4530F39C"/>
    <w:p w14:paraId="0253E04F">
      <w:pPr>
        <w:pStyle w:val="2"/>
        <w:jc w:val="center"/>
      </w:pPr>
      <w:bookmarkStart w:id="46" w:name="_Toc19506"/>
      <w:r>
        <w:rPr>
          <w:rFonts w:hint="eastAsia"/>
        </w:rPr>
        <w:t>第三章采购</w:t>
      </w:r>
      <w:r>
        <w:t>需求</w:t>
      </w:r>
      <w:bookmarkEnd w:id="46"/>
    </w:p>
    <w:p w14:paraId="0ABF3561">
      <w:pPr>
        <w:pStyle w:val="3"/>
      </w:pPr>
      <w:bookmarkStart w:id="47" w:name="_Toc21690"/>
      <w:r>
        <w:rPr>
          <w:rFonts w:hint="eastAsia"/>
        </w:rPr>
        <w:t>1、投标人须知前附表</w:t>
      </w:r>
      <w:bookmarkEnd w:id="47"/>
    </w:p>
    <w:tbl>
      <w:tblPr>
        <w:tblStyle w:val="33"/>
        <w:tblW w:w="9511" w:type="dxa"/>
        <w:tblInd w:w="-41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71"/>
        <w:gridCol w:w="2545"/>
        <w:gridCol w:w="6295"/>
      </w:tblGrid>
      <w:tr w14:paraId="7862F7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trPr>
        <w:tc>
          <w:tcPr>
            <w:tcW w:w="671" w:type="dxa"/>
            <w:vAlign w:val="center"/>
          </w:tcPr>
          <w:p w14:paraId="751C7FC4">
            <w:pPr>
              <w:jc w:val="center"/>
              <w:rPr>
                <w:sz w:val="24"/>
              </w:rPr>
            </w:pPr>
            <w:r>
              <w:rPr>
                <w:rFonts w:hint="eastAsia"/>
                <w:sz w:val="24"/>
              </w:rPr>
              <w:t>序号</w:t>
            </w:r>
          </w:p>
        </w:tc>
        <w:tc>
          <w:tcPr>
            <w:tcW w:w="2545" w:type="dxa"/>
            <w:vAlign w:val="center"/>
          </w:tcPr>
          <w:p w14:paraId="60484A53">
            <w:pPr>
              <w:jc w:val="center"/>
              <w:rPr>
                <w:sz w:val="24"/>
              </w:rPr>
            </w:pPr>
            <w:r>
              <w:rPr>
                <w:rFonts w:hint="eastAsia"/>
                <w:sz w:val="24"/>
              </w:rPr>
              <w:t>条款名称</w:t>
            </w:r>
          </w:p>
        </w:tc>
        <w:tc>
          <w:tcPr>
            <w:tcW w:w="6295" w:type="dxa"/>
            <w:vAlign w:val="center"/>
          </w:tcPr>
          <w:p w14:paraId="07BA90D7">
            <w:pPr>
              <w:jc w:val="center"/>
              <w:rPr>
                <w:sz w:val="24"/>
              </w:rPr>
            </w:pPr>
            <w:r>
              <w:rPr>
                <w:rFonts w:hint="eastAsia"/>
                <w:sz w:val="24"/>
              </w:rPr>
              <w:t>说明和要求</w:t>
            </w:r>
          </w:p>
        </w:tc>
      </w:tr>
      <w:tr w14:paraId="684B05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6" w:hRule="atLeast"/>
        </w:trPr>
        <w:tc>
          <w:tcPr>
            <w:tcW w:w="671" w:type="dxa"/>
            <w:vAlign w:val="center"/>
          </w:tcPr>
          <w:p w14:paraId="2ABC1AAB">
            <w:pPr>
              <w:jc w:val="center"/>
              <w:rPr>
                <w:color w:val="000000" w:themeColor="text1"/>
                <w:sz w:val="24"/>
              </w:rPr>
            </w:pPr>
            <w:r>
              <w:rPr>
                <w:color w:val="000000" w:themeColor="text1"/>
                <w:sz w:val="24"/>
              </w:rPr>
              <w:t>1</w:t>
            </w:r>
          </w:p>
        </w:tc>
        <w:tc>
          <w:tcPr>
            <w:tcW w:w="2545" w:type="dxa"/>
            <w:vAlign w:val="center"/>
          </w:tcPr>
          <w:p w14:paraId="45130910">
            <w:pPr>
              <w:rPr>
                <w:color w:val="000000" w:themeColor="text1"/>
                <w:sz w:val="24"/>
              </w:rPr>
            </w:pPr>
            <w:r>
              <w:rPr>
                <w:rFonts w:hint="eastAsia"/>
                <w:color w:val="000000" w:themeColor="text1"/>
                <w:sz w:val="24"/>
              </w:rPr>
              <w:t>项目预算</w:t>
            </w:r>
          </w:p>
        </w:tc>
        <w:tc>
          <w:tcPr>
            <w:tcW w:w="6295" w:type="dxa"/>
          </w:tcPr>
          <w:p w14:paraId="4F6BED70">
            <w:pPr>
              <w:rPr>
                <w:color w:val="000000" w:themeColor="text1"/>
                <w:sz w:val="24"/>
              </w:rPr>
            </w:pPr>
            <w:r>
              <w:rPr>
                <w:rFonts w:hint="eastAsia"/>
                <w:color w:val="000000" w:themeColor="text1"/>
                <w:sz w:val="24"/>
              </w:rPr>
              <w:t>470万元。投标人总报价、各单价报价不能超过采购预算，超过视为无效投标。</w:t>
            </w:r>
          </w:p>
        </w:tc>
      </w:tr>
      <w:tr w14:paraId="305930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7" w:hRule="atLeast"/>
        </w:trPr>
        <w:tc>
          <w:tcPr>
            <w:tcW w:w="671" w:type="dxa"/>
            <w:vAlign w:val="center"/>
          </w:tcPr>
          <w:p w14:paraId="09614EEC">
            <w:pPr>
              <w:jc w:val="center"/>
              <w:rPr>
                <w:color w:val="000000" w:themeColor="text1"/>
                <w:sz w:val="24"/>
              </w:rPr>
            </w:pPr>
            <w:r>
              <w:rPr>
                <w:color w:val="000000" w:themeColor="text1"/>
                <w:sz w:val="24"/>
              </w:rPr>
              <w:t>2</w:t>
            </w:r>
          </w:p>
        </w:tc>
        <w:tc>
          <w:tcPr>
            <w:tcW w:w="2545" w:type="dxa"/>
            <w:vAlign w:val="center"/>
          </w:tcPr>
          <w:p w14:paraId="51C1760E">
            <w:pPr>
              <w:rPr>
                <w:color w:val="000000" w:themeColor="text1"/>
                <w:sz w:val="24"/>
              </w:rPr>
            </w:pPr>
            <w:r>
              <w:rPr>
                <w:rFonts w:hint="eastAsia"/>
                <w:color w:val="000000" w:themeColor="text1"/>
                <w:sz w:val="24"/>
              </w:rPr>
              <w:t>是否接受进口产品投标</w:t>
            </w:r>
          </w:p>
        </w:tc>
        <w:tc>
          <w:tcPr>
            <w:tcW w:w="6295" w:type="dxa"/>
            <w:vAlign w:val="center"/>
          </w:tcPr>
          <w:p w14:paraId="3918A448">
            <w:pPr>
              <w:rPr>
                <w:color w:val="000000" w:themeColor="text1"/>
                <w:sz w:val="24"/>
              </w:rPr>
            </w:pPr>
            <w:r>
              <w:rPr>
                <w:rFonts w:hint="eastAsia"/>
                <w:color w:val="000000" w:themeColor="text1"/>
                <w:sz w:val="24"/>
              </w:rPr>
              <w:t>接受（）不接受（√）</w:t>
            </w:r>
          </w:p>
        </w:tc>
      </w:tr>
      <w:tr w14:paraId="152ED1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1" w:hRule="atLeast"/>
        </w:trPr>
        <w:tc>
          <w:tcPr>
            <w:tcW w:w="671" w:type="dxa"/>
            <w:vAlign w:val="center"/>
          </w:tcPr>
          <w:p w14:paraId="40E7C0ED">
            <w:pPr>
              <w:jc w:val="center"/>
              <w:rPr>
                <w:sz w:val="24"/>
              </w:rPr>
            </w:pPr>
            <w:r>
              <w:rPr>
                <w:sz w:val="24"/>
              </w:rPr>
              <w:t>3</w:t>
            </w:r>
          </w:p>
        </w:tc>
        <w:tc>
          <w:tcPr>
            <w:tcW w:w="2545" w:type="dxa"/>
            <w:vAlign w:val="center"/>
          </w:tcPr>
          <w:p w14:paraId="719995F3">
            <w:pPr>
              <w:rPr>
                <w:sz w:val="24"/>
              </w:rPr>
            </w:pPr>
            <w:r>
              <w:rPr>
                <w:rFonts w:hint="eastAsia"/>
                <w:sz w:val="24"/>
              </w:rPr>
              <w:t>标前踏勘现场或</w:t>
            </w:r>
            <w:r>
              <w:rPr>
                <w:sz w:val="24"/>
              </w:rPr>
              <w:t>/</w:t>
            </w:r>
            <w:r>
              <w:rPr>
                <w:rFonts w:hint="eastAsia"/>
                <w:sz w:val="24"/>
              </w:rPr>
              <w:t>和标前答疑会</w:t>
            </w:r>
          </w:p>
        </w:tc>
        <w:tc>
          <w:tcPr>
            <w:tcW w:w="6295" w:type="dxa"/>
            <w:vAlign w:val="center"/>
          </w:tcPr>
          <w:p w14:paraId="74F9D1B4">
            <w:pPr>
              <w:rPr>
                <w:sz w:val="24"/>
              </w:rPr>
            </w:pPr>
            <w:r>
              <w:rPr>
                <w:rFonts w:hint="eastAsia"/>
                <w:sz w:val="24"/>
              </w:rPr>
              <w:t>组织（）不组织（√）</w:t>
            </w:r>
          </w:p>
        </w:tc>
      </w:tr>
      <w:tr w14:paraId="44BA3B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1" w:hRule="atLeast"/>
        </w:trPr>
        <w:tc>
          <w:tcPr>
            <w:tcW w:w="671" w:type="dxa"/>
            <w:vAlign w:val="center"/>
          </w:tcPr>
          <w:p w14:paraId="7040981D">
            <w:pPr>
              <w:jc w:val="center"/>
              <w:rPr>
                <w:sz w:val="24"/>
              </w:rPr>
            </w:pPr>
            <w:r>
              <w:rPr>
                <w:sz w:val="24"/>
              </w:rPr>
              <w:t>4</w:t>
            </w:r>
          </w:p>
        </w:tc>
        <w:tc>
          <w:tcPr>
            <w:tcW w:w="2545" w:type="dxa"/>
            <w:vAlign w:val="center"/>
          </w:tcPr>
          <w:p w14:paraId="529F9161">
            <w:pPr>
              <w:rPr>
                <w:sz w:val="24"/>
              </w:rPr>
            </w:pPr>
            <w:r>
              <w:rPr>
                <w:rFonts w:hint="eastAsia"/>
                <w:sz w:val="24"/>
              </w:rPr>
              <w:t>述标和</w:t>
            </w:r>
            <w:r>
              <w:rPr>
                <w:sz w:val="24"/>
              </w:rPr>
              <w:t>/</w:t>
            </w:r>
            <w:r>
              <w:rPr>
                <w:rFonts w:hint="eastAsia"/>
                <w:sz w:val="24"/>
              </w:rPr>
              <w:t>或产（样）品演（展）示</w:t>
            </w:r>
          </w:p>
        </w:tc>
        <w:tc>
          <w:tcPr>
            <w:tcW w:w="6295" w:type="dxa"/>
            <w:vAlign w:val="center"/>
          </w:tcPr>
          <w:p w14:paraId="5F73EE04">
            <w:pPr>
              <w:rPr>
                <w:sz w:val="24"/>
              </w:rPr>
            </w:pPr>
            <w:r>
              <w:rPr>
                <w:rFonts w:hint="eastAsia"/>
                <w:sz w:val="24"/>
              </w:rPr>
              <w:t>有（）无（√）</w:t>
            </w:r>
          </w:p>
        </w:tc>
      </w:tr>
      <w:tr w14:paraId="10BC38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3" w:hRule="atLeast"/>
        </w:trPr>
        <w:tc>
          <w:tcPr>
            <w:tcW w:w="671" w:type="dxa"/>
            <w:vAlign w:val="center"/>
          </w:tcPr>
          <w:p w14:paraId="377D0B8A">
            <w:pPr>
              <w:jc w:val="center"/>
              <w:rPr>
                <w:sz w:val="24"/>
              </w:rPr>
            </w:pPr>
            <w:r>
              <w:rPr>
                <w:sz w:val="24"/>
              </w:rPr>
              <w:t>5</w:t>
            </w:r>
          </w:p>
        </w:tc>
        <w:tc>
          <w:tcPr>
            <w:tcW w:w="2545" w:type="dxa"/>
            <w:vAlign w:val="center"/>
          </w:tcPr>
          <w:p w14:paraId="3E1413B4">
            <w:pPr>
              <w:rPr>
                <w:sz w:val="24"/>
              </w:rPr>
            </w:pPr>
            <w:r>
              <w:rPr>
                <w:rFonts w:hint="eastAsia"/>
                <w:sz w:val="24"/>
              </w:rPr>
              <w:t>投标有效期</w:t>
            </w:r>
          </w:p>
        </w:tc>
        <w:tc>
          <w:tcPr>
            <w:tcW w:w="6295" w:type="dxa"/>
            <w:vAlign w:val="center"/>
          </w:tcPr>
          <w:p w14:paraId="0656D8D2">
            <w:pPr>
              <w:rPr>
                <w:sz w:val="24"/>
              </w:rPr>
            </w:pPr>
            <w:r>
              <w:rPr>
                <w:rFonts w:hint="eastAsia"/>
                <w:sz w:val="24"/>
              </w:rPr>
              <w:t>从提交投标文件的截止之日起算的90天内有效。</w:t>
            </w:r>
          </w:p>
        </w:tc>
      </w:tr>
      <w:tr w14:paraId="08965A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7" w:hRule="atLeast"/>
        </w:trPr>
        <w:tc>
          <w:tcPr>
            <w:tcW w:w="671" w:type="dxa"/>
            <w:vAlign w:val="center"/>
          </w:tcPr>
          <w:p w14:paraId="5382323F">
            <w:pPr>
              <w:jc w:val="center"/>
              <w:rPr>
                <w:sz w:val="24"/>
              </w:rPr>
            </w:pPr>
            <w:r>
              <w:rPr>
                <w:sz w:val="24"/>
              </w:rPr>
              <w:t>6</w:t>
            </w:r>
          </w:p>
        </w:tc>
        <w:tc>
          <w:tcPr>
            <w:tcW w:w="2545" w:type="dxa"/>
            <w:vAlign w:val="center"/>
          </w:tcPr>
          <w:p w14:paraId="174FD804">
            <w:pPr>
              <w:rPr>
                <w:sz w:val="24"/>
              </w:rPr>
            </w:pPr>
            <w:r>
              <w:rPr>
                <w:rFonts w:hint="eastAsia"/>
                <w:sz w:val="24"/>
              </w:rPr>
              <w:t>投标文件要求</w:t>
            </w:r>
          </w:p>
        </w:tc>
        <w:tc>
          <w:tcPr>
            <w:tcW w:w="6295" w:type="dxa"/>
            <w:vAlign w:val="center"/>
          </w:tcPr>
          <w:p w14:paraId="0992D787">
            <w:pPr>
              <w:pStyle w:val="92"/>
              <w:spacing w:line="440" w:lineRule="exact"/>
              <w:ind w:firstLine="240" w:firstLineChars="100"/>
              <w:rPr>
                <w:lang w:val="zh-CN"/>
              </w:rPr>
            </w:pPr>
            <w:r>
              <w:rPr>
                <w:rFonts w:hint="eastAsia"/>
                <w:lang w:val="zh-CN"/>
              </w:rPr>
              <w:t>正本</w:t>
            </w:r>
            <w:r>
              <w:rPr>
                <w:rFonts w:hint="eastAsia"/>
                <w:u w:val="single"/>
                <w:lang w:val="zh-CN"/>
              </w:rPr>
              <w:t xml:space="preserve">  壹 </w:t>
            </w:r>
            <w:r>
              <w:rPr>
                <w:rFonts w:hint="eastAsia"/>
                <w:lang w:val="zh-CN"/>
              </w:rPr>
              <w:t>份    副本</w:t>
            </w:r>
            <w:r>
              <w:rPr>
                <w:rFonts w:hint="eastAsia"/>
                <w:u w:val="single"/>
                <w:lang w:val="zh-CN"/>
              </w:rPr>
              <w:t>肆</w:t>
            </w:r>
            <w:r>
              <w:rPr>
                <w:rFonts w:hint="eastAsia"/>
                <w:lang w:val="zh-CN"/>
              </w:rPr>
              <w:t>份</w:t>
            </w:r>
          </w:p>
          <w:p w14:paraId="0562678B">
            <w:pPr>
              <w:rPr>
                <w:rFonts w:hint="eastAsia"/>
                <w:sz w:val="24"/>
              </w:rPr>
            </w:pPr>
            <w:r>
              <w:rPr>
                <w:rFonts w:hint="eastAsia"/>
                <w:sz w:val="24"/>
              </w:rPr>
              <w:t>电子版的</w:t>
            </w:r>
          </w:p>
          <w:p w14:paraId="6631994C">
            <w:pPr>
              <w:rPr>
                <w:sz w:val="24"/>
              </w:rPr>
            </w:pPr>
            <w:r>
              <w:rPr>
                <w:rFonts w:hint="eastAsia"/>
                <w:sz w:val="24"/>
              </w:rPr>
              <w:t>正本投标文件为U盘拷贝PDF格式，开标时递交。</w:t>
            </w:r>
          </w:p>
          <w:p w14:paraId="2D12DE6B">
            <w:pPr>
              <w:rPr>
                <w:sz w:val="24"/>
              </w:rPr>
            </w:pPr>
            <w:r>
              <w:rPr>
                <w:rFonts w:hint="eastAsia" w:ascii="宋体" w:hAnsi="宋体"/>
                <w:kern w:val="0"/>
                <w:sz w:val="18"/>
                <w:szCs w:val="18"/>
              </w:rPr>
              <w:t>温馨提示：为了节约能源保护环境，制作投标文件时请双面打印</w:t>
            </w:r>
          </w:p>
        </w:tc>
      </w:tr>
      <w:tr w14:paraId="016E8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1" w:hRule="atLeast"/>
        </w:trPr>
        <w:tc>
          <w:tcPr>
            <w:tcW w:w="671" w:type="dxa"/>
            <w:vAlign w:val="center"/>
          </w:tcPr>
          <w:p w14:paraId="1452AB90">
            <w:pPr>
              <w:jc w:val="center"/>
              <w:rPr>
                <w:sz w:val="24"/>
              </w:rPr>
            </w:pPr>
            <w:r>
              <w:rPr>
                <w:sz w:val="24"/>
              </w:rPr>
              <w:t>7</w:t>
            </w:r>
          </w:p>
        </w:tc>
        <w:tc>
          <w:tcPr>
            <w:tcW w:w="2545" w:type="dxa"/>
            <w:vAlign w:val="center"/>
          </w:tcPr>
          <w:p w14:paraId="28FB6E14">
            <w:pPr>
              <w:rPr>
                <w:sz w:val="24"/>
              </w:rPr>
            </w:pPr>
            <w:r>
              <w:rPr>
                <w:rFonts w:hint="eastAsia"/>
                <w:sz w:val="24"/>
              </w:rPr>
              <w:t>评标方法</w:t>
            </w:r>
          </w:p>
        </w:tc>
        <w:tc>
          <w:tcPr>
            <w:tcW w:w="6295" w:type="dxa"/>
            <w:vAlign w:val="center"/>
          </w:tcPr>
          <w:p w14:paraId="0FBFB24D">
            <w:pPr>
              <w:rPr>
                <w:sz w:val="24"/>
              </w:rPr>
            </w:pPr>
            <w:r>
              <w:rPr>
                <w:rFonts w:hint="eastAsia"/>
                <w:sz w:val="24"/>
              </w:rPr>
              <w:t>最低评标价法（）综合评分法（√）</w:t>
            </w:r>
          </w:p>
        </w:tc>
      </w:tr>
      <w:tr w14:paraId="5E50C6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trPr>
        <w:tc>
          <w:tcPr>
            <w:tcW w:w="671" w:type="dxa"/>
            <w:vAlign w:val="center"/>
          </w:tcPr>
          <w:p w14:paraId="1C8BF0AD">
            <w:pPr>
              <w:jc w:val="center"/>
              <w:rPr>
                <w:sz w:val="24"/>
              </w:rPr>
            </w:pPr>
            <w:r>
              <w:rPr>
                <w:sz w:val="24"/>
              </w:rPr>
              <w:t>8</w:t>
            </w:r>
          </w:p>
        </w:tc>
        <w:tc>
          <w:tcPr>
            <w:tcW w:w="2545" w:type="dxa"/>
            <w:vAlign w:val="center"/>
          </w:tcPr>
          <w:p w14:paraId="7F1D38B8">
            <w:pPr>
              <w:rPr>
                <w:sz w:val="24"/>
              </w:rPr>
            </w:pPr>
            <w:r>
              <w:rPr>
                <w:rFonts w:hint="eastAsia"/>
                <w:sz w:val="24"/>
              </w:rPr>
              <w:t>采购需求</w:t>
            </w:r>
          </w:p>
        </w:tc>
        <w:tc>
          <w:tcPr>
            <w:tcW w:w="6295" w:type="dxa"/>
            <w:vAlign w:val="center"/>
          </w:tcPr>
          <w:p w14:paraId="623A7BFF">
            <w:pPr>
              <w:rPr>
                <w:sz w:val="24"/>
              </w:rPr>
            </w:pPr>
            <w:r>
              <w:rPr>
                <w:rFonts w:hint="eastAsia"/>
                <w:sz w:val="24"/>
              </w:rPr>
              <w:t>详见采购清单</w:t>
            </w:r>
          </w:p>
        </w:tc>
      </w:tr>
      <w:tr w14:paraId="0F7094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671" w:type="dxa"/>
            <w:vAlign w:val="center"/>
          </w:tcPr>
          <w:p w14:paraId="1403BB87">
            <w:pPr>
              <w:jc w:val="center"/>
              <w:rPr>
                <w:sz w:val="24"/>
              </w:rPr>
            </w:pPr>
            <w:r>
              <w:rPr>
                <w:sz w:val="24"/>
              </w:rPr>
              <w:t>9</w:t>
            </w:r>
          </w:p>
        </w:tc>
        <w:tc>
          <w:tcPr>
            <w:tcW w:w="2545" w:type="dxa"/>
            <w:vAlign w:val="center"/>
          </w:tcPr>
          <w:p w14:paraId="696AE4F3">
            <w:pPr>
              <w:rPr>
                <w:sz w:val="24"/>
              </w:rPr>
            </w:pPr>
            <w:r>
              <w:rPr>
                <w:rFonts w:hint="eastAsia"/>
                <w:sz w:val="24"/>
              </w:rPr>
              <w:t>服务时间</w:t>
            </w:r>
          </w:p>
        </w:tc>
        <w:tc>
          <w:tcPr>
            <w:tcW w:w="6295" w:type="dxa"/>
            <w:vAlign w:val="center"/>
          </w:tcPr>
          <w:p w14:paraId="44F056A7">
            <w:pPr>
              <w:rPr>
                <w:sz w:val="24"/>
              </w:rPr>
            </w:pPr>
            <w:r>
              <w:rPr>
                <w:rFonts w:hint="eastAsia"/>
                <w:sz w:val="24"/>
              </w:rPr>
              <w:t>合同签订后5年内。</w:t>
            </w:r>
          </w:p>
        </w:tc>
      </w:tr>
      <w:tr w14:paraId="6DD90B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671" w:type="dxa"/>
            <w:vAlign w:val="center"/>
          </w:tcPr>
          <w:p w14:paraId="0770F52F">
            <w:pPr>
              <w:jc w:val="center"/>
              <w:rPr>
                <w:sz w:val="24"/>
              </w:rPr>
            </w:pPr>
            <w:r>
              <w:rPr>
                <w:sz w:val="24"/>
              </w:rPr>
              <w:t>10</w:t>
            </w:r>
          </w:p>
        </w:tc>
        <w:tc>
          <w:tcPr>
            <w:tcW w:w="2545" w:type="dxa"/>
            <w:vAlign w:val="center"/>
          </w:tcPr>
          <w:p w14:paraId="56BC4E49">
            <w:pPr>
              <w:rPr>
                <w:sz w:val="24"/>
              </w:rPr>
            </w:pPr>
            <w:r>
              <w:rPr>
                <w:rFonts w:hint="eastAsia"/>
                <w:sz w:val="24"/>
              </w:rPr>
              <w:t>交货地点</w:t>
            </w:r>
          </w:p>
        </w:tc>
        <w:tc>
          <w:tcPr>
            <w:tcW w:w="6295" w:type="dxa"/>
            <w:vAlign w:val="center"/>
          </w:tcPr>
          <w:p w14:paraId="0D0B0947">
            <w:pPr>
              <w:rPr>
                <w:sz w:val="24"/>
              </w:rPr>
            </w:pPr>
            <w:r>
              <w:rPr>
                <w:rFonts w:hint="eastAsia"/>
                <w:sz w:val="24"/>
              </w:rPr>
              <w:t>用户指定地点</w:t>
            </w:r>
          </w:p>
        </w:tc>
      </w:tr>
      <w:tr w14:paraId="7A52AF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671" w:type="dxa"/>
            <w:vAlign w:val="center"/>
          </w:tcPr>
          <w:p w14:paraId="63C4C875">
            <w:pPr>
              <w:jc w:val="center"/>
              <w:rPr>
                <w:sz w:val="24"/>
              </w:rPr>
            </w:pPr>
            <w:r>
              <w:rPr>
                <w:rFonts w:hint="eastAsia"/>
                <w:sz w:val="24"/>
              </w:rPr>
              <w:t>11</w:t>
            </w:r>
          </w:p>
        </w:tc>
        <w:tc>
          <w:tcPr>
            <w:tcW w:w="2545" w:type="dxa"/>
            <w:vAlign w:val="center"/>
          </w:tcPr>
          <w:p w14:paraId="0B5B3A4E">
            <w:pPr>
              <w:rPr>
                <w:sz w:val="24"/>
              </w:rPr>
            </w:pPr>
            <w:r>
              <w:rPr>
                <w:rFonts w:hint="eastAsia"/>
                <w:sz w:val="24"/>
              </w:rPr>
              <w:t>本项目所属行业</w:t>
            </w:r>
          </w:p>
        </w:tc>
        <w:tc>
          <w:tcPr>
            <w:tcW w:w="6295" w:type="dxa"/>
          </w:tcPr>
          <w:p w14:paraId="1D537EFB">
            <w:pPr>
              <w:rPr>
                <w:sz w:val="24"/>
              </w:rPr>
            </w:pPr>
            <w:r>
              <w:rPr>
                <w:rFonts w:hint="eastAsia"/>
                <w:sz w:val="24"/>
              </w:rPr>
              <w:t>根据《统计上大中小微型企业划分办法（2017）》，本项目所属行业为工业。</w:t>
            </w:r>
          </w:p>
        </w:tc>
      </w:tr>
      <w:tr w14:paraId="28F8B1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671" w:type="dxa"/>
            <w:vAlign w:val="center"/>
          </w:tcPr>
          <w:p w14:paraId="54A1E7DF">
            <w:pPr>
              <w:jc w:val="center"/>
              <w:rPr>
                <w:sz w:val="24"/>
              </w:rPr>
            </w:pPr>
            <w:r>
              <w:rPr>
                <w:rFonts w:hint="eastAsia"/>
                <w:sz w:val="24"/>
              </w:rPr>
              <w:t>12</w:t>
            </w:r>
          </w:p>
        </w:tc>
        <w:tc>
          <w:tcPr>
            <w:tcW w:w="2545" w:type="dxa"/>
            <w:vAlign w:val="center"/>
          </w:tcPr>
          <w:p w14:paraId="5CB4BEE7">
            <w:pPr>
              <w:rPr>
                <w:sz w:val="24"/>
              </w:rPr>
            </w:pPr>
            <w:r>
              <w:rPr>
                <w:rFonts w:hint="eastAsia"/>
                <w:sz w:val="24"/>
              </w:rPr>
              <w:t>备注</w:t>
            </w:r>
          </w:p>
        </w:tc>
        <w:tc>
          <w:tcPr>
            <w:tcW w:w="6295" w:type="dxa"/>
            <w:vAlign w:val="center"/>
          </w:tcPr>
          <w:p w14:paraId="782DA4E9">
            <w:pPr>
              <w:rPr>
                <w:sz w:val="24"/>
              </w:rPr>
            </w:pPr>
            <w:r>
              <w:rPr>
                <w:rFonts w:hint="eastAsia"/>
                <w:sz w:val="24"/>
              </w:rPr>
              <w:t>1、采购需求中未列明偏差的除特殊订制类货物以外，列明的尺寸、重量及体积允许±5</w:t>
            </w:r>
            <w:r>
              <w:rPr>
                <w:sz w:val="24"/>
              </w:rPr>
              <w:t>%</w:t>
            </w:r>
            <w:r>
              <w:rPr>
                <w:rFonts w:hint="eastAsia"/>
                <w:sz w:val="24"/>
              </w:rPr>
              <w:t>偏差。</w:t>
            </w:r>
          </w:p>
          <w:p w14:paraId="2F12CB59">
            <w:pPr>
              <w:rPr>
                <w:sz w:val="24"/>
              </w:rPr>
            </w:pPr>
            <w:r>
              <w:rPr>
                <w:rFonts w:hint="eastAsia"/>
                <w:sz w:val="24"/>
              </w:rPr>
              <w:t>2、采购标的物需按照国家相关标准、行业标准、地方标准或者其他标准、规范执行。</w:t>
            </w:r>
          </w:p>
        </w:tc>
      </w:tr>
    </w:tbl>
    <w:p w14:paraId="2B3E048C">
      <w:pPr>
        <w:pStyle w:val="3"/>
      </w:pPr>
    </w:p>
    <w:p w14:paraId="6AE2DA10">
      <w:pPr>
        <w:pStyle w:val="3"/>
      </w:pPr>
    </w:p>
    <w:p w14:paraId="4CA1D3DF"/>
    <w:p w14:paraId="1A532DE4">
      <w:pPr>
        <w:pStyle w:val="25"/>
        <w:ind w:firstLine="0" w:firstLineChars="0"/>
        <w:rPr>
          <w:rFonts w:ascii="宋体" w:hAnsi="宋体"/>
          <w:kern w:val="0"/>
          <w:sz w:val="24"/>
        </w:rPr>
      </w:pPr>
    </w:p>
    <w:p w14:paraId="45F76B84">
      <w:pPr>
        <w:adjustRightInd w:val="0"/>
        <w:snapToGrid w:val="0"/>
        <w:spacing w:line="264" w:lineRule="auto"/>
        <w:ind w:firstLine="482" w:firstLineChars="200"/>
        <w:jc w:val="center"/>
        <w:rPr>
          <w:rFonts w:ascii="宋体" w:hAnsi="宋体" w:cs="宋体"/>
          <w:b/>
          <w:sz w:val="24"/>
        </w:rPr>
      </w:pPr>
      <w:r>
        <w:rPr>
          <w:rFonts w:hint="eastAsia" w:ascii="宋体" w:hAnsi="宋体" w:cs="宋体"/>
          <w:b/>
          <w:sz w:val="24"/>
        </w:rPr>
        <w:t>服务要求</w:t>
      </w:r>
    </w:p>
    <w:p w14:paraId="421016FE">
      <w:pPr>
        <w:pStyle w:val="25"/>
        <w:ind w:firstLine="0" w:firstLineChars="0"/>
        <w:rPr>
          <w:rFonts w:ascii="宋体" w:hAnsi="宋体"/>
          <w:kern w:val="0"/>
          <w:sz w:val="24"/>
        </w:rPr>
      </w:pPr>
      <w:r>
        <w:rPr>
          <w:rFonts w:hint="eastAsia" w:ascii="宋体" w:hAnsi="宋体" w:cs="宋体"/>
          <w:b/>
          <w:bCs/>
          <w:snapToGrid w:val="0"/>
          <w:kern w:val="0"/>
          <w:sz w:val="24"/>
        </w:rPr>
        <w:t xml:space="preserve"> 一、服务期限：</w:t>
      </w:r>
      <w:r>
        <w:rPr>
          <w:rFonts w:hint="eastAsia" w:ascii="宋体" w:hAnsi="宋体" w:cs="宋体"/>
          <w:snapToGrid w:val="0"/>
          <w:kern w:val="0"/>
          <w:sz w:val="24"/>
        </w:rPr>
        <w:t>本合同有效期为 60个月。</w:t>
      </w:r>
    </w:p>
    <w:p w14:paraId="591D0C25">
      <w:pPr>
        <w:pStyle w:val="25"/>
        <w:ind w:firstLine="0" w:firstLineChars="0"/>
        <w:rPr>
          <w:rFonts w:ascii="宋体" w:hAnsi="宋体"/>
          <w:b/>
          <w:bCs/>
          <w:kern w:val="0"/>
          <w:sz w:val="24"/>
        </w:rPr>
      </w:pPr>
      <w:r>
        <w:rPr>
          <w:rFonts w:hint="eastAsia" w:ascii="宋体" w:hAnsi="宋体"/>
          <w:b/>
          <w:bCs/>
          <w:kern w:val="0"/>
          <w:sz w:val="24"/>
        </w:rPr>
        <w:t>二、人员配备标准：</w:t>
      </w:r>
    </w:p>
    <w:p w14:paraId="57DF5334">
      <w:pPr>
        <w:pStyle w:val="25"/>
        <w:ind w:firstLine="480"/>
        <w:rPr>
          <w:rFonts w:ascii="宋体" w:hAnsi="宋体"/>
          <w:kern w:val="0"/>
          <w:sz w:val="24"/>
        </w:rPr>
      </w:pPr>
      <w:r>
        <w:rPr>
          <w:rFonts w:hint="eastAsia" w:ascii="宋体" w:hAnsi="宋体"/>
          <w:kern w:val="0"/>
          <w:sz w:val="24"/>
        </w:rPr>
        <w:t>（1）符合采购人工作任务所要求的健康标准，能够胜任中标人安排其从事的劳务工作，保证按时完成工作任务；</w:t>
      </w:r>
    </w:p>
    <w:p w14:paraId="67B9A76F">
      <w:pPr>
        <w:pStyle w:val="25"/>
        <w:ind w:firstLine="480"/>
        <w:rPr>
          <w:rFonts w:ascii="宋体" w:hAnsi="宋体"/>
          <w:kern w:val="0"/>
          <w:sz w:val="24"/>
        </w:rPr>
      </w:pPr>
      <w:r>
        <w:rPr>
          <w:rFonts w:hint="eastAsia" w:ascii="宋体" w:hAnsi="宋体"/>
          <w:kern w:val="0"/>
          <w:sz w:val="24"/>
        </w:rPr>
        <w:t>（2）具有吃苦耐劳精神，服务意识较强；</w:t>
      </w:r>
    </w:p>
    <w:p w14:paraId="41B8EDCC">
      <w:pPr>
        <w:pStyle w:val="25"/>
        <w:ind w:firstLine="480"/>
        <w:rPr>
          <w:rFonts w:ascii="宋体" w:hAnsi="宋体"/>
          <w:kern w:val="0"/>
          <w:sz w:val="24"/>
        </w:rPr>
      </w:pPr>
      <w:r>
        <w:rPr>
          <w:rFonts w:hint="eastAsia" w:ascii="宋体" w:hAnsi="宋体"/>
          <w:kern w:val="0"/>
          <w:sz w:val="24"/>
        </w:rPr>
        <w:t>（3）年龄在18周岁以上，男员工不高于 60 周岁，女员工不高于 55 周岁。</w:t>
      </w:r>
    </w:p>
    <w:p w14:paraId="11A486E3">
      <w:pPr>
        <w:pStyle w:val="25"/>
        <w:ind w:firstLine="482"/>
        <w:rPr>
          <w:rFonts w:ascii="宋体" w:hAnsi="宋体"/>
          <w:b/>
          <w:bCs/>
          <w:kern w:val="0"/>
          <w:sz w:val="24"/>
        </w:rPr>
      </w:pPr>
      <w:r>
        <w:rPr>
          <w:rFonts w:hint="eastAsia" w:ascii="宋体" w:hAnsi="宋体"/>
          <w:b/>
          <w:bCs/>
          <w:kern w:val="0"/>
          <w:sz w:val="24"/>
        </w:rPr>
        <w:t>三、服务地点：</w:t>
      </w:r>
    </w:p>
    <w:p w14:paraId="4F359013">
      <w:pPr>
        <w:spacing w:line="440" w:lineRule="exact"/>
        <w:ind w:firstLine="360" w:firstLineChars="150"/>
        <w:rPr>
          <w:rFonts w:ascii="宋体" w:hAnsi="宋体"/>
          <w:kern w:val="0"/>
          <w:sz w:val="24"/>
        </w:rPr>
      </w:pPr>
      <w:r>
        <w:rPr>
          <w:rFonts w:hint="eastAsia" w:ascii="宋体" w:hAnsi="宋体" w:cs="宋体"/>
          <w:snapToGrid w:val="0"/>
          <w:kern w:val="0"/>
          <w:sz w:val="24"/>
        </w:rPr>
        <w:t>海南省屯昌县G224国道79公里处海钢（屯昌）建材科技有限公司厂区、生活区、办公区，项目总占地103亩。</w:t>
      </w:r>
    </w:p>
    <w:p w14:paraId="44E8C0EA">
      <w:pPr>
        <w:spacing w:line="440" w:lineRule="exact"/>
        <w:ind w:firstLine="482" w:firstLineChars="200"/>
        <w:rPr>
          <w:rFonts w:ascii="宋体" w:hAnsi="宋体" w:cs="宋体"/>
          <w:b/>
          <w:snapToGrid w:val="0"/>
          <w:kern w:val="0"/>
          <w:sz w:val="24"/>
        </w:rPr>
      </w:pPr>
      <w:r>
        <w:rPr>
          <w:rFonts w:hint="eastAsia" w:ascii="宋体" w:hAnsi="宋体" w:cs="宋体"/>
          <w:b/>
          <w:snapToGrid w:val="0"/>
          <w:kern w:val="0"/>
          <w:sz w:val="24"/>
        </w:rPr>
        <w:t>四、服务费用结算</w:t>
      </w:r>
    </w:p>
    <w:p w14:paraId="57172EAE">
      <w:pPr>
        <w:spacing w:line="440" w:lineRule="exact"/>
        <w:ind w:firstLine="480" w:firstLineChars="200"/>
        <w:rPr>
          <w:rFonts w:ascii="宋体" w:hAnsi="宋体" w:cs="宋体"/>
          <w:snapToGrid w:val="0"/>
          <w:kern w:val="0"/>
          <w:sz w:val="24"/>
        </w:rPr>
      </w:pPr>
      <w:r>
        <w:rPr>
          <w:rFonts w:hint="eastAsia" w:ascii="宋体" w:hAnsi="宋体" w:cs="宋体"/>
          <w:snapToGrid w:val="0"/>
          <w:kern w:val="0"/>
          <w:sz w:val="24"/>
        </w:rPr>
        <w:t>1、物业服务费用每月结算一次，每月</w:t>
      </w:r>
      <w:r>
        <w:rPr>
          <w:rFonts w:hint="eastAsia" w:ascii="宋体" w:hAnsi="宋体" w:cs="宋体"/>
          <w:snapToGrid w:val="0"/>
          <w:kern w:val="0"/>
          <w:sz w:val="24"/>
          <w:u w:val="single"/>
        </w:rPr>
        <w:t>5</w:t>
      </w:r>
      <w:r>
        <w:rPr>
          <w:rFonts w:hint="eastAsia" w:ascii="宋体" w:hAnsi="宋体" w:cs="宋体"/>
          <w:snapToGrid w:val="0"/>
          <w:kern w:val="0"/>
          <w:sz w:val="24"/>
        </w:rPr>
        <w:t>日前，根据中标人完成情况结算上月物业服务费用。</w:t>
      </w:r>
    </w:p>
    <w:p w14:paraId="06DF1D62">
      <w:pPr>
        <w:spacing w:line="440" w:lineRule="exact"/>
        <w:ind w:firstLine="480" w:firstLineChars="200"/>
        <w:rPr>
          <w:rFonts w:ascii="宋体" w:hAnsi="宋体" w:cs="宋体"/>
          <w:snapToGrid w:val="0"/>
          <w:kern w:val="0"/>
          <w:sz w:val="24"/>
        </w:rPr>
      </w:pPr>
      <w:r>
        <w:rPr>
          <w:rFonts w:hint="eastAsia" w:ascii="宋体" w:hAnsi="宋体" w:cs="宋体"/>
          <w:snapToGrid w:val="0"/>
          <w:kern w:val="0"/>
          <w:sz w:val="24"/>
        </w:rPr>
        <w:t>2、书面确认上月发生的物业服务费用后，中标人应开具符合采购人要求的有效全额增值税专用发票，采购人在收到发票并确认无误后</w:t>
      </w:r>
      <w:r>
        <w:rPr>
          <w:rFonts w:hint="eastAsia" w:ascii="宋体" w:hAnsi="宋体" w:cs="宋体"/>
          <w:snapToGrid w:val="0"/>
          <w:kern w:val="0"/>
          <w:sz w:val="24"/>
          <w:u w:val="single"/>
        </w:rPr>
        <w:t>10</w:t>
      </w:r>
      <w:r>
        <w:rPr>
          <w:rFonts w:hint="eastAsia" w:ascii="宋体" w:hAnsi="宋体" w:cs="宋体"/>
          <w:snapToGrid w:val="0"/>
          <w:kern w:val="0"/>
          <w:sz w:val="24"/>
        </w:rPr>
        <w:t>日内将中标人上月物业服务费用汇至中标人指定的银行账户。如因发票不真实、无效而导致采购人不能在所得税中扣除或被税务稽查的，由此给采购人造成的损失由中标人承担。</w:t>
      </w:r>
    </w:p>
    <w:p w14:paraId="01D25807">
      <w:pPr>
        <w:spacing w:line="440" w:lineRule="exact"/>
        <w:ind w:firstLine="480" w:firstLineChars="200"/>
        <w:rPr>
          <w:rFonts w:ascii="宋体" w:hAnsi="宋体" w:cs="宋体"/>
          <w:snapToGrid w:val="0"/>
          <w:kern w:val="0"/>
          <w:sz w:val="24"/>
        </w:rPr>
      </w:pPr>
      <w:r>
        <w:rPr>
          <w:rFonts w:hint="eastAsia" w:ascii="宋体" w:hAnsi="宋体" w:cs="宋体"/>
          <w:snapToGrid w:val="0"/>
          <w:kern w:val="0"/>
          <w:sz w:val="24"/>
        </w:rPr>
        <w:t>3、中标人食堂各项采买费用将根据采购人为职工定制的餐标进行预收，于每月5日前将该笔款项转至中标人合作供应商账户，双方确认职工人数，中标人将统一为职工制卡或充卡，方便职工进行刷卡就餐和消费。</w:t>
      </w:r>
    </w:p>
    <w:p w14:paraId="4428E27D">
      <w:pPr>
        <w:spacing w:line="440" w:lineRule="exact"/>
        <w:ind w:firstLine="482" w:firstLineChars="200"/>
        <w:rPr>
          <w:rFonts w:ascii="宋体" w:hAnsi="宋体" w:cs="宋体"/>
          <w:b/>
          <w:snapToGrid w:val="0"/>
          <w:kern w:val="0"/>
          <w:sz w:val="24"/>
        </w:rPr>
      </w:pPr>
      <w:r>
        <w:rPr>
          <w:rFonts w:hint="eastAsia" w:ascii="宋体" w:hAnsi="宋体" w:cs="宋体"/>
          <w:b/>
          <w:snapToGrid w:val="0"/>
          <w:kern w:val="0"/>
          <w:sz w:val="24"/>
        </w:rPr>
        <w:t>五、双方权利义务</w:t>
      </w:r>
    </w:p>
    <w:p w14:paraId="08FA250C">
      <w:pPr>
        <w:spacing w:line="440" w:lineRule="exact"/>
        <w:ind w:firstLine="495"/>
        <w:rPr>
          <w:rFonts w:ascii="宋体" w:hAnsi="宋体" w:cs="宋体"/>
          <w:b/>
          <w:snapToGrid w:val="0"/>
          <w:kern w:val="0"/>
          <w:sz w:val="24"/>
        </w:rPr>
      </w:pPr>
      <w:r>
        <w:rPr>
          <w:rFonts w:hint="eastAsia" w:ascii="宋体" w:hAnsi="宋体" w:cs="宋体"/>
          <w:b/>
          <w:snapToGrid w:val="0"/>
          <w:kern w:val="0"/>
          <w:sz w:val="24"/>
        </w:rPr>
        <w:t>1、采购人权利义务</w:t>
      </w:r>
    </w:p>
    <w:p w14:paraId="573D9E9D">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（1）向中标人告知采购人的安全生产规章制度和安全操作规程，中标人应督促其安排至采购人的作业人员（下称“中标人作业人员”）遵守采购人规章制度及安全操作规程。</w:t>
      </w:r>
    </w:p>
    <w:p w14:paraId="44372AB4">
      <w:pPr>
        <w:spacing w:line="440" w:lineRule="exact"/>
        <w:ind w:firstLine="360" w:firstLineChars="150"/>
        <w:rPr>
          <w:rFonts w:ascii="宋体" w:hAnsi="宋体" w:cs="宋体"/>
          <w:snapToGrid w:val="0"/>
          <w:color w:val="000000" w:themeColor="text1"/>
          <w:kern w:val="0"/>
          <w:sz w:val="24"/>
        </w:rPr>
      </w:pPr>
      <w:r>
        <w:rPr>
          <w:rFonts w:hint="eastAsia" w:ascii="宋体" w:hAnsi="宋体" w:cs="宋体"/>
          <w:snapToGrid w:val="0"/>
          <w:color w:val="000000" w:themeColor="text1"/>
          <w:kern w:val="0"/>
          <w:sz w:val="24"/>
        </w:rPr>
        <w:t>（2）为中标人提供劳务作业必需的常用生产工器具（如扫把、铲子等）、办公工位等</w:t>
      </w:r>
      <w:r>
        <w:rPr>
          <w:rFonts w:hint="eastAsia" w:ascii="宋体" w:hAnsi="宋体" w:cs="宋体"/>
          <w:snapToGrid w:val="0"/>
          <w:color w:val="000000" w:themeColor="text1"/>
          <w:kern w:val="0"/>
          <w:sz w:val="24"/>
          <w:lang w:eastAsia="zh-CN"/>
        </w:rPr>
        <w:t>，</w:t>
      </w:r>
      <w:r>
        <w:rPr>
          <w:rFonts w:hint="eastAsia" w:ascii="宋体" w:hAnsi="宋体" w:cs="宋体"/>
          <w:snapToGrid w:val="0"/>
          <w:color w:val="FF0000"/>
          <w:kern w:val="0"/>
          <w:sz w:val="24"/>
          <w:lang w:val="en-US" w:eastAsia="zh-CN"/>
        </w:rPr>
        <w:t>提供住宿</w:t>
      </w:r>
      <w:r>
        <w:rPr>
          <w:rFonts w:hint="eastAsia" w:ascii="宋体" w:hAnsi="宋体" w:cs="宋体"/>
          <w:snapToGrid w:val="0"/>
          <w:color w:val="FF0000"/>
          <w:kern w:val="0"/>
          <w:sz w:val="24"/>
        </w:rPr>
        <w:t>。</w:t>
      </w:r>
    </w:p>
    <w:p w14:paraId="60803071">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（3）提醒中标人注意采购人作业场所和工作岗位存在的危险因素，提醒中标人采取必要的防范措施以及事故应急措施。</w:t>
      </w:r>
    </w:p>
    <w:p w14:paraId="4059583F">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（4）对中标人作业人员在作业过程中的不安全因素或行为进行监督并提出建议。</w:t>
      </w:r>
    </w:p>
    <w:p w14:paraId="3100C11C">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（5）按照本协议约定与中标人结算并支付劳务服务费用。</w:t>
      </w:r>
    </w:p>
    <w:p w14:paraId="1D04E083">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（6）依据《食堂管理服务标准》要求，负责对餐厅进行检查、督导、考核，包括：服务质量、食品卫生、饭菜价格、安全环保、员工投诉、满意率等，并有权作出整改的要求；</w:t>
      </w:r>
    </w:p>
    <w:p w14:paraId="260C9EEB">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（7）有权对食堂进菜、配菜、营养搭配、服务水平及卫生状况进行监督，有权要求中标人及时整改；</w:t>
      </w:r>
    </w:p>
    <w:p w14:paraId="3DA7FFED">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（8）有权定期对员工饭卡及餐票核销数据进行核算及监督；</w:t>
      </w:r>
    </w:p>
    <w:p w14:paraId="3FFD5373">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（9）有权每季度对食堂就餐满意度进行抽查；</w:t>
      </w:r>
    </w:p>
    <w:p w14:paraId="5FA47DF8">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（10）有权对食堂仓库及食材验收进行监督检查；</w:t>
      </w:r>
    </w:p>
    <w:p w14:paraId="39EF767D">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（11）承担食堂服务配套设施设备维修及养护费用。</w:t>
      </w:r>
    </w:p>
    <w:p w14:paraId="446AE8E9">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（12）提供餐厅现有的房屋、设备、厨具、餐具，并对现有的房屋、设备、厨具进行移交前保养维修使其处于可正常使用的状态；</w:t>
      </w:r>
    </w:p>
    <w:p w14:paraId="301AFB73">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（13）根据食堂执行管理要求增设相应管理设备，以及就餐人员日益增加，所需增添部分的厨具和餐具；</w:t>
      </w:r>
    </w:p>
    <w:p w14:paraId="1293C1FD">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（14）餐厅提供水、电、燃油费、行政性收费、前期餐厅房屋、设备、厨具维修费及厨具、餐具添置费；</w:t>
      </w:r>
    </w:p>
    <w:p w14:paraId="0CC38B16">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（15）提供办理餐饮服务申报证照所需资料。</w:t>
      </w:r>
    </w:p>
    <w:p w14:paraId="59B0F855">
      <w:pPr>
        <w:spacing w:line="440" w:lineRule="exact"/>
        <w:ind w:firstLine="361" w:firstLineChars="150"/>
        <w:rPr>
          <w:rFonts w:ascii="宋体" w:hAnsi="宋体" w:cs="宋体"/>
          <w:b/>
          <w:bCs/>
          <w:snapToGrid w:val="0"/>
          <w:kern w:val="0"/>
          <w:sz w:val="24"/>
        </w:rPr>
      </w:pPr>
      <w:r>
        <w:rPr>
          <w:rFonts w:hint="eastAsia" w:ascii="宋体" w:hAnsi="宋体" w:cs="宋体"/>
          <w:b/>
          <w:bCs/>
          <w:snapToGrid w:val="0"/>
          <w:kern w:val="0"/>
          <w:sz w:val="24"/>
        </w:rPr>
        <w:t>2、中标人权利义务</w:t>
      </w:r>
    </w:p>
    <w:p w14:paraId="136E959A">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中标人保证已与中标人作业人员建立了合法的劳动关系，并已按照劳动法律法规为其办理相关保险，按时向其支付劳动报酬；否则，因此发生劳动争议而引起的后果及责任概由中标人自行承担，若中标人作业人员在履行本合同过程中发生安全事故的，中标人负责办理保险理赔手续并承担相关的经济和法律责任，与采购人无关。</w:t>
      </w:r>
    </w:p>
    <w:p w14:paraId="34DA0778">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（2）中标人应配置专职的安全生产管理人员，且确保该安全管理人员负责管理中标人作业人员的安全生产管理工作，并参加采购人组织的安全生产相关会议或培训。</w:t>
      </w:r>
    </w:p>
    <w:p w14:paraId="0617C70F">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3）中标人在安排其作业人员进行采购人劳务作业前，应对作业人员进行培训，确保其知晓从事采购人相应劳务作业所需的安全生产知识，熟悉并遵守采购人有关的安全生产规章制度和安全操作规程，掌握相应劳务作业所具备的安全操作技能等。</w:t>
      </w:r>
    </w:p>
    <w:p w14:paraId="3E6E122F">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（4）中标人依据《食堂管理服务标准》对餐厅管理服务标准提出建议，经采购人同意后落地执行；</w:t>
      </w:r>
    </w:p>
    <w:p w14:paraId="57767190">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（5）中标人负责食堂的经营管理，具体包括食堂人事、菜肴的搭配与制作、就餐环境卫生、服务等；</w:t>
      </w:r>
    </w:p>
    <w:p w14:paraId="04327315">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（6）中标人必须遵守国家和地方有关环境和食品卫生的标准，严禁发生供应腐烂变质的食材，保持菜肴的新鲜和卫生；</w:t>
      </w:r>
    </w:p>
    <w:p w14:paraId="329143CC">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（7）中标人确保执行不低于采购人要求的职工用餐标准；</w:t>
      </w:r>
    </w:p>
    <w:p w14:paraId="433C24DD">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（8）中标人负责执行《食堂管理服务标准》管理要求，确保后厨及就餐环境卫生达标；</w:t>
      </w:r>
    </w:p>
    <w:p w14:paraId="497CB54E">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（9）中标人确保食堂服务人员持证（健康证）上岗；</w:t>
      </w:r>
    </w:p>
    <w:p w14:paraId="6488CD8E">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（10）中标人负责食堂设施设备使用完好，定期对设备进行检测及养护；根据食堂运营情况，制定节能管理方案，尽可能节将能耗成本；</w:t>
      </w:r>
    </w:p>
    <w:p w14:paraId="58FEB25C">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（11）中标人每月10日前向采购人汇报上月食堂经营数据，包括但不限食堂食材采购成本、能耗成本、人工成本、设施设备使用状况、员工就餐卡票核销数据；</w:t>
      </w:r>
    </w:p>
    <w:p w14:paraId="2495595C">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（12）中标人定期进行员工就餐满意度调研，并根据调研结果进行改进。</w:t>
      </w:r>
    </w:p>
    <w:p w14:paraId="731D0BC5">
      <w:pPr>
        <w:spacing w:line="440" w:lineRule="exact"/>
        <w:ind w:firstLine="360" w:firstLineChars="150"/>
        <w:rPr>
          <w:rFonts w:ascii="宋体" w:hAnsi="宋体" w:cs="宋体"/>
          <w:snapToGrid w:val="0"/>
          <w:color w:val="000000" w:themeColor="text1"/>
          <w:kern w:val="0"/>
          <w:sz w:val="24"/>
        </w:rPr>
      </w:pPr>
      <w:r>
        <w:rPr>
          <w:rFonts w:hint="eastAsia" w:ascii="宋体" w:hAnsi="宋体" w:cs="宋体"/>
          <w:snapToGrid w:val="0"/>
          <w:color w:val="000000" w:themeColor="text1"/>
          <w:kern w:val="0"/>
          <w:sz w:val="24"/>
        </w:rPr>
        <w:t>（13）中标人自行安排中标人作业人员的住宿、用餐、交通等事宜，费用由中标人承担。</w:t>
      </w:r>
    </w:p>
    <w:p w14:paraId="658BB233">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（14）中标人保证按采购人要求向中标人作业人员发放劳保用品，并保证其作业人员在作业期间正确穿戴劳保用品。</w:t>
      </w:r>
    </w:p>
    <w:p w14:paraId="566E4C64">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（15）中标人保证服从采购人的工作安排，并按照合同约定按时保质保量完成采购人安排的工作任务。</w:t>
      </w:r>
    </w:p>
    <w:p w14:paraId="5066853B">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（16）如采购人认为中标人作业人员不能胜任中标人安排其从事的劳务工作，中标人应在收到采购人通知后</w:t>
      </w:r>
      <w:r>
        <w:rPr>
          <w:rFonts w:hint="eastAsia" w:ascii="宋体" w:hAnsi="宋体" w:cs="宋体"/>
          <w:snapToGrid w:val="0"/>
          <w:kern w:val="0"/>
          <w:sz w:val="24"/>
          <w:u w:val="single"/>
        </w:rPr>
        <w:t>3</w:t>
      </w:r>
      <w:r>
        <w:rPr>
          <w:rFonts w:hint="eastAsia" w:ascii="宋体" w:hAnsi="宋体" w:cs="宋体"/>
          <w:snapToGrid w:val="0"/>
          <w:kern w:val="0"/>
          <w:sz w:val="24"/>
        </w:rPr>
        <w:t>日内予以更换人员。</w:t>
      </w:r>
    </w:p>
    <w:p w14:paraId="56ABBD08">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17）如中标人作业人员在从事采购人劳务工作过程中或采购人劳务工作之外的其他任何活动中，发生安全事故给自身、采购人或任意第三方造成人身损害、财产损失的，中标人应负责处理并自行承担因此产生的一切赔偿责任。如前述赔偿权利人直接向采购人追究赔偿责任的，采购人可代中标人先行赔付，赔付费用由采购人从应付劳务服务费用中扣除，不足以扣除的，采购人有权向中标人进一步追偿。</w:t>
      </w:r>
    </w:p>
    <w:p w14:paraId="4EC0AE2A">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（18）在本合同履行期间，如中标人作业人员发生职业病，与采购人无关，一切责任由中标人承担。</w:t>
      </w:r>
    </w:p>
    <w:p w14:paraId="0817DF8A">
      <w:pPr>
        <w:spacing w:line="440" w:lineRule="exact"/>
        <w:ind w:firstLine="360" w:firstLineChars="150"/>
        <w:rPr>
          <w:rFonts w:ascii="宋体" w:hAnsi="宋体" w:cs="宋体"/>
          <w:b/>
          <w:snapToGrid w:val="0"/>
          <w:kern w:val="0"/>
          <w:sz w:val="24"/>
        </w:rPr>
      </w:pPr>
      <w:r>
        <w:rPr>
          <w:rFonts w:hint="eastAsia" w:ascii="宋体" w:hAnsi="宋体" w:cs="宋体"/>
          <w:snapToGrid w:val="0"/>
          <w:kern w:val="0"/>
          <w:sz w:val="24"/>
        </w:rPr>
        <w:t>（19）因采购人原因导致中标人劳务工作任务变更的，采购人应提前</w:t>
      </w:r>
      <w:r>
        <w:rPr>
          <w:rFonts w:hint="eastAsia" w:ascii="宋体" w:hAnsi="宋体" w:cs="宋体"/>
          <w:snapToGrid w:val="0"/>
          <w:kern w:val="0"/>
          <w:sz w:val="24"/>
          <w:u w:val="single"/>
        </w:rPr>
        <w:t>10</w:t>
      </w:r>
      <w:r>
        <w:rPr>
          <w:rFonts w:hint="eastAsia" w:ascii="宋体" w:hAnsi="宋体" w:cs="宋体"/>
          <w:snapToGrid w:val="0"/>
          <w:kern w:val="0"/>
          <w:sz w:val="24"/>
        </w:rPr>
        <w:t>天通知中标人，中标人应根据采购人实际需要调整人员数量。</w:t>
      </w:r>
    </w:p>
    <w:p w14:paraId="485C3B49">
      <w:pPr>
        <w:adjustRightInd w:val="0"/>
        <w:snapToGrid w:val="0"/>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六、服务类别</w:t>
      </w:r>
    </w:p>
    <w:p w14:paraId="598A98C9">
      <w:pPr>
        <w:pStyle w:val="12"/>
        <w:adjustRightInd w:val="0"/>
        <w:spacing w:line="360" w:lineRule="auto"/>
        <w:ind w:firstLine="480" w:firstLineChars="200"/>
        <w:rPr>
          <w:rFonts w:ascii="宋体" w:hAnsi="宋体" w:eastAsia="宋体" w:cs="宋体"/>
          <w:snapToGrid w:val="0"/>
          <w:kern w:val="0"/>
          <w:szCs w:val="24"/>
        </w:rPr>
      </w:pPr>
      <w:r>
        <w:rPr>
          <w:rFonts w:hint="eastAsia" w:ascii="宋体" w:hAnsi="宋体" w:eastAsia="宋体" w:cs="宋体"/>
          <w:snapToGrid w:val="0"/>
          <w:kern w:val="0"/>
          <w:szCs w:val="24"/>
        </w:rPr>
        <w:t>安保服务：厂区、生活区、办公区安保服务。</w:t>
      </w:r>
    </w:p>
    <w:p w14:paraId="5F71F968">
      <w:pPr>
        <w:pStyle w:val="12"/>
        <w:adjustRightInd w:val="0"/>
        <w:spacing w:line="360" w:lineRule="auto"/>
        <w:ind w:firstLine="480" w:firstLineChars="200"/>
        <w:rPr>
          <w:rFonts w:ascii="宋体" w:hAnsi="宋体" w:eastAsia="宋体" w:cs="宋体"/>
          <w:snapToGrid w:val="0"/>
          <w:kern w:val="0"/>
          <w:szCs w:val="24"/>
        </w:rPr>
      </w:pPr>
      <w:r>
        <w:rPr>
          <w:rFonts w:hint="eastAsia" w:ascii="宋体" w:hAnsi="宋体" w:eastAsia="宋体" w:cs="宋体"/>
          <w:snapToGrid w:val="0"/>
          <w:kern w:val="0"/>
          <w:szCs w:val="24"/>
        </w:rPr>
        <w:t>绿化保洁服务：办公楼、厂区、生活区绿化保洁服务。</w:t>
      </w:r>
    </w:p>
    <w:p w14:paraId="6B6B80A6">
      <w:pPr>
        <w:pStyle w:val="12"/>
        <w:adjustRightInd w:val="0"/>
        <w:spacing w:line="360" w:lineRule="auto"/>
        <w:ind w:firstLine="480" w:firstLineChars="200"/>
        <w:rPr>
          <w:rFonts w:ascii="宋体" w:hAnsi="宋体" w:eastAsia="宋体" w:cs="宋体"/>
          <w:snapToGrid w:val="0"/>
          <w:kern w:val="0"/>
          <w:szCs w:val="24"/>
        </w:rPr>
      </w:pPr>
      <w:r>
        <w:rPr>
          <w:rFonts w:hint="eastAsia" w:ascii="宋体" w:hAnsi="宋体" w:eastAsia="宋体" w:cs="宋体"/>
          <w:snapToGrid w:val="0"/>
          <w:kern w:val="0"/>
          <w:szCs w:val="24"/>
        </w:rPr>
        <w:t>食堂服务：厂区、生活区食堂餐饮服务。</w:t>
      </w:r>
    </w:p>
    <w:p w14:paraId="37CBE305">
      <w:pPr>
        <w:pStyle w:val="12"/>
        <w:adjustRightInd w:val="0"/>
        <w:spacing w:line="360" w:lineRule="auto"/>
        <w:ind w:firstLine="480" w:firstLineChars="200"/>
        <w:rPr>
          <w:rFonts w:ascii="宋体" w:hAnsi="宋体" w:eastAsia="宋体" w:cs="宋体"/>
          <w:snapToGrid w:val="0"/>
          <w:kern w:val="0"/>
          <w:szCs w:val="24"/>
        </w:rPr>
      </w:pPr>
      <w:r>
        <w:rPr>
          <w:rFonts w:hint="eastAsia" w:ascii="宋体" w:hAnsi="宋体" w:eastAsia="宋体" w:cs="宋体"/>
          <w:snapToGrid w:val="0"/>
          <w:kern w:val="0"/>
          <w:szCs w:val="24"/>
        </w:rPr>
        <w:t>临时劳务：其他临时性劳务。</w:t>
      </w:r>
    </w:p>
    <w:p w14:paraId="6EC251D1">
      <w:pPr>
        <w:pStyle w:val="12"/>
        <w:adjustRightInd w:val="0"/>
        <w:spacing w:line="360" w:lineRule="auto"/>
        <w:ind w:firstLine="482" w:firstLineChars="200"/>
        <w:rPr>
          <w:rFonts w:ascii="宋体" w:hAnsi="宋体" w:eastAsia="宋体" w:cs="宋体"/>
          <w:b/>
          <w:bCs/>
          <w:snapToGrid w:val="0"/>
          <w:kern w:val="0"/>
          <w:szCs w:val="24"/>
        </w:rPr>
      </w:pPr>
      <w:r>
        <w:rPr>
          <w:rFonts w:hint="eastAsia" w:ascii="宋体" w:hAnsi="宋体" w:eastAsia="宋体" w:cs="宋体"/>
          <w:b/>
          <w:bCs/>
          <w:snapToGrid w:val="0"/>
          <w:kern w:val="0"/>
          <w:szCs w:val="24"/>
        </w:rPr>
        <w:t>七、人员配置需求</w:t>
      </w:r>
    </w:p>
    <w:p w14:paraId="6B216FA9">
      <w:pPr>
        <w:pStyle w:val="12"/>
        <w:adjustRightInd w:val="0"/>
        <w:spacing w:line="360" w:lineRule="auto"/>
        <w:ind w:firstLine="480" w:firstLineChars="200"/>
        <w:rPr>
          <w:rFonts w:ascii="宋体" w:hAnsi="宋体"/>
          <w:kern w:val="0"/>
        </w:rPr>
      </w:pPr>
      <w:r>
        <w:rPr>
          <w:rFonts w:hint="eastAsia" w:ascii="宋体" w:hAnsi="宋体" w:eastAsia="宋体" w:cs="宋体"/>
          <w:snapToGrid w:val="0"/>
          <w:kern w:val="0"/>
          <w:szCs w:val="24"/>
        </w:rPr>
        <w:t>厂区内现有物业服务人员共计16名，其中安保人员6人、环境卫生保洁人员5人、厨师2人、服务员3人。供应商可根据自身管理体系进行优化调整，为确保平稳过渡，同等条件下可优先沿用原有人员。</w:t>
      </w:r>
    </w:p>
    <w:p w14:paraId="013CA9CA">
      <w:pPr>
        <w:pStyle w:val="12"/>
        <w:adjustRightInd w:val="0"/>
        <w:spacing w:line="360" w:lineRule="auto"/>
        <w:ind w:firstLine="480" w:firstLineChars="200"/>
        <w:rPr>
          <w:rFonts w:ascii="宋体" w:hAnsi="宋体" w:eastAsia="宋体" w:cs="宋体"/>
          <w:snapToGrid w:val="0"/>
          <w:kern w:val="0"/>
          <w:szCs w:val="24"/>
        </w:rPr>
      </w:pPr>
      <w:r>
        <w:rPr>
          <w:rFonts w:hint="eastAsia" w:ascii="宋体" w:hAnsi="宋体" w:eastAsia="宋体" w:cs="宋体"/>
          <w:snapToGrid w:val="0"/>
          <w:kern w:val="0"/>
          <w:szCs w:val="24"/>
        </w:rPr>
        <w:t>备注：1.报价含中标人应支付给其劳务人员工资、劳保费用、保险费、职业病防治和体检费、生活设施及住房租赁费和水电费、税金、管理费、利润等一切费用，</w:t>
      </w:r>
      <w:r>
        <w:rPr>
          <w:rFonts w:hint="eastAsia" w:ascii="宋体" w:hAnsi="宋体" w:eastAsia="宋体" w:cs="宋体"/>
          <w:snapToGrid w:val="0"/>
          <w:color w:val="FF0000"/>
          <w:kern w:val="0"/>
          <w:szCs w:val="24"/>
          <w:lang w:val="en-US" w:eastAsia="zh-CN"/>
        </w:rPr>
        <w:t>包含厂区约120人的伙食费用。</w:t>
      </w:r>
      <w:r>
        <w:rPr>
          <w:rFonts w:hint="eastAsia" w:ascii="宋体" w:hAnsi="宋体" w:eastAsia="宋体" w:cs="宋体"/>
          <w:snapToGrid w:val="0"/>
          <w:kern w:val="0"/>
          <w:szCs w:val="24"/>
        </w:rPr>
        <w:t>采购人不再支付上述单价费用之外的其他费用。</w:t>
      </w:r>
    </w:p>
    <w:p w14:paraId="72EAD585">
      <w:pPr>
        <w:pStyle w:val="12"/>
        <w:numPr>
          <w:ilvl w:val="0"/>
          <w:numId w:val="1"/>
        </w:numPr>
        <w:adjustRightInd w:val="0"/>
        <w:spacing w:line="360" w:lineRule="auto"/>
        <w:ind w:firstLine="480" w:firstLineChars="200"/>
        <w:rPr>
          <w:rFonts w:hint="eastAsia" w:ascii="宋体" w:hAnsi="宋体" w:eastAsia="宋体" w:cs="宋体"/>
          <w:snapToGrid w:val="0"/>
          <w:kern w:val="0"/>
          <w:szCs w:val="24"/>
        </w:rPr>
      </w:pPr>
      <w:r>
        <w:rPr>
          <w:rFonts w:hint="eastAsia" w:ascii="宋体" w:hAnsi="宋体" w:eastAsia="宋体" w:cs="宋体"/>
          <w:snapToGrid w:val="0"/>
          <w:kern w:val="0"/>
          <w:szCs w:val="24"/>
        </w:rPr>
        <w:t>物业服务费用实行包干制，月度根据各作业标准进行考核，对服务质量不符合规定要求的进行相应处罚。</w:t>
      </w:r>
    </w:p>
    <w:p w14:paraId="3957F40D"/>
    <w:p w14:paraId="0A8F7C4E"/>
    <w:p w14:paraId="019B09F2"/>
    <w:p w14:paraId="311E7F43"/>
    <w:p w14:paraId="44934B83"/>
    <w:p w14:paraId="51BE9352"/>
    <w:p w14:paraId="293AA451"/>
    <w:p w14:paraId="4B2EA3A0"/>
    <w:p w14:paraId="77BE4D00"/>
    <w:p w14:paraId="460AEB78"/>
    <w:p w14:paraId="1E7118BC"/>
    <w:p w14:paraId="1163F672"/>
    <w:p w14:paraId="56CAAEC2"/>
    <w:p w14:paraId="2F0EF1C6"/>
    <w:p w14:paraId="42621550"/>
    <w:p w14:paraId="56E89BA1"/>
    <w:p w14:paraId="6CD95BA6"/>
    <w:p w14:paraId="04A63DFC"/>
    <w:p w14:paraId="0BFD868E"/>
    <w:p w14:paraId="46A665E0"/>
    <w:p w14:paraId="5521A0AC"/>
    <w:p w14:paraId="019B778F"/>
    <w:p w14:paraId="587374CE"/>
    <w:p w14:paraId="7999263D"/>
    <w:p w14:paraId="2940AB63"/>
    <w:p w14:paraId="650D90A7"/>
    <w:p w14:paraId="053436B6"/>
    <w:p w14:paraId="6997FA0E"/>
    <w:p w14:paraId="63FF0ACB"/>
    <w:p w14:paraId="3AC07FE3"/>
    <w:p w14:paraId="36E684A3"/>
    <w:p w14:paraId="2F8DF326"/>
    <w:p w14:paraId="14153CB5"/>
    <w:p w14:paraId="39E74271"/>
    <w:p w14:paraId="7E45073C"/>
    <w:p w14:paraId="7B5812CE"/>
    <w:p w14:paraId="7ACC3C38">
      <w:pPr>
        <w:pStyle w:val="2"/>
        <w:jc w:val="center"/>
      </w:pPr>
      <w:bookmarkStart w:id="48" w:name="_Toc7447"/>
      <w:r>
        <w:rPr>
          <w:rFonts w:hint="eastAsia"/>
        </w:rPr>
        <w:t>第四章评标办法</w:t>
      </w:r>
      <w:bookmarkEnd w:id="48"/>
    </w:p>
    <w:p w14:paraId="739CD655">
      <w:pPr>
        <w:pStyle w:val="29"/>
        <w:shd w:val="clear" w:color="auto" w:fill="FFFFFF"/>
        <w:spacing w:before="156" w:beforeAutospacing="0" w:after="312" w:afterAutospacing="0" w:line="340" w:lineRule="exact"/>
        <w:rPr>
          <w:rFonts w:ascii="仿宋" w:hAnsi="仿宋" w:eastAsia="仿宋"/>
          <w:sz w:val="27"/>
          <w:szCs w:val="27"/>
        </w:rPr>
      </w:pPr>
      <w:r>
        <w:rPr>
          <w:rFonts w:hint="eastAsia" w:ascii="仿宋" w:hAnsi="仿宋" w:eastAsia="仿宋" w:cs="微软雅黑"/>
          <w:sz w:val="27"/>
          <w:szCs w:val="27"/>
        </w:rPr>
        <w:t>标包名称：</w:t>
      </w:r>
      <w:r>
        <w:rPr>
          <w:rFonts w:hint="eastAsia" w:eastAsia="仿宋"/>
          <w:sz w:val="27"/>
          <w:szCs w:val="27"/>
        </w:rPr>
        <w:t> </w:t>
      </w:r>
      <w:r>
        <w:rPr>
          <w:rFonts w:hint="eastAsia" w:ascii="仿宋" w:hAnsi="仿宋" w:eastAsia="仿宋"/>
          <w:sz w:val="27"/>
          <w:szCs w:val="27"/>
        </w:rPr>
        <w:t>项目自身</w:t>
      </w:r>
    </w:p>
    <w:p w14:paraId="671CF88C">
      <w:pPr>
        <w:pStyle w:val="3"/>
      </w:pPr>
      <w:bookmarkStart w:id="49" w:name="_Toc10132"/>
      <w:r>
        <w:rPr>
          <w:rFonts w:hint="eastAsia"/>
        </w:rPr>
        <w:t>1、资格性审查标准</w:t>
      </w:r>
      <w:bookmarkEnd w:id="49"/>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7"/>
        <w:gridCol w:w="6947"/>
      </w:tblGrid>
      <w:tr w14:paraId="7700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Align w:val="center"/>
          </w:tcPr>
          <w:p w14:paraId="2E4F21B2">
            <w:pPr>
              <w:spacing w:line="480" w:lineRule="exact"/>
              <w:jc w:val="center"/>
              <w:rPr>
                <w:b/>
                <w:bCs/>
              </w:rPr>
            </w:pPr>
            <w:r>
              <w:rPr>
                <w:rFonts w:hint="eastAsia" w:cs="宋体"/>
                <w:b/>
                <w:bCs/>
              </w:rPr>
              <w:t>序号</w:t>
            </w:r>
          </w:p>
        </w:tc>
        <w:tc>
          <w:tcPr>
            <w:tcW w:w="1417" w:type="dxa"/>
            <w:vAlign w:val="center"/>
          </w:tcPr>
          <w:p w14:paraId="72C1DB59">
            <w:pPr>
              <w:spacing w:line="480" w:lineRule="exact"/>
              <w:jc w:val="center"/>
              <w:rPr>
                <w:b/>
                <w:bCs/>
              </w:rPr>
            </w:pPr>
            <w:r>
              <w:rPr>
                <w:rFonts w:hint="eastAsia" w:cs="宋体"/>
                <w:b/>
                <w:bCs/>
              </w:rPr>
              <w:t>审查项目</w:t>
            </w:r>
          </w:p>
        </w:tc>
        <w:tc>
          <w:tcPr>
            <w:tcW w:w="6947" w:type="dxa"/>
            <w:vAlign w:val="center"/>
          </w:tcPr>
          <w:p w14:paraId="588358CF">
            <w:pPr>
              <w:spacing w:line="480" w:lineRule="exact"/>
              <w:jc w:val="center"/>
              <w:rPr>
                <w:b/>
                <w:bCs/>
              </w:rPr>
            </w:pPr>
            <w:r>
              <w:rPr>
                <w:rFonts w:hint="eastAsia" w:cs="宋体"/>
                <w:b/>
                <w:bCs/>
              </w:rPr>
              <w:t>评议内容</w:t>
            </w:r>
          </w:p>
        </w:tc>
      </w:tr>
      <w:tr w14:paraId="5C74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75" w:type="dxa"/>
            <w:vMerge w:val="restart"/>
            <w:vAlign w:val="center"/>
          </w:tcPr>
          <w:p w14:paraId="223D0317">
            <w:pPr>
              <w:spacing w:line="320" w:lineRule="exact"/>
              <w:jc w:val="center"/>
              <w:rPr>
                <w:b/>
                <w:bCs/>
              </w:rPr>
            </w:pPr>
            <w:r>
              <w:rPr>
                <w:b/>
                <w:bCs/>
              </w:rPr>
              <w:t>1</w:t>
            </w:r>
          </w:p>
        </w:tc>
        <w:tc>
          <w:tcPr>
            <w:tcW w:w="1417" w:type="dxa"/>
            <w:vMerge w:val="restart"/>
            <w:vAlign w:val="center"/>
          </w:tcPr>
          <w:p w14:paraId="3E89A9F1">
            <w:pPr>
              <w:spacing w:line="320" w:lineRule="exact"/>
              <w:jc w:val="center"/>
              <w:rPr>
                <w:b/>
                <w:bCs/>
              </w:rPr>
            </w:pPr>
            <w:r>
              <w:rPr>
                <w:rFonts w:hint="eastAsia" w:cs="宋体"/>
                <w:b/>
                <w:bCs/>
              </w:rPr>
              <w:t>相关资格证明文件</w:t>
            </w:r>
          </w:p>
        </w:tc>
        <w:tc>
          <w:tcPr>
            <w:tcW w:w="6947" w:type="dxa"/>
            <w:vAlign w:val="center"/>
          </w:tcPr>
          <w:p w14:paraId="56EEFBE1">
            <w:pPr>
              <w:rPr>
                <w:rFonts w:cs="宋体"/>
              </w:rPr>
            </w:pPr>
            <w:r>
              <w:rPr>
                <w:rFonts w:hint="eastAsia" w:cs="宋体"/>
              </w:rPr>
              <w:t>在中华人民共和国注册的、具有独立承担民事责任能力的；需提供营业执照副本复印件</w:t>
            </w:r>
          </w:p>
        </w:tc>
      </w:tr>
      <w:tr w14:paraId="51C8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75" w:type="dxa"/>
            <w:vMerge w:val="continue"/>
            <w:vAlign w:val="center"/>
          </w:tcPr>
          <w:p w14:paraId="56A3AAD3">
            <w:pPr>
              <w:spacing w:line="320" w:lineRule="exact"/>
              <w:jc w:val="center"/>
              <w:rPr>
                <w:b/>
                <w:bCs/>
              </w:rPr>
            </w:pPr>
          </w:p>
        </w:tc>
        <w:tc>
          <w:tcPr>
            <w:tcW w:w="1417" w:type="dxa"/>
            <w:vMerge w:val="continue"/>
            <w:vAlign w:val="center"/>
          </w:tcPr>
          <w:p w14:paraId="28F9CED2">
            <w:pPr>
              <w:spacing w:line="320" w:lineRule="exact"/>
              <w:jc w:val="center"/>
              <w:rPr>
                <w:rFonts w:cs="宋体"/>
                <w:b/>
                <w:bCs/>
              </w:rPr>
            </w:pPr>
          </w:p>
        </w:tc>
        <w:tc>
          <w:tcPr>
            <w:tcW w:w="6947" w:type="dxa"/>
            <w:vAlign w:val="center"/>
          </w:tcPr>
          <w:p w14:paraId="031767E2">
            <w:pPr>
              <w:rPr>
                <w:rFonts w:cs="宋体"/>
              </w:rPr>
            </w:pPr>
            <w:r>
              <w:rPr>
                <w:rFonts w:hint="eastAsia" w:cs="宋体"/>
              </w:rPr>
              <w:t>具有良好的商业信誉和健全的财务会计制度(提供承诺函）</w:t>
            </w:r>
          </w:p>
        </w:tc>
      </w:tr>
      <w:tr w14:paraId="65ED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Merge w:val="continue"/>
            <w:vAlign w:val="center"/>
          </w:tcPr>
          <w:p w14:paraId="46F3DFEE">
            <w:pPr>
              <w:spacing w:line="320" w:lineRule="exact"/>
              <w:jc w:val="center"/>
              <w:rPr>
                <w:b/>
                <w:bCs/>
              </w:rPr>
            </w:pPr>
          </w:p>
        </w:tc>
        <w:tc>
          <w:tcPr>
            <w:tcW w:w="1417" w:type="dxa"/>
            <w:vMerge w:val="continue"/>
            <w:vAlign w:val="center"/>
          </w:tcPr>
          <w:p w14:paraId="2335EA28">
            <w:pPr>
              <w:spacing w:line="320" w:lineRule="exact"/>
              <w:jc w:val="center"/>
              <w:rPr>
                <w:rFonts w:cs="宋体"/>
                <w:b/>
                <w:bCs/>
              </w:rPr>
            </w:pPr>
          </w:p>
        </w:tc>
        <w:tc>
          <w:tcPr>
            <w:tcW w:w="6947" w:type="dxa"/>
            <w:vAlign w:val="center"/>
          </w:tcPr>
          <w:p w14:paraId="348F48A9">
            <w:pPr>
              <w:jc w:val="left"/>
            </w:pPr>
            <w:r>
              <w:rPr>
                <w:rFonts w:hint="eastAsia"/>
              </w:rPr>
              <w:t>具有依法缴纳税收和社会保障资金的良好记录（提供承诺函）</w:t>
            </w:r>
          </w:p>
        </w:tc>
      </w:tr>
      <w:tr w14:paraId="649F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Merge w:val="continue"/>
            <w:vAlign w:val="center"/>
          </w:tcPr>
          <w:p w14:paraId="60D9757F">
            <w:pPr>
              <w:spacing w:line="320" w:lineRule="exact"/>
              <w:jc w:val="center"/>
              <w:rPr>
                <w:b/>
                <w:bCs/>
              </w:rPr>
            </w:pPr>
          </w:p>
        </w:tc>
        <w:tc>
          <w:tcPr>
            <w:tcW w:w="1417" w:type="dxa"/>
            <w:vMerge w:val="continue"/>
            <w:vAlign w:val="center"/>
          </w:tcPr>
          <w:p w14:paraId="1A2D1E36">
            <w:pPr>
              <w:spacing w:line="320" w:lineRule="exact"/>
              <w:jc w:val="center"/>
              <w:rPr>
                <w:rFonts w:cs="宋体"/>
                <w:b/>
                <w:bCs/>
              </w:rPr>
            </w:pPr>
          </w:p>
        </w:tc>
        <w:tc>
          <w:tcPr>
            <w:tcW w:w="6947" w:type="dxa"/>
            <w:vAlign w:val="center"/>
          </w:tcPr>
          <w:p w14:paraId="3A514A53">
            <w:pPr>
              <w:jc w:val="left"/>
            </w:pPr>
            <w:r>
              <w:rPr>
                <w:rFonts w:hint="eastAsia"/>
              </w:rPr>
              <w:t>具有履行合同所必需的设备和专业技术能力（提供承诺函）</w:t>
            </w:r>
          </w:p>
        </w:tc>
      </w:tr>
      <w:tr w14:paraId="058D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75" w:type="dxa"/>
            <w:vMerge w:val="continue"/>
            <w:vAlign w:val="center"/>
          </w:tcPr>
          <w:p w14:paraId="7A898F66">
            <w:pPr>
              <w:spacing w:line="320" w:lineRule="exact"/>
              <w:jc w:val="center"/>
              <w:rPr>
                <w:b/>
                <w:bCs/>
              </w:rPr>
            </w:pPr>
          </w:p>
        </w:tc>
        <w:tc>
          <w:tcPr>
            <w:tcW w:w="1417" w:type="dxa"/>
            <w:vMerge w:val="continue"/>
            <w:vAlign w:val="center"/>
          </w:tcPr>
          <w:p w14:paraId="287B962E">
            <w:pPr>
              <w:spacing w:line="320" w:lineRule="exact"/>
              <w:jc w:val="center"/>
              <w:rPr>
                <w:rFonts w:cs="宋体"/>
                <w:b/>
                <w:bCs/>
              </w:rPr>
            </w:pPr>
          </w:p>
        </w:tc>
        <w:tc>
          <w:tcPr>
            <w:tcW w:w="6947" w:type="dxa"/>
            <w:vAlign w:val="center"/>
          </w:tcPr>
          <w:p w14:paraId="6A3B3103">
            <w:r>
              <w:rPr>
                <w:rFonts w:hint="eastAsia"/>
              </w:rPr>
              <w:t>参加本次政府采购活动前三年内，在经营活动中没有重大违法记录（提供声明）</w:t>
            </w:r>
          </w:p>
        </w:tc>
      </w:tr>
      <w:tr w14:paraId="25C2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75" w:type="dxa"/>
            <w:vMerge w:val="continue"/>
            <w:vAlign w:val="center"/>
          </w:tcPr>
          <w:p w14:paraId="1D85F288">
            <w:pPr>
              <w:spacing w:line="320" w:lineRule="exact"/>
              <w:jc w:val="center"/>
              <w:rPr>
                <w:b/>
                <w:bCs/>
              </w:rPr>
            </w:pPr>
          </w:p>
        </w:tc>
        <w:tc>
          <w:tcPr>
            <w:tcW w:w="1417" w:type="dxa"/>
            <w:vMerge w:val="continue"/>
            <w:vAlign w:val="center"/>
          </w:tcPr>
          <w:p w14:paraId="477FA489">
            <w:pPr>
              <w:spacing w:line="320" w:lineRule="exact"/>
              <w:jc w:val="center"/>
              <w:rPr>
                <w:rFonts w:cs="宋体"/>
                <w:b/>
                <w:bCs/>
              </w:rPr>
            </w:pPr>
          </w:p>
        </w:tc>
        <w:tc>
          <w:tcPr>
            <w:tcW w:w="6947" w:type="dxa"/>
            <w:vAlign w:val="center"/>
          </w:tcPr>
          <w:p w14:paraId="7F5DBE06">
            <w:r>
              <w:rPr>
                <w:rFonts w:hint="eastAsia"/>
              </w:rPr>
              <w:t>参加政府采购活动前三年内，在经营活动中没有环保类行政处罚记录（成立不足三年的从成立之日起计算，提供声明）。</w:t>
            </w:r>
          </w:p>
        </w:tc>
      </w:tr>
      <w:tr w14:paraId="6A92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75" w:type="dxa"/>
            <w:vMerge w:val="continue"/>
            <w:vAlign w:val="center"/>
          </w:tcPr>
          <w:p w14:paraId="3A6967C1">
            <w:pPr>
              <w:spacing w:line="320" w:lineRule="exact"/>
              <w:jc w:val="center"/>
              <w:rPr>
                <w:b/>
                <w:bCs/>
              </w:rPr>
            </w:pPr>
          </w:p>
        </w:tc>
        <w:tc>
          <w:tcPr>
            <w:tcW w:w="1417" w:type="dxa"/>
            <w:vMerge w:val="continue"/>
            <w:vAlign w:val="center"/>
          </w:tcPr>
          <w:p w14:paraId="463AB279">
            <w:pPr>
              <w:spacing w:line="320" w:lineRule="exact"/>
              <w:jc w:val="center"/>
              <w:rPr>
                <w:rFonts w:cs="宋体"/>
                <w:b/>
                <w:bCs/>
              </w:rPr>
            </w:pPr>
          </w:p>
        </w:tc>
        <w:tc>
          <w:tcPr>
            <w:tcW w:w="6947" w:type="dxa"/>
            <w:vAlign w:val="center"/>
          </w:tcPr>
          <w:p w14:paraId="68888C6F">
            <w:r>
              <w:rPr>
                <w:rFonts w:hint="eastAsia"/>
              </w:rPr>
              <w:t>供应商诚信守法承诺书</w:t>
            </w:r>
          </w:p>
        </w:tc>
      </w:tr>
      <w:tr w14:paraId="62FF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Merge w:val="continue"/>
            <w:vAlign w:val="center"/>
          </w:tcPr>
          <w:p w14:paraId="60B3C88E">
            <w:pPr>
              <w:spacing w:line="320" w:lineRule="exact"/>
              <w:jc w:val="center"/>
              <w:rPr>
                <w:b/>
                <w:bCs/>
              </w:rPr>
            </w:pPr>
          </w:p>
        </w:tc>
        <w:tc>
          <w:tcPr>
            <w:tcW w:w="1417" w:type="dxa"/>
            <w:vMerge w:val="continue"/>
            <w:vAlign w:val="center"/>
          </w:tcPr>
          <w:p w14:paraId="27522ABA">
            <w:pPr>
              <w:spacing w:line="320" w:lineRule="exact"/>
              <w:jc w:val="center"/>
              <w:rPr>
                <w:rFonts w:cs="宋体"/>
                <w:b/>
                <w:bCs/>
              </w:rPr>
            </w:pPr>
          </w:p>
        </w:tc>
        <w:tc>
          <w:tcPr>
            <w:tcW w:w="6947" w:type="dxa"/>
            <w:vAlign w:val="center"/>
          </w:tcPr>
          <w:p w14:paraId="7E63C3AD">
            <w:r>
              <w:rPr>
                <w:rFonts w:hint="eastAsia"/>
              </w:rPr>
              <w:t>信用信息查询</w:t>
            </w:r>
          </w:p>
        </w:tc>
      </w:tr>
      <w:tr w14:paraId="0B4F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Merge w:val="continue"/>
            <w:vAlign w:val="center"/>
          </w:tcPr>
          <w:p w14:paraId="2F4F417A">
            <w:pPr>
              <w:spacing w:line="320" w:lineRule="exact"/>
              <w:jc w:val="center"/>
              <w:rPr>
                <w:b/>
                <w:bCs/>
              </w:rPr>
            </w:pPr>
          </w:p>
        </w:tc>
        <w:tc>
          <w:tcPr>
            <w:tcW w:w="1417" w:type="dxa"/>
            <w:vMerge w:val="continue"/>
            <w:vAlign w:val="center"/>
          </w:tcPr>
          <w:p w14:paraId="18418FA1">
            <w:pPr>
              <w:spacing w:line="320" w:lineRule="exact"/>
              <w:jc w:val="center"/>
              <w:rPr>
                <w:rFonts w:cs="宋体"/>
                <w:b/>
                <w:bCs/>
              </w:rPr>
            </w:pPr>
          </w:p>
        </w:tc>
        <w:tc>
          <w:tcPr>
            <w:tcW w:w="6947" w:type="dxa"/>
            <w:vAlign w:val="center"/>
          </w:tcPr>
          <w:p w14:paraId="2C39EF09">
            <w:r>
              <w:rPr>
                <w:rFonts w:hint="eastAsia"/>
              </w:rPr>
              <w:t>无其他不符合招标文件资格要求的条件</w:t>
            </w:r>
          </w:p>
        </w:tc>
      </w:tr>
      <w:tr w14:paraId="4552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039" w:type="dxa"/>
            <w:gridSpan w:val="3"/>
            <w:vAlign w:val="center"/>
          </w:tcPr>
          <w:p w14:paraId="24418C77">
            <w:pPr>
              <w:spacing w:line="480" w:lineRule="exact"/>
              <w:jc w:val="center"/>
            </w:pPr>
            <w:r>
              <w:rPr>
                <w:rFonts w:hint="eastAsia" w:cs="宋体"/>
                <w:b/>
                <w:bCs/>
              </w:rPr>
              <w:t>结论</w:t>
            </w:r>
          </w:p>
        </w:tc>
      </w:tr>
    </w:tbl>
    <w:p w14:paraId="1DFABA32">
      <w:pPr>
        <w:pStyle w:val="3"/>
      </w:pPr>
      <w:bookmarkStart w:id="50" w:name="_Toc272"/>
      <w:r>
        <w:rPr>
          <w:rFonts w:hint="eastAsia"/>
        </w:rPr>
        <w:t>2、符合性审查标准</w:t>
      </w:r>
      <w:bookmarkEnd w:id="50"/>
    </w:p>
    <w:tbl>
      <w:tblPr>
        <w:tblStyle w:val="33"/>
        <w:tblW w:w="9852"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91"/>
        <w:gridCol w:w="7514"/>
      </w:tblGrid>
      <w:tr w14:paraId="48F0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7" w:type="dxa"/>
            <w:vAlign w:val="center"/>
          </w:tcPr>
          <w:p w14:paraId="14AD52FE">
            <w:pPr>
              <w:spacing w:line="480" w:lineRule="exact"/>
              <w:jc w:val="center"/>
              <w:rPr>
                <w:b/>
                <w:bCs/>
              </w:rPr>
            </w:pPr>
            <w:r>
              <w:rPr>
                <w:rFonts w:hint="eastAsia" w:cs="宋体"/>
                <w:b/>
                <w:bCs/>
              </w:rPr>
              <w:t>序号</w:t>
            </w:r>
          </w:p>
        </w:tc>
        <w:tc>
          <w:tcPr>
            <w:tcW w:w="1491" w:type="dxa"/>
            <w:vAlign w:val="center"/>
          </w:tcPr>
          <w:p w14:paraId="3F5A2C7D">
            <w:pPr>
              <w:spacing w:line="480" w:lineRule="exact"/>
              <w:jc w:val="center"/>
              <w:rPr>
                <w:b/>
                <w:bCs/>
              </w:rPr>
            </w:pPr>
            <w:r>
              <w:rPr>
                <w:rFonts w:hint="eastAsia" w:cs="宋体"/>
                <w:b/>
                <w:bCs/>
              </w:rPr>
              <w:t>审查项目</w:t>
            </w:r>
          </w:p>
        </w:tc>
        <w:tc>
          <w:tcPr>
            <w:tcW w:w="7514" w:type="dxa"/>
            <w:vAlign w:val="center"/>
          </w:tcPr>
          <w:p w14:paraId="57BCDD35">
            <w:pPr>
              <w:spacing w:line="480" w:lineRule="exact"/>
              <w:jc w:val="center"/>
              <w:rPr>
                <w:b/>
                <w:bCs/>
              </w:rPr>
            </w:pPr>
            <w:r>
              <w:rPr>
                <w:rFonts w:hint="eastAsia" w:cs="宋体"/>
                <w:b/>
                <w:bCs/>
              </w:rPr>
              <w:t>评议内容</w:t>
            </w:r>
          </w:p>
        </w:tc>
      </w:tr>
      <w:tr w14:paraId="1496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0371082">
            <w:pPr>
              <w:spacing w:line="320" w:lineRule="exact"/>
              <w:jc w:val="center"/>
              <w:rPr>
                <w:b/>
                <w:bCs/>
              </w:rPr>
            </w:pPr>
            <w:r>
              <w:rPr>
                <w:rFonts w:hint="eastAsia"/>
                <w:b/>
                <w:bCs/>
              </w:rPr>
              <w:t>1</w:t>
            </w:r>
          </w:p>
        </w:tc>
        <w:tc>
          <w:tcPr>
            <w:tcW w:w="1491" w:type="dxa"/>
            <w:vAlign w:val="center"/>
          </w:tcPr>
          <w:p w14:paraId="63E0745F">
            <w:pPr>
              <w:spacing w:line="320" w:lineRule="exact"/>
              <w:jc w:val="center"/>
              <w:rPr>
                <w:b/>
                <w:bCs/>
              </w:rPr>
            </w:pPr>
            <w:r>
              <w:rPr>
                <w:rFonts w:hint="eastAsia" w:cs="宋体"/>
                <w:b/>
                <w:bCs/>
              </w:rPr>
              <w:t>投标文件的有效性</w:t>
            </w:r>
          </w:p>
        </w:tc>
        <w:tc>
          <w:tcPr>
            <w:tcW w:w="7514" w:type="dxa"/>
            <w:vAlign w:val="center"/>
          </w:tcPr>
          <w:p w14:paraId="3C4AF94F">
            <w:pPr>
              <w:spacing w:line="360" w:lineRule="exact"/>
            </w:pPr>
            <w:r>
              <w:rPr>
                <w:rFonts w:hint="eastAsia" w:cs="宋体"/>
              </w:rPr>
              <w:t>是否符合投标文件的式样和签署要求且内容完整无缺漏</w:t>
            </w:r>
          </w:p>
        </w:tc>
      </w:tr>
      <w:tr w14:paraId="5B06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466CBC3">
            <w:pPr>
              <w:spacing w:line="320" w:lineRule="exact"/>
              <w:jc w:val="center"/>
              <w:rPr>
                <w:b/>
                <w:bCs/>
              </w:rPr>
            </w:pPr>
            <w:r>
              <w:rPr>
                <w:rFonts w:hint="eastAsia"/>
                <w:b/>
                <w:bCs/>
              </w:rPr>
              <w:t>2</w:t>
            </w:r>
          </w:p>
        </w:tc>
        <w:tc>
          <w:tcPr>
            <w:tcW w:w="1491" w:type="dxa"/>
            <w:vAlign w:val="center"/>
          </w:tcPr>
          <w:p w14:paraId="1E252FDA">
            <w:pPr>
              <w:spacing w:line="480" w:lineRule="exact"/>
              <w:jc w:val="center"/>
              <w:rPr>
                <w:b/>
                <w:bCs/>
              </w:rPr>
            </w:pPr>
            <w:r>
              <w:rPr>
                <w:rFonts w:hint="eastAsia" w:cs="宋体"/>
                <w:b/>
                <w:bCs/>
              </w:rPr>
              <w:t>投标有效期</w:t>
            </w:r>
          </w:p>
        </w:tc>
        <w:tc>
          <w:tcPr>
            <w:tcW w:w="7514" w:type="dxa"/>
            <w:vAlign w:val="center"/>
          </w:tcPr>
          <w:p w14:paraId="7152FFAD">
            <w:pPr>
              <w:spacing w:line="480" w:lineRule="exact"/>
            </w:pPr>
            <w:r>
              <w:rPr>
                <w:rFonts w:hint="eastAsia" w:cs="宋体"/>
              </w:rPr>
              <w:t>投标有效期是否满足90天</w:t>
            </w:r>
          </w:p>
        </w:tc>
      </w:tr>
      <w:tr w14:paraId="03AC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9C90698">
            <w:pPr>
              <w:spacing w:line="320" w:lineRule="exact"/>
              <w:jc w:val="center"/>
              <w:rPr>
                <w:b/>
                <w:bCs/>
              </w:rPr>
            </w:pPr>
            <w:r>
              <w:rPr>
                <w:rFonts w:hint="eastAsia"/>
                <w:b/>
                <w:bCs/>
              </w:rPr>
              <w:t>3</w:t>
            </w:r>
          </w:p>
        </w:tc>
        <w:tc>
          <w:tcPr>
            <w:tcW w:w="1491" w:type="dxa"/>
            <w:vAlign w:val="center"/>
          </w:tcPr>
          <w:p w14:paraId="79EF8172">
            <w:pPr>
              <w:spacing w:line="360" w:lineRule="exact"/>
              <w:jc w:val="center"/>
              <w:rPr>
                <w:b/>
                <w:bCs/>
              </w:rPr>
            </w:pPr>
            <w:r>
              <w:rPr>
                <w:rFonts w:hint="eastAsia" w:cs="宋体"/>
                <w:b/>
                <w:bCs/>
              </w:rPr>
              <w:t>投标价</w:t>
            </w:r>
          </w:p>
        </w:tc>
        <w:tc>
          <w:tcPr>
            <w:tcW w:w="7514" w:type="dxa"/>
            <w:vAlign w:val="center"/>
          </w:tcPr>
          <w:p w14:paraId="5DF10720">
            <w:pPr>
              <w:spacing w:line="360" w:lineRule="exact"/>
            </w:pPr>
            <w:r>
              <w:rPr>
                <w:rFonts w:hint="eastAsia" w:cs="宋体"/>
              </w:rPr>
              <w:t>投标价是否唯一且不超过采购预算</w:t>
            </w:r>
          </w:p>
        </w:tc>
      </w:tr>
      <w:tr w14:paraId="26D5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93E7E0C">
            <w:pPr>
              <w:spacing w:line="320" w:lineRule="exact"/>
              <w:jc w:val="center"/>
              <w:rPr>
                <w:b/>
                <w:bCs/>
              </w:rPr>
            </w:pPr>
            <w:r>
              <w:rPr>
                <w:rFonts w:hint="eastAsia"/>
                <w:b/>
                <w:bCs/>
              </w:rPr>
              <w:t>4</w:t>
            </w:r>
          </w:p>
        </w:tc>
        <w:tc>
          <w:tcPr>
            <w:tcW w:w="1491" w:type="dxa"/>
            <w:vAlign w:val="center"/>
          </w:tcPr>
          <w:p w14:paraId="7DE999B1">
            <w:pPr>
              <w:spacing w:line="360" w:lineRule="exact"/>
              <w:jc w:val="center"/>
              <w:rPr>
                <w:b/>
                <w:bCs/>
              </w:rPr>
            </w:pPr>
            <w:r>
              <w:rPr>
                <w:rFonts w:hint="eastAsia" w:cs="宋体"/>
                <w:b/>
                <w:bCs/>
              </w:rPr>
              <w:t>交货期</w:t>
            </w:r>
          </w:p>
        </w:tc>
        <w:tc>
          <w:tcPr>
            <w:tcW w:w="7514" w:type="dxa"/>
            <w:vAlign w:val="center"/>
          </w:tcPr>
          <w:p w14:paraId="7F5C34DF">
            <w:pPr>
              <w:spacing w:line="360" w:lineRule="exact"/>
            </w:pPr>
            <w:r>
              <w:rPr>
                <w:rFonts w:hint="eastAsia" w:cs="宋体"/>
              </w:rPr>
              <w:t>是否按照招标文件规定时间</w:t>
            </w:r>
          </w:p>
        </w:tc>
      </w:tr>
      <w:tr w14:paraId="041F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24367EF">
            <w:pPr>
              <w:spacing w:line="320" w:lineRule="exact"/>
              <w:jc w:val="center"/>
              <w:rPr>
                <w:b/>
                <w:bCs/>
              </w:rPr>
            </w:pPr>
            <w:r>
              <w:rPr>
                <w:rFonts w:hint="eastAsia"/>
                <w:b/>
                <w:bCs/>
              </w:rPr>
              <w:t>5</w:t>
            </w:r>
          </w:p>
        </w:tc>
        <w:tc>
          <w:tcPr>
            <w:tcW w:w="1491" w:type="dxa"/>
            <w:vAlign w:val="center"/>
          </w:tcPr>
          <w:p w14:paraId="6A2FEFCB">
            <w:pPr>
              <w:spacing w:line="360" w:lineRule="exact"/>
              <w:jc w:val="center"/>
              <w:rPr>
                <w:rFonts w:cs="宋体"/>
                <w:b/>
                <w:bCs/>
              </w:rPr>
            </w:pPr>
            <w:r>
              <w:rPr>
                <w:rFonts w:hint="eastAsia" w:cs="宋体"/>
                <w:b/>
                <w:bCs/>
              </w:rPr>
              <w:t>无围标串标行为</w:t>
            </w:r>
          </w:p>
        </w:tc>
        <w:tc>
          <w:tcPr>
            <w:tcW w:w="7514" w:type="dxa"/>
            <w:vAlign w:val="center"/>
          </w:tcPr>
          <w:p w14:paraId="25E61592">
            <w:pPr>
              <w:pStyle w:val="10"/>
              <w:rPr>
                <w:rFonts w:ascii="宋体" w:hAnsi="宋体" w:cs="宋体"/>
              </w:rPr>
            </w:pPr>
            <w:r>
              <w:rPr>
                <w:rFonts w:hint="eastAsia" w:ascii="宋体" w:hAnsi="宋体" w:cs="宋体"/>
              </w:rPr>
              <w:t>（一）不同投标人的投标文件由同一单位或者个人编制；</w:t>
            </w:r>
          </w:p>
          <w:p w14:paraId="68C8EE84">
            <w:pPr>
              <w:pStyle w:val="10"/>
              <w:rPr>
                <w:rFonts w:ascii="宋体" w:hAnsi="宋体" w:cs="宋体"/>
              </w:rPr>
            </w:pPr>
            <w:r>
              <w:rPr>
                <w:rFonts w:hint="eastAsia" w:ascii="宋体" w:hAnsi="宋体" w:cs="宋体"/>
              </w:rPr>
              <w:t>（二）不同投标人委托同一单位或者个人办理投标事宜；</w:t>
            </w:r>
          </w:p>
          <w:p w14:paraId="02883396">
            <w:pPr>
              <w:pStyle w:val="10"/>
              <w:rPr>
                <w:rFonts w:ascii="宋体" w:hAnsi="宋体" w:cs="宋体"/>
              </w:rPr>
            </w:pPr>
            <w:r>
              <w:rPr>
                <w:rFonts w:hint="eastAsia" w:ascii="宋体" w:hAnsi="宋体" w:cs="宋体"/>
              </w:rPr>
              <w:t>（三）不同投标人的投标文件载明的项目管理成员或者联系人员为同一人；</w:t>
            </w:r>
          </w:p>
          <w:p w14:paraId="3F126305">
            <w:pPr>
              <w:pStyle w:val="10"/>
              <w:rPr>
                <w:rFonts w:ascii="宋体" w:hAnsi="宋体" w:cs="宋体"/>
              </w:rPr>
            </w:pPr>
            <w:r>
              <w:rPr>
                <w:rFonts w:hint="eastAsia" w:ascii="宋体" w:hAnsi="宋体" w:cs="宋体"/>
              </w:rPr>
              <w:t>（四）不同投标人的投标文件异常一致或者投标报价呈规律性差异；</w:t>
            </w:r>
          </w:p>
          <w:p w14:paraId="73AFD121">
            <w:pPr>
              <w:pStyle w:val="10"/>
              <w:rPr>
                <w:rFonts w:ascii="宋体" w:hAnsi="宋体" w:cs="宋体"/>
              </w:rPr>
            </w:pPr>
            <w:r>
              <w:rPr>
                <w:rFonts w:hint="eastAsia" w:ascii="宋体" w:hAnsi="宋体" w:cs="宋体"/>
              </w:rPr>
              <w:t>（五）不同投标人的投标文件相互混装；</w:t>
            </w:r>
          </w:p>
          <w:p w14:paraId="3C511894">
            <w:pPr>
              <w:spacing w:line="360" w:lineRule="exact"/>
              <w:rPr>
                <w:rFonts w:cs="宋体"/>
              </w:rPr>
            </w:pPr>
          </w:p>
        </w:tc>
      </w:tr>
      <w:tr w14:paraId="7257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EFB69F3">
            <w:pPr>
              <w:spacing w:line="320" w:lineRule="exact"/>
              <w:jc w:val="center"/>
              <w:rPr>
                <w:b/>
                <w:bCs/>
              </w:rPr>
            </w:pPr>
            <w:r>
              <w:rPr>
                <w:rFonts w:hint="eastAsia"/>
                <w:b/>
                <w:bCs/>
              </w:rPr>
              <w:t>6</w:t>
            </w:r>
          </w:p>
        </w:tc>
        <w:tc>
          <w:tcPr>
            <w:tcW w:w="1491" w:type="dxa"/>
            <w:vAlign w:val="center"/>
          </w:tcPr>
          <w:p w14:paraId="403D230D">
            <w:pPr>
              <w:spacing w:line="360" w:lineRule="exact"/>
              <w:jc w:val="center"/>
              <w:rPr>
                <w:rFonts w:cs="宋体"/>
                <w:b/>
                <w:bCs/>
              </w:rPr>
            </w:pPr>
            <w:r>
              <w:rPr>
                <w:rFonts w:hint="eastAsia" w:cs="宋体"/>
                <w:b/>
                <w:bCs/>
              </w:rPr>
              <w:t>投标函</w:t>
            </w:r>
          </w:p>
        </w:tc>
        <w:tc>
          <w:tcPr>
            <w:tcW w:w="7514" w:type="dxa"/>
            <w:vAlign w:val="center"/>
          </w:tcPr>
          <w:p w14:paraId="5178CBD1">
            <w:pPr>
              <w:spacing w:line="360" w:lineRule="exact"/>
              <w:rPr>
                <w:rFonts w:cs="宋体"/>
              </w:rPr>
            </w:pPr>
            <w:r>
              <w:rPr>
                <w:rFonts w:hint="eastAsia" w:ascii="宋体" w:hAnsi="宋体" w:cs="宋体"/>
              </w:rPr>
              <w:t>投标函内容完整无缺漏</w:t>
            </w:r>
          </w:p>
        </w:tc>
      </w:tr>
      <w:tr w14:paraId="349C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060AD29">
            <w:pPr>
              <w:spacing w:line="320" w:lineRule="exact"/>
              <w:jc w:val="center"/>
              <w:rPr>
                <w:b/>
                <w:bCs/>
              </w:rPr>
            </w:pPr>
            <w:r>
              <w:rPr>
                <w:rFonts w:hint="eastAsia"/>
                <w:b/>
                <w:bCs/>
              </w:rPr>
              <w:t>7</w:t>
            </w:r>
          </w:p>
        </w:tc>
        <w:tc>
          <w:tcPr>
            <w:tcW w:w="1491" w:type="dxa"/>
            <w:vAlign w:val="center"/>
          </w:tcPr>
          <w:p w14:paraId="5BCD4FB0">
            <w:pPr>
              <w:spacing w:line="360" w:lineRule="exact"/>
              <w:jc w:val="center"/>
              <w:rPr>
                <w:b/>
                <w:bCs/>
              </w:rPr>
            </w:pPr>
            <w:r>
              <w:rPr>
                <w:rFonts w:hint="eastAsia" w:cs="宋体"/>
                <w:b/>
                <w:bCs/>
              </w:rPr>
              <w:t>其它</w:t>
            </w:r>
          </w:p>
        </w:tc>
        <w:tc>
          <w:tcPr>
            <w:tcW w:w="7514" w:type="dxa"/>
            <w:vAlign w:val="center"/>
          </w:tcPr>
          <w:p w14:paraId="4D0D54F5">
            <w:pPr>
              <w:spacing w:line="360" w:lineRule="exact"/>
            </w:pPr>
            <w:r>
              <w:rPr>
                <w:rFonts w:hint="eastAsia" w:cs="宋体"/>
              </w:rPr>
              <w:t>无其它符合招标文件中或相关法律法规规定的无效投标认定条件</w:t>
            </w:r>
          </w:p>
        </w:tc>
      </w:tr>
      <w:tr w14:paraId="1140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852" w:type="dxa"/>
            <w:gridSpan w:val="3"/>
            <w:vAlign w:val="center"/>
          </w:tcPr>
          <w:p w14:paraId="4669EA98">
            <w:pPr>
              <w:spacing w:line="480" w:lineRule="exact"/>
              <w:jc w:val="center"/>
            </w:pPr>
            <w:r>
              <w:rPr>
                <w:rFonts w:hint="eastAsia" w:cs="宋体"/>
                <w:b/>
                <w:bCs/>
              </w:rPr>
              <w:t>结论</w:t>
            </w:r>
          </w:p>
        </w:tc>
      </w:tr>
    </w:tbl>
    <w:p w14:paraId="044F656C">
      <w:pPr>
        <w:pStyle w:val="3"/>
        <w:numPr>
          <w:ilvl w:val="0"/>
          <w:numId w:val="2"/>
        </w:numPr>
      </w:pPr>
      <w:bookmarkStart w:id="51" w:name="_Toc24250"/>
      <w:r>
        <w:rPr>
          <w:rFonts w:hint="eastAsia"/>
        </w:rPr>
        <w:t>详细评审标准</w:t>
      </w:r>
      <w:bookmarkEnd w:id="51"/>
    </w:p>
    <w:tbl>
      <w:tblPr>
        <w:tblStyle w:val="33"/>
        <w:tblW w:w="5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71"/>
        <w:gridCol w:w="1245"/>
        <w:gridCol w:w="6929"/>
        <w:gridCol w:w="712"/>
      </w:tblGrid>
      <w:tr w14:paraId="4312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9"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3337EA8">
            <w:pPr>
              <w:spacing w:line="400" w:lineRule="exact"/>
              <w:jc w:val="center"/>
              <w:rPr>
                <w:rFonts w:ascii="宋体" w:hAnsi="宋体" w:cs="宋体"/>
                <w:b/>
                <w:sz w:val="24"/>
              </w:rPr>
            </w:pPr>
            <w:r>
              <w:rPr>
                <w:rFonts w:hint="eastAsia" w:ascii="宋体" w:hAnsi="宋体" w:cs="宋体"/>
                <w:b/>
                <w:sz w:val="24"/>
              </w:rPr>
              <w:t>评分条款</w:t>
            </w:r>
          </w:p>
        </w:tc>
      </w:tr>
      <w:tr w14:paraId="20F9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82" w:type="pct"/>
            <w:shd w:val="clear" w:color="auto" w:fill="FFFFFF"/>
            <w:noWrap/>
            <w:vAlign w:val="center"/>
          </w:tcPr>
          <w:p w14:paraId="1088DF6A">
            <w:pPr>
              <w:spacing w:line="400" w:lineRule="exact"/>
              <w:jc w:val="center"/>
              <w:rPr>
                <w:rFonts w:ascii="宋体" w:hAnsi="宋体" w:cs="宋体"/>
                <w:b/>
                <w:sz w:val="24"/>
              </w:rPr>
            </w:pPr>
            <w:r>
              <w:rPr>
                <w:rFonts w:hint="eastAsia" w:ascii="宋体" w:hAnsi="宋体" w:cs="宋体"/>
                <w:b/>
                <w:sz w:val="24"/>
              </w:rPr>
              <w:t>项目</w:t>
            </w:r>
          </w:p>
        </w:tc>
        <w:tc>
          <w:tcPr>
            <w:tcW w:w="619" w:type="pct"/>
            <w:shd w:val="clear" w:color="auto" w:fill="FFFFFF"/>
            <w:noWrap/>
            <w:vAlign w:val="center"/>
          </w:tcPr>
          <w:p w14:paraId="6FCF16EB">
            <w:pPr>
              <w:spacing w:line="400" w:lineRule="exact"/>
              <w:jc w:val="center"/>
              <w:rPr>
                <w:rFonts w:ascii="宋体" w:hAnsi="宋体" w:cs="宋体"/>
                <w:b/>
                <w:sz w:val="24"/>
              </w:rPr>
            </w:pPr>
            <w:r>
              <w:rPr>
                <w:rFonts w:hint="eastAsia" w:ascii="宋体" w:hAnsi="宋体" w:cs="宋体"/>
                <w:b/>
                <w:sz w:val="24"/>
              </w:rPr>
              <w:t>评审因素</w:t>
            </w:r>
          </w:p>
        </w:tc>
        <w:tc>
          <w:tcPr>
            <w:tcW w:w="3445" w:type="pct"/>
            <w:shd w:val="clear" w:color="auto" w:fill="FFFFFF"/>
            <w:noWrap/>
            <w:vAlign w:val="center"/>
          </w:tcPr>
          <w:p w14:paraId="0BAF19DA">
            <w:pPr>
              <w:pStyle w:val="186"/>
              <w:adjustRightInd w:val="0"/>
              <w:snapToGrid w:val="0"/>
              <w:rPr>
                <w:spacing w:val="-1"/>
                <w:szCs w:val="21"/>
              </w:rPr>
            </w:pPr>
            <w:r>
              <w:rPr>
                <w:rFonts w:hint="eastAsia"/>
                <w:spacing w:val="-1"/>
                <w:szCs w:val="21"/>
              </w:rPr>
              <w:t>评分内容和标准</w:t>
            </w:r>
          </w:p>
        </w:tc>
        <w:tc>
          <w:tcPr>
            <w:tcW w:w="353" w:type="pct"/>
            <w:shd w:val="clear" w:color="auto" w:fill="FFFFFF"/>
            <w:noWrap/>
            <w:vAlign w:val="center"/>
          </w:tcPr>
          <w:p w14:paraId="391B4469">
            <w:pPr>
              <w:spacing w:line="400" w:lineRule="exact"/>
              <w:jc w:val="center"/>
              <w:rPr>
                <w:rFonts w:ascii="宋体" w:hAnsi="宋体" w:cs="宋体"/>
                <w:b/>
                <w:sz w:val="24"/>
              </w:rPr>
            </w:pPr>
            <w:r>
              <w:rPr>
                <w:rFonts w:hint="eastAsia" w:ascii="宋体" w:hAnsi="宋体" w:cs="宋体"/>
                <w:b/>
                <w:sz w:val="24"/>
              </w:rPr>
              <w:t>分值</w:t>
            </w:r>
          </w:p>
        </w:tc>
      </w:tr>
      <w:tr w14:paraId="0E46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82" w:type="pct"/>
            <w:shd w:val="clear" w:color="auto" w:fill="FFFFFF"/>
            <w:noWrap/>
            <w:vAlign w:val="center"/>
          </w:tcPr>
          <w:p w14:paraId="672640B7">
            <w:pPr>
              <w:pStyle w:val="186"/>
              <w:adjustRightInd w:val="0"/>
              <w:snapToGrid w:val="0"/>
              <w:jc w:val="center"/>
              <w:rPr>
                <w:color w:val="FF0000"/>
                <w:spacing w:val="-1"/>
                <w:szCs w:val="21"/>
              </w:rPr>
            </w:pPr>
            <w:r>
              <w:rPr>
                <w:rFonts w:hint="eastAsia"/>
                <w:color w:val="FF0000"/>
                <w:spacing w:val="-1"/>
                <w:szCs w:val="21"/>
              </w:rPr>
              <w:t>价格评审（权重</w:t>
            </w:r>
            <w:r>
              <w:rPr>
                <w:rFonts w:hint="eastAsia"/>
                <w:color w:val="FF0000"/>
                <w:spacing w:val="-1"/>
                <w:szCs w:val="21"/>
                <w:lang w:val="en-US"/>
              </w:rPr>
              <w:t>20</w:t>
            </w:r>
            <w:r>
              <w:rPr>
                <w:rFonts w:hint="eastAsia"/>
                <w:color w:val="FF0000"/>
                <w:spacing w:val="-1"/>
                <w:szCs w:val="21"/>
              </w:rPr>
              <w:t>%）</w:t>
            </w:r>
          </w:p>
        </w:tc>
        <w:tc>
          <w:tcPr>
            <w:tcW w:w="619" w:type="pct"/>
            <w:shd w:val="clear" w:color="auto" w:fill="FFFFFF"/>
            <w:noWrap/>
            <w:vAlign w:val="center"/>
          </w:tcPr>
          <w:p w14:paraId="279E8C3D">
            <w:pPr>
              <w:pStyle w:val="186"/>
              <w:adjustRightInd w:val="0"/>
              <w:snapToGrid w:val="0"/>
              <w:jc w:val="center"/>
              <w:rPr>
                <w:color w:val="FF0000"/>
                <w:spacing w:val="-1"/>
                <w:szCs w:val="21"/>
              </w:rPr>
            </w:pPr>
            <w:r>
              <w:rPr>
                <w:rFonts w:hint="eastAsia"/>
                <w:color w:val="FF0000"/>
                <w:spacing w:val="-1"/>
                <w:szCs w:val="21"/>
              </w:rPr>
              <w:t>报价得分</w:t>
            </w:r>
          </w:p>
        </w:tc>
        <w:tc>
          <w:tcPr>
            <w:tcW w:w="3445" w:type="pct"/>
            <w:shd w:val="clear" w:color="auto" w:fill="FFFFFF"/>
            <w:noWrap/>
            <w:vAlign w:val="center"/>
          </w:tcPr>
          <w:p w14:paraId="16D6195C">
            <w:pPr>
              <w:pStyle w:val="186"/>
              <w:adjustRightInd w:val="0"/>
              <w:snapToGrid w:val="0"/>
              <w:rPr>
                <w:color w:val="FF0000"/>
                <w:spacing w:val="-1"/>
                <w:szCs w:val="21"/>
              </w:rPr>
            </w:pPr>
            <w:r>
              <w:rPr>
                <w:rFonts w:hint="eastAsia"/>
                <w:color w:val="FF0000"/>
                <w:spacing w:val="-1"/>
                <w:szCs w:val="21"/>
              </w:rPr>
              <w:t>评标基准价采用“低价优先法”作为评标基准价的规则，即满足招标文件要求且投标价格最低的投标报价为评标基准价，其价格分为满分。其他投标人的价格分统一按照下列公式计算：</w:t>
            </w:r>
          </w:p>
          <w:p w14:paraId="48E7DCE2">
            <w:pPr>
              <w:pStyle w:val="186"/>
              <w:adjustRightInd w:val="0"/>
              <w:snapToGrid w:val="0"/>
              <w:rPr>
                <w:color w:val="FF0000"/>
                <w:spacing w:val="-1"/>
                <w:szCs w:val="21"/>
              </w:rPr>
            </w:pPr>
            <w:r>
              <w:rPr>
                <w:rFonts w:hint="eastAsia"/>
                <w:color w:val="FF0000"/>
                <w:spacing w:val="-1"/>
                <w:szCs w:val="21"/>
              </w:rPr>
              <w:t>投标报价得分=【100-（投标报价-基准价）/基准价*100】*价格权重</w:t>
            </w:r>
          </w:p>
        </w:tc>
        <w:tc>
          <w:tcPr>
            <w:tcW w:w="353" w:type="pct"/>
            <w:shd w:val="clear" w:color="auto" w:fill="FFFFFF"/>
            <w:noWrap/>
            <w:vAlign w:val="center"/>
          </w:tcPr>
          <w:p w14:paraId="7924B635">
            <w:pPr>
              <w:pStyle w:val="186"/>
              <w:adjustRightInd w:val="0"/>
              <w:snapToGrid w:val="0"/>
              <w:jc w:val="center"/>
              <w:rPr>
                <w:color w:val="FF0000"/>
                <w:spacing w:val="-1"/>
                <w:szCs w:val="21"/>
                <w:lang w:val="en-US"/>
              </w:rPr>
            </w:pPr>
            <w:r>
              <w:rPr>
                <w:rFonts w:hint="eastAsia"/>
                <w:color w:val="FF0000"/>
                <w:spacing w:val="-1"/>
                <w:szCs w:val="21"/>
                <w:lang w:val="en-US"/>
              </w:rPr>
              <w:t>20</w:t>
            </w:r>
          </w:p>
        </w:tc>
      </w:tr>
      <w:tr w14:paraId="1B7B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73" w:hRule="atLeast"/>
          <w:jc w:val="center"/>
        </w:trPr>
        <w:tc>
          <w:tcPr>
            <w:tcW w:w="582" w:type="pct"/>
            <w:vMerge w:val="restart"/>
            <w:shd w:val="clear" w:color="auto" w:fill="FFFFFF"/>
            <w:noWrap/>
            <w:vAlign w:val="center"/>
          </w:tcPr>
          <w:p w14:paraId="5C9744ED">
            <w:pPr>
              <w:jc w:val="center"/>
              <w:rPr>
                <w:rFonts w:ascii="宋体" w:hAnsi="宋体" w:cs="宋体"/>
                <w:bCs/>
                <w:sz w:val="24"/>
              </w:rPr>
            </w:pPr>
            <w:r>
              <w:rPr>
                <w:rFonts w:hint="eastAsia" w:ascii="宋体" w:hAnsi="宋体" w:cs="宋体"/>
                <w:bCs/>
                <w:sz w:val="24"/>
              </w:rPr>
              <w:t>技术评审（权重50%）</w:t>
            </w:r>
          </w:p>
          <w:p w14:paraId="1BF53CA4">
            <w:pPr>
              <w:spacing w:line="400" w:lineRule="exact"/>
              <w:jc w:val="center"/>
              <w:rPr>
                <w:rFonts w:ascii="宋体" w:hAnsi="宋体" w:cs="宋体"/>
                <w:bCs/>
                <w:sz w:val="24"/>
              </w:rPr>
            </w:pPr>
          </w:p>
        </w:tc>
        <w:tc>
          <w:tcPr>
            <w:tcW w:w="619" w:type="pct"/>
            <w:shd w:val="clear" w:color="auto" w:fill="FFFFFF"/>
            <w:noWrap/>
            <w:vAlign w:val="center"/>
          </w:tcPr>
          <w:p w14:paraId="57AE8896">
            <w:pPr>
              <w:pStyle w:val="186"/>
              <w:adjustRightInd w:val="0"/>
              <w:snapToGrid w:val="0"/>
              <w:jc w:val="center"/>
              <w:rPr>
                <w:sz w:val="24"/>
                <w:szCs w:val="24"/>
              </w:rPr>
            </w:pPr>
            <w:r>
              <w:rPr>
                <w:rFonts w:hint="eastAsia"/>
                <w:sz w:val="24"/>
                <w:szCs w:val="24"/>
              </w:rPr>
              <w:t>人员管理方案</w:t>
            </w:r>
          </w:p>
        </w:tc>
        <w:tc>
          <w:tcPr>
            <w:tcW w:w="3445" w:type="pct"/>
            <w:shd w:val="clear" w:color="auto" w:fill="FFFFFF"/>
            <w:noWrap/>
            <w:vAlign w:val="center"/>
          </w:tcPr>
          <w:p w14:paraId="36BA28C5">
            <w:pPr>
              <w:pStyle w:val="186"/>
              <w:adjustRightInd w:val="0"/>
              <w:snapToGrid w:val="0"/>
              <w:rPr>
                <w:spacing w:val="-1"/>
                <w:szCs w:val="21"/>
              </w:rPr>
            </w:pPr>
            <w:r>
              <w:rPr>
                <w:rFonts w:hint="eastAsia"/>
                <w:spacing w:val="-1"/>
                <w:szCs w:val="21"/>
              </w:rPr>
              <w:t>投标人根据本项目实际情况，编制人员管理方案，并根据各投标人提供方案的完整性、针对性及实际操作性进行评价。</w:t>
            </w:r>
          </w:p>
          <w:p w14:paraId="4BB6DD0F">
            <w:pPr>
              <w:pStyle w:val="186"/>
              <w:adjustRightInd w:val="0"/>
              <w:snapToGrid w:val="0"/>
              <w:rPr>
                <w:spacing w:val="-1"/>
                <w:szCs w:val="21"/>
              </w:rPr>
            </w:pPr>
            <w:r>
              <w:rPr>
                <w:rFonts w:hint="eastAsia"/>
                <w:spacing w:val="-1"/>
                <w:szCs w:val="21"/>
              </w:rPr>
              <w:t>优：方案内容有组织架构设计、岗位职责、人员招聘、培训等管理措施可操作性强，纪律、行为规范完善得</w:t>
            </w:r>
            <w:r>
              <w:rPr>
                <w:rFonts w:hint="eastAsia"/>
                <w:spacing w:val="-1"/>
                <w:szCs w:val="21"/>
                <w:lang w:val="en-US"/>
              </w:rPr>
              <w:t>8-10</w:t>
            </w:r>
            <w:r>
              <w:rPr>
                <w:rFonts w:hint="eastAsia"/>
                <w:spacing w:val="-1"/>
                <w:szCs w:val="21"/>
              </w:rPr>
              <w:t>分；</w:t>
            </w:r>
          </w:p>
          <w:p w14:paraId="0F997CDD">
            <w:pPr>
              <w:pStyle w:val="186"/>
              <w:adjustRightInd w:val="0"/>
              <w:snapToGrid w:val="0"/>
              <w:rPr>
                <w:spacing w:val="-1"/>
                <w:szCs w:val="21"/>
              </w:rPr>
            </w:pPr>
            <w:r>
              <w:rPr>
                <w:rFonts w:hint="eastAsia"/>
                <w:spacing w:val="-1"/>
                <w:szCs w:val="21"/>
              </w:rPr>
              <w:t>良：方案内容有组织架构设计、岗位职责、人员招聘、培训等管理措施可操作性不强，纪律、行为规范较完善得</w:t>
            </w:r>
            <w:r>
              <w:rPr>
                <w:rFonts w:hint="eastAsia"/>
                <w:spacing w:val="-1"/>
                <w:szCs w:val="21"/>
                <w:lang w:val="en-US"/>
              </w:rPr>
              <w:t>5-7</w:t>
            </w:r>
            <w:r>
              <w:rPr>
                <w:rFonts w:hint="eastAsia"/>
                <w:spacing w:val="-1"/>
                <w:szCs w:val="21"/>
              </w:rPr>
              <w:t>分；</w:t>
            </w:r>
          </w:p>
          <w:p w14:paraId="752CE8C4">
            <w:pPr>
              <w:pStyle w:val="186"/>
              <w:adjustRightInd w:val="0"/>
              <w:snapToGrid w:val="0"/>
              <w:rPr>
                <w:spacing w:val="-1"/>
                <w:szCs w:val="21"/>
              </w:rPr>
            </w:pPr>
            <w:r>
              <w:rPr>
                <w:rFonts w:hint="eastAsia"/>
                <w:spacing w:val="-1"/>
                <w:szCs w:val="21"/>
              </w:rPr>
              <w:t>一般：组织架构设计、岗位职责、人员招聘、培训等管理措施不全，纪律、行为规范不全面得</w:t>
            </w:r>
            <w:r>
              <w:rPr>
                <w:rFonts w:hint="eastAsia"/>
                <w:spacing w:val="-1"/>
                <w:szCs w:val="21"/>
                <w:lang w:val="en-US"/>
              </w:rPr>
              <w:t>1</w:t>
            </w:r>
            <w:r>
              <w:rPr>
                <w:rFonts w:hint="eastAsia"/>
                <w:spacing w:val="-1"/>
                <w:szCs w:val="21"/>
              </w:rPr>
              <w:t>-</w:t>
            </w:r>
            <w:r>
              <w:rPr>
                <w:rFonts w:hint="eastAsia"/>
                <w:spacing w:val="-1"/>
                <w:szCs w:val="21"/>
                <w:lang w:val="en-US"/>
              </w:rPr>
              <w:t>4</w:t>
            </w:r>
            <w:r>
              <w:rPr>
                <w:rFonts w:hint="eastAsia"/>
                <w:spacing w:val="-1"/>
                <w:szCs w:val="21"/>
              </w:rPr>
              <w:t>分;</w:t>
            </w:r>
          </w:p>
          <w:p w14:paraId="16F294D3">
            <w:pPr>
              <w:pStyle w:val="186"/>
              <w:adjustRightInd w:val="0"/>
              <w:snapToGrid w:val="0"/>
              <w:rPr>
                <w:spacing w:val="-1"/>
                <w:szCs w:val="21"/>
              </w:rPr>
            </w:pPr>
            <w:r>
              <w:rPr>
                <w:rFonts w:hint="eastAsia"/>
                <w:spacing w:val="-1"/>
                <w:szCs w:val="21"/>
              </w:rPr>
              <w:t>不提供不得分。</w:t>
            </w:r>
          </w:p>
        </w:tc>
        <w:tc>
          <w:tcPr>
            <w:tcW w:w="353" w:type="pct"/>
            <w:shd w:val="clear" w:color="auto" w:fill="FFFFFF"/>
            <w:noWrap/>
            <w:vAlign w:val="center"/>
          </w:tcPr>
          <w:p w14:paraId="3AC790F6">
            <w:pPr>
              <w:pStyle w:val="186"/>
              <w:spacing w:line="400" w:lineRule="exact"/>
              <w:jc w:val="center"/>
              <w:rPr>
                <w:sz w:val="24"/>
                <w:szCs w:val="24"/>
                <w:lang w:val="en-US"/>
              </w:rPr>
            </w:pPr>
            <w:r>
              <w:rPr>
                <w:rFonts w:hint="eastAsia"/>
                <w:sz w:val="24"/>
                <w:szCs w:val="24"/>
                <w:lang w:val="en-US"/>
              </w:rPr>
              <w:t>10</w:t>
            </w:r>
          </w:p>
        </w:tc>
      </w:tr>
      <w:tr w14:paraId="03E5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913" w:hRule="atLeast"/>
          <w:jc w:val="center"/>
        </w:trPr>
        <w:tc>
          <w:tcPr>
            <w:tcW w:w="582" w:type="pct"/>
            <w:vMerge w:val="continue"/>
            <w:shd w:val="clear" w:color="auto" w:fill="FFFFFF"/>
            <w:noWrap/>
            <w:vAlign w:val="center"/>
          </w:tcPr>
          <w:p w14:paraId="1A6CCD03">
            <w:pPr>
              <w:spacing w:line="400" w:lineRule="exact"/>
              <w:jc w:val="center"/>
              <w:rPr>
                <w:rFonts w:ascii="宋体" w:hAnsi="宋体" w:cs="宋体"/>
                <w:bCs/>
                <w:sz w:val="24"/>
              </w:rPr>
            </w:pPr>
          </w:p>
        </w:tc>
        <w:tc>
          <w:tcPr>
            <w:tcW w:w="619" w:type="pct"/>
            <w:shd w:val="clear" w:color="auto" w:fill="FFFFFF"/>
            <w:noWrap/>
            <w:vAlign w:val="center"/>
          </w:tcPr>
          <w:p w14:paraId="548F634C">
            <w:pPr>
              <w:pStyle w:val="186"/>
              <w:adjustRightInd w:val="0"/>
              <w:snapToGrid w:val="0"/>
              <w:jc w:val="center"/>
              <w:rPr>
                <w:sz w:val="24"/>
                <w:szCs w:val="24"/>
              </w:rPr>
            </w:pPr>
            <w:r>
              <w:rPr>
                <w:rFonts w:hint="eastAsia"/>
                <w:sz w:val="24"/>
                <w:szCs w:val="24"/>
              </w:rPr>
              <w:t>绿化保洁服务</w:t>
            </w:r>
          </w:p>
        </w:tc>
        <w:tc>
          <w:tcPr>
            <w:tcW w:w="3445" w:type="pct"/>
            <w:shd w:val="clear" w:color="auto" w:fill="FFFFFF"/>
            <w:noWrap/>
          </w:tcPr>
          <w:p w14:paraId="6E3E6113">
            <w:pPr>
              <w:pStyle w:val="186"/>
              <w:adjustRightInd w:val="0"/>
              <w:snapToGrid w:val="0"/>
              <w:rPr>
                <w:spacing w:val="-1"/>
                <w:szCs w:val="21"/>
              </w:rPr>
            </w:pPr>
            <w:r>
              <w:rPr>
                <w:rFonts w:hint="eastAsia"/>
                <w:spacing w:val="-1"/>
                <w:szCs w:val="21"/>
              </w:rPr>
              <w:t>投标人根据本项目实际情况，提供保洁</w:t>
            </w:r>
            <w:r>
              <w:rPr>
                <w:rFonts w:hint="eastAsia"/>
                <w:spacing w:val="-1"/>
                <w:szCs w:val="21"/>
                <w:lang w:val="en-US"/>
              </w:rPr>
              <w:t>绿化</w:t>
            </w:r>
            <w:r>
              <w:rPr>
                <w:rFonts w:hint="eastAsia"/>
                <w:spacing w:val="-1"/>
                <w:szCs w:val="21"/>
              </w:rPr>
              <w:t>服务方案，并根据各投标人提供方案的完整性、针对性及实际操作性进行评价。</w:t>
            </w:r>
          </w:p>
          <w:p w14:paraId="1E9FD8C4">
            <w:pPr>
              <w:pStyle w:val="186"/>
              <w:adjustRightInd w:val="0"/>
              <w:snapToGrid w:val="0"/>
              <w:rPr>
                <w:spacing w:val="-1"/>
                <w:szCs w:val="21"/>
              </w:rPr>
            </w:pPr>
            <w:r>
              <w:rPr>
                <w:rFonts w:hint="eastAsia"/>
                <w:spacing w:val="-1"/>
                <w:szCs w:val="21"/>
              </w:rPr>
              <w:t>优：方案内容服务管理措施得当、服务标准清晰、服务作业流程完善、针对性与操作性强得</w:t>
            </w:r>
            <w:r>
              <w:rPr>
                <w:rFonts w:hint="eastAsia"/>
                <w:spacing w:val="-1"/>
                <w:szCs w:val="21"/>
                <w:lang w:val="en-US"/>
              </w:rPr>
              <w:t>8-10</w:t>
            </w:r>
            <w:r>
              <w:rPr>
                <w:rFonts w:hint="eastAsia"/>
                <w:spacing w:val="-1"/>
                <w:szCs w:val="21"/>
              </w:rPr>
              <w:t xml:space="preserve">分； </w:t>
            </w:r>
          </w:p>
          <w:p w14:paraId="09149892">
            <w:pPr>
              <w:pStyle w:val="186"/>
              <w:adjustRightInd w:val="0"/>
              <w:snapToGrid w:val="0"/>
              <w:rPr>
                <w:spacing w:val="-1"/>
                <w:szCs w:val="21"/>
              </w:rPr>
            </w:pPr>
            <w:r>
              <w:rPr>
                <w:rFonts w:hint="eastAsia"/>
                <w:spacing w:val="-1"/>
                <w:szCs w:val="21"/>
              </w:rPr>
              <w:t>良：方案内容服务管理措施得当、服务标准较清晰、服务作业流程不完善、具有操作性得</w:t>
            </w:r>
            <w:r>
              <w:rPr>
                <w:rFonts w:hint="eastAsia"/>
                <w:spacing w:val="-1"/>
                <w:szCs w:val="21"/>
                <w:lang w:val="en-US"/>
              </w:rPr>
              <w:t>5-7</w:t>
            </w:r>
            <w:r>
              <w:rPr>
                <w:rFonts w:hint="eastAsia"/>
                <w:spacing w:val="-1"/>
                <w:szCs w:val="21"/>
              </w:rPr>
              <w:t>分；</w:t>
            </w:r>
          </w:p>
          <w:p w14:paraId="69952C90">
            <w:pPr>
              <w:pStyle w:val="186"/>
              <w:adjustRightInd w:val="0"/>
              <w:snapToGrid w:val="0"/>
              <w:rPr>
                <w:spacing w:val="-1"/>
                <w:szCs w:val="21"/>
              </w:rPr>
            </w:pPr>
            <w:r>
              <w:rPr>
                <w:rFonts w:hint="eastAsia"/>
                <w:spacing w:val="-1"/>
                <w:szCs w:val="21"/>
              </w:rPr>
              <w:t xml:space="preserve"> 一般：方案内容服务管理措施较为得当，有相应的服务标准得</w:t>
            </w:r>
            <w:r>
              <w:rPr>
                <w:rFonts w:hint="eastAsia"/>
                <w:spacing w:val="-1"/>
                <w:szCs w:val="21"/>
                <w:lang w:val="en-US"/>
              </w:rPr>
              <w:t>1</w:t>
            </w:r>
            <w:r>
              <w:rPr>
                <w:rFonts w:hint="eastAsia"/>
                <w:spacing w:val="-1"/>
                <w:szCs w:val="21"/>
              </w:rPr>
              <w:t>-</w:t>
            </w:r>
            <w:r>
              <w:rPr>
                <w:rFonts w:hint="eastAsia"/>
                <w:spacing w:val="-1"/>
                <w:szCs w:val="21"/>
                <w:lang w:val="en-US"/>
              </w:rPr>
              <w:t>4</w:t>
            </w:r>
            <w:r>
              <w:rPr>
                <w:rFonts w:hint="eastAsia"/>
                <w:spacing w:val="-1"/>
                <w:szCs w:val="21"/>
              </w:rPr>
              <w:t xml:space="preserve">分； </w:t>
            </w:r>
          </w:p>
          <w:p w14:paraId="6FFE5F29">
            <w:pPr>
              <w:pStyle w:val="186"/>
              <w:adjustRightInd w:val="0"/>
              <w:snapToGrid w:val="0"/>
              <w:rPr>
                <w:spacing w:val="-1"/>
                <w:szCs w:val="21"/>
              </w:rPr>
            </w:pPr>
            <w:r>
              <w:rPr>
                <w:rFonts w:hint="eastAsia"/>
                <w:spacing w:val="-1"/>
                <w:szCs w:val="21"/>
              </w:rPr>
              <w:t>不提供不得分。</w:t>
            </w:r>
          </w:p>
        </w:tc>
        <w:tc>
          <w:tcPr>
            <w:tcW w:w="353" w:type="pct"/>
            <w:shd w:val="clear" w:color="auto" w:fill="FFFFFF"/>
            <w:noWrap/>
            <w:vAlign w:val="center"/>
          </w:tcPr>
          <w:p w14:paraId="5AFE84F7">
            <w:pPr>
              <w:pStyle w:val="186"/>
              <w:spacing w:line="400" w:lineRule="exact"/>
              <w:jc w:val="center"/>
              <w:rPr>
                <w:sz w:val="24"/>
                <w:szCs w:val="24"/>
                <w:lang w:val="en-US"/>
              </w:rPr>
            </w:pPr>
            <w:r>
              <w:rPr>
                <w:rFonts w:hint="eastAsia"/>
                <w:sz w:val="24"/>
                <w:szCs w:val="24"/>
                <w:lang w:val="en-US"/>
              </w:rPr>
              <w:t>10</w:t>
            </w:r>
          </w:p>
        </w:tc>
      </w:tr>
      <w:tr w14:paraId="5C00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vMerge w:val="continue"/>
            <w:shd w:val="clear" w:color="auto" w:fill="FFFFFF"/>
            <w:noWrap/>
            <w:vAlign w:val="center"/>
          </w:tcPr>
          <w:p w14:paraId="5CC9C9F5">
            <w:pPr>
              <w:widowControl/>
              <w:spacing w:line="400" w:lineRule="exact"/>
              <w:jc w:val="center"/>
              <w:rPr>
                <w:rFonts w:ascii="宋体" w:hAnsi="宋体" w:cs="宋体"/>
                <w:sz w:val="24"/>
              </w:rPr>
            </w:pPr>
          </w:p>
        </w:tc>
        <w:tc>
          <w:tcPr>
            <w:tcW w:w="619" w:type="pct"/>
            <w:shd w:val="clear" w:color="auto" w:fill="FFFFFF"/>
            <w:noWrap/>
            <w:vAlign w:val="center"/>
          </w:tcPr>
          <w:p w14:paraId="165A2BE1">
            <w:pPr>
              <w:pStyle w:val="186"/>
              <w:adjustRightInd w:val="0"/>
              <w:snapToGrid w:val="0"/>
              <w:jc w:val="center"/>
              <w:rPr>
                <w:sz w:val="24"/>
                <w:szCs w:val="24"/>
                <w:lang w:val="en-US"/>
              </w:rPr>
            </w:pPr>
            <w:r>
              <w:rPr>
                <w:rFonts w:hint="eastAsia"/>
                <w:sz w:val="24"/>
                <w:szCs w:val="24"/>
                <w:lang w:val="en-US"/>
              </w:rPr>
              <w:t>安保</w:t>
            </w:r>
            <w:r>
              <w:rPr>
                <w:rFonts w:hint="eastAsia"/>
                <w:sz w:val="24"/>
                <w:szCs w:val="24"/>
              </w:rPr>
              <w:t>服务</w:t>
            </w:r>
          </w:p>
        </w:tc>
        <w:tc>
          <w:tcPr>
            <w:tcW w:w="3445" w:type="pct"/>
            <w:shd w:val="clear" w:color="auto" w:fill="FFFFFF"/>
            <w:noWrap/>
          </w:tcPr>
          <w:p w14:paraId="1792D086">
            <w:pPr>
              <w:pStyle w:val="186"/>
              <w:adjustRightInd w:val="0"/>
              <w:snapToGrid w:val="0"/>
              <w:rPr>
                <w:spacing w:val="-1"/>
                <w:szCs w:val="21"/>
              </w:rPr>
            </w:pPr>
            <w:r>
              <w:rPr>
                <w:rFonts w:hint="eastAsia"/>
                <w:spacing w:val="-1"/>
                <w:szCs w:val="21"/>
              </w:rPr>
              <w:t>投标人根据本项目实际情况，提供</w:t>
            </w:r>
            <w:r>
              <w:rPr>
                <w:rFonts w:hint="eastAsia"/>
                <w:spacing w:val="-1"/>
                <w:szCs w:val="21"/>
                <w:lang w:val="en-US"/>
              </w:rPr>
              <w:t>安保</w:t>
            </w:r>
            <w:r>
              <w:rPr>
                <w:rFonts w:hint="eastAsia"/>
                <w:spacing w:val="-1"/>
                <w:szCs w:val="21"/>
              </w:rPr>
              <w:t>服务方案，并根据各投标人提供方案的完整性、针对性及实际操作性进行评价。</w:t>
            </w:r>
          </w:p>
          <w:p w14:paraId="1731EF74">
            <w:pPr>
              <w:pStyle w:val="186"/>
              <w:adjustRightInd w:val="0"/>
              <w:snapToGrid w:val="0"/>
              <w:rPr>
                <w:spacing w:val="-1"/>
                <w:szCs w:val="21"/>
              </w:rPr>
            </w:pPr>
            <w:r>
              <w:rPr>
                <w:rFonts w:hint="eastAsia"/>
                <w:spacing w:val="-1"/>
                <w:szCs w:val="21"/>
              </w:rPr>
              <w:t>优：方案内容服务管理措施得当、服务标准清晰、服务作业流程完善、针对性与操作性强得</w:t>
            </w:r>
            <w:r>
              <w:rPr>
                <w:rFonts w:hint="eastAsia"/>
                <w:spacing w:val="-1"/>
                <w:szCs w:val="21"/>
                <w:lang w:val="en-US"/>
              </w:rPr>
              <w:t>8-10</w:t>
            </w:r>
            <w:r>
              <w:rPr>
                <w:rFonts w:hint="eastAsia"/>
                <w:spacing w:val="-1"/>
                <w:szCs w:val="21"/>
              </w:rPr>
              <w:t xml:space="preserve">分； </w:t>
            </w:r>
          </w:p>
          <w:p w14:paraId="6B5BA409">
            <w:pPr>
              <w:pStyle w:val="186"/>
              <w:adjustRightInd w:val="0"/>
              <w:snapToGrid w:val="0"/>
              <w:rPr>
                <w:spacing w:val="-1"/>
                <w:szCs w:val="21"/>
              </w:rPr>
            </w:pPr>
            <w:r>
              <w:rPr>
                <w:rFonts w:hint="eastAsia"/>
                <w:spacing w:val="-1"/>
                <w:szCs w:val="21"/>
              </w:rPr>
              <w:t>良：方案内容服务管理措施得当、服务标准较清晰、服务作业流程不完善、具有操作性得</w:t>
            </w:r>
            <w:r>
              <w:rPr>
                <w:rFonts w:hint="eastAsia"/>
                <w:spacing w:val="-1"/>
                <w:szCs w:val="21"/>
                <w:lang w:val="en-US"/>
              </w:rPr>
              <w:t>5-7</w:t>
            </w:r>
            <w:r>
              <w:rPr>
                <w:rFonts w:hint="eastAsia"/>
                <w:spacing w:val="-1"/>
                <w:szCs w:val="21"/>
              </w:rPr>
              <w:t>分；</w:t>
            </w:r>
          </w:p>
          <w:p w14:paraId="440B5C14">
            <w:pPr>
              <w:pStyle w:val="186"/>
              <w:adjustRightInd w:val="0"/>
              <w:snapToGrid w:val="0"/>
              <w:rPr>
                <w:spacing w:val="-1"/>
                <w:szCs w:val="21"/>
              </w:rPr>
            </w:pPr>
            <w:r>
              <w:rPr>
                <w:rFonts w:hint="eastAsia"/>
                <w:spacing w:val="-1"/>
                <w:szCs w:val="21"/>
              </w:rPr>
              <w:t xml:space="preserve"> 一般：方案内容服务管理措施较为得当，有相应的服务标准得</w:t>
            </w:r>
            <w:r>
              <w:rPr>
                <w:rFonts w:hint="eastAsia"/>
                <w:spacing w:val="-1"/>
                <w:szCs w:val="21"/>
                <w:lang w:val="en-US"/>
              </w:rPr>
              <w:t>1</w:t>
            </w:r>
            <w:r>
              <w:rPr>
                <w:rFonts w:hint="eastAsia"/>
                <w:spacing w:val="-1"/>
                <w:szCs w:val="21"/>
              </w:rPr>
              <w:t>-</w:t>
            </w:r>
            <w:r>
              <w:rPr>
                <w:rFonts w:hint="eastAsia"/>
                <w:spacing w:val="-1"/>
                <w:szCs w:val="21"/>
                <w:lang w:val="en-US"/>
              </w:rPr>
              <w:t>4</w:t>
            </w:r>
            <w:r>
              <w:rPr>
                <w:rFonts w:hint="eastAsia"/>
                <w:spacing w:val="-1"/>
                <w:szCs w:val="21"/>
              </w:rPr>
              <w:t xml:space="preserve">分； </w:t>
            </w:r>
          </w:p>
          <w:p w14:paraId="46F11F6C">
            <w:pPr>
              <w:pStyle w:val="186"/>
              <w:adjustRightInd w:val="0"/>
              <w:snapToGrid w:val="0"/>
              <w:rPr>
                <w:spacing w:val="-1"/>
                <w:szCs w:val="21"/>
              </w:rPr>
            </w:pPr>
            <w:r>
              <w:rPr>
                <w:rFonts w:hint="eastAsia"/>
                <w:spacing w:val="-1"/>
                <w:szCs w:val="21"/>
              </w:rPr>
              <w:t>不提供不得分。</w:t>
            </w:r>
          </w:p>
        </w:tc>
        <w:tc>
          <w:tcPr>
            <w:tcW w:w="353" w:type="pct"/>
            <w:shd w:val="clear" w:color="auto" w:fill="FFFFFF"/>
            <w:noWrap/>
            <w:vAlign w:val="center"/>
          </w:tcPr>
          <w:p w14:paraId="25C361C1">
            <w:pPr>
              <w:pStyle w:val="186"/>
              <w:spacing w:line="400" w:lineRule="exact"/>
              <w:jc w:val="center"/>
              <w:rPr>
                <w:sz w:val="24"/>
                <w:szCs w:val="24"/>
                <w:lang w:val="en-US"/>
              </w:rPr>
            </w:pPr>
            <w:r>
              <w:rPr>
                <w:rFonts w:hint="eastAsia"/>
                <w:sz w:val="24"/>
                <w:szCs w:val="24"/>
                <w:lang w:val="en-US"/>
              </w:rPr>
              <w:t>10</w:t>
            </w:r>
          </w:p>
        </w:tc>
      </w:tr>
      <w:tr w14:paraId="4608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73" w:hRule="atLeast"/>
          <w:jc w:val="center"/>
        </w:trPr>
        <w:tc>
          <w:tcPr>
            <w:tcW w:w="582" w:type="pct"/>
            <w:vMerge w:val="continue"/>
            <w:shd w:val="clear" w:color="auto" w:fill="FFFFFF"/>
            <w:noWrap/>
            <w:vAlign w:val="center"/>
          </w:tcPr>
          <w:p w14:paraId="40D71282">
            <w:pPr>
              <w:widowControl/>
              <w:spacing w:line="400" w:lineRule="exact"/>
              <w:jc w:val="center"/>
              <w:rPr>
                <w:rFonts w:ascii="宋体" w:hAnsi="宋体" w:cs="宋体"/>
                <w:sz w:val="24"/>
              </w:rPr>
            </w:pPr>
          </w:p>
        </w:tc>
        <w:tc>
          <w:tcPr>
            <w:tcW w:w="619" w:type="pct"/>
            <w:shd w:val="clear" w:color="auto" w:fill="FFFFFF"/>
            <w:noWrap/>
            <w:vAlign w:val="center"/>
          </w:tcPr>
          <w:p w14:paraId="549255D0">
            <w:pPr>
              <w:pStyle w:val="186"/>
              <w:adjustRightInd w:val="0"/>
              <w:snapToGrid w:val="0"/>
              <w:jc w:val="center"/>
              <w:rPr>
                <w:szCs w:val="21"/>
                <w:lang w:val="en-US"/>
              </w:rPr>
            </w:pPr>
            <w:r>
              <w:rPr>
                <w:rFonts w:hint="eastAsia"/>
                <w:szCs w:val="21"/>
                <w:lang w:val="en-US"/>
              </w:rPr>
              <w:t>食堂</w:t>
            </w:r>
            <w:r>
              <w:rPr>
                <w:rFonts w:hint="eastAsia"/>
                <w:spacing w:val="-1"/>
                <w:szCs w:val="21"/>
                <w:lang w:val="en-US"/>
              </w:rPr>
              <w:t>管理方案</w:t>
            </w:r>
          </w:p>
        </w:tc>
        <w:tc>
          <w:tcPr>
            <w:tcW w:w="3445" w:type="pct"/>
            <w:shd w:val="clear" w:color="auto" w:fill="FFFFFF"/>
            <w:noWrap/>
          </w:tcPr>
          <w:p w14:paraId="5630DDA8">
            <w:pPr>
              <w:pStyle w:val="186"/>
              <w:adjustRightInd w:val="0"/>
              <w:snapToGrid w:val="0"/>
              <w:rPr>
                <w:spacing w:val="-1"/>
                <w:szCs w:val="21"/>
              </w:rPr>
            </w:pPr>
            <w:r>
              <w:rPr>
                <w:rFonts w:hint="eastAsia"/>
                <w:spacing w:val="-1"/>
                <w:szCs w:val="21"/>
              </w:rPr>
              <w:t>投标人根据本项目实际情况，提供</w:t>
            </w:r>
            <w:r>
              <w:rPr>
                <w:rFonts w:hint="eastAsia"/>
                <w:spacing w:val="-1"/>
                <w:szCs w:val="21"/>
                <w:lang w:val="en-US"/>
              </w:rPr>
              <w:t>食堂管理</w:t>
            </w:r>
            <w:r>
              <w:rPr>
                <w:rFonts w:hint="eastAsia"/>
                <w:spacing w:val="-1"/>
                <w:szCs w:val="21"/>
              </w:rPr>
              <w:t xml:space="preserve">方案，并根据各投标人提供方案的完整性、针对性及实际操作性进行评价。 </w:t>
            </w:r>
          </w:p>
          <w:p w14:paraId="4291E73D">
            <w:pPr>
              <w:pStyle w:val="186"/>
              <w:adjustRightInd w:val="0"/>
              <w:snapToGrid w:val="0"/>
              <w:rPr>
                <w:spacing w:val="-1"/>
                <w:szCs w:val="21"/>
              </w:rPr>
            </w:pPr>
            <w:r>
              <w:rPr>
                <w:rFonts w:hint="eastAsia"/>
                <w:spacing w:val="-1"/>
                <w:szCs w:val="21"/>
              </w:rPr>
              <w:t>优：方案内容服务管理措施得当、服务标准清晰、服务作业流程完善、针对性与操作性强得</w:t>
            </w:r>
            <w:r>
              <w:rPr>
                <w:rFonts w:hint="eastAsia"/>
                <w:spacing w:val="-1"/>
                <w:szCs w:val="21"/>
                <w:lang w:val="en-US"/>
              </w:rPr>
              <w:t>8-10</w:t>
            </w:r>
            <w:r>
              <w:rPr>
                <w:rFonts w:hint="eastAsia"/>
                <w:spacing w:val="-1"/>
                <w:szCs w:val="21"/>
              </w:rPr>
              <w:t xml:space="preserve">分； </w:t>
            </w:r>
          </w:p>
          <w:p w14:paraId="5B67A55E">
            <w:pPr>
              <w:pStyle w:val="186"/>
              <w:adjustRightInd w:val="0"/>
              <w:snapToGrid w:val="0"/>
              <w:rPr>
                <w:spacing w:val="-1"/>
                <w:szCs w:val="21"/>
              </w:rPr>
            </w:pPr>
            <w:r>
              <w:rPr>
                <w:rFonts w:hint="eastAsia"/>
                <w:spacing w:val="-1"/>
                <w:szCs w:val="21"/>
              </w:rPr>
              <w:t>良：方案内容服务管理措施得当、服务标准较清晰、服务作业流程不完善、具有操作性得</w:t>
            </w:r>
            <w:r>
              <w:rPr>
                <w:rFonts w:hint="eastAsia"/>
                <w:spacing w:val="-1"/>
                <w:szCs w:val="21"/>
                <w:lang w:val="en-US"/>
              </w:rPr>
              <w:t>5-7</w:t>
            </w:r>
            <w:r>
              <w:rPr>
                <w:rFonts w:hint="eastAsia"/>
                <w:spacing w:val="-1"/>
                <w:szCs w:val="21"/>
              </w:rPr>
              <w:t>分；</w:t>
            </w:r>
          </w:p>
          <w:p w14:paraId="6DF89B7C">
            <w:pPr>
              <w:pStyle w:val="186"/>
              <w:adjustRightInd w:val="0"/>
              <w:snapToGrid w:val="0"/>
              <w:rPr>
                <w:spacing w:val="-1"/>
                <w:szCs w:val="21"/>
              </w:rPr>
            </w:pPr>
            <w:r>
              <w:rPr>
                <w:rFonts w:hint="eastAsia"/>
                <w:spacing w:val="-1"/>
                <w:szCs w:val="21"/>
              </w:rPr>
              <w:t xml:space="preserve"> 一般：方案内容服务管理措施较为得当，有相应的服务标准得</w:t>
            </w:r>
            <w:r>
              <w:rPr>
                <w:rFonts w:hint="eastAsia"/>
                <w:spacing w:val="-1"/>
                <w:szCs w:val="21"/>
                <w:lang w:val="en-US"/>
              </w:rPr>
              <w:t>1</w:t>
            </w:r>
            <w:r>
              <w:rPr>
                <w:rFonts w:hint="eastAsia"/>
                <w:spacing w:val="-1"/>
                <w:szCs w:val="21"/>
              </w:rPr>
              <w:t>-</w:t>
            </w:r>
            <w:r>
              <w:rPr>
                <w:rFonts w:hint="eastAsia"/>
                <w:spacing w:val="-1"/>
                <w:szCs w:val="21"/>
                <w:lang w:val="en-US"/>
              </w:rPr>
              <w:t>4</w:t>
            </w:r>
            <w:r>
              <w:rPr>
                <w:rFonts w:hint="eastAsia"/>
                <w:spacing w:val="-1"/>
                <w:szCs w:val="21"/>
              </w:rPr>
              <w:t xml:space="preserve">分； </w:t>
            </w:r>
          </w:p>
          <w:p w14:paraId="42B895AF">
            <w:pPr>
              <w:pStyle w:val="186"/>
              <w:adjustRightInd w:val="0"/>
              <w:snapToGrid w:val="0"/>
              <w:rPr>
                <w:spacing w:val="-1"/>
                <w:szCs w:val="21"/>
              </w:rPr>
            </w:pPr>
            <w:r>
              <w:rPr>
                <w:rFonts w:hint="eastAsia"/>
                <w:spacing w:val="-1"/>
                <w:szCs w:val="21"/>
              </w:rPr>
              <w:t>不提供不得分。</w:t>
            </w:r>
          </w:p>
        </w:tc>
        <w:tc>
          <w:tcPr>
            <w:tcW w:w="353" w:type="pct"/>
            <w:shd w:val="clear" w:color="auto" w:fill="FFFFFF"/>
            <w:noWrap/>
            <w:vAlign w:val="center"/>
          </w:tcPr>
          <w:p w14:paraId="4858E1DD">
            <w:pPr>
              <w:pStyle w:val="186"/>
              <w:adjustRightInd w:val="0"/>
              <w:snapToGrid w:val="0"/>
              <w:jc w:val="center"/>
              <w:rPr>
                <w:szCs w:val="21"/>
              </w:rPr>
            </w:pPr>
          </w:p>
          <w:p w14:paraId="0B9DBFF1">
            <w:pPr>
              <w:pStyle w:val="186"/>
              <w:adjustRightInd w:val="0"/>
              <w:snapToGrid w:val="0"/>
              <w:jc w:val="center"/>
              <w:rPr>
                <w:szCs w:val="21"/>
                <w:lang w:val="en-US"/>
              </w:rPr>
            </w:pPr>
            <w:r>
              <w:rPr>
                <w:rFonts w:hint="eastAsia"/>
                <w:szCs w:val="21"/>
                <w:lang w:val="en-US"/>
              </w:rPr>
              <w:t>10</w:t>
            </w:r>
          </w:p>
        </w:tc>
      </w:tr>
      <w:tr w14:paraId="54C8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582" w:type="pct"/>
            <w:vMerge w:val="continue"/>
            <w:shd w:val="clear" w:color="auto" w:fill="FFFFFF"/>
            <w:noWrap/>
            <w:vAlign w:val="center"/>
          </w:tcPr>
          <w:p w14:paraId="7F23E4B7">
            <w:pPr>
              <w:widowControl/>
              <w:spacing w:line="400" w:lineRule="exact"/>
              <w:jc w:val="center"/>
              <w:rPr>
                <w:rFonts w:ascii="宋体" w:hAnsi="宋体" w:cs="宋体"/>
                <w:sz w:val="24"/>
              </w:rPr>
            </w:pPr>
          </w:p>
        </w:tc>
        <w:tc>
          <w:tcPr>
            <w:tcW w:w="619" w:type="pct"/>
            <w:shd w:val="clear" w:color="auto" w:fill="FFFFFF"/>
            <w:noWrap/>
            <w:vAlign w:val="center"/>
          </w:tcPr>
          <w:p w14:paraId="7BC99AF3">
            <w:pPr>
              <w:pStyle w:val="186"/>
              <w:adjustRightInd w:val="0"/>
              <w:snapToGrid w:val="0"/>
              <w:jc w:val="center"/>
              <w:rPr>
                <w:szCs w:val="21"/>
              </w:rPr>
            </w:pPr>
            <w:r>
              <w:rPr>
                <w:rFonts w:hint="eastAsia"/>
                <w:szCs w:val="21"/>
              </w:rPr>
              <w:t>应急预案</w:t>
            </w:r>
          </w:p>
        </w:tc>
        <w:tc>
          <w:tcPr>
            <w:tcW w:w="3445" w:type="pct"/>
            <w:shd w:val="clear" w:color="auto" w:fill="FFFFFF"/>
            <w:noWrap/>
          </w:tcPr>
          <w:p w14:paraId="03F78083">
            <w:pPr>
              <w:pStyle w:val="186"/>
              <w:adjustRightInd w:val="0"/>
              <w:snapToGrid w:val="0"/>
              <w:rPr>
                <w:spacing w:val="-1"/>
                <w:szCs w:val="21"/>
              </w:rPr>
            </w:pPr>
            <w:r>
              <w:rPr>
                <w:rFonts w:hint="eastAsia"/>
                <w:spacing w:val="-1"/>
                <w:szCs w:val="21"/>
              </w:rPr>
              <w:t>投标人根据本项目实际情况，提供突发事件应急预案， 并根据各投标人提供方案的完整性、针对性及实际操作性进行评价。</w:t>
            </w:r>
          </w:p>
          <w:p w14:paraId="4F8D12A2">
            <w:pPr>
              <w:pStyle w:val="186"/>
              <w:adjustRightInd w:val="0"/>
              <w:snapToGrid w:val="0"/>
              <w:rPr>
                <w:spacing w:val="-1"/>
                <w:szCs w:val="21"/>
              </w:rPr>
            </w:pPr>
            <w:r>
              <w:rPr>
                <w:rFonts w:hint="eastAsia"/>
                <w:spacing w:val="-1"/>
                <w:szCs w:val="21"/>
              </w:rPr>
              <w:t>优：预案完善，思路清晰，管理措施得当，针对性与操作性强得</w:t>
            </w:r>
            <w:r>
              <w:rPr>
                <w:rFonts w:hint="eastAsia"/>
                <w:spacing w:val="-1"/>
                <w:szCs w:val="21"/>
                <w:lang w:val="en-US"/>
              </w:rPr>
              <w:t>8-10</w:t>
            </w:r>
            <w:r>
              <w:rPr>
                <w:rFonts w:hint="eastAsia"/>
                <w:spacing w:val="-1"/>
                <w:szCs w:val="21"/>
              </w:rPr>
              <w:t>分；</w:t>
            </w:r>
          </w:p>
          <w:p w14:paraId="117E780A">
            <w:pPr>
              <w:pStyle w:val="186"/>
              <w:adjustRightInd w:val="0"/>
              <w:snapToGrid w:val="0"/>
              <w:rPr>
                <w:spacing w:val="-1"/>
                <w:szCs w:val="21"/>
              </w:rPr>
            </w:pPr>
            <w:r>
              <w:rPr>
                <w:rFonts w:hint="eastAsia"/>
                <w:spacing w:val="-1"/>
                <w:szCs w:val="21"/>
              </w:rPr>
              <w:t>良：预案完善，思路清晰，管理措施得当具有操作性得</w:t>
            </w:r>
            <w:r>
              <w:rPr>
                <w:rFonts w:hint="eastAsia"/>
                <w:spacing w:val="-1"/>
                <w:szCs w:val="21"/>
                <w:lang w:val="en-US"/>
              </w:rPr>
              <w:t>5-7</w:t>
            </w:r>
            <w:r>
              <w:rPr>
                <w:rFonts w:hint="eastAsia"/>
                <w:spacing w:val="-1"/>
                <w:szCs w:val="21"/>
              </w:rPr>
              <w:t>分；</w:t>
            </w:r>
          </w:p>
          <w:p w14:paraId="2174830F">
            <w:pPr>
              <w:pStyle w:val="186"/>
              <w:adjustRightInd w:val="0"/>
              <w:snapToGrid w:val="0"/>
              <w:rPr>
                <w:spacing w:val="-1"/>
                <w:szCs w:val="21"/>
              </w:rPr>
            </w:pPr>
            <w:r>
              <w:rPr>
                <w:rFonts w:hint="eastAsia"/>
                <w:spacing w:val="-1"/>
                <w:szCs w:val="21"/>
              </w:rPr>
              <w:t>一般：预案较完善，有相应的管理措施得1</w:t>
            </w:r>
            <w:r>
              <w:rPr>
                <w:rFonts w:hint="eastAsia"/>
                <w:spacing w:val="-1"/>
                <w:szCs w:val="21"/>
                <w:lang w:val="en-US"/>
              </w:rPr>
              <w:t>-4</w:t>
            </w:r>
            <w:r>
              <w:rPr>
                <w:rFonts w:hint="eastAsia"/>
                <w:spacing w:val="-1"/>
                <w:szCs w:val="21"/>
              </w:rPr>
              <w:t>分；</w:t>
            </w:r>
          </w:p>
          <w:p w14:paraId="654AA231">
            <w:pPr>
              <w:pStyle w:val="186"/>
              <w:adjustRightInd w:val="0"/>
              <w:snapToGrid w:val="0"/>
              <w:rPr>
                <w:spacing w:val="-1"/>
                <w:szCs w:val="21"/>
              </w:rPr>
            </w:pPr>
            <w:r>
              <w:rPr>
                <w:rFonts w:hint="eastAsia"/>
                <w:spacing w:val="-1"/>
                <w:szCs w:val="21"/>
              </w:rPr>
              <w:t>不提供不得分。</w:t>
            </w:r>
          </w:p>
        </w:tc>
        <w:tc>
          <w:tcPr>
            <w:tcW w:w="353" w:type="pct"/>
            <w:shd w:val="clear" w:color="auto" w:fill="FFFFFF"/>
            <w:noWrap/>
            <w:vAlign w:val="center"/>
          </w:tcPr>
          <w:p w14:paraId="09887A46">
            <w:pPr>
              <w:pStyle w:val="186"/>
              <w:adjustRightInd w:val="0"/>
              <w:snapToGrid w:val="0"/>
              <w:jc w:val="center"/>
              <w:rPr>
                <w:szCs w:val="21"/>
                <w:lang w:val="en-US"/>
              </w:rPr>
            </w:pPr>
            <w:r>
              <w:rPr>
                <w:rFonts w:hint="eastAsia"/>
                <w:szCs w:val="21"/>
                <w:lang w:val="en-US"/>
              </w:rPr>
              <w:t>10</w:t>
            </w:r>
          </w:p>
        </w:tc>
      </w:tr>
      <w:tr w14:paraId="5FC9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582" w:type="pct"/>
            <w:vMerge w:val="restart"/>
            <w:shd w:val="clear" w:color="auto" w:fill="FFFFFF"/>
            <w:noWrap/>
            <w:vAlign w:val="center"/>
          </w:tcPr>
          <w:p w14:paraId="4D162675">
            <w:pPr>
              <w:spacing w:line="400" w:lineRule="exact"/>
              <w:jc w:val="center"/>
              <w:rPr>
                <w:rFonts w:ascii="宋体" w:hAnsi="宋体" w:cs="宋体"/>
                <w:sz w:val="24"/>
                <w:lang w:val="zh-CN" w:bidi="zh-CN"/>
              </w:rPr>
            </w:pPr>
          </w:p>
          <w:p w14:paraId="49AC331A">
            <w:pPr>
              <w:spacing w:line="400" w:lineRule="exact"/>
              <w:jc w:val="center"/>
              <w:rPr>
                <w:rFonts w:ascii="宋体" w:hAnsi="宋体" w:cs="宋体"/>
                <w:sz w:val="24"/>
                <w:lang w:val="zh-CN" w:bidi="zh-CN"/>
              </w:rPr>
            </w:pPr>
          </w:p>
          <w:p w14:paraId="415C3E10">
            <w:pPr>
              <w:spacing w:line="400" w:lineRule="exact"/>
              <w:jc w:val="center"/>
              <w:rPr>
                <w:rFonts w:ascii="宋体" w:hAnsi="宋体" w:cs="宋体"/>
                <w:sz w:val="24"/>
                <w:lang w:val="zh-CN" w:bidi="zh-CN"/>
              </w:rPr>
            </w:pPr>
          </w:p>
          <w:p w14:paraId="16B2FB7F">
            <w:pPr>
              <w:spacing w:line="400" w:lineRule="exact"/>
              <w:jc w:val="center"/>
              <w:rPr>
                <w:rFonts w:ascii="宋体" w:hAnsi="宋体" w:cs="宋体"/>
                <w:sz w:val="24"/>
                <w:lang w:val="zh-CN" w:bidi="zh-CN"/>
              </w:rPr>
            </w:pPr>
          </w:p>
          <w:p w14:paraId="0221A4DD">
            <w:pPr>
              <w:spacing w:line="400" w:lineRule="exact"/>
              <w:jc w:val="center"/>
              <w:rPr>
                <w:rFonts w:ascii="宋体" w:hAnsi="宋体" w:cs="宋体"/>
                <w:sz w:val="24"/>
                <w:lang w:val="zh-CN" w:bidi="zh-CN"/>
              </w:rPr>
            </w:pPr>
          </w:p>
          <w:p w14:paraId="234CCFA0">
            <w:pPr>
              <w:spacing w:line="400" w:lineRule="exact"/>
              <w:jc w:val="center"/>
              <w:rPr>
                <w:rFonts w:ascii="宋体" w:hAnsi="宋体" w:cs="宋体"/>
                <w:sz w:val="24"/>
                <w:lang w:bidi="zh-CN"/>
              </w:rPr>
            </w:pPr>
            <w:r>
              <w:rPr>
                <w:rFonts w:hint="eastAsia" w:ascii="宋体" w:hAnsi="宋体" w:cs="宋体"/>
                <w:sz w:val="24"/>
                <w:lang w:val="zh-CN" w:bidi="zh-CN"/>
              </w:rPr>
              <w:t>商务</w:t>
            </w:r>
            <w:r>
              <w:rPr>
                <w:rFonts w:hint="eastAsia" w:ascii="宋体" w:hAnsi="宋体" w:cs="宋体"/>
                <w:sz w:val="24"/>
                <w:lang w:bidi="zh-CN"/>
              </w:rPr>
              <w:t>评审</w:t>
            </w:r>
          </w:p>
          <w:p w14:paraId="04DCBCCD">
            <w:pPr>
              <w:spacing w:line="400" w:lineRule="exact"/>
              <w:jc w:val="center"/>
              <w:rPr>
                <w:rFonts w:ascii="宋体" w:hAnsi="宋体" w:cs="宋体"/>
                <w:sz w:val="24"/>
                <w:lang w:val="zh-CN" w:bidi="zh-CN"/>
              </w:rPr>
            </w:pPr>
            <w:r>
              <w:rPr>
                <w:rFonts w:hint="eastAsia" w:ascii="宋体" w:hAnsi="宋体" w:cs="宋体"/>
                <w:sz w:val="24"/>
                <w:lang w:val="zh-CN" w:bidi="zh-CN"/>
              </w:rPr>
              <w:t>（权重</w:t>
            </w:r>
            <w:r>
              <w:rPr>
                <w:rFonts w:hint="eastAsia" w:ascii="宋体" w:hAnsi="宋体" w:cs="宋体"/>
                <w:sz w:val="24"/>
                <w:lang w:bidi="zh-CN"/>
              </w:rPr>
              <w:t>30</w:t>
            </w:r>
            <w:r>
              <w:rPr>
                <w:rFonts w:hint="eastAsia" w:ascii="宋体" w:hAnsi="宋体" w:cs="宋体"/>
                <w:sz w:val="24"/>
                <w:lang w:val="zh-CN" w:bidi="zh-CN"/>
              </w:rPr>
              <w:t>%）</w:t>
            </w:r>
          </w:p>
        </w:tc>
        <w:tc>
          <w:tcPr>
            <w:tcW w:w="619" w:type="pct"/>
            <w:shd w:val="clear" w:color="auto" w:fill="FFFFFF"/>
            <w:noWrap/>
            <w:vAlign w:val="center"/>
          </w:tcPr>
          <w:p w14:paraId="4DE7B15B">
            <w:pPr>
              <w:pStyle w:val="186"/>
              <w:adjustRightInd w:val="0"/>
              <w:snapToGrid w:val="0"/>
              <w:jc w:val="center"/>
              <w:rPr>
                <w:szCs w:val="21"/>
              </w:rPr>
            </w:pPr>
            <w:r>
              <w:rPr>
                <w:rFonts w:hint="eastAsia"/>
                <w:szCs w:val="21"/>
              </w:rPr>
              <w:t>体系认证</w:t>
            </w:r>
          </w:p>
        </w:tc>
        <w:tc>
          <w:tcPr>
            <w:tcW w:w="3445" w:type="pct"/>
            <w:shd w:val="clear" w:color="auto" w:fill="FFFFFF"/>
            <w:noWrap/>
            <w:vAlign w:val="center"/>
          </w:tcPr>
          <w:p w14:paraId="7A97A957">
            <w:pPr>
              <w:pStyle w:val="186"/>
              <w:adjustRightInd w:val="0"/>
              <w:snapToGrid w:val="0"/>
              <w:rPr>
                <w:spacing w:val="-1"/>
                <w:szCs w:val="21"/>
              </w:rPr>
            </w:pPr>
            <w:r>
              <w:rPr>
                <w:rFonts w:hint="eastAsia"/>
                <w:spacing w:val="-1"/>
                <w:szCs w:val="21"/>
              </w:rPr>
              <w:t>投标人具有国家认证认可监督管理委员会批准的认证机构颁发的质量管理体系认证证书、环境管理体系认证证书、职业健康安全管理体系认证证书、每有一项认证得</w:t>
            </w:r>
            <w:r>
              <w:rPr>
                <w:rFonts w:hint="eastAsia"/>
                <w:spacing w:val="-1"/>
                <w:szCs w:val="21"/>
                <w:lang w:val="en-US"/>
              </w:rPr>
              <w:t>2</w:t>
            </w:r>
            <w:r>
              <w:rPr>
                <w:rFonts w:hint="eastAsia"/>
                <w:spacing w:val="-1"/>
                <w:szCs w:val="21"/>
              </w:rPr>
              <w:t>分，最高得</w:t>
            </w:r>
            <w:r>
              <w:rPr>
                <w:rFonts w:hint="eastAsia"/>
                <w:spacing w:val="-1"/>
                <w:szCs w:val="21"/>
                <w:lang w:val="en-US"/>
              </w:rPr>
              <w:t>6</w:t>
            </w:r>
            <w:r>
              <w:rPr>
                <w:rFonts w:hint="eastAsia"/>
                <w:spacing w:val="-1"/>
                <w:szCs w:val="21"/>
              </w:rPr>
              <w:t>分。</w:t>
            </w:r>
          </w:p>
          <w:p w14:paraId="75C01484">
            <w:pPr>
              <w:pStyle w:val="186"/>
              <w:adjustRightInd w:val="0"/>
              <w:snapToGrid w:val="0"/>
              <w:rPr>
                <w:spacing w:val="-1"/>
                <w:szCs w:val="21"/>
              </w:rPr>
            </w:pPr>
            <w:r>
              <w:rPr>
                <w:rFonts w:hint="eastAsia"/>
                <w:spacing w:val="-1"/>
                <w:szCs w:val="21"/>
              </w:rPr>
              <w:t>注：提供有效认证证书扫描件；认证证书注明年审要求的，须按规定年审，证书须在有效期内，且须提供全国认证认可信息公共服务平台（认e云）（http://cx.cnca.cn/）的认证信息截图（须体现网站信息）。如未按要求提供证明材料，或所提供的证明材料未能体现上述评分内容的，视为该证明材料无效。</w:t>
            </w:r>
          </w:p>
        </w:tc>
        <w:tc>
          <w:tcPr>
            <w:tcW w:w="353" w:type="pct"/>
            <w:shd w:val="clear" w:color="auto" w:fill="FFFFFF"/>
            <w:noWrap/>
            <w:vAlign w:val="center"/>
          </w:tcPr>
          <w:p w14:paraId="4DB46CF8">
            <w:pPr>
              <w:pStyle w:val="186"/>
              <w:adjustRightInd w:val="0"/>
              <w:snapToGrid w:val="0"/>
              <w:jc w:val="center"/>
              <w:rPr>
                <w:szCs w:val="21"/>
              </w:rPr>
            </w:pPr>
            <w:r>
              <w:rPr>
                <w:rFonts w:hint="eastAsia"/>
                <w:szCs w:val="21"/>
                <w:lang w:val="en-US"/>
              </w:rPr>
              <w:t>6</w:t>
            </w:r>
          </w:p>
        </w:tc>
      </w:tr>
      <w:tr w14:paraId="6BEF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582" w:type="pct"/>
            <w:vMerge w:val="continue"/>
            <w:shd w:val="clear" w:color="auto" w:fill="FFFFFF"/>
            <w:noWrap/>
            <w:vAlign w:val="center"/>
          </w:tcPr>
          <w:p w14:paraId="360A6681">
            <w:pPr>
              <w:widowControl/>
              <w:spacing w:line="400" w:lineRule="exact"/>
              <w:jc w:val="center"/>
              <w:rPr>
                <w:rFonts w:ascii="宋体" w:hAnsi="宋体" w:cs="宋体"/>
                <w:sz w:val="24"/>
              </w:rPr>
            </w:pPr>
          </w:p>
        </w:tc>
        <w:tc>
          <w:tcPr>
            <w:tcW w:w="619" w:type="pct"/>
            <w:shd w:val="clear" w:color="auto" w:fill="FFFFFF"/>
            <w:noWrap/>
            <w:vAlign w:val="center"/>
          </w:tcPr>
          <w:p w14:paraId="1DB7D799">
            <w:pPr>
              <w:pStyle w:val="186"/>
              <w:adjustRightInd w:val="0"/>
              <w:snapToGrid w:val="0"/>
              <w:jc w:val="center"/>
              <w:rPr>
                <w:szCs w:val="21"/>
              </w:rPr>
            </w:pPr>
            <w:r>
              <w:rPr>
                <w:rFonts w:hint="eastAsia"/>
                <w:szCs w:val="21"/>
              </w:rPr>
              <w:t>综合实力</w:t>
            </w:r>
          </w:p>
        </w:tc>
        <w:tc>
          <w:tcPr>
            <w:tcW w:w="3445" w:type="pct"/>
            <w:shd w:val="clear" w:color="auto" w:fill="FFFFFF"/>
            <w:noWrap/>
          </w:tcPr>
          <w:p w14:paraId="320D81EB">
            <w:pPr>
              <w:pStyle w:val="186"/>
              <w:adjustRightInd w:val="0"/>
              <w:snapToGrid w:val="0"/>
              <w:rPr>
                <w:spacing w:val="-1"/>
                <w:szCs w:val="21"/>
                <w:lang w:val="en-US"/>
              </w:rPr>
            </w:pPr>
            <w:r>
              <w:rPr>
                <w:rFonts w:hint="eastAsia"/>
                <w:spacing w:val="-1"/>
                <w:szCs w:val="21"/>
                <w:lang w:val="en-US"/>
              </w:rPr>
              <w:t>1、自2021年1月1日以来（以获奖时间为准），投标人获得政府主管部门颁发的奖项或荣誉证书的，每提供一个得2分，本项满分6分。</w:t>
            </w:r>
          </w:p>
          <w:p w14:paraId="60768581">
            <w:pPr>
              <w:pStyle w:val="186"/>
              <w:adjustRightInd w:val="0"/>
              <w:snapToGrid w:val="0"/>
              <w:rPr>
                <w:spacing w:val="-1"/>
                <w:szCs w:val="21"/>
              </w:rPr>
            </w:pPr>
            <w:r>
              <w:rPr>
                <w:rFonts w:hint="eastAsia"/>
                <w:spacing w:val="-1"/>
                <w:szCs w:val="21"/>
                <w:lang w:val="en-US"/>
              </w:rPr>
              <w:t>注：投标文件中提供获奖证书、批复、颁奖单位颁奖文件、网上公示截图（具有其中之一即可）等证明材料</w:t>
            </w:r>
            <w:r>
              <w:rPr>
                <w:rFonts w:hint="eastAsia"/>
                <w:spacing w:val="-1"/>
                <w:szCs w:val="21"/>
              </w:rPr>
              <w:t>扫描件或影印件</w:t>
            </w:r>
            <w:r>
              <w:rPr>
                <w:rFonts w:hint="eastAsia"/>
                <w:spacing w:val="-1"/>
                <w:szCs w:val="21"/>
                <w:lang w:val="en-US"/>
              </w:rPr>
              <w:t>，须能体现投标人名称等关键评审因素，如无法体现，须另附颁奖单位的相关证明材料，未提供或提供不全的不得分。如为项目获得的荣誉，则须提供获奖期间的物业服务合同</w:t>
            </w:r>
            <w:r>
              <w:rPr>
                <w:rFonts w:hint="eastAsia"/>
                <w:spacing w:val="-1"/>
                <w:szCs w:val="21"/>
              </w:rPr>
              <w:t>扫描件或影印件。</w:t>
            </w:r>
          </w:p>
        </w:tc>
        <w:tc>
          <w:tcPr>
            <w:tcW w:w="353" w:type="pct"/>
            <w:shd w:val="clear" w:color="auto" w:fill="FFFFFF"/>
            <w:noWrap/>
            <w:vAlign w:val="center"/>
          </w:tcPr>
          <w:p w14:paraId="11E19EE8">
            <w:pPr>
              <w:pStyle w:val="186"/>
              <w:adjustRightInd w:val="0"/>
              <w:snapToGrid w:val="0"/>
              <w:jc w:val="center"/>
              <w:rPr>
                <w:szCs w:val="21"/>
                <w:lang w:val="en-US"/>
              </w:rPr>
            </w:pPr>
            <w:r>
              <w:rPr>
                <w:rFonts w:hint="eastAsia"/>
                <w:szCs w:val="21"/>
                <w:lang w:val="en-US"/>
              </w:rPr>
              <w:t>6</w:t>
            </w:r>
          </w:p>
        </w:tc>
      </w:tr>
      <w:tr w14:paraId="2ED2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582" w:type="pct"/>
            <w:vMerge w:val="continue"/>
            <w:shd w:val="clear" w:color="auto" w:fill="FFFFFF"/>
            <w:noWrap/>
            <w:vAlign w:val="center"/>
          </w:tcPr>
          <w:p w14:paraId="1A599F3F">
            <w:pPr>
              <w:widowControl/>
              <w:spacing w:line="400" w:lineRule="exact"/>
              <w:jc w:val="center"/>
              <w:rPr>
                <w:rFonts w:ascii="宋体" w:hAnsi="宋体" w:cs="宋体"/>
                <w:sz w:val="24"/>
              </w:rPr>
            </w:pPr>
          </w:p>
        </w:tc>
        <w:tc>
          <w:tcPr>
            <w:tcW w:w="619" w:type="pct"/>
            <w:shd w:val="clear" w:color="auto" w:fill="FFFFFF"/>
            <w:noWrap/>
            <w:vAlign w:val="center"/>
          </w:tcPr>
          <w:p w14:paraId="335CDC31">
            <w:pPr>
              <w:pStyle w:val="186"/>
              <w:adjustRightInd w:val="0"/>
              <w:snapToGrid w:val="0"/>
              <w:jc w:val="center"/>
              <w:rPr>
                <w:szCs w:val="21"/>
              </w:rPr>
            </w:pPr>
            <w:r>
              <w:rPr>
                <w:rFonts w:hint="eastAsia"/>
                <w:szCs w:val="21"/>
              </w:rPr>
              <w:t>企业业绩</w:t>
            </w:r>
          </w:p>
        </w:tc>
        <w:tc>
          <w:tcPr>
            <w:tcW w:w="3445" w:type="pct"/>
            <w:shd w:val="clear" w:color="auto" w:fill="FFFFFF"/>
            <w:noWrap/>
            <w:vAlign w:val="center"/>
          </w:tcPr>
          <w:p w14:paraId="22C07EDB">
            <w:pPr>
              <w:pStyle w:val="186"/>
              <w:adjustRightInd w:val="0"/>
              <w:snapToGrid w:val="0"/>
              <w:rPr>
                <w:spacing w:val="-1"/>
                <w:szCs w:val="21"/>
                <w:lang w:val="en-US"/>
              </w:rPr>
            </w:pPr>
            <w:r>
              <w:rPr>
                <w:rFonts w:hint="eastAsia"/>
                <w:spacing w:val="-1"/>
                <w:szCs w:val="21"/>
                <w:lang w:val="en-US"/>
              </w:rPr>
              <w:t>自2021年1月1日（含）起（以合同签订时间为准），投标人每承担一例类似业绩的，得2分，满分6分。</w:t>
            </w:r>
          </w:p>
          <w:p w14:paraId="5FA54461">
            <w:pPr>
              <w:pStyle w:val="186"/>
              <w:adjustRightInd w:val="0"/>
              <w:snapToGrid w:val="0"/>
              <w:rPr>
                <w:spacing w:val="-1"/>
                <w:szCs w:val="21"/>
                <w:lang w:val="en-US"/>
              </w:rPr>
            </w:pPr>
            <w:r>
              <w:rPr>
                <w:rFonts w:hint="eastAsia"/>
                <w:spacing w:val="-1"/>
                <w:szCs w:val="21"/>
                <w:lang w:val="en-US"/>
              </w:rPr>
              <w:t>注：（1）响应文件中提供上述业绩合同扫描件；</w:t>
            </w:r>
          </w:p>
          <w:p w14:paraId="268BF13D">
            <w:pPr>
              <w:pStyle w:val="186"/>
              <w:adjustRightInd w:val="0"/>
              <w:snapToGrid w:val="0"/>
              <w:rPr>
                <w:spacing w:val="-1"/>
                <w:szCs w:val="21"/>
                <w:lang w:val="en-US"/>
              </w:rPr>
            </w:pPr>
            <w:r>
              <w:rPr>
                <w:rFonts w:hint="eastAsia"/>
                <w:spacing w:val="-1"/>
                <w:szCs w:val="21"/>
                <w:lang w:val="en-US"/>
              </w:rPr>
              <w:t xml:space="preserve">（2）如合同中无法体现合同签订时间、服务内容等评审因素的，须另提供业主单位证明材料扫描件； </w:t>
            </w:r>
          </w:p>
          <w:p w14:paraId="303EAC6D">
            <w:pPr>
              <w:pStyle w:val="186"/>
              <w:adjustRightInd w:val="0"/>
              <w:snapToGrid w:val="0"/>
              <w:rPr>
                <w:spacing w:val="-1"/>
                <w:szCs w:val="21"/>
                <w:lang w:val="en-US"/>
              </w:rPr>
            </w:pPr>
            <w:r>
              <w:rPr>
                <w:rFonts w:hint="eastAsia"/>
                <w:spacing w:val="-1"/>
                <w:szCs w:val="21"/>
                <w:lang w:val="en-US"/>
              </w:rPr>
              <w:t xml:space="preserve">（3）正在履约或履约完成的项目业绩，均予认可。 </w:t>
            </w:r>
          </w:p>
        </w:tc>
        <w:tc>
          <w:tcPr>
            <w:tcW w:w="353" w:type="pct"/>
            <w:shd w:val="clear" w:color="auto" w:fill="FFFFFF"/>
            <w:noWrap/>
            <w:vAlign w:val="center"/>
          </w:tcPr>
          <w:p w14:paraId="1FFE5593">
            <w:pPr>
              <w:pStyle w:val="186"/>
              <w:adjustRightInd w:val="0"/>
              <w:snapToGrid w:val="0"/>
              <w:jc w:val="center"/>
              <w:rPr>
                <w:szCs w:val="21"/>
              </w:rPr>
            </w:pPr>
            <w:r>
              <w:rPr>
                <w:rFonts w:hint="eastAsia"/>
                <w:szCs w:val="21"/>
                <w:lang w:val="en-US"/>
              </w:rPr>
              <w:t>6</w:t>
            </w:r>
          </w:p>
        </w:tc>
      </w:tr>
      <w:tr w14:paraId="72AF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28" w:hRule="atLeast"/>
          <w:jc w:val="center"/>
        </w:trPr>
        <w:tc>
          <w:tcPr>
            <w:tcW w:w="582" w:type="pct"/>
            <w:vMerge w:val="continue"/>
            <w:shd w:val="clear" w:color="auto" w:fill="FFFFFF"/>
            <w:noWrap/>
            <w:vAlign w:val="center"/>
          </w:tcPr>
          <w:p w14:paraId="5AB8D069">
            <w:pPr>
              <w:widowControl/>
              <w:spacing w:line="400" w:lineRule="exact"/>
              <w:jc w:val="center"/>
              <w:rPr>
                <w:rFonts w:ascii="宋体" w:hAnsi="宋体" w:cs="宋体"/>
                <w:sz w:val="24"/>
              </w:rPr>
            </w:pPr>
          </w:p>
        </w:tc>
        <w:tc>
          <w:tcPr>
            <w:tcW w:w="619" w:type="pct"/>
            <w:shd w:val="clear" w:color="auto" w:fill="FFFFFF"/>
            <w:noWrap/>
            <w:vAlign w:val="center"/>
          </w:tcPr>
          <w:p w14:paraId="26944945">
            <w:pPr>
              <w:pStyle w:val="186"/>
              <w:adjustRightInd w:val="0"/>
              <w:snapToGrid w:val="0"/>
              <w:jc w:val="center"/>
              <w:rPr>
                <w:spacing w:val="-1"/>
                <w:szCs w:val="21"/>
                <w:lang w:val="en-US"/>
              </w:rPr>
            </w:pPr>
            <w:r>
              <w:rPr>
                <w:rFonts w:hint="eastAsia"/>
                <w:spacing w:val="-1"/>
                <w:szCs w:val="21"/>
                <w:lang w:val="en-US"/>
              </w:rPr>
              <w:t>拟派本项目人员的资质情况</w:t>
            </w:r>
          </w:p>
        </w:tc>
        <w:tc>
          <w:tcPr>
            <w:tcW w:w="3445" w:type="pct"/>
            <w:shd w:val="clear" w:color="auto" w:fill="FFFFFF"/>
            <w:noWrap/>
            <w:vAlign w:val="center"/>
          </w:tcPr>
          <w:p w14:paraId="7101A506">
            <w:pPr>
              <w:pStyle w:val="186"/>
              <w:adjustRightInd w:val="0"/>
              <w:snapToGrid w:val="0"/>
              <w:rPr>
                <w:spacing w:val="-1"/>
                <w:szCs w:val="21"/>
                <w:lang w:val="en-US"/>
              </w:rPr>
            </w:pPr>
            <w:r>
              <w:rPr>
                <w:rFonts w:hint="eastAsia"/>
                <w:spacing w:val="-1"/>
                <w:szCs w:val="21"/>
                <w:lang w:val="en-US"/>
              </w:rPr>
              <w:t>1、拟派项目经理的要求：</w:t>
            </w:r>
          </w:p>
          <w:p w14:paraId="6E6F44AA">
            <w:pPr>
              <w:pStyle w:val="186"/>
              <w:adjustRightInd w:val="0"/>
              <w:snapToGrid w:val="0"/>
              <w:rPr>
                <w:spacing w:val="-1"/>
                <w:szCs w:val="21"/>
                <w:lang w:val="en-US"/>
              </w:rPr>
            </w:pPr>
            <w:r>
              <w:rPr>
                <w:rFonts w:hint="eastAsia"/>
                <w:spacing w:val="-1"/>
                <w:szCs w:val="21"/>
                <w:lang w:val="en-US"/>
              </w:rPr>
              <w:t>具有物业管理二级或以上职业资格（或职业技能等级四级或以上、中级或以上职称）证书的，得4分</w:t>
            </w:r>
          </w:p>
          <w:p w14:paraId="3FEF71E6">
            <w:pPr>
              <w:pStyle w:val="186"/>
              <w:adjustRightInd w:val="0"/>
              <w:snapToGrid w:val="0"/>
              <w:rPr>
                <w:spacing w:val="-1"/>
                <w:szCs w:val="21"/>
                <w:lang w:val="en-US"/>
              </w:rPr>
            </w:pPr>
            <w:r>
              <w:rPr>
                <w:rFonts w:hint="eastAsia"/>
                <w:spacing w:val="-1"/>
                <w:szCs w:val="21"/>
                <w:lang w:val="en-US"/>
              </w:rPr>
              <w:t xml:space="preserve">2、拟派安保主管要求： </w:t>
            </w:r>
          </w:p>
          <w:p w14:paraId="2ABC6B80">
            <w:pPr>
              <w:pStyle w:val="186"/>
              <w:adjustRightInd w:val="0"/>
              <w:snapToGrid w:val="0"/>
              <w:rPr>
                <w:spacing w:val="-1"/>
                <w:szCs w:val="21"/>
                <w:lang w:val="en-US"/>
              </w:rPr>
            </w:pPr>
            <w:r>
              <w:rPr>
                <w:rFonts w:hint="eastAsia"/>
                <w:spacing w:val="-1"/>
                <w:szCs w:val="21"/>
                <w:lang w:val="en-US"/>
              </w:rPr>
              <w:t xml:space="preserve">具有保卫管理（或保安师或保安员）二级及以上职业资格（或职业技能等级四级或以上、中级或以上职称）证书的，得4分； </w:t>
            </w:r>
          </w:p>
          <w:p w14:paraId="521E978E">
            <w:pPr>
              <w:pStyle w:val="186"/>
              <w:adjustRightInd w:val="0"/>
              <w:snapToGrid w:val="0"/>
              <w:rPr>
                <w:spacing w:val="-1"/>
                <w:szCs w:val="21"/>
                <w:lang w:val="en-US"/>
              </w:rPr>
            </w:pPr>
            <w:r>
              <w:rPr>
                <w:rFonts w:hint="eastAsia"/>
                <w:spacing w:val="-1"/>
                <w:szCs w:val="21"/>
                <w:lang w:val="en-US"/>
              </w:rPr>
              <w:t>3、拟派保洁主管要求：</w:t>
            </w:r>
          </w:p>
          <w:p w14:paraId="14EBE331">
            <w:pPr>
              <w:pStyle w:val="186"/>
              <w:adjustRightInd w:val="0"/>
              <w:snapToGrid w:val="0"/>
              <w:rPr>
                <w:spacing w:val="-1"/>
                <w:szCs w:val="21"/>
                <w:lang w:val="en-US"/>
              </w:rPr>
            </w:pPr>
            <w:r>
              <w:rPr>
                <w:rFonts w:hint="eastAsia"/>
                <w:spacing w:val="-1"/>
                <w:szCs w:val="21"/>
                <w:lang w:val="en-US"/>
              </w:rPr>
              <w:t>具有环境类专业二级及以上职业资格（或职业技能等级四级或以上、中级或以上职称）证书的，得4分；</w:t>
            </w:r>
          </w:p>
          <w:p w14:paraId="2844A390">
            <w:pPr>
              <w:pStyle w:val="186"/>
              <w:adjustRightInd w:val="0"/>
              <w:snapToGrid w:val="0"/>
              <w:rPr>
                <w:spacing w:val="-1"/>
                <w:szCs w:val="21"/>
                <w:lang w:val="en-US"/>
              </w:rPr>
            </w:pPr>
            <w:r>
              <w:rPr>
                <w:rFonts w:hint="eastAsia"/>
                <w:spacing w:val="-1"/>
                <w:szCs w:val="21"/>
                <w:lang w:val="en-US"/>
              </w:rPr>
              <w:t>注：提供以上人员在投标人单位2024年连续3个月的社保证明及相关证书复印件。</w:t>
            </w:r>
          </w:p>
        </w:tc>
        <w:tc>
          <w:tcPr>
            <w:tcW w:w="353" w:type="pct"/>
            <w:shd w:val="clear" w:color="auto" w:fill="FFFFFF"/>
            <w:noWrap/>
            <w:vAlign w:val="center"/>
          </w:tcPr>
          <w:p w14:paraId="01005966">
            <w:pPr>
              <w:pStyle w:val="186"/>
              <w:adjustRightInd w:val="0"/>
              <w:snapToGrid w:val="0"/>
              <w:jc w:val="center"/>
              <w:rPr>
                <w:spacing w:val="-1"/>
                <w:szCs w:val="21"/>
                <w:lang w:val="en-US"/>
              </w:rPr>
            </w:pPr>
            <w:r>
              <w:rPr>
                <w:rFonts w:hint="eastAsia"/>
                <w:spacing w:val="-1"/>
                <w:szCs w:val="21"/>
                <w:lang w:val="en-US"/>
              </w:rPr>
              <w:t>12</w:t>
            </w:r>
          </w:p>
        </w:tc>
      </w:tr>
    </w:tbl>
    <w:p w14:paraId="4A5B818A"/>
    <w:p w14:paraId="2E20F567">
      <w:pPr>
        <w:pStyle w:val="3"/>
        <w:jc w:val="left"/>
      </w:pPr>
      <w:bookmarkStart w:id="52" w:name="_Toc18575"/>
      <w:r>
        <w:rPr>
          <w:rFonts w:hint="eastAsia"/>
        </w:rPr>
        <w:t>4、正文部分</w:t>
      </w:r>
      <w:bookmarkEnd w:id="52"/>
    </w:p>
    <w:p w14:paraId="59A1CF9B">
      <w:pPr>
        <w:spacing w:line="360" w:lineRule="exact"/>
        <w:ind w:firstLine="480" w:firstLineChars="200"/>
        <w:rPr>
          <w:rFonts w:ascii="宋体" w:hAnsi="宋体"/>
          <w:sz w:val="24"/>
        </w:rPr>
      </w:pPr>
      <w:r>
        <w:rPr>
          <w:rFonts w:hint="eastAsia" w:ascii="宋体" w:hAnsi="宋体"/>
          <w:sz w:val="24"/>
        </w:rPr>
        <w:t>1、评标原则和方法</w:t>
      </w:r>
    </w:p>
    <w:p w14:paraId="1F7CF28C">
      <w:pPr>
        <w:spacing w:line="360" w:lineRule="exact"/>
        <w:rPr>
          <w:rFonts w:ascii="宋体" w:hAnsi="宋体"/>
          <w:sz w:val="24"/>
        </w:rPr>
      </w:pPr>
      <w:r>
        <w:rPr>
          <w:rFonts w:hint="eastAsia" w:ascii="宋体" w:hAnsi="宋体"/>
          <w:sz w:val="24"/>
        </w:rPr>
        <w:t xml:space="preserve">    1.1 评标基本原则：评标工作应依据《中华人民共和国政府采购法》以及国家及地方政府有关政府采购的有关规定，遵循“公开、公平、公正、择优”的原则进行，评委会对所有投标人的投标评估，都采用相同的程序和标准。本次综合评分的主要因素是：价格、技术、信誉、服务、对招标文件的响应程度以及环保、节能等。</w:t>
      </w:r>
    </w:p>
    <w:p w14:paraId="530AE67A">
      <w:pPr>
        <w:spacing w:line="360" w:lineRule="exact"/>
        <w:ind w:firstLine="480" w:firstLineChars="200"/>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评委会对每个“投标文件”的投标报价进行比较。</w:t>
      </w:r>
    </w:p>
    <w:p w14:paraId="01595632">
      <w:pPr>
        <w:spacing w:line="360" w:lineRule="exact"/>
        <w:ind w:firstLine="480" w:firstLineChars="20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对各投标者所报技术性能进行比较。</w:t>
      </w:r>
    </w:p>
    <w:p w14:paraId="726939E9">
      <w:pPr>
        <w:spacing w:line="360" w:lineRule="exact"/>
        <w:ind w:firstLine="480" w:firstLineChars="200"/>
        <w:rPr>
          <w:rFonts w:ascii="宋体" w:hAnsi="宋体"/>
          <w:sz w:val="24"/>
        </w:rPr>
      </w:pPr>
      <w:r>
        <w:rPr>
          <w:rFonts w:hint="eastAsia" w:ascii="宋体" w:hAnsi="宋体"/>
          <w:sz w:val="24"/>
        </w:rPr>
        <w:t>1.4对其他内容进行分析比较</w:t>
      </w:r>
    </w:p>
    <w:p w14:paraId="2A3A9126">
      <w:pPr>
        <w:spacing w:line="360" w:lineRule="exact"/>
        <w:ind w:firstLine="480" w:firstLineChars="200"/>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采用综合评分法，以不公开方式进行评标。评委会成员应依据投标文件规定的评分标准和方法独立对其他因素进行比较打分。评标过程中不允许投标人与评委之间有可能影响到评标结果公正性的会面和谈话，以体现公平、公正的基本原则。</w:t>
      </w:r>
    </w:p>
    <w:p w14:paraId="0512D821">
      <w:pPr>
        <w:spacing w:line="360" w:lineRule="exact"/>
        <w:ind w:left="-50" w:leftChars="-24" w:firstLine="540" w:firstLineChars="225"/>
        <w:rPr>
          <w:rFonts w:ascii="宋体" w:hAnsi="宋体"/>
          <w:sz w:val="24"/>
        </w:rPr>
      </w:pPr>
      <w:r>
        <w:rPr>
          <w:rFonts w:hint="eastAsia" w:ascii="宋体" w:hAnsi="宋体"/>
          <w:sz w:val="24"/>
        </w:rPr>
        <w:t>1.6分值权重分配（具体见评分细则）评标委员会按得分高低顺序确定候中标人。</w:t>
      </w:r>
    </w:p>
    <w:p w14:paraId="774D19C2">
      <w:pPr>
        <w:spacing w:line="360" w:lineRule="exact"/>
        <w:ind w:firstLine="480" w:firstLineChars="200"/>
        <w:jc w:val="left"/>
        <w:rPr>
          <w:rFonts w:ascii="宋体" w:hAnsi="宋体"/>
          <w:sz w:val="24"/>
        </w:rPr>
      </w:pPr>
      <w:r>
        <w:rPr>
          <w:rFonts w:hint="eastAsia" w:ascii="宋体" w:hAnsi="宋体"/>
          <w:sz w:val="24"/>
        </w:rPr>
        <w:t>1.7综合以上分析比较最后做出评标结论。</w:t>
      </w:r>
    </w:p>
    <w:p w14:paraId="769AA1E0">
      <w:pPr>
        <w:spacing w:before="120" w:line="360" w:lineRule="exact"/>
        <w:ind w:firstLine="480" w:firstLineChars="200"/>
        <w:rPr>
          <w:rFonts w:ascii="宋体" w:hAnsi="宋体"/>
          <w:sz w:val="24"/>
        </w:rPr>
      </w:pPr>
      <w:r>
        <w:rPr>
          <w:rFonts w:hint="eastAsia" w:ascii="宋体" w:hAnsi="宋体"/>
          <w:sz w:val="24"/>
        </w:rPr>
        <w:t>2、保密及其它注意事项</w:t>
      </w:r>
    </w:p>
    <w:p w14:paraId="2D1FE3C9">
      <w:pPr>
        <w:pStyle w:val="28"/>
        <w:spacing w:line="360" w:lineRule="exact"/>
        <w:ind w:firstLine="420"/>
        <w:rPr>
          <w:rFonts w:ascii="宋体" w:hAnsi="宋体"/>
          <w:sz w:val="24"/>
        </w:rPr>
      </w:pPr>
      <w:r>
        <w:rPr>
          <w:rFonts w:hint="eastAsia" w:ascii="宋体" w:hAnsi="宋体"/>
          <w:sz w:val="24"/>
        </w:rPr>
        <w:t>2.1评标是招标工作的重要环节，评标工作在评委会内独立进行。评委会将遵照评标原则，公正、公平、择优地对待所有投标人。</w:t>
      </w:r>
    </w:p>
    <w:p w14:paraId="6B1D32D4">
      <w:pPr>
        <w:pStyle w:val="28"/>
        <w:spacing w:line="360" w:lineRule="exact"/>
        <w:ind w:firstLine="420"/>
        <w:rPr>
          <w:rFonts w:ascii="宋体" w:hAnsi="宋体"/>
          <w:sz w:val="24"/>
        </w:rPr>
      </w:pPr>
      <w:r>
        <w:rPr>
          <w:rFonts w:hint="eastAsia" w:ascii="宋体" w:hAnsi="宋体"/>
          <w:sz w:val="24"/>
        </w:rPr>
        <w:t>2.2评标前后，采购代理机构将安排评委会与采购代理机构双方作技术和商务交流。评委会可能对投标文件中有关问题分别向投标人进行询问。各投标人应予以认真答复。重要或复杂问题的答复需以书面形式，并经法定代表人或授权人签署。澄清文件将作为“投标文件”的组成部份。</w:t>
      </w:r>
    </w:p>
    <w:p w14:paraId="7B270107">
      <w:pPr>
        <w:pStyle w:val="28"/>
        <w:spacing w:line="360" w:lineRule="exact"/>
        <w:ind w:firstLine="480" w:firstLineChars="200"/>
        <w:rPr>
          <w:rFonts w:ascii="宋体" w:hAnsi="宋体"/>
          <w:sz w:val="24"/>
        </w:rPr>
      </w:pPr>
      <w:r>
        <w:rPr>
          <w:rFonts w:hint="eastAsia" w:ascii="宋体" w:hAnsi="宋体"/>
          <w:sz w:val="24"/>
        </w:rPr>
        <w:t>2.3在开标、评标期间，投标人不得向评委询问评标情况，不得进行旨在影响评标结果的活动。</w:t>
      </w:r>
    </w:p>
    <w:p w14:paraId="6207F6D4">
      <w:pPr>
        <w:spacing w:line="360" w:lineRule="exact"/>
        <w:ind w:firstLine="480" w:firstLineChars="200"/>
        <w:rPr>
          <w:rFonts w:ascii="宋体" w:hAnsi="宋体"/>
          <w:sz w:val="24"/>
        </w:rPr>
      </w:pPr>
      <w:r>
        <w:rPr>
          <w:rFonts w:hint="eastAsia" w:ascii="宋体" w:hAnsi="宋体"/>
          <w:sz w:val="24"/>
        </w:rPr>
        <w:t>2.4为保证定标的公正性，在评标过程中，评委不得与投标人私下交换意见。在招标工作结束后，凡与评标情况有接触的任何人，不得也不应将评标情况扩散出评委人员之外。</w:t>
      </w:r>
    </w:p>
    <w:p w14:paraId="09E544DB">
      <w:pPr>
        <w:spacing w:line="360" w:lineRule="exact"/>
        <w:ind w:firstLine="480" w:firstLineChars="200"/>
        <w:rPr>
          <w:rFonts w:ascii="宋体" w:hAnsi="宋体"/>
          <w:sz w:val="24"/>
        </w:rPr>
      </w:pPr>
      <w:r>
        <w:rPr>
          <w:rFonts w:hint="eastAsia" w:ascii="宋体" w:hAnsi="宋体"/>
          <w:sz w:val="24"/>
        </w:rPr>
        <w:t>2</w:t>
      </w:r>
      <w:r>
        <w:rPr>
          <w:rFonts w:ascii="宋体" w:hAnsi="宋体"/>
          <w:sz w:val="24"/>
        </w:rPr>
        <w:t xml:space="preserve">.5 </w:t>
      </w:r>
      <w:r>
        <w:rPr>
          <w:rFonts w:hint="eastAsia" w:ascii="宋体" w:hAnsi="宋体"/>
          <w:sz w:val="24"/>
        </w:rPr>
        <w:t>评委会不向落标方解释落标原因，不退还投标文件。</w:t>
      </w:r>
    </w:p>
    <w:p w14:paraId="75F9D246">
      <w:pPr>
        <w:spacing w:line="360" w:lineRule="exact"/>
        <w:ind w:firstLine="480" w:firstLineChars="200"/>
        <w:rPr>
          <w:rFonts w:ascii="宋体" w:hAnsi="宋体"/>
          <w:sz w:val="24"/>
        </w:rPr>
      </w:pPr>
      <w:r>
        <w:rPr>
          <w:rFonts w:hint="eastAsia" w:ascii="宋体" w:hAnsi="宋体"/>
          <w:sz w:val="24"/>
        </w:rPr>
        <w:t>3、评标步骤及评标方法</w:t>
      </w:r>
    </w:p>
    <w:p w14:paraId="4C0DDDE1">
      <w:pPr>
        <w:spacing w:line="3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1评标步骤：先进行投标人初步评审，再进行技术、商务及价格的详细评审。只有通过初步评审的投标人才能进入详细的评审。</w:t>
      </w:r>
    </w:p>
    <w:p w14:paraId="2656337D">
      <w:pPr>
        <w:spacing w:line="360" w:lineRule="exact"/>
        <w:ind w:left="1"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2本项目评标采用综合评分法。</w:t>
      </w:r>
    </w:p>
    <w:p w14:paraId="3DDC2CF3">
      <w:pPr>
        <w:spacing w:line="360" w:lineRule="exact"/>
        <w:ind w:left="1" w:firstLine="480" w:firstLineChars="200"/>
        <w:rPr>
          <w:rFonts w:ascii="宋体" w:hAnsi="宋体"/>
          <w:sz w:val="24"/>
        </w:rPr>
      </w:pPr>
      <w:r>
        <w:rPr>
          <w:rFonts w:hint="eastAsia" w:ascii="宋体" w:hAnsi="宋体"/>
          <w:sz w:val="24"/>
        </w:rPr>
        <w:t>综合得分按由高到低顺序排列。综合得分相同时，按投标报价由低到高顺序排列。综合得分和投标报价均相同的，按技术指标由优至劣顺序排列。综合得分最高的投标人为第一中标候选人，综合得分次高的投标人为第二中标候选人。本项目仅推荐3名中标候选人。</w:t>
      </w:r>
    </w:p>
    <w:p w14:paraId="65D68CFB">
      <w:pPr>
        <w:spacing w:line="360" w:lineRule="exact"/>
        <w:ind w:firstLine="480" w:firstLineChars="200"/>
        <w:rPr>
          <w:rFonts w:ascii="宋体" w:hAnsi="宋体"/>
          <w:b/>
          <w:sz w:val="24"/>
        </w:rPr>
      </w:pPr>
      <w:r>
        <w:rPr>
          <w:rFonts w:hint="eastAsia" w:ascii="宋体" w:hAnsi="宋体"/>
          <w:sz w:val="24"/>
        </w:rPr>
        <w:t>4、初步评审</w:t>
      </w:r>
    </w:p>
    <w:p w14:paraId="5568F1DB">
      <w:pPr>
        <w:spacing w:line="360" w:lineRule="exact"/>
        <w:ind w:left="1"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1采购人或代理机构根据资格性审查表对投标人的资格进行审查。</w:t>
      </w:r>
    </w:p>
    <w:p w14:paraId="0B1AF0B7">
      <w:pPr>
        <w:spacing w:line="360" w:lineRule="exact"/>
        <w:ind w:left="1" w:firstLine="480" w:firstLineChars="200"/>
        <w:jc w:val="left"/>
        <w:rPr>
          <w:rFonts w:ascii="宋体" w:hAnsi="宋体"/>
          <w:sz w:val="24"/>
        </w:rPr>
      </w:pPr>
      <w:r>
        <w:rPr>
          <w:rFonts w:hint="eastAsia" w:ascii="宋体" w:hAnsi="宋体"/>
          <w:sz w:val="24"/>
        </w:rPr>
        <w:t>4.2评标委员会根据符合性审查表对投标文件符合性进行评审，以确定其是否满足招标文件中的实质性要求。</w:t>
      </w:r>
    </w:p>
    <w:p w14:paraId="2ADC893C">
      <w:pPr>
        <w:spacing w:line="3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3无效投标的认定</w:t>
      </w:r>
    </w:p>
    <w:p w14:paraId="2601B9DE">
      <w:pPr>
        <w:spacing w:line="360" w:lineRule="exact"/>
        <w:ind w:firstLine="480" w:firstLineChars="200"/>
        <w:jc w:val="left"/>
        <w:rPr>
          <w:rFonts w:ascii="宋体" w:hAnsi="宋体"/>
          <w:sz w:val="24"/>
        </w:rPr>
      </w:pPr>
      <w:r>
        <w:rPr>
          <w:rFonts w:hint="eastAsia" w:ascii="宋体" w:hAnsi="宋体"/>
          <w:sz w:val="24"/>
        </w:rPr>
        <w:t>投标文件出现但不限于下列情况的将被认定为无效投标：</w:t>
      </w:r>
    </w:p>
    <w:p w14:paraId="71B3C55F">
      <w:pPr>
        <w:widowControl/>
        <w:spacing w:before="100" w:beforeAutospacing="1" w:after="240" w:line="360" w:lineRule="exact"/>
        <w:jc w:val="left"/>
        <w:rPr>
          <w:rFonts w:ascii="宋体" w:hAnsi="宋体"/>
          <w:sz w:val="24"/>
        </w:rPr>
      </w:pPr>
      <w:r>
        <w:rPr>
          <w:rFonts w:ascii="宋体" w:hAnsi="宋体"/>
          <w:sz w:val="24"/>
        </w:rPr>
        <w:t>　　</w:t>
      </w:r>
      <w:r>
        <w:rPr>
          <w:rFonts w:hint="eastAsia" w:ascii="宋体" w:hAnsi="宋体"/>
          <w:sz w:val="24"/>
        </w:rPr>
        <w:t>1</w:t>
      </w:r>
      <w:r>
        <w:rPr>
          <w:rFonts w:ascii="宋体" w:hAnsi="宋体"/>
          <w:sz w:val="24"/>
        </w:rPr>
        <w:t>）投标文件未按招标文件要求签署、盖章的；</w:t>
      </w:r>
    </w:p>
    <w:p w14:paraId="24D1885C">
      <w:pPr>
        <w:widowControl/>
        <w:spacing w:before="100" w:beforeAutospacing="1" w:after="240" w:line="360" w:lineRule="exact"/>
        <w:jc w:val="left"/>
        <w:rPr>
          <w:rFonts w:ascii="宋体" w:hAnsi="宋体"/>
          <w:sz w:val="24"/>
        </w:rPr>
      </w:pPr>
      <w:r>
        <w:rPr>
          <w:rFonts w:ascii="宋体" w:hAnsi="宋体"/>
          <w:sz w:val="24"/>
        </w:rPr>
        <w:t>　　</w:t>
      </w:r>
      <w:r>
        <w:rPr>
          <w:rFonts w:hint="eastAsia" w:ascii="宋体" w:hAnsi="宋体"/>
          <w:sz w:val="24"/>
        </w:rPr>
        <w:t>2</w:t>
      </w:r>
      <w:r>
        <w:rPr>
          <w:rFonts w:ascii="宋体" w:hAnsi="宋体"/>
          <w:sz w:val="24"/>
        </w:rPr>
        <w:t>）不具备招标文件中规定的资格要求的；</w:t>
      </w:r>
    </w:p>
    <w:p w14:paraId="4ED1787C">
      <w:pPr>
        <w:widowControl/>
        <w:spacing w:before="100" w:beforeAutospacing="1" w:after="240" w:line="360" w:lineRule="exact"/>
        <w:jc w:val="left"/>
        <w:rPr>
          <w:rFonts w:ascii="宋体" w:hAnsi="宋体"/>
          <w:sz w:val="24"/>
        </w:rPr>
      </w:pPr>
      <w:r>
        <w:rPr>
          <w:rFonts w:ascii="宋体" w:hAnsi="宋体"/>
          <w:sz w:val="24"/>
        </w:rPr>
        <w:t>　　</w:t>
      </w:r>
      <w:r>
        <w:rPr>
          <w:rFonts w:hint="eastAsia" w:ascii="宋体" w:hAnsi="宋体"/>
          <w:sz w:val="24"/>
        </w:rPr>
        <w:t>3</w:t>
      </w:r>
      <w:r>
        <w:rPr>
          <w:rFonts w:ascii="宋体" w:hAnsi="宋体"/>
          <w:sz w:val="24"/>
        </w:rPr>
        <w:t>）报价超过招标文件中规定的预算金额或者最高限价的；</w:t>
      </w:r>
    </w:p>
    <w:p w14:paraId="7F0C7A1F">
      <w:pPr>
        <w:widowControl/>
        <w:spacing w:before="100" w:beforeAutospacing="1" w:after="240" w:line="360" w:lineRule="exact"/>
        <w:ind w:firstLine="465"/>
        <w:jc w:val="left"/>
        <w:rPr>
          <w:rFonts w:ascii="宋体" w:hAnsi="宋体"/>
          <w:sz w:val="24"/>
        </w:rPr>
      </w:pPr>
      <w:r>
        <w:rPr>
          <w:rFonts w:hint="eastAsia" w:ascii="宋体" w:hAnsi="宋体"/>
          <w:sz w:val="24"/>
        </w:rPr>
        <w:t>4</w:t>
      </w:r>
      <w:r>
        <w:rPr>
          <w:rFonts w:ascii="宋体" w:hAnsi="宋体"/>
          <w:sz w:val="24"/>
        </w:rPr>
        <w:t>）投标文件含有采购人不能接受的附加条件的;</w:t>
      </w:r>
    </w:p>
    <w:p w14:paraId="320192F7">
      <w:pPr>
        <w:widowControl/>
        <w:spacing w:before="100" w:beforeAutospacing="1" w:after="240" w:line="360" w:lineRule="exact"/>
        <w:ind w:firstLine="465"/>
        <w:jc w:val="left"/>
        <w:rPr>
          <w:rFonts w:ascii="宋体" w:hAnsi="宋体"/>
          <w:sz w:val="24"/>
        </w:rPr>
      </w:pPr>
      <w:r>
        <w:rPr>
          <w:rFonts w:hint="eastAsia" w:ascii="宋体" w:hAnsi="宋体"/>
          <w:sz w:val="24"/>
        </w:rPr>
        <w:t>5</w:t>
      </w:r>
      <w:r>
        <w:rPr>
          <w:rFonts w:ascii="宋体" w:hAnsi="宋体"/>
          <w:sz w:val="24"/>
        </w:rPr>
        <w:t>）法律、法规和招标文件规定的其他无效情形。</w:t>
      </w:r>
    </w:p>
    <w:p w14:paraId="530B7E40">
      <w:pPr>
        <w:spacing w:line="360" w:lineRule="exact"/>
        <w:ind w:firstLine="480" w:firstLineChars="200"/>
        <w:rPr>
          <w:rFonts w:ascii="宋体" w:hAnsi="宋体"/>
          <w:sz w:val="24"/>
        </w:rPr>
      </w:pPr>
      <w:r>
        <w:rPr>
          <w:rFonts w:hint="eastAsia" w:ascii="宋体" w:hAnsi="宋体"/>
          <w:sz w:val="24"/>
        </w:rPr>
        <w:t>6）投标报价明显低于其他投标报价而投标人不能合理说明的。</w:t>
      </w:r>
    </w:p>
    <w:p w14:paraId="73D59665">
      <w:pPr>
        <w:spacing w:line="360" w:lineRule="exact"/>
        <w:ind w:firstLine="480" w:firstLineChars="200"/>
        <w:rPr>
          <w:rFonts w:ascii="宋体" w:hAnsi="宋体"/>
          <w:sz w:val="24"/>
        </w:rPr>
      </w:pPr>
      <w:r>
        <w:rPr>
          <w:rFonts w:hint="eastAsia" w:ascii="宋体" w:hAnsi="宋体"/>
          <w:sz w:val="24"/>
        </w:rPr>
        <w:t>7</w:t>
      </w:r>
      <w:r>
        <w:rPr>
          <w:rFonts w:ascii="宋体" w:hAnsi="宋体"/>
          <w:sz w:val="24"/>
        </w:rPr>
        <w:t>）不同投标人的投标文件由同一单位或者个人编制；</w:t>
      </w:r>
    </w:p>
    <w:p w14:paraId="4BBC889B">
      <w:pPr>
        <w:widowControl/>
        <w:spacing w:before="100" w:beforeAutospacing="1" w:after="240" w:line="360" w:lineRule="exact"/>
        <w:jc w:val="left"/>
        <w:rPr>
          <w:rFonts w:ascii="宋体" w:hAnsi="宋体"/>
          <w:sz w:val="24"/>
        </w:rPr>
      </w:pPr>
      <w:r>
        <w:rPr>
          <w:rFonts w:ascii="宋体" w:hAnsi="宋体"/>
          <w:sz w:val="24"/>
        </w:rPr>
        <w:t>　　</w:t>
      </w:r>
      <w:r>
        <w:rPr>
          <w:rFonts w:hint="eastAsia" w:ascii="宋体" w:hAnsi="宋体"/>
          <w:sz w:val="24"/>
        </w:rPr>
        <w:t>8</w:t>
      </w:r>
      <w:r>
        <w:rPr>
          <w:rFonts w:ascii="宋体" w:hAnsi="宋体"/>
          <w:sz w:val="24"/>
        </w:rPr>
        <w:t>）不同投标人委托同一单位或者个人办理投标事宜；</w:t>
      </w:r>
    </w:p>
    <w:p w14:paraId="6AFA7618">
      <w:pPr>
        <w:widowControl/>
        <w:spacing w:before="100" w:beforeAutospacing="1" w:after="240" w:line="360" w:lineRule="exact"/>
        <w:jc w:val="left"/>
        <w:rPr>
          <w:rFonts w:ascii="宋体" w:hAnsi="宋体"/>
          <w:sz w:val="24"/>
        </w:rPr>
      </w:pPr>
      <w:r>
        <w:rPr>
          <w:rFonts w:ascii="宋体" w:hAnsi="宋体"/>
          <w:sz w:val="24"/>
        </w:rPr>
        <w:t>　</w:t>
      </w:r>
      <w:r>
        <w:rPr>
          <w:rFonts w:hint="eastAsia" w:ascii="宋体" w:hAnsi="宋体"/>
          <w:sz w:val="24"/>
        </w:rPr>
        <w:t>9</w:t>
      </w:r>
      <w:r>
        <w:rPr>
          <w:rFonts w:ascii="宋体" w:hAnsi="宋体"/>
          <w:sz w:val="24"/>
        </w:rPr>
        <w:t>）不同投标人的投标文件载明的项目管理成员或者联系人员为同一人；</w:t>
      </w:r>
    </w:p>
    <w:p w14:paraId="65364F17">
      <w:pPr>
        <w:widowControl/>
        <w:spacing w:before="100" w:beforeAutospacing="1" w:after="240" w:line="360" w:lineRule="exact"/>
        <w:jc w:val="left"/>
        <w:rPr>
          <w:rFonts w:ascii="宋体" w:hAnsi="宋体"/>
          <w:sz w:val="24"/>
        </w:rPr>
      </w:pPr>
      <w:r>
        <w:rPr>
          <w:rFonts w:ascii="宋体" w:hAnsi="宋体"/>
          <w:sz w:val="24"/>
        </w:rPr>
        <w:t>　　</w:t>
      </w:r>
      <w:r>
        <w:rPr>
          <w:rFonts w:hint="eastAsia" w:ascii="宋体" w:hAnsi="宋体"/>
          <w:sz w:val="24"/>
        </w:rPr>
        <w:t>10</w:t>
      </w:r>
      <w:r>
        <w:rPr>
          <w:rFonts w:ascii="宋体" w:hAnsi="宋体"/>
          <w:sz w:val="24"/>
        </w:rPr>
        <w:t>）不同投标人的投标文件异常一致或者投标报价呈规律性差异；</w:t>
      </w:r>
    </w:p>
    <w:p w14:paraId="4E35711C">
      <w:pPr>
        <w:widowControl/>
        <w:spacing w:before="100" w:beforeAutospacing="1" w:after="240" w:line="360" w:lineRule="exact"/>
        <w:ind w:firstLine="465"/>
        <w:jc w:val="left"/>
        <w:rPr>
          <w:rFonts w:ascii="宋体" w:hAnsi="宋体"/>
          <w:sz w:val="24"/>
        </w:rPr>
      </w:pPr>
      <w:r>
        <w:rPr>
          <w:rFonts w:hint="eastAsia" w:ascii="宋体" w:hAnsi="宋体"/>
          <w:sz w:val="24"/>
        </w:rPr>
        <w:t>11</w:t>
      </w:r>
      <w:r>
        <w:rPr>
          <w:rFonts w:ascii="宋体" w:hAnsi="宋体"/>
          <w:sz w:val="24"/>
        </w:rPr>
        <w:t>）不同投标人的投标文件相互混装；</w:t>
      </w:r>
    </w:p>
    <w:p w14:paraId="010D45D2">
      <w:pPr>
        <w:widowControl/>
        <w:spacing w:before="100" w:beforeAutospacing="1" w:after="240" w:line="360" w:lineRule="exact"/>
        <w:ind w:firstLine="465"/>
        <w:jc w:val="left"/>
        <w:rPr>
          <w:rFonts w:ascii="宋体" w:hAnsi="宋体"/>
          <w:sz w:val="24"/>
        </w:rPr>
      </w:pPr>
      <w:r>
        <w:rPr>
          <w:rFonts w:hint="eastAsia" w:ascii="宋体" w:hAnsi="宋体"/>
          <w:sz w:val="24"/>
        </w:rPr>
        <w:t>12）如投标人提交的投标文件为虚假材料的，按无效标处理。</w:t>
      </w:r>
    </w:p>
    <w:p w14:paraId="5B9D309D">
      <w:pPr>
        <w:spacing w:line="360" w:lineRule="auto"/>
        <w:rPr>
          <w:sz w:val="24"/>
        </w:rPr>
      </w:pPr>
      <w:r>
        <w:rPr>
          <w:rFonts w:hint="eastAsia"/>
          <w:sz w:val="24"/>
        </w:rPr>
        <w:t>5、详细评审</w:t>
      </w:r>
    </w:p>
    <w:p w14:paraId="1E991280">
      <w:pPr>
        <w:spacing w:line="360" w:lineRule="auto"/>
        <w:ind w:firstLine="120" w:firstLineChars="50"/>
        <w:rPr>
          <w:sz w:val="24"/>
        </w:rPr>
      </w:pPr>
      <w:r>
        <w:rPr>
          <w:rFonts w:hint="eastAsia"/>
          <w:sz w:val="24"/>
        </w:rPr>
        <w:t>5</w:t>
      </w:r>
      <w:r>
        <w:rPr>
          <w:sz w:val="24"/>
        </w:rPr>
        <w:t>.</w:t>
      </w:r>
      <w:r>
        <w:rPr>
          <w:rFonts w:hint="eastAsia"/>
          <w:sz w:val="24"/>
        </w:rPr>
        <w:t>1详细评审是对通过初步评审的投标进行技术、商务（授权）、售后服务及信誉、价格的评审。</w:t>
      </w:r>
    </w:p>
    <w:p w14:paraId="0E68746E">
      <w:pPr>
        <w:spacing w:line="360" w:lineRule="auto"/>
        <w:ind w:firstLine="120" w:firstLineChars="50"/>
        <w:rPr>
          <w:sz w:val="24"/>
        </w:rPr>
      </w:pPr>
      <w:r>
        <w:rPr>
          <w:rFonts w:hint="eastAsia"/>
          <w:sz w:val="24"/>
        </w:rPr>
        <w:t>5</w:t>
      </w:r>
      <w:r>
        <w:rPr>
          <w:sz w:val="24"/>
        </w:rPr>
        <w:t>.</w:t>
      </w:r>
      <w:r>
        <w:rPr>
          <w:rFonts w:hint="eastAsia"/>
          <w:sz w:val="24"/>
        </w:rPr>
        <w:t>2价格评分标准：价格分采用低价优先法计算，评标基准价等于有效投标单位中价格扣除后报价的最小值，其价格分为满分。其他投标人的价格分统一按：报价得分=(评标基准价／价格扣除后的投标报价)×100×报价分值权重。小数点后保留两位。</w:t>
      </w:r>
    </w:p>
    <w:p w14:paraId="13B17F8A">
      <w:pPr>
        <w:spacing w:line="360" w:lineRule="auto"/>
        <w:ind w:firstLine="120" w:firstLineChars="50"/>
        <w:rPr>
          <w:sz w:val="24"/>
        </w:rPr>
      </w:pPr>
      <w:r>
        <w:rPr>
          <w:rFonts w:hint="eastAsia"/>
          <w:sz w:val="24"/>
        </w:rPr>
        <w:t>5</w:t>
      </w:r>
      <w:r>
        <w:rPr>
          <w:sz w:val="24"/>
        </w:rPr>
        <w:t>.</w:t>
      </w:r>
      <w:r>
        <w:rPr>
          <w:rFonts w:hint="eastAsia"/>
          <w:sz w:val="24"/>
        </w:rPr>
        <w:t>3根据评审方法计算进入详细评审的各投标人的综合得分，计算得分保留小数点后两位（两位后四舍五入）并按得分从高到低排名。综合得分相同的，按投标报价由低到高顺序排列。综合得分且投标报价相同的，按技术指标优劣顺序排列。</w:t>
      </w:r>
    </w:p>
    <w:p w14:paraId="3A23144A"/>
    <w:p w14:paraId="3B81EC7F"/>
    <w:p w14:paraId="72B9760D">
      <w:pPr>
        <w:pStyle w:val="2"/>
        <w:jc w:val="center"/>
      </w:pPr>
      <w:bookmarkStart w:id="53" w:name="_Toc32516"/>
      <w:r>
        <w:rPr>
          <w:rFonts w:hint="eastAsia"/>
        </w:rPr>
        <w:t>第五章合同</w:t>
      </w:r>
      <w:r>
        <w:t>文本</w:t>
      </w:r>
      <w:bookmarkEnd w:id="53"/>
    </w:p>
    <w:p w14:paraId="284D6530">
      <w:pPr>
        <w:pStyle w:val="3"/>
        <w:jc w:val="center"/>
        <w:rPr>
          <w:rFonts w:ascii="宋体" w:hAnsi="宋体" w:eastAsia="宋体" w:cs="宋体"/>
        </w:rPr>
      </w:pPr>
      <w:bookmarkStart w:id="54" w:name="_Toc104975707"/>
      <w:bookmarkStart w:id="55" w:name="_Toc19068"/>
      <w:r>
        <w:rPr>
          <w:rFonts w:hint="eastAsia" w:ascii="宋体" w:hAnsi="宋体" w:eastAsia="宋体" w:cs="宋体"/>
        </w:rPr>
        <w:t>物业服务合同</w:t>
      </w:r>
      <w:bookmarkEnd w:id="54"/>
      <w:bookmarkEnd w:id="55"/>
    </w:p>
    <w:p w14:paraId="0CB92C8D">
      <w:pPr>
        <w:tabs>
          <w:tab w:val="left" w:pos="1980"/>
        </w:tabs>
        <w:wordWrap w:val="0"/>
        <w:spacing w:afterLines="50" w:line="360" w:lineRule="auto"/>
        <w:jc w:val="right"/>
        <w:rPr>
          <w:rFonts w:ascii="宋体" w:hAnsi="宋体" w:cs="宋体"/>
          <w:snapToGrid w:val="0"/>
          <w:kern w:val="0"/>
          <w:sz w:val="24"/>
        </w:rPr>
      </w:pPr>
      <w:bookmarkStart w:id="56" w:name="_Toc104975708"/>
      <w:r>
        <w:rPr>
          <w:rFonts w:hint="eastAsia" w:ascii="宋体" w:hAnsi="宋体" w:cs="宋体"/>
          <w:snapToGrid w:val="0"/>
          <w:kern w:val="0"/>
          <w:sz w:val="24"/>
        </w:rPr>
        <w:t>合同编号：</w:t>
      </w:r>
      <w:bookmarkEnd w:id="56"/>
    </w:p>
    <w:p w14:paraId="5D1A585F">
      <w:pPr>
        <w:tabs>
          <w:tab w:val="left" w:pos="1980"/>
        </w:tabs>
        <w:spacing w:line="440" w:lineRule="exact"/>
        <w:rPr>
          <w:rFonts w:ascii="宋体" w:hAnsi="宋体" w:cs="宋体"/>
          <w:snapToGrid w:val="0"/>
          <w:kern w:val="0"/>
          <w:sz w:val="24"/>
          <w:u w:val="single"/>
        </w:rPr>
      </w:pPr>
      <w:r>
        <w:rPr>
          <w:rFonts w:hint="eastAsia" w:ascii="宋体" w:hAnsi="宋体" w:cs="宋体"/>
          <w:snapToGrid w:val="0"/>
          <w:kern w:val="0"/>
          <w:sz w:val="24"/>
        </w:rPr>
        <w:t>甲方：</w:t>
      </w:r>
      <w:r>
        <w:rPr>
          <w:rFonts w:hint="eastAsia" w:ascii="宋体" w:hAnsi="宋体" w:cs="宋体"/>
          <w:snapToGrid w:val="0"/>
          <w:kern w:val="0"/>
          <w:sz w:val="24"/>
          <w:u w:val="single"/>
        </w:rPr>
        <w:t>海钢（屯昌）建材科技有限公司</w:t>
      </w:r>
    </w:p>
    <w:p w14:paraId="5F68263D">
      <w:pPr>
        <w:tabs>
          <w:tab w:val="left" w:pos="1980"/>
        </w:tabs>
        <w:spacing w:line="440" w:lineRule="exact"/>
        <w:rPr>
          <w:rFonts w:ascii="宋体" w:hAnsi="宋体" w:cs="宋体"/>
          <w:snapToGrid w:val="0"/>
          <w:kern w:val="0"/>
          <w:sz w:val="24"/>
        </w:rPr>
      </w:pPr>
      <w:r>
        <w:rPr>
          <w:rFonts w:hint="eastAsia" w:ascii="宋体" w:hAnsi="宋体" w:cs="宋体"/>
          <w:snapToGrid w:val="0"/>
          <w:kern w:val="0"/>
          <w:sz w:val="24"/>
        </w:rPr>
        <w:t xml:space="preserve">地址： </w:t>
      </w:r>
      <w:r>
        <w:rPr>
          <w:rFonts w:hint="eastAsia" w:ascii="宋体" w:hAnsi="宋体" w:cs="宋体"/>
          <w:snapToGrid w:val="0"/>
          <w:kern w:val="0"/>
          <w:sz w:val="24"/>
          <w:u w:val="single"/>
        </w:rPr>
        <w:t xml:space="preserve"> 海南省屯昌县G224国道79公里处海钢（屯昌）建材科技有限公司</w:t>
      </w:r>
    </w:p>
    <w:p w14:paraId="10A99889">
      <w:pPr>
        <w:tabs>
          <w:tab w:val="left" w:pos="1980"/>
        </w:tabs>
        <w:spacing w:line="440" w:lineRule="exact"/>
        <w:rPr>
          <w:rFonts w:ascii="宋体" w:hAnsi="宋体" w:cs="宋体"/>
          <w:snapToGrid w:val="0"/>
          <w:kern w:val="0"/>
          <w:sz w:val="24"/>
        </w:rPr>
      </w:pPr>
    </w:p>
    <w:p w14:paraId="5407B1A5">
      <w:pPr>
        <w:tabs>
          <w:tab w:val="left" w:pos="1980"/>
        </w:tabs>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乙方：                                      </w:t>
      </w:r>
    </w:p>
    <w:p w14:paraId="7DA3BAA3">
      <w:pPr>
        <w:tabs>
          <w:tab w:val="left" w:pos="1980"/>
        </w:tabs>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地址：                                     </w:t>
      </w:r>
    </w:p>
    <w:p w14:paraId="085516FE">
      <w:pPr>
        <w:adjustRightInd w:val="0"/>
        <w:snapToGrid w:val="0"/>
        <w:spacing w:line="360" w:lineRule="auto"/>
        <w:ind w:firstLine="435"/>
        <w:rPr>
          <w:rFonts w:ascii="宋体" w:hAnsi="宋体" w:cs="宋体"/>
          <w:snapToGrid w:val="0"/>
          <w:kern w:val="0"/>
          <w:sz w:val="24"/>
        </w:rPr>
      </w:pPr>
      <w:r>
        <w:rPr>
          <w:rFonts w:hint="eastAsia" w:ascii="宋体" w:hAnsi="宋体" w:cs="宋体"/>
          <w:snapToGrid w:val="0"/>
          <w:kern w:val="0"/>
          <w:sz w:val="24"/>
        </w:rPr>
        <w:t>因甲方生产经营需要，甲方将安保服务、保洁服务、绿化服务、食堂服务等发包给乙方，现就物业服务事宜，经双方协商，达成本合同，以资共同信守。</w:t>
      </w:r>
    </w:p>
    <w:p w14:paraId="7A2C9568">
      <w:pPr>
        <w:tabs>
          <w:tab w:val="decimal" w:pos="-720"/>
          <w:tab w:val="left" w:pos="1890"/>
          <w:tab w:val="left" w:pos="7380"/>
        </w:tabs>
        <w:adjustRightInd w:val="0"/>
        <w:snapToGrid w:val="0"/>
        <w:spacing w:line="360" w:lineRule="auto"/>
        <w:rPr>
          <w:rFonts w:ascii="宋体" w:hAnsi="宋体" w:cs="宋体"/>
          <w:b/>
          <w:snapToGrid w:val="0"/>
          <w:kern w:val="0"/>
          <w:sz w:val="24"/>
        </w:rPr>
      </w:pPr>
      <w:r>
        <w:rPr>
          <w:rFonts w:hint="eastAsia" w:ascii="宋体" w:hAnsi="宋体" w:cs="宋体"/>
          <w:b/>
          <w:snapToGrid w:val="0"/>
          <w:kern w:val="0"/>
          <w:sz w:val="24"/>
        </w:rPr>
        <w:t>一、合同期限，</w:t>
      </w:r>
    </w:p>
    <w:p w14:paraId="13A0D0B3">
      <w:pPr>
        <w:tabs>
          <w:tab w:val="decimal" w:pos="-720"/>
          <w:tab w:val="left" w:pos="1890"/>
          <w:tab w:val="left" w:pos="7380"/>
        </w:tabs>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本合同有效期为</w:t>
      </w:r>
      <w:r>
        <w:rPr>
          <w:rFonts w:hint="eastAsia" w:ascii="宋体" w:hAnsi="宋体" w:cs="宋体"/>
          <w:snapToGrid w:val="0"/>
          <w:kern w:val="0"/>
          <w:sz w:val="24"/>
          <w:u w:val="single"/>
        </w:rPr>
        <w:t>60</w:t>
      </w:r>
      <w:r>
        <w:rPr>
          <w:rFonts w:hint="eastAsia" w:ascii="宋体" w:hAnsi="宋体" w:cs="宋体"/>
          <w:snapToGrid w:val="0"/>
          <w:kern w:val="0"/>
          <w:sz w:val="24"/>
        </w:rPr>
        <w:t>个月，自</w:t>
      </w:r>
      <w:r>
        <w:rPr>
          <w:rFonts w:hint="eastAsia" w:ascii="宋体" w:hAnsi="宋体" w:cs="宋体"/>
          <w:snapToGrid w:val="0"/>
          <w:kern w:val="0"/>
          <w:sz w:val="24"/>
          <w:u w:val="single"/>
        </w:rPr>
        <w:t xml:space="preserve">  2024</w:t>
      </w:r>
      <w:r>
        <w:rPr>
          <w:rFonts w:hint="eastAsia" w:ascii="宋体" w:hAnsi="宋体" w:cs="宋体"/>
          <w:snapToGrid w:val="0"/>
          <w:kern w:val="0"/>
          <w:sz w:val="24"/>
        </w:rPr>
        <w:t>年</w:t>
      </w:r>
      <w:r>
        <w:rPr>
          <w:rFonts w:hint="eastAsia" w:ascii="宋体" w:hAnsi="宋体" w:cs="宋体"/>
          <w:snapToGrid w:val="0"/>
          <w:kern w:val="0"/>
          <w:sz w:val="24"/>
          <w:u w:val="single"/>
        </w:rPr>
        <w:t>12</w:t>
      </w:r>
      <w:r>
        <w:rPr>
          <w:rFonts w:hint="eastAsia" w:ascii="宋体" w:hAnsi="宋体" w:cs="宋体"/>
          <w:snapToGrid w:val="0"/>
          <w:kern w:val="0"/>
          <w:sz w:val="24"/>
        </w:rPr>
        <w:t xml:space="preserve"> 月  日起至 </w:t>
      </w:r>
      <w:r>
        <w:rPr>
          <w:rFonts w:hint="eastAsia" w:ascii="宋体" w:hAnsi="宋体" w:cs="宋体"/>
          <w:snapToGrid w:val="0"/>
          <w:kern w:val="0"/>
          <w:sz w:val="24"/>
          <w:u w:val="single"/>
        </w:rPr>
        <w:t xml:space="preserve">  2029</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  日止。</w:t>
      </w:r>
    </w:p>
    <w:p w14:paraId="0CCAB400">
      <w:pPr>
        <w:tabs>
          <w:tab w:val="decimal" w:pos="-720"/>
          <w:tab w:val="left" w:pos="1890"/>
          <w:tab w:val="left" w:pos="7380"/>
        </w:tabs>
        <w:adjustRightInd w:val="0"/>
        <w:snapToGrid w:val="0"/>
        <w:spacing w:line="360" w:lineRule="auto"/>
        <w:rPr>
          <w:rFonts w:ascii="宋体" w:hAnsi="宋体" w:cs="宋体"/>
          <w:b/>
          <w:snapToGrid w:val="0"/>
          <w:kern w:val="0"/>
          <w:sz w:val="24"/>
        </w:rPr>
      </w:pPr>
      <w:r>
        <w:rPr>
          <w:rFonts w:hint="eastAsia" w:ascii="宋体" w:hAnsi="宋体" w:cs="宋体"/>
          <w:b/>
          <w:snapToGrid w:val="0"/>
          <w:kern w:val="0"/>
          <w:sz w:val="24"/>
        </w:rPr>
        <w:t>二、乙方人员配备标准</w:t>
      </w:r>
    </w:p>
    <w:p w14:paraId="4B3D23C9">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1、为保证甲方工作任务顺利完成，乙方按如下标准向甲方安排作业人员：</w:t>
      </w:r>
    </w:p>
    <w:p w14:paraId="70800113">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（1）符合甲方工作任务所要求的健康标准，能够胜任乙方安排其从事的劳务工作，保证按时完成工作任务；</w:t>
      </w:r>
    </w:p>
    <w:p w14:paraId="3FC7A8FB">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（2）具有吃苦耐劳精神，服务意识较强；</w:t>
      </w:r>
    </w:p>
    <w:p w14:paraId="50392F13">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（3）年龄在18周岁以上，男员工不高于</w:t>
      </w:r>
      <w:r>
        <w:rPr>
          <w:rFonts w:hint="eastAsia" w:ascii="宋体" w:hAnsi="宋体" w:cs="宋体"/>
          <w:snapToGrid w:val="0"/>
          <w:kern w:val="0"/>
          <w:sz w:val="24"/>
          <w:u w:val="single"/>
        </w:rPr>
        <w:t xml:space="preserve"> 60 </w:t>
      </w:r>
      <w:r>
        <w:rPr>
          <w:rFonts w:hint="eastAsia" w:ascii="宋体" w:hAnsi="宋体" w:cs="宋体"/>
          <w:snapToGrid w:val="0"/>
          <w:kern w:val="0"/>
          <w:sz w:val="24"/>
        </w:rPr>
        <w:t>周岁，女员工不高于</w:t>
      </w:r>
      <w:r>
        <w:rPr>
          <w:rFonts w:hint="eastAsia" w:ascii="宋体" w:hAnsi="宋体" w:cs="宋体"/>
          <w:snapToGrid w:val="0"/>
          <w:kern w:val="0"/>
          <w:sz w:val="24"/>
          <w:u w:val="single"/>
        </w:rPr>
        <w:t xml:space="preserve"> 55 </w:t>
      </w:r>
      <w:r>
        <w:rPr>
          <w:rFonts w:hint="eastAsia" w:ascii="宋体" w:hAnsi="宋体" w:cs="宋体"/>
          <w:snapToGrid w:val="0"/>
          <w:kern w:val="0"/>
          <w:sz w:val="24"/>
        </w:rPr>
        <w:t>周岁。</w:t>
      </w:r>
    </w:p>
    <w:p w14:paraId="155FD27D">
      <w:pPr>
        <w:tabs>
          <w:tab w:val="decimal" w:pos="-720"/>
          <w:tab w:val="left" w:pos="1890"/>
          <w:tab w:val="left" w:pos="7380"/>
        </w:tabs>
        <w:adjustRightInd w:val="0"/>
        <w:snapToGrid w:val="0"/>
        <w:spacing w:line="360" w:lineRule="auto"/>
        <w:rPr>
          <w:rFonts w:ascii="宋体" w:hAnsi="宋体" w:cs="宋体"/>
          <w:b/>
          <w:snapToGrid w:val="0"/>
          <w:kern w:val="0"/>
          <w:sz w:val="24"/>
        </w:rPr>
      </w:pPr>
      <w:r>
        <w:rPr>
          <w:rFonts w:hint="eastAsia" w:ascii="宋体" w:hAnsi="宋体" w:cs="宋体"/>
          <w:b/>
          <w:snapToGrid w:val="0"/>
          <w:kern w:val="0"/>
          <w:sz w:val="24"/>
        </w:rPr>
        <w:t>三、物业服务费用支付标准</w:t>
      </w:r>
    </w:p>
    <w:tbl>
      <w:tblPr>
        <w:tblStyle w:val="33"/>
        <w:tblW w:w="5000" w:type="pct"/>
        <w:jc w:val="center"/>
        <w:tblLayout w:type="autofit"/>
        <w:tblCellMar>
          <w:top w:w="0" w:type="dxa"/>
          <w:left w:w="108" w:type="dxa"/>
          <w:bottom w:w="0" w:type="dxa"/>
          <w:right w:w="108" w:type="dxa"/>
        </w:tblCellMar>
      </w:tblPr>
      <w:tblGrid>
        <w:gridCol w:w="654"/>
        <w:gridCol w:w="2074"/>
        <w:gridCol w:w="1147"/>
        <w:gridCol w:w="1888"/>
        <w:gridCol w:w="657"/>
        <w:gridCol w:w="2136"/>
        <w:gridCol w:w="657"/>
      </w:tblGrid>
      <w:tr w14:paraId="5BAEB267">
        <w:tblPrEx>
          <w:tblCellMar>
            <w:top w:w="0" w:type="dxa"/>
            <w:left w:w="108" w:type="dxa"/>
            <w:bottom w:w="0" w:type="dxa"/>
            <w:right w:w="108" w:type="dxa"/>
          </w:tblCellMar>
        </w:tblPrEx>
        <w:trPr>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C5D9F1"/>
            <w:noWrap/>
            <w:vAlign w:val="center"/>
          </w:tcPr>
          <w:p w14:paraId="6AE241E1">
            <w:pPr>
              <w:widowControl/>
              <w:jc w:val="center"/>
              <w:textAlignment w:val="center"/>
              <w:rPr>
                <w:rFonts w:ascii="宋体" w:hAnsi="宋体" w:cs="宋体"/>
                <w:b/>
                <w:bCs/>
                <w:sz w:val="32"/>
                <w:szCs w:val="32"/>
              </w:rPr>
            </w:pPr>
            <w:r>
              <w:rPr>
                <w:rFonts w:hint="eastAsia" w:ascii="宋体" w:hAnsi="宋体" w:cs="宋体"/>
                <w:b/>
                <w:bCs/>
                <w:kern w:val="0"/>
                <w:sz w:val="32"/>
                <w:szCs w:val="32"/>
              </w:rPr>
              <w:t>海钢（屯昌）建材科技有限公司物业服务外包项目报价单</w:t>
            </w:r>
          </w:p>
        </w:tc>
      </w:tr>
      <w:tr w14:paraId="2EE3A7CE">
        <w:tblPrEx>
          <w:tblCellMar>
            <w:top w:w="0" w:type="dxa"/>
            <w:left w:w="108" w:type="dxa"/>
            <w:bottom w:w="0" w:type="dxa"/>
            <w:right w:w="108" w:type="dxa"/>
          </w:tblCellMar>
        </w:tblPrEx>
        <w:trPr>
          <w:jc w:val="center"/>
        </w:trPr>
        <w:tc>
          <w:tcPr>
            <w:tcW w:w="321"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72B6C7EE">
            <w:pPr>
              <w:widowControl/>
              <w:jc w:val="center"/>
              <w:textAlignment w:val="center"/>
              <w:rPr>
                <w:rFonts w:ascii="宋体" w:hAnsi="宋体" w:cs="宋体"/>
                <w:b/>
                <w:bCs/>
                <w:sz w:val="18"/>
                <w:szCs w:val="18"/>
              </w:rPr>
            </w:pPr>
            <w:r>
              <w:rPr>
                <w:rFonts w:hint="eastAsia" w:ascii="宋体" w:hAnsi="宋体" w:cs="宋体"/>
                <w:b/>
                <w:bCs/>
                <w:kern w:val="0"/>
                <w:sz w:val="18"/>
                <w:szCs w:val="18"/>
              </w:rPr>
              <w:t>序号</w:t>
            </w:r>
          </w:p>
        </w:tc>
        <w:tc>
          <w:tcPr>
            <w:tcW w:w="1164"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7F798541">
            <w:pPr>
              <w:widowControl/>
              <w:jc w:val="center"/>
              <w:textAlignment w:val="center"/>
              <w:rPr>
                <w:rFonts w:ascii="宋体" w:hAnsi="宋体" w:cs="宋体"/>
                <w:b/>
                <w:bCs/>
                <w:sz w:val="18"/>
                <w:szCs w:val="18"/>
              </w:rPr>
            </w:pPr>
            <w:r>
              <w:rPr>
                <w:rFonts w:hint="eastAsia" w:ascii="宋体" w:hAnsi="宋体" w:cs="宋体"/>
                <w:b/>
                <w:bCs/>
                <w:kern w:val="0"/>
                <w:sz w:val="18"/>
                <w:szCs w:val="18"/>
              </w:rPr>
              <w:t>A:岗位名称</w:t>
            </w:r>
          </w:p>
        </w:tc>
        <w:tc>
          <w:tcPr>
            <w:tcW w:w="614"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66133B1A">
            <w:pPr>
              <w:widowControl/>
              <w:jc w:val="center"/>
              <w:textAlignment w:val="center"/>
              <w:rPr>
                <w:rFonts w:ascii="宋体" w:hAnsi="宋体" w:cs="宋体"/>
                <w:b/>
                <w:bCs/>
                <w:sz w:val="18"/>
                <w:szCs w:val="18"/>
              </w:rPr>
            </w:pPr>
            <w:r>
              <w:rPr>
                <w:rFonts w:hint="eastAsia" w:ascii="宋体" w:hAnsi="宋体" w:cs="宋体"/>
                <w:b/>
                <w:bCs/>
                <w:kern w:val="0"/>
                <w:sz w:val="18"/>
                <w:szCs w:val="18"/>
              </w:rPr>
              <w:t>B:用工人数</w:t>
            </w:r>
          </w:p>
        </w:tc>
        <w:tc>
          <w:tcPr>
            <w:tcW w:w="1054"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3D13C7FC">
            <w:pPr>
              <w:widowControl/>
              <w:jc w:val="center"/>
              <w:textAlignment w:val="center"/>
              <w:rPr>
                <w:rFonts w:ascii="宋体" w:hAnsi="宋体" w:cs="宋体"/>
                <w:b/>
                <w:bCs/>
                <w:sz w:val="18"/>
                <w:szCs w:val="18"/>
              </w:rPr>
            </w:pPr>
            <w:r>
              <w:rPr>
                <w:rFonts w:hint="eastAsia" w:ascii="宋体" w:hAnsi="宋体" w:cs="宋体"/>
                <w:b/>
                <w:bCs/>
                <w:kern w:val="0"/>
                <w:sz w:val="18"/>
                <w:szCs w:val="18"/>
              </w:rPr>
              <w:t>C:含税单价（元/人）</w:t>
            </w:r>
          </w:p>
        </w:tc>
        <w:tc>
          <w:tcPr>
            <w:tcW w:w="322"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28F60250">
            <w:pPr>
              <w:widowControl/>
              <w:jc w:val="center"/>
              <w:textAlignment w:val="center"/>
              <w:rPr>
                <w:rFonts w:ascii="宋体" w:hAnsi="宋体" w:cs="宋体"/>
                <w:b/>
                <w:bCs/>
                <w:sz w:val="18"/>
                <w:szCs w:val="18"/>
              </w:rPr>
            </w:pPr>
            <w:r>
              <w:rPr>
                <w:rFonts w:hint="eastAsia" w:ascii="宋体" w:hAnsi="宋体" w:cs="宋体"/>
                <w:b/>
                <w:bCs/>
                <w:kern w:val="0"/>
                <w:sz w:val="18"/>
                <w:szCs w:val="18"/>
              </w:rPr>
              <w:t>税率</w:t>
            </w:r>
          </w:p>
        </w:tc>
        <w:tc>
          <w:tcPr>
            <w:tcW w:w="1201"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0A5D6279">
            <w:pPr>
              <w:widowControl/>
              <w:jc w:val="center"/>
              <w:textAlignment w:val="center"/>
              <w:rPr>
                <w:rFonts w:ascii="宋体" w:hAnsi="宋体" w:cs="宋体"/>
                <w:b/>
                <w:bCs/>
                <w:sz w:val="18"/>
                <w:szCs w:val="18"/>
              </w:rPr>
            </w:pPr>
            <w:r>
              <w:rPr>
                <w:rFonts w:hint="eastAsia" w:ascii="宋体" w:hAnsi="宋体" w:cs="宋体"/>
                <w:b/>
                <w:bCs/>
                <w:kern w:val="0"/>
                <w:sz w:val="18"/>
                <w:szCs w:val="18"/>
              </w:rPr>
              <w:t>B*C:月度含税报价（元）</w:t>
            </w:r>
          </w:p>
        </w:tc>
        <w:tc>
          <w:tcPr>
            <w:tcW w:w="322"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601DC5C7">
            <w:pPr>
              <w:widowControl/>
              <w:jc w:val="center"/>
              <w:textAlignment w:val="center"/>
              <w:rPr>
                <w:rFonts w:ascii="宋体" w:hAnsi="宋体" w:cs="宋体"/>
                <w:b/>
                <w:bCs/>
                <w:sz w:val="18"/>
                <w:szCs w:val="18"/>
              </w:rPr>
            </w:pPr>
            <w:r>
              <w:rPr>
                <w:rFonts w:hint="eastAsia" w:ascii="宋体" w:hAnsi="宋体" w:cs="宋体"/>
                <w:b/>
                <w:bCs/>
                <w:kern w:val="0"/>
                <w:sz w:val="18"/>
                <w:szCs w:val="18"/>
              </w:rPr>
              <w:t>备注</w:t>
            </w:r>
          </w:p>
        </w:tc>
      </w:tr>
      <w:tr w14:paraId="741430B9">
        <w:tblPrEx>
          <w:tblCellMar>
            <w:top w:w="0" w:type="dxa"/>
            <w:left w:w="108" w:type="dxa"/>
            <w:bottom w:w="0" w:type="dxa"/>
            <w:right w:w="108" w:type="dxa"/>
          </w:tblCellMar>
        </w:tblPrEx>
        <w:trPr>
          <w:jc w:val="center"/>
        </w:trPr>
        <w:tc>
          <w:tcPr>
            <w:tcW w:w="321"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262A3A8D">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64"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1F8049F8">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物业经理</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1CBED">
            <w:pPr>
              <w:jc w:val="center"/>
              <w:rPr>
                <w:rFonts w:ascii="宋体" w:hAnsi="宋体" w:cs="宋体"/>
                <w:sz w:val="18"/>
                <w:szCs w:val="18"/>
              </w:rPr>
            </w:pPr>
          </w:p>
        </w:tc>
        <w:tc>
          <w:tcPr>
            <w:tcW w:w="10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63C20">
            <w:pPr>
              <w:jc w:val="center"/>
              <w:rPr>
                <w:rFonts w:ascii="宋体" w:hAnsi="宋体" w:cs="宋体"/>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DAFE5">
            <w:pPr>
              <w:jc w:val="center"/>
              <w:rPr>
                <w:rFonts w:ascii="宋体" w:hAnsi="宋体" w:cs="宋体"/>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7AEB4">
            <w:pPr>
              <w:jc w:val="center"/>
              <w:rPr>
                <w:rFonts w:ascii="宋体" w:hAnsi="宋体" w:cs="宋体"/>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83B81">
            <w:pPr>
              <w:rPr>
                <w:rFonts w:ascii="宋体" w:hAnsi="宋体" w:cs="宋体"/>
                <w:sz w:val="18"/>
                <w:szCs w:val="18"/>
              </w:rPr>
            </w:pPr>
          </w:p>
        </w:tc>
      </w:tr>
      <w:tr w14:paraId="241D5AFF">
        <w:tblPrEx>
          <w:tblCellMar>
            <w:top w:w="0" w:type="dxa"/>
            <w:left w:w="108" w:type="dxa"/>
            <w:bottom w:w="0" w:type="dxa"/>
            <w:right w:w="108" w:type="dxa"/>
          </w:tblCellMar>
        </w:tblPrEx>
        <w:trPr>
          <w:jc w:val="center"/>
        </w:trPr>
        <w:tc>
          <w:tcPr>
            <w:tcW w:w="321"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1D95B327">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164"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7A35CD15">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秩序主管</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DB85D">
            <w:pPr>
              <w:jc w:val="center"/>
              <w:rPr>
                <w:rFonts w:ascii="宋体" w:hAnsi="宋体" w:cs="宋体"/>
                <w:sz w:val="18"/>
                <w:szCs w:val="18"/>
              </w:rPr>
            </w:pPr>
          </w:p>
        </w:tc>
        <w:tc>
          <w:tcPr>
            <w:tcW w:w="10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EB1A3">
            <w:pPr>
              <w:jc w:val="center"/>
              <w:rPr>
                <w:rFonts w:ascii="宋体" w:hAnsi="宋体" w:cs="宋体"/>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60CC2">
            <w:pPr>
              <w:jc w:val="center"/>
              <w:rPr>
                <w:rFonts w:ascii="宋体" w:hAnsi="宋体" w:cs="宋体"/>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E2383">
            <w:pPr>
              <w:jc w:val="center"/>
              <w:rPr>
                <w:rFonts w:ascii="宋体" w:hAnsi="宋体" w:cs="宋体"/>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7E2B0">
            <w:pPr>
              <w:rPr>
                <w:rFonts w:ascii="宋体" w:hAnsi="宋体" w:cs="宋体"/>
                <w:sz w:val="18"/>
                <w:szCs w:val="18"/>
              </w:rPr>
            </w:pPr>
          </w:p>
        </w:tc>
      </w:tr>
      <w:tr w14:paraId="01362075">
        <w:tblPrEx>
          <w:tblCellMar>
            <w:top w:w="0" w:type="dxa"/>
            <w:left w:w="108" w:type="dxa"/>
            <w:bottom w:w="0" w:type="dxa"/>
            <w:right w:w="108" w:type="dxa"/>
          </w:tblCellMar>
        </w:tblPrEx>
        <w:trPr>
          <w:jc w:val="center"/>
        </w:trPr>
        <w:tc>
          <w:tcPr>
            <w:tcW w:w="321"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3D306FB4">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164"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2E280A83">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环境主管</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4D39A">
            <w:pPr>
              <w:jc w:val="center"/>
              <w:rPr>
                <w:rFonts w:ascii="宋体" w:hAnsi="宋体" w:cs="宋体"/>
                <w:sz w:val="18"/>
                <w:szCs w:val="18"/>
              </w:rPr>
            </w:pPr>
          </w:p>
        </w:tc>
        <w:tc>
          <w:tcPr>
            <w:tcW w:w="10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BAB3A">
            <w:pPr>
              <w:jc w:val="center"/>
              <w:rPr>
                <w:rFonts w:ascii="宋体" w:hAnsi="宋体" w:cs="宋体"/>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15A47">
            <w:pPr>
              <w:jc w:val="center"/>
              <w:rPr>
                <w:rFonts w:ascii="宋体" w:hAnsi="宋体" w:cs="宋体"/>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BCEAE">
            <w:pPr>
              <w:jc w:val="center"/>
              <w:rPr>
                <w:rFonts w:ascii="宋体" w:hAnsi="宋体" w:cs="宋体"/>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0187B">
            <w:pPr>
              <w:rPr>
                <w:rFonts w:ascii="宋体" w:hAnsi="宋体" w:cs="宋体"/>
                <w:sz w:val="18"/>
                <w:szCs w:val="18"/>
              </w:rPr>
            </w:pPr>
          </w:p>
        </w:tc>
      </w:tr>
      <w:tr w14:paraId="0CB2B1D3">
        <w:tblPrEx>
          <w:tblCellMar>
            <w:top w:w="0" w:type="dxa"/>
            <w:left w:w="108" w:type="dxa"/>
            <w:bottom w:w="0" w:type="dxa"/>
            <w:right w:w="108" w:type="dxa"/>
          </w:tblCellMar>
        </w:tblPrEx>
        <w:trPr>
          <w:jc w:val="center"/>
        </w:trPr>
        <w:tc>
          <w:tcPr>
            <w:tcW w:w="321"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12DF678B">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164"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01C61520">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秩序维护员（门岗+巡逻）</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516CD">
            <w:pPr>
              <w:jc w:val="center"/>
              <w:rPr>
                <w:rFonts w:ascii="宋体" w:hAnsi="宋体" w:cs="宋体"/>
                <w:sz w:val="18"/>
                <w:szCs w:val="18"/>
              </w:rPr>
            </w:pPr>
          </w:p>
        </w:tc>
        <w:tc>
          <w:tcPr>
            <w:tcW w:w="10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671CB">
            <w:pPr>
              <w:jc w:val="center"/>
              <w:rPr>
                <w:rFonts w:ascii="宋体" w:hAnsi="宋体" w:cs="宋体"/>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B0B59">
            <w:pPr>
              <w:jc w:val="center"/>
              <w:rPr>
                <w:rFonts w:ascii="宋体" w:hAnsi="宋体" w:cs="宋体"/>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7BB8B">
            <w:pPr>
              <w:jc w:val="center"/>
              <w:rPr>
                <w:rFonts w:ascii="宋体" w:hAnsi="宋体" w:cs="宋体"/>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F17D7">
            <w:pPr>
              <w:rPr>
                <w:rFonts w:ascii="宋体" w:hAnsi="宋体" w:cs="宋体"/>
                <w:sz w:val="18"/>
                <w:szCs w:val="18"/>
              </w:rPr>
            </w:pPr>
          </w:p>
        </w:tc>
      </w:tr>
      <w:tr w14:paraId="11FDE943">
        <w:tblPrEx>
          <w:tblCellMar>
            <w:top w:w="0" w:type="dxa"/>
            <w:left w:w="108" w:type="dxa"/>
            <w:bottom w:w="0" w:type="dxa"/>
            <w:right w:w="108" w:type="dxa"/>
          </w:tblCellMar>
        </w:tblPrEx>
        <w:trPr>
          <w:jc w:val="center"/>
        </w:trPr>
        <w:tc>
          <w:tcPr>
            <w:tcW w:w="321"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7C3ADEE7">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164"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2EDFE551">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保洁员、绿化工</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CD79A">
            <w:pPr>
              <w:jc w:val="center"/>
              <w:rPr>
                <w:rFonts w:ascii="宋体" w:hAnsi="宋体" w:cs="宋体"/>
                <w:sz w:val="18"/>
                <w:szCs w:val="18"/>
              </w:rPr>
            </w:pPr>
          </w:p>
        </w:tc>
        <w:tc>
          <w:tcPr>
            <w:tcW w:w="10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6B730">
            <w:pPr>
              <w:jc w:val="center"/>
              <w:rPr>
                <w:rFonts w:ascii="宋体" w:hAnsi="宋体" w:cs="宋体"/>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0CE16">
            <w:pPr>
              <w:jc w:val="center"/>
              <w:rPr>
                <w:rFonts w:ascii="宋体" w:hAnsi="宋体" w:cs="宋体"/>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17D63">
            <w:pPr>
              <w:jc w:val="center"/>
              <w:rPr>
                <w:rFonts w:ascii="宋体" w:hAnsi="宋体" w:cs="宋体"/>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3D489">
            <w:pPr>
              <w:rPr>
                <w:rFonts w:ascii="宋体" w:hAnsi="宋体" w:cs="宋体"/>
                <w:sz w:val="18"/>
                <w:szCs w:val="18"/>
              </w:rPr>
            </w:pPr>
          </w:p>
        </w:tc>
      </w:tr>
      <w:tr w14:paraId="65DBC970">
        <w:tblPrEx>
          <w:tblCellMar>
            <w:top w:w="0" w:type="dxa"/>
            <w:left w:w="108" w:type="dxa"/>
            <w:bottom w:w="0" w:type="dxa"/>
            <w:right w:w="108" w:type="dxa"/>
          </w:tblCellMar>
        </w:tblPrEx>
        <w:trPr>
          <w:jc w:val="center"/>
        </w:trPr>
        <w:tc>
          <w:tcPr>
            <w:tcW w:w="321"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01311943">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164"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1D679040">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厨师长</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DCF3A">
            <w:pPr>
              <w:jc w:val="center"/>
              <w:rPr>
                <w:rFonts w:ascii="宋体" w:hAnsi="宋体" w:cs="宋体"/>
                <w:sz w:val="18"/>
                <w:szCs w:val="18"/>
              </w:rPr>
            </w:pPr>
          </w:p>
        </w:tc>
        <w:tc>
          <w:tcPr>
            <w:tcW w:w="10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DFAFD">
            <w:pPr>
              <w:jc w:val="center"/>
              <w:rPr>
                <w:rFonts w:ascii="宋体" w:hAnsi="宋体" w:cs="宋体"/>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ED10E">
            <w:pPr>
              <w:jc w:val="center"/>
              <w:rPr>
                <w:rFonts w:ascii="宋体" w:hAnsi="宋体" w:cs="宋体"/>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85D92">
            <w:pPr>
              <w:jc w:val="center"/>
              <w:rPr>
                <w:rFonts w:ascii="宋体" w:hAnsi="宋体" w:cs="宋体"/>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A75BB">
            <w:pPr>
              <w:rPr>
                <w:rFonts w:ascii="宋体" w:hAnsi="宋体" w:cs="宋体"/>
                <w:sz w:val="18"/>
                <w:szCs w:val="18"/>
              </w:rPr>
            </w:pPr>
          </w:p>
        </w:tc>
      </w:tr>
      <w:tr w14:paraId="3AC778EB">
        <w:tblPrEx>
          <w:tblCellMar>
            <w:top w:w="0" w:type="dxa"/>
            <w:left w:w="108" w:type="dxa"/>
            <w:bottom w:w="0" w:type="dxa"/>
            <w:right w:w="108" w:type="dxa"/>
          </w:tblCellMar>
        </w:tblPrEx>
        <w:trPr>
          <w:jc w:val="center"/>
        </w:trPr>
        <w:tc>
          <w:tcPr>
            <w:tcW w:w="321"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0CDA6B52">
            <w:pPr>
              <w:widowControl/>
              <w:jc w:val="center"/>
              <w:textAlignment w:val="center"/>
              <w:rPr>
                <w:rFonts w:ascii="宋体" w:hAnsi="宋体" w:cs="宋体"/>
                <w:sz w:val="18"/>
                <w:szCs w:val="18"/>
              </w:rPr>
            </w:pPr>
            <w:r>
              <w:rPr>
                <w:rFonts w:hint="eastAsia" w:ascii="宋体" w:hAnsi="宋体" w:cs="宋体"/>
                <w:kern w:val="0"/>
                <w:sz w:val="18"/>
                <w:szCs w:val="18"/>
              </w:rPr>
              <w:t>7</w:t>
            </w:r>
          </w:p>
        </w:tc>
        <w:tc>
          <w:tcPr>
            <w:tcW w:w="1164"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1EBB48A9">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厨师</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F4DC0">
            <w:pPr>
              <w:jc w:val="center"/>
              <w:rPr>
                <w:rFonts w:ascii="宋体" w:hAnsi="宋体" w:cs="宋体"/>
                <w:sz w:val="18"/>
                <w:szCs w:val="18"/>
              </w:rPr>
            </w:pPr>
          </w:p>
        </w:tc>
        <w:tc>
          <w:tcPr>
            <w:tcW w:w="10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899DA">
            <w:pPr>
              <w:jc w:val="center"/>
              <w:rPr>
                <w:rFonts w:ascii="宋体" w:hAnsi="宋体" w:cs="宋体"/>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00FBE">
            <w:pPr>
              <w:jc w:val="center"/>
              <w:rPr>
                <w:rFonts w:ascii="宋体" w:hAnsi="宋体" w:cs="宋体"/>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D2E5C">
            <w:pPr>
              <w:jc w:val="center"/>
              <w:rPr>
                <w:rFonts w:ascii="宋体" w:hAnsi="宋体" w:cs="宋体"/>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47F67">
            <w:pPr>
              <w:rPr>
                <w:rFonts w:ascii="宋体" w:hAnsi="宋体" w:cs="宋体"/>
                <w:sz w:val="18"/>
                <w:szCs w:val="18"/>
              </w:rPr>
            </w:pPr>
          </w:p>
        </w:tc>
      </w:tr>
      <w:tr w14:paraId="0DA48954">
        <w:tblPrEx>
          <w:tblCellMar>
            <w:top w:w="0" w:type="dxa"/>
            <w:left w:w="108" w:type="dxa"/>
            <w:bottom w:w="0" w:type="dxa"/>
            <w:right w:w="108" w:type="dxa"/>
          </w:tblCellMar>
        </w:tblPrEx>
        <w:trPr>
          <w:jc w:val="center"/>
        </w:trPr>
        <w:tc>
          <w:tcPr>
            <w:tcW w:w="321"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232799BF">
            <w:pPr>
              <w:widowControl/>
              <w:jc w:val="center"/>
              <w:textAlignment w:val="center"/>
              <w:rPr>
                <w:rFonts w:ascii="宋体" w:hAnsi="宋体" w:cs="宋体"/>
                <w:sz w:val="18"/>
                <w:szCs w:val="18"/>
              </w:rPr>
            </w:pPr>
            <w:r>
              <w:rPr>
                <w:rFonts w:hint="eastAsia" w:ascii="宋体" w:hAnsi="宋体" w:cs="宋体"/>
                <w:kern w:val="0"/>
                <w:sz w:val="18"/>
                <w:szCs w:val="18"/>
              </w:rPr>
              <w:t>8</w:t>
            </w:r>
          </w:p>
        </w:tc>
        <w:tc>
          <w:tcPr>
            <w:tcW w:w="1164" w:type="pct"/>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23AF64D1">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服务员</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96A9F">
            <w:pPr>
              <w:jc w:val="center"/>
              <w:rPr>
                <w:rFonts w:ascii="宋体" w:hAnsi="宋体" w:cs="宋体"/>
                <w:sz w:val="18"/>
                <w:szCs w:val="18"/>
              </w:rPr>
            </w:pPr>
          </w:p>
        </w:tc>
        <w:tc>
          <w:tcPr>
            <w:tcW w:w="10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6A088">
            <w:pPr>
              <w:jc w:val="center"/>
              <w:rPr>
                <w:rFonts w:ascii="宋体" w:hAnsi="宋体" w:cs="宋体"/>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8500E">
            <w:pPr>
              <w:jc w:val="center"/>
              <w:rPr>
                <w:rFonts w:ascii="宋体" w:hAnsi="宋体" w:cs="宋体"/>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A4594">
            <w:pPr>
              <w:jc w:val="center"/>
              <w:rPr>
                <w:rFonts w:ascii="宋体" w:hAnsi="宋体" w:cs="宋体"/>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BA3AF">
            <w:pPr>
              <w:rPr>
                <w:rFonts w:ascii="宋体" w:hAnsi="宋体" w:cs="宋体"/>
                <w:sz w:val="18"/>
                <w:szCs w:val="18"/>
              </w:rPr>
            </w:pPr>
          </w:p>
        </w:tc>
      </w:tr>
      <w:tr w14:paraId="7091D981">
        <w:tblPrEx>
          <w:tblCellMar>
            <w:top w:w="0" w:type="dxa"/>
            <w:left w:w="108" w:type="dxa"/>
            <w:bottom w:w="0" w:type="dxa"/>
            <w:right w:w="108" w:type="dxa"/>
          </w:tblCellMar>
        </w:tblPrEx>
        <w:trPr>
          <w:jc w:val="center"/>
        </w:trPr>
        <w:tc>
          <w:tcPr>
            <w:tcW w:w="3476" w:type="pct"/>
            <w:gridSpan w:val="5"/>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2CBDA738">
            <w:pPr>
              <w:widowControl/>
              <w:jc w:val="center"/>
              <w:textAlignment w:val="center"/>
              <w:rPr>
                <w:rFonts w:ascii="宋体" w:hAnsi="宋体" w:cs="宋体"/>
                <w:sz w:val="18"/>
                <w:szCs w:val="18"/>
              </w:rPr>
            </w:pPr>
            <w:r>
              <w:rPr>
                <w:rFonts w:hint="eastAsia" w:ascii="宋体" w:hAnsi="宋体" w:cs="宋体"/>
                <w:kern w:val="0"/>
                <w:sz w:val="18"/>
                <w:szCs w:val="18"/>
              </w:rPr>
              <w:t>合计（月）</w:t>
            </w:r>
          </w:p>
        </w:tc>
        <w:tc>
          <w:tcPr>
            <w:tcW w:w="12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45C16">
            <w:pPr>
              <w:jc w:val="center"/>
              <w:rPr>
                <w:rFonts w:ascii="宋体" w:hAnsi="宋体" w:cs="宋体"/>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402BD">
            <w:pPr>
              <w:rPr>
                <w:rFonts w:ascii="宋体" w:hAnsi="宋体" w:cs="宋体"/>
                <w:sz w:val="18"/>
                <w:szCs w:val="18"/>
              </w:rPr>
            </w:pPr>
          </w:p>
        </w:tc>
      </w:tr>
      <w:tr w14:paraId="32B6BEDA">
        <w:tblPrEx>
          <w:tblCellMar>
            <w:top w:w="0" w:type="dxa"/>
            <w:left w:w="108" w:type="dxa"/>
            <w:bottom w:w="0" w:type="dxa"/>
            <w:right w:w="108" w:type="dxa"/>
          </w:tblCellMar>
        </w:tblPrEx>
        <w:trPr>
          <w:jc w:val="center"/>
        </w:trPr>
        <w:tc>
          <w:tcPr>
            <w:tcW w:w="3476" w:type="pct"/>
            <w:gridSpan w:val="5"/>
            <w:tcBorders>
              <w:top w:val="single" w:color="000000" w:sz="4" w:space="0"/>
              <w:left w:val="single" w:color="000000" w:sz="4" w:space="0"/>
              <w:bottom w:val="nil"/>
              <w:right w:val="single" w:color="000000" w:sz="4" w:space="0"/>
            </w:tcBorders>
            <w:shd w:val="clear" w:color="auto" w:fill="EBF1DE"/>
            <w:noWrap/>
            <w:vAlign w:val="center"/>
          </w:tcPr>
          <w:p w14:paraId="7E2FF348">
            <w:pPr>
              <w:widowControl/>
              <w:jc w:val="center"/>
              <w:textAlignment w:val="center"/>
              <w:rPr>
                <w:rFonts w:ascii="宋体" w:hAnsi="宋体" w:cs="宋体"/>
                <w:sz w:val="18"/>
                <w:szCs w:val="18"/>
              </w:rPr>
            </w:pPr>
            <w:r>
              <w:rPr>
                <w:rFonts w:hint="eastAsia" w:ascii="宋体" w:hAnsi="宋体" w:cs="宋体"/>
                <w:kern w:val="0"/>
                <w:sz w:val="18"/>
                <w:szCs w:val="18"/>
              </w:rPr>
              <w:t>合计（年）</w:t>
            </w:r>
          </w:p>
        </w:tc>
        <w:tc>
          <w:tcPr>
            <w:tcW w:w="1201" w:type="pct"/>
            <w:tcBorders>
              <w:top w:val="single" w:color="000000" w:sz="4" w:space="0"/>
              <w:left w:val="single" w:color="000000" w:sz="4" w:space="0"/>
              <w:bottom w:val="nil"/>
              <w:right w:val="single" w:color="000000" w:sz="4" w:space="0"/>
            </w:tcBorders>
            <w:shd w:val="clear" w:color="auto" w:fill="FFFFFF"/>
            <w:noWrap/>
            <w:vAlign w:val="center"/>
          </w:tcPr>
          <w:p w14:paraId="58AEC4A2">
            <w:pPr>
              <w:jc w:val="center"/>
              <w:rPr>
                <w:rFonts w:ascii="宋体" w:hAnsi="宋体" w:cs="宋体"/>
                <w:sz w:val="18"/>
                <w:szCs w:val="18"/>
              </w:rPr>
            </w:pPr>
          </w:p>
        </w:tc>
        <w:tc>
          <w:tcPr>
            <w:tcW w:w="322" w:type="pct"/>
            <w:tcBorders>
              <w:top w:val="single" w:color="000000" w:sz="4" w:space="0"/>
              <w:left w:val="single" w:color="000000" w:sz="4" w:space="0"/>
              <w:bottom w:val="nil"/>
              <w:right w:val="single" w:color="000000" w:sz="4" w:space="0"/>
            </w:tcBorders>
            <w:shd w:val="clear" w:color="auto" w:fill="FFFFFF"/>
            <w:noWrap/>
            <w:vAlign w:val="center"/>
          </w:tcPr>
          <w:p w14:paraId="75AED625">
            <w:pPr>
              <w:rPr>
                <w:rFonts w:ascii="宋体" w:hAnsi="宋体" w:cs="宋体"/>
                <w:sz w:val="18"/>
                <w:szCs w:val="18"/>
              </w:rPr>
            </w:pPr>
          </w:p>
        </w:tc>
      </w:tr>
      <w:tr w14:paraId="71BD3251">
        <w:tblPrEx>
          <w:tblCellMar>
            <w:top w:w="0" w:type="dxa"/>
            <w:left w:w="108" w:type="dxa"/>
            <w:bottom w:w="0" w:type="dxa"/>
            <w:right w:w="108" w:type="dxa"/>
          </w:tblCellMar>
        </w:tblPrEx>
        <w:trPr>
          <w:jc w:val="center"/>
        </w:trPr>
        <w:tc>
          <w:tcPr>
            <w:tcW w:w="5000" w:type="pct"/>
            <w:gridSpan w:val="7"/>
            <w:tcBorders>
              <w:top w:val="single" w:color="000000" w:sz="8" w:space="0"/>
              <w:left w:val="single" w:color="000000" w:sz="8" w:space="0"/>
              <w:bottom w:val="nil"/>
              <w:right w:val="single" w:color="000000" w:sz="8" w:space="0"/>
            </w:tcBorders>
            <w:noWrap/>
            <w:vAlign w:val="center"/>
          </w:tcPr>
          <w:p w14:paraId="79DE93CB">
            <w:pPr>
              <w:widowControl/>
              <w:jc w:val="left"/>
              <w:textAlignment w:val="center"/>
              <w:rPr>
                <w:rFonts w:ascii="宋体" w:hAnsi="宋体" w:cs="宋体"/>
                <w:sz w:val="20"/>
                <w:szCs w:val="20"/>
              </w:rPr>
            </w:pPr>
            <w:r>
              <w:rPr>
                <w:rFonts w:hint="eastAsia" w:ascii="宋体" w:hAnsi="宋体" w:cs="宋体"/>
                <w:kern w:val="0"/>
                <w:sz w:val="20"/>
                <w:szCs w:val="20"/>
              </w:rPr>
              <w:t>备注：</w:t>
            </w:r>
          </w:p>
        </w:tc>
      </w:tr>
      <w:tr w14:paraId="6FE4C142">
        <w:tblPrEx>
          <w:tblCellMar>
            <w:top w:w="0" w:type="dxa"/>
            <w:left w:w="108" w:type="dxa"/>
            <w:bottom w:w="0" w:type="dxa"/>
            <w:right w:w="108" w:type="dxa"/>
          </w:tblCellMar>
        </w:tblPrEx>
        <w:trPr>
          <w:jc w:val="center"/>
        </w:trPr>
        <w:tc>
          <w:tcPr>
            <w:tcW w:w="5000" w:type="pct"/>
            <w:gridSpan w:val="7"/>
            <w:tcBorders>
              <w:top w:val="nil"/>
              <w:left w:val="single" w:color="000000" w:sz="8" w:space="0"/>
              <w:bottom w:val="nil"/>
              <w:right w:val="single" w:color="000000" w:sz="8" w:space="0"/>
            </w:tcBorders>
            <w:noWrap/>
            <w:vAlign w:val="center"/>
          </w:tcPr>
          <w:p w14:paraId="797501D4">
            <w:pPr>
              <w:widowControl/>
              <w:jc w:val="left"/>
              <w:textAlignment w:val="center"/>
              <w:rPr>
                <w:rFonts w:ascii="宋体" w:hAnsi="宋体" w:cs="宋体"/>
                <w:sz w:val="20"/>
                <w:szCs w:val="20"/>
              </w:rPr>
            </w:pPr>
            <w:r>
              <w:rPr>
                <w:rFonts w:hint="eastAsia" w:ascii="宋体" w:hAnsi="宋体" w:cs="宋体"/>
                <w:kern w:val="0"/>
                <w:sz w:val="20"/>
                <w:szCs w:val="20"/>
              </w:rPr>
              <w:t>1.报价含乙方应支付给其劳务人员工资、劳保费用、保险费、职业病防治和体检费、生活设施及住房租赁费和水电费、税金、管理费、利润等一切费用，甲方不再支付上述单价费用之外的其他费用。</w:t>
            </w:r>
          </w:p>
        </w:tc>
      </w:tr>
      <w:tr w14:paraId="7D626F96">
        <w:tblPrEx>
          <w:tblCellMar>
            <w:top w:w="0" w:type="dxa"/>
            <w:left w:w="108" w:type="dxa"/>
            <w:bottom w:w="0" w:type="dxa"/>
            <w:right w:w="108" w:type="dxa"/>
          </w:tblCellMar>
        </w:tblPrEx>
        <w:trPr>
          <w:jc w:val="center"/>
        </w:trPr>
        <w:tc>
          <w:tcPr>
            <w:tcW w:w="5000" w:type="pct"/>
            <w:gridSpan w:val="7"/>
            <w:tcBorders>
              <w:top w:val="nil"/>
              <w:left w:val="single" w:color="000000" w:sz="8" w:space="0"/>
              <w:bottom w:val="single" w:color="000000" w:sz="8" w:space="0"/>
              <w:right w:val="single" w:color="000000" w:sz="8" w:space="0"/>
            </w:tcBorders>
            <w:noWrap/>
            <w:vAlign w:val="center"/>
          </w:tcPr>
          <w:p w14:paraId="69C672DB">
            <w:pPr>
              <w:widowControl/>
              <w:jc w:val="left"/>
              <w:textAlignment w:val="center"/>
              <w:rPr>
                <w:rFonts w:ascii="宋体" w:hAnsi="宋体" w:cs="宋体"/>
                <w:sz w:val="20"/>
                <w:szCs w:val="20"/>
              </w:rPr>
            </w:pPr>
            <w:r>
              <w:rPr>
                <w:rFonts w:hint="eastAsia" w:ascii="宋体" w:hAnsi="宋体" w:cs="宋体"/>
                <w:kern w:val="0"/>
                <w:sz w:val="20"/>
                <w:szCs w:val="20"/>
              </w:rPr>
              <w:t>2.物业服务费用实行包干制，月度根据各作业标准进行考核，对服务质量不符合规定要求的进行相应处罚。</w:t>
            </w:r>
          </w:p>
        </w:tc>
      </w:tr>
    </w:tbl>
    <w:p w14:paraId="68D435A8">
      <w:pPr>
        <w:spacing w:line="440" w:lineRule="exact"/>
        <w:rPr>
          <w:rFonts w:ascii="宋体" w:hAnsi="宋体" w:cs="宋体"/>
          <w:b/>
          <w:snapToGrid w:val="0"/>
          <w:kern w:val="0"/>
          <w:sz w:val="24"/>
        </w:rPr>
      </w:pPr>
      <w:r>
        <w:rPr>
          <w:rFonts w:hint="eastAsia" w:ascii="宋体" w:hAnsi="宋体" w:cs="宋体"/>
          <w:b/>
          <w:snapToGrid w:val="0"/>
          <w:kern w:val="0"/>
          <w:sz w:val="24"/>
        </w:rPr>
        <w:t>四、作业区域</w:t>
      </w:r>
    </w:p>
    <w:p w14:paraId="2285EA36">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海南省屯昌县G224国道79公里处海钢（屯昌）建材科技有限公司厂区、生活区、办公区，项目总占地103亩。</w:t>
      </w:r>
    </w:p>
    <w:p w14:paraId="6EFB3BD5">
      <w:pPr>
        <w:spacing w:line="440" w:lineRule="exact"/>
        <w:rPr>
          <w:rFonts w:ascii="宋体" w:hAnsi="宋体" w:cs="宋体"/>
          <w:b/>
          <w:snapToGrid w:val="0"/>
          <w:kern w:val="0"/>
          <w:sz w:val="24"/>
        </w:rPr>
      </w:pPr>
      <w:r>
        <w:rPr>
          <w:rFonts w:hint="eastAsia" w:ascii="宋体" w:hAnsi="宋体" w:cs="宋体"/>
          <w:b/>
          <w:snapToGrid w:val="0"/>
          <w:kern w:val="0"/>
          <w:sz w:val="24"/>
        </w:rPr>
        <w:t>五、服务费用结算</w:t>
      </w:r>
    </w:p>
    <w:p w14:paraId="42EFB222">
      <w:pPr>
        <w:spacing w:line="440" w:lineRule="exact"/>
        <w:ind w:firstLine="480" w:firstLineChars="200"/>
        <w:rPr>
          <w:rFonts w:ascii="宋体" w:hAnsi="宋体" w:cs="宋体"/>
          <w:snapToGrid w:val="0"/>
          <w:kern w:val="0"/>
          <w:sz w:val="24"/>
        </w:rPr>
      </w:pPr>
      <w:r>
        <w:rPr>
          <w:rFonts w:hint="eastAsia" w:ascii="宋体" w:hAnsi="宋体" w:cs="宋体"/>
          <w:snapToGrid w:val="0"/>
          <w:kern w:val="0"/>
          <w:sz w:val="24"/>
        </w:rPr>
        <w:t>1、乙方的物业服务费用每月结算一次，每月</w:t>
      </w:r>
      <w:r>
        <w:rPr>
          <w:rFonts w:hint="eastAsia" w:ascii="宋体" w:hAnsi="宋体" w:cs="宋体"/>
          <w:snapToGrid w:val="0"/>
          <w:kern w:val="0"/>
          <w:sz w:val="24"/>
          <w:u w:val="single"/>
        </w:rPr>
        <w:t>5</w:t>
      </w:r>
      <w:r>
        <w:rPr>
          <w:rFonts w:hint="eastAsia" w:ascii="宋体" w:hAnsi="宋体" w:cs="宋体"/>
          <w:snapToGrid w:val="0"/>
          <w:kern w:val="0"/>
          <w:sz w:val="24"/>
        </w:rPr>
        <w:t>日前，甲、乙双方根据乙方完成情况结算上月物业服务费用。</w:t>
      </w:r>
    </w:p>
    <w:p w14:paraId="7144F50C">
      <w:pPr>
        <w:spacing w:line="440" w:lineRule="exact"/>
        <w:ind w:firstLine="480" w:firstLineChars="200"/>
        <w:rPr>
          <w:rFonts w:ascii="宋体" w:hAnsi="宋体" w:cs="宋体"/>
          <w:snapToGrid w:val="0"/>
          <w:kern w:val="0"/>
          <w:sz w:val="24"/>
        </w:rPr>
      </w:pPr>
      <w:r>
        <w:rPr>
          <w:rFonts w:hint="eastAsia" w:ascii="宋体" w:hAnsi="宋体" w:cs="宋体"/>
          <w:snapToGrid w:val="0"/>
          <w:kern w:val="0"/>
          <w:sz w:val="24"/>
        </w:rPr>
        <w:t>2、甲、乙双方书面确认上月发生的物业服务费用后，乙方应开具符合甲方要求的有效全额增值税专用发票，甲方在收到发票并确认无误后</w:t>
      </w:r>
      <w:r>
        <w:rPr>
          <w:rFonts w:hint="eastAsia" w:ascii="宋体" w:hAnsi="宋体" w:cs="宋体"/>
          <w:snapToGrid w:val="0"/>
          <w:kern w:val="0"/>
          <w:sz w:val="24"/>
          <w:u w:val="single"/>
        </w:rPr>
        <w:t>10</w:t>
      </w:r>
      <w:r>
        <w:rPr>
          <w:rFonts w:hint="eastAsia" w:ascii="宋体" w:hAnsi="宋体" w:cs="宋体"/>
          <w:snapToGrid w:val="0"/>
          <w:kern w:val="0"/>
          <w:sz w:val="24"/>
        </w:rPr>
        <w:t>日内将乙方上月物业服务费用汇至乙方指定的银行账户。如因发票不真实、无效而导致甲方不能在所得税中扣除或被税务稽查的，由此给甲方造成的损失由乙方承担。</w:t>
      </w:r>
    </w:p>
    <w:p w14:paraId="1381FC39">
      <w:pPr>
        <w:spacing w:line="440" w:lineRule="exact"/>
        <w:ind w:firstLine="480" w:firstLineChars="200"/>
        <w:rPr>
          <w:rFonts w:ascii="宋体" w:hAnsi="宋体" w:cs="宋体"/>
          <w:snapToGrid w:val="0"/>
          <w:kern w:val="0"/>
          <w:sz w:val="24"/>
        </w:rPr>
      </w:pPr>
      <w:r>
        <w:rPr>
          <w:rFonts w:hint="eastAsia" w:ascii="宋体" w:hAnsi="宋体" w:cs="宋体"/>
          <w:snapToGrid w:val="0"/>
          <w:kern w:val="0"/>
          <w:sz w:val="24"/>
        </w:rPr>
        <w:t>3、乙方食堂各项采买费用将根据甲方为职工定制的餐标进行预收，于每月5日前将该笔款项转至乙方合作供应商账户，双方确认职工人数，乙方将统一为职工制卡或充卡，方便职工进行刷卡就餐和消费。</w:t>
      </w:r>
    </w:p>
    <w:p w14:paraId="73D466E0">
      <w:pPr>
        <w:spacing w:line="440" w:lineRule="exact"/>
        <w:rPr>
          <w:rFonts w:ascii="宋体" w:hAnsi="宋体" w:cs="宋体"/>
          <w:b/>
          <w:snapToGrid w:val="0"/>
          <w:kern w:val="0"/>
          <w:sz w:val="24"/>
        </w:rPr>
      </w:pPr>
      <w:r>
        <w:rPr>
          <w:rFonts w:hint="eastAsia" w:ascii="宋体" w:hAnsi="宋体" w:cs="宋体"/>
          <w:b/>
          <w:snapToGrid w:val="0"/>
          <w:kern w:val="0"/>
          <w:sz w:val="24"/>
        </w:rPr>
        <w:t>六、双方权利义务</w:t>
      </w:r>
    </w:p>
    <w:p w14:paraId="0CC397EE">
      <w:pPr>
        <w:spacing w:line="440" w:lineRule="exact"/>
        <w:ind w:firstLine="495"/>
        <w:rPr>
          <w:rFonts w:ascii="宋体" w:hAnsi="宋体" w:cs="宋体"/>
          <w:b/>
          <w:snapToGrid w:val="0"/>
          <w:kern w:val="0"/>
          <w:sz w:val="24"/>
        </w:rPr>
      </w:pPr>
      <w:r>
        <w:rPr>
          <w:rFonts w:hint="eastAsia" w:ascii="宋体" w:hAnsi="宋体" w:cs="宋体"/>
          <w:b/>
          <w:snapToGrid w:val="0"/>
          <w:kern w:val="0"/>
          <w:sz w:val="24"/>
        </w:rPr>
        <w:t>1、甲方权利义务</w:t>
      </w:r>
    </w:p>
    <w:p w14:paraId="7879FF4A">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（1）向乙方告知甲方的安全生产规章制度和安全操作规程，乙方应督促其安排至甲方的作业人员（下称“乙方作业人员”）遵守甲方规章制度及安全操作规程。</w:t>
      </w:r>
    </w:p>
    <w:p w14:paraId="00E454F9">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（2）为乙方提供劳务作业必需的常用生产工器具（如扫把、铲子等），员工宿舍、办公工位等。</w:t>
      </w:r>
    </w:p>
    <w:p w14:paraId="7E2B8A6C">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（3）提醒乙方注意甲方作业场所和工作岗位存在的危险因素，提醒乙方采取必要的防范措施以及事故应急措施。</w:t>
      </w:r>
    </w:p>
    <w:p w14:paraId="1F2AA83D">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（4）对乙方作业人员在作业过程中的不安全因素或行为进行监督并提出建议。</w:t>
      </w:r>
    </w:p>
    <w:p w14:paraId="15DF7606">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（5）按照本协议约定与乙方结算并支付劳务服务费用。</w:t>
      </w:r>
    </w:p>
    <w:p w14:paraId="3A344A30">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（6）依据《食堂管理服务标准》要求，负责对餐厅进行检查、督导、考核，包括：服务质量、食品卫生、饭菜价格、安全环保、员工投诉、满意率等，并有权作出整改的要求；</w:t>
      </w:r>
    </w:p>
    <w:p w14:paraId="12827189">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（7）有权对食堂进菜、配菜、营养搭配、服务水平及卫生状况进行监督，有权要求乙方及时整改；</w:t>
      </w:r>
    </w:p>
    <w:p w14:paraId="211E50EB">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（8）有权定期对员工饭卡及餐票核销数据进行核算及监督；</w:t>
      </w:r>
    </w:p>
    <w:p w14:paraId="024EA8DA">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（9）有权每季度对食堂就餐满意度进行抽查；</w:t>
      </w:r>
    </w:p>
    <w:p w14:paraId="6ADDE0B2">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（10）有权对食堂仓库及食材验收进行监督检查；</w:t>
      </w:r>
    </w:p>
    <w:p w14:paraId="2C3B8C39">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（11）承担食堂服务配套设施设备维修及养护费用。</w:t>
      </w:r>
    </w:p>
    <w:p w14:paraId="367B1D6B">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（12）提供餐厅现有的房屋、设备、厨具、餐具，并对现有的房屋、设备、厨具进行移交前保养维修使其处于可正常使用的状态；</w:t>
      </w:r>
    </w:p>
    <w:p w14:paraId="00F39147">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（13）根据食堂执行管理要求增设相应管理设备，以及就餐人员日益增加，所需增添部分的厨具和餐具；</w:t>
      </w:r>
    </w:p>
    <w:p w14:paraId="6ED32161">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（14）餐厅提供水、电、燃油费、行政性收费、前期餐厅房屋、设备、厨具维修费及厨具、餐具添置费；</w:t>
      </w:r>
    </w:p>
    <w:p w14:paraId="27A58535">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（15）提供办理餐饮服务申报证照所需资料。</w:t>
      </w:r>
    </w:p>
    <w:p w14:paraId="5327A734">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2、乙方权利义务</w:t>
      </w:r>
    </w:p>
    <w:p w14:paraId="7082386B">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乙方保证已与乙方作业人员建立了合法的劳动关系，并已按照劳动法律法规为其办理相关保险，按时向其支付劳动报酬；否则，因此发生劳动争议而引起的后果及责任概由乙方自行承担，若乙方作业人员在履行本合同过程中发生安全事故的，乙方负责办理保险理赔手续并承担相关的经济和法律责任，与甲方无关。</w:t>
      </w:r>
    </w:p>
    <w:p w14:paraId="2FBC689F">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（2）乙方应配置专职的安全生产管理人员，且确保该安全管理人员负责管理乙方作业人员的安全生产管理工作，并参加甲方组织的安全生产相关会议或培训。</w:t>
      </w:r>
    </w:p>
    <w:p w14:paraId="0668EDD2">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3）乙方在安排其作业人员进行甲方劳务作业前，应对作业人员进行培训，确保其知晓从事甲方相应劳务作业所需的安全生产知识，熟悉并遵守甲方有关的安全生产规章制度和安全操作规程，掌握相应劳务作业所具备的安全操作技能等。</w:t>
      </w:r>
    </w:p>
    <w:p w14:paraId="7954230C">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（4）乙方依据《食堂管理服务标准》对餐厅管理服务标准提出建议，经甲方同意后落地执行；</w:t>
      </w:r>
    </w:p>
    <w:p w14:paraId="2820C063">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（5）乙方负责食堂的经营管理，具体包括食堂人事、菜肴的搭配与制作、就餐环境卫生、服务等；</w:t>
      </w:r>
    </w:p>
    <w:p w14:paraId="3D1BAE4E">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（6）乙方必须遵守国家和地方有关环境和食品卫生的标准，严禁发生供应腐烂变质的食材，保持菜肴的新鲜和卫生；</w:t>
      </w:r>
    </w:p>
    <w:p w14:paraId="5607DD7E">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（7）乙方确保执行不低于甲方要求的职工用餐标准；</w:t>
      </w:r>
    </w:p>
    <w:p w14:paraId="2C30444B">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（8）乙方负责执行《食堂管理服务标准》管理要求，确保后厨及就餐环境卫生达标；</w:t>
      </w:r>
    </w:p>
    <w:p w14:paraId="7B34951D">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（9）乙方确保食堂服务人员持证（健康证）上岗；</w:t>
      </w:r>
    </w:p>
    <w:p w14:paraId="1BE7B6A0">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（10）乙方负责食堂设施设备使用完好，定期对设备进行检测及养护；根据食堂运营情况，制定节能管理方案，尽可能节将能耗成本；</w:t>
      </w:r>
    </w:p>
    <w:p w14:paraId="667FBFA3">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（11）乙方每月10日前向甲方汇报上月食堂经营数据，包括但不限食堂食材采购成本、能耗成本、人工成本、设施设备使用状况、员工就餐卡票核销数据；</w:t>
      </w:r>
    </w:p>
    <w:p w14:paraId="6FA80B71">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（12）乙方定期进行员工就餐满意度调研，并根据调研结果进行改进。</w:t>
      </w:r>
    </w:p>
    <w:p w14:paraId="41FAFAB8">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（13）乙方自行安排乙方作业人员的住宿、用餐、交通等事宜，费用由乙方承担。</w:t>
      </w:r>
    </w:p>
    <w:p w14:paraId="34C50A12">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（14）乙方保证按甲方要求向乙方作业人员发放劳保用品，并保证其作业人员在作业期间正确穿戴劳保用品。</w:t>
      </w:r>
    </w:p>
    <w:p w14:paraId="3040B822">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（15）乙方保证服从甲方的工作安排，并按照合同约定按时保质保量完成甲方安排的工作任务。</w:t>
      </w:r>
    </w:p>
    <w:p w14:paraId="1B3FC44A">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（16）如甲方认为乙方作业人员不能胜任乙方安排其从事的劳务工作，乙方应在收到甲方通知后</w:t>
      </w:r>
      <w:r>
        <w:rPr>
          <w:rFonts w:hint="eastAsia" w:ascii="宋体" w:hAnsi="宋体" w:cs="宋体"/>
          <w:snapToGrid w:val="0"/>
          <w:kern w:val="0"/>
          <w:sz w:val="24"/>
          <w:u w:val="single"/>
        </w:rPr>
        <w:t>3</w:t>
      </w:r>
      <w:r>
        <w:rPr>
          <w:rFonts w:hint="eastAsia" w:ascii="宋体" w:hAnsi="宋体" w:cs="宋体"/>
          <w:snapToGrid w:val="0"/>
          <w:kern w:val="0"/>
          <w:sz w:val="24"/>
        </w:rPr>
        <w:t>日内予以更换人员。</w:t>
      </w:r>
    </w:p>
    <w:p w14:paraId="1A1D1A46">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17）如乙方作业人员在从事甲方劳务工作过程中或甲方劳务工作之外的其他任何活动中，发生安全事故给自身、甲方或任意第三方造成人身损害、财产损失的，乙方应负责处理并自行承担因此产生的一切赔偿责任。如前述赔偿权利人直接向甲方追究赔偿责任的，甲方可代乙方先行赔付，赔付费用由甲方从应付劳务服务费用中扣除，不足以扣除的，甲方有权向乙方进一步追偿。</w:t>
      </w:r>
    </w:p>
    <w:p w14:paraId="78951890">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（18）在本合同履行期间，如乙方作业人员发生职业病，与甲方无关，一切责任由乙方承担。</w:t>
      </w:r>
    </w:p>
    <w:p w14:paraId="59DE24A5">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（19）因甲方原因导致乙方劳务工作任务变更的，甲方应提前</w:t>
      </w:r>
      <w:r>
        <w:rPr>
          <w:rFonts w:hint="eastAsia" w:ascii="宋体" w:hAnsi="宋体" w:cs="宋体"/>
          <w:snapToGrid w:val="0"/>
          <w:kern w:val="0"/>
          <w:sz w:val="24"/>
          <w:u w:val="single"/>
        </w:rPr>
        <w:t>10</w:t>
      </w:r>
      <w:r>
        <w:rPr>
          <w:rFonts w:hint="eastAsia" w:ascii="宋体" w:hAnsi="宋体" w:cs="宋体"/>
          <w:snapToGrid w:val="0"/>
          <w:kern w:val="0"/>
          <w:sz w:val="24"/>
        </w:rPr>
        <w:t>天通知乙方，乙方应根据甲方实际需要调整人员数量。</w:t>
      </w:r>
    </w:p>
    <w:p w14:paraId="10C07A35">
      <w:pPr>
        <w:spacing w:line="440" w:lineRule="exact"/>
        <w:rPr>
          <w:rFonts w:ascii="宋体" w:hAnsi="宋体" w:cs="宋体"/>
          <w:b/>
          <w:snapToGrid w:val="0"/>
          <w:kern w:val="0"/>
          <w:sz w:val="24"/>
        </w:rPr>
      </w:pPr>
      <w:r>
        <w:rPr>
          <w:rFonts w:hint="eastAsia" w:ascii="宋体" w:hAnsi="宋体" w:cs="宋体"/>
          <w:b/>
          <w:snapToGrid w:val="0"/>
          <w:kern w:val="0"/>
          <w:sz w:val="24"/>
        </w:rPr>
        <w:t>七、违约责任</w:t>
      </w:r>
    </w:p>
    <w:p w14:paraId="04361882">
      <w:pPr>
        <w:spacing w:line="440" w:lineRule="exact"/>
        <w:ind w:firstLine="360" w:firstLineChars="150"/>
        <w:rPr>
          <w:rFonts w:ascii="宋体" w:hAnsi="宋体" w:cs="宋体"/>
          <w:snapToGrid w:val="0"/>
          <w:kern w:val="0"/>
          <w:sz w:val="24"/>
        </w:rPr>
      </w:pPr>
      <w:r>
        <w:rPr>
          <w:rFonts w:hint="eastAsia" w:ascii="宋体" w:hAnsi="宋体" w:cs="宋体"/>
          <w:snapToGrid w:val="0"/>
          <w:kern w:val="0"/>
          <w:sz w:val="24"/>
        </w:rPr>
        <w:t>1、在本合同履行过程中，如乙方未按时保质保量完成甲方当次安排的工作任务，甲方可视情形要求乙方支付</w:t>
      </w:r>
      <w:r>
        <w:rPr>
          <w:rFonts w:hint="eastAsia" w:ascii="宋体" w:hAnsi="宋体" w:cs="宋体"/>
          <w:snapToGrid w:val="0"/>
          <w:kern w:val="0"/>
          <w:sz w:val="24"/>
          <w:u w:val="single"/>
        </w:rPr>
        <w:t>1000</w:t>
      </w:r>
      <w:r>
        <w:rPr>
          <w:rFonts w:hint="eastAsia" w:ascii="宋体" w:hAnsi="宋体" w:cs="宋体"/>
          <w:snapToGrid w:val="0"/>
          <w:kern w:val="0"/>
          <w:sz w:val="24"/>
        </w:rPr>
        <w:t>元/次的违约金。</w:t>
      </w:r>
    </w:p>
    <w:p w14:paraId="7181225A">
      <w:pPr>
        <w:spacing w:line="440" w:lineRule="exact"/>
        <w:ind w:firstLine="495"/>
        <w:rPr>
          <w:rFonts w:ascii="宋体" w:hAnsi="宋体" w:cs="宋体"/>
          <w:snapToGrid w:val="0"/>
          <w:kern w:val="0"/>
          <w:sz w:val="24"/>
        </w:rPr>
      </w:pPr>
      <w:r>
        <w:rPr>
          <w:rFonts w:hint="eastAsia" w:ascii="宋体" w:hAnsi="宋体" w:cs="宋体"/>
          <w:snapToGrid w:val="0"/>
          <w:kern w:val="0"/>
          <w:sz w:val="24"/>
        </w:rPr>
        <w:t>2、乙方及其作业人员未按本协议约定履行义务累计达</w:t>
      </w:r>
      <w:r>
        <w:rPr>
          <w:rFonts w:hint="eastAsia" w:ascii="宋体" w:hAnsi="宋体" w:cs="宋体"/>
          <w:snapToGrid w:val="0"/>
          <w:kern w:val="0"/>
          <w:sz w:val="24"/>
          <w:u w:val="single"/>
        </w:rPr>
        <w:t xml:space="preserve">  3  </w:t>
      </w:r>
      <w:r>
        <w:rPr>
          <w:rFonts w:hint="eastAsia" w:ascii="宋体" w:hAnsi="宋体" w:cs="宋体"/>
          <w:snapToGrid w:val="0"/>
          <w:kern w:val="0"/>
          <w:sz w:val="24"/>
        </w:rPr>
        <w:t>次及以上的，甲方有权提前终止本合同而无需承担任何责任。</w:t>
      </w:r>
    </w:p>
    <w:p w14:paraId="3E5D9EEE">
      <w:pPr>
        <w:spacing w:line="440" w:lineRule="exact"/>
        <w:ind w:firstLine="495"/>
        <w:rPr>
          <w:rFonts w:ascii="宋体" w:hAnsi="宋体" w:cs="宋体"/>
          <w:snapToGrid w:val="0"/>
          <w:kern w:val="0"/>
          <w:sz w:val="24"/>
        </w:rPr>
      </w:pPr>
      <w:r>
        <w:rPr>
          <w:rFonts w:hint="eastAsia" w:ascii="宋体" w:hAnsi="宋体" w:cs="宋体"/>
          <w:snapToGrid w:val="0"/>
          <w:kern w:val="0"/>
          <w:sz w:val="24"/>
        </w:rPr>
        <w:t>3、乙方及其作业人员违反本协议约定，经甲方书面通知后未在甲方指定期限内予以纠正的，乙方应向甲方支付违约金</w:t>
      </w:r>
      <w:r>
        <w:rPr>
          <w:rFonts w:hint="eastAsia" w:ascii="宋体" w:hAnsi="宋体" w:cs="宋体"/>
          <w:snapToGrid w:val="0"/>
          <w:kern w:val="0"/>
          <w:sz w:val="24"/>
          <w:u w:val="single"/>
        </w:rPr>
        <w:t>1000</w:t>
      </w:r>
      <w:r>
        <w:rPr>
          <w:rFonts w:hint="eastAsia" w:ascii="宋体" w:hAnsi="宋体" w:cs="宋体"/>
          <w:snapToGrid w:val="0"/>
          <w:kern w:val="0"/>
          <w:sz w:val="24"/>
        </w:rPr>
        <w:t>元/次，同时甲方有权提前终止本合同。</w:t>
      </w:r>
    </w:p>
    <w:p w14:paraId="446A4C53">
      <w:pPr>
        <w:spacing w:line="440" w:lineRule="exact"/>
        <w:ind w:firstLine="495"/>
        <w:rPr>
          <w:rFonts w:ascii="宋体" w:hAnsi="宋体" w:cs="宋体"/>
          <w:snapToGrid w:val="0"/>
          <w:kern w:val="0"/>
          <w:sz w:val="24"/>
        </w:rPr>
      </w:pPr>
      <w:r>
        <w:rPr>
          <w:rFonts w:hint="eastAsia" w:ascii="宋体" w:hAnsi="宋体" w:cs="宋体"/>
          <w:snapToGrid w:val="0"/>
          <w:kern w:val="0"/>
          <w:sz w:val="24"/>
        </w:rPr>
        <w:t>4、除本协议另有约定外，乙方或其作业人员违反本协议约定，乙方应赔偿因此给甲方造成的损失。</w:t>
      </w:r>
    </w:p>
    <w:p w14:paraId="4D2E934A">
      <w:pPr>
        <w:spacing w:line="440" w:lineRule="exact"/>
        <w:ind w:firstLine="495"/>
        <w:rPr>
          <w:rFonts w:ascii="宋体" w:hAnsi="宋体" w:cs="宋体"/>
          <w:snapToGrid w:val="0"/>
          <w:kern w:val="0"/>
          <w:sz w:val="24"/>
        </w:rPr>
      </w:pPr>
      <w:r>
        <w:rPr>
          <w:rFonts w:hint="eastAsia" w:ascii="宋体" w:hAnsi="宋体" w:cs="宋体"/>
          <w:snapToGrid w:val="0"/>
          <w:kern w:val="0"/>
          <w:sz w:val="24"/>
        </w:rPr>
        <w:t>5、本合同履行期间，因乙方作业人员个人原因给甲方或任意第三方造成损失的，乙方应承担连带赔偿责任。</w:t>
      </w:r>
    </w:p>
    <w:p w14:paraId="1E274B53">
      <w:pPr>
        <w:spacing w:line="440" w:lineRule="exact"/>
        <w:rPr>
          <w:rFonts w:ascii="宋体" w:hAnsi="宋体" w:cs="宋体"/>
          <w:b/>
          <w:snapToGrid w:val="0"/>
          <w:kern w:val="0"/>
          <w:sz w:val="24"/>
        </w:rPr>
      </w:pPr>
      <w:r>
        <w:rPr>
          <w:rFonts w:hint="eastAsia" w:ascii="宋体" w:hAnsi="宋体" w:cs="宋体"/>
          <w:b/>
          <w:snapToGrid w:val="0"/>
          <w:kern w:val="0"/>
          <w:sz w:val="24"/>
        </w:rPr>
        <w:t>八、不可抗力</w:t>
      </w:r>
    </w:p>
    <w:p w14:paraId="31275525">
      <w:pPr>
        <w:numPr>
          <w:ilvl w:val="12"/>
          <w:numId w:val="0"/>
        </w:numPr>
        <w:spacing w:line="440" w:lineRule="exact"/>
        <w:ind w:firstLine="480" w:firstLineChars="200"/>
        <w:rPr>
          <w:rFonts w:ascii="宋体" w:hAnsi="宋体" w:cs="宋体"/>
          <w:snapToGrid w:val="0"/>
          <w:kern w:val="0"/>
          <w:sz w:val="24"/>
        </w:rPr>
      </w:pPr>
      <w:r>
        <w:rPr>
          <w:rFonts w:hint="eastAsia" w:ascii="宋体" w:hAnsi="宋体" w:cs="宋体"/>
          <w:snapToGrid w:val="0"/>
          <w:kern w:val="0"/>
          <w:sz w:val="24"/>
        </w:rPr>
        <w:t>1、如果任一方受诸如战争、地震以及任何其他不能预见、不能避免且不能克服的不可抗力事件的影响而无法履行合同项下的任何义务，受影响的一方应尽快通知另一方，并在不可抗力事件发生后14日内将有关当局或机构出具的证明文件提交给另一方。受不可抗力事件影响的一方对因不可抗力事件导致的任何合同义务的迟延履行或不能履行不承担责任。</w:t>
      </w:r>
    </w:p>
    <w:p w14:paraId="554E42DC">
      <w:pPr>
        <w:numPr>
          <w:ilvl w:val="12"/>
          <w:numId w:val="0"/>
        </w:numPr>
        <w:spacing w:line="440" w:lineRule="exact"/>
        <w:ind w:firstLine="480" w:firstLineChars="200"/>
        <w:rPr>
          <w:rFonts w:ascii="宋体" w:hAnsi="宋体" w:cs="宋体"/>
          <w:snapToGrid w:val="0"/>
          <w:kern w:val="0"/>
          <w:sz w:val="24"/>
        </w:rPr>
      </w:pPr>
      <w:r>
        <w:rPr>
          <w:rFonts w:hint="eastAsia" w:ascii="宋体" w:hAnsi="宋体" w:cs="宋体"/>
          <w:snapToGrid w:val="0"/>
          <w:kern w:val="0"/>
          <w:sz w:val="24"/>
        </w:rPr>
        <w:t>2、如果不可抗力事件的影响持续超过120日，任何一方均有权终止本合同。</w:t>
      </w:r>
    </w:p>
    <w:p w14:paraId="49222849">
      <w:pPr>
        <w:spacing w:line="440" w:lineRule="exact"/>
        <w:rPr>
          <w:rFonts w:ascii="宋体" w:hAnsi="宋体" w:cs="宋体"/>
          <w:b/>
          <w:snapToGrid w:val="0"/>
          <w:kern w:val="0"/>
          <w:sz w:val="24"/>
        </w:rPr>
      </w:pPr>
      <w:r>
        <w:rPr>
          <w:rFonts w:hint="eastAsia" w:ascii="宋体" w:hAnsi="宋体" w:cs="宋体"/>
          <w:b/>
          <w:snapToGrid w:val="0"/>
          <w:kern w:val="0"/>
          <w:sz w:val="24"/>
        </w:rPr>
        <w:t>九、争议解决</w:t>
      </w:r>
    </w:p>
    <w:p w14:paraId="720E1C3B">
      <w:pPr>
        <w:spacing w:line="440" w:lineRule="exact"/>
        <w:ind w:firstLine="480" w:firstLineChars="200"/>
        <w:rPr>
          <w:rFonts w:ascii="宋体" w:hAnsi="宋体" w:cs="宋体"/>
          <w:snapToGrid w:val="0"/>
          <w:kern w:val="0"/>
          <w:sz w:val="24"/>
        </w:rPr>
      </w:pPr>
      <w:r>
        <w:rPr>
          <w:rFonts w:hint="eastAsia" w:ascii="宋体" w:hAnsi="宋体" w:cs="宋体"/>
          <w:snapToGrid w:val="0"/>
          <w:kern w:val="0"/>
          <w:sz w:val="24"/>
        </w:rPr>
        <w:t xml:space="preserve">在本合同履行过程中，如发生争议，甲、乙双方应协商解决；协商不成的，任一方均可向甲方所在地有管辖权的人民法院提起诉讼。 </w:t>
      </w:r>
    </w:p>
    <w:p w14:paraId="77C40757">
      <w:pPr>
        <w:spacing w:line="440" w:lineRule="exact"/>
        <w:rPr>
          <w:rFonts w:ascii="宋体" w:hAnsi="宋体" w:cs="宋体"/>
          <w:b/>
          <w:snapToGrid w:val="0"/>
          <w:kern w:val="0"/>
          <w:sz w:val="24"/>
        </w:rPr>
      </w:pPr>
      <w:r>
        <w:rPr>
          <w:rFonts w:hint="eastAsia" w:ascii="宋体" w:hAnsi="宋体" w:cs="宋体"/>
          <w:b/>
          <w:snapToGrid w:val="0"/>
          <w:kern w:val="0"/>
          <w:sz w:val="24"/>
        </w:rPr>
        <w:t>十、合同生效及其它</w:t>
      </w:r>
    </w:p>
    <w:p w14:paraId="5BA2C788">
      <w:pPr>
        <w:spacing w:line="440" w:lineRule="exact"/>
        <w:ind w:firstLine="495"/>
        <w:rPr>
          <w:rFonts w:ascii="宋体" w:hAnsi="宋体" w:cs="宋体"/>
          <w:snapToGrid w:val="0"/>
          <w:kern w:val="0"/>
          <w:sz w:val="24"/>
        </w:rPr>
      </w:pPr>
      <w:r>
        <w:rPr>
          <w:rFonts w:hint="eastAsia" w:ascii="宋体" w:hAnsi="宋体" w:cs="宋体"/>
          <w:snapToGrid w:val="0"/>
          <w:kern w:val="0"/>
          <w:sz w:val="24"/>
        </w:rPr>
        <w:t>1、本合同经甲、乙双方授权代表签字及盖公章后生效。</w:t>
      </w:r>
    </w:p>
    <w:p w14:paraId="035D11DD">
      <w:pPr>
        <w:spacing w:line="440" w:lineRule="exact"/>
        <w:ind w:firstLine="480" w:firstLineChars="200"/>
        <w:rPr>
          <w:rFonts w:ascii="宋体" w:hAnsi="宋体" w:cs="宋体"/>
          <w:snapToGrid w:val="0"/>
          <w:kern w:val="0"/>
          <w:sz w:val="24"/>
        </w:rPr>
      </w:pPr>
      <w:r>
        <w:rPr>
          <w:rFonts w:hint="eastAsia" w:ascii="宋体" w:hAnsi="宋体" w:cs="宋体"/>
          <w:snapToGrid w:val="0"/>
          <w:kern w:val="0"/>
          <w:sz w:val="24"/>
        </w:rPr>
        <w:t>2、本合同一式肆份，甲、乙双方各持贰份，具有同等法律效力。</w:t>
      </w:r>
    </w:p>
    <w:p w14:paraId="758C2C03">
      <w:pPr>
        <w:spacing w:line="440" w:lineRule="exact"/>
        <w:ind w:firstLine="480" w:firstLineChars="200"/>
        <w:rPr>
          <w:rFonts w:ascii="宋体" w:hAnsi="宋体" w:cs="宋体"/>
          <w:snapToGrid w:val="0"/>
          <w:kern w:val="0"/>
          <w:sz w:val="24"/>
        </w:rPr>
      </w:pPr>
      <w:r>
        <w:rPr>
          <w:rFonts w:hint="eastAsia" w:ascii="宋体" w:hAnsi="宋体" w:cs="宋体"/>
          <w:snapToGrid w:val="0"/>
          <w:kern w:val="0"/>
          <w:sz w:val="24"/>
        </w:rPr>
        <w:t>3、本合同未尽事宜，由甲、乙双方协商解决，协商一致的，双方可对本合同进行修改或补充，修改或补充的条款以书面形式经双方授权代表签字并盖公章后，即成为本合同的组成部分，与本合同具有同等法律效力。</w:t>
      </w:r>
    </w:p>
    <w:p w14:paraId="20BAC12E">
      <w:pPr>
        <w:spacing w:line="440" w:lineRule="exact"/>
        <w:ind w:firstLine="480" w:firstLineChars="200"/>
        <w:rPr>
          <w:rFonts w:ascii="宋体" w:hAnsi="宋体" w:cs="宋体"/>
          <w:snapToGrid w:val="0"/>
          <w:kern w:val="0"/>
          <w:sz w:val="24"/>
        </w:rPr>
      </w:pPr>
      <w:r>
        <w:rPr>
          <w:rFonts w:hint="eastAsia" w:ascii="宋体" w:hAnsi="宋体" w:cs="宋体"/>
          <w:snapToGrid w:val="0"/>
          <w:kern w:val="0"/>
          <w:sz w:val="24"/>
        </w:rPr>
        <w:t>4、本合同附件，为本合同的有效组成部分，与本合同有同等法律效力。</w:t>
      </w:r>
    </w:p>
    <w:p w14:paraId="286B2930">
      <w:pPr>
        <w:tabs>
          <w:tab w:val="left" w:pos="1050"/>
        </w:tabs>
        <w:spacing w:line="440" w:lineRule="exact"/>
        <w:rPr>
          <w:rFonts w:ascii="宋体" w:hAnsi="宋体" w:cs="宋体"/>
          <w:snapToGrid w:val="0"/>
          <w:kern w:val="0"/>
          <w:sz w:val="24"/>
        </w:rPr>
      </w:pPr>
      <w:r>
        <w:rPr>
          <w:rFonts w:hint="eastAsia" w:ascii="宋体" w:hAnsi="宋体" w:cs="宋体"/>
          <w:snapToGrid w:val="0"/>
          <w:kern w:val="0"/>
          <w:sz w:val="24"/>
        </w:rPr>
        <w:t xml:space="preserve">附件1.1：劳务服务工作范围及要求   </w:t>
      </w:r>
    </w:p>
    <w:p w14:paraId="750D4BE4">
      <w:pPr>
        <w:tabs>
          <w:tab w:val="left" w:pos="1050"/>
        </w:tabs>
        <w:spacing w:line="440" w:lineRule="exact"/>
        <w:rPr>
          <w:rFonts w:ascii="宋体" w:hAnsi="宋体" w:cs="宋体"/>
          <w:snapToGrid w:val="0"/>
          <w:kern w:val="0"/>
          <w:sz w:val="24"/>
        </w:rPr>
      </w:pPr>
      <w:r>
        <w:rPr>
          <w:rFonts w:hint="eastAsia" w:ascii="宋体" w:hAnsi="宋体" w:cs="宋体"/>
          <w:snapToGrid w:val="0"/>
          <w:kern w:val="0"/>
          <w:sz w:val="24"/>
        </w:rPr>
        <w:t>附件1.2：食堂管理服务标准</w:t>
      </w:r>
    </w:p>
    <w:p w14:paraId="4C7D20ED">
      <w:pPr>
        <w:tabs>
          <w:tab w:val="left" w:pos="1050"/>
        </w:tabs>
        <w:spacing w:line="440" w:lineRule="exact"/>
        <w:rPr>
          <w:rFonts w:ascii="宋体" w:hAnsi="宋体" w:cs="宋体"/>
          <w:snapToGrid w:val="0"/>
          <w:kern w:val="0"/>
          <w:sz w:val="24"/>
        </w:rPr>
      </w:pPr>
      <w:r>
        <w:rPr>
          <w:rFonts w:hint="eastAsia" w:ascii="宋体" w:hAnsi="宋体" w:cs="宋体"/>
          <w:snapToGrid w:val="0"/>
          <w:kern w:val="0"/>
          <w:sz w:val="24"/>
        </w:rPr>
        <w:t>附件2：安全环保协议</w:t>
      </w:r>
    </w:p>
    <w:p w14:paraId="69E8C7FA">
      <w:pPr>
        <w:tabs>
          <w:tab w:val="left" w:pos="1050"/>
        </w:tabs>
        <w:spacing w:line="440" w:lineRule="exact"/>
        <w:rPr>
          <w:rFonts w:ascii="宋体" w:hAnsi="宋体" w:cs="宋体"/>
          <w:snapToGrid w:val="0"/>
          <w:kern w:val="0"/>
          <w:sz w:val="24"/>
        </w:rPr>
      </w:pPr>
      <w:r>
        <w:rPr>
          <w:rFonts w:hint="eastAsia" w:ascii="宋体" w:hAnsi="宋体" w:cs="宋体"/>
          <w:snapToGrid w:val="0"/>
          <w:kern w:val="0"/>
          <w:sz w:val="24"/>
        </w:rPr>
        <w:t>附件3：生产作业中存在的危险有害因素及防范措施</w:t>
      </w:r>
    </w:p>
    <w:p w14:paraId="4F9833E5">
      <w:pPr>
        <w:pStyle w:val="2"/>
      </w:pPr>
    </w:p>
    <w:p w14:paraId="375AA8BC"/>
    <w:p w14:paraId="076E74F1"/>
    <w:p w14:paraId="5BECD90B"/>
    <w:p w14:paraId="125821A3"/>
    <w:p w14:paraId="3FD8BD27"/>
    <w:p w14:paraId="1259538D"/>
    <w:p w14:paraId="78EF2EBE"/>
    <w:p w14:paraId="639F397C"/>
    <w:p w14:paraId="40EFB3D0"/>
    <w:p w14:paraId="1DEB1C64"/>
    <w:p w14:paraId="04AD5F6B"/>
    <w:p w14:paraId="157AD2C0">
      <w:pPr>
        <w:pStyle w:val="2"/>
        <w:jc w:val="center"/>
      </w:pPr>
      <w:bookmarkStart w:id="57" w:name="_Toc31613"/>
      <w:r>
        <w:rPr>
          <w:rFonts w:hint="eastAsia"/>
        </w:rPr>
        <w:t>第六章投标文件格式</w:t>
      </w:r>
      <w:bookmarkEnd w:id="57"/>
    </w:p>
    <w:p w14:paraId="75A13741">
      <w:pPr>
        <w:pStyle w:val="3"/>
      </w:pPr>
      <w:bookmarkStart w:id="58" w:name="_Toc20075"/>
      <w:bookmarkStart w:id="59" w:name="_Toc163481196"/>
      <w:r>
        <w:rPr>
          <w:rFonts w:hint="eastAsia"/>
        </w:rPr>
        <w:t>1、投标文件格式</w:t>
      </w:r>
      <w:bookmarkEnd w:id="58"/>
      <w:bookmarkEnd w:id="59"/>
    </w:p>
    <w:p w14:paraId="14627D6C">
      <w:pPr>
        <w:spacing w:line="276" w:lineRule="auto"/>
        <w:jc w:val="center"/>
        <w:rPr>
          <w:rFonts w:asciiTheme="minorEastAsia" w:hAnsiTheme="minorEastAsia" w:eastAsiaTheme="minorEastAsia"/>
          <w:b/>
          <w:sz w:val="24"/>
        </w:rPr>
      </w:pPr>
      <w:r>
        <w:rPr>
          <w:rFonts w:hint="eastAsia" w:asciiTheme="minorEastAsia" w:hAnsiTheme="minorEastAsia" w:eastAsiaTheme="minorEastAsia"/>
          <w:b/>
          <w:sz w:val="24"/>
        </w:rPr>
        <w:t>投标函</w:t>
      </w:r>
    </w:p>
    <w:p w14:paraId="5E9BDB41">
      <w:pPr>
        <w:spacing w:line="276" w:lineRule="auto"/>
        <w:rPr>
          <w:rFonts w:asciiTheme="minorEastAsia" w:hAnsiTheme="minorEastAsia" w:eastAsiaTheme="minorEastAsia"/>
          <w:sz w:val="24"/>
        </w:rPr>
      </w:pPr>
      <w:r>
        <w:rPr>
          <w:rFonts w:hint="eastAsia" w:asciiTheme="minorEastAsia" w:hAnsiTheme="minorEastAsia" w:eastAsiaTheme="minorEastAsia"/>
          <w:sz w:val="24"/>
        </w:rPr>
        <w:t>致：海南省教学仪器设备招标中心有限公司：</w:t>
      </w:r>
    </w:p>
    <w:p w14:paraId="5C705CA2">
      <w:pPr>
        <w:spacing w:line="276" w:lineRule="auto"/>
        <w:rPr>
          <w:rFonts w:asciiTheme="minorEastAsia" w:hAnsiTheme="minorEastAsia" w:eastAsiaTheme="minorEastAsia"/>
          <w:sz w:val="24"/>
        </w:rPr>
      </w:pPr>
      <w:r>
        <w:rPr>
          <w:rFonts w:asciiTheme="minorEastAsia" w:hAnsiTheme="minorEastAsia" w:eastAsiaTheme="minorEastAsia"/>
          <w:sz w:val="24"/>
        </w:rPr>
        <w:pict>
          <v:line id="Line 2" o:spid="_x0000_s1026" o:spt="20" style="position:absolute;left:0pt;margin-left:369pt;margin-top:16.85pt;height:0.05pt;width:0.05pt;z-index:251659264;mso-width-relative:page;mso-height-relative:page;" coordsize="21600,21600" o:allowincell="f" o:gfxdata="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koqv21gAAAAkBAAAPAAAAAAAAAAEAIAAAACIAAABkcnMv&#10;ZG93bnJldi54bWxQSwECFAAUAAAACACHTuJAre447cwBAACrAwAADgAAAAAAAAABACAAAAAlAQAA&#10;ZHJzL2Uyb0RvYy54bWxQSwUGAAAAAAYABgBZAQAAYwUAAAAA&#10;">
            <v:path arrowok="t"/>
            <v:fill focussize="0,0"/>
            <v:stroke/>
            <v:imagedata o:title=""/>
            <o:lock v:ext="edit"/>
          </v:line>
        </w:pict>
      </w:r>
      <w:r>
        <w:rPr>
          <w:rFonts w:hint="eastAsia" w:asciiTheme="minorEastAsia" w:hAnsiTheme="minorEastAsia" w:eastAsiaTheme="minorEastAsia"/>
          <w:sz w:val="24"/>
        </w:rPr>
        <w:t>根据贵方项目（招标编号）的投标邀请，签字代表</w:t>
      </w:r>
      <w:r>
        <w:rPr>
          <w:rFonts w:hint="eastAsia" w:asciiTheme="minorEastAsia" w:hAnsiTheme="minorEastAsia" w:eastAsiaTheme="minorEastAsia"/>
          <w:sz w:val="24"/>
          <w:u w:val="single"/>
        </w:rPr>
        <w:t>（全名、职务）</w:t>
      </w:r>
      <w:r>
        <w:rPr>
          <w:rFonts w:hint="eastAsia" w:asciiTheme="minorEastAsia" w:hAnsiTheme="minorEastAsia" w:eastAsiaTheme="minorEastAsia"/>
          <w:sz w:val="24"/>
        </w:rPr>
        <w:t>经正式授权并代表投标方</w:t>
      </w:r>
      <w:r>
        <w:rPr>
          <w:rFonts w:hint="eastAsia" w:asciiTheme="minorEastAsia" w:hAnsiTheme="minorEastAsia" w:eastAsiaTheme="minorEastAsia"/>
          <w:sz w:val="24"/>
          <w:u w:val="single"/>
        </w:rPr>
        <w:t>（投标方名称、地址）</w:t>
      </w:r>
      <w:r>
        <w:rPr>
          <w:rFonts w:hint="eastAsia" w:asciiTheme="minorEastAsia" w:hAnsiTheme="minorEastAsia" w:eastAsiaTheme="minorEastAsia"/>
          <w:sz w:val="24"/>
        </w:rPr>
        <w:t>提交下述文件。</w:t>
      </w:r>
    </w:p>
    <w:p w14:paraId="0EB9B7FC">
      <w:pPr>
        <w:spacing w:line="276" w:lineRule="auto"/>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 1 \* GB2 </w:instrText>
      </w:r>
      <w:r>
        <w:rPr>
          <w:rFonts w:asciiTheme="minorEastAsia" w:hAnsiTheme="minorEastAsia" w:eastAsiaTheme="minorEastAsia"/>
          <w:sz w:val="24"/>
        </w:rPr>
        <w:fldChar w:fldCharType="separate"/>
      </w:r>
      <w:r>
        <w:rPr>
          <w:rFonts w:asciiTheme="minorEastAsia" w:hAnsiTheme="minorEastAsia" w:eastAsiaTheme="minorEastAsia"/>
          <w:sz w:val="24"/>
        </w:rPr>
        <w:t>⑴</w:t>
      </w:r>
      <w:r>
        <w:rPr>
          <w:rFonts w:asciiTheme="minorEastAsia" w:hAnsiTheme="minorEastAsia" w:eastAsiaTheme="minorEastAsia"/>
          <w:sz w:val="24"/>
        </w:rPr>
        <w:fldChar w:fldCharType="end"/>
      </w:r>
      <w:r>
        <w:rPr>
          <w:rFonts w:hint="eastAsia" w:asciiTheme="minorEastAsia" w:hAnsiTheme="minorEastAsia" w:eastAsiaTheme="minorEastAsia"/>
          <w:sz w:val="24"/>
        </w:rPr>
        <w:t>开标一览表</w:t>
      </w:r>
    </w:p>
    <w:p w14:paraId="1880760C">
      <w:pPr>
        <w:spacing w:line="276" w:lineRule="auto"/>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 2 \* GB2 </w:instrText>
      </w:r>
      <w:r>
        <w:rPr>
          <w:rFonts w:asciiTheme="minorEastAsia" w:hAnsiTheme="minorEastAsia" w:eastAsiaTheme="minorEastAsia"/>
          <w:sz w:val="24"/>
        </w:rPr>
        <w:fldChar w:fldCharType="separate"/>
      </w:r>
      <w:r>
        <w:rPr>
          <w:rFonts w:asciiTheme="minorEastAsia" w:hAnsiTheme="minorEastAsia" w:eastAsiaTheme="minorEastAsia"/>
          <w:sz w:val="24"/>
        </w:rPr>
        <w:t>⑵</w:t>
      </w:r>
      <w:r>
        <w:rPr>
          <w:rFonts w:asciiTheme="minorEastAsia" w:hAnsiTheme="minorEastAsia" w:eastAsiaTheme="minorEastAsia"/>
          <w:sz w:val="24"/>
        </w:rPr>
        <w:fldChar w:fldCharType="end"/>
      </w:r>
      <w:r>
        <w:rPr>
          <w:rFonts w:hint="eastAsia" w:asciiTheme="minorEastAsia" w:hAnsiTheme="minorEastAsia" w:eastAsiaTheme="minorEastAsia"/>
          <w:sz w:val="24"/>
        </w:rPr>
        <w:t>售后服务计划</w:t>
      </w:r>
    </w:p>
    <w:p w14:paraId="56003C41">
      <w:pPr>
        <w:spacing w:line="276" w:lineRule="auto"/>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 3 \* GB2 </w:instrText>
      </w:r>
      <w:r>
        <w:rPr>
          <w:rFonts w:asciiTheme="minorEastAsia" w:hAnsiTheme="minorEastAsia" w:eastAsiaTheme="minorEastAsia"/>
          <w:sz w:val="24"/>
        </w:rPr>
        <w:fldChar w:fldCharType="separate"/>
      </w:r>
      <w:r>
        <w:rPr>
          <w:rFonts w:asciiTheme="minorEastAsia" w:hAnsiTheme="minorEastAsia" w:eastAsiaTheme="minorEastAsia"/>
          <w:sz w:val="24"/>
        </w:rPr>
        <w:t>⑶</w:t>
      </w:r>
      <w:r>
        <w:rPr>
          <w:rFonts w:asciiTheme="minorEastAsia" w:hAnsiTheme="minorEastAsia" w:eastAsiaTheme="minorEastAsia"/>
          <w:sz w:val="24"/>
        </w:rPr>
        <w:fldChar w:fldCharType="end"/>
      </w:r>
      <w:r>
        <w:rPr>
          <w:rFonts w:hint="eastAsia" w:asciiTheme="minorEastAsia" w:hAnsiTheme="minorEastAsia" w:eastAsiaTheme="minorEastAsia"/>
          <w:sz w:val="24"/>
        </w:rPr>
        <w:t>规格响应表</w:t>
      </w:r>
    </w:p>
    <w:p w14:paraId="1F929F8B">
      <w:pPr>
        <w:spacing w:line="276" w:lineRule="auto"/>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 4 \* GB2 </w:instrText>
      </w:r>
      <w:r>
        <w:rPr>
          <w:rFonts w:asciiTheme="minorEastAsia" w:hAnsiTheme="minorEastAsia" w:eastAsiaTheme="minorEastAsia"/>
          <w:sz w:val="24"/>
        </w:rPr>
        <w:fldChar w:fldCharType="separate"/>
      </w:r>
      <w:r>
        <w:rPr>
          <w:rFonts w:asciiTheme="minorEastAsia" w:hAnsiTheme="minorEastAsia" w:eastAsiaTheme="minorEastAsia"/>
          <w:sz w:val="24"/>
        </w:rPr>
        <w:t>⑷</w:t>
      </w:r>
      <w:r>
        <w:rPr>
          <w:rFonts w:asciiTheme="minorEastAsia" w:hAnsiTheme="minorEastAsia" w:eastAsiaTheme="minorEastAsia"/>
          <w:sz w:val="24"/>
        </w:rPr>
        <w:fldChar w:fldCharType="end"/>
      </w:r>
      <w:r>
        <w:rPr>
          <w:rFonts w:hint="eastAsia" w:asciiTheme="minorEastAsia" w:hAnsiTheme="minorEastAsia" w:eastAsiaTheme="minorEastAsia"/>
          <w:sz w:val="24"/>
        </w:rPr>
        <w:t>资格证明文件</w:t>
      </w:r>
    </w:p>
    <w:p w14:paraId="330D8ED0">
      <w:pPr>
        <w:spacing w:line="276" w:lineRule="auto"/>
        <w:rPr>
          <w:rFonts w:asciiTheme="minorEastAsia" w:hAnsiTheme="minorEastAsia" w:eastAsiaTheme="minorEastAsia"/>
          <w:sz w:val="24"/>
        </w:rPr>
      </w:pPr>
      <w:r>
        <w:rPr>
          <w:rFonts w:hint="eastAsia" w:asciiTheme="minorEastAsia" w:hAnsiTheme="minorEastAsia" w:eastAsiaTheme="minorEastAsia"/>
          <w:sz w:val="24"/>
        </w:rPr>
        <w:t>据此函，签字代表宣布同意如下：</w:t>
      </w:r>
    </w:p>
    <w:p w14:paraId="2A4647C8">
      <w:pPr>
        <w:spacing w:line="276" w:lineRule="auto"/>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 1 \* GB2 </w:instrText>
      </w:r>
      <w:r>
        <w:rPr>
          <w:rFonts w:asciiTheme="minorEastAsia" w:hAnsiTheme="minorEastAsia" w:eastAsiaTheme="minorEastAsia"/>
          <w:sz w:val="24"/>
        </w:rPr>
        <w:fldChar w:fldCharType="separate"/>
      </w:r>
      <w:r>
        <w:rPr>
          <w:rFonts w:asciiTheme="minorEastAsia" w:hAnsiTheme="minorEastAsia" w:eastAsiaTheme="minorEastAsia"/>
          <w:sz w:val="24"/>
        </w:rPr>
        <w:t>⑴</w:t>
      </w:r>
      <w:r>
        <w:rPr>
          <w:rFonts w:asciiTheme="minorEastAsia" w:hAnsiTheme="minorEastAsia" w:eastAsiaTheme="minorEastAsia"/>
          <w:sz w:val="24"/>
        </w:rPr>
        <w:fldChar w:fldCharType="end"/>
      </w:r>
      <w:r>
        <w:rPr>
          <w:rFonts w:hint="eastAsia" w:asciiTheme="minorEastAsia" w:hAnsiTheme="minorEastAsia" w:eastAsiaTheme="minorEastAsia"/>
          <w:sz w:val="24"/>
        </w:rPr>
        <w:t>我公司承诺，本次招标投标活动中提交的所有资料都是真实、准确、完整、合法的，如果未达到上述要求，我公司同意按照无效投标处理，如果违反相关法律、法规、规章的，我公司愿承担相应法律责任；</w:t>
      </w:r>
    </w:p>
    <w:p w14:paraId="2AE1EA23">
      <w:pPr>
        <w:spacing w:line="276" w:lineRule="auto"/>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 2 \* GB2 </w:instrText>
      </w:r>
      <w:r>
        <w:rPr>
          <w:rFonts w:asciiTheme="minorEastAsia" w:hAnsiTheme="minorEastAsia" w:eastAsiaTheme="minorEastAsia"/>
          <w:sz w:val="24"/>
        </w:rPr>
        <w:fldChar w:fldCharType="separate"/>
      </w:r>
      <w:r>
        <w:rPr>
          <w:rFonts w:asciiTheme="minorEastAsia" w:hAnsiTheme="minorEastAsia" w:eastAsiaTheme="minorEastAsia"/>
          <w:sz w:val="24"/>
        </w:rPr>
        <w:t>⑵</w:t>
      </w:r>
      <w:r>
        <w:rPr>
          <w:rFonts w:asciiTheme="minorEastAsia" w:hAnsiTheme="minorEastAsia" w:eastAsiaTheme="minorEastAsia"/>
          <w:sz w:val="24"/>
        </w:rPr>
        <w:fldChar w:fldCharType="end"/>
      </w:r>
      <w:r>
        <w:rPr>
          <w:rFonts w:hint="eastAsia" w:asciiTheme="minorEastAsia" w:hAnsiTheme="minorEastAsia" w:eastAsiaTheme="minorEastAsia"/>
          <w:sz w:val="24"/>
        </w:rPr>
        <w:t>我公司承诺中标后，所有进口仪器设备的外贸代理等相关事宜由采购人确定的外贸代理机构执行，并同意依约定给付相应的外贸代理进口服务费。</w:t>
      </w:r>
    </w:p>
    <w:p w14:paraId="65965139">
      <w:pPr>
        <w:spacing w:line="276" w:lineRule="auto"/>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 3 \* GB2 </w:instrText>
      </w:r>
      <w:r>
        <w:rPr>
          <w:rFonts w:asciiTheme="minorEastAsia" w:hAnsiTheme="minorEastAsia" w:eastAsiaTheme="minorEastAsia"/>
          <w:sz w:val="24"/>
        </w:rPr>
        <w:fldChar w:fldCharType="separate"/>
      </w:r>
      <w:r>
        <w:rPr>
          <w:rFonts w:asciiTheme="minorEastAsia" w:hAnsiTheme="minorEastAsia" w:eastAsiaTheme="minorEastAsia"/>
          <w:sz w:val="24"/>
        </w:rPr>
        <w:t>⑶</w:t>
      </w:r>
      <w:r>
        <w:rPr>
          <w:rFonts w:asciiTheme="minorEastAsia" w:hAnsiTheme="minorEastAsia" w:eastAsiaTheme="minorEastAsia"/>
          <w:sz w:val="24"/>
        </w:rPr>
        <w:fldChar w:fldCharType="end"/>
      </w:r>
      <w:r>
        <w:rPr>
          <w:rFonts w:hint="eastAsia" w:asciiTheme="minorEastAsia" w:hAnsiTheme="minorEastAsia" w:eastAsiaTheme="minorEastAsia"/>
          <w:sz w:val="24"/>
        </w:rPr>
        <w:t>所附投标报价表中规定的应提供和交付的货物投标总价为</w:t>
      </w:r>
      <w:r>
        <w:rPr>
          <w:rFonts w:hint="eastAsia" w:asciiTheme="minorEastAsia" w:hAnsiTheme="minorEastAsia" w:eastAsiaTheme="minorEastAsia"/>
          <w:sz w:val="24"/>
          <w:u w:val="single"/>
        </w:rPr>
        <w:t>（</w:t>
      </w:r>
      <w:r>
        <w:rPr>
          <w:rFonts w:hint="eastAsia" w:asciiTheme="minorEastAsia" w:hAnsiTheme="minorEastAsia" w:eastAsiaTheme="minorEastAsia"/>
          <w:sz w:val="24"/>
        </w:rPr>
        <w:t>人民币），即（文字表述）。</w:t>
      </w:r>
    </w:p>
    <w:p w14:paraId="25067024">
      <w:pPr>
        <w:spacing w:line="276" w:lineRule="auto"/>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 4 \* GB2 </w:instrText>
      </w:r>
      <w:r>
        <w:rPr>
          <w:rFonts w:asciiTheme="minorEastAsia" w:hAnsiTheme="minorEastAsia" w:eastAsiaTheme="minorEastAsia"/>
          <w:sz w:val="24"/>
        </w:rPr>
        <w:fldChar w:fldCharType="separate"/>
      </w:r>
      <w:r>
        <w:rPr>
          <w:rFonts w:asciiTheme="minorEastAsia" w:hAnsiTheme="minorEastAsia" w:eastAsiaTheme="minorEastAsia"/>
          <w:sz w:val="24"/>
        </w:rPr>
        <w:t>⑷</w:t>
      </w:r>
      <w:r>
        <w:rPr>
          <w:rFonts w:asciiTheme="minorEastAsia" w:hAnsiTheme="minorEastAsia" w:eastAsiaTheme="minorEastAsia"/>
          <w:sz w:val="24"/>
        </w:rPr>
        <w:fldChar w:fldCharType="end"/>
      </w:r>
      <w:r>
        <w:rPr>
          <w:rFonts w:hint="eastAsia" w:asciiTheme="minorEastAsia" w:hAnsiTheme="minorEastAsia" w:eastAsiaTheme="minorEastAsia"/>
          <w:sz w:val="24"/>
        </w:rPr>
        <w:t>投标方将按“招标文件”的规定履行合同责任和义务。</w:t>
      </w:r>
    </w:p>
    <w:p w14:paraId="5AA10AA4">
      <w:pPr>
        <w:spacing w:line="276" w:lineRule="auto"/>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 5 \* GB2 </w:instrText>
      </w:r>
      <w:r>
        <w:rPr>
          <w:rFonts w:asciiTheme="minorEastAsia" w:hAnsiTheme="minorEastAsia" w:eastAsiaTheme="minorEastAsia"/>
          <w:sz w:val="24"/>
        </w:rPr>
        <w:fldChar w:fldCharType="separate"/>
      </w:r>
      <w:r>
        <w:rPr>
          <w:rFonts w:asciiTheme="minorEastAsia" w:hAnsiTheme="minorEastAsia" w:eastAsiaTheme="minorEastAsia"/>
          <w:sz w:val="24"/>
        </w:rPr>
        <w:t>⑸</w:t>
      </w:r>
      <w:r>
        <w:rPr>
          <w:rFonts w:asciiTheme="minorEastAsia" w:hAnsiTheme="minorEastAsia" w:eastAsiaTheme="minorEastAsia"/>
          <w:sz w:val="24"/>
        </w:rPr>
        <w:fldChar w:fldCharType="end"/>
      </w:r>
      <w:r>
        <w:rPr>
          <w:rFonts w:hint="eastAsia" w:asciiTheme="minorEastAsia" w:hAnsiTheme="minorEastAsia" w:eastAsiaTheme="minorEastAsia"/>
          <w:sz w:val="24"/>
        </w:rPr>
        <w:t>投标方已详细审查全部“招标文件”，包括修改文件（如有的话）以及全部参考资料和有关附件。我们完全理解并同意放弃对这方面有不明及误解的权利。</w:t>
      </w:r>
    </w:p>
    <w:p w14:paraId="0A323BD9">
      <w:pPr>
        <w:spacing w:line="276" w:lineRule="auto"/>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 6 \* GB2 </w:instrText>
      </w:r>
      <w:r>
        <w:rPr>
          <w:rFonts w:asciiTheme="minorEastAsia" w:hAnsiTheme="minorEastAsia" w:eastAsiaTheme="minorEastAsia"/>
          <w:sz w:val="24"/>
        </w:rPr>
        <w:fldChar w:fldCharType="separate"/>
      </w:r>
      <w:r>
        <w:rPr>
          <w:rFonts w:asciiTheme="minorEastAsia" w:hAnsiTheme="minorEastAsia" w:eastAsiaTheme="minorEastAsia"/>
          <w:sz w:val="24"/>
        </w:rPr>
        <w:t>⑹</w:t>
      </w:r>
      <w:r>
        <w:rPr>
          <w:rFonts w:asciiTheme="minorEastAsia" w:hAnsiTheme="minorEastAsia" w:eastAsiaTheme="minorEastAsia"/>
          <w:sz w:val="24"/>
        </w:rPr>
        <w:fldChar w:fldCharType="end"/>
      </w:r>
      <w:r>
        <w:rPr>
          <w:rFonts w:hint="eastAsia" w:asciiTheme="minorEastAsia" w:hAnsiTheme="minorEastAsia" w:eastAsiaTheme="minorEastAsia"/>
          <w:sz w:val="24"/>
        </w:rPr>
        <w:t>其投标自开标日起有效期为</w:t>
      </w:r>
      <w:r>
        <w:rPr>
          <w:rFonts w:hint="eastAsia" w:asciiTheme="minorEastAsia" w:hAnsiTheme="minorEastAsia" w:eastAsiaTheme="minorEastAsia"/>
          <w:sz w:val="24"/>
          <w:u w:val="single"/>
        </w:rPr>
        <w:t>90</w:t>
      </w:r>
      <w:r>
        <w:rPr>
          <w:rFonts w:hint="eastAsia" w:asciiTheme="minorEastAsia" w:hAnsiTheme="minorEastAsia" w:eastAsiaTheme="minorEastAsia"/>
          <w:sz w:val="24"/>
        </w:rPr>
        <w:t>天。</w:t>
      </w:r>
    </w:p>
    <w:p w14:paraId="1D5A2D8D">
      <w:pPr>
        <w:spacing w:line="276" w:lineRule="auto"/>
        <w:rPr>
          <w:rFonts w:asciiTheme="minorEastAsia" w:hAnsiTheme="minorEastAsia" w:eastAsiaTheme="minorEastAsia"/>
          <w:sz w:val="24"/>
        </w:rPr>
      </w:pPr>
      <w:r>
        <w:rPr>
          <w:rFonts w:hint="eastAsia" w:asciiTheme="minorEastAsia" w:hAnsiTheme="minorEastAsia" w:eastAsiaTheme="minorEastAsia"/>
          <w:sz w:val="24"/>
        </w:rPr>
        <w:t>（7）投标方同意提供，按照贵方要求与投标有关的一切数据或资料，并理解贵方不一定接受最低价的投标。</w:t>
      </w:r>
    </w:p>
    <w:p w14:paraId="7679BAB7">
      <w:pPr>
        <w:spacing w:line="276" w:lineRule="auto"/>
        <w:rPr>
          <w:rFonts w:asciiTheme="minorEastAsia" w:hAnsiTheme="minorEastAsia" w:eastAsiaTheme="minorEastAsia"/>
          <w:sz w:val="24"/>
        </w:rPr>
      </w:pPr>
      <w:r>
        <w:rPr>
          <w:rFonts w:hint="eastAsia" w:asciiTheme="minorEastAsia" w:hAnsiTheme="minorEastAsia" w:eastAsiaTheme="minorEastAsia"/>
          <w:sz w:val="24"/>
        </w:rPr>
        <w:t xml:space="preserve"> （8）与本投标有关的一切正式往来通讯请寄：</w:t>
      </w:r>
    </w:p>
    <w:p w14:paraId="2952FE0B">
      <w:pPr>
        <w:spacing w:line="276" w:lineRule="auto"/>
        <w:rPr>
          <w:rFonts w:asciiTheme="minorEastAsia" w:hAnsiTheme="minorEastAsia" w:eastAsiaTheme="minorEastAsia"/>
          <w:sz w:val="24"/>
        </w:rPr>
      </w:pPr>
      <w:r>
        <w:rPr>
          <w:rFonts w:hint="eastAsia" w:asciiTheme="minorEastAsia" w:hAnsiTheme="minorEastAsia" w:eastAsiaTheme="minorEastAsia"/>
          <w:sz w:val="24"/>
        </w:rPr>
        <w:t>地址：邮编：</w:t>
      </w:r>
    </w:p>
    <w:p w14:paraId="247AFF63">
      <w:pPr>
        <w:spacing w:line="276" w:lineRule="auto"/>
        <w:rPr>
          <w:rFonts w:asciiTheme="minorEastAsia" w:hAnsiTheme="minorEastAsia" w:eastAsiaTheme="minorEastAsia"/>
          <w:sz w:val="24"/>
        </w:rPr>
      </w:pPr>
      <w:r>
        <w:rPr>
          <w:rFonts w:hint="eastAsia" w:asciiTheme="minorEastAsia" w:hAnsiTheme="minorEastAsia" w:eastAsiaTheme="minorEastAsia"/>
          <w:sz w:val="24"/>
        </w:rPr>
        <w:t>电话：传真：</w:t>
      </w:r>
    </w:p>
    <w:p w14:paraId="4EC017F9">
      <w:pPr>
        <w:spacing w:line="276" w:lineRule="auto"/>
        <w:rPr>
          <w:rFonts w:asciiTheme="minorEastAsia" w:hAnsiTheme="minorEastAsia" w:eastAsiaTheme="minorEastAsia"/>
          <w:sz w:val="24"/>
        </w:rPr>
      </w:pPr>
      <w:r>
        <w:rPr>
          <w:rFonts w:hint="eastAsia" w:asciiTheme="minorEastAsia" w:hAnsiTheme="minorEastAsia" w:eastAsiaTheme="minorEastAsia"/>
          <w:sz w:val="24"/>
        </w:rPr>
        <w:t>投标方代表姓名、职务（印刷体）：</w:t>
      </w:r>
    </w:p>
    <w:p w14:paraId="247A5E48">
      <w:pPr>
        <w:spacing w:line="276" w:lineRule="auto"/>
        <w:rPr>
          <w:rFonts w:asciiTheme="minorEastAsia" w:hAnsiTheme="minorEastAsia" w:eastAsiaTheme="minorEastAsia"/>
          <w:sz w:val="24"/>
        </w:rPr>
      </w:pPr>
      <w:r>
        <w:rPr>
          <w:rFonts w:hint="eastAsia" w:asciiTheme="minorEastAsia" w:hAnsiTheme="minorEastAsia" w:eastAsiaTheme="minorEastAsia"/>
          <w:sz w:val="24"/>
        </w:rPr>
        <w:t>投标方名称：</w:t>
      </w:r>
    </w:p>
    <w:p w14:paraId="62EE2E2F">
      <w:pPr>
        <w:spacing w:line="276" w:lineRule="auto"/>
        <w:rPr>
          <w:rFonts w:asciiTheme="minorEastAsia" w:hAnsiTheme="minorEastAsia" w:eastAsiaTheme="minorEastAsia"/>
          <w:sz w:val="24"/>
        </w:rPr>
      </w:pPr>
      <w:r>
        <w:rPr>
          <w:rFonts w:hint="eastAsia" w:asciiTheme="minorEastAsia" w:hAnsiTheme="minorEastAsia" w:eastAsiaTheme="minorEastAsia"/>
          <w:sz w:val="24"/>
        </w:rPr>
        <w:t>（公章）：</w:t>
      </w:r>
    </w:p>
    <w:p w14:paraId="70C8E6E1">
      <w:pPr>
        <w:spacing w:line="276" w:lineRule="auto"/>
        <w:rPr>
          <w:rFonts w:asciiTheme="minorEastAsia" w:hAnsiTheme="minorEastAsia" w:eastAsiaTheme="minorEastAsia"/>
          <w:sz w:val="24"/>
        </w:rPr>
      </w:pPr>
      <w:r>
        <w:rPr>
          <w:rFonts w:hint="eastAsia" w:asciiTheme="minorEastAsia" w:hAnsiTheme="minorEastAsia" w:eastAsiaTheme="minorEastAsia"/>
          <w:sz w:val="24"/>
        </w:rPr>
        <w:t>日期：年月日</w:t>
      </w:r>
    </w:p>
    <w:p w14:paraId="6D86E447">
      <w:pPr>
        <w:spacing w:line="276" w:lineRule="auto"/>
        <w:rPr>
          <w:rFonts w:ascii="宋体" w:hAnsi="宋体"/>
        </w:rPr>
      </w:pPr>
      <w:r>
        <w:rPr>
          <w:rFonts w:hint="eastAsia" w:asciiTheme="minorEastAsia" w:hAnsiTheme="minorEastAsia" w:eastAsiaTheme="minorEastAsia"/>
          <w:sz w:val="24"/>
        </w:rPr>
        <w:t>全权代表签字：</w:t>
      </w:r>
    </w:p>
    <w:p w14:paraId="4A71EEFA">
      <w:pPr>
        <w:pStyle w:val="3"/>
      </w:pPr>
      <w:bookmarkStart w:id="60" w:name="_Toc163481197"/>
      <w:bookmarkStart w:id="61" w:name="_Toc831"/>
      <w:r>
        <w:rPr>
          <w:rFonts w:hint="eastAsia"/>
        </w:rPr>
        <w:t>2、</w:t>
      </w:r>
      <w:bookmarkStart w:id="62" w:name="_Toc373100990"/>
      <w:r>
        <w:t>开标一览表</w:t>
      </w:r>
      <w:bookmarkEnd w:id="62"/>
      <w:r>
        <w:t>和</w:t>
      </w:r>
      <w:r>
        <w:rPr>
          <w:rFonts w:hint="eastAsia"/>
        </w:rPr>
        <w:t>分项报价明细表</w:t>
      </w:r>
      <w:bookmarkEnd w:id="60"/>
      <w:r>
        <w:rPr>
          <w:rFonts w:ascii="Microsoft Sans Serif" w:hAnsi="Microsoft Sans Serif" w:cs="Microsoft Sans Serif"/>
          <w:sz w:val="21"/>
          <w:szCs w:val="21"/>
        </w:rPr>
        <w:br w:type="textWrapping"/>
      </w:r>
      <w:bookmarkEnd w:id="61"/>
    </w:p>
    <w:p w14:paraId="4C0F5DF3">
      <w:pPr>
        <w:pStyle w:val="68"/>
        <w:jc w:val="center"/>
        <w:rPr>
          <w:rFonts w:cs="Microsoft Sans Serif" w:asciiTheme="minorEastAsia" w:hAnsiTheme="minorEastAsia" w:eastAsiaTheme="minorEastAsia"/>
          <w:sz w:val="24"/>
          <w:szCs w:val="24"/>
        </w:rPr>
      </w:pPr>
      <w:r>
        <w:rPr>
          <w:rFonts w:hint="eastAsia" w:cs="Microsoft Sans Serif" w:asciiTheme="minorEastAsia" w:hAnsiTheme="minorEastAsia" w:eastAsiaTheme="minorEastAsia"/>
          <w:sz w:val="24"/>
          <w:szCs w:val="24"/>
        </w:rPr>
        <w:t>2.1</w:t>
      </w:r>
      <w:r>
        <w:rPr>
          <w:rFonts w:cs="Microsoft Sans Serif" w:asciiTheme="minorEastAsia" w:hAnsiTheme="minorEastAsia" w:eastAsiaTheme="minorEastAsia"/>
          <w:sz w:val="24"/>
          <w:szCs w:val="24"/>
        </w:rPr>
        <w:t>开标一览表格式</w:t>
      </w:r>
    </w:p>
    <w:p w14:paraId="71D49935">
      <w:pPr>
        <w:pStyle w:val="29"/>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项目名称：</w:t>
      </w:r>
      <w:r>
        <w:rPr>
          <w:rFonts w:hint="eastAsia" w:cs="Microsoft Sans Serif" w:asciiTheme="minorEastAsia" w:hAnsiTheme="minorEastAsia" w:eastAsiaTheme="minorEastAsia"/>
          <w:u w:val="single"/>
        </w:rPr>
        <w:t>        </w:t>
      </w:r>
      <w:r>
        <w:rPr>
          <w:rFonts w:hint="eastAsia" w:cs="Microsoft Sans Serif" w:asciiTheme="minorEastAsia" w:hAnsiTheme="minorEastAsia" w:eastAsiaTheme="minorEastAsia"/>
        </w:rPr>
        <w:t>     </w:t>
      </w:r>
    </w:p>
    <w:p w14:paraId="51346563">
      <w:pPr>
        <w:pStyle w:val="29"/>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招标编号：</w:t>
      </w:r>
      <w:r>
        <w:rPr>
          <w:rFonts w:hint="eastAsia" w:cs="Microsoft Sans Serif" w:asciiTheme="minorEastAsia" w:hAnsiTheme="minorEastAsia" w:eastAsiaTheme="minorEastAsia"/>
          <w:u w:val="single"/>
        </w:rPr>
        <w:t>        </w:t>
      </w:r>
      <w:r>
        <w:rPr>
          <w:rFonts w:hint="eastAsia" w:cs="Microsoft Sans Serif" w:asciiTheme="minorEastAsia" w:hAnsiTheme="minorEastAsia" w:eastAsiaTheme="minorEastAsia"/>
        </w:rPr>
        <w:t>               </w:t>
      </w:r>
    </w:p>
    <w:p w14:paraId="765E1BA1">
      <w:pPr>
        <w:pStyle w:val="29"/>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包号：</w:t>
      </w:r>
      <w:r>
        <w:rPr>
          <w:rFonts w:hint="eastAsia" w:cs="Microsoft Sans Serif" w:asciiTheme="minorEastAsia" w:hAnsiTheme="minorEastAsia" w:eastAsiaTheme="minorEastAsia"/>
          <w:u w:val="single"/>
        </w:rPr>
        <w:t>        </w:t>
      </w:r>
    </w:p>
    <w:p w14:paraId="60011739">
      <w:pPr>
        <w:rPr>
          <w:rFonts w:cs="宋体" w:asciiTheme="minorEastAsia" w:hAnsiTheme="minorEastAsia" w:eastAsiaTheme="minorEastAsia"/>
          <w:sz w:val="24"/>
        </w:rPr>
      </w:pP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42"/>
        <w:gridCol w:w="3965"/>
      </w:tblGrid>
      <w:tr w14:paraId="2190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2799" w:type="pct"/>
            <w:shd w:val="clear" w:color="auto" w:fill="FFFFFF"/>
            <w:noWrap/>
            <w:tcMar>
              <w:top w:w="180" w:type="dxa"/>
              <w:left w:w="0" w:type="dxa"/>
              <w:bottom w:w="180" w:type="dxa"/>
              <w:right w:w="0" w:type="dxa"/>
            </w:tcMar>
            <w:vAlign w:val="center"/>
          </w:tcPr>
          <w:p w14:paraId="1A5B5F02">
            <w:pPr>
              <w:wordWrap w:val="0"/>
              <w:spacing w:line="345" w:lineRule="atLeast"/>
              <w:textAlignment w:val="center"/>
              <w:rPr>
                <w:rFonts w:asciiTheme="minorEastAsia" w:hAnsiTheme="minorEastAsia" w:eastAsiaTheme="minorEastAsia"/>
                <w:sz w:val="24"/>
              </w:rPr>
            </w:pPr>
            <w:r>
              <w:rPr>
                <w:rFonts w:asciiTheme="minorEastAsia" w:hAnsiTheme="minorEastAsia" w:eastAsiaTheme="minorEastAsia"/>
                <w:sz w:val="24"/>
              </w:rPr>
              <w:t>列名称</w:t>
            </w:r>
          </w:p>
        </w:tc>
        <w:tc>
          <w:tcPr>
            <w:tcW w:w="2201" w:type="pct"/>
            <w:shd w:val="clear" w:color="auto" w:fill="FFFFFF"/>
            <w:noWrap/>
            <w:tcMar>
              <w:top w:w="180" w:type="dxa"/>
              <w:left w:w="0" w:type="dxa"/>
              <w:bottom w:w="180" w:type="dxa"/>
              <w:right w:w="0" w:type="dxa"/>
            </w:tcMar>
            <w:vAlign w:val="center"/>
          </w:tcPr>
          <w:p w14:paraId="72356A56">
            <w:pPr>
              <w:jc w:val="center"/>
              <w:rPr>
                <w:rFonts w:asciiTheme="minorEastAsia" w:hAnsiTheme="minorEastAsia" w:eastAsiaTheme="minorEastAsia"/>
                <w:sz w:val="24"/>
              </w:rPr>
            </w:pPr>
            <w:r>
              <w:rPr>
                <w:rFonts w:asciiTheme="minorEastAsia" w:hAnsiTheme="minorEastAsia" w:eastAsiaTheme="minorEastAsia"/>
                <w:sz w:val="24"/>
              </w:rPr>
              <w:t>列内容</w:t>
            </w:r>
          </w:p>
        </w:tc>
      </w:tr>
      <w:tr w14:paraId="1499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9" w:type="pct"/>
            <w:shd w:val="clear" w:color="auto" w:fill="FFFFFF"/>
            <w:tcMar>
              <w:top w:w="180" w:type="dxa"/>
              <w:left w:w="0" w:type="dxa"/>
              <w:bottom w:w="180" w:type="dxa"/>
              <w:right w:w="0" w:type="dxa"/>
            </w:tcMar>
            <w:vAlign w:val="center"/>
          </w:tcPr>
          <w:p w14:paraId="5CF61942">
            <w:pPr>
              <w:wordWrap w:val="0"/>
              <w:spacing w:line="345" w:lineRule="atLeast"/>
              <w:rPr>
                <w:rFonts w:cs="宋体" w:asciiTheme="minorEastAsia" w:hAnsiTheme="minorEastAsia" w:eastAsiaTheme="minorEastAsia"/>
                <w:sz w:val="24"/>
              </w:rPr>
            </w:pPr>
            <w:r>
              <w:rPr>
                <w:rFonts w:hint="eastAsia" w:asciiTheme="minorEastAsia" w:hAnsiTheme="minorEastAsia" w:eastAsiaTheme="minorEastAsia"/>
                <w:sz w:val="24"/>
              </w:rPr>
              <w:t>投标单位名称</w:t>
            </w:r>
          </w:p>
        </w:tc>
        <w:tc>
          <w:tcPr>
            <w:tcW w:w="2201" w:type="pct"/>
            <w:shd w:val="clear" w:color="auto" w:fill="FFFFFF"/>
            <w:tcMar>
              <w:top w:w="180" w:type="dxa"/>
              <w:left w:w="0" w:type="dxa"/>
              <w:bottom w:w="180" w:type="dxa"/>
              <w:right w:w="0" w:type="dxa"/>
            </w:tcMar>
            <w:vAlign w:val="center"/>
          </w:tcPr>
          <w:p w14:paraId="757C96F8">
            <w:pPr>
              <w:rPr>
                <w:rFonts w:cs="宋体" w:asciiTheme="minorEastAsia" w:hAnsiTheme="minorEastAsia" w:eastAsiaTheme="minorEastAsia"/>
                <w:sz w:val="24"/>
              </w:rPr>
            </w:pPr>
          </w:p>
        </w:tc>
      </w:tr>
      <w:tr w14:paraId="3F22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9" w:type="pct"/>
            <w:shd w:val="clear" w:color="auto" w:fill="FFFFFF"/>
            <w:tcMar>
              <w:top w:w="180" w:type="dxa"/>
              <w:left w:w="0" w:type="dxa"/>
              <w:bottom w:w="180" w:type="dxa"/>
              <w:right w:w="0" w:type="dxa"/>
            </w:tcMar>
            <w:vAlign w:val="center"/>
          </w:tcPr>
          <w:p w14:paraId="17853866">
            <w:pPr>
              <w:wordWrap w:val="0"/>
              <w:spacing w:line="345" w:lineRule="atLeast"/>
              <w:rPr>
                <w:rFonts w:cs="宋体" w:asciiTheme="minorEastAsia" w:hAnsiTheme="minorEastAsia" w:eastAsiaTheme="minorEastAsia"/>
                <w:sz w:val="24"/>
              </w:rPr>
            </w:pPr>
            <w:r>
              <w:rPr>
                <w:rFonts w:hint="eastAsia" w:asciiTheme="minorEastAsia" w:hAnsiTheme="minorEastAsia" w:eastAsiaTheme="minorEastAsia"/>
                <w:sz w:val="24"/>
              </w:rPr>
              <w:t>投标报价（小写）</w:t>
            </w:r>
          </w:p>
        </w:tc>
        <w:tc>
          <w:tcPr>
            <w:tcW w:w="2201" w:type="pct"/>
            <w:shd w:val="clear" w:color="auto" w:fill="FFFFFF"/>
            <w:tcMar>
              <w:top w:w="180" w:type="dxa"/>
              <w:left w:w="0" w:type="dxa"/>
              <w:bottom w:w="180" w:type="dxa"/>
              <w:right w:w="0" w:type="dxa"/>
            </w:tcMar>
            <w:vAlign w:val="center"/>
          </w:tcPr>
          <w:p w14:paraId="1F92BA7C">
            <w:pPr>
              <w:rPr>
                <w:rFonts w:cs="宋体" w:asciiTheme="minorEastAsia" w:hAnsiTheme="minorEastAsia" w:eastAsiaTheme="minorEastAsia"/>
                <w:sz w:val="24"/>
              </w:rPr>
            </w:pPr>
          </w:p>
        </w:tc>
      </w:tr>
      <w:tr w14:paraId="06EA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9" w:type="pct"/>
            <w:shd w:val="clear" w:color="auto" w:fill="FFFFFF"/>
            <w:tcMar>
              <w:top w:w="180" w:type="dxa"/>
              <w:left w:w="0" w:type="dxa"/>
              <w:bottom w:w="180" w:type="dxa"/>
              <w:right w:w="0" w:type="dxa"/>
            </w:tcMar>
            <w:vAlign w:val="center"/>
          </w:tcPr>
          <w:p w14:paraId="2EF579B3">
            <w:pPr>
              <w:wordWrap w:val="0"/>
              <w:spacing w:line="345" w:lineRule="atLeast"/>
              <w:rPr>
                <w:rFonts w:cs="宋体" w:asciiTheme="minorEastAsia" w:hAnsiTheme="minorEastAsia" w:eastAsiaTheme="minorEastAsia"/>
                <w:sz w:val="24"/>
              </w:rPr>
            </w:pPr>
            <w:r>
              <w:rPr>
                <w:rFonts w:hint="eastAsia" w:asciiTheme="minorEastAsia" w:hAnsiTheme="minorEastAsia" w:eastAsiaTheme="minorEastAsia"/>
                <w:sz w:val="24"/>
              </w:rPr>
              <w:t>投标报价（大写）</w:t>
            </w:r>
          </w:p>
        </w:tc>
        <w:tc>
          <w:tcPr>
            <w:tcW w:w="2201" w:type="pct"/>
            <w:shd w:val="clear" w:color="auto" w:fill="FFFFFF"/>
            <w:tcMar>
              <w:top w:w="180" w:type="dxa"/>
              <w:left w:w="0" w:type="dxa"/>
              <w:bottom w:w="180" w:type="dxa"/>
              <w:right w:w="0" w:type="dxa"/>
            </w:tcMar>
            <w:vAlign w:val="center"/>
          </w:tcPr>
          <w:p w14:paraId="4E903AF5">
            <w:pPr>
              <w:rPr>
                <w:rFonts w:cs="宋体" w:asciiTheme="minorEastAsia" w:hAnsiTheme="minorEastAsia" w:eastAsiaTheme="minorEastAsia"/>
                <w:sz w:val="24"/>
              </w:rPr>
            </w:pPr>
          </w:p>
        </w:tc>
      </w:tr>
      <w:tr w14:paraId="4C10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9" w:type="pct"/>
            <w:shd w:val="clear" w:color="auto" w:fill="FFFFFF"/>
            <w:tcMar>
              <w:top w:w="180" w:type="dxa"/>
              <w:left w:w="0" w:type="dxa"/>
              <w:bottom w:w="180" w:type="dxa"/>
              <w:right w:w="0" w:type="dxa"/>
            </w:tcMar>
            <w:vAlign w:val="center"/>
          </w:tcPr>
          <w:p w14:paraId="04246A7C">
            <w:pPr>
              <w:wordWrap w:val="0"/>
              <w:spacing w:line="345" w:lineRule="atLeast"/>
              <w:rPr>
                <w:rFonts w:cs="宋体" w:asciiTheme="minorEastAsia" w:hAnsiTheme="minorEastAsia" w:eastAsiaTheme="minorEastAsia"/>
                <w:sz w:val="24"/>
              </w:rPr>
            </w:pPr>
            <w:r>
              <w:rPr>
                <w:rFonts w:hint="eastAsia" w:ascii="宋体" w:hAnsi="宋体" w:cs="宋体"/>
                <w:kern w:val="0"/>
                <w:sz w:val="24"/>
              </w:rPr>
              <w:t>合同履行期限</w:t>
            </w:r>
          </w:p>
        </w:tc>
        <w:tc>
          <w:tcPr>
            <w:tcW w:w="2201" w:type="pct"/>
            <w:shd w:val="clear" w:color="auto" w:fill="FFFFFF"/>
            <w:tcMar>
              <w:top w:w="180" w:type="dxa"/>
              <w:left w:w="0" w:type="dxa"/>
              <w:bottom w:w="180" w:type="dxa"/>
              <w:right w:w="0" w:type="dxa"/>
            </w:tcMar>
            <w:vAlign w:val="center"/>
          </w:tcPr>
          <w:p w14:paraId="6E6F315F">
            <w:pPr>
              <w:jc w:val="center"/>
              <w:rPr>
                <w:rFonts w:cs="宋体" w:asciiTheme="minorEastAsia" w:hAnsiTheme="minorEastAsia" w:eastAsiaTheme="minorEastAsia"/>
                <w:sz w:val="24"/>
              </w:rPr>
            </w:pPr>
            <w:r>
              <w:rPr>
                <w:rFonts w:hint="eastAsia"/>
                <w:sz w:val="24"/>
              </w:rPr>
              <w:t>合同签订后5年内</w:t>
            </w:r>
          </w:p>
        </w:tc>
      </w:tr>
    </w:tbl>
    <w:p w14:paraId="3B320D69">
      <w:pPr>
        <w:spacing w:line="276" w:lineRule="auto"/>
        <w:rPr>
          <w:rFonts w:asciiTheme="minorEastAsia" w:hAnsiTheme="minorEastAsia" w:eastAsiaTheme="minorEastAsia"/>
          <w:sz w:val="24"/>
        </w:rPr>
      </w:pPr>
      <w:r>
        <w:rPr>
          <w:rFonts w:cs="Microsoft Sans Serif" w:asciiTheme="minorEastAsia" w:hAnsiTheme="minorEastAsia" w:eastAsiaTheme="minorEastAsia"/>
          <w:sz w:val="24"/>
        </w:rPr>
        <w:br w:type="textWrapping"/>
      </w:r>
      <w:r>
        <w:rPr>
          <w:rFonts w:hint="eastAsia" w:asciiTheme="minorEastAsia" w:hAnsiTheme="minorEastAsia" w:eastAsiaTheme="minorEastAsia"/>
          <w:sz w:val="24"/>
        </w:rPr>
        <w:t>1、供应商是否小微型企业产品:是（   ）  否（   ）</w:t>
      </w:r>
    </w:p>
    <w:p w14:paraId="3A618A23">
      <w:pPr>
        <w:spacing w:line="276" w:lineRule="auto"/>
        <w:rPr>
          <w:rFonts w:asciiTheme="minorEastAsia" w:hAnsiTheme="minorEastAsia" w:eastAsiaTheme="minorEastAsia"/>
          <w:sz w:val="24"/>
        </w:rPr>
      </w:pPr>
      <w:r>
        <w:rPr>
          <w:rFonts w:hint="eastAsia" w:asciiTheme="minorEastAsia" w:hAnsiTheme="minorEastAsia" w:eastAsiaTheme="minorEastAsia"/>
          <w:sz w:val="24"/>
        </w:rPr>
        <w:t>2、供应商是否为监狱企业：是（    ）    否（    ）</w:t>
      </w:r>
    </w:p>
    <w:p w14:paraId="42A7590D">
      <w:pPr>
        <w:spacing w:line="276" w:lineRule="auto"/>
        <w:rPr>
          <w:rFonts w:asciiTheme="minorEastAsia" w:hAnsiTheme="minorEastAsia" w:eastAsiaTheme="minorEastAsia"/>
          <w:sz w:val="24"/>
        </w:rPr>
      </w:pPr>
      <w:r>
        <w:rPr>
          <w:rFonts w:hint="eastAsia" w:asciiTheme="minorEastAsia" w:hAnsiTheme="minorEastAsia" w:eastAsiaTheme="minorEastAsia"/>
          <w:sz w:val="24"/>
        </w:rPr>
        <w:t>3、供应商是否为残疾人福利性单位：是（    ）    否（    ）</w:t>
      </w:r>
    </w:p>
    <w:p w14:paraId="2FF5885F">
      <w:pPr>
        <w:rPr>
          <w:rFonts w:cs="宋体" w:asciiTheme="minorEastAsia" w:hAnsiTheme="minorEastAsia" w:eastAsiaTheme="minorEastAsia"/>
          <w:sz w:val="24"/>
        </w:rPr>
      </w:pPr>
    </w:p>
    <w:p w14:paraId="1737DE6C">
      <w:pPr>
        <w:pStyle w:val="29"/>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投标单位：</w:t>
      </w:r>
      <w:r>
        <w:rPr>
          <w:rFonts w:hint="eastAsia" w:cs="Microsoft Sans Serif" w:asciiTheme="minorEastAsia" w:hAnsiTheme="minorEastAsia" w:eastAsiaTheme="minorEastAsia"/>
          <w:u w:val="single"/>
        </w:rPr>
        <w:t>    （公章）    </w:t>
      </w:r>
      <w:r>
        <w:rPr>
          <w:rFonts w:hint="eastAsia" w:cs="Microsoft Sans Serif" w:asciiTheme="minorEastAsia" w:hAnsiTheme="minorEastAsia" w:eastAsiaTheme="minorEastAsia"/>
        </w:rPr>
        <w:t>     </w:t>
      </w:r>
    </w:p>
    <w:p w14:paraId="1AEFDA3E">
      <w:pPr>
        <w:rPr>
          <w:rFonts w:cs="宋体" w:asciiTheme="minorEastAsia" w:hAnsiTheme="minorEastAsia" w:eastAsiaTheme="minorEastAsia"/>
          <w:sz w:val="24"/>
        </w:rPr>
      </w:pPr>
    </w:p>
    <w:p w14:paraId="4CA0AD39">
      <w:pPr>
        <w:pStyle w:val="29"/>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法定代表人（或授权代理人）：</w:t>
      </w:r>
      <w:r>
        <w:rPr>
          <w:rFonts w:hint="eastAsia" w:cs="Microsoft Sans Serif" w:asciiTheme="minorEastAsia" w:hAnsiTheme="minorEastAsia" w:eastAsiaTheme="minorEastAsia"/>
          <w:u w:val="single"/>
        </w:rPr>
        <w:t>    （签字或盖章）    </w:t>
      </w:r>
      <w:r>
        <w:rPr>
          <w:rFonts w:hint="eastAsia" w:cs="Microsoft Sans Serif" w:asciiTheme="minorEastAsia" w:hAnsiTheme="minorEastAsia" w:eastAsiaTheme="minorEastAsia"/>
        </w:rPr>
        <w:t>     </w:t>
      </w:r>
    </w:p>
    <w:p w14:paraId="7FF14AB7">
      <w:pPr>
        <w:rPr>
          <w:rFonts w:cs="宋体" w:asciiTheme="minorEastAsia" w:hAnsiTheme="minorEastAsia" w:eastAsiaTheme="minorEastAsia"/>
          <w:sz w:val="24"/>
        </w:rPr>
      </w:pPr>
    </w:p>
    <w:p w14:paraId="5EA8A72E">
      <w:pPr>
        <w:pStyle w:val="29"/>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日期：</w:t>
      </w:r>
      <w:r>
        <w:rPr>
          <w:rFonts w:hint="eastAsia" w:cs="Microsoft Sans Serif" w:asciiTheme="minorEastAsia" w:hAnsiTheme="minorEastAsia" w:eastAsiaTheme="minorEastAsia"/>
          <w:u w:val="single"/>
        </w:rPr>
        <w:t>             </w:t>
      </w:r>
    </w:p>
    <w:p w14:paraId="6FDF1368">
      <w:pPr>
        <w:rPr>
          <w:rFonts w:cs="宋体" w:asciiTheme="minorEastAsia" w:hAnsiTheme="minorEastAsia" w:eastAsiaTheme="minorEastAsia"/>
          <w:sz w:val="24"/>
        </w:rPr>
      </w:pPr>
    </w:p>
    <w:p w14:paraId="1BC37DC5">
      <w:pPr>
        <w:pStyle w:val="29"/>
        <w:shd w:val="clear" w:color="auto" w:fill="FFFFFF"/>
        <w:spacing w:before="0" w:beforeAutospacing="0" w:after="0" w:afterAutospacing="0"/>
        <w:ind w:firstLine="480"/>
        <w:rPr>
          <w:rFonts w:cs="Microsoft Sans Serif" w:asciiTheme="minorEastAsia" w:hAnsiTheme="minorEastAsia" w:eastAsiaTheme="minorEastAsia"/>
        </w:rPr>
      </w:pPr>
      <w:r>
        <w:rPr>
          <w:rStyle w:val="36"/>
          <w:rFonts w:hint="eastAsia" w:cs="Microsoft Sans Serif" w:asciiTheme="minorEastAsia" w:hAnsiTheme="minorEastAsia" w:eastAsiaTheme="minorEastAsia"/>
        </w:rPr>
        <w:t>注:</w:t>
      </w:r>
      <w:r>
        <w:rPr>
          <w:rFonts w:hint="eastAsia" w:cs="Microsoft Sans Serif" w:asciiTheme="minorEastAsia" w:hAnsiTheme="minorEastAsia" w:eastAsiaTheme="minorEastAsia"/>
        </w:rPr>
        <w:t>① 投标报价应包括招标文件所规定的招标范围的全部内容；投标总金额包括本招标书中要求的所有货物和服务的费用，包含运输、保险、税收等相关费用，招标方不再进行二次投入，请投标方注意</w:t>
      </w:r>
    </w:p>
    <w:p w14:paraId="19AF62AE">
      <w:pPr>
        <w:rPr>
          <w:rFonts w:cs="宋体" w:asciiTheme="minorEastAsia" w:hAnsiTheme="minorEastAsia" w:eastAsiaTheme="minorEastAsia"/>
          <w:sz w:val="24"/>
        </w:rPr>
      </w:pPr>
    </w:p>
    <w:p w14:paraId="12512B6A">
      <w:pPr>
        <w:pStyle w:val="29"/>
        <w:shd w:val="clear" w:color="auto" w:fill="FFFFFF"/>
        <w:spacing w:before="0" w:beforeAutospacing="0" w:after="0" w:afterAutospacing="0"/>
        <w:ind w:firstLine="480"/>
        <w:rPr>
          <w:rFonts w:cs="Microsoft Sans Serif" w:asciiTheme="minorEastAsia" w:hAnsiTheme="minorEastAsia" w:eastAsiaTheme="minorEastAsia"/>
        </w:rPr>
      </w:pPr>
      <w:r>
        <w:rPr>
          <w:rFonts w:hint="eastAsia" w:cs="Microsoft Sans Serif" w:asciiTheme="minorEastAsia" w:hAnsiTheme="minorEastAsia" w:eastAsiaTheme="minorEastAsia"/>
        </w:rPr>
        <w:t>② 本项目投标总报价超过采购预算的将视为无效投标。</w:t>
      </w:r>
    </w:p>
    <w:p w14:paraId="30B3564B">
      <w:pPr>
        <w:spacing w:line="360" w:lineRule="auto"/>
        <w:jc w:val="center"/>
        <w:rPr>
          <w:rFonts w:asciiTheme="minorEastAsia" w:hAnsiTheme="minorEastAsia" w:eastAsiaTheme="minorEastAsia"/>
          <w:b/>
          <w:sz w:val="24"/>
        </w:rPr>
      </w:pPr>
    </w:p>
    <w:p w14:paraId="1D67C759">
      <w:pPr>
        <w:pStyle w:val="28"/>
      </w:pPr>
    </w:p>
    <w:p w14:paraId="157FB17C">
      <w:pPr>
        <w:pStyle w:val="28"/>
      </w:pPr>
    </w:p>
    <w:p w14:paraId="4075F7BB">
      <w:pPr>
        <w:pStyle w:val="28"/>
      </w:pPr>
    </w:p>
    <w:p w14:paraId="459145FB">
      <w:pPr>
        <w:pStyle w:val="25"/>
        <w:ind w:firstLine="480"/>
        <w:jc w:val="center"/>
        <w:rPr>
          <w:rFonts w:asciiTheme="minorEastAsia" w:hAnsiTheme="minorEastAsia" w:eastAsiaTheme="minorEastAsia"/>
          <w:sz w:val="24"/>
        </w:rPr>
      </w:pPr>
      <w:r>
        <w:rPr>
          <w:rFonts w:hint="eastAsia" w:asciiTheme="minorEastAsia" w:hAnsiTheme="minorEastAsia" w:eastAsiaTheme="minorEastAsia"/>
          <w:sz w:val="24"/>
        </w:rPr>
        <w:t>2.2分项报价明细表</w:t>
      </w:r>
      <w:r>
        <w:rPr>
          <w:rFonts w:asciiTheme="minorEastAsia" w:hAnsiTheme="minorEastAsia" w:eastAsiaTheme="minorEastAsia"/>
          <w:sz w:val="24"/>
        </w:rPr>
        <w:t>格式</w:t>
      </w:r>
    </w:p>
    <w:p w14:paraId="3A4A286B">
      <w:pPr>
        <w:pStyle w:val="25"/>
        <w:ind w:firstLine="480"/>
        <w:jc w:val="center"/>
        <w:rPr>
          <w:rFonts w:asciiTheme="minorEastAsia" w:hAnsiTheme="minorEastAsia" w:eastAsiaTheme="minorEastAsia"/>
          <w:sz w:val="24"/>
        </w:rPr>
      </w:pPr>
    </w:p>
    <w:p w14:paraId="401AB19C">
      <w:pPr>
        <w:spacing w:line="360" w:lineRule="auto"/>
        <w:ind w:left="-15" w:firstLine="240"/>
        <w:rPr>
          <w:rFonts w:asciiTheme="minorEastAsia" w:hAnsiTheme="minorEastAsia" w:eastAsiaTheme="minorEastAsia"/>
          <w:sz w:val="24"/>
        </w:rPr>
      </w:pPr>
      <w:r>
        <w:rPr>
          <w:rFonts w:asciiTheme="minorEastAsia" w:hAnsiTheme="minorEastAsia" w:eastAsiaTheme="minorEastAsia"/>
          <w:sz w:val="24"/>
        </w:rPr>
        <w:t xml:space="preserve">项目名称：    招标编号：     </w:t>
      </w:r>
    </w:p>
    <w:tbl>
      <w:tblPr>
        <w:tblStyle w:val="228"/>
        <w:tblW w:w="5292" w:type="pct"/>
        <w:tblInd w:w="0" w:type="dxa"/>
        <w:tblLayout w:type="autofit"/>
        <w:tblCellMar>
          <w:top w:w="0" w:type="dxa"/>
          <w:left w:w="106" w:type="dxa"/>
          <w:bottom w:w="0" w:type="dxa"/>
          <w:right w:w="0" w:type="dxa"/>
        </w:tblCellMar>
      </w:tblPr>
      <w:tblGrid>
        <w:gridCol w:w="834"/>
        <w:gridCol w:w="1542"/>
        <w:gridCol w:w="1777"/>
        <w:gridCol w:w="1542"/>
        <w:gridCol w:w="1603"/>
        <w:gridCol w:w="1557"/>
        <w:gridCol w:w="785"/>
      </w:tblGrid>
      <w:tr w14:paraId="255F3F11">
        <w:tblPrEx>
          <w:tblCellMar>
            <w:top w:w="0" w:type="dxa"/>
            <w:left w:w="106" w:type="dxa"/>
            <w:bottom w:w="0" w:type="dxa"/>
            <w:right w:w="0" w:type="dxa"/>
          </w:tblCellMar>
        </w:tblPrEx>
        <w:trPr>
          <w:trHeight w:val="968" w:hRule="atLeast"/>
        </w:trPr>
        <w:tc>
          <w:tcPr>
            <w:tcW w:w="432" w:type="pct"/>
            <w:tcBorders>
              <w:top w:val="single" w:color="000000" w:sz="4" w:space="0"/>
              <w:left w:val="single" w:color="000000" w:sz="4" w:space="0"/>
              <w:bottom w:val="single" w:color="000000" w:sz="4" w:space="0"/>
              <w:right w:val="single" w:color="000000" w:sz="4" w:space="0"/>
            </w:tcBorders>
            <w:vAlign w:val="center"/>
          </w:tcPr>
          <w:p w14:paraId="45D5F499">
            <w:pPr>
              <w:spacing w:line="360" w:lineRule="auto"/>
              <w:jc w:val="center"/>
              <w:rPr>
                <w:rFonts w:asciiTheme="minorEastAsia" w:hAnsiTheme="minorEastAsia" w:eastAsiaTheme="minorEastAsia" w:cstheme="minorBidi"/>
                <w:sz w:val="24"/>
              </w:rPr>
            </w:pPr>
            <w:r>
              <w:rPr>
                <w:rFonts w:asciiTheme="minorEastAsia" w:hAnsiTheme="minorEastAsia" w:eastAsiaTheme="minorEastAsia" w:cstheme="minorBidi"/>
                <w:sz w:val="24"/>
              </w:rPr>
              <w:t>序号</w:t>
            </w:r>
          </w:p>
        </w:tc>
        <w:tc>
          <w:tcPr>
            <w:tcW w:w="799" w:type="pct"/>
            <w:tcBorders>
              <w:top w:val="single" w:color="000000" w:sz="4" w:space="0"/>
              <w:left w:val="single" w:color="000000" w:sz="4" w:space="0"/>
              <w:bottom w:val="single" w:color="000000" w:sz="4" w:space="0"/>
              <w:right w:val="single" w:color="000000" w:sz="4" w:space="0"/>
            </w:tcBorders>
            <w:vAlign w:val="center"/>
          </w:tcPr>
          <w:p w14:paraId="30EA6C21">
            <w:pPr>
              <w:spacing w:line="360" w:lineRule="auto"/>
              <w:ind w:left="65"/>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服务项目名称</w:t>
            </w:r>
          </w:p>
        </w:tc>
        <w:tc>
          <w:tcPr>
            <w:tcW w:w="921" w:type="pct"/>
            <w:tcBorders>
              <w:top w:val="single" w:color="000000" w:sz="4" w:space="0"/>
              <w:left w:val="single" w:color="000000" w:sz="4" w:space="0"/>
              <w:bottom w:val="single" w:color="000000" w:sz="4" w:space="0"/>
              <w:right w:val="single" w:color="000000" w:sz="4" w:space="0"/>
            </w:tcBorders>
            <w:vAlign w:val="center"/>
          </w:tcPr>
          <w:p w14:paraId="3B5D62EE">
            <w:pPr>
              <w:spacing w:line="360" w:lineRule="auto"/>
              <w:ind w:right="68"/>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服务内容</w:t>
            </w:r>
          </w:p>
        </w:tc>
        <w:tc>
          <w:tcPr>
            <w:tcW w:w="799" w:type="pct"/>
            <w:tcBorders>
              <w:top w:val="single" w:color="000000" w:sz="4" w:space="0"/>
              <w:left w:val="single" w:color="000000" w:sz="4" w:space="0"/>
              <w:bottom w:val="single" w:color="000000" w:sz="4" w:space="0"/>
              <w:right w:val="single" w:color="000000" w:sz="4" w:space="0"/>
            </w:tcBorders>
            <w:vAlign w:val="center"/>
          </w:tcPr>
          <w:p w14:paraId="32F34457">
            <w:pPr>
              <w:spacing w:line="360" w:lineRule="auto"/>
              <w:ind w:right="98"/>
              <w:jc w:val="center"/>
              <w:rPr>
                <w:rFonts w:asciiTheme="minorEastAsia" w:hAnsiTheme="minorEastAsia" w:eastAsiaTheme="minorEastAsia" w:cstheme="minorBidi"/>
                <w:sz w:val="24"/>
              </w:rPr>
            </w:pPr>
            <w:r>
              <w:rPr>
                <w:rFonts w:asciiTheme="minorEastAsia" w:hAnsiTheme="minorEastAsia" w:eastAsiaTheme="minorEastAsia" w:cstheme="minorBidi"/>
                <w:sz w:val="24"/>
              </w:rPr>
              <w:t>数量/单位</w:t>
            </w:r>
          </w:p>
        </w:tc>
        <w:tc>
          <w:tcPr>
            <w:tcW w:w="831" w:type="pct"/>
            <w:tcBorders>
              <w:top w:val="single" w:color="000000" w:sz="4" w:space="0"/>
              <w:left w:val="single" w:color="000000" w:sz="4" w:space="0"/>
              <w:bottom w:val="single" w:color="000000" w:sz="4" w:space="0"/>
              <w:right w:val="single" w:color="000000" w:sz="4" w:space="0"/>
            </w:tcBorders>
            <w:vAlign w:val="center"/>
          </w:tcPr>
          <w:p w14:paraId="0B4E5780">
            <w:pPr>
              <w:spacing w:line="360" w:lineRule="auto"/>
              <w:ind w:right="106"/>
              <w:jc w:val="center"/>
              <w:rPr>
                <w:rFonts w:asciiTheme="minorEastAsia" w:hAnsiTheme="minorEastAsia" w:eastAsiaTheme="minorEastAsia" w:cstheme="minorBidi"/>
                <w:sz w:val="24"/>
              </w:rPr>
            </w:pPr>
            <w:r>
              <w:rPr>
                <w:rFonts w:asciiTheme="minorEastAsia" w:hAnsiTheme="minorEastAsia" w:eastAsiaTheme="minorEastAsia" w:cstheme="minorBidi"/>
                <w:sz w:val="24"/>
              </w:rPr>
              <w:t>单价</w:t>
            </w:r>
          </w:p>
        </w:tc>
        <w:tc>
          <w:tcPr>
            <w:tcW w:w="807" w:type="pct"/>
            <w:tcBorders>
              <w:top w:val="single" w:color="000000" w:sz="4" w:space="0"/>
              <w:left w:val="single" w:color="000000" w:sz="4" w:space="0"/>
              <w:bottom w:val="single" w:color="000000" w:sz="4" w:space="0"/>
              <w:right w:val="single" w:color="000000" w:sz="4" w:space="0"/>
            </w:tcBorders>
            <w:vAlign w:val="center"/>
          </w:tcPr>
          <w:p w14:paraId="7D6D8AD3">
            <w:pPr>
              <w:spacing w:line="360" w:lineRule="auto"/>
              <w:ind w:left="158"/>
              <w:rPr>
                <w:rFonts w:asciiTheme="minorEastAsia" w:hAnsiTheme="minorEastAsia" w:eastAsiaTheme="minorEastAsia" w:cstheme="minorBidi"/>
                <w:sz w:val="24"/>
              </w:rPr>
            </w:pPr>
            <w:r>
              <w:rPr>
                <w:rFonts w:asciiTheme="minorEastAsia" w:hAnsiTheme="minorEastAsia" w:eastAsiaTheme="minorEastAsia" w:cstheme="minorBidi"/>
                <w:sz w:val="24"/>
              </w:rPr>
              <w:t>单项总价</w:t>
            </w:r>
          </w:p>
        </w:tc>
        <w:tc>
          <w:tcPr>
            <w:tcW w:w="407" w:type="pct"/>
            <w:tcBorders>
              <w:top w:val="single" w:color="000000" w:sz="4" w:space="0"/>
              <w:left w:val="single" w:color="000000" w:sz="4" w:space="0"/>
              <w:bottom w:val="single" w:color="000000" w:sz="4" w:space="0"/>
              <w:right w:val="single" w:color="000000" w:sz="4" w:space="0"/>
            </w:tcBorders>
            <w:vAlign w:val="center"/>
          </w:tcPr>
          <w:p w14:paraId="37874631">
            <w:pPr>
              <w:spacing w:line="360" w:lineRule="auto"/>
              <w:ind w:left="34"/>
              <w:jc w:val="center"/>
              <w:rPr>
                <w:rFonts w:asciiTheme="minorEastAsia" w:hAnsiTheme="minorEastAsia" w:eastAsiaTheme="minorEastAsia" w:cstheme="minorBidi"/>
                <w:sz w:val="24"/>
              </w:rPr>
            </w:pPr>
            <w:r>
              <w:rPr>
                <w:rFonts w:asciiTheme="minorEastAsia" w:hAnsiTheme="minorEastAsia" w:eastAsiaTheme="minorEastAsia" w:cstheme="minorBidi"/>
                <w:sz w:val="24"/>
              </w:rPr>
              <w:t>备注</w:t>
            </w:r>
          </w:p>
        </w:tc>
      </w:tr>
      <w:tr w14:paraId="4C0BA3A0">
        <w:tblPrEx>
          <w:tblCellMar>
            <w:top w:w="0" w:type="dxa"/>
            <w:left w:w="106" w:type="dxa"/>
            <w:bottom w:w="0" w:type="dxa"/>
            <w:right w:w="0" w:type="dxa"/>
          </w:tblCellMar>
        </w:tblPrEx>
        <w:trPr>
          <w:trHeight w:val="573" w:hRule="atLeast"/>
        </w:trPr>
        <w:tc>
          <w:tcPr>
            <w:tcW w:w="432" w:type="pct"/>
            <w:tcBorders>
              <w:top w:val="single" w:color="000000" w:sz="4" w:space="0"/>
              <w:left w:val="single" w:color="000000" w:sz="4" w:space="0"/>
              <w:bottom w:val="single" w:color="000000" w:sz="4" w:space="0"/>
              <w:right w:val="single" w:color="000000" w:sz="4" w:space="0"/>
            </w:tcBorders>
            <w:vAlign w:val="center"/>
          </w:tcPr>
          <w:p w14:paraId="075F3F5F">
            <w:pPr>
              <w:spacing w:line="360" w:lineRule="auto"/>
              <w:ind w:left="2"/>
              <w:rPr>
                <w:rFonts w:asciiTheme="minorEastAsia" w:hAnsiTheme="minorEastAsia" w:eastAsiaTheme="minorEastAsia" w:cstheme="minorBidi"/>
                <w:sz w:val="24"/>
              </w:rPr>
            </w:pPr>
          </w:p>
        </w:tc>
        <w:tc>
          <w:tcPr>
            <w:tcW w:w="799" w:type="pct"/>
            <w:tcBorders>
              <w:top w:val="single" w:color="000000" w:sz="4" w:space="0"/>
              <w:left w:val="single" w:color="000000" w:sz="4" w:space="0"/>
              <w:bottom w:val="single" w:color="000000" w:sz="4" w:space="0"/>
              <w:right w:val="single" w:color="000000" w:sz="4" w:space="0"/>
            </w:tcBorders>
            <w:vAlign w:val="center"/>
          </w:tcPr>
          <w:p w14:paraId="58CFF618">
            <w:pPr>
              <w:spacing w:line="360" w:lineRule="auto"/>
              <w:rPr>
                <w:rFonts w:asciiTheme="minorEastAsia" w:hAnsiTheme="minorEastAsia" w:eastAsiaTheme="minorEastAsia" w:cstheme="minorBidi"/>
                <w:sz w:val="24"/>
              </w:rPr>
            </w:pPr>
          </w:p>
        </w:tc>
        <w:tc>
          <w:tcPr>
            <w:tcW w:w="921" w:type="pct"/>
            <w:tcBorders>
              <w:top w:val="single" w:color="000000" w:sz="4" w:space="0"/>
              <w:left w:val="single" w:color="000000" w:sz="4" w:space="0"/>
              <w:bottom w:val="single" w:color="000000" w:sz="4" w:space="0"/>
              <w:right w:val="single" w:color="000000" w:sz="4" w:space="0"/>
            </w:tcBorders>
            <w:vAlign w:val="center"/>
          </w:tcPr>
          <w:p w14:paraId="3253A438">
            <w:pPr>
              <w:spacing w:line="360" w:lineRule="auto"/>
              <w:ind w:left="2"/>
              <w:rPr>
                <w:rFonts w:asciiTheme="minorEastAsia" w:hAnsiTheme="minorEastAsia" w:eastAsiaTheme="minorEastAsia" w:cstheme="minorBidi"/>
                <w:sz w:val="24"/>
              </w:rPr>
            </w:pPr>
          </w:p>
        </w:tc>
        <w:tc>
          <w:tcPr>
            <w:tcW w:w="799" w:type="pct"/>
            <w:tcBorders>
              <w:top w:val="single" w:color="000000" w:sz="4" w:space="0"/>
              <w:left w:val="single" w:color="000000" w:sz="4" w:space="0"/>
              <w:bottom w:val="single" w:color="000000" w:sz="4" w:space="0"/>
              <w:right w:val="single" w:color="000000" w:sz="4" w:space="0"/>
            </w:tcBorders>
            <w:vAlign w:val="center"/>
          </w:tcPr>
          <w:p w14:paraId="2D09CFA5">
            <w:pPr>
              <w:spacing w:line="360" w:lineRule="auto"/>
              <w:ind w:left="2"/>
              <w:rPr>
                <w:rFonts w:asciiTheme="minorEastAsia" w:hAnsiTheme="minorEastAsia" w:eastAsiaTheme="minorEastAsia" w:cstheme="minorBidi"/>
                <w:sz w:val="24"/>
              </w:rPr>
            </w:pPr>
          </w:p>
        </w:tc>
        <w:tc>
          <w:tcPr>
            <w:tcW w:w="831" w:type="pct"/>
            <w:tcBorders>
              <w:top w:val="single" w:color="000000" w:sz="4" w:space="0"/>
              <w:left w:val="single" w:color="000000" w:sz="4" w:space="0"/>
              <w:bottom w:val="single" w:color="000000" w:sz="4" w:space="0"/>
              <w:right w:val="single" w:color="000000" w:sz="4" w:space="0"/>
            </w:tcBorders>
            <w:vAlign w:val="center"/>
          </w:tcPr>
          <w:p w14:paraId="06D50C14">
            <w:pPr>
              <w:spacing w:line="360" w:lineRule="auto"/>
              <w:ind w:left="2"/>
              <w:rPr>
                <w:rFonts w:asciiTheme="minorEastAsia" w:hAnsiTheme="minorEastAsia" w:eastAsiaTheme="minorEastAsia" w:cstheme="minorBidi"/>
                <w:sz w:val="24"/>
              </w:rPr>
            </w:pPr>
          </w:p>
        </w:tc>
        <w:tc>
          <w:tcPr>
            <w:tcW w:w="807" w:type="pct"/>
            <w:tcBorders>
              <w:top w:val="single" w:color="000000" w:sz="4" w:space="0"/>
              <w:left w:val="single" w:color="000000" w:sz="4" w:space="0"/>
              <w:bottom w:val="single" w:color="000000" w:sz="4" w:space="0"/>
              <w:right w:val="single" w:color="000000" w:sz="4" w:space="0"/>
            </w:tcBorders>
            <w:vAlign w:val="center"/>
          </w:tcPr>
          <w:p w14:paraId="1321B624">
            <w:pPr>
              <w:spacing w:line="360" w:lineRule="auto"/>
              <w:ind w:left="2"/>
              <w:rPr>
                <w:rFonts w:asciiTheme="minorEastAsia" w:hAnsiTheme="minorEastAsia" w:eastAsiaTheme="minorEastAsia" w:cstheme="minorBidi"/>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14:paraId="4E1272F3">
            <w:pPr>
              <w:spacing w:line="360" w:lineRule="auto"/>
              <w:ind w:left="2" w:right="-69"/>
              <w:rPr>
                <w:rFonts w:asciiTheme="minorEastAsia" w:hAnsiTheme="minorEastAsia" w:eastAsiaTheme="minorEastAsia" w:cstheme="minorBidi"/>
                <w:sz w:val="24"/>
              </w:rPr>
            </w:pPr>
          </w:p>
        </w:tc>
      </w:tr>
      <w:tr w14:paraId="79B80D5B">
        <w:tblPrEx>
          <w:tblCellMar>
            <w:top w:w="0" w:type="dxa"/>
            <w:left w:w="106" w:type="dxa"/>
            <w:bottom w:w="0" w:type="dxa"/>
            <w:right w:w="0" w:type="dxa"/>
          </w:tblCellMar>
        </w:tblPrEx>
        <w:trPr>
          <w:trHeight w:val="580" w:hRule="atLeast"/>
        </w:trPr>
        <w:tc>
          <w:tcPr>
            <w:tcW w:w="432" w:type="pct"/>
            <w:tcBorders>
              <w:top w:val="single" w:color="000000" w:sz="4" w:space="0"/>
              <w:left w:val="single" w:color="000000" w:sz="4" w:space="0"/>
              <w:bottom w:val="single" w:color="000000" w:sz="4" w:space="0"/>
              <w:right w:val="single" w:color="000000" w:sz="4" w:space="0"/>
            </w:tcBorders>
            <w:vAlign w:val="center"/>
          </w:tcPr>
          <w:p w14:paraId="34EB42B9">
            <w:pPr>
              <w:spacing w:line="360" w:lineRule="auto"/>
              <w:ind w:left="2"/>
              <w:rPr>
                <w:rFonts w:asciiTheme="minorEastAsia" w:hAnsiTheme="minorEastAsia" w:eastAsiaTheme="minorEastAsia" w:cstheme="minorBidi"/>
                <w:sz w:val="24"/>
              </w:rPr>
            </w:pPr>
            <w:r>
              <w:rPr>
                <w:rFonts w:asciiTheme="minorEastAsia" w:hAnsiTheme="minorEastAsia" w:eastAsiaTheme="minorEastAsia" w:cstheme="minorBidi"/>
                <w:sz w:val="24"/>
              </w:rPr>
              <w:t xml:space="preserve">..... </w:t>
            </w:r>
          </w:p>
        </w:tc>
        <w:tc>
          <w:tcPr>
            <w:tcW w:w="799" w:type="pct"/>
            <w:tcBorders>
              <w:top w:val="single" w:color="000000" w:sz="4" w:space="0"/>
              <w:left w:val="single" w:color="000000" w:sz="4" w:space="0"/>
              <w:bottom w:val="single" w:color="000000" w:sz="4" w:space="0"/>
              <w:right w:val="single" w:color="000000" w:sz="4" w:space="0"/>
            </w:tcBorders>
            <w:vAlign w:val="center"/>
          </w:tcPr>
          <w:p w14:paraId="6DC2425D">
            <w:pPr>
              <w:spacing w:line="360" w:lineRule="auto"/>
              <w:rPr>
                <w:rFonts w:asciiTheme="minorEastAsia" w:hAnsiTheme="minorEastAsia" w:eastAsiaTheme="minorEastAsia" w:cstheme="minorBidi"/>
                <w:sz w:val="24"/>
              </w:rPr>
            </w:pPr>
          </w:p>
        </w:tc>
        <w:tc>
          <w:tcPr>
            <w:tcW w:w="921" w:type="pct"/>
            <w:tcBorders>
              <w:top w:val="single" w:color="000000" w:sz="4" w:space="0"/>
              <w:left w:val="single" w:color="000000" w:sz="4" w:space="0"/>
              <w:bottom w:val="single" w:color="000000" w:sz="4" w:space="0"/>
              <w:right w:val="single" w:color="000000" w:sz="4" w:space="0"/>
            </w:tcBorders>
            <w:vAlign w:val="center"/>
          </w:tcPr>
          <w:p w14:paraId="7B2613B8">
            <w:pPr>
              <w:spacing w:line="360" w:lineRule="auto"/>
              <w:ind w:left="2"/>
              <w:rPr>
                <w:rFonts w:asciiTheme="minorEastAsia" w:hAnsiTheme="minorEastAsia" w:eastAsiaTheme="minorEastAsia" w:cstheme="minorBidi"/>
                <w:sz w:val="24"/>
              </w:rPr>
            </w:pPr>
          </w:p>
        </w:tc>
        <w:tc>
          <w:tcPr>
            <w:tcW w:w="799" w:type="pct"/>
            <w:tcBorders>
              <w:top w:val="single" w:color="000000" w:sz="4" w:space="0"/>
              <w:left w:val="single" w:color="000000" w:sz="4" w:space="0"/>
              <w:bottom w:val="single" w:color="000000" w:sz="4" w:space="0"/>
              <w:right w:val="single" w:color="000000" w:sz="4" w:space="0"/>
            </w:tcBorders>
            <w:vAlign w:val="center"/>
          </w:tcPr>
          <w:p w14:paraId="0E52B639">
            <w:pPr>
              <w:spacing w:line="360" w:lineRule="auto"/>
              <w:ind w:left="2"/>
              <w:rPr>
                <w:rFonts w:asciiTheme="minorEastAsia" w:hAnsiTheme="minorEastAsia" w:eastAsiaTheme="minorEastAsia" w:cstheme="minorBidi"/>
                <w:sz w:val="24"/>
              </w:rPr>
            </w:pPr>
          </w:p>
        </w:tc>
        <w:tc>
          <w:tcPr>
            <w:tcW w:w="831" w:type="pct"/>
            <w:tcBorders>
              <w:top w:val="single" w:color="000000" w:sz="4" w:space="0"/>
              <w:left w:val="single" w:color="000000" w:sz="4" w:space="0"/>
              <w:bottom w:val="single" w:color="000000" w:sz="4" w:space="0"/>
              <w:right w:val="single" w:color="000000" w:sz="4" w:space="0"/>
            </w:tcBorders>
            <w:vAlign w:val="center"/>
          </w:tcPr>
          <w:p w14:paraId="35366C73">
            <w:pPr>
              <w:spacing w:line="360" w:lineRule="auto"/>
              <w:ind w:left="2"/>
              <w:rPr>
                <w:rFonts w:asciiTheme="minorEastAsia" w:hAnsiTheme="minorEastAsia" w:eastAsiaTheme="minorEastAsia" w:cstheme="minorBidi"/>
                <w:sz w:val="24"/>
              </w:rPr>
            </w:pPr>
          </w:p>
        </w:tc>
        <w:tc>
          <w:tcPr>
            <w:tcW w:w="807" w:type="pct"/>
            <w:tcBorders>
              <w:top w:val="single" w:color="000000" w:sz="4" w:space="0"/>
              <w:left w:val="single" w:color="000000" w:sz="4" w:space="0"/>
              <w:bottom w:val="single" w:color="000000" w:sz="4" w:space="0"/>
              <w:right w:val="single" w:color="000000" w:sz="4" w:space="0"/>
            </w:tcBorders>
            <w:vAlign w:val="center"/>
          </w:tcPr>
          <w:p w14:paraId="34308F89">
            <w:pPr>
              <w:spacing w:line="360" w:lineRule="auto"/>
              <w:ind w:left="2"/>
              <w:rPr>
                <w:rFonts w:asciiTheme="minorEastAsia" w:hAnsiTheme="minorEastAsia" w:eastAsiaTheme="minorEastAsia" w:cstheme="minorBidi"/>
                <w:sz w:val="24"/>
              </w:rPr>
            </w:pPr>
          </w:p>
        </w:tc>
        <w:tc>
          <w:tcPr>
            <w:tcW w:w="407" w:type="pct"/>
            <w:tcBorders>
              <w:top w:val="single" w:color="000000" w:sz="4" w:space="0"/>
              <w:left w:val="single" w:color="000000" w:sz="4" w:space="0"/>
              <w:bottom w:val="single" w:color="000000" w:sz="4" w:space="0"/>
              <w:right w:val="single" w:color="000000" w:sz="4" w:space="0"/>
            </w:tcBorders>
            <w:vAlign w:val="center"/>
          </w:tcPr>
          <w:p w14:paraId="6230F421">
            <w:pPr>
              <w:spacing w:line="360" w:lineRule="auto"/>
              <w:ind w:left="2"/>
              <w:rPr>
                <w:rFonts w:asciiTheme="minorEastAsia" w:hAnsiTheme="minorEastAsia" w:eastAsiaTheme="minorEastAsia" w:cstheme="minorBidi"/>
                <w:sz w:val="24"/>
              </w:rPr>
            </w:pPr>
          </w:p>
        </w:tc>
      </w:tr>
    </w:tbl>
    <w:p w14:paraId="367B5B69">
      <w:pPr>
        <w:spacing w:line="360" w:lineRule="auto"/>
        <w:ind w:left="425"/>
        <w:rPr>
          <w:rFonts w:asciiTheme="minorEastAsia" w:hAnsiTheme="minorEastAsia" w:eastAsiaTheme="minorEastAsia"/>
          <w:sz w:val="24"/>
        </w:rPr>
      </w:pPr>
    </w:p>
    <w:p w14:paraId="37583257">
      <w:pPr>
        <w:spacing w:line="360" w:lineRule="auto"/>
        <w:ind w:left="435"/>
        <w:rPr>
          <w:rFonts w:asciiTheme="minorEastAsia" w:hAnsiTheme="minorEastAsia" w:eastAsiaTheme="minorEastAsia"/>
          <w:sz w:val="24"/>
        </w:rPr>
      </w:pPr>
      <w:r>
        <w:rPr>
          <w:rFonts w:asciiTheme="minorEastAsia" w:hAnsiTheme="minorEastAsia" w:eastAsiaTheme="minorEastAsia"/>
          <w:sz w:val="24"/>
        </w:rPr>
        <w:t>投标单位：</w:t>
      </w:r>
      <w:r>
        <w:rPr>
          <w:rFonts w:asciiTheme="minorEastAsia" w:hAnsiTheme="minorEastAsia" w:eastAsiaTheme="minorEastAsia"/>
          <w:sz w:val="24"/>
          <w:u w:val="single" w:color="000000"/>
        </w:rPr>
        <w:t xml:space="preserve">            （公章）</w:t>
      </w:r>
    </w:p>
    <w:p w14:paraId="2836A199">
      <w:pPr>
        <w:spacing w:line="360" w:lineRule="auto"/>
        <w:ind w:left="427"/>
        <w:rPr>
          <w:rFonts w:asciiTheme="minorEastAsia" w:hAnsiTheme="minorEastAsia" w:eastAsiaTheme="minorEastAsia"/>
          <w:sz w:val="24"/>
        </w:rPr>
      </w:pPr>
    </w:p>
    <w:p w14:paraId="30D8452E">
      <w:pPr>
        <w:spacing w:line="360" w:lineRule="auto"/>
        <w:ind w:left="435"/>
        <w:rPr>
          <w:rFonts w:asciiTheme="minorEastAsia" w:hAnsiTheme="minorEastAsia" w:eastAsiaTheme="minorEastAsia"/>
          <w:sz w:val="24"/>
        </w:rPr>
      </w:pPr>
      <w:r>
        <w:rPr>
          <w:rFonts w:asciiTheme="minorEastAsia" w:hAnsiTheme="minorEastAsia" w:eastAsiaTheme="minorEastAsia"/>
          <w:sz w:val="24"/>
        </w:rPr>
        <w:t>法定代表人（或授权代理人）：</w:t>
      </w:r>
      <w:r>
        <w:rPr>
          <w:rFonts w:asciiTheme="minorEastAsia" w:hAnsiTheme="minorEastAsia" w:eastAsiaTheme="minorEastAsia"/>
          <w:sz w:val="24"/>
          <w:u w:val="single" w:color="000000"/>
        </w:rPr>
        <w:t>（签字</w:t>
      </w:r>
      <w:r>
        <w:rPr>
          <w:rFonts w:hint="eastAsia" w:asciiTheme="minorEastAsia" w:hAnsiTheme="minorEastAsia" w:eastAsiaTheme="minorEastAsia"/>
          <w:sz w:val="24"/>
          <w:u w:val="single" w:color="000000"/>
        </w:rPr>
        <w:t>或盖章</w:t>
      </w:r>
      <w:r>
        <w:rPr>
          <w:rFonts w:asciiTheme="minorEastAsia" w:hAnsiTheme="minorEastAsia" w:eastAsiaTheme="minorEastAsia"/>
          <w:sz w:val="24"/>
          <w:u w:val="single" w:color="000000"/>
        </w:rPr>
        <w:t xml:space="preserve">） </w:t>
      </w:r>
    </w:p>
    <w:p w14:paraId="14CA483D">
      <w:pPr>
        <w:spacing w:line="360" w:lineRule="auto"/>
        <w:rPr>
          <w:rFonts w:asciiTheme="minorEastAsia" w:hAnsiTheme="minorEastAsia" w:eastAsiaTheme="minorEastAsia"/>
          <w:sz w:val="24"/>
        </w:rPr>
      </w:pPr>
    </w:p>
    <w:p w14:paraId="5CFA7276">
      <w:pPr>
        <w:spacing w:line="360" w:lineRule="auto"/>
        <w:ind w:left="490"/>
        <w:rPr>
          <w:rFonts w:asciiTheme="minorEastAsia" w:hAnsiTheme="minorEastAsia" w:eastAsiaTheme="minorEastAsia"/>
          <w:sz w:val="24"/>
        </w:rPr>
      </w:pPr>
      <w:r>
        <w:rPr>
          <w:rFonts w:asciiTheme="minorEastAsia" w:hAnsiTheme="minorEastAsia" w:eastAsiaTheme="minorEastAsia"/>
          <w:sz w:val="24"/>
        </w:rPr>
        <w:t>日期：</w:t>
      </w:r>
      <w:r>
        <w:rPr>
          <w:rFonts w:asciiTheme="minorEastAsia" w:hAnsiTheme="minorEastAsia" w:eastAsiaTheme="minorEastAsia"/>
          <w:sz w:val="24"/>
          <w:u w:val="single" w:color="000000"/>
        </w:rPr>
        <w:t xml:space="preserve">  年  月  日</w:t>
      </w:r>
    </w:p>
    <w:p w14:paraId="45458B2C">
      <w:pPr>
        <w:spacing w:line="360" w:lineRule="auto"/>
        <w:rPr>
          <w:rFonts w:asciiTheme="minorEastAsia" w:hAnsiTheme="minorEastAsia" w:eastAsiaTheme="minorEastAsia"/>
          <w:sz w:val="24"/>
        </w:rPr>
      </w:pPr>
    </w:p>
    <w:p w14:paraId="262BC380">
      <w:pPr>
        <w:spacing w:line="360" w:lineRule="auto"/>
        <w:ind w:left="-15" w:firstLine="422"/>
        <w:rPr>
          <w:rFonts w:asciiTheme="minorEastAsia" w:hAnsiTheme="minorEastAsia" w:eastAsiaTheme="minorEastAsia"/>
          <w:sz w:val="24"/>
        </w:rPr>
      </w:pPr>
      <w:r>
        <w:rPr>
          <w:rFonts w:asciiTheme="minorEastAsia" w:hAnsiTheme="minorEastAsia" w:eastAsiaTheme="minorEastAsia"/>
          <w:sz w:val="24"/>
        </w:rPr>
        <w:t>注:</w:t>
      </w:r>
      <w:r>
        <w:rPr>
          <w:rFonts w:hint="eastAsia" w:cs="宋体" w:asciiTheme="minorEastAsia" w:hAnsiTheme="minorEastAsia" w:eastAsiaTheme="minorEastAsia"/>
          <w:sz w:val="24"/>
        </w:rPr>
        <w:t>①</w:t>
      </w:r>
      <w:r>
        <w:rPr>
          <w:rFonts w:asciiTheme="minorEastAsia" w:hAnsiTheme="minorEastAsia" w:eastAsiaTheme="minorEastAsia"/>
          <w:sz w:val="24"/>
        </w:rPr>
        <w:t xml:space="preserve">投标人必须按“分项报价明细表”的格式详细报出投标总价的各个组成部分的报价，否则作无效投标处理。 </w:t>
      </w:r>
    </w:p>
    <w:p w14:paraId="743E4597">
      <w:pPr>
        <w:spacing w:line="360" w:lineRule="auto"/>
        <w:ind w:left="-15" w:firstLine="480"/>
        <w:rPr>
          <w:rFonts w:asciiTheme="minorEastAsia" w:hAnsiTheme="minorEastAsia" w:eastAsiaTheme="minorEastAsia"/>
          <w:sz w:val="24"/>
        </w:rPr>
      </w:pPr>
      <w:r>
        <w:rPr>
          <w:rFonts w:hint="eastAsia" w:cs="宋体" w:asciiTheme="minorEastAsia" w:hAnsiTheme="minorEastAsia" w:eastAsiaTheme="minorEastAsia"/>
          <w:sz w:val="24"/>
        </w:rPr>
        <w:t>②</w:t>
      </w:r>
      <w:r>
        <w:rPr>
          <w:rFonts w:asciiTheme="minorEastAsia" w:hAnsiTheme="minorEastAsia" w:eastAsiaTheme="minorEastAsia"/>
          <w:sz w:val="24"/>
        </w:rPr>
        <w:t>“分项报价明细表”各分项报价合计应当与“开标一览表”报价合计相等。</w:t>
      </w:r>
    </w:p>
    <w:p w14:paraId="60D5D407">
      <w:pPr>
        <w:spacing w:line="360" w:lineRule="exact"/>
        <w:rPr>
          <w:rFonts w:ascii="宋体" w:hAnsi="宋体"/>
          <w:sz w:val="24"/>
        </w:rPr>
      </w:pPr>
    </w:p>
    <w:p w14:paraId="64193E44">
      <w:pPr>
        <w:pStyle w:val="28"/>
      </w:pPr>
    </w:p>
    <w:p w14:paraId="03F91FD4">
      <w:pPr>
        <w:pStyle w:val="28"/>
      </w:pPr>
    </w:p>
    <w:p w14:paraId="69C17FAC">
      <w:pPr>
        <w:pStyle w:val="28"/>
      </w:pPr>
    </w:p>
    <w:p w14:paraId="6A9A75CE">
      <w:pPr>
        <w:pStyle w:val="28"/>
      </w:pPr>
    </w:p>
    <w:p w14:paraId="4FFBE618">
      <w:pPr>
        <w:pStyle w:val="3"/>
      </w:pPr>
      <w:bookmarkStart w:id="63" w:name="_Toc163481198"/>
    </w:p>
    <w:p w14:paraId="4215AA81"/>
    <w:p w14:paraId="02B9800B"/>
    <w:p w14:paraId="0BF87038">
      <w:pPr>
        <w:pStyle w:val="3"/>
      </w:pPr>
      <w:bookmarkStart w:id="64" w:name="_Toc32157"/>
      <w:r>
        <w:rPr>
          <w:rFonts w:hint="eastAsia"/>
        </w:rPr>
        <w:t>3、规格响应表</w:t>
      </w:r>
      <w:bookmarkEnd w:id="63"/>
      <w:bookmarkEnd w:id="64"/>
    </w:p>
    <w:p w14:paraId="6C0F2F8B">
      <w:pPr>
        <w:spacing w:line="360" w:lineRule="exact"/>
        <w:jc w:val="center"/>
        <w:rPr>
          <w:rFonts w:ascii="宋体" w:hAnsi="宋体"/>
          <w:b/>
          <w:sz w:val="32"/>
          <w:szCs w:val="32"/>
        </w:rPr>
      </w:pPr>
    </w:p>
    <w:p w14:paraId="5D5E8CF4">
      <w:pPr>
        <w:spacing w:line="276" w:lineRule="auto"/>
        <w:rPr>
          <w:rFonts w:asciiTheme="minorEastAsia" w:hAnsiTheme="minorEastAsia" w:eastAsiaTheme="minorEastAsia"/>
          <w:sz w:val="24"/>
        </w:rPr>
      </w:pPr>
      <w:r>
        <w:rPr>
          <w:rFonts w:hint="eastAsia" w:asciiTheme="minorEastAsia" w:hAnsiTheme="minorEastAsia" w:eastAsiaTheme="minorEastAsia"/>
          <w:sz w:val="24"/>
        </w:rPr>
        <w:t>说明：投标人必须仔细阅读招标文件中所有技术规范条款和相关功能要求，并对所有技术规范和功能偏离的条目列入下表，未列入下表的视作投标人不响应。投标人必须根据所投产品的实际情况如实填写，</w:t>
      </w:r>
      <w:r>
        <w:rPr>
          <w:rFonts w:hint="eastAsia" w:asciiTheme="minorEastAsia" w:hAnsiTheme="minorEastAsia" w:eastAsiaTheme="minorEastAsia"/>
          <w:sz w:val="24"/>
          <w:u w:val="single"/>
        </w:rPr>
        <w:t>评委会如发现有虚假描述，</w:t>
      </w:r>
      <w:r>
        <w:rPr>
          <w:rFonts w:cs="宋体" w:asciiTheme="minorEastAsia" w:hAnsiTheme="minorEastAsia" w:eastAsiaTheme="minorEastAsia"/>
          <w:kern w:val="0"/>
          <w:sz w:val="24"/>
          <w:u w:val="single"/>
        </w:rPr>
        <w:t>提供虚假材料谋取中标、成交的</w:t>
      </w:r>
      <w:r>
        <w:rPr>
          <w:rFonts w:hint="eastAsia" w:cs="宋体" w:asciiTheme="minorEastAsia" w:hAnsiTheme="minorEastAsia" w:eastAsiaTheme="minorEastAsia"/>
          <w:kern w:val="0"/>
          <w:sz w:val="24"/>
          <w:u w:val="single"/>
        </w:rPr>
        <w:t>，属违反政府采购法相关规定，</w:t>
      </w:r>
      <w:r>
        <w:rPr>
          <w:rFonts w:hint="eastAsia" w:asciiTheme="minorEastAsia" w:hAnsiTheme="minorEastAsia" w:eastAsiaTheme="minorEastAsia"/>
          <w:sz w:val="24"/>
          <w:u w:val="single"/>
        </w:rPr>
        <w:t>该投标文件作废标处理。</w:t>
      </w:r>
      <w:r>
        <w:rPr>
          <w:rFonts w:asciiTheme="minorEastAsia" w:hAnsiTheme="minorEastAsia" w:eastAsiaTheme="minorEastAsia"/>
          <w:sz w:val="24"/>
        </w:rPr>
        <w:tab/>
      </w:r>
    </w:p>
    <w:p w14:paraId="15910610">
      <w:pPr>
        <w:spacing w:line="276" w:lineRule="auto"/>
        <w:rPr>
          <w:rFonts w:asciiTheme="minorEastAsia" w:hAnsiTheme="minorEastAsia" w:eastAsiaTheme="minorEastAsia"/>
          <w:sz w:val="24"/>
        </w:rPr>
      </w:pPr>
    </w:p>
    <w:p w14:paraId="785885CC">
      <w:pPr>
        <w:spacing w:line="276" w:lineRule="auto"/>
        <w:rPr>
          <w:rFonts w:asciiTheme="minorEastAsia" w:hAnsiTheme="minorEastAsia" w:eastAsiaTheme="minorEastAsia"/>
          <w:sz w:val="24"/>
        </w:rPr>
      </w:pPr>
      <w:r>
        <w:rPr>
          <w:rFonts w:hint="eastAsia" w:asciiTheme="minorEastAsia" w:hAnsiTheme="minorEastAsia" w:eastAsiaTheme="minorEastAsia"/>
          <w:sz w:val="24"/>
        </w:rPr>
        <w:t>投标人名称</w:t>
      </w:r>
      <w:r>
        <w:rPr>
          <w:rFonts w:asciiTheme="minorEastAsia" w:hAnsiTheme="minorEastAsia" w:eastAsiaTheme="minorEastAsia"/>
          <w:sz w:val="24"/>
        </w:rPr>
        <w:t>:</w:t>
      </w:r>
      <w:r>
        <w:rPr>
          <w:rFonts w:hint="eastAsia" w:asciiTheme="minorEastAsia" w:hAnsiTheme="minorEastAsia" w:eastAsiaTheme="minorEastAsia"/>
          <w:sz w:val="24"/>
        </w:rPr>
        <w:t>（盖章）</w:t>
      </w:r>
    </w:p>
    <w:tbl>
      <w:tblPr>
        <w:tblStyle w:val="33"/>
        <w:tblW w:w="5000" w:type="pct"/>
        <w:tblInd w:w="0" w:type="dxa"/>
        <w:tblLayout w:type="autofit"/>
        <w:tblCellMar>
          <w:top w:w="0" w:type="dxa"/>
          <w:left w:w="54" w:type="dxa"/>
          <w:bottom w:w="0" w:type="dxa"/>
          <w:right w:w="54" w:type="dxa"/>
        </w:tblCellMar>
      </w:tblPr>
      <w:tblGrid>
        <w:gridCol w:w="1049"/>
        <w:gridCol w:w="2125"/>
        <w:gridCol w:w="2835"/>
        <w:gridCol w:w="3096"/>
      </w:tblGrid>
      <w:tr w14:paraId="24C5C540">
        <w:tblPrEx>
          <w:tblCellMar>
            <w:top w:w="0" w:type="dxa"/>
            <w:left w:w="54" w:type="dxa"/>
            <w:bottom w:w="0" w:type="dxa"/>
            <w:right w:w="54" w:type="dxa"/>
          </w:tblCellMar>
        </w:tblPrEx>
        <w:trPr>
          <w:trHeight w:val="160" w:hRule="atLeast"/>
        </w:trPr>
        <w:tc>
          <w:tcPr>
            <w:tcW w:w="576" w:type="pct"/>
            <w:tcBorders>
              <w:top w:val="single" w:color="auto" w:sz="6" w:space="0"/>
              <w:left w:val="single" w:color="auto" w:sz="6" w:space="0"/>
              <w:bottom w:val="single" w:color="auto" w:sz="6" w:space="0"/>
              <w:right w:val="single" w:color="auto" w:sz="4" w:space="0"/>
            </w:tcBorders>
            <w:vAlign w:val="center"/>
          </w:tcPr>
          <w:p w14:paraId="479DC1EE">
            <w:pPr>
              <w:spacing w:line="276" w:lineRule="auto"/>
              <w:rPr>
                <w:rFonts w:asciiTheme="minorEastAsia" w:hAnsiTheme="minorEastAsia" w:eastAsiaTheme="minorEastAsia"/>
                <w:sz w:val="24"/>
              </w:rPr>
            </w:pPr>
            <w:r>
              <w:rPr>
                <w:rFonts w:asciiTheme="minorEastAsia" w:hAnsiTheme="minorEastAsia" w:eastAsiaTheme="minorEastAsia"/>
                <w:sz w:val="24"/>
              </w:rPr>
              <w:tab/>
            </w:r>
            <w:r>
              <w:rPr>
                <w:rFonts w:hint="eastAsia" w:asciiTheme="minorEastAsia" w:hAnsiTheme="minorEastAsia" w:eastAsiaTheme="minorEastAsia"/>
                <w:sz w:val="24"/>
              </w:rPr>
              <w:t>序号</w:t>
            </w:r>
          </w:p>
        </w:tc>
        <w:tc>
          <w:tcPr>
            <w:tcW w:w="1167" w:type="pct"/>
            <w:tcBorders>
              <w:top w:val="single" w:color="auto" w:sz="6" w:space="0"/>
              <w:left w:val="single" w:color="auto" w:sz="4" w:space="0"/>
              <w:bottom w:val="single" w:color="auto" w:sz="6" w:space="0"/>
              <w:right w:val="single" w:color="auto" w:sz="6" w:space="0"/>
            </w:tcBorders>
            <w:vAlign w:val="center"/>
          </w:tcPr>
          <w:p w14:paraId="1BBD90D3">
            <w:pPr>
              <w:spacing w:line="276" w:lineRule="auto"/>
              <w:rPr>
                <w:rFonts w:asciiTheme="minorEastAsia" w:hAnsiTheme="minorEastAsia" w:eastAsiaTheme="minorEastAsia"/>
                <w:sz w:val="24"/>
              </w:rPr>
            </w:pPr>
            <w:r>
              <w:rPr>
                <w:rFonts w:hint="eastAsia" w:asciiTheme="minorEastAsia" w:hAnsiTheme="minorEastAsia" w:eastAsiaTheme="minorEastAsia"/>
                <w:sz w:val="24"/>
              </w:rPr>
              <w:t>招标规格</w:t>
            </w:r>
          </w:p>
        </w:tc>
        <w:tc>
          <w:tcPr>
            <w:tcW w:w="1557" w:type="pct"/>
            <w:tcBorders>
              <w:top w:val="single" w:color="auto" w:sz="6" w:space="0"/>
              <w:left w:val="single" w:color="auto" w:sz="6" w:space="0"/>
              <w:bottom w:val="single" w:color="auto" w:sz="6" w:space="0"/>
              <w:right w:val="single" w:color="auto" w:sz="6" w:space="0"/>
            </w:tcBorders>
            <w:vAlign w:val="center"/>
          </w:tcPr>
          <w:p w14:paraId="6F7E5010">
            <w:pPr>
              <w:spacing w:line="276" w:lineRule="auto"/>
              <w:rPr>
                <w:rFonts w:asciiTheme="minorEastAsia" w:hAnsiTheme="minorEastAsia" w:eastAsiaTheme="minorEastAsia"/>
                <w:sz w:val="24"/>
              </w:rPr>
            </w:pPr>
            <w:r>
              <w:rPr>
                <w:rFonts w:hint="eastAsia" w:asciiTheme="minorEastAsia" w:hAnsiTheme="minorEastAsia" w:eastAsiaTheme="minorEastAsia"/>
                <w:sz w:val="24"/>
              </w:rPr>
              <w:t>投标规格</w:t>
            </w:r>
          </w:p>
        </w:tc>
        <w:tc>
          <w:tcPr>
            <w:tcW w:w="1701" w:type="pct"/>
            <w:tcBorders>
              <w:top w:val="single" w:color="auto" w:sz="6" w:space="0"/>
              <w:left w:val="single" w:color="auto" w:sz="4" w:space="0"/>
              <w:bottom w:val="single" w:color="auto" w:sz="6" w:space="0"/>
              <w:right w:val="single" w:color="auto" w:sz="6" w:space="0"/>
            </w:tcBorders>
            <w:vAlign w:val="center"/>
          </w:tcPr>
          <w:p w14:paraId="243831C4">
            <w:pPr>
              <w:spacing w:line="276" w:lineRule="auto"/>
              <w:rPr>
                <w:rFonts w:asciiTheme="minorEastAsia" w:hAnsiTheme="minorEastAsia" w:eastAsiaTheme="minorEastAsia"/>
                <w:sz w:val="24"/>
              </w:rPr>
            </w:pPr>
            <w:r>
              <w:rPr>
                <w:rFonts w:asciiTheme="minorEastAsia" w:hAnsiTheme="minorEastAsia" w:eastAsiaTheme="minorEastAsia"/>
                <w:sz w:val="24"/>
              </w:rPr>
              <w:t>偏离情况</w:t>
            </w:r>
          </w:p>
          <w:p w14:paraId="1DBF1BBE">
            <w:pPr>
              <w:spacing w:line="276" w:lineRule="auto"/>
              <w:rPr>
                <w:rFonts w:asciiTheme="minorEastAsia" w:hAnsiTheme="minorEastAsia" w:eastAsiaTheme="minorEastAsia"/>
                <w:sz w:val="24"/>
              </w:rPr>
            </w:pPr>
            <w:r>
              <w:rPr>
                <w:rFonts w:asciiTheme="minorEastAsia" w:hAnsiTheme="minorEastAsia" w:eastAsiaTheme="minorEastAsia"/>
                <w:sz w:val="24"/>
              </w:rPr>
              <w:t>（无偏离，正/负偏离）</w:t>
            </w:r>
          </w:p>
          <w:p w14:paraId="6AB2B18E">
            <w:pPr>
              <w:spacing w:line="276" w:lineRule="auto"/>
              <w:rPr>
                <w:rFonts w:asciiTheme="minorEastAsia" w:hAnsiTheme="minorEastAsia" w:eastAsiaTheme="minorEastAsia"/>
                <w:sz w:val="24"/>
              </w:rPr>
            </w:pPr>
            <w:r>
              <w:rPr>
                <w:rFonts w:hint="eastAsia" w:asciiTheme="minorEastAsia" w:hAnsiTheme="minorEastAsia" w:eastAsiaTheme="minorEastAsia"/>
                <w:sz w:val="24"/>
              </w:rPr>
              <w:t>证明材料页码</w:t>
            </w:r>
          </w:p>
        </w:tc>
      </w:tr>
      <w:tr w14:paraId="6CEB51BD">
        <w:tblPrEx>
          <w:tblCellMar>
            <w:top w:w="0" w:type="dxa"/>
            <w:left w:w="54" w:type="dxa"/>
            <w:bottom w:w="0" w:type="dxa"/>
            <w:right w:w="54" w:type="dxa"/>
          </w:tblCellMar>
        </w:tblPrEx>
        <w:trPr>
          <w:cantSplit/>
          <w:trHeight w:val="160" w:hRule="atLeast"/>
        </w:trPr>
        <w:tc>
          <w:tcPr>
            <w:tcW w:w="576" w:type="pct"/>
            <w:tcBorders>
              <w:top w:val="single" w:color="auto" w:sz="6" w:space="0"/>
              <w:left w:val="single" w:color="auto" w:sz="6" w:space="0"/>
              <w:bottom w:val="single" w:color="auto" w:sz="4" w:space="0"/>
              <w:right w:val="single" w:color="auto" w:sz="4" w:space="0"/>
            </w:tcBorders>
          </w:tcPr>
          <w:p w14:paraId="55C8E747">
            <w:pPr>
              <w:spacing w:line="276" w:lineRule="auto"/>
              <w:rPr>
                <w:rFonts w:asciiTheme="minorEastAsia" w:hAnsiTheme="minorEastAsia" w:eastAsiaTheme="minorEastAsia"/>
                <w:sz w:val="24"/>
              </w:rPr>
            </w:pPr>
          </w:p>
        </w:tc>
        <w:tc>
          <w:tcPr>
            <w:tcW w:w="1167" w:type="pct"/>
            <w:tcBorders>
              <w:top w:val="single" w:color="auto" w:sz="6" w:space="0"/>
              <w:left w:val="single" w:color="auto" w:sz="4" w:space="0"/>
              <w:bottom w:val="single" w:color="auto" w:sz="4" w:space="0"/>
              <w:right w:val="single" w:color="auto" w:sz="6" w:space="0"/>
            </w:tcBorders>
          </w:tcPr>
          <w:p w14:paraId="51B55FEB">
            <w:pPr>
              <w:spacing w:line="276" w:lineRule="auto"/>
              <w:rPr>
                <w:rFonts w:asciiTheme="minorEastAsia" w:hAnsiTheme="minorEastAsia" w:eastAsiaTheme="minorEastAsia"/>
                <w:sz w:val="24"/>
              </w:rPr>
            </w:pPr>
          </w:p>
        </w:tc>
        <w:tc>
          <w:tcPr>
            <w:tcW w:w="1557" w:type="pct"/>
            <w:tcBorders>
              <w:top w:val="single" w:color="auto" w:sz="6" w:space="0"/>
              <w:left w:val="single" w:color="auto" w:sz="6" w:space="0"/>
              <w:bottom w:val="single" w:color="auto" w:sz="4" w:space="0"/>
              <w:right w:val="single" w:color="auto" w:sz="6" w:space="0"/>
            </w:tcBorders>
          </w:tcPr>
          <w:p w14:paraId="68060F55">
            <w:pPr>
              <w:spacing w:line="276" w:lineRule="auto"/>
              <w:rPr>
                <w:rFonts w:asciiTheme="minorEastAsia" w:hAnsiTheme="minorEastAsia" w:eastAsiaTheme="minorEastAsia"/>
                <w:sz w:val="24"/>
              </w:rPr>
            </w:pPr>
          </w:p>
        </w:tc>
        <w:tc>
          <w:tcPr>
            <w:tcW w:w="1701" w:type="pct"/>
            <w:tcBorders>
              <w:top w:val="single" w:color="auto" w:sz="6" w:space="0"/>
              <w:left w:val="single" w:color="auto" w:sz="4" w:space="0"/>
              <w:bottom w:val="single" w:color="auto" w:sz="4" w:space="0"/>
              <w:right w:val="single" w:color="auto" w:sz="6" w:space="0"/>
            </w:tcBorders>
          </w:tcPr>
          <w:p w14:paraId="47342CA5">
            <w:pPr>
              <w:spacing w:line="276" w:lineRule="auto"/>
              <w:rPr>
                <w:rFonts w:asciiTheme="minorEastAsia" w:hAnsiTheme="minorEastAsia" w:eastAsiaTheme="minorEastAsia"/>
                <w:sz w:val="24"/>
              </w:rPr>
            </w:pPr>
          </w:p>
        </w:tc>
      </w:tr>
      <w:tr w14:paraId="73663815">
        <w:tblPrEx>
          <w:tblCellMar>
            <w:top w:w="0" w:type="dxa"/>
            <w:left w:w="54" w:type="dxa"/>
            <w:bottom w:w="0" w:type="dxa"/>
            <w:right w:w="54" w:type="dxa"/>
          </w:tblCellMar>
        </w:tblPrEx>
        <w:trPr>
          <w:cantSplit/>
          <w:trHeight w:val="160" w:hRule="atLeast"/>
        </w:trPr>
        <w:tc>
          <w:tcPr>
            <w:tcW w:w="576" w:type="pct"/>
            <w:tcBorders>
              <w:top w:val="single" w:color="auto" w:sz="4" w:space="0"/>
              <w:left w:val="single" w:color="auto" w:sz="6" w:space="0"/>
              <w:bottom w:val="single" w:color="auto" w:sz="4" w:space="0"/>
              <w:right w:val="single" w:color="auto" w:sz="4" w:space="0"/>
            </w:tcBorders>
          </w:tcPr>
          <w:p w14:paraId="7BE5C2DE">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4" w:space="0"/>
              <w:right w:val="single" w:color="auto" w:sz="6" w:space="0"/>
            </w:tcBorders>
          </w:tcPr>
          <w:p w14:paraId="6065D65F">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4" w:space="0"/>
              <w:right w:val="single" w:color="auto" w:sz="6" w:space="0"/>
            </w:tcBorders>
          </w:tcPr>
          <w:p w14:paraId="5E943FEF">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4" w:space="0"/>
              <w:right w:val="single" w:color="auto" w:sz="6" w:space="0"/>
            </w:tcBorders>
          </w:tcPr>
          <w:p w14:paraId="43461BE7">
            <w:pPr>
              <w:spacing w:line="276" w:lineRule="auto"/>
              <w:rPr>
                <w:rFonts w:asciiTheme="minorEastAsia" w:hAnsiTheme="minorEastAsia" w:eastAsiaTheme="minorEastAsia"/>
                <w:sz w:val="24"/>
              </w:rPr>
            </w:pPr>
          </w:p>
        </w:tc>
      </w:tr>
      <w:tr w14:paraId="146D29CC">
        <w:tblPrEx>
          <w:tblCellMar>
            <w:top w:w="0" w:type="dxa"/>
            <w:left w:w="54" w:type="dxa"/>
            <w:bottom w:w="0" w:type="dxa"/>
            <w:right w:w="54" w:type="dxa"/>
          </w:tblCellMar>
        </w:tblPrEx>
        <w:trPr>
          <w:cantSplit/>
          <w:trHeight w:val="160" w:hRule="atLeast"/>
        </w:trPr>
        <w:tc>
          <w:tcPr>
            <w:tcW w:w="576" w:type="pct"/>
            <w:tcBorders>
              <w:top w:val="single" w:color="auto" w:sz="4" w:space="0"/>
              <w:left w:val="single" w:color="auto" w:sz="6" w:space="0"/>
              <w:bottom w:val="single" w:color="auto" w:sz="6" w:space="0"/>
              <w:right w:val="single" w:color="auto" w:sz="4" w:space="0"/>
            </w:tcBorders>
          </w:tcPr>
          <w:p w14:paraId="6FACD125">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6" w:space="0"/>
              <w:right w:val="single" w:color="auto" w:sz="6" w:space="0"/>
            </w:tcBorders>
          </w:tcPr>
          <w:p w14:paraId="01DBA314">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6" w:space="0"/>
              <w:right w:val="single" w:color="auto" w:sz="6" w:space="0"/>
            </w:tcBorders>
          </w:tcPr>
          <w:p w14:paraId="04704B18">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6" w:space="0"/>
              <w:right w:val="single" w:color="auto" w:sz="6" w:space="0"/>
            </w:tcBorders>
          </w:tcPr>
          <w:p w14:paraId="7B220A0F">
            <w:pPr>
              <w:spacing w:line="276" w:lineRule="auto"/>
              <w:rPr>
                <w:rFonts w:asciiTheme="minorEastAsia" w:hAnsiTheme="minorEastAsia" w:eastAsiaTheme="minorEastAsia"/>
                <w:sz w:val="24"/>
              </w:rPr>
            </w:pPr>
          </w:p>
        </w:tc>
      </w:tr>
      <w:tr w14:paraId="4A0193D4">
        <w:tblPrEx>
          <w:tblCellMar>
            <w:top w:w="0" w:type="dxa"/>
            <w:left w:w="54" w:type="dxa"/>
            <w:bottom w:w="0" w:type="dxa"/>
            <w:right w:w="54" w:type="dxa"/>
          </w:tblCellMar>
        </w:tblPrEx>
        <w:trPr>
          <w:trHeight w:val="160" w:hRule="atLeast"/>
        </w:trPr>
        <w:tc>
          <w:tcPr>
            <w:tcW w:w="576" w:type="pct"/>
            <w:tcBorders>
              <w:top w:val="single" w:color="auto" w:sz="6" w:space="0"/>
              <w:left w:val="single" w:color="auto" w:sz="6" w:space="0"/>
              <w:bottom w:val="single" w:color="auto" w:sz="4" w:space="0"/>
              <w:right w:val="single" w:color="auto" w:sz="4" w:space="0"/>
            </w:tcBorders>
          </w:tcPr>
          <w:p w14:paraId="4FFA9BC0">
            <w:pPr>
              <w:spacing w:line="276" w:lineRule="auto"/>
              <w:rPr>
                <w:rFonts w:asciiTheme="minorEastAsia" w:hAnsiTheme="minorEastAsia" w:eastAsiaTheme="minorEastAsia"/>
                <w:sz w:val="24"/>
              </w:rPr>
            </w:pPr>
          </w:p>
        </w:tc>
        <w:tc>
          <w:tcPr>
            <w:tcW w:w="1167" w:type="pct"/>
            <w:tcBorders>
              <w:top w:val="single" w:color="auto" w:sz="6" w:space="0"/>
              <w:left w:val="single" w:color="auto" w:sz="4" w:space="0"/>
              <w:bottom w:val="single" w:color="auto" w:sz="4" w:space="0"/>
              <w:right w:val="single" w:color="auto" w:sz="6" w:space="0"/>
            </w:tcBorders>
          </w:tcPr>
          <w:p w14:paraId="0BBE1578">
            <w:pPr>
              <w:spacing w:line="276" w:lineRule="auto"/>
              <w:rPr>
                <w:rFonts w:asciiTheme="minorEastAsia" w:hAnsiTheme="minorEastAsia" w:eastAsiaTheme="minorEastAsia"/>
                <w:sz w:val="24"/>
              </w:rPr>
            </w:pPr>
          </w:p>
        </w:tc>
        <w:tc>
          <w:tcPr>
            <w:tcW w:w="1557" w:type="pct"/>
            <w:tcBorders>
              <w:top w:val="single" w:color="auto" w:sz="6" w:space="0"/>
              <w:left w:val="single" w:color="auto" w:sz="6" w:space="0"/>
              <w:bottom w:val="single" w:color="auto" w:sz="4" w:space="0"/>
              <w:right w:val="single" w:color="auto" w:sz="6" w:space="0"/>
            </w:tcBorders>
          </w:tcPr>
          <w:p w14:paraId="5A743782">
            <w:pPr>
              <w:spacing w:line="276" w:lineRule="auto"/>
              <w:rPr>
                <w:rFonts w:asciiTheme="minorEastAsia" w:hAnsiTheme="minorEastAsia" w:eastAsiaTheme="minorEastAsia"/>
                <w:sz w:val="24"/>
              </w:rPr>
            </w:pPr>
          </w:p>
        </w:tc>
        <w:tc>
          <w:tcPr>
            <w:tcW w:w="1701" w:type="pct"/>
            <w:tcBorders>
              <w:top w:val="single" w:color="auto" w:sz="6" w:space="0"/>
              <w:left w:val="single" w:color="auto" w:sz="4" w:space="0"/>
              <w:bottom w:val="single" w:color="auto" w:sz="4" w:space="0"/>
              <w:right w:val="single" w:color="auto" w:sz="6" w:space="0"/>
            </w:tcBorders>
          </w:tcPr>
          <w:p w14:paraId="1B8D8B4A">
            <w:pPr>
              <w:spacing w:line="276" w:lineRule="auto"/>
              <w:rPr>
                <w:rFonts w:asciiTheme="minorEastAsia" w:hAnsiTheme="minorEastAsia" w:eastAsiaTheme="minorEastAsia"/>
                <w:sz w:val="24"/>
              </w:rPr>
            </w:pPr>
          </w:p>
        </w:tc>
      </w:tr>
      <w:tr w14:paraId="45DB0F70">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4" w:space="0"/>
              <w:right w:val="single" w:color="auto" w:sz="4" w:space="0"/>
            </w:tcBorders>
          </w:tcPr>
          <w:p w14:paraId="150508EA">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4" w:space="0"/>
              <w:right w:val="single" w:color="auto" w:sz="6" w:space="0"/>
            </w:tcBorders>
          </w:tcPr>
          <w:p w14:paraId="584B5C2C">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4" w:space="0"/>
              <w:right w:val="single" w:color="auto" w:sz="6" w:space="0"/>
            </w:tcBorders>
          </w:tcPr>
          <w:p w14:paraId="23011DC4">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4" w:space="0"/>
              <w:right w:val="single" w:color="auto" w:sz="6" w:space="0"/>
            </w:tcBorders>
          </w:tcPr>
          <w:p w14:paraId="29D39FD3">
            <w:pPr>
              <w:spacing w:line="276" w:lineRule="auto"/>
              <w:rPr>
                <w:rFonts w:asciiTheme="minorEastAsia" w:hAnsiTheme="minorEastAsia" w:eastAsiaTheme="minorEastAsia"/>
                <w:sz w:val="24"/>
              </w:rPr>
            </w:pPr>
          </w:p>
        </w:tc>
      </w:tr>
      <w:tr w14:paraId="4CE9DA86">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6" w:space="0"/>
              <w:right w:val="single" w:color="auto" w:sz="4" w:space="0"/>
            </w:tcBorders>
          </w:tcPr>
          <w:p w14:paraId="12EB3D45">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6" w:space="0"/>
              <w:right w:val="single" w:color="auto" w:sz="6" w:space="0"/>
            </w:tcBorders>
          </w:tcPr>
          <w:p w14:paraId="3DB9F978">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6" w:space="0"/>
              <w:right w:val="single" w:color="auto" w:sz="6" w:space="0"/>
            </w:tcBorders>
          </w:tcPr>
          <w:p w14:paraId="72118C3A">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6" w:space="0"/>
              <w:right w:val="single" w:color="auto" w:sz="6" w:space="0"/>
            </w:tcBorders>
          </w:tcPr>
          <w:p w14:paraId="20B6041F">
            <w:pPr>
              <w:spacing w:line="276" w:lineRule="auto"/>
              <w:rPr>
                <w:rFonts w:asciiTheme="minorEastAsia" w:hAnsiTheme="minorEastAsia" w:eastAsiaTheme="minorEastAsia"/>
                <w:sz w:val="24"/>
              </w:rPr>
            </w:pPr>
          </w:p>
        </w:tc>
      </w:tr>
      <w:tr w14:paraId="5E585ADE">
        <w:tblPrEx>
          <w:tblCellMar>
            <w:top w:w="0" w:type="dxa"/>
            <w:left w:w="54" w:type="dxa"/>
            <w:bottom w:w="0" w:type="dxa"/>
            <w:right w:w="54" w:type="dxa"/>
          </w:tblCellMar>
        </w:tblPrEx>
        <w:trPr>
          <w:trHeight w:val="160" w:hRule="atLeast"/>
        </w:trPr>
        <w:tc>
          <w:tcPr>
            <w:tcW w:w="576" w:type="pct"/>
            <w:tcBorders>
              <w:top w:val="single" w:color="auto" w:sz="6" w:space="0"/>
              <w:left w:val="single" w:color="auto" w:sz="6" w:space="0"/>
              <w:bottom w:val="single" w:color="auto" w:sz="4" w:space="0"/>
              <w:right w:val="single" w:color="auto" w:sz="4" w:space="0"/>
            </w:tcBorders>
          </w:tcPr>
          <w:p w14:paraId="5ECD1C69">
            <w:pPr>
              <w:spacing w:line="276" w:lineRule="auto"/>
              <w:rPr>
                <w:rFonts w:asciiTheme="minorEastAsia" w:hAnsiTheme="minorEastAsia" w:eastAsiaTheme="minorEastAsia"/>
                <w:sz w:val="24"/>
              </w:rPr>
            </w:pPr>
          </w:p>
        </w:tc>
        <w:tc>
          <w:tcPr>
            <w:tcW w:w="1167" w:type="pct"/>
            <w:tcBorders>
              <w:top w:val="single" w:color="auto" w:sz="6" w:space="0"/>
              <w:left w:val="single" w:color="auto" w:sz="4" w:space="0"/>
              <w:bottom w:val="single" w:color="auto" w:sz="4" w:space="0"/>
              <w:right w:val="single" w:color="auto" w:sz="6" w:space="0"/>
            </w:tcBorders>
          </w:tcPr>
          <w:p w14:paraId="5A1AB746">
            <w:pPr>
              <w:spacing w:line="276" w:lineRule="auto"/>
              <w:rPr>
                <w:rFonts w:asciiTheme="minorEastAsia" w:hAnsiTheme="minorEastAsia" w:eastAsiaTheme="minorEastAsia"/>
                <w:sz w:val="24"/>
              </w:rPr>
            </w:pPr>
          </w:p>
        </w:tc>
        <w:tc>
          <w:tcPr>
            <w:tcW w:w="1557" w:type="pct"/>
            <w:tcBorders>
              <w:top w:val="single" w:color="auto" w:sz="6" w:space="0"/>
              <w:left w:val="single" w:color="auto" w:sz="6" w:space="0"/>
              <w:bottom w:val="single" w:color="auto" w:sz="4" w:space="0"/>
              <w:right w:val="single" w:color="auto" w:sz="6" w:space="0"/>
            </w:tcBorders>
          </w:tcPr>
          <w:p w14:paraId="5F307925">
            <w:pPr>
              <w:spacing w:line="276" w:lineRule="auto"/>
              <w:rPr>
                <w:rFonts w:asciiTheme="minorEastAsia" w:hAnsiTheme="minorEastAsia" w:eastAsiaTheme="minorEastAsia"/>
                <w:sz w:val="24"/>
              </w:rPr>
            </w:pPr>
          </w:p>
        </w:tc>
        <w:tc>
          <w:tcPr>
            <w:tcW w:w="1701" w:type="pct"/>
            <w:tcBorders>
              <w:top w:val="single" w:color="auto" w:sz="6" w:space="0"/>
              <w:left w:val="single" w:color="auto" w:sz="4" w:space="0"/>
              <w:bottom w:val="single" w:color="auto" w:sz="4" w:space="0"/>
              <w:right w:val="single" w:color="auto" w:sz="6" w:space="0"/>
            </w:tcBorders>
          </w:tcPr>
          <w:p w14:paraId="7D7361D1">
            <w:pPr>
              <w:spacing w:line="276" w:lineRule="auto"/>
              <w:rPr>
                <w:rFonts w:asciiTheme="minorEastAsia" w:hAnsiTheme="minorEastAsia" w:eastAsiaTheme="minorEastAsia"/>
                <w:sz w:val="24"/>
              </w:rPr>
            </w:pPr>
          </w:p>
        </w:tc>
      </w:tr>
      <w:tr w14:paraId="275A78EF">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4" w:space="0"/>
              <w:right w:val="single" w:color="auto" w:sz="4" w:space="0"/>
            </w:tcBorders>
          </w:tcPr>
          <w:p w14:paraId="7D440E74">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4" w:space="0"/>
              <w:right w:val="single" w:color="auto" w:sz="6" w:space="0"/>
            </w:tcBorders>
          </w:tcPr>
          <w:p w14:paraId="1FEDD788">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4" w:space="0"/>
              <w:right w:val="single" w:color="auto" w:sz="6" w:space="0"/>
            </w:tcBorders>
          </w:tcPr>
          <w:p w14:paraId="3B4391C2">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4" w:space="0"/>
              <w:right w:val="single" w:color="auto" w:sz="6" w:space="0"/>
            </w:tcBorders>
          </w:tcPr>
          <w:p w14:paraId="301360AC">
            <w:pPr>
              <w:spacing w:line="276" w:lineRule="auto"/>
              <w:rPr>
                <w:rFonts w:asciiTheme="minorEastAsia" w:hAnsiTheme="minorEastAsia" w:eastAsiaTheme="minorEastAsia"/>
                <w:sz w:val="24"/>
              </w:rPr>
            </w:pPr>
          </w:p>
        </w:tc>
      </w:tr>
      <w:tr w14:paraId="6DAD9E0B">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6" w:space="0"/>
              <w:right w:val="single" w:color="auto" w:sz="4" w:space="0"/>
            </w:tcBorders>
          </w:tcPr>
          <w:p w14:paraId="7B4D4B64">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6" w:space="0"/>
              <w:right w:val="single" w:color="auto" w:sz="6" w:space="0"/>
            </w:tcBorders>
          </w:tcPr>
          <w:p w14:paraId="35636F29">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6" w:space="0"/>
              <w:right w:val="single" w:color="auto" w:sz="6" w:space="0"/>
            </w:tcBorders>
          </w:tcPr>
          <w:p w14:paraId="731A14EE">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6" w:space="0"/>
              <w:right w:val="single" w:color="auto" w:sz="6" w:space="0"/>
            </w:tcBorders>
          </w:tcPr>
          <w:p w14:paraId="684B2B45">
            <w:pPr>
              <w:spacing w:line="276" w:lineRule="auto"/>
              <w:rPr>
                <w:rFonts w:asciiTheme="minorEastAsia" w:hAnsiTheme="minorEastAsia" w:eastAsiaTheme="minorEastAsia"/>
                <w:sz w:val="24"/>
              </w:rPr>
            </w:pPr>
          </w:p>
        </w:tc>
      </w:tr>
    </w:tbl>
    <w:p w14:paraId="2F6C334E">
      <w:pPr>
        <w:spacing w:line="276" w:lineRule="auto"/>
        <w:rPr>
          <w:rFonts w:asciiTheme="minorEastAsia" w:hAnsiTheme="minorEastAsia" w:eastAsiaTheme="minorEastAsia"/>
          <w:b/>
          <w:sz w:val="24"/>
        </w:rPr>
      </w:pPr>
    </w:p>
    <w:p w14:paraId="281CB915">
      <w:pPr>
        <w:spacing w:line="276" w:lineRule="auto"/>
        <w:rPr>
          <w:rFonts w:asciiTheme="minorEastAsia" w:hAnsiTheme="minorEastAsia" w:eastAsiaTheme="minorEastAsia"/>
          <w:b/>
          <w:sz w:val="24"/>
        </w:rPr>
      </w:pPr>
      <w:r>
        <w:rPr>
          <w:rFonts w:hint="eastAsia" w:asciiTheme="minorEastAsia" w:hAnsiTheme="minorEastAsia" w:eastAsiaTheme="minorEastAsia"/>
          <w:b/>
          <w:sz w:val="24"/>
        </w:rPr>
        <w:t>注：1、招标规格填写招标文件要求。</w:t>
      </w:r>
    </w:p>
    <w:p w14:paraId="5CAC5556">
      <w:pPr>
        <w:spacing w:line="276" w:lineRule="auto"/>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bCs/>
          <w:sz w:val="24"/>
        </w:rPr>
        <w:t>投标规格填写所投产品参数，所投参数须明确，不接受选择性的参数</w:t>
      </w:r>
      <w:r>
        <w:rPr>
          <w:rFonts w:hint="eastAsia" w:asciiTheme="minorEastAsia" w:hAnsiTheme="minorEastAsia" w:eastAsiaTheme="minorEastAsia"/>
          <w:b/>
          <w:sz w:val="24"/>
        </w:rPr>
        <w:t>。</w:t>
      </w:r>
    </w:p>
    <w:p w14:paraId="3496C40B">
      <w:pPr>
        <w:spacing w:line="276" w:lineRule="auto"/>
        <w:rPr>
          <w:rFonts w:asciiTheme="minorEastAsia" w:hAnsiTheme="minorEastAsia" w:eastAsiaTheme="minorEastAsia"/>
          <w:b/>
          <w:sz w:val="24"/>
        </w:rPr>
      </w:pPr>
      <w:r>
        <w:rPr>
          <w:rFonts w:asciiTheme="minorEastAsia" w:hAnsiTheme="minorEastAsia" w:eastAsiaTheme="minorEastAsia"/>
          <w:sz w:val="24"/>
        </w:rPr>
        <w:pict>
          <v:line id="Line 3" o:spid="_x0000_s1027" o:spt="20" style="position:absolute;left:0pt;margin-left:135.75pt;margin-top:11.25pt;height:0.05pt;width:126pt;z-index:251660288;mso-width-relative:page;mso-height-relative:page;" coordsize="21600,21600" o:gfxdata="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&#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jYf1gAAAAkBAAAPAAAAAAAAAAEAIAAAACIAAABk&#10;cnMvZG93bnJldi54bWxQSwECFAAUAAAACACHTuJA0hbJr88BAACvAwAADgAAAAAAAAABACAAAAAl&#10;AQAAZHJzL2Uyb0RvYy54bWxQSwUGAAAAAAYABgBZAQAAZgUAAAAA&#10;">
            <v:path arrowok="t"/>
            <v:fill focussize="0,0"/>
            <v:stroke/>
            <v:imagedata o:title=""/>
            <o:lock v:ext="edit"/>
          </v:line>
        </w:pict>
      </w:r>
      <w:r>
        <w:rPr>
          <w:rFonts w:hint="eastAsia" w:asciiTheme="minorEastAsia" w:hAnsiTheme="minorEastAsia" w:eastAsiaTheme="minorEastAsia"/>
          <w:b/>
          <w:sz w:val="24"/>
        </w:rPr>
        <w:t>投标人代表签名：</w:t>
      </w:r>
    </w:p>
    <w:p w14:paraId="2DEA8B5D">
      <w:pPr>
        <w:pStyle w:val="3"/>
      </w:pPr>
    </w:p>
    <w:p w14:paraId="07805172">
      <w:pPr>
        <w:pStyle w:val="3"/>
      </w:pPr>
    </w:p>
    <w:p w14:paraId="46EFE4BE">
      <w:pPr>
        <w:pStyle w:val="3"/>
      </w:pPr>
    </w:p>
    <w:p w14:paraId="10426267">
      <w:pPr>
        <w:pStyle w:val="3"/>
      </w:pPr>
    </w:p>
    <w:p w14:paraId="22A1E9C1"/>
    <w:p w14:paraId="7013F890">
      <w:pPr>
        <w:pStyle w:val="3"/>
      </w:pPr>
      <w:bookmarkStart w:id="65" w:name="_Toc7909"/>
      <w:r>
        <w:rPr>
          <w:rFonts w:hint="eastAsia"/>
        </w:rPr>
        <w:t>4、关于资格的声明函</w:t>
      </w:r>
      <w:bookmarkEnd w:id="65"/>
    </w:p>
    <w:p w14:paraId="1397A622">
      <w:pPr>
        <w:spacing w:line="360" w:lineRule="auto"/>
        <w:rPr>
          <w:rFonts w:asciiTheme="minorEastAsia" w:hAnsiTheme="minorEastAsia" w:eastAsiaTheme="minorEastAsia"/>
          <w:sz w:val="24"/>
        </w:rPr>
      </w:pPr>
      <w:r>
        <w:rPr>
          <w:rFonts w:hint="eastAsia" w:asciiTheme="minorEastAsia" w:hAnsiTheme="minorEastAsia" w:eastAsiaTheme="minorEastAsia"/>
          <w:sz w:val="24"/>
        </w:rPr>
        <w:t>海南省教学仪器设备招标中心有限公司</w:t>
      </w:r>
    </w:p>
    <w:p w14:paraId="26F07A8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关于贵方 年 月 日（招标编号）投标邀请，本签字人愿意参加投标，提供招标货物一览表中规定的货物，并证明提交的下列文件和说明是准确的和真实的。</w:t>
      </w:r>
    </w:p>
    <w:p w14:paraId="67AD4523">
      <w:pPr>
        <w:spacing w:line="360" w:lineRule="auto"/>
        <w:rPr>
          <w:rFonts w:asciiTheme="minorEastAsia" w:hAnsiTheme="minorEastAsia" w:eastAsiaTheme="minorEastAsia"/>
          <w:sz w:val="24"/>
        </w:rPr>
      </w:pPr>
      <w:r>
        <w:rPr>
          <w:rFonts w:hint="eastAsia" w:asciiTheme="minorEastAsia" w:hAnsiTheme="minorEastAsia" w:eastAsiaTheme="minorEastAsia"/>
          <w:sz w:val="24"/>
        </w:rPr>
        <w:t>本签字人确认资格文件中的说明是真实的、准确的。</w:t>
      </w:r>
    </w:p>
    <w:p w14:paraId="401CE196">
      <w:pPr>
        <w:spacing w:line="360" w:lineRule="auto"/>
        <w:rPr>
          <w:rFonts w:asciiTheme="minorEastAsia" w:hAnsiTheme="minorEastAsia" w:eastAsiaTheme="minorEastAsia"/>
          <w:sz w:val="24"/>
        </w:rPr>
      </w:pPr>
    </w:p>
    <w:p w14:paraId="14D69B82">
      <w:pPr>
        <w:spacing w:line="360" w:lineRule="auto"/>
        <w:rPr>
          <w:rFonts w:asciiTheme="minorEastAsia" w:hAnsiTheme="minorEastAsia" w:eastAsiaTheme="minorEastAsia"/>
          <w:sz w:val="24"/>
        </w:rPr>
      </w:pPr>
    </w:p>
    <w:p w14:paraId="2A23FF4B">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投标人的名称：（盖章）</w:t>
      </w:r>
    </w:p>
    <w:p w14:paraId="36371933">
      <w:pPr>
        <w:spacing w:line="360" w:lineRule="auto"/>
        <w:rPr>
          <w:rFonts w:asciiTheme="minorEastAsia" w:hAnsiTheme="minorEastAsia" w:eastAsiaTheme="minorEastAsia"/>
          <w:sz w:val="24"/>
        </w:rPr>
      </w:pPr>
    </w:p>
    <w:p w14:paraId="06A4E6A0">
      <w:pPr>
        <w:spacing w:line="360" w:lineRule="auto"/>
        <w:rPr>
          <w:rFonts w:asciiTheme="minorEastAsia" w:hAnsiTheme="minorEastAsia" w:eastAsiaTheme="minorEastAsia"/>
          <w:sz w:val="24"/>
        </w:rPr>
      </w:pPr>
      <w:r>
        <w:rPr>
          <w:rFonts w:hint="eastAsia" w:asciiTheme="minorEastAsia" w:hAnsiTheme="minorEastAsia" w:eastAsiaTheme="minorEastAsia"/>
          <w:sz w:val="24"/>
        </w:rPr>
        <w:t>受权签署本资格文件人：（签字）</w:t>
      </w:r>
    </w:p>
    <w:p w14:paraId="59C50B7A">
      <w:pPr>
        <w:spacing w:line="360" w:lineRule="auto"/>
        <w:rPr>
          <w:rFonts w:asciiTheme="minorEastAsia" w:hAnsiTheme="minorEastAsia" w:eastAsiaTheme="minorEastAsia"/>
          <w:sz w:val="24"/>
          <w:u w:val="single"/>
        </w:rPr>
      </w:pPr>
    </w:p>
    <w:p w14:paraId="64CBAA94">
      <w:pPr>
        <w:spacing w:line="360" w:lineRule="exact"/>
        <w:rPr>
          <w:rFonts w:ascii="宋体" w:hAnsi="宋体"/>
          <w:sz w:val="24"/>
        </w:rPr>
      </w:pPr>
      <w:r>
        <w:rPr>
          <w:rFonts w:ascii="宋体" w:hAnsi="宋体"/>
          <w:sz w:val="24"/>
        </w:rPr>
        <w:t>日期：</w:t>
      </w:r>
      <w:r>
        <w:rPr>
          <w:rFonts w:hint="eastAsia" w:ascii="宋体" w:hAnsi="宋体"/>
          <w:sz w:val="24"/>
        </w:rPr>
        <w:t>2024年  月  日</w:t>
      </w:r>
    </w:p>
    <w:p w14:paraId="309B6757">
      <w:pPr>
        <w:pStyle w:val="28"/>
      </w:pPr>
    </w:p>
    <w:p w14:paraId="3E362121">
      <w:pPr>
        <w:pStyle w:val="28"/>
      </w:pPr>
    </w:p>
    <w:p w14:paraId="7AC9F1BC">
      <w:pPr>
        <w:pStyle w:val="28"/>
      </w:pPr>
    </w:p>
    <w:p w14:paraId="23A66FFE">
      <w:pPr>
        <w:pStyle w:val="28"/>
      </w:pPr>
    </w:p>
    <w:p w14:paraId="4629755D">
      <w:pPr>
        <w:pStyle w:val="28"/>
      </w:pPr>
    </w:p>
    <w:p w14:paraId="7766703B">
      <w:pPr>
        <w:pStyle w:val="28"/>
      </w:pPr>
    </w:p>
    <w:p w14:paraId="6269FD92">
      <w:pPr>
        <w:pStyle w:val="28"/>
      </w:pPr>
    </w:p>
    <w:p w14:paraId="66ADE739">
      <w:pPr>
        <w:pStyle w:val="28"/>
      </w:pPr>
    </w:p>
    <w:p w14:paraId="653EE54F">
      <w:pPr>
        <w:pStyle w:val="28"/>
      </w:pPr>
    </w:p>
    <w:p w14:paraId="77E631A3">
      <w:pPr>
        <w:pStyle w:val="28"/>
      </w:pPr>
    </w:p>
    <w:p w14:paraId="0E07408B">
      <w:pPr>
        <w:pStyle w:val="3"/>
      </w:pPr>
      <w:bookmarkStart w:id="66" w:name="_Toc14613"/>
      <w:bookmarkStart w:id="67" w:name="_Toc163481201"/>
      <w:r>
        <w:rPr>
          <w:rFonts w:hint="eastAsia"/>
        </w:rPr>
        <w:t>5、资格证明文件格式</w:t>
      </w:r>
      <w:bookmarkEnd w:id="66"/>
      <w:bookmarkEnd w:id="67"/>
    </w:p>
    <w:p w14:paraId="3B951629">
      <w:pPr>
        <w:pStyle w:val="16"/>
        <w:tabs>
          <w:tab w:val="left" w:pos="5160"/>
        </w:tabs>
        <w:spacing w:line="360" w:lineRule="exact"/>
        <w:rPr>
          <w:rFonts w:hAnsi="Times New Roman"/>
          <w:sz w:val="28"/>
          <w:szCs w:val="28"/>
        </w:rPr>
      </w:pPr>
      <w:r>
        <w:rPr>
          <w:rFonts w:hint="eastAsia" w:hAnsi="Times New Roman"/>
          <w:sz w:val="28"/>
          <w:szCs w:val="28"/>
        </w:rPr>
        <w:t>（仅提供给投标人作为投标格式使用，不作为评标依据）</w:t>
      </w:r>
    </w:p>
    <w:p w14:paraId="543E41E1">
      <w:pPr>
        <w:pStyle w:val="16"/>
        <w:tabs>
          <w:tab w:val="left" w:pos="5160"/>
        </w:tabs>
        <w:spacing w:line="360" w:lineRule="exact"/>
        <w:ind w:left="2820" w:firstLine="640"/>
        <w:rPr>
          <w:rFonts w:hAnsi="宋体"/>
          <w:sz w:val="32"/>
          <w:szCs w:val="32"/>
        </w:rPr>
      </w:pPr>
    </w:p>
    <w:p w14:paraId="33557BD7">
      <w:pPr>
        <w:jc w:val="center"/>
        <w:rPr>
          <w:b/>
          <w:sz w:val="36"/>
          <w:szCs w:val="28"/>
        </w:rPr>
      </w:pPr>
      <w:r>
        <w:rPr>
          <w:rFonts w:hint="eastAsia"/>
          <w:b/>
          <w:sz w:val="36"/>
          <w:szCs w:val="28"/>
        </w:rPr>
        <w:t>目录</w:t>
      </w:r>
    </w:p>
    <w:p w14:paraId="39CBE680">
      <w:pPr>
        <w:rPr>
          <w:sz w:val="28"/>
          <w:szCs w:val="28"/>
        </w:rPr>
      </w:pPr>
    </w:p>
    <w:p w14:paraId="16FBEABC">
      <w:pPr>
        <w:rPr>
          <w:rFonts w:ascii="宋体"/>
          <w:sz w:val="28"/>
          <w:szCs w:val="28"/>
        </w:rPr>
      </w:pPr>
      <w:r>
        <w:rPr>
          <w:rFonts w:hint="eastAsia" w:ascii="宋体"/>
          <w:sz w:val="28"/>
          <w:szCs w:val="28"/>
        </w:rPr>
        <w:t>5.1 法人营业执照的复印件（须加盖本单位公章）</w:t>
      </w:r>
    </w:p>
    <w:p w14:paraId="76A130FF">
      <w:pPr>
        <w:rPr>
          <w:rFonts w:ascii="宋体"/>
          <w:sz w:val="28"/>
          <w:szCs w:val="28"/>
        </w:rPr>
      </w:pPr>
      <w:r>
        <w:rPr>
          <w:rFonts w:hint="eastAsia" w:ascii="宋体"/>
          <w:sz w:val="28"/>
          <w:szCs w:val="28"/>
        </w:rPr>
        <w:t>5.2法定代表人授权书（格式）</w:t>
      </w:r>
    </w:p>
    <w:p w14:paraId="674C3AD4">
      <w:pPr>
        <w:rPr>
          <w:rFonts w:ascii="宋体"/>
          <w:sz w:val="28"/>
          <w:szCs w:val="28"/>
        </w:rPr>
      </w:pPr>
      <w:r>
        <w:rPr>
          <w:rFonts w:hint="eastAsia" w:ascii="宋体"/>
          <w:sz w:val="28"/>
          <w:szCs w:val="28"/>
        </w:rPr>
        <w:t>5.3具有良好的商业信誉和健全的财务会计制度（提供承诺函）</w:t>
      </w:r>
    </w:p>
    <w:p w14:paraId="0A8DC69D">
      <w:pPr>
        <w:rPr>
          <w:rFonts w:ascii="宋体"/>
          <w:sz w:val="28"/>
          <w:szCs w:val="28"/>
        </w:rPr>
      </w:pPr>
      <w:r>
        <w:rPr>
          <w:rFonts w:hint="eastAsia" w:ascii="宋体"/>
          <w:sz w:val="28"/>
          <w:szCs w:val="28"/>
        </w:rPr>
        <w:t>5.4具有履行合同所必需的设备和专业技术能力(提供承诺函)</w:t>
      </w:r>
    </w:p>
    <w:p w14:paraId="0F90E1DB">
      <w:pPr>
        <w:rPr>
          <w:rFonts w:ascii="宋体"/>
          <w:sz w:val="28"/>
          <w:szCs w:val="28"/>
        </w:rPr>
      </w:pPr>
      <w:r>
        <w:rPr>
          <w:rFonts w:hint="eastAsia" w:ascii="宋体"/>
          <w:sz w:val="28"/>
          <w:szCs w:val="28"/>
        </w:rPr>
        <w:t>5.5有依法缴纳税收和社会保障资金的良好记录（提供承诺函）</w:t>
      </w:r>
    </w:p>
    <w:p w14:paraId="797D3F7C">
      <w:pPr>
        <w:rPr>
          <w:rFonts w:ascii="宋体"/>
          <w:sz w:val="28"/>
          <w:szCs w:val="28"/>
        </w:rPr>
      </w:pPr>
      <w:r>
        <w:rPr>
          <w:rFonts w:hint="eastAsia" w:ascii="宋体"/>
          <w:sz w:val="28"/>
          <w:szCs w:val="28"/>
        </w:rPr>
        <w:t>5.6供应商参加政府采购活动近三年内，在经营活动中没有重大事故、违法记录的声明</w:t>
      </w:r>
    </w:p>
    <w:p w14:paraId="4E148FAE">
      <w:pPr>
        <w:rPr>
          <w:rFonts w:ascii="宋体"/>
          <w:sz w:val="28"/>
          <w:szCs w:val="28"/>
        </w:rPr>
      </w:pPr>
      <w:r>
        <w:rPr>
          <w:rFonts w:hint="eastAsia" w:ascii="宋体"/>
          <w:sz w:val="28"/>
          <w:szCs w:val="28"/>
        </w:rPr>
        <w:t>5.7供应商参加政府采购活动前三年内，在经营活动中没有环保类行政处罚记录</w:t>
      </w:r>
    </w:p>
    <w:p w14:paraId="78D9A7F9">
      <w:pPr>
        <w:pStyle w:val="28"/>
        <w:rPr>
          <w:rFonts w:ascii="宋体"/>
          <w:sz w:val="28"/>
          <w:szCs w:val="28"/>
        </w:rPr>
      </w:pPr>
      <w:r>
        <w:rPr>
          <w:rFonts w:hint="eastAsia" w:ascii="宋体"/>
          <w:sz w:val="28"/>
          <w:szCs w:val="28"/>
        </w:rPr>
        <w:t>5.8供应商诚信守法承诺书</w:t>
      </w:r>
    </w:p>
    <w:p w14:paraId="7DF49CEA">
      <w:pPr>
        <w:rPr>
          <w:rFonts w:ascii="宋体"/>
          <w:sz w:val="28"/>
          <w:szCs w:val="28"/>
        </w:rPr>
      </w:pPr>
      <w:r>
        <w:rPr>
          <w:rFonts w:hint="eastAsia" w:ascii="宋体"/>
          <w:sz w:val="28"/>
          <w:szCs w:val="28"/>
        </w:rPr>
        <w:t>5.9其他资格证明文件</w:t>
      </w:r>
    </w:p>
    <w:p w14:paraId="2F26A531">
      <w:pPr>
        <w:spacing w:line="276" w:lineRule="auto"/>
        <w:rPr>
          <w:rFonts w:asciiTheme="minorEastAsia" w:hAnsiTheme="minorEastAsia" w:eastAsiaTheme="minorEastAsia"/>
          <w:b/>
          <w:sz w:val="24"/>
        </w:rPr>
      </w:pPr>
    </w:p>
    <w:p w14:paraId="0751F5AC">
      <w:pPr>
        <w:spacing w:line="276" w:lineRule="auto"/>
        <w:rPr>
          <w:rFonts w:asciiTheme="minorEastAsia" w:hAnsiTheme="minorEastAsia" w:eastAsiaTheme="minorEastAsia"/>
          <w:b/>
          <w:sz w:val="24"/>
        </w:rPr>
      </w:pPr>
    </w:p>
    <w:p w14:paraId="6EB76849">
      <w:pPr>
        <w:spacing w:line="276" w:lineRule="auto"/>
        <w:rPr>
          <w:rFonts w:asciiTheme="minorEastAsia" w:hAnsiTheme="minorEastAsia" w:eastAsiaTheme="minorEastAsia"/>
          <w:b/>
          <w:sz w:val="24"/>
        </w:rPr>
      </w:pPr>
    </w:p>
    <w:p w14:paraId="713511EB">
      <w:pPr>
        <w:spacing w:line="276" w:lineRule="auto"/>
        <w:rPr>
          <w:rFonts w:asciiTheme="minorEastAsia" w:hAnsiTheme="minorEastAsia" w:eastAsiaTheme="minorEastAsia"/>
          <w:b/>
          <w:sz w:val="24"/>
        </w:rPr>
      </w:pPr>
    </w:p>
    <w:p w14:paraId="7ECE45A6">
      <w:pPr>
        <w:spacing w:line="276" w:lineRule="auto"/>
        <w:rPr>
          <w:rFonts w:asciiTheme="minorEastAsia" w:hAnsiTheme="minorEastAsia" w:eastAsiaTheme="minorEastAsia"/>
          <w:b/>
          <w:sz w:val="24"/>
        </w:rPr>
      </w:pPr>
    </w:p>
    <w:p w14:paraId="45A98DF0">
      <w:pPr>
        <w:spacing w:line="276" w:lineRule="auto"/>
        <w:rPr>
          <w:rFonts w:asciiTheme="minorEastAsia" w:hAnsiTheme="minorEastAsia" w:eastAsiaTheme="minorEastAsia"/>
          <w:b/>
          <w:sz w:val="24"/>
        </w:rPr>
      </w:pPr>
    </w:p>
    <w:p w14:paraId="030165BB">
      <w:pPr>
        <w:spacing w:line="276" w:lineRule="auto"/>
        <w:rPr>
          <w:rFonts w:asciiTheme="minorEastAsia" w:hAnsiTheme="minorEastAsia" w:eastAsiaTheme="minorEastAsia"/>
          <w:b/>
          <w:sz w:val="24"/>
        </w:rPr>
      </w:pPr>
    </w:p>
    <w:p w14:paraId="3651D5F3">
      <w:pPr>
        <w:spacing w:line="276" w:lineRule="auto"/>
        <w:rPr>
          <w:rFonts w:asciiTheme="minorEastAsia" w:hAnsiTheme="minorEastAsia" w:eastAsiaTheme="minorEastAsia"/>
          <w:b/>
          <w:sz w:val="24"/>
        </w:rPr>
      </w:pPr>
    </w:p>
    <w:p w14:paraId="446E6B35">
      <w:pPr>
        <w:spacing w:line="276" w:lineRule="auto"/>
        <w:rPr>
          <w:rFonts w:asciiTheme="minorEastAsia" w:hAnsiTheme="minorEastAsia" w:eastAsiaTheme="minorEastAsia"/>
          <w:b/>
          <w:sz w:val="24"/>
        </w:rPr>
      </w:pPr>
    </w:p>
    <w:p w14:paraId="1E6993CA">
      <w:pPr>
        <w:spacing w:line="276" w:lineRule="auto"/>
        <w:rPr>
          <w:rFonts w:asciiTheme="minorEastAsia" w:hAnsiTheme="minorEastAsia" w:eastAsiaTheme="minorEastAsia"/>
          <w:b/>
          <w:sz w:val="24"/>
        </w:rPr>
      </w:pPr>
      <w:r>
        <w:rPr>
          <w:rFonts w:hint="eastAsia" w:asciiTheme="minorEastAsia" w:hAnsiTheme="minorEastAsia" w:eastAsiaTheme="minorEastAsia"/>
          <w:b/>
          <w:sz w:val="24"/>
        </w:rPr>
        <w:t>5.1  法人营业执照的复印件</w:t>
      </w:r>
    </w:p>
    <w:p w14:paraId="1B5D95A4">
      <w:pPr>
        <w:spacing w:line="276" w:lineRule="auto"/>
        <w:rPr>
          <w:rFonts w:asciiTheme="minorEastAsia" w:hAnsiTheme="minorEastAsia" w:eastAsiaTheme="minorEastAsia"/>
          <w:b/>
          <w:sz w:val="24"/>
        </w:rPr>
      </w:pPr>
    </w:p>
    <w:p w14:paraId="7148FCAE">
      <w:pPr>
        <w:spacing w:line="276" w:lineRule="auto"/>
        <w:rPr>
          <w:rFonts w:asciiTheme="minorEastAsia" w:hAnsiTheme="minorEastAsia" w:eastAsiaTheme="minorEastAsia"/>
          <w:sz w:val="24"/>
        </w:rPr>
      </w:pPr>
      <w:r>
        <w:rPr>
          <w:rFonts w:hint="eastAsia" w:asciiTheme="minorEastAsia" w:hAnsiTheme="minorEastAsia" w:eastAsiaTheme="minorEastAsia"/>
          <w:sz w:val="24"/>
        </w:rPr>
        <w:t>提供工商年检合格的营业执照副本复印件</w:t>
      </w:r>
    </w:p>
    <w:p w14:paraId="435F3DF7">
      <w:pPr>
        <w:spacing w:line="276" w:lineRule="auto"/>
        <w:rPr>
          <w:rFonts w:asciiTheme="minorEastAsia" w:hAnsiTheme="minorEastAsia" w:eastAsiaTheme="minorEastAsia"/>
          <w:b/>
          <w:sz w:val="24"/>
        </w:rPr>
      </w:pPr>
    </w:p>
    <w:p w14:paraId="4399AE2C">
      <w:pPr>
        <w:spacing w:line="276" w:lineRule="auto"/>
        <w:rPr>
          <w:rFonts w:asciiTheme="minorEastAsia" w:hAnsiTheme="minorEastAsia" w:eastAsiaTheme="minorEastAsia"/>
          <w:b/>
          <w:sz w:val="24"/>
        </w:rPr>
      </w:pPr>
      <w:r>
        <w:rPr>
          <w:rFonts w:hint="eastAsia" w:asciiTheme="minorEastAsia" w:hAnsiTheme="minorEastAsia" w:eastAsiaTheme="minorEastAsia"/>
          <w:b/>
          <w:sz w:val="24"/>
        </w:rPr>
        <w:t>（须加盖公章）</w:t>
      </w:r>
    </w:p>
    <w:p w14:paraId="64417D39">
      <w:pPr>
        <w:spacing w:line="276" w:lineRule="auto"/>
        <w:rPr>
          <w:rFonts w:asciiTheme="minorEastAsia" w:hAnsiTheme="minorEastAsia" w:eastAsiaTheme="minorEastAsia"/>
          <w:b/>
          <w:bCs/>
          <w:sz w:val="24"/>
        </w:rPr>
      </w:pPr>
    </w:p>
    <w:p w14:paraId="05B335E2">
      <w:pPr>
        <w:spacing w:line="276" w:lineRule="auto"/>
        <w:rPr>
          <w:rFonts w:asciiTheme="minorEastAsia" w:hAnsiTheme="minorEastAsia" w:eastAsiaTheme="minorEastAsia"/>
          <w:sz w:val="24"/>
        </w:rPr>
      </w:pPr>
    </w:p>
    <w:p w14:paraId="5F326D12">
      <w:pPr>
        <w:spacing w:line="276" w:lineRule="auto"/>
        <w:rPr>
          <w:rFonts w:asciiTheme="minorEastAsia" w:hAnsiTheme="minorEastAsia" w:eastAsiaTheme="minorEastAsia"/>
          <w:b/>
          <w:sz w:val="24"/>
        </w:rPr>
      </w:pPr>
      <w:r>
        <w:rPr>
          <w:rFonts w:hint="eastAsia" w:asciiTheme="minorEastAsia" w:hAnsiTheme="minorEastAsia" w:eastAsiaTheme="minorEastAsia"/>
          <w:b/>
          <w:sz w:val="24"/>
        </w:rPr>
        <w:t>5.2  法定代表人授权书</w:t>
      </w:r>
      <w:r>
        <w:rPr>
          <w:rFonts w:asciiTheme="minorEastAsia" w:hAnsiTheme="minorEastAsia" w:eastAsiaTheme="minorEastAsia"/>
          <w:b/>
          <w:sz w:val="24"/>
        </w:rPr>
        <w:t>(</w:t>
      </w:r>
      <w:r>
        <w:rPr>
          <w:rFonts w:hint="eastAsia" w:asciiTheme="minorEastAsia" w:hAnsiTheme="minorEastAsia" w:eastAsiaTheme="minorEastAsia"/>
          <w:b/>
          <w:sz w:val="24"/>
        </w:rPr>
        <w:t>格式</w:t>
      </w:r>
      <w:r>
        <w:rPr>
          <w:rFonts w:asciiTheme="minorEastAsia" w:hAnsiTheme="minorEastAsia" w:eastAsiaTheme="minorEastAsia"/>
          <w:b/>
          <w:sz w:val="24"/>
        </w:rPr>
        <w:t>)</w:t>
      </w:r>
    </w:p>
    <w:p w14:paraId="25C0ABD2">
      <w:pPr>
        <w:spacing w:line="276" w:lineRule="auto"/>
        <w:rPr>
          <w:rFonts w:asciiTheme="minorEastAsia" w:hAnsiTheme="minorEastAsia" w:eastAsiaTheme="minorEastAsia"/>
          <w:b/>
          <w:sz w:val="24"/>
        </w:rPr>
      </w:pPr>
    </w:p>
    <w:p w14:paraId="310058A1">
      <w:pPr>
        <w:spacing w:line="276" w:lineRule="auto"/>
        <w:rPr>
          <w:rFonts w:asciiTheme="minorEastAsia" w:hAnsiTheme="minorEastAsia" w:eastAsiaTheme="minorEastAsia"/>
          <w:b/>
          <w:sz w:val="24"/>
        </w:rPr>
      </w:pPr>
      <w:r>
        <w:rPr>
          <w:rFonts w:hint="eastAsia" w:asciiTheme="minorEastAsia" w:hAnsiTheme="minorEastAsia" w:eastAsiaTheme="minorEastAsia"/>
          <w:b/>
          <w:sz w:val="24"/>
        </w:rPr>
        <w:t>法定代表人授权书</w:t>
      </w:r>
    </w:p>
    <w:p w14:paraId="1E5590E9">
      <w:pPr>
        <w:spacing w:line="276" w:lineRule="auto"/>
        <w:rPr>
          <w:rFonts w:asciiTheme="minorEastAsia" w:hAnsiTheme="minorEastAsia" w:eastAsiaTheme="minorEastAsia"/>
          <w:sz w:val="24"/>
        </w:rPr>
      </w:pPr>
    </w:p>
    <w:p w14:paraId="300A7D93">
      <w:pPr>
        <w:spacing w:line="276" w:lineRule="auto"/>
        <w:rPr>
          <w:rFonts w:asciiTheme="minorEastAsia" w:hAnsiTheme="minorEastAsia" w:eastAsiaTheme="minorEastAsia"/>
          <w:sz w:val="24"/>
        </w:rPr>
      </w:pPr>
      <w:r>
        <w:rPr>
          <w:rFonts w:hint="eastAsia" w:asciiTheme="minorEastAsia" w:hAnsiTheme="minorEastAsia" w:eastAsiaTheme="minorEastAsia"/>
          <w:sz w:val="24"/>
        </w:rPr>
        <w:t>本授权书声明：注册于</w:t>
      </w:r>
      <w:r>
        <w:rPr>
          <w:rFonts w:hint="eastAsia" w:asciiTheme="minorEastAsia" w:hAnsiTheme="minorEastAsia" w:eastAsiaTheme="minorEastAsia"/>
          <w:sz w:val="24"/>
          <w:u w:val="single"/>
        </w:rPr>
        <w:t>（国家或地区的名称）</w:t>
      </w:r>
      <w:r>
        <w:rPr>
          <w:rFonts w:hint="eastAsia" w:asciiTheme="minorEastAsia" w:hAnsiTheme="minorEastAsia" w:eastAsiaTheme="minorEastAsia"/>
          <w:sz w:val="24"/>
        </w:rPr>
        <w:t>的（</w:t>
      </w:r>
      <w:r>
        <w:rPr>
          <w:rFonts w:hint="eastAsia" w:asciiTheme="minorEastAsia" w:hAnsiTheme="minorEastAsia" w:eastAsiaTheme="minorEastAsia"/>
          <w:sz w:val="24"/>
          <w:u w:val="single"/>
        </w:rPr>
        <w:t>公司名称</w:t>
      </w:r>
      <w:r>
        <w:rPr>
          <w:rFonts w:hint="eastAsia" w:asciiTheme="minorEastAsia" w:hAnsiTheme="minorEastAsia" w:eastAsiaTheme="minorEastAsia"/>
          <w:sz w:val="24"/>
        </w:rPr>
        <w:t>）的在下面签字的（法人代表姓名、职务）代表本公司授权（</w:t>
      </w:r>
      <w:r>
        <w:rPr>
          <w:rFonts w:hint="eastAsia" w:asciiTheme="minorEastAsia" w:hAnsiTheme="minorEastAsia" w:eastAsiaTheme="minorEastAsia"/>
          <w:sz w:val="24"/>
          <w:u w:val="single"/>
        </w:rPr>
        <w:t>单位名称</w:t>
      </w:r>
      <w:r>
        <w:rPr>
          <w:rFonts w:hint="eastAsia" w:asciiTheme="minorEastAsia" w:hAnsiTheme="minorEastAsia" w:eastAsiaTheme="minorEastAsia"/>
          <w:sz w:val="24"/>
        </w:rPr>
        <w:t>）的在下面签字的（</w:t>
      </w:r>
      <w:r>
        <w:rPr>
          <w:rFonts w:hint="eastAsia" w:asciiTheme="minorEastAsia" w:hAnsiTheme="minorEastAsia" w:eastAsiaTheme="minorEastAsia"/>
          <w:sz w:val="24"/>
          <w:u w:val="single"/>
        </w:rPr>
        <w:t>被授权人的姓名、职务</w:t>
      </w:r>
      <w:r>
        <w:rPr>
          <w:rFonts w:hint="eastAsia" w:asciiTheme="minorEastAsia" w:hAnsiTheme="minorEastAsia" w:eastAsiaTheme="minorEastAsia"/>
          <w:sz w:val="24"/>
        </w:rPr>
        <w:t>）为本公司的合法代理人，就（</w:t>
      </w:r>
      <w:r>
        <w:rPr>
          <w:rFonts w:hint="eastAsia" w:asciiTheme="minorEastAsia" w:hAnsiTheme="minorEastAsia" w:eastAsiaTheme="minorEastAsia"/>
          <w:sz w:val="24"/>
          <w:u w:val="single"/>
        </w:rPr>
        <w:t>项目名称</w:t>
      </w:r>
      <w:r>
        <w:rPr>
          <w:rFonts w:hint="eastAsia" w:asciiTheme="minorEastAsia" w:hAnsiTheme="minorEastAsia" w:eastAsiaTheme="minorEastAsia"/>
          <w:sz w:val="24"/>
        </w:rPr>
        <w:t>）的投标，以本公司名义处理一切与之有关的事务。</w:t>
      </w:r>
      <w:r>
        <w:rPr>
          <w:rFonts w:hint="eastAsia" w:asciiTheme="minorEastAsia" w:hAnsiTheme="minorEastAsia" w:eastAsiaTheme="minorEastAsia"/>
          <w:sz w:val="24"/>
        </w:rPr>
        <w:cr/>
      </w:r>
      <w:r>
        <w:rPr>
          <w:rFonts w:hint="eastAsia" w:asciiTheme="minorEastAsia" w:hAnsiTheme="minorEastAsia" w:eastAsiaTheme="minorEastAsia"/>
          <w:sz w:val="24"/>
        </w:rPr>
        <w:t>　　</w:t>
      </w:r>
    </w:p>
    <w:p w14:paraId="0BA00B50">
      <w:pPr>
        <w:spacing w:line="276" w:lineRule="auto"/>
        <w:rPr>
          <w:rFonts w:asciiTheme="minorEastAsia" w:hAnsiTheme="minorEastAsia" w:eastAsiaTheme="minorEastAsia"/>
          <w:sz w:val="24"/>
        </w:rPr>
      </w:pPr>
      <w:r>
        <w:rPr>
          <w:rFonts w:hint="eastAsia" w:asciiTheme="minorEastAsia" w:hAnsiTheme="minorEastAsia" w:eastAsiaTheme="minorEastAsia"/>
          <w:sz w:val="24"/>
        </w:rPr>
        <w:t>本授权书于__________年_____月______日签字生效,特此声明。</w:t>
      </w:r>
      <w:r>
        <w:rPr>
          <w:rFonts w:hint="eastAsia" w:asciiTheme="minorEastAsia" w:hAnsiTheme="minorEastAsia" w:eastAsiaTheme="minorEastAsia"/>
          <w:sz w:val="24"/>
        </w:rPr>
        <w:cr/>
      </w:r>
      <w:r>
        <w:rPr>
          <w:rFonts w:hint="eastAsia" w:asciiTheme="minorEastAsia" w:hAnsiTheme="minorEastAsia" w:eastAsiaTheme="minorEastAsia"/>
          <w:sz w:val="24"/>
        </w:rPr>
        <w:cr/>
      </w:r>
      <w:r>
        <w:rPr>
          <w:rFonts w:hint="eastAsia" w:asciiTheme="minorEastAsia" w:hAnsiTheme="minorEastAsia" w:eastAsiaTheme="minorEastAsia"/>
          <w:sz w:val="24"/>
        </w:rPr>
        <w:cr/>
      </w:r>
      <w:r>
        <w:rPr>
          <w:rFonts w:hint="eastAsia" w:asciiTheme="minorEastAsia" w:hAnsiTheme="minorEastAsia" w:eastAsiaTheme="minorEastAsia"/>
          <w:sz w:val="24"/>
        </w:rPr>
        <w:t>法定代表人签字_______________________________</w:t>
      </w:r>
    </w:p>
    <w:p w14:paraId="0E17898E">
      <w:pPr>
        <w:spacing w:line="276" w:lineRule="auto"/>
        <w:rPr>
          <w:rFonts w:asciiTheme="minorEastAsia" w:hAnsiTheme="minorEastAsia" w:eastAsiaTheme="minorEastAsia"/>
          <w:sz w:val="24"/>
        </w:rPr>
      </w:pPr>
      <w:r>
        <w:rPr>
          <w:rFonts w:hint="eastAsia" w:asciiTheme="minorEastAsia" w:hAnsiTheme="minorEastAsia" w:eastAsiaTheme="minorEastAsia"/>
          <w:sz w:val="24"/>
        </w:rPr>
        <w:cr/>
      </w:r>
      <w:r>
        <w:rPr>
          <w:rFonts w:hint="eastAsia" w:asciiTheme="minorEastAsia" w:hAnsiTheme="minorEastAsia" w:eastAsiaTheme="minorEastAsia"/>
          <w:sz w:val="24"/>
        </w:rPr>
        <w:t>被授权人签字_______________________________</w:t>
      </w:r>
    </w:p>
    <w:p w14:paraId="047BD687">
      <w:pPr>
        <w:spacing w:line="276" w:lineRule="auto"/>
        <w:rPr>
          <w:rFonts w:asciiTheme="minorEastAsia" w:hAnsiTheme="minorEastAsia" w:eastAsiaTheme="minorEastAsia"/>
          <w:sz w:val="24"/>
        </w:rPr>
      </w:pPr>
      <w:r>
        <w:rPr>
          <w:rFonts w:hint="eastAsia" w:asciiTheme="minorEastAsia" w:hAnsiTheme="minorEastAsia" w:eastAsiaTheme="minorEastAsia"/>
          <w:sz w:val="24"/>
        </w:rPr>
        <w:cr/>
      </w:r>
      <w:r>
        <w:rPr>
          <w:rFonts w:hint="eastAsia" w:asciiTheme="minorEastAsia" w:hAnsiTheme="minorEastAsia" w:eastAsiaTheme="minorEastAsia"/>
          <w:sz w:val="24"/>
        </w:rPr>
        <w:t>公司盖章：</w:t>
      </w:r>
    </w:p>
    <w:p w14:paraId="2545C186">
      <w:pPr>
        <w:spacing w:line="276" w:lineRule="auto"/>
        <w:rPr>
          <w:rFonts w:asciiTheme="minorEastAsia" w:hAnsiTheme="minorEastAsia" w:eastAsiaTheme="minorEastAsia"/>
          <w:sz w:val="24"/>
        </w:rPr>
      </w:pPr>
    </w:p>
    <w:p w14:paraId="36F4E78D">
      <w:pPr>
        <w:spacing w:line="276" w:lineRule="auto"/>
        <w:rPr>
          <w:rFonts w:asciiTheme="minorEastAsia" w:hAnsiTheme="minorEastAsia" w:eastAsiaTheme="minorEastAsia"/>
          <w:sz w:val="24"/>
        </w:rPr>
      </w:pPr>
    </w:p>
    <w:p w14:paraId="1231A747">
      <w:pPr>
        <w:spacing w:line="276" w:lineRule="auto"/>
        <w:rPr>
          <w:rFonts w:asciiTheme="minorEastAsia" w:hAnsiTheme="minorEastAsia" w:eastAsiaTheme="minorEastAsia"/>
          <w:sz w:val="24"/>
        </w:rPr>
      </w:pPr>
      <w:r>
        <w:rPr>
          <w:rFonts w:hint="eastAsia" w:asciiTheme="minorEastAsia" w:hAnsiTheme="minorEastAsia" w:eastAsiaTheme="minorEastAsia"/>
          <w:sz w:val="24"/>
        </w:rPr>
        <w:t>附：</w:t>
      </w:r>
    </w:p>
    <w:p w14:paraId="3F2A80AD">
      <w:pPr>
        <w:spacing w:line="276" w:lineRule="auto"/>
        <w:rPr>
          <w:rFonts w:asciiTheme="minorEastAsia" w:hAnsiTheme="minorEastAsia" w:eastAsiaTheme="minorEastAsia"/>
          <w:sz w:val="24"/>
        </w:rPr>
      </w:pPr>
      <w:r>
        <w:rPr>
          <w:rFonts w:hint="eastAsia" w:asciiTheme="minorEastAsia" w:hAnsiTheme="minorEastAsia" w:eastAsiaTheme="minorEastAsia"/>
          <w:sz w:val="24"/>
        </w:rPr>
        <w:t>被授权人姓名：</w:t>
      </w:r>
    </w:p>
    <w:p w14:paraId="5A900F67">
      <w:pPr>
        <w:spacing w:line="276" w:lineRule="auto"/>
        <w:rPr>
          <w:rFonts w:asciiTheme="minorEastAsia" w:hAnsiTheme="minorEastAsia" w:eastAsiaTheme="minorEastAsia"/>
          <w:sz w:val="24"/>
        </w:rPr>
      </w:pPr>
      <w:r>
        <w:rPr>
          <w:rFonts w:hint="eastAsia" w:asciiTheme="minorEastAsia" w:hAnsiTheme="minorEastAsia" w:eastAsiaTheme="minorEastAsia"/>
          <w:sz w:val="24"/>
        </w:rPr>
        <w:t>职　　　　务：</w:t>
      </w:r>
    </w:p>
    <w:p w14:paraId="1476DA8F">
      <w:pPr>
        <w:spacing w:line="276" w:lineRule="auto"/>
        <w:rPr>
          <w:rFonts w:asciiTheme="minorEastAsia" w:hAnsiTheme="minorEastAsia" w:eastAsiaTheme="minorEastAsia"/>
          <w:sz w:val="24"/>
        </w:rPr>
      </w:pPr>
      <w:r>
        <w:rPr>
          <w:rFonts w:hint="eastAsia" w:asciiTheme="minorEastAsia" w:hAnsiTheme="minorEastAsia" w:eastAsiaTheme="minorEastAsia"/>
          <w:sz w:val="24"/>
        </w:rPr>
        <w:t>详细通讯地址：</w:t>
      </w:r>
    </w:p>
    <w:p w14:paraId="72584315">
      <w:pPr>
        <w:spacing w:line="276" w:lineRule="auto"/>
        <w:rPr>
          <w:rFonts w:asciiTheme="minorEastAsia" w:hAnsiTheme="minorEastAsia" w:eastAsiaTheme="minorEastAsia"/>
          <w:sz w:val="24"/>
        </w:rPr>
      </w:pPr>
      <w:r>
        <w:rPr>
          <w:rFonts w:hint="eastAsia" w:asciiTheme="minorEastAsia" w:hAnsiTheme="minorEastAsia" w:eastAsiaTheme="minorEastAsia"/>
          <w:sz w:val="24"/>
        </w:rPr>
        <w:t>邮政编码　　：</w:t>
      </w:r>
    </w:p>
    <w:p w14:paraId="7A65A572">
      <w:pPr>
        <w:spacing w:line="276" w:lineRule="auto"/>
        <w:rPr>
          <w:rFonts w:asciiTheme="minorEastAsia" w:hAnsiTheme="minorEastAsia" w:eastAsiaTheme="minorEastAsia"/>
          <w:sz w:val="24"/>
        </w:rPr>
      </w:pPr>
      <w:r>
        <w:rPr>
          <w:rFonts w:hint="eastAsia" w:asciiTheme="minorEastAsia" w:hAnsiTheme="minorEastAsia" w:eastAsiaTheme="minorEastAsia"/>
          <w:sz w:val="24"/>
        </w:rPr>
        <w:t>传　　　　真：</w:t>
      </w:r>
    </w:p>
    <w:p w14:paraId="40FBC7BE">
      <w:pPr>
        <w:spacing w:line="276" w:lineRule="auto"/>
        <w:rPr>
          <w:rFonts w:asciiTheme="minorEastAsia" w:hAnsiTheme="minorEastAsia" w:eastAsiaTheme="minorEastAsia"/>
          <w:sz w:val="24"/>
        </w:rPr>
      </w:pPr>
      <w:r>
        <w:rPr>
          <w:rFonts w:hint="eastAsia" w:asciiTheme="minorEastAsia" w:hAnsiTheme="minorEastAsia" w:eastAsiaTheme="minorEastAsia"/>
          <w:sz w:val="24"/>
        </w:rPr>
        <w:t>电　　　　话：</w:t>
      </w:r>
    </w:p>
    <w:tbl>
      <w:tblPr>
        <w:tblStyle w:val="33"/>
        <w:tblpPr w:leftFromText="180" w:rightFromText="180" w:vertAnchor="text" w:horzAnchor="margin" w:tblpY="242"/>
        <w:tblW w:w="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tblGrid>
      <w:tr w14:paraId="29AD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4786" w:type="dxa"/>
            <w:vAlign w:val="center"/>
          </w:tcPr>
          <w:p w14:paraId="50F7E844">
            <w:pPr>
              <w:spacing w:line="276" w:lineRule="auto"/>
              <w:rPr>
                <w:rFonts w:asciiTheme="minorEastAsia" w:hAnsiTheme="minorEastAsia" w:eastAsiaTheme="minorEastAsia"/>
                <w:sz w:val="24"/>
              </w:rPr>
            </w:pPr>
            <w:r>
              <w:rPr>
                <w:rFonts w:hint="eastAsia" w:asciiTheme="minorEastAsia" w:hAnsiTheme="minorEastAsia" w:eastAsiaTheme="minorEastAsia"/>
                <w:sz w:val="24"/>
              </w:rPr>
              <w:t>粘贴</w:t>
            </w:r>
          </w:p>
          <w:p w14:paraId="061403F7">
            <w:pPr>
              <w:spacing w:line="276" w:lineRule="auto"/>
              <w:rPr>
                <w:rFonts w:asciiTheme="minorEastAsia" w:hAnsiTheme="minorEastAsia" w:eastAsiaTheme="minorEastAsia"/>
                <w:sz w:val="24"/>
              </w:rPr>
            </w:pPr>
            <w:r>
              <w:rPr>
                <w:rFonts w:hint="eastAsia" w:asciiTheme="minorEastAsia" w:hAnsiTheme="minorEastAsia" w:eastAsiaTheme="minorEastAsia"/>
                <w:sz w:val="24"/>
              </w:rPr>
              <w:t>法人及授权代表身份证复印件（正反面）</w:t>
            </w:r>
          </w:p>
        </w:tc>
      </w:tr>
    </w:tbl>
    <w:p w14:paraId="6E0F2B91">
      <w:pPr>
        <w:spacing w:line="276" w:lineRule="auto"/>
        <w:rPr>
          <w:rFonts w:asciiTheme="minorEastAsia" w:hAnsiTheme="minorEastAsia" w:eastAsiaTheme="minorEastAsia"/>
          <w:sz w:val="24"/>
        </w:rPr>
      </w:pPr>
    </w:p>
    <w:p w14:paraId="3B334896">
      <w:pPr>
        <w:spacing w:line="276" w:lineRule="auto"/>
        <w:rPr>
          <w:rFonts w:asciiTheme="minorEastAsia" w:hAnsiTheme="minorEastAsia" w:eastAsiaTheme="minorEastAsia"/>
          <w:sz w:val="24"/>
        </w:rPr>
      </w:pPr>
    </w:p>
    <w:p w14:paraId="358A8667">
      <w:pPr>
        <w:spacing w:line="276" w:lineRule="auto"/>
        <w:rPr>
          <w:rFonts w:asciiTheme="minorEastAsia" w:hAnsiTheme="minorEastAsia" w:eastAsiaTheme="minorEastAsia"/>
          <w:sz w:val="24"/>
        </w:rPr>
      </w:pPr>
    </w:p>
    <w:p w14:paraId="61B542C5">
      <w:pPr>
        <w:spacing w:line="276" w:lineRule="auto"/>
        <w:rPr>
          <w:rFonts w:asciiTheme="minorEastAsia" w:hAnsiTheme="minorEastAsia" w:eastAsiaTheme="minorEastAsia"/>
          <w:sz w:val="24"/>
        </w:rPr>
      </w:pPr>
    </w:p>
    <w:p w14:paraId="097C6B26">
      <w:pPr>
        <w:spacing w:line="276" w:lineRule="auto"/>
        <w:rPr>
          <w:rFonts w:asciiTheme="minorEastAsia" w:hAnsiTheme="minorEastAsia" w:eastAsiaTheme="minorEastAsia"/>
          <w:sz w:val="24"/>
        </w:rPr>
      </w:pPr>
    </w:p>
    <w:p w14:paraId="3FEB5C60">
      <w:pPr>
        <w:spacing w:line="276" w:lineRule="auto"/>
        <w:rPr>
          <w:rFonts w:asciiTheme="minorEastAsia" w:hAnsiTheme="minorEastAsia" w:eastAsiaTheme="minorEastAsia"/>
          <w:sz w:val="24"/>
        </w:rPr>
      </w:pPr>
    </w:p>
    <w:p w14:paraId="6DCDF888">
      <w:pPr>
        <w:spacing w:line="276" w:lineRule="auto"/>
        <w:rPr>
          <w:rFonts w:asciiTheme="minorEastAsia" w:hAnsiTheme="minorEastAsia" w:eastAsiaTheme="minorEastAsia"/>
          <w:b/>
          <w:sz w:val="24"/>
        </w:rPr>
      </w:pPr>
    </w:p>
    <w:p w14:paraId="21B3EB6F">
      <w:pPr>
        <w:spacing w:line="276" w:lineRule="auto"/>
        <w:rPr>
          <w:rFonts w:asciiTheme="minorEastAsia" w:hAnsiTheme="minorEastAsia" w:eastAsiaTheme="minorEastAsia"/>
          <w:b/>
          <w:sz w:val="24"/>
        </w:rPr>
      </w:pPr>
      <w:r>
        <w:rPr>
          <w:rFonts w:hint="eastAsia" w:asciiTheme="minorEastAsia" w:hAnsiTheme="minorEastAsia" w:eastAsiaTheme="minorEastAsia"/>
          <w:b/>
          <w:sz w:val="24"/>
        </w:rPr>
        <w:t>5.3具有良好的商业信誉和健全的财务会计制度</w:t>
      </w:r>
    </w:p>
    <w:p w14:paraId="3B3F42DF">
      <w:pPr>
        <w:spacing w:line="276" w:lineRule="auto"/>
        <w:rPr>
          <w:rFonts w:asciiTheme="minorEastAsia" w:hAnsiTheme="minorEastAsia" w:eastAsiaTheme="minorEastAsia"/>
          <w:sz w:val="24"/>
        </w:rPr>
      </w:pPr>
    </w:p>
    <w:p w14:paraId="42651C20">
      <w:pPr>
        <w:spacing w:line="360" w:lineRule="auto"/>
        <w:rPr>
          <w:rFonts w:asciiTheme="minorEastAsia" w:hAnsiTheme="minorEastAsia" w:eastAsiaTheme="minorEastAsia"/>
          <w:sz w:val="24"/>
        </w:rPr>
      </w:pPr>
      <w:r>
        <w:rPr>
          <w:rFonts w:hint="eastAsia" w:asciiTheme="minorEastAsia" w:hAnsiTheme="minorEastAsia" w:eastAsiaTheme="minorEastAsia"/>
          <w:sz w:val="24"/>
        </w:rPr>
        <w:t>海南省教学仪器设备招标中心有限公司：</w:t>
      </w:r>
    </w:p>
    <w:p w14:paraId="303BB458">
      <w:pPr>
        <w:spacing w:line="360" w:lineRule="auto"/>
        <w:rPr>
          <w:rFonts w:asciiTheme="minorEastAsia" w:hAnsiTheme="minorEastAsia" w:eastAsiaTheme="minorEastAsia"/>
          <w:sz w:val="24"/>
        </w:rPr>
      </w:pPr>
      <w:r>
        <w:rPr>
          <w:rFonts w:hint="eastAsia" w:asciiTheme="minorEastAsia" w:hAnsiTheme="minorEastAsia" w:eastAsiaTheme="minorEastAsia"/>
          <w:sz w:val="24"/>
        </w:rPr>
        <w:t>我单位在贵公司组织的（项目名称：     ），（项目编号：</w:t>
      </w:r>
      <w:r>
        <w:rPr>
          <w:rFonts w:hint="eastAsia" w:asciiTheme="minorEastAsia" w:hAnsiTheme="minorEastAsia" w:eastAsiaTheme="minorEastAsia"/>
          <w:sz w:val="24"/>
        </w:rPr>
        <w:tab/>
      </w:r>
      <w:r>
        <w:rPr>
          <w:rFonts w:hint="eastAsia" w:asciiTheme="minorEastAsia" w:hAnsiTheme="minorEastAsia" w:eastAsiaTheme="minorEastAsia"/>
          <w:sz w:val="24"/>
        </w:rPr>
        <w:tab/>
      </w:r>
      <w:r>
        <w:rPr>
          <w:rFonts w:hint="eastAsia" w:asciiTheme="minorEastAsia" w:hAnsiTheme="minorEastAsia" w:eastAsiaTheme="minorEastAsia"/>
          <w:sz w:val="24"/>
        </w:rPr>
        <w:t>）采购活动中郑重承诺具有良好的商业信誉和健全的财务会计制度。如有虚假承诺，我们愿承担相应的法律责任。</w:t>
      </w:r>
    </w:p>
    <w:p w14:paraId="6EA868AB">
      <w:pPr>
        <w:spacing w:line="360" w:lineRule="auto"/>
        <w:rPr>
          <w:rFonts w:asciiTheme="minorEastAsia" w:hAnsiTheme="minorEastAsia" w:eastAsiaTheme="minorEastAsia"/>
          <w:sz w:val="24"/>
        </w:rPr>
      </w:pPr>
    </w:p>
    <w:p w14:paraId="4D2AE0A8">
      <w:pPr>
        <w:spacing w:line="360" w:lineRule="auto"/>
        <w:rPr>
          <w:rFonts w:asciiTheme="minorEastAsia" w:hAnsiTheme="minorEastAsia" w:eastAsiaTheme="minorEastAsia"/>
          <w:sz w:val="24"/>
        </w:rPr>
      </w:pPr>
      <w:r>
        <w:rPr>
          <w:rFonts w:hint="eastAsia" w:asciiTheme="minorEastAsia" w:hAnsiTheme="minorEastAsia" w:eastAsiaTheme="minorEastAsia"/>
          <w:sz w:val="24"/>
        </w:rPr>
        <w:t>承诺人：    （填写名称并加盖公章）</w:t>
      </w:r>
    </w:p>
    <w:p w14:paraId="1838567A">
      <w:pPr>
        <w:spacing w:line="360" w:lineRule="auto"/>
        <w:rPr>
          <w:rFonts w:asciiTheme="minorEastAsia" w:hAnsiTheme="minorEastAsia" w:eastAsiaTheme="minorEastAsia"/>
          <w:sz w:val="24"/>
        </w:rPr>
      </w:pPr>
    </w:p>
    <w:p w14:paraId="331BA191">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法定代表人或授权代表：（签字或盖章）</w:t>
      </w:r>
    </w:p>
    <w:p w14:paraId="04C94FFC">
      <w:pPr>
        <w:spacing w:line="276" w:lineRule="auto"/>
        <w:rPr>
          <w:rFonts w:asciiTheme="minorEastAsia" w:hAnsiTheme="minorEastAsia" w:eastAsiaTheme="minorEastAsia"/>
          <w:sz w:val="24"/>
        </w:rPr>
      </w:pPr>
    </w:p>
    <w:p w14:paraId="70287F9F">
      <w:pPr>
        <w:spacing w:line="276" w:lineRule="auto"/>
        <w:rPr>
          <w:rFonts w:asciiTheme="minorEastAsia" w:hAnsiTheme="minorEastAsia" w:eastAsiaTheme="minorEastAsia"/>
          <w:sz w:val="24"/>
        </w:rPr>
      </w:pPr>
      <w:r>
        <w:rPr>
          <w:rFonts w:hint="eastAsia" w:asciiTheme="minorEastAsia" w:hAnsiTheme="minorEastAsia" w:eastAsiaTheme="minorEastAsia"/>
          <w:sz w:val="24"/>
        </w:rPr>
        <w:t>日期：2024年  月  日</w:t>
      </w:r>
    </w:p>
    <w:p w14:paraId="46C20DEF">
      <w:pPr>
        <w:pStyle w:val="28"/>
      </w:pPr>
    </w:p>
    <w:p w14:paraId="55367B97">
      <w:pPr>
        <w:rPr>
          <w:rFonts w:ascii="宋体" w:hAnsi="宋体"/>
          <w:b/>
          <w:sz w:val="24"/>
        </w:rPr>
      </w:pPr>
      <w:r>
        <w:rPr>
          <w:rFonts w:hint="eastAsia" w:asciiTheme="minorEastAsia" w:hAnsiTheme="minorEastAsia" w:eastAsiaTheme="minorEastAsia"/>
          <w:b/>
          <w:bCs/>
          <w:sz w:val="24"/>
        </w:rPr>
        <w:t>5.4</w:t>
      </w:r>
      <w:r>
        <w:rPr>
          <w:rFonts w:ascii="宋体" w:hAnsi="宋体"/>
          <w:b/>
          <w:sz w:val="24"/>
        </w:rPr>
        <w:t>具有履行合同所必需的设备和专业技术能力承诺书</w:t>
      </w:r>
    </w:p>
    <w:p w14:paraId="6B184F9B">
      <w:pPr>
        <w:spacing w:line="360" w:lineRule="auto"/>
        <w:rPr>
          <w:rFonts w:ascii="宋体" w:hAnsi="宋体"/>
          <w:sz w:val="24"/>
        </w:rPr>
      </w:pPr>
    </w:p>
    <w:p w14:paraId="471C1F48">
      <w:pPr>
        <w:spacing w:line="360" w:lineRule="auto"/>
        <w:rPr>
          <w:rFonts w:ascii="宋体" w:hAnsi="宋体"/>
          <w:sz w:val="24"/>
          <w:u w:val="single"/>
        </w:rPr>
      </w:pPr>
      <w:r>
        <w:rPr>
          <w:rFonts w:hint="eastAsia" w:ascii="宋体" w:hAnsi="宋体"/>
          <w:sz w:val="24"/>
        </w:rPr>
        <w:t>至：海南省教学仪器设备招标中心有限公司</w:t>
      </w:r>
    </w:p>
    <w:p w14:paraId="02770FE6">
      <w:pPr>
        <w:spacing w:line="360" w:lineRule="auto"/>
        <w:ind w:firstLine="600" w:firstLineChars="25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hint="eastAsia" w:ascii="宋体" w:hAnsi="宋体"/>
          <w:sz w:val="24"/>
        </w:rPr>
        <w:t>、</w:t>
      </w:r>
      <w:r>
        <w:rPr>
          <w:rFonts w:ascii="宋体" w:hAnsi="宋体"/>
          <w:sz w:val="24"/>
        </w:rPr>
        <w:t>设备和专业技术能力，如有虚假承诺，我</w:t>
      </w:r>
      <w:r>
        <w:rPr>
          <w:rFonts w:hint="eastAsia" w:ascii="宋体" w:hAnsi="宋体"/>
          <w:sz w:val="24"/>
        </w:rPr>
        <w:t>单位</w:t>
      </w:r>
      <w:r>
        <w:rPr>
          <w:rFonts w:ascii="宋体" w:hAnsi="宋体"/>
          <w:sz w:val="24"/>
        </w:rPr>
        <w:t>愿承担一切法律责任。</w:t>
      </w:r>
    </w:p>
    <w:p w14:paraId="7CE37530">
      <w:pPr>
        <w:spacing w:line="360" w:lineRule="auto"/>
        <w:rPr>
          <w:rFonts w:ascii="宋体" w:hAnsi="宋体"/>
          <w:sz w:val="24"/>
        </w:rPr>
      </w:pPr>
      <w:r>
        <w:rPr>
          <w:rFonts w:ascii="宋体" w:hAnsi="宋体"/>
          <w:sz w:val="24"/>
        </w:rPr>
        <w:t>特此承诺</w:t>
      </w:r>
      <w:r>
        <w:rPr>
          <w:rFonts w:hint="eastAsia" w:ascii="宋体" w:hAnsi="宋体"/>
          <w:sz w:val="24"/>
        </w:rPr>
        <w:t>。</w:t>
      </w:r>
    </w:p>
    <w:p w14:paraId="1EF0E4B8">
      <w:pPr>
        <w:spacing w:line="360" w:lineRule="auto"/>
        <w:rPr>
          <w:rFonts w:ascii="宋体" w:hAnsi="宋体"/>
          <w:sz w:val="24"/>
        </w:rPr>
      </w:pPr>
    </w:p>
    <w:p w14:paraId="28851FC9">
      <w:pPr>
        <w:spacing w:line="360" w:lineRule="auto"/>
        <w:rPr>
          <w:rFonts w:ascii="宋体" w:hAnsi="宋体"/>
          <w:iCs/>
          <w:sz w:val="24"/>
        </w:rPr>
      </w:pPr>
      <w:r>
        <w:rPr>
          <w:rFonts w:hint="eastAsia" w:ascii="宋体" w:hAnsi="宋体"/>
          <w:sz w:val="24"/>
        </w:rPr>
        <w:t>供应商</w:t>
      </w:r>
      <w:r>
        <w:rPr>
          <w:rFonts w:ascii="宋体" w:hAnsi="宋体"/>
          <w:sz w:val="24"/>
        </w:rPr>
        <w:t>：（填写名称并盖章）</w:t>
      </w:r>
    </w:p>
    <w:p w14:paraId="626E1407">
      <w:pPr>
        <w:spacing w:line="360" w:lineRule="auto"/>
        <w:rPr>
          <w:rFonts w:ascii="宋体" w:hAnsi="宋体"/>
          <w:sz w:val="24"/>
        </w:rPr>
      </w:pPr>
      <w:r>
        <w:rPr>
          <w:rFonts w:ascii="宋体" w:hAnsi="宋体"/>
          <w:sz w:val="24"/>
        </w:rPr>
        <w:t>法定代表人或其授权委托人：</w:t>
      </w:r>
      <w:r>
        <w:rPr>
          <w:rFonts w:ascii="宋体" w:hAnsi="宋体"/>
          <w:iCs/>
          <w:sz w:val="24"/>
        </w:rPr>
        <w:t>（签字或盖章）</w:t>
      </w:r>
    </w:p>
    <w:p w14:paraId="6A3DFE20">
      <w:pPr>
        <w:rPr>
          <w:rFonts w:ascii="宋体" w:hAnsi="宋体"/>
          <w:sz w:val="24"/>
        </w:rPr>
      </w:pPr>
      <w:r>
        <w:rPr>
          <w:rFonts w:ascii="宋体" w:hAnsi="宋体"/>
          <w:sz w:val="24"/>
        </w:rPr>
        <w:t>日期：</w:t>
      </w:r>
      <w:r>
        <w:rPr>
          <w:rFonts w:hint="eastAsia" w:ascii="宋体" w:hAnsi="宋体"/>
          <w:sz w:val="24"/>
        </w:rPr>
        <w:t>2024年   月   日</w:t>
      </w:r>
    </w:p>
    <w:p w14:paraId="53D0F9A7">
      <w:pPr>
        <w:spacing w:line="276" w:lineRule="auto"/>
        <w:rPr>
          <w:rFonts w:asciiTheme="minorEastAsia" w:hAnsiTheme="minorEastAsia" w:eastAsiaTheme="minorEastAsia"/>
          <w:b/>
          <w:bCs/>
          <w:sz w:val="24"/>
        </w:rPr>
      </w:pPr>
    </w:p>
    <w:p w14:paraId="6ADC5375">
      <w:pPr>
        <w:spacing w:line="276" w:lineRule="auto"/>
        <w:rPr>
          <w:rFonts w:asciiTheme="minorEastAsia" w:hAnsiTheme="minorEastAsia" w:eastAsiaTheme="minorEastAsia"/>
          <w:b/>
          <w:bCs/>
          <w:sz w:val="24"/>
        </w:rPr>
      </w:pPr>
      <w:r>
        <w:rPr>
          <w:rFonts w:hint="eastAsia" w:asciiTheme="minorEastAsia" w:hAnsiTheme="minorEastAsia" w:eastAsiaTheme="minorEastAsia"/>
          <w:b/>
          <w:bCs/>
          <w:sz w:val="24"/>
        </w:rPr>
        <w:t>5.5具有依法缴纳税收和社会保障资金的良好记录</w:t>
      </w:r>
    </w:p>
    <w:p w14:paraId="4F984B50">
      <w:pPr>
        <w:spacing w:line="276" w:lineRule="auto"/>
        <w:rPr>
          <w:rFonts w:asciiTheme="minorEastAsia" w:hAnsiTheme="minorEastAsia" w:eastAsiaTheme="minorEastAsia"/>
          <w:b/>
          <w:bCs/>
          <w:sz w:val="24"/>
        </w:rPr>
      </w:pPr>
    </w:p>
    <w:p w14:paraId="14FCC37A">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至：海南省教学仪器设备招标中心有限公司：</w:t>
      </w:r>
    </w:p>
    <w:p w14:paraId="58BEDC35">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我单位在贵公司组织的（项目名称：     ），（项目编号：</w:t>
      </w:r>
      <w:r>
        <w:rPr>
          <w:rFonts w:hint="eastAsia" w:asciiTheme="minorEastAsia" w:hAnsiTheme="minorEastAsia" w:eastAsiaTheme="minorEastAsia"/>
          <w:bCs/>
          <w:sz w:val="24"/>
        </w:rPr>
        <w:tab/>
      </w:r>
      <w:r>
        <w:rPr>
          <w:rFonts w:hint="eastAsia" w:asciiTheme="minorEastAsia" w:hAnsiTheme="minorEastAsia" w:eastAsiaTheme="minorEastAsia"/>
          <w:bCs/>
          <w:sz w:val="24"/>
        </w:rPr>
        <w:tab/>
      </w:r>
      <w:r>
        <w:rPr>
          <w:rFonts w:hint="eastAsia" w:asciiTheme="minorEastAsia" w:hAnsiTheme="minorEastAsia" w:eastAsiaTheme="minorEastAsia"/>
          <w:bCs/>
          <w:sz w:val="24"/>
        </w:rPr>
        <w:t>）采购活动中郑重承诺具有依法缴纳税收和社会保障资金的良好记录。如有虚假承诺，我们愿承担相应的法律责任。</w:t>
      </w:r>
    </w:p>
    <w:p w14:paraId="7F778A24">
      <w:pPr>
        <w:spacing w:line="360" w:lineRule="auto"/>
        <w:rPr>
          <w:rFonts w:asciiTheme="minorEastAsia" w:hAnsiTheme="minorEastAsia" w:eastAsiaTheme="minorEastAsia"/>
          <w:bCs/>
          <w:sz w:val="24"/>
        </w:rPr>
      </w:pPr>
    </w:p>
    <w:p w14:paraId="68FED1EF">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承诺人：    （填写名称并加盖公章）</w:t>
      </w:r>
    </w:p>
    <w:p w14:paraId="631BA831">
      <w:pPr>
        <w:spacing w:line="360" w:lineRule="auto"/>
        <w:rPr>
          <w:rFonts w:asciiTheme="minorEastAsia" w:hAnsiTheme="minorEastAsia" w:eastAsiaTheme="minorEastAsia"/>
          <w:bCs/>
          <w:sz w:val="24"/>
        </w:rPr>
      </w:pPr>
    </w:p>
    <w:p w14:paraId="0FA8BA36">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法定代表人或授权代表：（签字或盖章）</w:t>
      </w:r>
    </w:p>
    <w:p w14:paraId="4F68B270">
      <w:pPr>
        <w:spacing w:line="360" w:lineRule="auto"/>
        <w:rPr>
          <w:rFonts w:asciiTheme="minorEastAsia" w:hAnsiTheme="minorEastAsia" w:eastAsiaTheme="minorEastAsia"/>
          <w:bCs/>
          <w:sz w:val="24"/>
        </w:rPr>
      </w:pPr>
    </w:p>
    <w:p w14:paraId="73EC697D">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日期：2024年  月  日</w:t>
      </w:r>
    </w:p>
    <w:p w14:paraId="2FBBB925">
      <w:pPr>
        <w:spacing w:line="276" w:lineRule="auto"/>
        <w:rPr>
          <w:rFonts w:asciiTheme="minorEastAsia" w:hAnsiTheme="minorEastAsia" w:eastAsiaTheme="minorEastAsia"/>
          <w:b/>
          <w:bCs/>
          <w:sz w:val="24"/>
        </w:rPr>
      </w:pPr>
    </w:p>
    <w:p w14:paraId="2C69BD5C">
      <w:pPr>
        <w:spacing w:line="276" w:lineRule="auto"/>
        <w:rPr>
          <w:rFonts w:asciiTheme="minorEastAsia" w:hAnsiTheme="minorEastAsia" w:eastAsiaTheme="minorEastAsia"/>
          <w:b/>
          <w:bCs/>
          <w:sz w:val="24"/>
        </w:rPr>
      </w:pPr>
    </w:p>
    <w:p w14:paraId="2CA06517">
      <w:pPr>
        <w:pStyle w:val="28"/>
      </w:pPr>
    </w:p>
    <w:p w14:paraId="20D77048">
      <w:pPr>
        <w:spacing w:line="276" w:lineRule="auto"/>
        <w:rPr>
          <w:rFonts w:asciiTheme="minorEastAsia" w:hAnsiTheme="minorEastAsia" w:eastAsiaTheme="minorEastAsia"/>
          <w:b/>
          <w:bCs/>
          <w:sz w:val="24"/>
        </w:rPr>
      </w:pPr>
      <w:r>
        <w:rPr>
          <w:rFonts w:hint="eastAsia" w:asciiTheme="minorEastAsia" w:hAnsiTheme="minorEastAsia" w:eastAsiaTheme="minorEastAsia"/>
          <w:b/>
          <w:bCs/>
          <w:sz w:val="24"/>
        </w:rPr>
        <w:t>5.6投标人参加政府采购活动近三年内，在经营活动中没有重大事故、违法记录声明</w:t>
      </w:r>
    </w:p>
    <w:p w14:paraId="3503C430">
      <w:pPr>
        <w:spacing w:line="276" w:lineRule="auto"/>
        <w:rPr>
          <w:rFonts w:asciiTheme="minorEastAsia" w:hAnsiTheme="minorEastAsia" w:eastAsiaTheme="minorEastAsia"/>
          <w:sz w:val="24"/>
        </w:rPr>
      </w:pPr>
      <w:r>
        <w:rPr>
          <w:rFonts w:hint="eastAsia" w:asciiTheme="minorEastAsia" w:hAnsiTheme="minorEastAsia" w:eastAsiaTheme="minorEastAsia"/>
          <w:sz w:val="24"/>
        </w:rPr>
        <w:t>（须加盖本公章）</w:t>
      </w:r>
    </w:p>
    <w:p w14:paraId="49CA6F6F">
      <w:pPr>
        <w:spacing w:line="276" w:lineRule="auto"/>
        <w:rPr>
          <w:rFonts w:asciiTheme="minorEastAsia" w:hAnsiTheme="minorEastAsia" w:eastAsiaTheme="minorEastAsia"/>
          <w:sz w:val="24"/>
        </w:rPr>
      </w:pPr>
      <w:r>
        <w:rPr>
          <w:rFonts w:hint="eastAsia" w:asciiTheme="minorEastAsia" w:hAnsiTheme="minorEastAsia" w:eastAsiaTheme="minorEastAsia"/>
          <w:sz w:val="24"/>
        </w:rPr>
        <w:t>海南省教学仪器设备招标中心有限公司：</w:t>
      </w:r>
    </w:p>
    <w:p w14:paraId="564B724D">
      <w:pPr>
        <w:spacing w:line="360" w:lineRule="auto"/>
        <w:rPr>
          <w:rFonts w:asciiTheme="minorEastAsia" w:hAnsiTheme="minorEastAsia" w:eastAsiaTheme="minorEastAsia"/>
          <w:sz w:val="24"/>
        </w:rPr>
      </w:pPr>
    </w:p>
    <w:p w14:paraId="3E2EE05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我公司在参加本次政府采购活动前三年内，在经营活动中没有重大事故、违法记录（</w:t>
      </w:r>
      <w:r>
        <w:rPr>
          <w:rFonts w:asciiTheme="minorEastAsia" w:hAnsiTheme="minorEastAsia" w:eastAsiaTheme="minorEastAsia"/>
          <w:sz w:val="24"/>
        </w:rPr>
        <w:t>是指供应商因违法经营受到刑事处罚或者责令停产停业、吊销许可证或者执照、较大数额罚款等行政处罚</w:t>
      </w:r>
      <w:r>
        <w:rPr>
          <w:rFonts w:hint="eastAsia" w:asciiTheme="minorEastAsia" w:hAnsiTheme="minorEastAsia" w:eastAsiaTheme="minorEastAsia"/>
          <w:sz w:val="24"/>
        </w:rPr>
        <w:t>）</w:t>
      </w:r>
      <w:r>
        <w:rPr>
          <w:rFonts w:hint="eastAsia" w:asciiTheme="minorEastAsia" w:hAnsiTheme="minorEastAsia" w:eastAsiaTheme="minorEastAsia"/>
          <w:bCs/>
          <w:sz w:val="24"/>
        </w:rPr>
        <w:t>。</w:t>
      </w:r>
    </w:p>
    <w:p w14:paraId="6B2F27A6">
      <w:pPr>
        <w:spacing w:line="276" w:lineRule="auto"/>
        <w:rPr>
          <w:rFonts w:asciiTheme="minorEastAsia" w:hAnsiTheme="minorEastAsia" w:eastAsiaTheme="minorEastAsia"/>
          <w:sz w:val="24"/>
        </w:rPr>
      </w:pPr>
    </w:p>
    <w:p w14:paraId="0B919E72">
      <w:pPr>
        <w:spacing w:line="276" w:lineRule="auto"/>
        <w:rPr>
          <w:rFonts w:asciiTheme="minorEastAsia" w:hAnsiTheme="minorEastAsia" w:eastAsiaTheme="minorEastAsia"/>
          <w:sz w:val="24"/>
        </w:rPr>
      </w:pPr>
      <w:r>
        <w:rPr>
          <w:rFonts w:hint="eastAsia" w:asciiTheme="minorEastAsia" w:hAnsiTheme="minorEastAsia" w:eastAsiaTheme="minorEastAsia"/>
          <w:sz w:val="24"/>
        </w:rPr>
        <w:t>特此声明。</w:t>
      </w:r>
    </w:p>
    <w:p w14:paraId="7A79A192">
      <w:pPr>
        <w:spacing w:line="276" w:lineRule="auto"/>
        <w:rPr>
          <w:rFonts w:asciiTheme="minorEastAsia" w:hAnsiTheme="minorEastAsia" w:eastAsiaTheme="minorEastAsia"/>
          <w:sz w:val="24"/>
        </w:rPr>
      </w:pPr>
    </w:p>
    <w:p w14:paraId="55FAF1BB">
      <w:pPr>
        <w:spacing w:line="276" w:lineRule="auto"/>
        <w:rPr>
          <w:rFonts w:asciiTheme="minorEastAsia" w:hAnsiTheme="minorEastAsia" w:eastAsiaTheme="minorEastAsia"/>
          <w:sz w:val="24"/>
        </w:rPr>
      </w:pPr>
      <w:r>
        <w:rPr>
          <w:rFonts w:hint="eastAsia" w:asciiTheme="minorEastAsia" w:hAnsiTheme="minorEastAsia" w:eastAsiaTheme="minorEastAsia"/>
          <w:sz w:val="24"/>
        </w:rPr>
        <w:t>法定代表人或被授权人签字：</w:t>
      </w:r>
    </w:p>
    <w:p w14:paraId="46A7EC32">
      <w:pPr>
        <w:spacing w:line="276" w:lineRule="auto"/>
        <w:rPr>
          <w:rFonts w:asciiTheme="minorEastAsia" w:hAnsiTheme="minorEastAsia" w:eastAsiaTheme="minorEastAsia"/>
          <w:sz w:val="24"/>
        </w:rPr>
      </w:pPr>
    </w:p>
    <w:p w14:paraId="6C9639F7">
      <w:pPr>
        <w:spacing w:line="276" w:lineRule="auto"/>
        <w:rPr>
          <w:rFonts w:asciiTheme="minorEastAsia" w:hAnsiTheme="minorEastAsia" w:eastAsiaTheme="minorEastAsia"/>
          <w:sz w:val="24"/>
        </w:rPr>
      </w:pPr>
      <w:r>
        <w:rPr>
          <w:rFonts w:hint="eastAsia" w:asciiTheme="minorEastAsia" w:hAnsiTheme="minorEastAsia" w:eastAsiaTheme="minorEastAsia"/>
          <w:sz w:val="24"/>
        </w:rPr>
        <w:t>投标人公章：</w:t>
      </w:r>
    </w:p>
    <w:p w14:paraId="05EB8C1C">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日期：2024年  月  日</w:t>
      </w:r>
    </w:p>
    <w:p w14:paraId="09CD836F">
      <w:pPr>
        <w:spacing w:line="276" w:lineRule="auto"/>
        <w:rPr>
          <w:rFonts w:asciiTheme="minorEastAsia" w:hAnsiTheme="minorEastAsia" w:eastAsiaTheme="minorEastAsia"/>
          <w:b/>
          <w:bCs/>
          <w:sz w:val="24"/>
        </w:rPr>
      </w:pPr>
    </w:p>
    <w:p w14:paraId="42AC13D7">
      <w:pPr>
        <w:spacing w:line="276" w:lineRule="auto"/>
        <w:rPr>
          <w:rFonts w:asciiTheme="minorEastAsia" w:hAnsiTheme="minorEastAsia" w:eastAsiaTheme="minorEastAsia"/>
          <w:b/>
          <w:bCs/>
          <w:sz w:val="24"/>
        </w:rPr>
      </w:pPr>
    </w:p>
    <w:p w14:paraId="39F1CA27">
      <w:pPr>
        <w:spacing w:line="276" w:lineRule="auto"/>
        <w:rPr>
          <w:rFonts w:asciiTheme="minorEastAsia" w:hAnsiTheme="minorEastAsia" w:eastAsiaTheme="minorEastAsia"/>
          <w:b/>
          <w:bCs/>
          <w:sz w:val="24"/>
        </w:rPr>
      </w:pPr>
    </w:p>
    <w:p w14:paraId="72328BD4">
      <w:pPr>
        <w:spacing w:line="276" w:lineRule="auto"/>
        <w:rPr>
          <w:rFonts w:asciiTheme="minorEastAsia" w:hAnsiTheme="minorEastAsia" w:eastAsiaTheme="minorEastAsia"/>
          <w:b/>
          <w:bCs/>
          <w:sz w:val="24"/>
        </w:rPr>
      </w:pPr>
    </w:p>
    <w:p w14:paraId="29A58FFB">
      <w:pPr>
        <w:spacing w:line="276" w:lineRule="auto"/>
        <w:rPr>
          <w:rFonts w:asciiTheme="minorEastAsia" w:hAnsiTheme="minorEastAsia" w:eastAsiaTheme="minorEastAsia"/>
          <w:b/>
          <w:bCs/>
          <w:sz w:val="24"/>
        </w:rPr>
      </w:pPr>
    </w:p>
    <w:p w14:paraId="01B24DFD">
      <w:pPr>
        <w:spacing w:line="276" w:lineRule="auto"/>
        <w:rPr>
          <w:rFonts w:asciiTheme="minorEastAsia" w:hAnsiTheme="minorEastAsia" w:eastAsiaTheme="minorEastAsia"/>
          <w:b/>
          <w:bCs/>
          <w:sz w:val="24"/>
        </w:rPr>
      </w:pPr>
      <w:r>
        <w:rPr>
          <w:rFonts w:hint="eastAsia" w:asciiTheme="minorEastAsia" w:hAnsiTheme="minorEastAsia" w:eastAsiaTheme="minorEastAsia"/>
          <w:b/>
          <w:bCs/>
          <w:sz w:val="24"/>
        </w:rPr>
        <w:t>5.7参加政府采购活动前三年内，在经营活动中没有环保类行政处罚记录</w:t>
      </w:r>
    </w:p>
    <w:p w14:paraId="41A9C8AD">
      <w:pPr>
        <w:spacing w:line="276" w:lineRule="auto"/>
        <w:rPr>
          <w:rFonts w:asciiTheme="minorEastAsia" w:hAnsiTheme="minorEastAsia" w:eastAsiaTheme="minorEastAsia"/>
          <w:b/>
          <w:sz w:val="24"/>
        </w:rPr>
      </w:pPr>
      <w:r>
        <w:rPr>
          <w:rFonts w:asciiTheme="minorEastAsia" w:hAnsiTheme="minorEastAsia" w:eastAsiaTheme="minorEastAsia"/>
          <w:b/>
          <w:sz w:val="24"/>
        </w:rPr>
        <w:t>环保类行政处罚记录声明函</w:t>
      </w:r>
    </w:p>
    <w:p w14:paraId="29815BB4">
      <w:pPr>
        <w:spacing w:line="276" w:lineRule="auto"/>
        <w:rPr>
          <w:rFonts w:asciiTheme="minorEastAsia" w:hAnsiTheme="minorEastAsia" w:eastAsiaTheme="minorEastAsia"/>
          <w:sz w:val="24"/>
        </w:rPr>
      </w:pPr>
    </w:p>
    <w:p w14:paraId="0FCE94BB">
      <w:pPr>
        <w:spacing w:line="360" w:lineRule="auto"/>
        <w:rPr>
          <w:rFonts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 xml:space="preserve"> （采购人名称） </w:t>
      </w:r>
    </w:p>
    <w:p w14:paraId="19F427C1">
      <w:pPr>
        <w:spacing w:line="360" w:lineRule="auto"/>
        <w:rPr>
          <w:rFonts w:asciiTheme="minorEastAsia" w:hAnsiTheme="minorEastAsia" w:eastAsiaTheme="minorEastAsia"/>
          <w:sz w:val="24"/>
        </w:rPr>
      </w:pPr>
      <w:r>
        <w:rPr>
          <w:rFonts w:hint="eastAsia" w:asciiTheme="minorEastAsia" w:hAnsiTheme="minorEastAsia" w:eastAsiaTheme="minorEastAsia"/>
          <w:sz w:val="24"/>
        </w:rPr>
        <w:t>我单位（供应商名称）郑重声明：</w:t>
      </w:r>
    </w:p>
    <w:p w14:paraId="37F9FA1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我单位参加政府采购活动前三年内，在经营活动中</w:t>
      </w:r>
      <w:r>
        <w:rPr>
          <w:rFonts w:hint="eastAsia" w:asciiTheme="minorEastAsia" w:hAnsiTheme="minorEastAsia" w:eastAsiaTheme="minorEastAsia"/>
          <w:b/>
          <w:bCs/>
          <w:sz w:val="24"/>
          <w:u w:val="single"/>
        </w:rPr>
        <w:t xml:space="preserve"> 没有 </w:t>
      </w:r>
      <w:r>
        <w:rPr>
          <w:rFonts w:hint="eastAsia" w:asciiTheme="minorEastAsia" w:hAnsiTheme="minorEastAsia" w:eastAsiaTheme="minorEastAsia"/>
          <w:sz w:val="24"/>
        </w:rPr>
        <w:t>（在下划线上如实填写：有或没有）环保类行政处罚记录，特此声明。</w:t>
      </w:r>
    </w:p>
    <w:p w14:paraId="24912911">
      <w:pPr>
        <w:spacing w:line="276" w:lineRule="auto"/>
        <w:rPr>
          <w:rFonts w:asciiTheme="minorEastAsia" w:hAnsiTheme="minorEastAsia" w:eastAsiaTheme="minorEastAsia"/>
          <w:sz w:val="24"/>
        </w:rPr>
      </w:pPr>
    </w:p>
    <w:p w14:paraId="5B245858">
      <w:pPr>
        <w:spacing w:line="276" w:lineRule="auto"/>
        <w:rPr>
          <w:rFonts w:asciiTheme="minorEastAsia" w:hAnsiTheme="minorEastAsia" w:eastAsiaTheme="minorEastAsia"/>
          <w:bCs/>
          <w:sz w:val="24"/>
        </w:rPr>
      </w:pPr>
      <w:r>
        <w:rPr>
          <w:rFonts w:hint="eastAsia" w:asciiTheme="minorEastAsia" w:hAnsiTheme="minorEastAsia" w:eastAsiaTheme="minorEastAsia"/>
          <w:sz w:val="24"/>
        </w:rPr>
        <w:t>声明人：（填写名称并盖章）</w:t>
      </w:r>
    </w:p>
    <w:p w14:paraId="6FE4229A">
      <w:pPr>
        <w:spacing w:line="276" w:lineRule="auto"/>
        <w:rPr>
          <w:rFonts w:asciiTheme="minorEastAsia" w:hAnsiTheme="minorEastAsia" w:eastAsiaTheme="minorEastAsia"/>
          <w:sz w:val="24"/>
        </w:rPr>
      </w:pPr>
    </w:p>
    <w:p w14:paraId="5C12745A">
      <w:pPr>
        <w:spacing w:line="276" w:lineRule="auto"/>
        <w:rPr>
          <w:rFonts w:asciiTheme="minorEastAsia" w:hAnsiTheme="minorEastAsia" w:eastAsiaTheme="minorEastAsia"/>
          <w:bCs/>
          <w:sz w:val="24"/>
        </w:rPr>
      </w:pPr>
      <w:r>
        <w:rPr>
          <w:rFonts w:hint="eastAsia" w:asciiTheme="minorEastAsia" w:hAnsiTheme="minorEastAsia" w:eastAsiaTheme="minorEastAsia"/>
          <w:sz w:val="24"/>
        </w:rPr>
        <w:t>法定代表人或授权代表</w:t>
      </w:r>
      <w:r>
        <w:rPr>
          <w:rFonts w:hint="eastAsia" w:asciiTheme="minorEastAsia" w:hAnsiTheme="minorEastAsia" w:eastAsiaTheme="minorEastAsia"/>
          <w:bCs/>
          <w:sz w:val="24"/>
        </w:rPr>
        <w:t>：</w:t>
      </w:r>
      <w:r>
        <w:rPr>
          <w:rFonts w:hint="eastAsia" w:asciiTheme="minorEastAsia" w:hAnsiTheme="minorEastAsia" w:eastAsiaTheme="minorEastAsia"/>
          <w:iCs/>
          <w:sz w:val="24"/>
        </w:rPr>
        <w:t>（签字或盖章）</w:t>
      </w:r>
    </w:p>
    <w:p w14:paraId="047327DA">
      <w:pPr>
        <w:spacing w:line="276" w:lineRule="auto"/>
        <w:rPr>
          <w:rFonts w:asciiTheme="minorEastAsia" w:hAnsiTheme="minorEastAsia" w:eastAsiaTheme="minorEastAsia"/>
          <w:bCs/>
          <w:sz w:val="24"/>
        </w:rPr>
      </w:pPr>
    </w:p>
    <w:p w14:paraId="2B6E6240">
      <w:pPr>
        <w:spacing w:line="276" w:lineRule="auto"/>
        <w:rPr>
          <w:rFonts w:asciiTheme="minorEastAsia" w:hAnsiTheme="minorEastAsia" w:eastAsiaTheme="minorEastAsia"/>
          <w:sz w:val="24"/>
        </w:rPr>
      </w:pPr>
      <w:r>
        <w:rPr>
          <w:rFonts w:hint="eastAsia" w:asciiTheme="minorEastAsia" w:hAnsiTheme="minorEastAsia" w:eastAsiaTheme="minorEastAsia"/>
          <w:bCs/>
          <w:sz w:val="24"/>
        </w:rPr>
        <w:t>日期：2024年  月  日</w:t>
      </w:r>
    </w:p>
    <w:p w14:paraId="162D4928">
      <w:pPr>
        <w:spacing w:line="276" w:lineRule="auto"/>
        <w:rPr>
          <w:rFonts w:asciiTheme="minorEastAsia" w:hAnsiTheme="minorEastAsia" w:eastAsiaTheme="minorEastAsia"/>
          <w:sz w:val="24"/>
        </w:rPr>
      </w:pPr>
    </w:p>
    <w:p w14:paraId="31084F21">
      <w:pPr>
        <w:rPr>
          <w:b/>
          <w:sz w:val="24"/>
        </w:rPr>
      </w:pPr>
      <w:r>
        <w:rPr>
          <w:rFonts w:hint="eastAsia" w:asciiTheme="minorEastAsia" w:hAnsiTheme="minorEastAsia" w:eastAsiaTheme="minorEastAsia"/>
          <w:b/>
          <w:sz w:val="24"/>
        </w:rPr>
        <w:t>5.8</w:t>
      </w:r>
      <w:r>
        <w:rPr>
          <w:rFonts w:hint="eastAsia"/>
          <w:b/>
          <w:sz w:val="24"/>
        </w:rPr>
        <w:t>供应商诚信守法承诺书</w:t>
      </w:r>
    </w:p>
    <w:p w14:paraId="66B56EBF">
      <w:pPr>
        <w:spacing w:line="360" w:lineRule="auto"/>
        <w:rPr>
          <w:rFonts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（采购人名称）</w:t>
      </w:r>
    </w:p>
    <w:p w14:paraId="399CDAED">
      <w:pPr>
        <w:spacing w:line="360" w:lineRule="auto"/>
        <w:rPr>
          <w:rFonts w:asciiTheme="minorEastAsia" w:hAnsiTheme="minorEastAsia" w:eastAsiaTheme="minorEastAsia"/>
          <w:sz w:val="24"/>
        </w:rPr>
      </w:pPr>
      <w:r>
        <w:rPr>
          <w:rFonts w:hint="eastAsia" w:asciiTheme="minorEastAsia" w:hAnsiTheme="minorEastAsia" w:eastAsiaTheme="minorEastAsia"/>
          <w:sz w:val="24"/>
        </w:rPr>
        <w:t>我单位在参加“</w:t>
      </w:r>
      <w:r>
        <w:rPr>
          <w:rFonts w:hint="eastAsia" w:asciiTheme="minorEastAsia" w:hAnsiTheme="minorEastAsia" w:eastAsiaTheme="minorEastAsia"/>
          <w:sz w:val="24"/>
          <w:u w:val="single"/>
        </w:rPr>
        <w:t>项目名称</w:t>
      </w:r>
      <w:r>
        <w:rPr>
          <w:rFonts w:hint="eastAsia" w:asciiTheme="minorEastAsia" w:hAnsiTheme="minorEastAsia" w:eastAsiaTheme="minorEastAsia"/>
          <w:sz w:val="24"/>
        </w:rPr>
        <w:t>”的投标活动中，郑重承诺如下：</w:t>
      </w:r>
    </w:p>
    <w:p w14:paraId="4BF04831">
      <w:pPr>
        <w:spacing w:line="360" w:lineRule="auto"/>
        <w:rPr>
          <w:rFonts w:asciiTheme="minorEastAsia" w:hAnsiTheme="minorEastAsia" w:eastAsiaTheme="minorEastAsia"/>
          <w:sz w:val="24"/>
        </w:rPr>
      </w:pPr>
      <w:r>
        <w:rPr>
          <w:rFonts w:hint="eastAsia" w:asciiTheme="minorEastAsia" w:hAnsiTheme="minorEastAsia" w:eastAsiaTheme="minorEastAsia"/>
          <w:sz w:val="24"/>
        </w:rPr>
        <w:t>1、我公司承诺，本次招标投标活动中提交的所有资料都是真实、准确、完整、合法的，如果未达到上述要求，我公司同意按照无效投标处理，如果违反相关法律、法规、规章的，我公司愿承担相应法律责任；</w:t>
      </w:r>
    </w:p>
    <w:p w14:paraId="3EC1FD78">
      <w:pPr>
        <w:spacing w:line="360" w:lineRule="auto"/>
        <w:rPr>
          <w:rFonts w:asciiTheme="minorEastAsia" w:hAnsiTheme="minorEastAsia" w:eastAsiaTheme="minorEastAsia"/>
          <w:sz w:val="24"/>
        </w:rPr>
      </w:pPr>
      <w:r>
        <w:rPr>
          <w:rFonts w:hint="eastAsia" w:asciiTheme="minorEastAsia" w:hAnsiTheme="minorEastAsia" w:eastAsiaTheme="minorEastAsia"/>
          <w:sz w:val="24"/>
        </w:rPr>
        <w:t>2、我公司承诺符合《中华人民共和国政府采购法》第二十二条规定；</w:t>
      </w:r>
    </w:p>
    <w:p w14:paraId="7F01B20A">
      <w:pPr>
        <w:spacing w:line="360" w:lineRule="auto"/>
        <w:rPr>
          <w:rFonts w:asciiTheme="minorEastAsia" w:hAnsiTheme="minorEastAsia" w:eastAsiaTheme="minorEastAsia"/>
          <w:sz w:val="24"/>
        </w:rPr>
      </w:pPr>
      <w:r>
        <w:rPr>
          <w:rFonts w:hint="eastAsia" w:asciiTheme="minorEastAsia" w:hAnsiTheme="minorEastAsia" w:eastAsiaTheme="minorEastAsia"/>
          <w:sz w:val="24"/>
        </w:rPr>
        <w:t>3、我方未被地市级及其以上行政主管部门做出取消投标资格的处罚且该处罚在有效期内的；</w:t>
      </w:r>
    </w:p>
    <w:p w14:paraId="18926D11">
      <w:pPr>
        <w:spacing w:line="360" w:lineRule="auto"/>
        <w:rPr>
          <w:rFonts w:asciiTheme="minorEastAsia" w:hAnsiTheme="minorEastAsia" w:eastAsiaTheme="minorEastAsia"/>
          <w:sz w:val="24"/>
        </w:rPr>
      </w:pPr>
      <w:r>
        <w:rPr>
          <w:rFonts w:hint="eastAsia" w:asciiTheme="minorEastAsia" w:hAnsiTheme="minorEastAsia" w:eastAsiaTheme="minorEastAsia"/>
          <w:sz w:val="24"/>
        </w:rPr>
        <w:t>4、我方一旦中标，将严格按照投标文件中所承诺的报价、质量、工期、措施、项目负责人等内容组织实施；</w:t>
      </w:r>
    </w:p>
    <w:p w14:paraId="39355DE3">
      <w:pPr>
        <w:spacing w:line="360" w:lineRule="auto"/>
        <w:rPr>
          <w:rFonts w:asciiTheme="minorEastAsia" w:hAnsiTheme="minorEastAsia" w:eastAsiaTheme="minorEastAsia"/>
          <w:sz w:val="24"/>
        </w:rPr>
      </w:pPr>
      <w:r>
        <w:rPr>
          <w:rFonts w:hint="eastAsia" w:asciiTheme="minorEastAsia" w:hAnsiTheme="minorEastAsia" w:eastAsiaTheme="minorEastAsia"/>
          <w:sz w:val="24"/>
        </w:rPr>
        <w:t>5、我方一旦中标，将按规定及时与采购人签订合同；若成交后无正当理由不与采购人签订合同、不履行招标项目合同，将承担法律责任和违约责任，包括承担诉讼费、律师费、顺延标价差额、误工损失等；</w:t>
      </w:r>
    </w:p>
    <w:p w14:paraId="48187E26">
      <w:pPr>
        <w:spacing w:line="360" w:lineRule="auto"/>
        <w:rPr>
          <w:rFonts w:asciiTheme="minorEastAsia" w:hAnsiTheme="minorEastAsia" w:eastAsiaTheme="minorEastAsia"/>
          <w:sz w:val="24"/>
        </w:rPr>
      </w:pPr>
      <w:r>
        <w:rPr>
          <w:rFonts w:hint="eastAsia" w:asciiTheme="minorEastAsia" w:hAnsiTheme="minorEastAsia" w:eastAsiaTheme="minorEastAsia"/>
          <w:sz w:val="24"/>
        </w:rPr>
        <w:t>6、我公司如果中标本项目，对本项目提供的所有货物保证货源全新正品，保质保量，按时供货，否则按合同赔偿违约金，并自愿接受监管部门的相关处罚；</w:t>
      </w:r>
    </w:p>
    <w:p w14:paraId="199DD2F2">
      <w:pPr>
        <w:spacing w:line="360" w:lineRule="auto"/>
        <w:rPr>
          <w:rFonts w:asciiTheme="minorEastAsia" w:hAnsiTheme="minorEastAsia" w:eastAsiaTheme="minorEastAsia"/>
          <w:sz w:val="24"/>
        </w:rPr>
      </w:pPr>
      <w:r>
        <w:rPr>
          <w:rFonts w:hint="eastAsia" w:asciiTheme="minorEastAsia" w:hAnsiTheme="minorEastAsia" w:eastAsiaTheme="minorEastAsia"/>
          <w:sz w:val="24"/>
        </w:rPr>
        <w:t>7、我方提供依法缴纳税收和社会保障资金良好记录的承诺函，如承诺函不实的，愿意按照提供虚假材料的情形承担相应的法律责任和经济责任；</w:t>
      </w:r>
    </w:p>
    <w:p w14:paraId="5A4E7BB2">
      <w:pPr>
        <w:spacing w:line="360" w:lineRule="auto"/>
        <w:rPr>
          <w:rFonts w:asciiTheme="minorEastAsia" w:hAnsiTheme="minorEastAsia" w:eastAsiaTheme="minorEastAsia"/>
          <w:sz w:val="24"/>
        </w:rPr>
      </w:pPr>
      <w:r>
        <w:rPr>
          <w:rFonts w:hint="eastAsia" w:asciiTheme="minorEastAsia" w:hAnsiTheme="minorEastAsia" w:eastAsiaTheme="minorEastAsia"/>
          <w:sz w:val="24"/>
        </w:rPr>
        <w:t>8、</w:t>
      </w:r>
      <w:r>
        <w:rPr>
          <w:rFonts w:hint="eastAsia" w:ascii="宋体" w:hAnsi="宋体"/>
          <w:sz w:val="24"/>
        </w:rPr>
        <w:t>我方提供具有良好的商业信誉和健全的财务会计制度的承诺函，如承诺函不实的，愿意按照提供虚假材料的情形承担相应的法律责任和经济责任；</w:t>
      </w:r>
    </w:p>
    <w:p w14:paraId="12C2A405">
      <w:pPr>
        <w:spacing w:line="360" w:lineRule="auto"/>
        <w:rPr>
          <w:rFonts w:asciiTheme="minorEastAsia" w:hAnsiTheme="minorEastAsia" w:eastAsiaTheme="minorEastAsia"/>
          <w:sz w:val="24"/>
        </w:rPr>
      </w:pPr>
      <w:r>
        <w:rPr>
          <w:rFonts w:hint="eastAsia" w:asciiTheme="minorEastAsia" w:hAnsiTheme="minorEastAsia" w:eastAsiaTheme="minorEastAsia"/>
          <w:sz w:val="24"/>
        </w:rPr>
        <w:t>9、我方在本次投标活动中绝无资质挂靠、串标、围标情形，若出现下列情形，立即取消我方投标资格并承担相应的法律责任：</w:t>
      </w:r>
    </w:p>
    <w:p w14:paraId="76AA4328">
      <w:pPr>
        <w:spacing w:line="360" w:lineRule="auto"/>
        <w:rPr>
          <w:rFonts w:asciiTheme="minorEastAsia" w:hAnsiTheme="minorEastAsia" w:eastAsiaTheme="minorEastAsia"/>
          <w:sz w:val="24"/>
        </w:rPr>
      </w:pPr>
      <w:r>
        <w:rPr>
          <w:rFonts w:hint="eastAsia" w:asciiTheme="minorEastAsia" w:hAnsiTheme="minorEastAsia" w:eastAsiaTheme="minorEastAsia"/>
          <w:sz w:val="24"/>
        </w:rPr>
        <w:t>（1）不同投标人的投标文件由同一单位或者个人编制；</w:t>
      </w:r>
    </w:p>
    <w:p w14:paraId="32DC9500">
      <w:pPr>
        <w:spacing w:line="360" w:lineRule="auto"/>
        <w:rPr>
          <w:rFonts w:asciiTheme="minorEastAsia" w:hAnsiTheme="minorEastAsia" w:eastAsiaTheme="minorEastAsia"/>
          <w:sz w:val="24"/>
        </w:rPr>
      </w:pPr>
      <w:r>
        <w:rPr>
          <w:rFonts w:hint="eastAsia" w:asciiTheme="minorEastAsia" w:hAnsiTheme="minorEastAsia" w:eastAsiaTheme="minorEastAsia"/>
          <w:sz w:val="24"/>
        </w:rPr>
        <w:t>（2）不同投标人委托同一单位或者个人办理投标事宜；</w:t>
      </w:r>
    </w:p>
    <w:p w14:paraId="6EC5C736">
      <w:pPr>
        <w:spacing w:line="360" w:lineRule="auto"/>
        <w:rPr>
          <w:rFonts w:asciiTheme="minorEastAsia" w:hAnsiTheme="minorEastAsia" w:eastAsiaTheme="minorEastAsia"/>
          <w:sz w:val="24"/>
        </w:rPr>
      </w:pPr>
      <w:r>
        <w:rPr>
          <w:rFonts w:hint="eastAsia" w:asciiTheme="minorEastAsia" w:hAnsiTheme="minorEastAsia" w:eastAsiaTheme="minorEastAsia"/>
          <w:sz w:val="24"/>
        </w:rPr>
        <w:t>（3）不同投标人的投标文件载明的项目管理成员或者联系人员为同一人；</w:t>
      </w:r>
    </w:p>
    <w:p w14:paraId="42E3B30F">
      <w:pPr>
        <w:spacing w:line="360" w:lineRule="auto"/>
        <w:rPr>
          <w:rFonts w:asciiTheme="minorEastAsia" w:hAnsiTheme="minorEastAsia" w:eastAsiaTheme="minorEastAsia"/>
          <w:sz w:val="24"/>
        </w:rPr>
      </w:pPr>
      <w:r>
        <w:rPr>
          <w:rFonts w:hint="eastAsia" w:asciiTheme="minorEastAsia" w:hAnsiTheme="minorEastAsia" w:eastAsiaTheme="minorEastAsia"/>
          <w:sz w:val="24"/>
        </w:rPr>
        <w:t>（4）不同投标人的投标文件异常一致或者投标报价呈规律性差异；</w:t>
      </w:r>
    </w:p>
    <w:p w14:paraId="60D51A4A">
      <w:pPr>
        <w:spacing w:line="360" w:lineRule="auto"/>
        <w:rPr>
          <w:rFonts w:asciiTheme="minorEastAsia" w:hAnsiTheme="minorEastAsia" w:eastAsiaTheme="minorEastAsia"/>
          <w:sz w:val="24"/>
        </w:rPr>
      </w:pPr>
      <w:r>
        <w:rPr>
          <w:rFonts w:hint="eastAsia" w:asciiTheme="minorEastAsia" w:hAnsiTheme="minorEastAsia" w:eastAsiaTheme="minorEastAsia"/>
          <w:sz w:val="24"/>
        </w:rPr>
        <w:t>（5）不同投标人的投标文件相互混装；</w:t>
      </w:r>
    </w:p>
    <w:p w14:paraId="604690A2">
      <w:pPr>
        <w:spacing w:line="360" w:lineRule="auto"/>
        <w:rPr>
          <w:rFonts w:asciiTheme="minorEastAsia" w:hAnsiTheme="minorEastAsia" w:eastAsiaTheme="minorEastAsia"/>
          <w:sz w:val="24"/>
        </w:rPr>
      </w:pPr>
      <w:r>
        <w:rPr>
          <w:rFonts w:hint="eastAsia" w:asciiTheme="minorEastAsia" w:hAnsiTheme="minorEastAsia" w:eastAsiaTheme="minorEastAsia"/>
          <w:sz w:val="24"/>
        </w:rPr>
        <w:t>（6）单位负责人为同一人或者存在直接控股、管理关系的不同供应商，同时参加本项目采购活动；</w:t>
      </w:r>
    </w:p>
    <w:p w14:paraId="1AB45A22">
      <w:pPr>
        <w:spacing w:line="276" w:lineRule="auto"/>
        <w:rPr>
          <w:rFonts w:asciiTheme="minorEastAsia" w:hAnsiTheme="minorEastAsia" w:eastAsiaTheme="minorEastAsia"/>
          <w:sz w:val="24"/>
        </w:rPr>
      </w:pPr>
      <w:r>
        <w:rPr>
          <w:rFonts w:hint="eastAsia" w:asciiTheme="minorEastAsia" w:hAnsiTheme="minorEastAsia" w:eastAsiaTheme="minorEastAsia"/>
          <w:sz w:val="24"/>
        </w:rPr>
        <w:t>根据国家企业信用信息公示系统（</w:t>
      </w:r>
      <w:r>
        <w:fldChar w:fldCharType="begin"/>
      </w:r>
      <w:r>
        <w:instrText xml:space="preserve"> HYPERLINK "http://www.gsxt.gov.cn/" </w:instrText>
      </w:r>
      <w:r>
        <w:fldChar w:fldCharType="separate"/>
      </w:r>
      <w:r>
        <w:rPr>
          <w:rFonts w:asciiTheme="minorEastAsia" w:hAnsiTheme="minorEastAsia" w:eastAsiaTheme="minorEastAsia"/>
          <w:sz w:val="24"/>
        </w:rPr>
        <w:t>http://www.gsxt.gov.cn/</w:t>
      </w:r>
      <w:r>
        <w:rPr>
          <w:rFonts w:asciiTheme="minorEastAsia" w:hAnsiTheme="minorEastAsia" w:eastAsiaTheme="minorEastAsia"/>
          <w:sz w:val="24"/>
        </w:rPr>
        <w:fldChar w:fldCharType="end"/>
      </w:r>
      <w:r>
        <w:rPr>
          <w:rFonts w:hint="eastAsia" w:asciiTheme="minorEastAsia" w:hAnsiTheme="minorEastAsia" w:eastAsiaTheme="minorEastAsia"/>
          <w:sz w:val="24"/>
        </w:rPr>
        <w:t>）登记信息提供以下内容：</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337F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3AD2FCBE">
            <w:pPr>
              <w:spacing w:line="276" w:lineRule="auto"/>
              <w:rPr>
                <w:rFonts w:asciiTheme="minorEastAsia" w:hAnsiTheme="minorEastAsia" w:eastAsiaTheme="minorEastAsia"/>
                <w:sz w:val="24"/>
              </w:rPr>
            </w:pPr>
            <w:r>
              <w:rPr>
                <w:rFonts w:hint="eastAsia" w:asciiTheme="minorEastAsia" w:hAnsiTheme="minorEastAsia" w:eastAsiaTheme="minorEastAsia"/>
                <w:sz w:val="24"/>
              </w:rPr>
              <w:t>序号</w:t>
            </w:r>
          </w:p>
        </w:tc>
        <w:tc>
          <w:tcPr>
            <w:tcW w:w="2319" w:type="dxa"/>
            <w:vAlign w:val="center"/>
          </w:tcPr>
          <w:p w14:paraId="6CF899AA">
            <w:pPr>
              <w:spacing w:line="276" w:lineRule="auto"/>
              <w:rPr>
                <w:rFonts w:asciiTheme="minorEastAsia" w:hAnsiTheme="minorEastAsia" w:eastAsiaTheme="minorEastAsia"/>
                <w:sz w:val="24"/>
              </w:rPr>
            </w:pPr>
            <w:r>
              <w:rPr>
                <w:rFonts w:hint="eastAsia" w:asciiTheme="minorEastAsia" w:hAnsiTheme="minorEastAsia" w:eastAsiaTheme="minorEastAsia"/>
                <w:sz w:val="24"/>
              </w:rPr>
              <w:t>股东名称</w:t>
            </w:r>
          </w:p>
        </w:tc>
        <w:tc>
          <w:tcPr>
            <w:tcW w:w="2410" w:type="dxa"/>
            <w:vAlign w:val="center"/>
          </w:tcPr>
          <w:p w14:paraId="103C3DAC">
            <w:pPr>
              <w:spacing w:line="276" w:lineRule="auto"/>
              <w:rPr>
                <w:rFonts w:asciiTheme="minorEastAsia" w:hAnsiTheme="minorEastAsia" w:eastAsiaTheme="minorEastAsia"/>
                <w:sz w:val="24"/>
              </w:rPr>
            </w:pPr>
            <w:r>
              <w:rPr>
                <w:rFonts w:hint="eastAsia" w:asciiTheme="minorEastAsia" w:hAnsiTheme="minorEastAsia" w:eastAsiaTheme="minorEastAsia"/>
                <w:sz w:val="24"/>
              </w:rPr>
              <w:t>股东类型</w:t>
            </w:r>
          </w:p>
        </w:tc>
        <w:tc>
          <w:tcPr>
            <w:tcW w:w="1559" w:type="dxa"/>
          </w:tcPr>
          <w:p w14:paraId="5932F872">
            <w:pPr>
              <w:spacing w:line="276" w:lineRule="auto"/>
              <w:rPr>
                <w:rFonts w:asciiTheme="minorEastAsia" w:hAnsiTheme="minorEastAsia" w:eastAsiaTheme="minorEastAsia"/>
                <w:sz w:val="24"/>
              </w:rPr>
            </w:pPr>
            <w:r>
              <w:rPr>
                <w:rFonts w:hint="eastAsia" w:asciiTheme="minorEastAsia" w:hAnsiTheme="minorEastAsia" w:eastAsiaTheme="minorEastAsia"/>
                <w:sz w:val="24"/>
              </w:rPr>
              <w:t>占股比例</w:t>
            </w:r>
          </w:p>
        </w:tc>
        <w:tc>
          <w:tcPr>
            <w:tcW w:w="1468" w:type="dxa"/>
            <w:vAlign w:val="center"/>
          </w:tcPr>
          <w:p w14:paraId="58D18818">
            <w:pPr>
              <w:spacing w:line="276" w:lineRule="auto"/>
              <w:rPr>
                <w:rFonts w:asciiTheme="minorEastAsia" w:hAnsiTheme="minorEastAsia" w:eastAsiaTheme="minorEastAsia"/>
                <w:sz w:val="24"/>
              </w:rPr>
            </w:pPr>
            <w:r>
              <w:rPr>
                <w:rFonts w:hint="eastAsia" w:asciiTheme="minorEastAsia" w:hAnsiTheme="minorEastAsia" w:eastAsiaTheme="minorEastAsia"/>
                <w:sz w:val="24"/>
              </w:rPr>
              <w:t>备注</w:t>
            </w:r>
          </w:p>
        </w:tc>
      </w:tr>
      <w:tr w14:paraId="02A8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6FDDC519">
            <w:pPr>
              <w:spacing w:line="276" w:lineRule="auto"/>
              <w:rPr>
                <w:rFonts w:asciiTheme="minorEastAsia" w:hAnsiTheme="minorEastAsia" w:eastAsiaTheme="minorEastAsia"/>
                <w:sz w:val="24"/>
              </w:rPr>
            </w:pPr>
            <w:r>
              <w:rPr>
                <w:rFonts w:hint="eastAsia" w:asciiTheme="minorEastAsia" w:hAnsiTheme="minorEastAsia" w:eastAsiaTheme="minorEastAsia"/>
                <w:sz w:val="24"/>
              </w:rPr>
              <w:t>1</w:t>
            </w:r>
          </w:p>
        </w:tc>
        <w:tc>
          <w:tcPr>
            <w:tcW w:w="2319" w:type="dxa"/>
            <w:vAlign w:val="center"/>
          </w:tcPr>
          <w:p w14:paraId="6FA5747A">
            <w:pPr>
              <w:spacing w:line="276" w:lineRule="auto"/>
              <w:rPr>
                <w:rFonts w:asciiTheme="minorEastAsia" w:hAnsiTheme="minorEastAsia" w:eastAsiaTheme="minorEastAsia"/>
                <w:sz w:val="24"/>
              </w:rPr>
            </w:pPr>
          </w:p>
        </w:tc>
        <w:tc>
          <w:tcPr>
            <w:tcW w:w="2410" w:type="dxa"/>
            <w:vAlign w:val="center"/>
          </w:tcPr>
          <w:p w14:paraId="521D2942">
            <w:pPr>
              <w:spacing w:line="276" w:lineRule="auto"/>
              <w:rPr>
                <w:rFonts w:asciiTheme="minorEastAsia" w:hAnsiTheme="minorEastAsia" w:eastAsiaTheme="minorEastAsia"/>
                <w:sz w:val="24"/>
              </w:rPr>
            </w:pPr>
          </w:p>
        </w:tc>
        <w:tc>
          <w:tcPr>
            <w:tcW w:w="1559" w:type="dxa"/>
          </w:tcPr>
          <w:p w14:paraId="412960AC">
            <w:pPr>
              <w:spacing w:line="276" w:lineRule="auto"/>
              <w:rPr>
                <w:rFonts w:asciiTheme="minorEastAsia" w:hAnsiTheme="minorEastAsia" w:eastAsiaTheme="minorEastAsia"/>
                <w:sz w:val="24"/>
              </w:rPr>
            </w:pPr>
          </w:p>
        </w:tc>
        <w:tc>
          <w:tcPr>
            <w:tcW w:w="1468" w:type="dxa"/>
            <w:vAlign w:val="center"/>
          </w:tcPr>
          <w:p w14:paraId="722E8B35">
            <w:pPr>
              <w:spacing w:line="276" w:lineRule="auto"/>
              <w:rPr>
                <w:rFonts w:asciiTheme="minorEastAsia" w:hAnsiTheme="minorEastAsia" w:eastAsiaTheme="minorEastAsia"/>
                <w:sz w:val="24"/>
              </w:rPr>
            </w:pPr>
          </w:p>
        </w:tc>
      </w:tr>
      <w:tr w14:paraId="5F3D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46E5C5DD">
            <w:pPr>
              <w:spacing w:line="276" w:lineRule="auto"/>
              <w:rPr>
                <w:rFonts w:asciiTheme="minorEastAsia" w:hAnsiTheme="minorEastAsia" w:eastAsiaTheme="minorEastAsia"/>
                <w:sz w:val="24"/>
              </w:rPr>
            </w:pPr>
            <w:r>
              <w:rPr>
                <w:rFonts w:hint="eastAsia" w:asciiTheme="minorEastAsia" w:hAnsiTheme="minorEastAsia" w:eastAsiaTheme="minorEastAsia"/>
                <w:sz w:val="24"/>
              </w:rPr>
              <w:t>2</w:t>
            </w:r>
          </w:p>
        </w:tc>
        <w:tc>
          <w:tcPr>
            <w:tcW w:w="2319" w:type="dxa"/>
            <w:vAlign w:val="center"/>
          </w:tcPr>
          <w:p w14:paraId="66CD521F">
            <w:pPr>
              <w:spacing w:line="276" w:lineRule="auto"/>
              <w:rPr>
                <w:rFonts w:asciiTheme="minorEastAsia" w:hAnsiTheme="minorEastAsia" w:eastAsiaTheme="minorEastAsia"/>
                <w:sz w:val="24"/>
              </w:rPr>
            </w:pPr>
          </w:p>
        </w:tc>
        <w:tc>
          <w:tcPr>
            <w:tcW w:w="2410" w:type="dxa"/>
            <w:vAlign w:val="center"/>
          </w:tcPr>
          <w:p w14:paraId="36083307">
            <w:pPr>
              <w:spacing w:line="276" w:lineRule="auto"/>
              <w:rPr>
                <w:rFonts w:asciiTheme="minorEastAsia" w:hAnsiTheme="minorEastAsia" w:eastAsiaTheme="minorEastAsia"/>
                <w:sz w:val="24"/>
              </w:rPr>
            </w:pPr>
          </w:p>
        </w:tc>
        <w:tc>
          <w:tcPr>
            <w:tcW w:w="1559" w:type="dxa"/>
          </w:tcPr>
          <w:p w14:paraId="0094DF9E">
            <w:pPr>
              <w:spacing w:line="276" w:lineRule="auto"/>
              <w:rPr>
                <w:rFonts w:asciiTheme="minorEastAsia" w:hAnsiTheme="minorEastAsia" w:eastAsiaTheme="minorEastAsia"/>
                <w:sz w:val="24"/>
              </w:rPr>
            </w:pPr>
          </w:p>
        </w:tc>
        <w:tc>
          <w:tcPr>
            <w:tcW w:w="1468" w:type="dxa"/>
            <w:vAlign w:val="center"/>
          </w:tcPr>
          <w:p w14:paraId="0D972CDA">
            <w:pPr>
              <w:spacing w:line="276" w:lineRule="auto"/>
              <w:rPr>
                <w:rFonts w:asciiTheme="minorEastAsia" w:hAnsiTheme="minorEastAsia" w:eastAsiaTheme="minorEastAsia"/>
                <w:sz w:val="24"/>
              </w:rPr>
            </w:pPr>
          </w:p>
        </w:tc>
      </w:tr>
      <w:tr w14:paraId="30C3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3BA24CE0">
            <w:pPr>
              <w:spacing w:line="276" w:lineRule="auto"/>
              <w:rPr>
                <w:rFonts w:asciiTheme="minorEastAsia" w:hAnsiTheme="minorEastAsia" w:eastAsiaTheme="minorEastAsia"/>
                <w:sz w:val="24"/>
              </w:rPr>
            </w:pPr>
            <w:r>
              <w:rPr>
                <w:rFonts w:hint="eastAsia" w:asciiTheme="minorEastAsia" w:hAnsiTheme="minorEastAsia" w:eastAsiaTheme="minorEastAsia"/>
                <w:sz w:val="24"/>
              </w:rPr>
              <w:t>……</w:t>
            </w:r>
          </w:p>
        </w:tc>
        <w:tc>
          <w:tcPr>
            <w:tcW w:w="2319" w:type="dxa"/>
            <w:vAlign w:val="center"/>
          </w:tcPr>
          <w:p w14:paraId="5A1AD777">
            <w:pPr>
              <w:spacing w:line="276" w:lineRule="auto"/>
              <w:rPr>
                <w:rFonts w:asciiTheme="minorEastAsia" w:hAnsiTheme="minorEastAsia" w:eastAsiaTheme="minorEastAsia"/>
                <w:sz w:val="24"/>
              </w:rPr>
            </w:pPr>
          </w:p>
        </w:tc>
        <w:tc>
          <w:tcPr>
            <w:tcW w:w="2410" w:type="dxa"/>
            <w:vAlign w:val="center"/>
          </w:tcPr>
          <w:p w14:paraId="385768D2">
            <w:pPr>
              <w:spacing w:line="276" w:lineRule="auto"/>
              <w:rPr>
                <w:rFonts w:asciiTheme="minorEastAsia" w:hAnsiTheme="minorEastAsia" w:eastAsiaTheme="minorEastAsia"/>
                <w:sz w:val="24"/>
              </w:rPr>
            </w:pPr>
          </w:p>
        </w:tc>
        <w:tc>
          <w:tcPr>
            <w:tcW w:w="1559" w:type="dxa"/>
          </w:tcPr>
          <w:p w14:paraId="49346221">
            <w:pPr>
              <w:spacing w:line="276" w:lineRule="auto"/>
              <w:rPr>
                <w:rFonts w:asciiTheme="minorEastAsia" w:hAnsiTheme="minorEastAsia" w:eastAsiaTheme="minorEastAsia"/>
                <w:sz w:val="24"/>
              </w:rPr>
            </w:pPr>
          </w:p>
        </w:tc>
        <w:tc>
          <w:tcPr>
            <w:tcW w:w="1468" w:type="dxa"/>
            <w:vAlign w:val="center"/>
          </w:tcPr>
          <w:p w14:paraId="3EFF4058">
            <w:pPr>
              <w:spacing w:line="276" w:lineRule="auto"/>
              <w:rPr>
                <w:rFonts w:asciiTheme="minorEastAsia" w:hAnsiTheme="minorEastAsia" w:eastAsiaTheme="minorEastAsia"/>
                <w:sz w:val="24"/>
              </w:rPr>
            </w:pPr>
          </w:p>
        </w:tc>
      </w:tr>
    </w:tbl>
    <w:p w14:paraId="08286560">
      <w:pPr>
        <w:spacing w:line="276" w:lineRule="auto"/>
        <w:rPr>
          <w:rFonts w:asciiTheme="minorEastAsia" w:hAnsiTheme="minorEastAsia" w:eastAsiaTheme="minorEastAsia"/>
          <w:sz w:val="24"/>
        </w:rPr>
      </w:pPr>
    </w:p>
    <w:tbl>
      <w:tblPr>
        <w:tblStyle w:val="3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864"/>
      </w:tblGrid>
      <w:tr w14:paraId="729F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18D7A0B7">
            <w:pPr>
              <w:spacing w:line="276" w:lineRule="auto"/>
              <w:rPr>
                <w:rFonts w:asciiTheme="minorEastAsia" w:hAnsiTheme="minorEastAsia" w:eastAsiaTheme="minorEastAsia"/>
                <w:sz w:val="24"/>
              </w:rPr>
            </w:pPr>
            <w:r>
              <w:rPr>
                <w:rFonts w:hint="eastAsia" w:asciiTheme="minorEastAsia" w:hAnsiTheme="minorEastAsia" w:eastAsiaTheme="minorEastAsia"/>
                <w:sz w:val="24"/>
              </w:rPr>
              <w:t>序号</w:t>
            </w:r>
          </w:p>
        </w:tc>
        <w:tc>
          <w:tcPr>
            <w:tcW w:w="2340" w:type="dxa"/>
            <w:vAlign w:val="center"/>
          </w:tcPr>
          <w:p w14:paraId="138871DB">
            <w:pPr>
              <w:spacing w:line="276" w:lineRule="auto"/>
              <w:rPr>
                <w:rFonts w:asciiTheme="minorEastAsia" w:hAnsiTheme="minorEastAsia" w:eastAsiaTheme="minorEastAsia"/>
                <w:sz w:val="24"/>
              </w:rPr>
            </w:pPr>
            <w:r>
              <w:rPr>
                <w:rFonts w:hint="eastAsia" w:asciiTheme="minorEastAsia" w:hAnsiTheme="minorEastAsia" w:eastAsiaTheme="minorEastAsia"/>
                <w:sz w:val="24"/>
              </w:rPr>
              <w:t>主要人员姓名</w:t>
            </w:r>
          </w:p>
        </w:tc>
        <w:tc>
          <w:tcPr>
            <w:tcW w:w="1440" w:type="dxa"/>
            <w:vAlign w:val="center"/>
          </w:tcPr>
          <w:p w14:paraId="087056E3">
            <w:pPr>
              <w:spacing w:line="276" w:lineRule="auto"/>
              <w:rPr>
                <w:rFonts w:asciiTheme="minorEastAsia" w:hAnsiTheme="minorEastAsia" w:eastAsiaTheme="minorEastAsia"/>
                <w:sz w:val="24"/>
              </w:rPr>
            </w:pPr>
            <w:r>
              <w:rPr>
                <w:rFonts w:hint="eastAsia" w:asciiTheme="minorEastAsia" w:hAnsiTheme="minorEastAsia" w:eastAsiaTheme="minorEastAsia"/>
                <w:sz w:val="24"/>
              </w:rPr>
              <w:t>职务</w:t>
            </w:r>
          </w:p>
        </w:tc>
        <w:tc>
          <w:tcPr>
            <w:tcW w:w="3864" w:type="dxa"/>
            <w:vAlign w:val="center"/>
          </w:tcPr>
          <w:p w14:paraId="321E1D31">
            <w:pPr>
              <w:spacing w:line="276" w:lineRule="auto"/>
              <w:rPr>
                <w:rFonts w:asciiTheme="minorEastAsia" w:hAnsiTheme="minorEastAsia" w:eastAsiaTheme="minorEastAsia"/>
                <w:sz w:val="24"/>
              </w:rPr>
            </w:pPr>
            <w:r>
              <w:rPr>
                <w:rFonts w:hint="eastAsia" w:asciiTheme="minorEastAsia" w:hAnsiTheme="minorEastAsia" w:eastAsiaTheme="minorEastAsia"/>
                <w:sz w:val="24"/>
              </w:rPr>
              <w:t>身份证号</w:t>
            </w:r>
          </w:p>
        </w:tc>
      </w:tr>
      <w:tr w14:paraId="1157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15F7A3E6">
            <w:pPr>
              <w:spacing w:line="276" w:lineRule="auto"/>
              <w:rPr>
                <w:rFonts w:asciiTheme="minorEastAsia" w:hAnsiTheme="minorEastAsia" w:eastAsiaTheme="minorEastAsia"/>
                <w:sz w:val="24"/>
              </w:rPr>
            </w:pPr>
            <w:r>
              <w:rPr>
                <w:rFonts w:hint="eastAsia" w:asciiTheme="minorEastAsia" w:hAnsiTheme="minorEastAsia" w:eastAsiaTheme="minorEastAsia"/>
                <w:sz w:val="24"/>
              </w:rPr>
              <w:t>1</w:t>
            </w:r>
          </w:p>
        </w:tc>
        <w:tc>
          <w:tcPr>
            <w:tcW w:w="2340" w:type="dxa"/>
            <w:vAlign w:val="center"/>
          </w:tcPr>
          <w:p w14:paraId="6418CC8C">
            <w:pPr>
              <w:spacing w:line="276" w:lineRule="auto"/>
              <w:rPr>
                <w:rFonts w:asciiTheme="minorEastAsia" w:hAnsiTheme="minorEastAsia" w:eastAsiaTheme="minorEastAsia"/>
                <w:sz w:val="24"/>
              </w:rPr>
            </w:pPr>
          </w:p>
        </w:tc>
        <w:tc>
          <w:tcPr>
            <w:tcW w:w="1440" w:type="dxa"/>
            <w:vAlign w:val="center"/>
          </w:tcPr>
          <w:p w14:paraId="7088252E">
            <w:pPr>
              <w:spacing w:line="276" w:lineRule="auto"/>
              <w:rPr>
                <w:rFonts w:asciiTheme="minorEastAsia" w:hAnsiTheme="minorEastAsia" w:eastAsiaTheme="minorEastAsia"/>
                <w:sz w:val="24"/>
              </w:rPr>
            </w:pPr>
          </w:p>
        </w:tc>
        <w:tc>
          <w:tcPr>
            <w:tcW w:w="3864" w:type="dxa"/>
            <w:vAlign w:val="center"/>
          </w:tcPr>
          <w:p w14:paraId="63699D0D">
            <w:pPr>
              <w:spacing w:line="276" w:lineRule="auto"/>
              <w:rPr>
                <w:rFonts w:asciiTheme="minorEastAsia" w:hAnsiTheme="minorEastAsia" w:eastAsiaTheme="minorEastAsia"/>
                <w:sz w:val="24"/>
              </w:rPr>
            </w:pPr>
          </w:p>
        </w:tc>
      </w:tr>
      <w:tr w14:paraId="2996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36B4A37F">
            <w:pPr>
              <w:spacing w:line="276" w:lineRule="auto"/>
              <w:rPr>
                <w:rFonts w:asciiTheme="minorEastAsia" w:hAnsiTheme="minorEastAsia" w:eastAsiaTheme="minorEastAsia"/>
                <w:sz w:val="24"/>
              </w:rPr>
            </w:pPr>
            <w:r>
              <w:rPr>
                <w:rFonts w:hint="eastAsia" w:asciiTheme="minorEastAsia" w:hAnsiTheme="minorEastAsia" w:eastAsiaTheme="minorEastAsia"/>
                <w:sz w:val="24"/>
              </w:rPr>
              <w:t>2</w:t>
            </w:r>
          </w:p>
        </w:tc>
        <w:tc>
          <w:tcPr>
            <w:tcW w:w="2340" w:type="dxa"/>
            <w:vAlign w:val="center"/>
          </w:tcPr>
          <w:p w14:paraId="6FD8A0E0">
            <w:pPr>
              <w:spacing w:line="276" w:lineRule="auto"/>
              <w:rPr>
                <w:rFonts w:asciiTheme="minorEastAsia" w:hAnsiTheme="minorEastAsia" w:eastAsiaTheme="minorEastAsia"/>
                <w:sz w:val="24"/>
              </w:rPr>
            </w:pPr>
          </w:p>
        </w:tc>
        <w:tc>
          <w:tcPr>
            <w:tcW w:w="1440" w:type="dxa"/>
            <w:vAlign w:val="center"/>
          </w:tcPr>
          <w:p w14:paraId="0CB878D8">
            <w:pPr>
              <w:spacing w:line="276" w:lineRule="auto"/>
              <w:rPr>
                <w:rFonts w:asciiTheme="minorEastAsia" w:hAnsiTheme="minorEastAsia" w:eastAsiaTheme="minorEastAsia"/>
                <w:sz w:val="24"/>
              </w:rPr>
            </w:pPr>
          </w:p>
        </w:tc>
        <w:tc>
          <w:tcPr>
            <w:tcW w:w="3864" w:type="dxa"/>
            <w:vAlign w:val="center"/>
          </w:tcPr>
          <w:p w14:paraId="605D294C">
            <w:pPr>
              <w:spacing w:line="276" w:lineRule="auto"/>
              <w:rPr>
                <w:rFonts w:asciiTheme="minorEastAsia" w:hAnsiTheme="minorEastAsia" w:eastAsiaTheme="minorEastAsia"/>
                <w:sz w:val="24"/>
              </w:rPr>
            </w:pPr>
          </w:p>
        </w:tc>
      </w:tr>
      <w:tr w14:paraId="3FB2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50F9F309">
            <w:pPr>
              <w:spacing w:line="276" w:lineRule="auto"/>
              <w:rPr>
                <w:rFonts w:asciiTheme="minorEastAsia" w:hAnsiTheme="minorEastAsia" w:eastAsiaTheme="minorEastAsia"/>
                <w:sz w:val="24"/>
              </w:rPr>
            </w:pPr>
            <w:r>
              <w:rPr>
                <w:rFonts w:hint="eastAsia" w:asciiTheme="minorEastAsia" w:hAnsiTheme="minorEastAsia" w:eastAsiaTheme="minorEastAsia"/>
                <w:sz w:val="24"/>
              </w:rPr>
              <w:t>……</w:t>
            </w:r>
          </w:p>
        </w:tc>
        <w:tc>
          <w:tcPr>
            <w:tcW w:w="2340" w:type="dxa"/>
            <w:vAlign w:val="center"/>
          </w:tcPr>
          <w:p w14:paraId="5C06B734">
            <w:pPr>
              <w:spacing w:line="276" w:lineRule="auto"/>
              <w:rPr>
                <w:rFonts w:asciiTheme="minorEastAsia" w:hAnsiTheme="minorEastAsia" w:eastAsiaTheme="minorEastAsia"/>
                <w:sz w:val="24"/>
              </w:rPr>
            </w:pPr>
          </w:p>
        </w:tc>
        <w:tc>
          <w:tcPr>
            <w:tcW w:w="1440" w:type="dxa"/>
            <w:vAlign w:val="center"/>
          </w:tcPr>
          <w:p w14:paraId="7547D33D">
            <w:pPr>
              <w:spacing w:line="276" w:lineRule="auto"/>
              <w:rPr>
                <w:rFonts w:asciiTheme="minorEastAsia" w:hAnsiTheme="minorEastAsia" w:eastAsiaTheme="minorEastAsia"/>
                <w:sz w:val="24"/>
              </w:rPr>
            </w:pPr>
          </w:p>
        </w:tc>
        <w:tc>
          <w:tcPr>
            <w:tcW w:w="3864" w:type="dxa"/>
            <w:vAlign w:val="center"/>
          </w:tcPr>
          <w:p w14:paraId="77A36400">
            <w:pPr>
              <w:spacing w:line="276" w:lineRule="auto"/>
              <w:rPr>
                <w:rFonts w:asciiTheme="minorEastAsia" w:hAnsiTheme="minorEastAsia" w:eastAsiaTheme="minorEastAsia"/>
                <w:sz w:val="24"/>
              </w:rPr>
            </w:pPr>
          </w:p>
        </w:tc>
      </w:tr>
    </w:tbl>
    <w:p w14:paraId="2503F234">
      <w:pPr>
        <w:spacing w:line="360" w:lineRule="auto"/>
        <w:rPr>
          <w:rFonts w:asciiTheme="minorEastAsia" w:hAnsiTheme="minorEastAsia" w:eastAsiaTheme="minorEastAsia"/>
          <w:sz w:val="24"/>
        </w:rPr>
      </w:pPr>
    </w:p>
    <w:p w14:paraId="7ED14C8B">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投标人名称：（盖公章）</w:t>
      </w:r>
    </w:p>
    <w:p w14:paraId="5781F619">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法定代表人（或授权代理人）：（签字或盖章）</w:t>
      </w:r>
    </w:p>
    <w:p w14:paraId="5368C1D9">
      <w:pPr>
        <w:spacing w:line="360" w:lineRule="auto"/>
        <w:rPr>
          <w:rFonts w:asciiTheme="minorEastAsia" w:hAnsiTheme="minorEastAsia" w:eastAsiaTheme="minorEastAsia"/>
          <w:b/>
          <w:bCs/>
          <w:sz w:val="24"/>
        </w:rPr>
      </w:pPr>
      <w:r>
        <w:rPr>
          <w:rFonts w:hint="eastAsia" w:asciiTheme="minorEastAsia" w:hAnsiTheme="minorEastAsia" w:eastAsiaTheme="minorEastAsia"/>
          <w:sz w:val="24"/>
        </w:rPr>
        <w:t>日期：2024年 月 日</w:t>
      </w:r>
    </w:p>
    <w:p w14:paraId="680CDE46">
      <w:pPr>
        <w:spacing w:line="276" w:lineRule="auto"/>
        <w:rPr>
          <w:rFonts w:asciiTheme="minorEastAsia" w:hAnsiTheme="minorEastAsia" w:eastAsiaTheme="minorEastAsia"/>
          <w:b/>
          <w:sz w:val="24"/>
        </w:rPr>
      </w:pPr>
    </w:p>
    <w:p w14:paraId="112A7E52">
      <w:pPr>
        <w:spacing w:line="276" w:lineRule="auto"/>
        <w:rPr>
          <w:rFonts w:asciiTheme="minorEastAsia" w:hAnsiTheme="minorEastAsia" w:eastAsiaTheme="minorEastAsia"/>
          <w:b/>
          <w:sz w:val="24"/>
        </w:rPr>
      </w:pPr>
    </w:p>
    <w:p w14:paraId="60049AC3">
      <w:pPr>
        <w:spacing w:line="276" w:lineRule="auto"/>
        <w:rPr>
          <w:rFonts w:asciiTheme="minorEastAsia" w:hAnsiTheme="minorEastAsia" w:eastAsiaTheme="minorEastAsia"/>
          <w:b/>
          <w:sz w:val="24"/>
        </w:rPr>
      </w:pPr>
    </w:p>
    <w:p w14:paraId="559F8AA2">
      <w:pPr>
        <w:spacing w:line="276" w:lineRule="auto"/>
        <w:rPr>
          <w:rFonts w:asciiTheme="minorEastAsia" w:hAnsiTheme="minorEastAsia" w:eastAsiaTheme="minorEastAsia"/>
          <w:b/>
          <w:sz w:val="24"/>
        </w:rPr>
      </w:pPr>
    </w:p>
    <w:p w14:paraId="393DD49A">
      <w:pPr>
        <w:spacing w:line="276" w:lineRule="auto"/>
        <w:rPr>
          <w:rFonts w:asciiTheme="minorEastAsia" w:hAnsiTheme="minorEastAsia" w:eastAsiaTheme="minorEastAsia"/>
          <w:b/>
          <w:sz w:val="24"/>
        </w:rPr>
      </w:pPr>
    </w:p>
    <w:p w14:paraId="46218A97">
      <w:pPr>
        <w:spacing w:line="276" w:lineRule="auto"/>
        <w:rPr>
          <w:rFonts w:asciiTheme="minorEastAsia" w:hAnsiTheme="minorEastAsia" w:eastAsiaTheme="minorEastAsia"/>
          <w:b/>
          <w:sz w:val="24"/>
        </w:rPr>
      </w:pPr>
    </w:p>
    <w:p w14:paraId="7F718CF6">
      <w:pPr>
        <w:spacing w:line="276" w:lineRule="auto"/>
        <w:rPr>
          <w:rFonts w:asciiTheme="minorEastAsia" w:hAnsiTheme="minorEastAsia" w:eastAsiaTheme="minorEastAsia"/>
          <w:b/>
          <w:sz w:val="24"/>
        </w:rPr>
      </w:pPr>
    </w:p>
    <w:p w14:paraId="26614F2F">
      <w:pPr>
        <w:spacing w:line="276" w:lineRule="auto"/>
        <w:rPr>
          <w:rFonts w:asciiTheme="minorEastAsia" w:hAnsiTheme="minorEastAsia" w:eastAsiaTheme="minorEastAsia"/>
          <w:b/>
          <w:sz w:val="24"/>
        </w:rPr>
      </w:pPr>
    </w:p>
    <w:p w14:paraId="2F7DFBB6">
      <w:pPr>
        <w:spacing w:line="276" w:lineRule="auto"/>
        <w:rPr>
          <w:rFonts w:asciiTheme="minorEastAsia" w:hAnsiTheme="minorEastAsia" w:eastAsiaTheme="minorEastAsia"/>
          <w:bCs/>
          <w:sz w:val="24"/>
        </w:rPr>
      </w:pPr>
      <w:r>
        <w:rPr>
          <w:rFonts w:hint="eastAsia" w:asciiTheme="minorEastAsia" w:hAnsiTheme="minorEastAsia" w:eastAsiaTheme="minorEastAsia"/>
          <w:b/>
          <w:bCs/>
          <w:sz w:val="24"/>
        </w:rPr>
        <w:t>5.9  其他资格证明文件</w:t>
      </w:r>
    </w:p>
    <w:p w14:paraId="30A53789">
      <w:pPr>
        <w:pStyle w:val="28"/>
      </w:pPr>
    </w:p>
    <w:p w14:paraId="77E44A63">
      <w:pPr>
        <w:pStyle w:val="28"/>
      </w:pPr>
    </w:p>
    <w:p w14:paraId="44321E4A">
      <w:pPr>
        <w:pStyle w:val="3"/>
      </w:pPr>
      <w:bookmarkStart w:id="68" w:name="_Toc8921"/>
      <w:bookmarkStart w:id="69" w:name="_Toc163481202"/>
      <w:r>
        <w:rPr>
          <w:rFonts w:hint="eastAsia"/>
        </w:rPr>
        <w:t>6、供应商认为需要提供的用于参与评审其他相关资料</w:t>
      </w:r>
      <w:bookmarkEnd w:id="68"/>
      <w:bookmarkEnd w:id="69"/>
    </w:p>
    <w:p w14:paraId="2AC7E699">
      <w:pPr>
        <w:spacing w:line="276" w:lineRule="auto"/>
        <w:rPr>
          <w:rFonts w:asciiTheme="minorEastAsia" w:hAnsiTheme="minorEastAsia" w:eastAsiaTheme="minorEastAsia"/>
          <w:b/>
          <w:sz w:val="24"/>
        </w:rPr>
      </w:pPr>
    </w:p>
    <w:p w14:paraId="5DCC9DA1">
      <w:pPr>
        <w:pStyle w:val="16"/>
        <w:spacing w:line="540" w:lineRule="exact"/>
        <w:rPr>
          <w:rFonts w:hAnsi="宋体"/>
          <w:sz w:val="24"/>
          <w:szCs w:val="24"/>
        </w:rPr>
      </w:pPr>
    </w:p>
    <w:sectPr>
      <w:headerReference r:id="rId3" w:type="default"/>
      <w:footerReference r:id="rId4" w:type="default"/>
      <w:footerReference r:id="rId5" w:type="even"/>
      <w:pgSz w:w="11906" w:h="16838"/>
      <w:pgMar w:top="777" w:right="1469" w:bottom="108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ヒラギノ角ゴ Pro W3">
    <w:altName w:val="Noto Sans SC"/>
    <w:panose1 w:val="00000000000000000000"/>
    <w:charset w:val="80"/>
    <w:family w:val="auto"/>
    <w:pitch w:val="default"/>
    <w:sig w:usb0="00000000" w:usb1="00000000" w:usb2="00000000" w:usb3="00000000" w:csb0="00160000" w:csb1="00000000"/>
  </w:font>
  <w:font w:name="Noto Sans SC">
    <w:panose1 w:val="020B0500000000000000"/>
    <w:charset w:val="86"/>
    <w:family w:val="auto"/>
    <w:pitch w:val="default"/>
    <w:sig w:usb0="20000083" w:usb1="2ADF3C10" w:usb2="00000016" w:usb3="00000000" w:csb0="60060107" w:csb1="00000000"/>
  </w:font>
  <w:font w:name="汉仪中黑简">
    <w:altName w:val="黑体"/>
    <w:panose1 w:val="00000000000000000000"/>
    <w:charset w:val="86"/>
    <w:family w:val="roman"/>
    <w:pitch w:val="default"/>
    <w:sig w:usb0="00000000" w:usb1="00000000" w:usb2="00000002" w:usb3="00000000" w:csb0="0004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86B3F">
    <w:pPr>
      <w:pStyle w:val="20"/>
      <w:framePr w:wrap="around" w:vAnchor="text" w:hAnchor="margin" w:xAlign="center" w:y="1"/>
      <w:rPr>
        <w:rStyle w:val="37"/>
      </w:rPr>
    </w:pPr>
    <w:r>
      <w:fldChar w:fldCharType="begin"/>
    </w:r>
    <w:r>
      <w:rPr>
        <w:rStyle w:val="37"/>
      </w:rPr>
      <w:instrText xml:space="preserve">PAGE  </w:instrText>
    </w:r>
    <w:r>
      <w:fldChar w:fldCharType="separate"/>
    </w:r>
    <w:r>
      <w:rPr>
        <w:rStyle w:val="37"/>
      </w:rPr>
      <w:t>13</w:t>
    </w:r>
    <w:r>
      <w:fldChar w:fldCharType="end"/>
    </w:r>
  </w:p>
  <w:p w14:paraId="4359872C">
    <w:pPr>
      <w:pStyle w:val="20"/>
      <w:rPr>
        <w:sz w:val="13"/>
        <w:szCs w:val="13"/>
      </w:rPr>
    </w:pPr>
    <w:r>
      <w:rPr>
        <w:rFonts w:hint="eastAsia"/>
        <w:sz w:val="13"/>
        <w:szCs w:val="13"/>
      </w:rPr>
      <w:t>海南省教学仪器设备招标中心有限公司编制</w:t>
    </w:r>
  </w:p>
  <w:p w14:paraId="15909D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6CB53">
    <w:pPr>
      <w:pStyle w:val="20"/>
      <w:framePr w:wrap="around" w:vAnchor="text" w:hAnchor="margin" w:xAlign="center" w:y="1"/>
      <w:rPr>
        <w:rStyle w:val="37"/>
      </w:rPr>
    </w:pPr>
    <w:r>
      <w:fldChar w:fldCharType="begin"/>
    </w:r>
    <w:r>
      <w:rPr>
        <w:rStyle w:val="37"/>
      </w:rPr>
      <w:instrText xml:space="preserve">PAGE  </w:instrText>
    </w:r>
    <w:r>
      <w:fldChar w:fldCharType="end"/>
    </w:r>
  </w:p>
  <w:p w14:paraId="57FFC8EF">
    <w:pPr>
      <w:pStyle w:val="20"/>
    </w:pPr>
  </w:p>
  <w:p w14:paraId="2D03504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4E896">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91EB4"/>
    <w:multiLevelType w:val="singleLevel"/>
    <w:tmpl w:val="58491EB4"/>
    <w:lvl w:ilvl="0" w:tentative="0">
      <w:start w:val="3"/>
      <w:numFmt w:val="decimal"/>
      <w:suff w:val="nothing"/>
      <w:lvlText w:val="%1、"/>
      <w:lvlJc w:val="left"/>
    </w:lvl>
  </w:abstractNum>
  <w:abstractNum w:abstractNumId="1">
    <w:nsid w:val="67AB5486"/>
    <w:multiLevelType w:val="singleLevel"/>
    <w:tmpl w:val="67AB5486"/>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gutterAtTop/>
  <w:hideSpellingErrors/>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ayNDcxMrQwsbQ0NDS3NDNR0lEKTi0uzszPAykwqgUAAD7quiwAAAA="/>
    <w:docVar w:name="commondata" w:val="eyJoZGlkIjoiYzcxNDc0NGU2Y2M2MWU4ZGFkZmQzNTE3MDIwYWFmZGIifQ=="/>
  </w:docVars>
  <w:rsids>
    <w:rsidRoot w:val="000F4869"/>
    <w:rsid w:val="00004C06"/>
    <w:rsid w:val="00005517"/>
    <w:rsid w:val="00006A8B"/>
    <w:rsid w:val="00007963"/>
    <w:rsid w:val="00013733"/>
    <w:rsid w:val="00017F00"/>
    <w:rsid w:val="00020C42"/>
    <w:rsid w:val="000211CC"/>
    <w:rsid w:val="000216CB"/>
    <w:rsid w:val="00023668"/>
    <w:rsid w:val="00024439"/>
    <w:rsid w:val="00031BFB"/>
    <w:rsid w:val="00034F20"/>
    <w:rsid w:val="0003703C"/>
    <w:rsid w:val="00037CC3"/>
    <w:rsid w:val="00037F2B"/>
    <w:rsid w:val="00037FC4"/>
    <w:rsid w:val="000473A1"/>
    <w:rsid w:val="00050A5A"/>
    <w:rsid w:val="00050FD1"/>
    <w:rsid w:val="00051374"/>
    <w:rsid w:val="0005224C"/>
    <w:rsid w:val="00054C01"/>
    <w:rsid w:val="0005507B"/>
    <w:rsid w:val="00056BAE"/>
    <w:rsid w:val="000577D9"/>
    <w:rsid w:val="00057CCC"/>
    <w:rsid w:val="000601AB"/>
    <w:rsid w:val="00061668"/>
    <w:rsid w:val="000619AF"/>
    <w:rsid w:val="00062CA7"/>
    <w:rsid w:val="00063F2B"/>
    <w:rsid w:val="0006452E"/>
    <w:rsid w:val="000651A0"/>
    <w:rsid w:val="000665E1"/>
    <w:rsid w:val="00066C6E"/>
    <w:rsid w:val="00066E56"/>
    <w:rsid w:val="00080B2C"/>
    <w:rsid w:val="00081906"/>
    <w:rsid w:val="00082415"/>
    <w:rsid w:val="00083771"/>
    <w:rsid w:val="000846D9"/>
    <w:rsid w:val="00085860"/>
    <w:rsid w:val="00085FEB"/>
    <w:rsid w:val="0008775C"/>
    <w:rsid w:val="00090F2C"/>
    <w:rsid w:val="00092183"/>
    <w:rsid w:val="0009438C"/>
    <w:rsid w:val="00095C3C"/>
    <w:rsid w:val="00097FE7"/>
    <w:rsid w:val="000A2C2E"/>
    <w:rsid w:val="000A5E17"/>
    <w:rsid w:val="000A62E3"/>
    <w:rsid w:val="000A7D0C"/>
    <w:rsid w:val="000B00AD"/>
    <w:rsid w:val="000B00D4"/>
    <w:rsid w:val="000B10EE"/>
    <w:rsid w:val="000B1E28"/>
    <w:rsid w:val="000B230D"/>
    <w:rsid w:val="000B24DB"/>
    <w:rsid w:val="000B3C52"/>
    <w:rsid w:val="000B3CC3"/>
    <w:rsid w:val="000B4C9A"/>
    <w:rsid w:val="000C0375"/>
    <w:rsid w:val="000C0910"/>
    <w:rsid w:val="000C0B8B"/>
    <w:rsid w:val="000C1F5C"/>
    <w:rsid w:val="000C2044"/>
    <w:rsid w:val="000C3446"/>
    <w:rsid w:val="000C53A8"/>
    <w:rsid w:val="000C578B"/>
    <w:rsid w:val="000C6E86"/>
    <w:rsid w:val="000C747D"/>
    <w:rsid w:val="000C77D8"/>
    <w:rsid w:val="000D0A08"/>
    <w:rsid w:val="000D13C5"/>
    <w:rsid w:val="000D5EB5"/>
    <w:rsid w:val="000E2338"/>
    <w:rsid w:val="000E2B15"/>
    <w:rsid w:val="000E4D17"/>
    <w:rsid w:val="000E510A"/>
    <w:rsid w:val="000E5125"/>
    <w:rsid w:val="000E69BD"/>
    <w:rsid w:val="000E6A76"/>
    <w:rsid w:val="000E7133"/>
    <w:rsid w:val="000F0ECD"/>
    <w:rsid w:val="000F1350"/>
    <w:rsid w:val="000F369E"/>
    <w:rsid w:val="000F4869"/>
    <w:rsid w:val="000F4A53"/>
    <w:rsid w:val="000F56A2"/>
    <w:rsid w:val="000F6100"/>
    <w:rsid w:val="000F6C6A"/>
    <w:rsid w:val="000F7138"/>
    <w:rsid w:val="000F7EEC"/>
    <w:rsid w:val="00101A84"/>
    <w:rsid w:val="00102302"/>
    <w:rsid w:val="0010762C"/>
    <w:rsid w:val="00110E1A"/>
    <w:rsid w:val="0011117D"/>
    <w:rsid w:val="00111B99"/>
    <w:rsid w:val="0011220B"/>
    <w:rsid w:val="00112C07"/>
    <w:rsid w:val="0011483A"/>
    <w:rsid w:val="00114996"/>
    <w:rsid w:val="00114CA1"/>
    <w:rsid w:val="00115D2B"/>
    <w:rsid w:val="001172BC"/>
    <w:rsid w:val="00122225"/>
    <w:rsid w:val="001231C2"/>
    <w:rsid w:val="0012479C"/>
    <w:rsid w:val="00125504"/>
    <w:rsid w:val="00125810"/>
    <w:rsid w:val="00125E10"/>
    <w:rsid w:val="001321CB"/>
    <w:rsid w:val="0013223C"/>
    <w:rsid w:val="00132D66"/>
    <w:rsid w:val="00135B4C"/>
    <w:rsid w:val="0014009C"/>
    <w:rsid w:val="00141063"/>
    <w:rsid w:val="00142B01"/>
    <w:rsid w:val="0014375D"/>
    <w:rsid w:val="00143B6A"/>
    <w:rsid w:val="00143C27"/>
    <w:rsid w:val="00145D0E"/>
    <w:rsid w:val="00145DAE"/>
    <w:rsid w:val="00146879"/>
    <w:rsid w:val="001476EC"/>
    <w:rsid w:val="00147BF4"/>
    <w:rsid w:val="001540E5"/>
    <w:rsid w:val="00155904"/>
    <w:rsid w:val="001559F1"/>
    <w:rsid w:val="001566DA"/>
    <w:rsid w:val="001638C2"/>
    <w:rsid w:val="00164AE4"/>
    <w:rsid w:val="00165E00"/>
    <w:rsid w:val="00166C56"/>
    <w:rsid w:val="0017248A"/>
    <w:rsid w:val="001732B2"/>
    <w:rsid w:val="00173891"/>
    <w:rsid w:val="0017484E"/>
    <w:rsid w:val="001769AA"/>
    <w:rsid w:val="00180813"/>
    <w:rsid w:val="0018116F"/>
    <w:rsid w:val="0018404E"/>
    <w:rsid w:val="0018516C"/>
    <w:rsid w:val="0018588E"/>
    <w:rsid w:val="00187345"/>
    <w:rsid w:val="001903A4"/>
    <w:rsid w:val="001907A6"/>
    <w:rsid w:val="001930E4"/>
    <w:rsid w:val="00193814"/>
    <w:rsid w:val="00193E80"/>
    <w:rsid w:val="00195CE2"/>
    <w:rsid w:val="00197C2A"/>
    <w:rsid w:val="001A00EF"/>
    <w:rsid w:val="001A052E"/>
    <w:rsid w:val="001A1FD4"/>
    <w:rsid w:val="001A22B3"/>
    <w:rsid w:val="001A34E6"/>
    <w:rsid w:val="001A4493"/>
    <w:rsid w:val="001A5D76"/>
    <w:rsid w:val="001A5E56"/>
    <w:rsid w:val="001B10C9"/>
    <w:rsid w:val="001B1B2F"/>
    <w:rsid w:val="001B7D6D"/>
    <w:rsid w:val="001C1887"/>
    <w:rsid w:val="001C21AC"/>
    <w:rsid w:val="001C3454"/>
    <w:rsid w:val="001C615F"/>
    <w:rsid w:val="001C63FD"/>
    <w:rsid w:val="001C76AE"/>
    <w:rsid w:val="001D0DFD"/>
    <w:rsid w:val="001D12B7"/>
    <w:rsid w:val="001D1EEF"/>
    <w:rsid w:val="001D32D2"/>
    <w:rsid w:val="001D399B"/>
    <w:rsid w:val="001D7A6F"/>
    <w:rsid w:val="001E1D52"/>
    <w:rsid w:val="001E3338"/>
    <w:rsid w:val="001F07EA"/>
    <w:rsid w:val="001F3296"/>
    <w:rsid w:val="001F4A60"/>
    <w:rsid w:val="001F5921"/>
    <w:rsid w:val="001F6364"/>
    <w:rsid w:val="001F7ADD"/>
    <w:rsid w:val="002004D8"/>
    <w:rsid w:val="0020052D"/>
    <w:rsid w:val="00203AE6"/>
    <w:rsid w:val="00204D82"/>
    <w:rsid w:val="00205833"/>
    <w:rsid w:val="00205DCB"/>
    <w:rsid w:val="002077BF"/>
    <w:rsid w:val="002138A9"/>
    <w:rsid w:val="00213EEC"/>
    <w:rsid w:val="00213F33"/>
    <w:rsid w:val="0021458A"/>
    <w:rsid w:val="002149CB"/>
    <w:rsid w:val="00215F87"/>
    <w:rsid w:val="002164BF"/>
    <w:rsid w:val="00216959"/>
    <w:rsid w:val="00221EBA"/>
    <w:rsid w:val="00223233"/>
    <w:rsid w:val="002238A7"/>
    <w:rsid w:val="00224732"/>
    <w:rsid w:val="00226383"/>
    <w:rsid w:val="002271F4"/>
    <w:rsid w:val="002275F3"/>
    <w:rsid w:val="00231FD7"/>
    <w:rsid w:val="00232C1F"/>
    <w:rsid w:val="00235672"/>
    <w:rsid w:val="00235912"/>
    <w:rsid w:val="00237095"/>
    <w:rsid w:val="00240C26"/>
    <w:rsid w:val="002420DA"/>
    <w:rsid w:val="00242E31"/>
    <w:rsid w:val="00242E34"/>
    <w:rsid w:val="002437C6"/>
    <w:rsid w:val="00244B59"/>
    <w:rsid w:val="00245132"/>
    <w:rsid w:val="00245878"/>
    <w:rsid w:val="002473D3"/>
    <w:rsid w:val="00250E22"/>
    <w:rsid w:val="002517C4"/>
    <w:rsid w:val="00252184"/>
    <w:rsid w:val="002529F5"/>
    <w:rsid w:val="00252C6D"/>
    <w:rsid w:val="00262A8B"/>
    <w:rsid w:val="00263B05"/>
    <w:rsid w:val="00265CD3"/>
    <w:rsid w:val="00270289"/>
    <w:rsid w:val="002715A6"/>
    <w:rsid w:val="00272474"/>
    <w:rsid w:val="00272AC8"/>
    <w:rsid w:val="00272DE8"/>
    <w:rsid w:val="00273A59"/>
    <w:rsid w:val="00273CE0"/>
    <w:rsid w:val="00275232"/>
    <w:rsid w:val="00275B41"/>
    <w:rsid w:val="00276B2B"/>
    <w:rsid w:val="00280640"/>
    <w:rsid w:val="00284010"/>
    <w:rsid w:val="00286387"/>
    <w:rsid w:val="00287AD3"/>
    <w:rsid w:val="00290CDA"/>
    <w:rsid w:val="00292C6A"/>
    <w:rsid w:val="00292D48"/>
    <w:rsid w:val="0029449B"/>
    <w:rsid w:val="00294723"/>
    <w:rsid w:val="00294A06"/>
    <w:rsid w:val="002973F6"/>
    <w:rsid w:val="002A001F"/>
    <w:rsid w:val="002A3884"/>
    <w:rsid w:val="002A750F"/>
    <w:rsid w:val="002B19A2"/>
    <w:rsid w:val="002B2CC4"/>
    <w:rsid w:val="002B6792"/>
    <w:rsid w:val="002B6B8F"/>
    <w:rsid w:val="002B7776"/>
    <w:rsid w:val="002C18E7"/>
    <w:rsid w:val="002C3410"/>
    <w:rsid w:val="002C4D04"/>
    <w:rsid w:val="002D0D2A"/>
    <w:rsid w:val="002D1BB7"/>
    <w:rsid w:val="002D6613"/>
    <w:rsid w:val="002D6FFD"/>
    <w:rsid w:val="002D7EC5"/>
    <w:rsid w:val="002E1156"/>
    <w:rsid w:val="002E1B9D"/>
    <w:rsid w:val="002E2B83"/>
    <w:rsid w:val="002E3C84"/>
    <w:rsid w:val="002E62E2"/>
    <w:rsid w:val="002F0E68"/>
    <w:rsid w:val="002F35F6"/>
    <w:rsid w:val="002F7327"/>
    <w:rsid w:val="0030156B"/>
    <w:rsid w:val="0030357C"/>
    <w:rsid w:val="00303C87"/>
    <w:rsid w:val="003047FE"/>
    <w:rsid w:val="00304B9E"/>
    <w:rsid w:val="00304DE4"/>
    <w:rsid w:val="00305765"/>
    <w:rsid w:val="00306FFD"/>
    <w:rsid w:val="003104D4"/>
    <w:rsid w:val="003108B7"/>
    <w:rsid w:val="0031194D"/>
    <w:rsid w:val="00317631"/>
    <w:rsid w:val="0032246B"/>
    <w:rsid w:val="00323939"/>
    <w:rsid w:val="00324B56"/>
    <w:rsid w:val="003251C8"/>
    <w:rsid w:val="00326240"/>
    <w:rsid w:val="0033192D"/>
    <w:rsid w:val="00331D83"/>
    <w:rsid w:val="003379A2"/>
    <w:rsid w:val="00340A8F"/>
    <w:rsid w:val="0034147E"/>
    <w:rsid w:val="0034183A"/>
    <w:rsid w:val="0034454C"/>
    <w:rsid w:val="00345BDC"/>
    <w:rsid w:val="00347722"/>
    <w:rsid w:val="00351156"/>
    <w:rsid w:val="003523F3"/>
    <w:rsid w:val="00357183"/>
    <w:rsid w:val="00360140"/>
    <w:rsid w:val="0036132C"/>
    <w:rsid w:val="00361A17"/>
    <w:rsid w:val="00363628"/>
    <w:rsid w:val="00364871"/>
    <w:rsid w:val="00367DE5"/>
    <w:rsid w:val="003709B4"/>
    <w:rsid w:val="00373775"/>
    <w:rsid w:val="003742FE"/>
    <w:rsid w:val="003747AD"/>
    <w:rsid w:val="00380037"/>
    <w:rsid w:val="00380A2B"/>
    <w:rsid w:val="00381F29"/>
    <w:rsid w:val="003852BB"/>
    <w:rsid w:val="00385ABD"/>
    <w:rsid w:val="00387908"/>
    <w:rsid w:val="00391704"/>
    <w:rsid w:val="00392CF6"/>
    <w:rsid w:val="00394346"/>
    <w:rsid w:val="00394F23"/>
    <w:rsid w:val="00395A70"/>
    <w:rsid w:val="00397147"/>
    <w:rsid w:val="003A38F9"/>
    <w:rsid w:val="003A67F4"/>
    <w:rsid w:val="003A6A69"/>
    <w:rsid w:val="003A7E66"/>
    <w:rsid w:val="003B3463"/>
    <w:rsid w:val="003B36B2"/>
    <w:rsid w:val="003B64B8"/>
    <w:rsid w:val="003C060D"/>
    <w:rsid w:val="003C13F4"/>
    <w:rsid w:val="003C1B2C"/>
    <w:rsid w:val="003C3246"/>
    <w:rsid w:val="003C60C4"/>
    <w:rsid w:val="003C6312"/>
    <w:rsid w:val="003C64BF"/>
    <w:rsid w:val="003C6777"/>
    <w:rsid w:val="003C7BBE"/>
    <w:rsid w:val="003C7F95"/>
    <w:rsid w:val="003D2B4E"/>
    <w:rsid w:val="003D2C76"/>
    <w:rsid w:val="003D30EB"/>
    <w:rsid w:val="003D6E81"/>
    <w:rsid w:val="003E029C"/>
    <w:rsid w:val="003E0F42"/>
    <w:rsid w:val="003E23A3"/>
    <w:rsid w:val="003E39EE"/>
    <w:rsid w:val="003E3DAD"/>
    <w:rsid w:val="003E3F8E"/>
    <w:rsid w:val="003E4D5B"/>
    <w:rsid w:val="003E55A0"/>
    <w:rsid w:val="003E5651"/>
    <w:rsid w:val="003E5694"/>
    <w:rsid w:val="003F5610"/>
    <w:rsid w:val="00400EC5"/>
    <w:rsid w:val="004025CE"/>
    <w:rsid w:val="0040263F"/>
    <w:rsid w:val="00402AC3"/>
    <w:rsid w:val="00404809"/>
    <w:rsid w:val="00406173"/>
    <w:rsid w:val="00411D87"/>
    <w:rsid w:val="00412435"/>
    <w:rsid w:val="004141DC"/>
    <w:rsid w:val="004145A0"/>
    <w:rsid w:val="004147DF"/>
    <w:rsid w:val="00415F03"/>
    <w:rsid w:val="004175FB"/>
    <w:rsid w:val="00417A93"/>
    <w:rsid w:val="00417BF2"/>
    <w:rsid w:val="0042061A"/>
    <w:rsid w:val="0042267B"/>
    <w:rsid w:val="00423565"/>
    <w:rsid w:val="004258ED"/>
    <w:rsid w:val="00430407"/>
    <w:rsid w:val="00433177"/>
    <w:rsid w:val="004347D2"/>
    <w:rsid w:val="004369B3"/>
    <w:rsid w:val="00436A81"/>
    <w:rsid w:val="00437B1C"/>
    <w:rsid w:val="00437F7F"/>
    <w:rsid w:val="00440851"/>
    <w:rsid w:val="00440E01"/>
    <w:rsid w:val="00440F20"/>
    <w:rsid w:val="004410E7"/>
    <w:rsid w:val="00446161"/>
    <w:rsid w:val="00446237"/>
    <w:rsid w:val="00446882"/>
    <w:rsid w:val="00446CE6"/>
    <w:rsid w:val="00452281"/>
    <w:rsid w:val="00454FDD"/>
    <w:rsid w:val="00463717"/>
    <w:rsid w:val="0046492D"/>
    <w:rsid w:val="0046538B"/>
    <w:rsid w:val="004708F1"/>
    <w:rsid w:val="0047110E"/>
    <w:rsid w:val="004734ED"/>
    <w:rsid w:val="004743A1"/>
    <w:rsid w:val="004750CE"/>
    <w:rsid w:val="004756BA"/>
    <w:rsid w:val="0047661B"/>
    <w:rsid w:val="00480C55"/>
    <w:rsid w:val="00481184"/>
    <w:rsid w:val="0048247E"/>
    <w:rsid w:val="0048308A"/>
    <w:rsid w:val="00485D0B"/>
    <w:rsid w:val="0048753C"/>
    <w:rsid w:val="0049110D"/>
    <w:rsid w:val="00491254"/>
    <w:rsid w:val="004916B0"/>
    <w:rsid w:val="00492238"/>
    <w:rsid w:val="004929FA"/>
    <w:rsid w:val="004A1885"/>
    <w:rsid w:val="004A1F09"/>
    <w:rsid w:val="004A3AAE"/>
    <w:rsid w:val="004A62FE"/>
    <w:rsid w:val="004A7322"/>
    <w:rsid w:val="004B0091"/>
    <w:rsid w:val="004B149D"/>
    <w:rsid w:val="004B18E7"/>
    <w:rsid w:val="004B2CCA"/>
    <w:rsid w:val="004B2E77"/>
    <w:rsid w:val="004B4283"/>
    <w:rsid w:val="004B4810"/>
    <w:rsid w:val="004B575D"/>
    <w:rsid w:val="004B601B"/>
    <w:rsid w:val="004B7684"/>
    <w:rsid w:val="004C3993"/>
    <w:rsid w:val="004C645F"/>
    <w:rsid w:val="004D2AC6"/>
    <w:rsid w:val="004D4CFD"/>
    <w:rsid w:val="004D5602"/>
    <w:rsid w:val="004D5630"/>
    <w:rsid w:val="004D6E27"/>
    <w:rsid w:val="004D6E75"/>
    <w:rsid w:val="004E11DD"/>
    <w:rsid w:val="004E20BA"/>
    <w:rsid w:val="004E34B2"/>
    <w:rsid w:val="004E44CF"/>
    <w:rsid w:val="004E4C1E"/>
    <w:rsid w:val="004E6499"/>
    <w:rsid w:val="004E711E"/>
    <w:rsid w:val="004E7B87"/>
    <w:rsid w:val="004E7D85"/>
    <w:rsid w:val="004F09D7"/>
    <w:rsid w:val="004F2468"/>
    <w:rsid w:val="004F28FA"/>
    <w:rsid w:val="004F35CD"/>
    <w:rsid w:val="004F3823"/>
    <w:rsid w:val="004F4C6B"/>
    <w:rsid w:val="004F57F9"/>
    <w:rsid w:val="004F6190"/>
    <w:rsid w:val="004F7ED4"/>
    <w:rsid w:val="00500E81"/>
    <w:rsid w:val="00502D25"/>
    <w:rsid w:val="005049C0"/>
    <w:rsid w:val="00505134"/>
    <w:rsid w:val="00507D28"/>
    <w:rsid w:val="00520679"/>
    <w:rsid w:val="0052180E"/>
    <w:rsid w:val="00523504"/>
    <w:rsid w:val="00523D80"/>
    <w:rsid w:val="005248E4"/>
    <w:rsid w:val="00525802"/>
    <w:rsid w:val="00530CF0"/>
    <w:rsid w:val="00531A1E"/>
    <w:rsid w:val="00531F01"/>
    <w:rsid w:val="00532FC2"/>
    <w:rsid w:val="0053436B"/>
    <w:rsid w:val="005355C1"/>
    <w:rsid w:val="00537761"/>
    <w:rsid w:val="00537F97"/>
    <w:rsid w:val="005414C7"/>
    <w:rsid w:val="005415F4"/>
    <w:rsid w:val="00551580"/>
    <w:rsid w:val="0055179D"/>
    <w:rsid w:val="00551F5A"/>
    <w:rsid w:val="00552D5F"/>
    <w:rsid w:val="00553678"/>
    <w:rsid w:val="005550F7"/>
    <w:rsid w:val="005566DE"/>
    <w:rsid w:val="00556CE7"/>
    <w:rsid w:val="00560C38"/>
    <w:rsid w:val="00561EFA"/>
    <w:rsid w:val="005625EF"/>
    <w:rsid w:val="0056571E"/>
    <w:rsid w:val="00567588"/>
    <w:rsid w:val="005677D2"/>
    <w:rsid w:val="00570B5B"/>
    <w:rsid w:val="00571E2B"/>
    <w:rsid w:val="005734D1"/>
    <w:rsid w:val="0057354A"/>
    <w:rsid w:val="00576202"/>
    <w:rsid w:val="00576B25"/>
    <w:rsid w:val="0058045A"/>
    <w:rsid w:val="00581E59"/>
    <w:rsid w:val="00582AF6"/>
    <w:rsid w:val="005830C0"/>
    <w:rsid w:val="0058392D"/>
    <w:rsid w:val="00583D24"/>
    <w:rsid w:val="00583E74"/>
    <w:rsid w:val="005847A0"/>
    <w:rsid w:val="00585683"/>
    <w:rsid w:val="00586FAD"/>
    <w:rsid w:val="005878C7"/>
    <w:rsid w:val="00587A49"/>
    <w:rsid w:val="00592DB3"/>
    <w:rsid w:val="00593361"/>
    <w:rsid w:val="00594C5B"/>
    <w:rsid w:val="005A2DB2"/>
    <w:rsid w:val="005A35DA"/>
    <w:rsid w:val="005A4B0F"/>
    <w:rsid w:val="005A698D"/>
    <w:rsid w:val="005B35E1"/>
    <w:rsid w:val="005B4A2D"/>
    <w:rsid w:val="005B56F9"/>
    <w:rsid w:val="005B695E"/>
    <w:rsid w:val="005B774D"/>
    <w:rsid w:val="005B7946"/>
    <w:rsid w:val="005B7A8A"/>
    <w:rsid w:val="005C0823"/>
    <w:rsid w:val="005C0977"/>
    <w:rsid w:val="005C4570"/>
    <w:rsid w:val="005C621C"/>
    <w:rsid w:val="005C6386"/>
    <w:rsid w:val="005D33B6"/>
    <w:rsid w:val="005D3584"/>
    <w:rsid w:val="005D6036"/>
    <w:rsid w:val="005E20ED"/>
    <w:rsid w:val="005E260C"/>
    <w:rsid w:val="005E5056"/>
    <w:rsid w:val="005E577D"/>
    <w:rsid w:val="005F167E"/>
    <w:rsid w:val="005F22D4"/>
    <w:rsid w:val="005F3EB6"/>
    <w:rsid w:val="005F4046"/>
    <w:rsid w:val="005F67AC"/>
    <w:rsid w:val="005F7A17"/>
    <w:rsid w:val="00600228"/>
    <w:rsid w:val="00602325"/>
    <w:rsid w:val="006030B3"/>
    <w:rsid w:val="00605120"/>
    <w:rsid w:val="0060683C"/>
    <w:rsid w:val="0060686D"/>
    <w:rsid w:val="006165D8"/>
    <w:rsid w:val="006213E2"/>
    <w:rsid w:val="00622A8F"/>
    <w:rsid w:val="00624EB9"/>
    <w:rsid w:val="00625FF2"/>
    <w:rsid w:val="00633450"/>
    <w:rsid w:val="00635177"/>
    <w:rsid w:val="006361DA"/>
    <w:rsid w:val="00636DB3"/>
    <w:rsid w:val="006370EF"/>
    <w:rsid w:val="00640463"/>
    <w:rsid w:val="00644104"/>
    <w:rsid w:val="00644C5F"/>
    <w:rsid w:val="00645847"/>
    <w:rsid w:val="00651863"/>
    <w:rsid w:val="006548D5"/>
    <w:rsid w:val="00654BB4"/>
    <w:rsid w:val="006563A6"/>
    <w:rsid w:val="00656569"/>
    <w:rsid w:val="00656DBE"/>
    <w:rsid w:val="0065744B"/>
    <w:rsid w:val="006603C2"/>
    <w:rsid w:val="006614D5"/>
    <w:rsid w:val="00662CD9"/>
    <w:rsid w:val="0066498C"/>
    <w:rsid w:val="006665F3"/>
    <w:rsid w:val="00666D03"/>
    <w:rsid w:val="0067477D"/>
    <w:rsid w:val="006760CC"/>
    <w:rsid w:val="00676665"/>
    <w:rsid w:val="00676A07"/>
    <w:rsid w:val="006809EF"/>
    <w:rsid w:val="006817E5"/>
    <w:rsid w:val="00682A52"/>
    <w:rsid w:val="00683609"/>
    <w:rsid w:val="00685236"/>
    <w:rsid w:val="00685DD0"/>
    <w:rsid w:val="0068635E"/>
    <w:rsid w:val="00686B42"/>
    <w:rsid w:val="00690C04"/>
    <w:rsid w:val="006912BE"/>
    <w:rsid w:val="00691B05"/>
    <w:rsid w:val="006935E5"/>
    <w:rsid w:val="00694C15"/>
    <w:rsid w:val="00695F58"/>
    <w:rsid w:val="006A050A"/>
    <w:rsid w:val="006A0CB4"/>
    <w:rsid w:val="006A7A59"/>
    <w:rsid w:val="006B11B4"/>
    <w:rsid w:val="006B22B6"/>
    <w:rsid w:val="006B28ED"/>
    <w:rsid w:val="006B7FE3"/>
    <w:rsid w:val="006C0354"/>
    <w:rsid w:val="006C0FDF"/>
    <w:rsid w:val="006C4285"/>
    <w:rsid w:val="006C4438"/>
    <w:rsid w:val="006C4B39"/>
    <w:rsid w:val="006C513D"/>
    <w:rsid w:val="006D2768"/>
    <w:rsid w:val="006D32D1"/>
    <w:rsid w:val="006D3CF7"/>
    <w:rsid w:val="006D6D4A"/>
    <w:rsid w:val="006D76BF"/>
    <w:rsid w:val="006E0D12"/>
    <w:rsid w:val="006E23CE"/>
    <w:rsid w:val="006E7197"/>
    <w:rsid w:val="006E7D61"/>
    <w:rsid w:val="006E7E88"/>
    <w:rsid w:val="006F3F4D"/>
    <w:rsid w:val="006F4746"/>
    <w:rsid w:val="006F6409"/>
    <w:rsid w:val="006F68A3"/>
    <w:rsid w:val="006F715E"/>
    <w:rsid w:val="0070259A"/>
    <w:rsid w:val="00703FC2"/>
    <w:rsid w:val="00704309"/>
    <w:rsid w:val="00705D3E"/>
    <w:rsid w:val="00706506"/>
    <w:rsid w:val="00706F0D"/>
    <w:rsid w:val="00714125"/>
    <w:rsid w:val="007152A0"/>
    <w:rsid w:val="00715C89"/>
    <w:rsid w:val="00716D82"/>
    <w:rsid w:val="00716E82"/>
    <w:rsid w:val="007239AF"/>
    <w:rsid w:val="00726EBE"/>
    <w:rsid w:val="007271D6"/>
    <w:rsid w:val="007313C1"/>
    <w:rsid w:val="00732999"/>
    <w:rsid w:val="0073513E"/>
    <w:rsid w:val="0074260B"/>
    <w:rsid w:val="007429E4"/>
    <w:rsid w:val="007434D3"/>
    <w:rsid w:val="007445F8"/>
    <w:rsid w:val="0074484E"/>
    <w:rsid w:val="00747A1B"/>
    <w:rsid w:val="00747DA3"/>
    <w:rsid w:val="00751777"/>
    <w:rsid w:val="00751D3A"/>
    <w:rsid w:val="007576A6"/>
    <w:rsid w:val="00757D86"/>
    <w:rsid w:val="007600C5"/>
    <w:rsid w:val="0076067B"/>
    <w:rsid w:val="007624CA"/>
    <w:rsid w:val="00763C30"/>
    <w:rsid w:val="007669BC"/>
    <w:rsid w:val="0076767B"/>
    <w:rsid w:val="0077135A"/>
    <w:rsid w:val="00771D01"/>
    <w:rsid w:val="00773D93"/>
    <w:rsid w:val="0077777F"/>
    <w:rsid w:val="007777EC"/>
    <w:rsid w:val="007808B4"/>
    <w:rsid w:val="0078176D"/>
    <w:rsid w:val="007819FF"/>
    <w:rsid w:val="00783058"/>
    <w:rsid w:val="0078313E"/>
    <w:rsid w:val="007850CB"/>
    <w:rsid w:val="00785C50"/>
    <w:rsid w:val="007866FA"/>
    <w:rsid w:val="0078722F"/>
    <w:rsid w:val="00791999"/>
    <w:rsid w:val="00792DC2"/>
    <w:rsid w:val="00793A4B"/>
    <w:rsid w:val="007963C0"/>
    <w:rsid w:val="007A29F8"/>
    <w:rsid w:val="007A3D78"/>
    <w:rsid w:val="007A7E86"/>
    <w:rsid w:val="007B33A3"/>
    <w:rsid w:val="007B3E58"/>
    <w:rsid w:val="007B3ECE"/>
    <w:rsid w:val="007B41F7"/>
    <w:rsid w:val="007B4329"/>
    <w:rsid w:val="007C0574"/>
    <w:rsid w:val="007C4047"/>
    <w:rsid w:val="007C709E"/>
    <w:rsid w:val="007C75F3"/>
    <w:rsid w:val="007C7A1E"/>
    <w:rsid w:val="007D2560"/>
    <w:rsid w:val="007D27A2"/>
    <w:rsid w:val="007D4C3E"/>
    <w:rsid w:val="007D516E"/>
    <w:rsid w:val="007E0148"/>
    <w:rsid w:val="007E11F8"/>
    <w:rsid w:val="007E1A67"/>
    <w:rsid w:val="007E330A"/>
    <w:rsid w:val="007E457B"/>
    <w:rsid w:val="007E566A"/>
    <w:rsid w:val="007E69C8"/>
    <w:rsid w:val="007E70FD"/>
    <w:rsid w:val="007F375A"/>
    <w:rsid w:val="007F466C"/>
    <w:rsid w:val="007F5E77"/>
    <w:rsid w:val="007F60EE"/>
    <w:rsid w:val="00801F5E"/>
    <w:rsid w:val="008060FA"/>
    <w:rsid w:val="008105E1"/>
    <w:rsid w:val="00810DB2"/>
    <w:rsid w:val="008125D5"/>
    <w:rsid w:val="0081263F"/>
    <w:rsid w:val="00816B5E"/>
    <w:rsid w:val="00817273"/>
    <w:rsid w:val="00820267"/>
    <w:rsid w:val="00820760"/>
    <w:rsid w:val="008248E0"/>
    <w:rsid w:val="00826E49"/>
    <w:rsid w:val="00835DE7"/>
    <w:rsid w:val="008361D1"/>
    <w:rsid w:val="00840516"/>
    <w:rsid w:val="00841508"/>
    <w:rsid w:val="008417DD"/>
    <w:rsid w:val="0084530A"/>
    <w:rsid w:val="00847001"/>
    <w:rsid w:val="0085067C"/>
    <w:rsid w:val="00851A9C"/>
    <w:rsid w:val="00852786"/>
    <w:rsid w:val="008571FB"/>
    <w:rsid w:val="00860B24"/>
    <w:rsid w:val="00861742"/>
    <w:rsid w:val="0086252F"/>
    <w:rsid w:val="008636D0"/>
    <w:rsid w:val="008643EF"/>
    <w:rsid w:val="008655F9"/>
    <w:rsid w:val="00866967"/>
    <w:rsid w:val="0086745B"/>
    <w:rsid w:val="008716E2"/>
    <w:rsid w:val="0087256B"/>
    <w:rsid w:val="00873574"/>
    <w:rsid w:val="008750C3"/>
    <w:rsid w:val="008758B3"/>
    <w:rsid w:val="008804C0"/>
    <w:rsid w:val="008819EC"/>
    <w:rsid w:val="00881CBE"/>
    <w:rsid w:val="00881DFC"/>
    <w:rsid w:val="008835B6"/>
    <w:rsid w:val="008879FF"/>
    <w:rsid w:val="00892CF0"/>
    <w:rsid w:val="008A022C"/>
    <w:rsid w:val="008A399A"/>
    <w:rsid w:val="008A440A"/>
    <w:rsid w:val="008A529F"/>
    <w:rsid w:val="008A56D0"/>
    <w:rsid w:val="008A63DE"/>
    <w:rsid w:val="008A6746"/>
    <w:rsid w:val="008A6B8B"/>
    <w:rsid w:val="008A7255"/>
    <w:rsid w:val="008A7885"/>
    <w:rsid w:val="008B3457"/>
    <w:rsid w:val="008B34F6"/>
    <w:rsid w:val="008B353B"/>
    <w:rsid w:val="008B374B"/>
    <w:rsid w:val="008B404B"/>
    <w:rsid w:val="008B5050"/>
    <w:rsid w:val="008B67E1"/>
    <w:rsid w:val="008C1E6A"/>
    <w:rsid w:val="008C20F4"/>
    <w:rsid w:val="008C3C23"/>
    <w:rsid w:val="008C4CE9"/>
    <w:rsid w:val="008D1D04"/>
    <w:rsid w:val="008D2EEF"/>
    <w:rsid w:val="008D39F9"/>
    <w:rsid w:val="008D3C12"/>
    <w:rsid w:val="008D7745"/>
    <w:rsid w:val="008E0888"/>
    <w:rsid w:val="008E0A50"/>
    <w:rsid w:val="008E1AEA"/>
    <w:rsid w:val="008E2C78"/>
    <w:rsid w:val="008E3CF2"/>
    <w:rsid w:val="008E427C"/>
    <w:rsid w:val="008E591F"/>
    <w:rsid w:val="008E63BA"/>
    <w:rsid w:val="008E6FAD"/>
    <w:rsid w:val="008F09BB"/>
    <w:rsid w:val="008F1524"/>
    <w:rsid w:val="008F1E21"/>
    <w:rsid w:val="008F2026"/>
    <w:rsid w:val="008F2C2F"/>
    <w:rsid w:val="008F4B67"/>
    <w:rsid w:val="008F5D8A"/>
    <w:rsid w:val="008F7BE9"/>
    <w:rsid w:val="00900AFD"/>
    <w:rsid w:val="00900E42"/>
    <w:rsid w:val="00901D10"/>
    <w:rsid w:val="00902C3C"/>
    <w:rsid w:val="0090473D"/>
    <w:rsid w:val="0090493F"/>
    <w:rsid w:val="00905E70"/>
    <w:rsid w:val="00906E0F"/>
    <w:rsid w:val="009070F8"/>
    <w:rsid w:val="009071D3"/>
    <w:rsid w:val="00913642"/>
    <w:rsid w:val="00916CCA"/>
    <w:rsid w:val="00922548"/>
    <w:rsid w:val="009234CC"/>
    <w:rsid w:val="0092374D"/>
    <w:rsid w:val="00924CB5"/>
    <w:rsid w:val="00931B65"/>
    <w:rsid w:val="00931C90"/>
    <w:rsid w:val="0093299C"/>
    <w:rsid w:val="00935534"/>
    <w:rsid w:val="00936532"/>
    <w:rsid w:val="00936CE9"/>
    <w:rsid w:val="00941C97"/>
    <w:rsid w:val="00942832"/>
    <w:rsid w:val="009430DB"/>
    <w:rsid w:val="00947688"/>
    <w:rsid w:val="009476EE"/>
    <w:rsid w:val="00947E1E"/>
    <w:rsid w:val="00950870"/>
    <w:rsid w:val="00950C40"/>
    <w:rsid w:val="0095302D"/>
    <w:rsid w:val="00953AC7"/>
    <w:rsid w:val="00953EF5"/>
    <w:rsid w:val="009576E9"/>
    <w:rsid w:val="0096520B"/>
    <w:rsid w:val="00965EE6"/>
    <w:rsid w:val="00972270"/>
    <w:rsid w:val="00973058"/>
    <w:rsid w:val="00973AA2"/>
    <w:rsid w:val="009754BD"/>
    <w:rsid w:val="0097793A"/>
    <w:rsid w:val="00983FA2"/>
    <w:rsid w:val="009853C9"/>
    <w:rsid w:val="00990B57"/>
    <w:rsid w:val="0099189D"/>
    <w:rsid w:val="00993FDD"/>
    <w:rsid w:val="0099467A"/>
    <w:rsid w:val="00994873"/>
    <w:rsid w:val="009952F6"/>
    <w:rsid w:val="00995B88"/>
    <w:rsid w:val="009968DE"/>
    <w:rsid w:val="00996F0A"/>
    <w:rsid w:val="00996FDB"/>
    <w:rsid w:val="009A37DF"/>
    <w:rsid w:val="009A6946"/>
    <w:rsid w:val="009A7C48"/>
    <w:rsid w:val="009B1D20"/>
    <w:rsid w:val="009B1FE8"/>
    <w:rsid w:val="009B220E"/>
    <w:rsid w:val="009B2553"/>
    <w:rsid w:val="009B3B7C"/>
    <w:rsid w:val="009B5F9B"/>
    <w:rsid w:val="009B670F"/>
    <w:rsid w:val="009B796D"/>
    <w:rsid w:val="009C039C"/>
    <w:rsid w:val="009C09CF"/>
    <w:rsid w:val="009C1C94"/>
    <w:rsid w:val="009C4B6F"/>
    <w:rsid w:val="009C4BB7"/>
    <w:rsid w:val="009C4CEE"/>
    <w:rsid w:val="009C65EF"/>
    <w:rsid w:val="009D02BC"/>
    <w:rsid w:val="009D34EE"/>
    <w:rsid w:val="009D54A3"/>
    <w:rsid w:val="009D569C"/>
    <w:rsid w:val="009D569D"/>
    <w:rsid w:val="009E1DAA"/>
    <w:rsid w:val="009E7BCA"/>
    <w:rsid w:val="009E7E5B"/>
    <w:rsid w:val="009F2B1B"/>
    <w:rsid w:val="009F3397"/>
    <w:rsid w:val="009F4087"/>
    <w:rsid w:val="009F52A4"/>
    <w:rsid w:val="009F6C5D"/>
    <w:rsid w:val="00A00EE8"/>
    <w:rsid w:val="00A03851"/>
    <w:rsid w:val="00A03F5E"/>
    <w:rsid w:val="00A04739"/>
    <w:rsid w:val="00A0572C"/>
    <w:rsid w:val="00A05AEE"/>
    <w:rsid w:val="00A0670F"/>
    <w:rsid w:val="00A069BF"/>
    <w:rsid w:val="00A07726"/>
    <w:rsid w:val="00A108A5"/>
    <w:rsid w:val="00A1131D"/>
    <w:rsid w:val="00A11BD3"/>
    <w:rsid w:val="00A11E36"/>
    <w:rsid w:val="00A15C6C"/>
    <w:rsid w:val="00A16F59"/>
    <w:rsid w:val="00A2135E"/>
    <w:rsid w:val="00A2324D"/>
    <w:rsid w:val="00A26878"/>
    <w:rsid w:val="00A26CB6"/>
    <w:rsid w:val="00A27639"/>
    <w:rsid w:val="00A309B5"/>
    <w:rsid w:val="00A3223B"/>
    <w:rsid w:val="00A33185"/>
    <w:rsid w:val="00A36C67"/>
    <w:rsid w:val="00A36E93"/>
    <w:rsid w:val="00A37831"/>
    <w:rsid w:val="00A37C75"/>
    <w:rsid w:val="00A405FF"/>
    <w:rsid w:val="00A40C5B"/>
    <w:rsid w:val="00A43A23"/>
    <w:rsid w:val="00A43C73"/>
    <w:rsid w:val="00A460F6"/>
    <w:rsid w:val="00A469C1"/>
    <w:rsid w:val="00A47467"/>
    <w:rsid w:val="00A51E7E"/>
    <w:rsid w:val="00A51EB6"/>
    <w:rsid w:val="00A520D8"/>
    <w:rsid w:val="00A52840"/>
    <w:rsid w:val="00A52FFE"/>
    <w:rsid w:val="00A535AB"/>
    <w:rsid w:val="00A551F6"/>
    <w:rsid w:val="00A610E6"/>
    <w:rsid w:val="00A636F0"/>
    <w:rsid w:val="00A674B8"/>
    <w:rsid w:val="00A67B4A"/>
    <w:rsid w:val="00A71BAF"/>
    <w:rsid w:val="00A71E46"/>
    <w:rsid w:val="00A73F5E"/>
    <w:rsid w:val="00A7462D"/>
    <w:rsid w:val="00A76FD2"/>
    <w:rsid w:val="00A80D2D"/>
    <w:rsid w:val="00A81218"/>
    <w:rsid w:val="00A83E76"/>
    <w:rsid w:val="00A84128"/>
    <w:rsid w:val="00A84725"/>
    <w:rsid w:val="00A85EE2"/>
    <w:rsid w:val="00A86BDA"/>
    <w:rsid w:val="00A9268F"/>
    <w:rsid w:val="00A92BE9"/>
    <w:rsid w:val="00A9378F"/>
    <w:rsid w:val="00A95BEE"/>
    <w:rsid w:val="00AA31BE"/>
    <w:rsid w:val="00AA64EE"/>
    <w:rsid w:val="00AA724A"/>
    <w:rsid w:val="00AB0D68"/>
    <w:rsid w:val="00AB0D8C"/>
    <w:rsid w:val="00AB1FE4"/>
    <w:rsid w:val="00AB210E"/>
    <w:rsid w:val="00AB28E1"/>
    <w:rsid w:val="00AB3147"/>
    <w:rsid w:val="00AB4663"/>
    <w:rsid w:val="00AB7CB7"/>
    <w:rsid w:val="00AC5492"/>
    <w:rsid w:val="00AC66DE"/>
    <w:rsid w:val="00AC6872"/>
    <w:rsid w:val="00AD1F89"/>
    <w:rsid w:val="00AD27A8"/>
    <w:rsid w:val="00AD315E"/>
    <w:rsid w:val="00AD5A86"/>
    <w:rsid w:val="00AD60D2"/>
    <w:rsid w:val="00AE3179"/>
    <w:rsid w:val="00AE34D2"/>
    <w:rsid w:val="00AF1D6E"/>
    <w:rsid w:val="00AF53DB"/>
    <w:rsid w:val="00AF5FAE"/>
    <w:rsid w:val="00B01AC5"/>
    <w:rsid w:val="00B02B7F"/>
    <w:rsid w:val="00B03A11"/>
    <w:rsid w:val="00B042A9"/>
    <w:rsid w:val="00B060C3"/>
    <w:rsid w:val="00B11563"/>
    <w:rsid w:val="00B12E8C"/>
    <w:rsid w:val="00B16C1E"/>
    <w:rsid w:val="00B207DA"/>
    <w:rsid w:val="00B22292"/>
    <w:rsid w:val="00B24971"/>
    <w:rsid w:val="00B24B81"/>
    <w:rsid w:val="00B25088"/>
    <w:rsid w:val="00B25A5B"/>
    <w:rsid w:val="00B33F45"/>
    <w:rsid w:val="00B357AB"/>
    <w:rsid w:val="00B40F84"/>
    <w:rsid w:val="00B41E02"/>
    <w:rsid w:val="00B446C6"/>
    <w:rsid w:val="00B4474F"/>
    <w:rsid w:val="00B4534E"/>
    <w:rsid w:val="00B462F1"/>
    <w:rsid w:val="00B4758E"/>
    <w:rsid w:val="00B521D8"/>
    <w:rsid w:val="00B53641"/>
    <w:rsid w:val="00B53DDB"/>
    <w:rsid w:val="00B53E10"/>
    <w:rsid w:val="00B552A0"/>
    <w:rsid w:val="00B56FF6"/>
    <w:rsid w:val="00B61151"/>
    <w:rsid w:val="00B61687"/>
    <w:rsid w:val="00B639E0"/>
    <w:rsid w:val="00B63F67"/>
    <w:rsid w:val="00B65A7D"/>
    <w:rsid w:val="00B65C48"/>
    <w:rsid w:val="00B66048"/>
    <w:rsid w:val="00B6779C"/>
    <w:rsid w:val="00B679A4"/>
    <w:rsid w:val="00B71720"/>
    <w:rsid w:val="00B7227D"/>
    <w:rsid w:val="00B73A9E"/>
    <w:rsid w:val="00B77358"/>
    <w:rsid w:val="00B847AD"/>
    <w:rsid w:val="00B84851"/>
    <w:rsid w:val="00B85F62"/>
    <w:rsid w:val="00B92A96"/>
    <w:rsid w:val="00B944AB"/>
    <w:rsid w:val="00B94F3A"/>
    <w:rsid w:val="00B9543E"/>
    <w:rsid w:val="00B970DF"/>
    <w:rsid w:val="00B97426"/>
    <w:rsid w:val="00BA1400"/>
    <w:rsid w:val="00BA3CFD"/>
    <w:rsid w:val="00BA462A"/>
    <w:rsid w:val="00BA4C9D"/>
    <w:rsid w:val="00BA6535"/>
    <w:rsid w:val="00BB1129"/>
    <w:rsid w:val="00BB1968"/>
    <w:rsid w:val="00BC1DBF"/>
    <w:rsid w:val="00BC2770"/>
    <w:rsid w:val="00BC324B"/>
    <w:rsid w:val="00BC587D"/>
    <w:rsid w:val="00BD1BAD"/>
    <w:rsid w:val="00BD242B"/>
    <w:rsid w:val="00BD259B"/>
    <w:rsid w:val="00BD63A3"/>
    <w:rsid w:val="00BD6A84"/>
    <w:rsid w:val="00BD6D7A"/>
    <w:rsid w:val="00BE0D04"/>
    <w:rsid w:val="00BE2362"/>
    <w:rsid w:val="00BE27D5"/>
    <w:rsid w:val="00BE2E5D"/>
    <w:rsid w:val="00BE3179"/>
    <w:rsid w:val="00BE3280"/>
    <w:rsid w:val="00BE6FA8"/>
    <w:rsid w:val="00BF05FC"/>
    <w:rsid w:val="00BF4036"/>
    <w:rsid w:val="00BF5DB9"/>
    <w:rsid w:val="00C0058E"/>
    <w:rsid w:val="00C01968"/>
    <w:rsid w:val="00C07603"/>
    <w:rsid w:val="00C10916"/>
    <w:rsid w:val="00C20E33"/>
    <w:rsid w:val="00C21C52"/>
    <w:rsid w:val="00C2331E"/>
    <w:rsid w:val="00C23A5F"/>
    <w:rsid w:val="00C25358"/>
    <w:rsid w:val="00C25BC3"/>
    <w:rsid w:val="00C25D2F"/>
    <w:rsid w:val="00C26D88"/>
    <w:rsid w:val="00C30CBE"/>
    <w:rsid w:val="00C3250E"/>
    <w:rsid w:val="00C40C65"/>
    <w:rsid w:val="00C4228A"/>
    <w:rsid w:val="00C42387"/>
    <w:rsid w:val="00C45EE6"/>
    <w:rsid w:val="00C464CF"/>
    <w:rsid w:val="00C4661F"/>
    <w:rsid w:val="00C473C6"/>
    <w:rsid w:val="00C47690"/>
    <w:rsid w:val="00C555DB"/>
    <w:rsid w:val="00C563D2"/>
    <w:rsid w:val="00C60D9F"/>
    <w:rsid w:val="00C621BD"/>
    <w:rsid w:val="00C626F4"/>
    <w:rsid w:val="00C65676"/>
    <w:rsid w:val="00C707CE"/>
    <w:rsid w:val="00C749C2"/>
    <w:rsid w:val="00C771E1"/>
    <w:rsid w:val="00C80BCD"/>
    <w:rsid w:val="00C82FD2"/>
    <w:rsid w:val="00C830E1"/>
    <w:rsid w:val="00C8380E"/>
    <w:rsid w:val="00C910D0"/>
    <w:rsid w:val="00C92264"/>
    <w:rsid w:val="00C92978"/>
    <w:rsid w:val="00C978CF"/>
    <w:rsid w:val="00CA074C"/>
    <w:rsid w:val="00CA6649"/>
    <w:rsid w:val="00CA6C35"/>
    <w:rsid w:val="00CB3384"/>
    <w:rsid w:val="00CB7A9F"/>
    <w:rsid w:val="00CB7BBC"/>
    <w:rsid w:val="00CC0177"/>
    <w:rsid w:val="00CC0AB8"/>
    <w:rsid w:val="00CC0BF9"/>
    <w:rsid w:val="00CC1D2E"/>
    <w:rsid w:val="00CC20DC"/>
    <w:rsid w:val="00CC649C"/>
    <w:rsid w:val="00CC7692"/>
    <w:rsid w:val="00CD16D0"/>
    <w:rsid w:val="00CD1AE1"/>
    <w:rsid w:val="00CD1FD0"/>
    <w:rsid w:val="00CD44CE"/>
    <w:rsid w:val="00CD49B8"/>
    <w:rsid w:val="00CD51AB"/>
    <w:rsid w:val="00CD77C0"/>
    <w:rsid w:val="00CD78F0"/>
    <w:rsid w:val="00CE129D"/>
    <w:rsid w:val="00CE1F86"/>
    <w:rsid w:val="00CE3C71"/>
    <w:rsid w:val="00CE77BD"/>
    <w:rsid w:val="00CF1637"/>
    <w:rsid w:val="00CF22DC"/>
    <w:rsid w:val="00CF22E7"/>
    <w:rsid w:val="00CF2D1A"/>
    <w:rsid w:val="00CF3A1A"/>
    <w:rsid w:val="00CF54E3"/>
    <w:rsid w:val="00CF7370"/>
    <w:rsid w:val="00D0117C"/>
    <w:rsid w:val="00D04778"/>
    <w:rsid w:val="00D054BF"/>
    <w:rsid w:val="00D05532"/>
    <w:rsid w:val="00D0675C"/>
    <w:rsid w:val="00D0724F"/>
    <w:rsid w:val="00D10072"/>
    <w:rsid w:val="00D100EB"/>
    <w:rsid w:val="00D11C45"/>
    <w:rsid w:val="00D12E2E"/>
    <w:rsid w:val="00D136E4"/>
    <w:rsid w:val="00D141A5"/>
    <w:rsid w:val="00D15B0F"/>
    <w:rsid w:val="00D16286"/>
    <w:rsid w:val="00D21012"/>
    <w:rsid w:val="00D22407"/>
    <w:rsid w:val="00D22C9A"/>
    <w:rsid w:val="00D22D8D"/>
    <w:rsid w:val="00D23600"/>
    <w:rsid w:val="00D26624"/>
    <w:rsid w:val="00D275A6"/>
    <w:rsid w:val="00D3293E"/>
    <w:rsid w:val="00D339D8"/>
    <w:rsid w:val="00D34A2D"/>
    <w:rsid w:val="00D34C78"/>
    <w:rsid w:val="00D35922"/>
    <w:rsid w:val="00D36A23"/>
    <w:rsid w:val="00D3741C"/>
    <w:rsid w:val="00D40346"/>
    <w:rsid w:val="00D4080B"/>
    <w:rsid w:val="00D43E3E"/>
    <w:rsid w:val="00D508A4"/>
    <w:rsid w:val="00D51548"/>
    <w:rsid w:val="00D53E5C"/>
    <w:rsid w:val="00D547A1"/>
    <w:rsid w:val="00D549B3"/>
    <w:rsid w:val="00D55BDF"/>
    <w:rsid w:val="00D571A7"/>
    <w:rsid w:val="00D57BF7"/>
    <w:rsid w:val="00D61A67"/>
    <w:rsid w:val="00D64AE7"/>
    <w:rsid w:val="00D6686C"/>
    <w:rsid w:val="00D6729B"/>
    <w:rsid w:val="00D6734C"/>
    <w:rsid w:val="00D727FB"/>
    <w:rsid w:val="00D72B4B"/>
    <w:rsid w:val="00D72DF3"/>
    <w:rsid w:val="00D75828"/>
    <w:rsid w:val="00D76F00"/>
    <w:rsid w:val="00D76F61"/>
    <w:rsid w:val="00D8014E"/>
    <w:rsid w:val="00D80AB0"/>
    <w:rsid w:val="00D827D6"/>
    <w:rsid w:val="00D82B00"/>
    <w:rsid w:val="00D85AE3"/>
    <w:rsid w:val="00D86C13"/>
    <w:rsid w:val="00D87193"/>
    <w:rsid w:val="00D8742F"/>
    <w:rsid w:val="00D87AC2"/>
    <w:rsid w:val="00D90114"/>
    <w:rsid w:val="00D920C9"/>
    <w:rsid w:val="00D929E6"/>
    <w:rsid w:val="00D93975"/>
    <w:rsid w:val="00D94265"/>
    <w:rsid w:val="00D94993"/>
    <w:rsid w:val="00D95A6B"/>
    <w:rsid w:val="00D9654D"/>
    <w:rsid w:val="00D96A03"/>
    <w:rsid w:val="00D97A18"/>
    <w:rsid w:val="00D97ED9"/>
    <w:rsid w:val="00DA663C"/>
    <w:rsid w:val="00DC0B65"/>
    <w:rsid w:val="00DC1DA9"/>
    <w:rsid w:val="00DC4050"/>
    <w:rsid w:val="00DC4EAE"/>
    <w:rsid w:val="00DC5732"/>
    <w:rsid w:val="00DC61BE"/>
    <w:rsid w:val="00DC625C"/>
    <w:rsid w:val="00DC6413"/>
    <w:rsid w:val="00DC7C85"/>
    <w:rsid w:val="00DD0E13"/>
    <w:rsid w:val="00DD2D09"/>
    <w:rsid w:val="00DD360A"/>
    <w:rsid w:val="00DD392E"/>
    <w:rsid w:val="00DD3A6D"/>
    <w:rsid w:val="00DD3CEE"/>
    <w:rsid w:val="00DD460B"/>
    <w:rsid w:val="00DD792D"/>
    <w:rsid w:val="00DE0B45"/>
    <w:rsid w:val="00DE1DCF"/>
    <w:rsid w:val="00DE2317"/>
    <w:rsid w:val="00DE78A5"/>
    <w:rsid w:val="00DF600B"/>
    <w:rsid w:val="00DF64DD"/>
    <w:rsid w:val="00DF6638"/>
    <w:rsid w:val="00E01024"/>
    <w:rsid w:val="00E017CB"/>
    <w:rsid w:val="00E02C8E"/>
    <w:rsid w:val="00E045F4"/>
    <w:rsid w:val="00E047FF"/>
    <w:rsid w:val="00E101DA"/>
    <w:rsid w:val="00E10C59"/>
    <w:rsid w:val="00E12C3B"/>
    <w:rsid w:val="00E17028"/>
    <w:rsid w:val="00E17D20"/>
    <w:rsid w:val="00E230CA"/>
    <w:rsid w:val="00E23405"/>
    <w:rsid w:val="00E244E1"/>
    <w:rsid w:val="00E266C3"/>
    <w:rsid w:val="00E27446"/>
    <w:rsid w:val="00E3021A"/>
    <w:rsid w:val="00E31EBC"/>
    <w:rsid w:val="00E32A68"/>
    <w:rsid w:val="00E32D93"/>
    <w:rsid w:val="00E340B6"/>
    <w:rsid w:val="00E371BC"/>
    <w:rsid w:val="00E406DD"/>
    <w:rsid w:val="00E41E70"/>
    <w:rsid w:val="00E432ED"/>
    <w:rsid w:val="00E43FD3"/>
    <w:rsid w:val="00E4481C"/>
    <w:rsid w:val="00E450AD"/>
    <w:rsid w:val="00E46F31"/>
    <w:rsid w:val="00E47D4D"/>
    <w:rsid w:val="00E504BB"/>
    <w:rsid w:val="00E53DC5"/>
    <w:rsid w:val="00E545A4"/>
    <w:rsid w:val="00E54B09"/>
    <w:rsid w:val="00E55C4C"/>
    <w:rsid w:val="00E60BF5"/>
    <w:rsid w:val="00E703FC"/>
    <w:rsid w:val="00E7084C"/>
    <w:rsid w:val="00E7106F"/>
    <w:rsid w:val="00E73652"/>
    <w:rsid w:val="00E74274"/>
    <w:rsid w:val="00E7579E"/>
    <w:rsid w:val="00E76AAB"/>
    <w:rsid w:val="00E80617"/>
    <w:rsid w:val="00E847DE"/>
    <w:rsid w:val="00E859A1"/>
    <w:rsid w:val="00E87CD3"/>
    <w:rsid w:val="00E90589"/>
    <w:rsid w:val="00E929FD"/>
    <w:rsid w:val="00E95E56"/>
    <w:rsid w:val="00E965A8"/>
    <w:rsid w:val="00E97169"/>
    <w:rsid w:val="00E9769D"/>
    <w:rsid w:val="00E97AFC"/>
    <w:rsid w:val="00EA1728"/>
    <w:rsid w:val="00EA17A0"/>
    <w:rsid w:val="00EA2DD6"/>
    <w:rsid w:val="00EA2F9A"/>
    <w:rsid w:val="00EA4425"/>
    <w:rsid w:val="00EA59A2"/>
    <w:rsid w:val="00EB08BC"/>
    <w:rsid w:val="00EB124F"/>
    <w:rsid w:val="00EB14E7"/>
    <w:rsid w:val="00EB4AC4"/>
    <w:rsid w:val="00EB5E37"/>
    <w:rsid w:val="00EB779B"/>
    <w:rsid w:val="00EB7BBA"/>
    <w:rsid w:val="00EC052C"/>
    <w:rsid w:val="00EC0E19"/>
    <w:rsid w:val="00EC14AC"/>
    <w:rsid w:val="00EC38C9"/>
    <w:rsid w:val="00EC5519"/>
    <w:rsid w:val="00EC7230"/>
    <w:rsid w:val="00EC7BCB"/>
    <w:rsid w:val="00EC7CA2"/>
    <w:rsid w:val="00ED3E15"/>
    <w:rsid w:val="00ED6162"/>
    <w:rsid w:val="00ED6745"/>
    <w:rsid w:val="00ED7F12"/>
    <w:rsid w:val="00EE0498"/>
    <w:rsid w:val="00EE1603"/>
    <w:rsid w:val="00EE21A7"/>
    <w:rsid w:val="00EE2BC2"/>
    <w:rsid w:val="00EE3120"/>
    <w:rsid w:val="00EE78F9"/>
    <w:rsid w:val="00EF0663"/>
    <w:rsid w:val="00EF076B"/>
    <w:rsid w:val="00EF13A3"/>
    <w:rsid w:val="00EF2076"/>
    <w:rsid w:val="00EF38ED"/>
    <w:rsid w:val="00EF64B4"/>
    <w:rsid w:val="00EF735A"/>
    <w:rsid w:val="00F01DC9"/>
    <w:rsid w:val="00F03BBE"/>
    <w:rsid w:val="00F06EC1"/>
    <w:rsid w:val="00F10E40"/>
    <w:rsid w:val="00F12171"/>
    <w:rsid w:val="00F12801"/>
    <w:rsid w:val="00F12B07"/>
    <w:rsid w:val="00F13281"/>
    <w:rsid w:val="00F16740"/>
    <w:rsid w:val="00F16F69"/>
    <w:rsid w:val="00F216A0"/>
    <w:rsid w:val="00F216DC"/>
    <w:rsid w:val="00F2418C"/>
    <w:rsid w:val="00F31F8F"/>
    <w:rsid w:val="00F326CC"/>
    <w:rsid w:val="00F32D1A"/>
    <w:rsid w:val="00F36AB0"/>
    <w:rsid w:val="00F40DEA"/>
    <w:rsid w:val="00F42ED2"/>
    <w:rsid w:val="00F43A18"/>
    <w:rsid w:val="00F457FF"/>
    <w:rsid w:val="00F465D2"/>
    <w:rsid w:val="00F467B1"/>
    <w:rsid w:val="00F47F58"/>
    <w:rsid w:val="00F52575"/>
    <w:rsid w:val="00F55A10"/>
    <w:rsid w:val="00F57C62"/>
    <w:rsid w:val="00F60013"/>
    <w:rsid w:val="00F607CA"/>
    <w:rsid w:val="00F63F1A"/>
    <w:rsid w:val="00F6483A"/>
    <w:rsid w:val="00F66615"/>
    <w:rsid w:val="00F66CA3"/>
    <w:rsid w:val="00F70B3C"/>
    <w:rsid w:val="00F76111"/>
    <w:rsid w:val="00F773CF"/>
    <w:rsid w:val="00F80EF3"/>
    <w:rsid w:val="00F81443"/>
    <w:rsid w:val="00F81909"/>
    <w:rsid w:val="00F82F6E"/>
    <w:rsid w:val="00F83B4C"/>
    <w:rsid w:val="00F906D4"/>
    <w:rsid w:val="00F91201"/>
    <w:rsid w:val="00F91D20"/>
    <w:rsid w:val="00F92F05"/>
    <w:rsid w:val="00FA5A76"/>
    <w:rsid w:val="00FB05D3"/>
    <w:rsid w:val="00FB2BC8"/>
    <w:rsid w:val="00FB3D8C"/>
    <w:rsid w:val="00FB4E50"/>
    <w:rsid w:val="00FB69C5"/>
    <w:rsid w:val="00FC004B"/>
    <w:rsid w:val="00FC03B9"/>
    <w:rsid w:val="00FC4174"/>
    <w:rsid w:val="00FC4D6C"/>
    <w:rsid w:val="00FC6394"/>
    <w:rsid w:val="00FD10F4"/>
    <w:rsid w:val="00FD2BA2"/>
    <w:rsid w:val="00FD2C4D"/>
    <w:rsid w:val="00FD3ABA"/>
    <w:rsid w:val="00FD40E7"/>
    <w:rsid w:val="00FD445A"/>
    <w:rsid w:val="00FD46C8"/>
    <w:rsid w:val="00FD47AC"/>
    <w:rsid w:val="00FD4CF5"/>
    <w:rsid w:val="00FD5DBE"/>
    <w:rsid w:val="00FD7976"/>
    <w:rsid w:val="00FE1E38"/>
    <w:rsid w:val="00FE20A1"/>
    <w:rsid w:val="00FE2BE3"/>
    <w:rsid w:val="00FE46BD"/>
    <w:rsid w:val="00FE4EFE"/>
    <w:rsid w:val="00FE56EE"/>
    <w:rsid w:val="00FE7545"/>
    <w:rsid w:val="00FE767C"/>
    <w:rsid w:val="00FF02BE"/>
    <w:rsid w:val="00FF38EA"/>
    <w:rsid w:val="00FF45DC"/>
    <w:rsid w:val="00FF5056"/>
    <w:rsid w:val="00FF619D"/>
    <w:rsid w:val="00FF6646"/>
    <w:rsid w:val="00FF69AA"/>
    <w:rsid w:val="00FF6D1A"/>
    <w:rsid w:val="00FF75E8"/>
    <w:rsid w:val="03CA5580"/>
    <w:rsid w:val="04D06013"/>
    <w:rsid w:val="05D522E1"/>
    <w:rsid w:val="07747B21"/>
    <w:rsid w:val="07AA45FD"/>
    <w:rsid w:val="07C02047"/>
    <w:rsid w:val="07CA2ED7"/>
    <w:rsid w:val="082153A8"/>
    <w:rsid w:val="0CB50868"/>
    <w:rsid w:val="0D772182"/>
    <w:rsid w:val="0D8614F5"/>
    <w:rsid w:val="110F36F7"/>
    <w:rsid w:val="113413B0"/>
    <w:rsid w:val="11603F53"/>
    <w:rsid w:val="12E937A8"/>
    <w:rsid w:val="14F21366"/>
    <w:rsid w:val="15D71079"/>
    <w:rsid w:val="16ED5C2A"/>
    <w:rsid w:val="179F4622"/>
    <w:rsid w:val="19FA3B25"/>
    <w:rsid w:val="1A2A15A2"/>
    <w:rsid w:val="1AE67260"/>
    <w:rsid w:val="1E0D155D"/>
    <w:rsid w:val="216C4C40"/>
    <w:rsid w:val="229F1A9D"/>
    <w:rsid w:val="23A018D6"/>
    <w:rsid w:val="24716CB2"/>
    <w:rsid w:val="24A667FE"/>
    <w:rsid w:val="256C0397"/>
    <w:rsid w:val="273074EE"/>
    <w:rsid w:val="27940380"/>
    <w:rsid w:val="27BB6707"/>
    <w:rsid w:val="27DA60F6"/>
    <w:rsid w:val="27DC1F8E"/>
    <w:rsid w:val="2847614F"/>
    <w:rsid w:val="28B64ECB"/>
    <w:rsid w:val="298E22AF"/>
    <w:rsid w:val="2D012A63"/>
    <w:rsid w:val="2EA41AE0"/>
    <w:rsid w:val="2FA30A0A"/>
    <w:rsid w:val="31691DCE"/>
    <w:rsid w:val="32306295"/>
    <w:rsid w:val="32E41C08"/>
    <w:rsid w:val="342D1588"/>
    <w:rsid w:val="342D3DCC"/>
    <w:rsid w:val="3454521E"/>
    <w:rsid w:val="354B46BF"/>
    <w:rsid w:val="35A30723"/>
    <w:rsid w:val="37C7727E"/>
    <w:rsid w:val="3A2D4A6A"/>
    <w:rsid w:val="3B450D9C"/>
    <w:rsid w:val="3DB57875"/>
    <w:rsid w:val="3DE03674"/>
    <w:rsid w:val="3E0930F8"/>
    <w:rsid w:val="3E9D059B"/>
    <w:rsid w:val="406C796F"/>
    <w:rsid w:val="40E05EAE"/>
    <w:rsid w:val="421D0943"/>
    <w:rsid w:val="428F0DAF"/>
    <w:rsid w:val="440C122C"/>
    <w:rsid w:val="44493B6F"/>
    <w:rsid w:val="469F3969"/>
    <w:rsid w:val="475548DB"/>
    <w:rsid w:val="48023774"/>
    <w:rsid w:val="48AC2D2F"/>
    <w:rsid w:val="493A7349"/>
    <w:rsid w:val="4AE07476"/>
    <w:rsid w:val="4C8734FD"/>
    <w:rsid w:val="4DB67843"/>
    <w:rsid w:val="4ED816DC"/>
    <w:rsid w:val="500C55B2"/>
    <w:rsid w:val="51787916"/>
    <w:rsid w:val="52F5541B"/>
    <w:rsid w:val="56EC0B43"/>
    <w:rsid w:val="586B5AAC"/>
    <w:rsid w:val="592219A7"/>
    <w:rsid w:val="596211EC"/>
    <w:rsid w:val="5966544B"/>
    <w:rsid w:val="5A4233BA"/>
    <w:rsid w:val="5B975D90"/>
    <w:rsid w:val="5C506552"/>
    <w:rsid w:val="5EC74E05"/>
    <w:rsid w:val="5ECB1868"/>
    <w:rsid w:val="5F204DB7"/>
    <w:rsid w:val="5FFF3702"/>
    <w:rsid w:val="600B28A8"/>
    <w:rsid w:val="60C018E5"/>
    <w:rsid w:val="621B74D2"/>
    <w:rsid w:val="628567B8"/>
    <w:rsid w:val="62CE7040"/>
    <w:rsid w:val="643431E4"/>
    <w:rsid w:val="646E046B"/>
    <w:rsid w:val="663B3F44"/>
    <w:rsid w:val="6B527A6A"/>
    <w:rsid w:val="6B836137"/>
    <w:rsid w:val="6E8C72FA"/>
    <w:rsid w:val="6FA0069D"/>
    <w:rsid w:val="6FB855AF"/>
    <w:rsid w:val="70210C76"/>
    <w:rsid w:val="72544F91"/>
    <w:rsid w:val="739F7933"/>
    <w:rsid w:val="74C95577"/>
    <w:rsid w:val="75315950"/>
    <w:rsid w:val="7ABC1B8D"/>
    <w:rsid w:val="7B153402"/>
    <w:rsid w:val="7B8F697B"/>
    <w:rsid w:val="7EA36676"/>
    <w:rsid w:val="7FFC3A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5" w:lineRule="auto"/>
      <w:outlineLvl w:val="2"/>
    </w:pPr>
    <w:rPr>
      <w:b/>
      <w:bCs/>
      <w:sz w:val="32"/>
      <w:szCs w:val="32"/>
    </w:rPr>
  </w:style>
  <w:style w:type="paragraph" w:styleId="5">
    <w:name w:val="heading 4"/>
    <w:basedOn w:val="1"/>
    <w:next w:val="1"/>
    <w:link w:val="46"/>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6"/>
    <w:basedOn w:val="1"/>
    <w:next w:val="1"/>
    <w:link w:val="47"/>
    <w:qFormat/>
    <w:uiPriority w:val="0"/>
    <w:pPr>
      <w:keepNext/>
      <w:adjustRightInd w:val="0"/>
      <w:spacing w:line="240" w:lineRule="atLeast"/>
      <w:jc w:val="center"/>
      <w:textAlignment w:val="baseline"/>
      <w:outlineLvl w:val="5"/>
    </w:pPr>
    <w:rPr>
      <w:rFonts w:ascii="Courier New" w:hAnsi="Courier New"/>
      <w:b/>
      <w:kern w:val="0"/>
      <w:sz w:val="32"/>
      <w:szCs w:val="20"/>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8"/>
    <w:qFormat/>
    <w:uiPriority w:val="99"/>
    <w:pPr>
      <w:ind w:firstLine="420" w:firstLineChars="200"/>
    </w:pPr>
  </w:style>
  <w:style w:type="paragraph" w:styleId="8">
    <w:name w:val="caption"/>
    <w:basedOn w:val="1"/>
    <w:next w:val="1"/>
    <w:qFormat/>
    <w:uiPriority w:val="99"/>
    <w:rPr>
      <w:rFonts w:ascii="Arial" w:hAnsi="Arial" w:eastAsia="黑体" w:cs="Arial"/>
      <w:sz w:val="20"/>
    </w:rPr>
  </w:style>
  <w:style w:type="paragraph" w:styleId="9">
    <w:name w:val="Document Map"/>
    <w:basedOn w:val="1"/>
    <w:link w:val="49"/>
    <w:qFormat/>
    <w:uiPriority w:val="0"/>
    <w:pPr>
      <w:shd w:val="clear" w:color="auto" w:fill="000080"/>
    </w:pPr>
  </w:style>
  <w:style w:type="paragraph" w:styleId="10">
    <w:name w:val="annotation text"/>
    <w:basedOn w:val="1"/>
    <w:link w:val="50"/>
    <w:qFormat/>
    <w:uiPriority w:val="0"/>
    <w:pPr>
      <w:jc w:val="left"/>
    </w:pPr>
  </w:style>
  <w:style w:type="paragraph" w:styleId="11">
    <w:name w:val="Body Text 3"/>
    <w:basedOn w:val="1"/>
    <w:link w:val="51"/>
    <w:qFormat/>
    <w:uiPriority w:val="0"/>
    <w:pPr>
      <w:spacing w:line="240" w:lineRule="exact"/>
    </w:pPr>
    <w:rPr>
      <w:rFonts w:ascii="宋体" w:hAnsi="宋体"/>
      <w:sz w:val="18"/>
    </w:rPr>
  </w:style>
  <w:style w:type="paragraph" w:styleId="12">
    <w:name w:val="Body Text"/>
    <w:basedOn w:val="1"/>
    <w:link w:val="52"/>
    <w:qFormat/>
    <w:uiPriority w:val="0"/>
    <w:pPr>
      <w:snapToGrid w:val="0"/>
      <w:spacing w:line="400" w:lineRule="exact"/>
      <w:jc w:val="left"/>
    </w:pPr>
    <w:rPr>
      <w:rFonts w:ascii="黑体" w:eastAsia="黑体"/>
      <w:sz w:val="24"/>
      <w:szCs w:val="20"/>
    </w:rPr>
  </w:style>
  <w:style w:type="paragraph" w:styleId="13">
    <w:name w:val="Body Text Indent"/>
    <w:basedOn w:val="1"/>
    <w:link w:val="53"/>
    <w:qFormat/>
    <w:uiPriority w:val="0"/>
    <w:pPr>
      <w:spacing w:after="120"/>
      <w:ind w:left="420" w:leftChars="200"/>
    </w:pPr>
  </w:style>
  <w:style w:type="paragraph" w:styleId="14">
    <w:name w:val="List 2"/>
    <w:basedOn w:val="1"/>
    <w:qFormat/>
    <w:uiPriority w:val="0"/>
    <w:pPr>
      <w:ind w:left="100" w:leftChars="200" w:hanging="200" w:hangingChars="200"/>
    </w:pPr>
  </w:style>
  <w:style w:type="paragraph" w:styleId="15">
    <w:name w:val="toc 3"/>
    <w:basedOn w:val="1"/>
    <w:next w:val="1"/>
    <w:qFormat/>
    <w:uiPriority w:val="39"/>
    <w:pPr>
      <w:widowControl/>
      <w:ind w:left="420"/>
      <w:jc w:val="left"/>
    </w:pPr>
    <w:rPr>
      <w:i/>
      <w:iCs/>
      <w:kern w:val="0"/>
      <w:sz w:val="20"/>
      <w:szCs w:val="20"/>
    </w:rPr>
  </w:style>
  <w:style w:type="paragraph" w:styleId="16">
    <w:name w:val="Plain Text"/>
    <w:basedOn w:val="1"/>
    <w:link w:val="54"/>
    <w:qFormat/>
    <w:uiPriority w:val="99"/>
    <w:rPr>
      <w:rFonts w:ascii="宋体" w:hAnsi="Courier New"/>
      <w:szCs w:val="20"/>
    </w:rPr>
  </w:style>
  <w:style w:type="paragraph" w:styleId="17">
    <w:name w:val="Date"/>
    <w:basedOn w:val="1"/>
    <w:next w:val="1"/>
    <w:link w:val="55"/>
    <w:qFormat/>
    <w:uiPriority w:val="0"/>
    <w:pPr>
      <w:autoSpaceDE w:val="0"/>
      <w:autoSpaceDN w:val="0"/>
      <w:adjustRightInd w:val="0"/>
      <w:textAlignment w:val="baseline"/>
    </w:pPr>
    <w:rPr>
      <w:rFonts w:ascii="宋体"/>
      <w:kern w:val="0"/>
      <w:sz w:val="28"/>
      <w:szCs w:val="20"/>
    </w:rPr>
  </w:style>
  <w:style w:type="paragraph" w:styleId="18">
    <w:name w:val="Body Text Indent 2"/>
    <w:basedOn w:val="1"/>
    <w:link w:val="56"/>
    <w:qFormat/>
    <w:uiPriority w:val="0"/>
    <w:pPr>
      <w:spacing w:line="360" w:lineRule="auto"/>
      <w:ind w:firstLine="360"/>
    </w:pPr>
    <w:rPr>
      <w:rFonts w:ascii="宋体"/>
      <w:sz w:val="24"/>
      <w:szCs w:val="20"/>
    </w:rPr>
  </w:style>
  <w:style w:type="paragraph" w:styleId="19">
    <w:name w:val="Balloon Text"/>
    <w:basedOn w:val="1"/>
    <w:link w:val="57"/>
    <w:qFormat/>
    <w:uiPriority w:val="0"/>
    <w:rPr>
      <w:sz w:val="18"/>
      <w:szCs w:val="18"/>
    </w:rPr>
  </w:style>
  <w:style w:type="paragraph" w:styleId="20">
    <w:name w:val="footer"/>
    <w:basedOn w:val="1"/>
    <w:link w:val="58"/>
    <w:qFormat/>
    <w:uiPriority w:val="99"/>
    <w:pPr>
      <w:tabs>
        <w:tab w:val="center" w:pos="4153"/>
        <w:tab w:val="right" w:pos="8306"/>
      </w:tabs>
      <w:snapToGrid w:val="0"/>
      <w:jc w:val="left"/>
    </w:pPr>
    <w:rPr>
      <w:sz w:val="18"/>
      <w:szCs w:val="18"/>
    </w:rPr>
  </w:style>
  <w:style w:type="paragraph" w:styleId="21">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23"/>
    <w:next w:val="1"/>
    <w:qFormat/>
    <w:uiPriority w:val="39"/>
    <w:rPr>
      <w:rFonts w:eastAsia="黑体"/>
      <w:b/>
      <w:sz w:val="28"/>
      <w:szCs w:val="20"/>
    </w:rPr>
  </w:style>
  <w:style w:type="paragraph" w:styleId="23">
    <w:name w:val="index 1"/>
    <w:basedOn w:val="1"/>
    <w:next w:val="1"/>
    <w:qFormat/>
    <w:uiPriority w:val="0"/>
  </w:style>
  <w:style w:type="paragraph" w:styleId="24">
    <w:name w:val="List"/>
    <w:basedOn w:val="1"/>
    <w:qFormat/>
    <w:uiPriority w:val="0"/>
    <w:pPr>
      <w:ind w:left="420" w:hanging="420"/>
    </w:pPr>
    <w:rPr>
      <w:rFonts w:ascii="Arial" w:hAnsi="Arial" w:eastAsia="楷体_GB2312"/>
      <w:sz w:val="28"/>
    </w:rPr>
  </w:style>
  <w:style w:type="paragraph" w:styleId="25">
    <w:name w:val="Body Text Indent 3"/>
    <w:basedOn w:val="1"/>
    <w:qFormat/>
    <w:uiPriority w:val="0"/>
    <w:pPr>
      <w:spacing w:line="360" w:lineRule="exact"/>
      <w:ind w:firstLine="420" w:firstLineChars="200"/>
    </w:pPr>
  </w:style>
  <w:style w:type="paragraph" w:styleId="26">
    <w:name w:val="toc 2"/>
    <w:basedOn w:val="27"/>
    <w:next w:val="27"/>
    <w:qFormat/>
    <w:uiPriority w:val="39"/>
    <w:pPr>
      <w:ind w:left="420"/>
    </w:pPr>
    <w:rPr>
      <w:rFonts w:eastAsia="仿宋_GB2312"/>
      <w:b/>
      <w:sz w:val="24"/>
      <w:szCs w:val="20"/>
    </w:rPr>
  </w:style>
  <w:style w:type="paragraph" w:styleId="27">
    <w:name w:val="index 2"/>
    <w:basedOn w:val="1"/>
    <w:next w:val="1"/>
    <w:qFormat/>
    <w:uiPriority w:val="0"/>
    <w:pPr>
      <w:ind w:left="200" w:leftChars="200"/>
    </w:pPr>
  </w:style>
  <w:style w:type="paragraph" w:styleId="28">
    <w:name w:val="Body Text 2"/>
    <w:basedOn w:val="1"/>
    <w:link w:val="60"/>
    <w:qFormat/>
    <w:uiPriority w:val="99"/>
    <w:pPr>
      <w:spacing w:after="120" w:line="480" w:lineRule="auto"/>
    </w:p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0">
    <w:name w:val="Title"/>
    <w:basedOn w:val="1"/>
    <w:qFormat/>
    <w:uiPriority w:val="0"/>
    <w:pPr>
      <w:jc w:val="center"/>
    </w:pPr>
    <w:rPr>
      <w:sz w:val="48"/>
    </w:rPr>
  </w:style>
  <w:style w:type="paragraph" w:styleId="31">
    <w:name w:val="annotation subject"/>
    <w:basedOn w:val="10"/>
    <w:next w:val="10"/>
    <w:link w:val="61"/>
    <w:qFormat/>
    <w:uiPriority w:val="0"/>
    <w:rPr>
      <w:b/>
      <w:bCs/>
    </w:rPr>
  </w:style>
  <w:style w:type="paragraph" w:styleId="32">
    <w:name w:val="Body Text First Indent 2"/>
    <w:basedOn w:val="13"/>
    <w:link w:val="63"/>
    <w:qFormat/>
    <w:uiPriority w:val="0"/>
    <w:pPr>
      <w:autoSpaceDE w:val="0"/>
      <w:autoSpaceDN w:val="0"/>
      <w:ind w:firstLine="420" w:firstLineChars="200"/>
      <w:jc w:val="left"/>
    </w:pPr>
    <w:rPr>
      <w:rFonts w:ascii="宋体" w:hAnsi="宋体" w:cs="宋体"/>
      <w:kern w:val="0"/>
      <w:sz w:val="22"/>
      <w:szCs w:val="20"/>
      <w:lang w:val="zh-CN" w:bidi="zh-CN"/>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qFormat/>
    <w:uiPriority w:val="99"/>
    <w:rPr>
      <w:color w:val="800080"/>
      <w:u w:val="single"/>
    </w:rPr>
  </w:style>
  <w:style w:type="character" w:styleId="39">
    <w:name w:val="Emphasis"/>
    <w:qFormat/>
    <w:uiPriority w:val="0"/>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paragraph" w:customStyle="1" w:styleId="4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43">
    <w:name w:val="标题 2 Char"/>
    <w:link w:val="3"/>
    <w:qFormat/>
    <w:uiPriority w:val="9"/>
    <w:rPr>
      <w:rFonts w:ascii="Arial" w:hAnsi="Arial" w:eastAsia="黑体"/>
      <w:b/>
      <w:bCs/>
      <w:kern w:val="2"/>
      <w:sz w:val="32"/>
      <w:szCs w:val="32"/>
      <w:lang w:val="en-US" w:eastAsia="zh-CN" w:bidi="ar-SA"/>
    </w:rPr>
  </w:style>
  <w:style w:type="character" w:customStyle="1" w:styleId="44">
    <w:name w:val="标题 1 Char"/>
    <w:basedOn w:val="35"/>
    <w:link w:val="2"/>
    <w:qFormat/>
    <w:uiPriority w:val="0"/>
    <w:rPr>
      <w:b/>
      <w:bCs/>
      <w:kern w:val="44"/>
      <w:sz w:val="44"/>
      <w:szCs w:val="44"/>
    </w:rPr>
  </w:style>
  <w:style w:type="character" w:customStyle="1" w:styleId="45">
    <w:name w:val="标题 3 Char"/>
    <w:link w:val="4"/>
    <w:qFormat/>
    <w:uiPriority w:val="0"/>
    <w:rPr>
      <w:rFonts w:eastAsia="宋体"/>
      <w:b/>
      <w:bCs/>
      <w:kern w:val="2"/>
      <w:sz w:val="32"/>
      <w:szCs w:val="32"/>
      <w:lang w:val="en-US" w:eastAsia="zh-CN" w:bidi="ar-SA"/>
    </w:rPr>
  </w:style>
  <w:style w:type="character" w:customStyle="1" w:styleId="46">
    <w:name w:val="标题 4 Char"/>
    <w:link w:val="5"/>
    <w:qFormat/>
    <w:uiPriority w:val="0"/>
    <w:rPr>
      <w:rFonts w:ascii="宋体" w:hAnsi="宋体" w:eastAsia="宋体" w:cs="宋体"/>
      <w:b/>
      <w:bCs/>
      <w:sz w:val="24"/>
      <w:szCs w:val="24"/>
      <w:lang w:val="en-US" w:eastAsia="zh-CN" w:bidi="ar-SA"/>
    </w:rPr>
  </w:style>
  <w:style w:type="character" w:customStyle="1" w:styleId="47">
    <w:name w:val="标题 6 Char"/>
    <w:link w:val="6"/>
    <w:qFormat/>
    <w:uiPriority w:val="0"/>
    <w:rPr>
      <w:rFonts w:ascii="Courier New" w:hAnsi="Courier New" w:eastAsia="宋体"/>
      <w:b/>
      <w:sz w:val="32"/>
      <w:lang w:val="en-US" w:eastAsia="zh-CN" w:bidi="ar-SA"/>
    </w:rPr>
  </w:style>
  <w:style w:type="character" w:customStyle="1" w:styleId="48">
    <w:name w:val="正文缩进 Char"/>
    <w:link w:val="7"/>
    <w:qFormat/>
    <w:uiPriority w:val="0"/>
    <w:rPr>
      <w:kern w:val="2"/>
      <w:sz w:val="21"/>
      <w:szCs w:val="24"/>
    </w:rPr>
  </w:style>
  <w:style w:type="character" w:customStyle="1" w:styleId="49">
    <w:name w:val="文档结构图 Char"/>
    <w:link w:val="9"/>
    <w:qFormat/>
    <w:uiPriority w:val="0"/>
    <w:rPr>
      <w:rFonts w:eastAsia="宋体"/>
      <w:kern w:val="2"/>
      <w:sz w:val="21"/>
      <w:szCs w:val="24"/>
      <w:lang w:val="en-US" w:eastAsia="zh-CN" w:bidi="ar-SA"/>
    </w:rPr>
  </w:style>
  <w:style w:type="character" w:customStyle="1" w:styleId="50">
    <w:name w:val="批注文字 Char"/>
    <w:link w:val="10"/>
    <w:qFormat/>
    <w:uiPriority w:val="0"/>
    <w:rPr>
      <w:rFonts w:eastAsia="宋体"/>
      <w:kern w:val="2"/>
      <w:sz w:val="21"/>
      <w:szCs w:val="24"/>
      <w:lang w:val="en-US" w:eastAsia="zh-CN" w:bidi="ar-SA"/>
    </w:rPr>
  </w:style>
  <w:style w:type="character" w:customStyle="1" w:styleId="51">
    <w:name w:val="正文文本 3 Char"/>
    <w:link w:val="11"/>
    <w:qFormat/>
    <w:uiPriority w:val="0"/>
    <w:rPr>
      <w:rFonts w:ascii="宋体" w:hAnsi="宋体" w:eastAsia="宋体"/>
      <w:kern w:val="2"/>
      <w:sz w:val="18"/>
      <w:szCs w:val="24"/>
      <w:lang w:val="en-US" w:eastAsia="zh-CN" w:bidi="ar-SA"/>
    </w:rPr>
  </w:style>
  <w:style w:type="character" w:customStyle="1" w:styleId="52">
    <w:name w:val="正文文本 Char1"/>
    <w:link w:val="12"/>
    <w:qFormat/>
    <w:uiPriority w:val="0"/>
    <w:rPr>
      <w:rFonts w:ascii="黑体" w:eastAsia="黑体"/>
      <w:kern w:val="2"/>
      <w:sz w:val="24"/>
      <w:lang w:val="en-US" w:eastAsia="zh-CN" w:bidi="ar-SA"/>
    </w:rPr>
  </w:style>
  <w:style w:type="character" w:customStyle="1" w:styleId="53">
    <w:name w:val="正文文本缩进 Char"/>
    <w:link w:val="13"/>
    <w:qFormat/>
    <w:uiPriority w:val="0"/>
    <w:rPr>
      <w:rFonts w:eastAsia="宋体"/>
      <w:kern w:val="2"/>
      <w:sz w:val="21"/>
      <w:szCs w:val="24"/>
      <w:lang w:val="en-US" w:eastAsia="zh-CN" w:bidi="ar-SA"/>
    </w:rPr>
  </w:style>
  <w:style w:type="character" w:customStyle="1" w:styleId="54">
    <w:name w:val="纯文本 Char1"/>
    <w:link w:val="16"/>
    <w:qFormat/>
    <w:uiPriority w:val="99"/>
    <w:rPr>
      <w:rFonts w:ascii="宋体" w:hAnsi="Courier New" w:eastAsia="宋体"/>
      <w:kern w:val="2"/>
      <w:sz w:val="21"/>
      <w:lang w:val="en-US" w:eastAsia="zh-CN" w:bidi="ar-SA"/>
    </w:rPr>
  </w:style>
  <w:style w:type="character" w:customStyle="1" w:styleId="55">
    <w:name w:val="日期 Char"/>
    <w:link w:val="17"/>
    <w:qFormat/>
    <w:uiPriority w:val="0"/>
    <w:rPr>
      <w:rFonts w:ascii="宋体" w:eastAsia="宋体"/>
      <w:sz w:val="28"/>
      <w:lang w:val="en-US" w:eastAsia="zh-CN" w:bidi="ar-SA"/>
    </w:rPr>
  </w:style>
  <w:style w:type="character" w:customStyle="1" w:styleId="56">
    <w:name w:val="正文文本缩进 2 Char"/>
    <w:link w:val="18"/>
    <w:qFormat/>
    <w:uiPriority w:val="0"/>
    <w:rPr>
      <w:rFonts w:ascii="宋体" w:eastAsia="宋体"/>
      <w:kern w:val="2"/>
      <w:sz w:val="24"/>
      <w:lang w:val="en-US" w:eastAsia="zh-CN" w:bidi="ar-SA"/>
    </w:rPr>
  </w:style>
  <w:style w:type="character" w:customStyle="1" w:styleId="57">
    <w:name w:val="批注框文本 Char"/>
    <w:link w:val="19"/>
    <w:qFormat/>
    <w:uiPriority w:val="0"/>
    <w:rPr>
      <w:rFonts w:eastAsia="宋体"/>
      <w:kern w:val="2"/>
      <w:sz w:val="18"/>
      <w:szCs w:val="18"/>
      <w:lang w:val="en-US" w:eastAsia="zh-CN" w:bidi="ar-SA"/>
    </w:rPr>
  </w:style>
  <w:style w:type="character" w:customStyle="1" w:styleId="58">
    <w:name w:val="页脚 Char"/>
    <w:link w:val="20"/>
    <w:qFormat/>
    <w:uiPriority w:val="99"/>
    <w:rPr>
      <w:rFonts w:eastAsia="宋体"/>
      <w:kern w:val="2"/>
      <w:sz w:val="18"/>
      <w:szCs w:val="18"/>
      <w:lang w:val="en-US" w:eastAsia="zh-CN" w:bidi="ar-SA"/>
    </w:rPr>
  </w:style>
  <w:style w:type="character" w:customStyle="1" w:styleId="59">
    <w:name w:val="页眉 Char"/>
    <w:link w:val="21"/>
    <w:qFormat/>
    <w:uiPriority w:val="99"/>
    <w:rPr>
      <w:kern w:val="2"/>
      <w:sz w:val="18"/>
      <w:szCs w:val="18"/>
    </w:rPr>
  </w:style>
  <w:style w:type="character" w:customStyle="1" w:styleId="60">
    <w:name w:val="正文文本 2 Char"/>
    <w:link w:val="28"/>
    <w:qFormat/>
    <w:uiPriority w:val="99"/>
    <w:rPr>
      <w:rFonts w:eastAsia="宋体"/>
      <w:kern w:val="2"/>
      <w:sz w:val="21"/>
      <w:szCs w:val="24"/>
      <w:lang w:val="en-US" w:eastAsia="zh-CN" w:bidi="ar-SA"/>
    </w:rPr>
  </w:style>
  <w:style w:type="character" w:customStyle="1" w:styleId="61">
    <w:name w:val="批注主题 Char2"/>
    <w:basedOn w:val="62"/>
    <w:link w:val="31"/>
    <w:qFormat/>
    <w:uiPriority w:val="0"/>
    <w:rPr>
      <w:b/>
      <w:bCs/>
      <w:kern w:val="2"/>
      <w:sz w:val="21"/>
      <w:szCs w:val="24"/>
    </w:rPr>
  </w:style>
  <w:style w:type="character" w:customStyle="1" w:styleId="62">
    <w:name w:val="批注文字 Char2"/>
    <w:qFormat/>
    <w:uiPriority w:val="99"/>
    <w:rPr>
      <w:kern w:val="2"/>
      <w:sz w:val="21"/>
      <w:szCs w:val="24"/>
    </w:rPr>
  </w:style>
  <w:style w:type="character" w:customStyle="1" w:styleId="63">
    <w:name w:val="正文首行缩进 2 Char2"/>
    <w:basedOn w:val="53"/>
    <w:link w:val="32"/>
    <w:semiHidden/>
    <w:qFormat/>
    <w:uiPriority w:val="0"/>
    <w:rPr>
      <w:rFonts w:eastAsia="宋体"/>
      <w:kern w:val="2"/>
      <w:sz w:val="21"/>
      <w:szCs w:val="24"/>
      <w:lang w:val="en-US" w:eastAsia="zh-CN" w:bidi="ar-SA"/>
    </w:rPr>
  </w:style>
  <w:style w:type="paragraph" w:customStyle="1" w:styleId="64">
    <w:name w:val="Table Text"/>
    <w:basedOn w:val="1"/>
    <w:link w:val="65"/>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65">
    <w:name w:val="Table Text Char1"/>
    <w:link w:val="64"/>
    <w:qFormat/>
    <w:uiPriority w:val="0"/>
    <w:rPr>
      <w:rFonts w:ascii="Arial" w:hAnsi="Arial" w:eastAsia="宋体"/>
      <w:sz w:val="18"/>
      <w:lang w:val="en-US" w:eastAsia="zh-CN" w:bidi="ar-SA"/>
    </w:rPr>
  </w:style>
  <w:style w:type="paragraph" w:customStyle="1" w:styleId="66">
    <w:name w:val="批注主题1"/>
    <w:basedOn w:val="10"/>
    <w:next w:val="10"/>
    <w:link w:val="67"/>
    <w:qFormat/>
    <w:uiPriority w:val="0"/>
    <w:rPr>
      <w:b/>
      <w:bCs/>
      <w:kern w:val="0"/>
      <w:sz w:val="20"/>
    </w:rPr>
  </w:style>
  <w:style w:type="character" w:customStyle="1" w:styleId="67">
    <w:name w:val="批注主题 Char Char"/>
    <w:link w:val="66"/>
    <w:qFormat/>
    <w:uiPriority w:val="0"/>
    <w:rPr>
      <w:rFonts w:eastAsia="宋体"/>
      <w:b/>
      <w:bCs/>
      <w:szCs w:val="24"/>
      <w:lang w:bidi="ar-SA"/>
    </w:rPr>
  </w:style>
  <w:style w:type="paragraph" w:customStyle="1" w:styleId="68">
    <w:name w:val="正文文本缩进 31"/>
    <w:basedOn w:val="1"/>
    <w:link w:val="69"/>
    <w:qFormat/>
    <w:uiPriority w:val="0"/>
    <w:pPr>
      <w:spacing w:line="400" w:lineRule="exact"/>
      <w:ind w:left="2" w:leftChars="1"/>
    </w:pPr>
    <w:rPr>
      <w:rFonts w:ascii="宋体" w:hAnsi="宋体"/>
      <w:kern w:val="0"/>
      <w:sz w:val="20"/>
      <w:szCs w:val="20"/>
    </w:rPr>
  </w:style>
  <w:style w:type="character" w:customStyle="1" w:styleId="69">
    <w:name w:val="正文文本缩进 3 Char Char"/>
    <w:link w:val="68"/>
    <w:qFormat/>
    <w:uiPriority w:val="0"/>
    <w:rPr>
      <w:rFonts w:ascii="宋体" w:hAnsi="宋体" w:eastAsia="宋体"/>
      <w:lang w:bidi="ar-SA"/>
    </w:rPr>
  </w:style>
  <w:style w:type="paragraph" w:customStyle="1" w:styleId="70">
    <w:name w:val="Table Heading"/>
    <w:link w:val="71"/>
    <w:qFormat/>
    <w:uiPriority w:val="0"/>
    <w:pPr>
      <w:keepNext/>
      <w:snapToGrid w:val="0"/>
      <w:spacing w:before="80" w:after="80"/>
      <w:jc w:val="center"/>
    </w:pPr>
    <w:rPr>
      <w:rFonts w:ascii="Arial" w:hAnsi="Arial" w:eastAsia="黑体" w:cs="Arial"/>
      <w:sz w:val="18"/>
      <w:szCs w:val="18"/>
      <w:lang w:val="en-US" w:eastAsia="zh-CN" w:bidi="ar-SA"/>
    </w:rPr>
  </w:style>
  <w:style w:type="character" w:customStyle="1" w:styleId="71">
    <w:name w:val="Table Heading Char Char"/>
    <w:link w:val="70"/>
    <w:qFormat/>
    <w:uiPriority w:val="0"/>
    <w:rPr>
      <w:rFonts w:ascii="Arial" w:hAnsi="Arial" w:eastAsia="黑体" w:cs="Arial"/>
      <w:sz w:val="18"/>
      <w:szCs w:val="18"/>
      <w:lang w:val="en-US" w:eastAsia="zh-CN" w:bidi="ar-SA"/>
    </w:rPr>
  </w:style>
  <w:style w:type="paragraph" w:customStyle="1" w:styleId="72">
    <w:name w:val="图1"/>
    <w:basedOn w:val="1"/>
    <w:next w:val="1"/>
    <w:qFormat/>
    <w:uiPriority w:val="0"/>
    <w:pPr>
      <w:tabs>
        <w:tab w:val="left" w:pos="777"/>
      </w:tabs>
      <w:spacing w:beforeLines="50" w:afterLines="100" w:line="360" w:lineRule="auto"/>
      <w:ind w:left="2210" w:hanging="748"/>
      <w:jc w:val="center"/>
    </w:pPr>
    <w:rPr>
      <w:sz w:val="24"/>
      <w:szCs w:val="20"/>
    </w:rPr>
  </w:style>
  <w:style w:type="paragraph" w:customStyle="1" w:styleId="7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75">
    <w:name w:val="font8"/>
    <w:basedOn w:val="1"/>
    <w:qFormat/>
    <w:uiPriority w:val="0"/>
    <w:pPr>
      <w:widowControl/>
      <w:spacing w:before="100" w:beforeAutospacing="1" w:after="100" w:afterAutospacing="1"/>
      <w:jc w:val="left"/>
    </w:pPr>
    <w:rPr>
      <w:color w:val="000000"/>
      <w:kern w:val="0"/>
      <w:sz w:val="20"/>
      <w:szCs w:val="20"/>
    </w:rPr>
  </w:style>
  <w:style w:type="paragraph" w:customStyle="1" w:styleId="76">
    <w:name w:val="Char Char Char Char Char Char Char Char Char Char Char Char Char Char Char Char"/>
    <w:basedOn w:val="1"/>
    <w:qFormat/>
    <w:uiPriority w:val="0"/>
    <w:pPr>
      <w:tabs>
        <w:tab w:val="left" w:pos="360"/>
      </w:tabs>
    </w:pPr>
  </w:style>
  <w:style w:type="paragraph" w:customStyle="1" w:styleId="77">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8">
    <w:name w:val="修订1"/>
    <w:semiHidden/>
    <w:qFormat/>
    <w:uiPriority w:val="0"/>
    <w:rPr>
      <w:rFonts w:ascii="Calibri" w:hAnsi="Calibri" w:eastAsia="宋体" w:cs="Times New Roman"/>
      <w:kern w:val="2"/>
      <w:sz w:val="21"/>
      <w:szCs w:val="22"/>
      <w:lang w:val="en-US" w:eastAsia="zh-CN" w:bidi="ar-SA"/>
    </w:rPr>
  </w:style>
  <w:style w:type="paragraph" w:customStyle="1" w:styleId="79">
    <w:name w:val="p0"/>
    <w:basedOn w:val="1"/>
    <w:qFormat/>
    <w:uiPriority w:val="0"/>
    <w:pPr>
      <w:widowControl/>
    </w:pPr>
    <w:rPr>
      <w:rFonts w:ascii="Calibri" w:hAnsi="Calibri" w:cs="Calibri"/>
      <w:kern w:val="0"/>
      <w:szCs w:val="21"/>
    </w:rPr>
  </w:style>
  <w:style w:type="paragraph" w:customStyle="1" w:styleId="80">
    <w:name w:val="列出段落1"/>
    <w:basedOn w:val="1"/>
    <w:qFormat/>
    <w:uiPriority w:val="34"/>
    <w:pPr>
      <w:ind w:left="720"/>
    </w:pPr>
    <w:rPr>
      <w:szCs w:val="20"/>
    </w:rPr>
  </w:style>
  <w:style w:type="paragraph" w:customStyle="1" w:styleId="81">
    <w:name w:val="样式 华文细黑 小四 加粗 自定义颜(RGB(0125218)) 行距: 固定值 14 磅"/>
    <w:basedOn w:val="1"/>
    <w:qFormat/>
    <w:uiPriority w:val="0"/>
    <w:pPr>
      <w:spacing w:beforeLines="50" w:afterLines="50" w:line="280" w:lineRule="exact"/>
    </w:pPr>
    <w:rPr>
      <w:rFonts w:ascii="华文细黑" w:hAnsi="华文细黑" w:eastAsia="华文细黑" w:cs="宋体"/>
      <w:b/>
      <w:bCs/>
      <w:color w:val="007DDA"/>
      <w:sz w:val="24"/>
      <w:szCs w:val="20"/>
    </w:rPr>
  </w:style>
  <w:style w:type="paragraph" w:customStyle="1" w:styleId="82">
    <w:name w:val="Char Char1 Char Char Char Char Char Char"/>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3">
    <w:name w:val="Char Char Char Char Char Char Char Char Char Char Char Char Char Char Char Char Char Char1 Char Char Char1 Char1"/>
    <w:basedOn w:val="1"/>
    <w:qFormat/>
    <w:uiPriority w:val="0"/>
    <w:pPr>
      <w:tabs>
        <w:tab w:val="left" w:pos="360"/>
      </w:tabs>
      <w:ind w:left="360" w:hanging="360" w:hangingChars="200"/>
    </w:pPr>
    <w:rPr>
      <w:sz w:val="24"/>
    </w:rPr>
  </w:style>
  <w:style w:type="paragraph" w:customStyle="1" w:styleId="84">
    <w:name w:val="Char Char Char Char Char Char Char Char Char Char Char Char Char Char Char Char1"/>
    <w:basedOn w:val="1"/>
    <w:qFormat/>
    <w:uiPriority w:val="0"/>
    <w:pPr>
      <w:tabs>
        <w:tab w:val="left" w:pos="360"/>
      </w:tabs>
    </w:pPr>
  </w:style>
  <w:style w:type="paragraph" w:customStyle="1" w:styleId="85">
    <w:name w:val="正文 A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86">
    <w:name w:val="列出段落111"/>
    <w:basedOn w:val="1"/>
    <w:qFormat/>
    <w:uiPriority w:val="34"/>
    <w:pPr>
      <w:ind w:firstLine="420" w:firstLineChars="200"/>
    </w:pPr>
  </w:style>
  <w:style w:type="paragraph" w:customStyle="1" w:styleId="87">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8">
    <w:name w:val="List Paragraph1"/>
    <w:basedOn w:val="1"/>
    <w:qFormat/>
    <w:uiPriority w:val="0"/>
    <w:pPr>
      <w:widowControl/>
      <w:spacing w:after="200" w:line="276" w:lineRule="auto"/>
      <w:ind w:left="720"/>
      <w:jc w:val="left"/>
    </w:pPr>
    <w:rPr>
      <w:rFonts w:ascii="Calibri" w:hAnsi="Calibri" w:eastAsia="Calibri"/>
      <w:kern w:val="0"/>
      <w:sz w:val="22"/>
      <w:szCs w:val="22"/>
      <w:lang w:eastAsia="en-US"/>
    </w:rPr>
  </w:style>
  <w:style w:type="paragraph" w:customStyle="1" w:styleId="89">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Char1"/>
    <w:basedOn w:val="1"/>
    <w:qFormat/>
    <w:uiPriority w:val="0"/>
    <w:pPr>
      <w:widowControl/>
      <w:spacing w:line="400" w:lineRule="exact"/>
      <w:jc w:val="center"/>
    </w:pPr>
    <w:rPr>
      <w:rFonts w:ascii="Verdana" w:hAnsi="Verdana"/>
      <w:kern w:val="0"/>
      <w:szCs w:val="20"/>
      <w:lang w:eastAsia="en-US"/>
    </w:rPr>
  </w:style>
  <w:style w:type="paragraph" w:customStyle="1" w:styleId="9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3">
    <w:name w:val="正文文本缩进 311"/>
    <w:basedOn w:val="1"/>
    <w:qFormat/>
    <w:uiPriority w:val="0"/>
    <w:pPr>
      <w:spacing w:line="400" w:lineRule="exact"/>
      <w:ind w:left="2" w:leftChars="1"/>
    </w:pPr>
    <w:rPr>
      <w:rFonts w:ascii="宋体" w:hAnsi="宋体"/>
      <w:szCs w:val="22"/>
    </w:rPr>
  </w:style>
  <w:style w:type="paragraph" w:customStyle="1" w:styleId="94">
    <w:name w:val="批注主题11"/>
    <w:basedOn w:val="10"/>
    <w:next w:val="10"/>
    <w:qFormat/>
    <w:uiPriority w:val="0"/>
    <w:rPr>
      <w:rFonts w:ascii="Calibri" w:hAnsi="Calibri"/>
      <w:b/>
      <w:bCs/>
    </w:rPr>
  </w:style>
  <w:style w:type="paragraph" w:customStyle="1" w:styleId="9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6">
    <w:name w:val="样式3"/>
    <w:basedOn w:val="1"/>
    <w:qFormat/>
    <w:uiPriority w:val="0"/>
    <w:pPr>
      <w:widowControl/>
      <w:spacing w:line="520" w:lineRule="exact"/>
      <w:ind w:firstLine="562" w:firstLineChars="200"/>
    </w:pPr>
    <w:rPr>
      <w:rFonts w:eastAsia="黑体"/>
      <w:b/>
      <w:kern w:val="0"/>
      <w:sz w:val="28"/>
      <w:szCs w:val="28"/>
    </w:rPr>
  </w:style>
  <w:style w:type="character" w:customStyle="1" w:styleId="97">
    <w:name w:val="Char Char1"/>
    <w:qFormat/>
    <w:uiPriority w:val="0"/>
    <w:rPr>
      <w:rFonts w:ascii="宋体" w:hAnsi="Courier New" w:eastAsia="宋体"/>
      <w:kern w:val="2"/>
      <w:sz w:val="21"/>
      <w:lang w:val="en-US" w:eastAsia="zh-CN" w:bidi="ar-SA"/>
    </w:rPr>
  </w:style>
  <w:style w:type="character" w:customStyle="1" w:styleId="98">
    <w:name w:val="纯文本 Char Char"/>
    <w:qFormat/>
    <w:uiPriority w:val="0"/>
    <w:rPr>
      <w:rFonts w:ascii="宋体" w:hAnsi="Courier New" w:eastAsia="宋体"/>
      <w:kern w:val="2"/>
      <w:sz w:val="21"/>
      <w:lang w:val="en-US" w:eastAsia="zh-CN" w:bidi="ar-SA"/>
    </w:rPr>
  </w:style>
  <w:style w:type="character" w:customStyle="1" w:styleId="99">
    <w:name w:val="hui3"/>
    <w:qFormat/>
    <w:uiPriority w:val="0"/>
    <w:rPr>
      <w:color w:val="333333"/>
    </w:rPr>
  </w:style>
  <w:style w:type="character" w:customStyle="1" w:styleId="100">
    <w:name w:val="rili11"/>
    <w:qFormat/>
    <w:uiPriority w:val="0"/>
    <w:rPr>
      <w:sz w:val="21"/>
      <w:szCs w:val="21"/>
    </w:rPr>
  </w:style>
  <w:style w:type="character" w:customStyle="1" w:styleId="101">
    <w:name w:val="批注主题 Char"/>
    <w:qFormat/>
    <w:uiPriority w:val="0"/>
    <w:rPr>
      <w:rFonts w:eastAsia="宋体"/>
      <w:b/>
      <w:bCs/>
      <w:szCs w:val="24"/>
      <w:lang w:bidi="ar-SA"/>
    </w:rPr>
  </w:style>
  <w:style w:type="character" w:customStyle="1" w:styleId="102">
    <w:name w:val="Table Heading Char"/>
    <w:qFormat/>
    <w:uiPriority w:val="0"/>
    <w:rPr>
      <w:rFonts w:ascii="Arial" w:hAnsi="Arial" w:eastAsia="黑体" w:cs="Arial"/>
      <w:sz w:val="18"/>
      <w:szCs w:val="18"/>
      <w:lang w:val="en-US" w:eastAsia="zh-CN" w:bidi="ar-SA"/>
    </w:rPr>
  </w:style>
  <w:style w:type="character" w:customStyle="1" w:styleId="103">
    <w:name w:val="f-25"/>
    <w:basedOn w:val="35"/>
    <w:qFormat/>
    <w:uiPriority w:val="0"/>
  </w:style>
  <w:style w:type="character" w:customStyle="1" w:styleId="104">
    <w:name w:val="正文文本 Char"/>
    <w:qFormat/>
    <w:uiPriority w:val="0"/>
    <w:rPr>
      <w:rFonts w:ascii="黑体" w:eastAsia="黑体"/>
      <w:kern w:val="2"/>
      <w:sz w:val="24"/>
      <w:lang w:val="en-US" w:eastAsia="zh-CN" w:bidi="ar-SA"/>
    </w:rPr>
  </w:style>
  <w:style w:type="character" w:customStyle="1" w:styleId="105">
    <w:name w:val="16"/>
    <w:qFormat/>
    <w:uiPriority w:val="0"/>
    <w:rPr>
      <w:rFonts w:hint="default" w:ascii="Times New Roman" w:hAnsi="Times New Roman" w:cs="Times New Roman"/>
      <w:color w:val="0000FF"/>
      <w:u w:val="single"/>
    </w:rPr>
  </w:style>
  <w:style w:type="character" w:customStyle="1" w:styleId="106">
    <w:name w:val="纯文本 Char"/>
    <w:qFormat/>
    <w:uiPriority w:val="99"/>
    <w:rPr>
      <w:rFonts w:ascii="宋体" w:hAnsi="Courier New" w:eastAsia="宋体"/>
      <w:kern w:val="2"/>
      <w:sz w:val="21"/>
      <w:lang w:val="en-US" w:eastAsia="zh-CN" w:bidi="ar-SA"/>
    </w:rPr>
  </w:style>
  <w:style w:type="character" w:customStyle="1" w:styleId="107">
    <w:name w:val="Char Char8"/>
    <w:qFormat/>
    <w:uiPriority w:val="0"/>
    <w:rPr>
      <w:rFonts w:ascii="宋体" w:hAnsi="Courier New" w:eastAsia="宋体"/>
      <w:kern w:val="2"/>
      <w:sz w:val="21"/>
      <w:lang w:val="en-US" w:eastAsia="zh-CN" w:bidi="ar-SA"/>
    </w:rPr>
  </w:style>
  <w:style w:type="character" w:customStyle="1" w:styleId="108">
    <w:name w:val="Char Char6"/>
    <w:qFormat/>
    <w:uiPriority w:val="0"/>
    <w:rPr>
      <w:rFonts w:ascii="Arial" w:hAnsi="Arial" w:eastAsia="黑体"/>
      <w:b/>
      <w:bCs/>
      <w:kern w:val="2"/>
      <w:sz w:val="32"/>
      <w:szCs w:val="32"/>
      <w:lang w:val="en-US" w:eastAsia="zh-CN" w:bidi="ar-SA"/>
    </w:rPr>
  </w:style>
  <w:style w:type="character" w:customStyle="1" w:styleId="109">
    <w:name w:val="正文文本缩进 3 Char"/>
    <w:qFormat/>
    <w:uiPriority w:val="0"/>
    <w:rPr>
      <w:rFonts w:ascii="宋体" w:hAnsi="宋体" w:eastAsia="宋体"/>
      <w:lang w:bidi="ar-SA"/>
    </w:rPr>
  </w:style>
  <w:style w:type="character" w:customStyle="1" w:styleId="110">
    <w:name w:val="apple-style-span"/>
    <w:basedOn w:val="35"/>
    <w:qFormat/>
    <w:uiPriority w:val="0"/>
  </w:style>
  <w:style w:type="character" w:customStyle="1" w:styleId="111">
    <w:name w:val="b titlename wangputoptitle"/>
    <w:basedOn w:val="35"/>
    <w:qFormat/>
    <w:uiPriority w:val="0"/>
  </w:style>
  <w:style w:type="character" w:customStyle="1" w:styleId="112">
    <w:name w:val="正文文本 Char Char"/>
    <w:qFormat/>
    <w:uiPriority w:val="0"/>
    <w:rPr>
      <w:rFonts w:ascii="黑体" w:eastAsia="黑体"/>
      <w:kern w:val="2"/>
      <w:sz w:val="24"/>
      <w:lang w:val="en-US" w:eastAsia="zh-CN" w:bidi="ar-SA"/>
    </w:rPr>
  </w:style>
  <w:style w:type="character" w:customStyle="1" w:styleId="113">
    <w:name w:val="Char Char"/>
    <w:qFormat/>
    <w:uiPriority w:val="0"/>
    <w:rPr>
      <w:rFonts w:ascii="Arial" w:hAnsi="Arial" w:eastAsia="黑体"/>
      <w:b/>
      <w:bCs/>
      <w:kern w:val="2"/>
      <w:sz w:val="32"/>
      <w:szCs w:val="32"/>
      <w:lang w:val="en-US" w:eastAsia="zh-CN" w:bidi="ar-SA"/>
    </w:rPr>
  </w:style>
  <w:style w:type="character" w:customStyle="1" w:styleId="114">
    <w:name w:val="Char Char4"/>
    <w:qFormat/>
    <w:uiPriority w:val="0"/>
    <w:rPr>
      <w:rFonts w:ascii="Arial" w:hAnsi="Arial" w:eastAsia="黑体"/>
      <w:b/>
      <w:bCs/>
      <w:kern w:val="2"/>
      <w:sz w:val="32"/>
      <w:szCs w:val="32"/>
      <w:lang w:val="en-US" w:eastAsia="zh-CN" w:bidi="ar-SA"/>
    </w:rPr>
  </w:style>
  <w:style w:type="character" w:customStyle="1" w:styleId="115">
    <w:name w:val="Char Char2"/>
    <w:qFormat/>
    <w:uiPriority w:val="0"/>
    <w:rPr>
      <w:rFonts w:ascii="宋体" w:hAnsi="Courier New" w:eastAsia="宋体"/>
      <w:kern w:val="2"/>
      <w:sz w:val="21"/>
      <w:lang w:val="en-US" w:eastAsia="zh-CN" w:bidi="ar-SA"/>
    </w:rPr>
  </w:style>
  <w:style w:type="character" w:customStyle="1" w:styleId="116">
    <w:name w:val="Char Char18"/>
    <w:qFormat/>
    <w:uiPriority w:val="0"/>
    <w:rPr>
      <w:rFonts w:ascii="Arial" w:hAnsi="Arial" w:eastAsia="黑体"/>
      <w:b/>
      <w:bCs/>
      <w:kern w:val="2"/>
      <w:sz w:val="32"/>
      <w:szCs w:val="32"/>
      <w:lang w:val="en-US" w:eastAsia="zh-CN" w:bidi="ar-SA"/>
    </w:rPr>
  </w:style>
  <w:style w:type="character" w:customStyle="1" w:styleId="117">
    <w:name w:val="普通文字 Char Char1"/>
    <w:qFormat/>
    <w:uiPriority w:val="0"/>
    <w:rPr>
      <w:rFonts w:ascii="宋体" w:hAnsi="Courier New" w:eastAsia="宋体"/>
      <w:kern w:val="2"/>
      <w:sz w:val="21"/>
      <w:lang w:val="en-US" w:eastAsia="zh-CN" w:bidi="ar-SA"/>
    </w:rPr>
  </w:style>
  <w:style w:type="character" w:customStyle="1" w:styleId="118">
    <w:name w:val="body text Char Char"/>
    <w:qFormat/>
    <w:locked/>
    <w:uiPriority w:val="0"/>
    <w:rPr>
      <w:rFonts w:ascii="黑体" w:eastAsia="黑体"/>
      <w:kern w:val="2"/>
      <w:sz w:val="24"/>
      <w:lang w:val="en-US" w:eastAsia="zh-CN" w:bidi="ar-SA"/>
    </w:rPr>
  </w:style>
  <w:style w:type="character" w:customStyle="1" w:styleId="119">
    <w:name w:val="Char Char Char"/>
    <w:qFormat/>
    <w:uiPriority w:val="0"/>
    <w:rPr>
      <w:rFonts w:ascii="Arial" w:hAnsi="Arial" w:eastAsia="黑体"/>
      <w:b/>
      <w:bCs/>
      <w:kern w:val="2"/>
      <w:sz w:val="32"/>
      <w:szCs w:val="32"/>
      <w:lang w:val="en-US" w:eastAsia="zh-CN" w:bidi="ar-SA"/>
    </w:rPr>
  </w:style>
  <w:style w:type="character" w:customStyle="1" w:styleId="120">
    <w:name w:val="Char Char9"/>
    <w:qFormat/>
    <w:uiPriority w:val="0"/>
    <w:rPr>
      <w:kern w:val="2"/>
      <w:sz w:val="18"/>
      <w:szCs w:val="18"/>
    </w:rPr>
  </w:style>
  <w:style w:type="character" w:customStyle="1" w:styleId="121">
    <w:name w:val="Char Char11"/>
    <w:qFormat/>
    <w:uiPriority w:val="0"/>
    <w:rPr>
      <w:rFonts w:ascii="宋体" w:hAnsi="Courier New" w:eastAsia="宋体"/>
      <w:kern w:val="2"/>
      <w:sz w:val="21"/>
      <w:lang w:val="en-US" w:eastAsia="zh-CN" w:bidi="ar-SA"/>
    </w:rPr>
  </w:style>
  <w:style w:type="character" w:customStyle="1" w:styleId="122">
    <w:name w:val="Char Char81"/>
    <w:qFormat/>
    <w:uiPriority w:val="0"/>
    <w:rPr>
      <w:rFonts w:ascii="宋体" w:hAnsi="Courier New" w:eastAsia="宋体"/>
      <w:kern w:val="2"/>
      <w:sz w:val="21"/>
      <w:lang w:val="en-US" w:eastAsia="zh-CN" w:bidi="ar-SA"/>
    </w:rPr>
  </w:style>
  <w:style w:type="character" w:customStyle="1" w:styleId="123">
    <w:name w:val="Char Char3"/>
    <w:qFormat/>
    <w:uiPriority w:val="0"/>
    <w:rPr>
      <w:rFonts w:ascii="Arial" w:hAnsi="Arial" w:eastAsia="黑体"/>
      <w:b/>
      <w:bCs/>
      <w:kern w:val="2"/>
      <w:sz w:val="32"/>
      <w:szCs w:val="32"/>
      <w:lang w:val="en-US" w:eastAsia="zh-CN" w:bidi="ar-SA"/>
    </w:rPr>
  </w:style>
  <w:style w:type="character" w:customStyle="1" w:styleId="124">
    <w:name w:val="Char Char21"/>
    <w:qFormat/>
    <w:uiPriority w:val="0"/>
    <w:rPr>
      <w:rFonts w:ascii="Arial" w:hAnsi="Arial" w:eastAsia="黑体"/>
      <w:b/>
      <w:bCs/>
      <w:kern w:val="2"/>
      <w:sz w:val="32"/>
      <w:szCs w:val="32"/>
      <w:lang w:val="en-US" w:eastAsia="zh-CN" w:bidi="ar-SA"/>
    </w:rPr>
  </w:style>
  <w:style w:type="character" w:customStyle="1" w:styleId="125">
    <w:name w:val="font81"/>
    <w:qFormat/>
    <w:uiPriority w:val="0"/>
    <w:rPr>
      <w:rFonts w:hint="eastAsia" w:ascii="宋体" w:hAnsi="宋体" w:eastAsia="宋体" w:cs="宋体"/>
      <w:b/>
      <w:color w:val="000000"/>
      <w:sz w:val="20"/>
      <w:szCs w:val="20"/>
      <w:u w:val="none"/>
    </w:rPr>
  </w:style>
  <w:style w:type="character" w:customStyle="1" w:styleId="126">
    <w:name w:val="font41"/>
    <w:qFormat/>
    <w:uiPriority w:val="0"/>
    <w:rPr>
      <w:rFonts w:hint="eastAsia" w:ascii="宋体" w:hAnsi="宋体" w:eastAsia="宋体" w:cs="宋体"/>
      <w:color w:val="000000"/>
      <w:sz w:val="24"/>
      <w:szCs w:val="24"/>
      <w:u w:val="none"/>
    </w:rPr>
  </w:style>
  <w:style w:type="character" w:customStyle="1" w:styleId="127">
    <w:name w:val="font31"/>
    <w:basedOn w:val="35"/>
    <w:qFormat/>
    <w:uiPriority w:val="0"/>
    <w:rPr>
      <w:rFonts w:hint="eastAsia" w:ascii="宋体" w:hAnsi="宋体" w:eastAsia="宋体" w:cs="宋体"/>
      <w:color w:val="000000"/>
      <w:sz w:val="24"/>
      <w:szCs w:val="24"/>
      <w:u w:val="none"/>
    </w:rPr>
  </w:style>
  <w:style w:type="character" w:customStyle="1" w:styleId="128">
    <w:name w:val="font61"/>
    <w:qFormat/>
    <w:uiPriority w:val="0"/>
    <w:rPr>
      <w:rFonts w:hint="default" w:ascii="Times New Roman" w:hAnsi="Times New Roman" w:cs="Times New Roman"/>
      <w:color w:val="000000"/>
      <w:sz w:val="20"/>
      <w:szCs w:val="20"/>
      <w:u w:val="none"/>
    </w:rPr>
  </w:style>
  <w:style w:type="character" w:customStyle="1" w:styleId="129">
    <w:name w:val="font71"/>
    <w:qFormat/>
    <w:uiPriority w:val="0"/>
    <w:rPr>
      <w:rFonts w:hint="default" w:ascii="Times New Roman" w:hAnsi="Times New Roman" w:cs="Times New Roman"/>
      <w:color w:val="000000"/>
      <w:sz w:val="20"/>
      <w:szCs w:val="20"/>
      <w:u w:val="none"/>
    </w:rPr>
  </w:style>
  <w:style w:type="character" w:customStyle="1" w:styleId="130">
    <w:name w:val="font91"/>
    <w:qFormat/>
    <w:uiPriority w:val="0"/>
    <w:rPr>
      <w:rFonts w:hint="default" w:ascii="Times New Roman" w:hAnsi="Times New Roman" w:cs="Times New Roman"/>
      <w:color w:val="000000"/>
      <w:sz w:val="24"/>
      <w:szCs w:val="24"/>
      <w:u w:val="none"/>
    </w:rPr>
  </w:style>
  <w:style w:type="character" w:customStyle="1" w:styleId="131">
    <w:name w:val="font101"/>
    <w:qFormat/>
    <w:uiPriority w:val="0"/>
    <w:rPr>
      <w:rFonts w:hint="eastAsia" w:ascii="宋体" w:hAnsi="宋体" w:eastAsia="宋体" w:cs="宋体"/>
      <w:color w:val="000000"/>
      <w:sz w:val="24"/>
      <w:szCs w:val="24"/>
      <w:u w:val="none"/>
    </w:rPr>
  </w:style>
  <w:style w:type="character" w:customStyle="1" w:styleId="132">
    <w:name w:val="font51"/>
    <w:basedOn w:val="35"/>
    <w:qFormat/>
    <w:uiPriority w:val="0"/>
    <w:rPr>
      <w:rFonts w:hint="eastAsia" w:ascii="宋体" w:hAnsi="宋体" w:eastAsia="宋体" w:cs="宋体"/>
      <w:color w:val="auto"/>
      <w:sz w:val="20"/>
      <w:szCs w:val="20"/>
      <w:u w:val="none"/>
    </w:rPr>
  </w:style>
  <w:style w:type="character" w:customStyle="1" w:styleId="133">
    <w:name w:val="font141"/>
    <w:qFormat/>
    <w:uiPriority w:val="0"/>
    <w:rPr>
      <w:rFonts w:hint="eastAsia" w:ascii="宋体" w:hAnsi="宋体" w:eastAsia="宋体" w:cs="宋体"/>
      <w:color w:val="000000"/>
      <w:sz w:val="20"/>
      <w:szCs w:val="20"/>
      <w:u w:val="none"/>
    </w:rPr>
  </w:style>
  <w:style w:type="character" w:customStyle="1" w:styleId="134">
    <w:name w:val="A5"/>
    <w:qFormat/>
    <w:uiPriority w:val="0"/>
    <w:rPr>
      <w:rFonts w:ascii="汉仪中黑简" w:eastAsia="汉仪中黑简"/>
      <w:color w:val="6E2A90"/>
      <w:sz w:val="32"/>
    </w:rPr>
  </w:style>
  <w:style w:type="character" w:customStyle="1" w:styleId="135">
    <w:name w:val="A4"/>
    <w:qFormat/>
    <w:uiPriority w:val="0"/>
    <w:rPr>
      <w:color w:val="6E2A90"/>
      <w:sz w:val="48"/>
    </w:rPr>
  </w:style>
  <w:style w:type="character" w:customStyle="1" w:styleId="136">
    <w:name w:val="普通文字 Char Char Char1"/>
    <w:qFormat/>
    <w:uiPriority w:val="0"/>
    <w:rPr>
      <w:rFonts w:ascii="宋体" w:hAnsi="Courier New"/>
      <w:kern w:val="2"/>
      <w:sz w:val="21"/>
    </w:rPr>
  </w:style>
  <w:style w:type="character" w:customStyle="1" w:styleId="137">
    <w:name w:val="标题 2 Char1"/>
    <w:qFormat/>
    <w:uiPriority w:val="0"/>
    <w:rPr>
      <w:rFonts w:ascii="Arial" w:hAnsi="Arial" w:eastAsia="黑体"/>
      <w:b/>
      <w:bCs/>
      <w:kern w:val="2"/>
      <w:sz w:val="32"/>
      <w:szCs w:val="32"/>
    </w:rPr>
  </w:style>
  <w:style w:type="character" w:customStyle="1" w:styleId="138">
    <w:name w:val="apple-converted-space"/>
    <w:basedOn w:val="35"/>
    <w:qFormat/>
    <w:uiPriority w:val="0"/>
  </w:style>
  <w:style w:type="character" w:customStyle="1" w:styleId="139">
    <w:name w:val="表正文 Char"/>
    <w:qFormat/>
    <w:uiPriority w:val="0"/>
    <w:rPr>
      <w:rFonts w:eastAsia="宋体"/>
      <w:kern w:val="2"/>
      <w:sz w:val="21"/>
      <w:szCs w:val="24"/>
      <w:lang w:val="en-US" w:eastAsia="zh-CN" w:bidi="ar-SA"/>
    </w:rPr>
  </w:style>
  <w:style w:type="character" w:customStyle="1" w:styleId="140">
    <w:name w:val="font21"/>
    <w:qFormat/>
    <w:uiPriority w:val="0"/>
    <w:rPr>
      <w:rFonts w:hint="default" w:ascii="Times New Roman" w:hAnsi="Times New Roman" w:cs="Times New Roman"/>
      <w:b/>
      <w:color w:val="000000"/>
      <w:sz w:val="24"/>
      <w:szCs w:val="24"/>
    </w:rPr>
  </w:style>
  <w:style w:type="character" w:customStyle="1" w:styleId="141">
    <w:name w:val="font11"/>
    <w:qFormat/>
    <w:uiPriority w:val="0"/>
    <w:rPr>
      <w:rFonts w:hint="eastAsia" w:ascii="宋体" w:hAnsi="宋体" w:eastAsia="宋体" w:cs="宋体"/>
      <w:b/>
      <w:color w:val="000000"/>
      <w:sz w:val="22"/>
      <w:szCs w:val="22"/>
    </w:rPr>
  </w:style>
  <w:style w:type="character" w:customStyle="1" w:styleId="142">
    <w:name w:val="font01"/>
    <w:qFormat/>
    <w:uiPriority w:val="0"/>
    <w:rPr>
      <w:rFonts w:hint="eastAsia" w:ascii="宋体" w:hAnsi="宋体" w:eastAsia="宋体" w:cs="宋体"/>
      <w:color w:val="000000"/>
      <w:sz w:val="22"/>
      <w:szCs w:val="22"/>
    </w:rPr>
  </w:style>
  <w:style w:type="character" w:customStyle="1" w:styleId="143">
    <w:name w:val="font112"/>
    <w:qFormat/>
    <w:uiPriority w:val="0"/>
    <w:rPr>
      <w:rFonts w:hint="eastAsia" w:ascii="宋体" w:hAnsi="宋体" w:eastAsia="宋体" w:cs="宋体"/>
      <w:color w:val="000000"/>
      <w:sz w:val="20"/>
      <w:szCs w:val="20"/>
    </w:rPr>
  </w:style>
  <w:style w:type="character" w:customStyle="1" w:styleId="144">
    <w:name w:val="font131"/>
    <w:qFormat/>
    <w:uiPriority w:val="0"/>
    <w:rPr>
      <w:rFonts w:hint="eastAsia" w:ascii="宋体" w:hAnsi="宋体" w:eastAsia="宋体" w:cs="宋体"/>
      <w:color w:val="000000"/>
      <w:sz w:val="20"/>
      <w:szCs w:val="20"/>
    </w:rPr>
  </w:style>
  <w:style w:type="character" w:customStyle="1" w:styleId="145">
    <w:name w:val="font171"/>
    <w:qFormat/>
    <w:uiPriority w:val="0"/>
    <w:rPr>
      <w:rFonts w:ascii="Segoe UI Symbol" w:hAnsi="Segoe UI Symbol" w:eastAsia="Segoe UI Symbol" w:cs="Segoe UI Symbol"/>
      <w:b/>
      <w:color w:val="000000"/>
      <w:sz w:val="20"/>
      <w:szCs w:val="20"/>
    </w:rPr>
  </w:style>
  <w:style w:type="character" w:customStyle="1" w:styleId="146">
    <w:name w:val="font161"/>
    <w:qFormat/>
    <w:uiPriority w:val="0"/>
    <w:rPr>
      <w:rFonts w:ascii="Cambria Math" w:hAnsi="Cambria Math" w:eastAsia="Cambria Math" w:cs="Cambria Math"/>
      <w:b/>
      <w:color w:val="000000"/>
      <w:sz w:val="20"/>
      <w:szCs w:val="20"/>
    </w:rPr>
  </w:style>
  <w:style w:type="character" w:customStyle="1" w:styleId="147">
    <w:name w:val="font151"/>
    <w:qFormat/>
    <w:uiPriority w:val="0"/>
    <w:rPr>
      <w:rFonts w:hint="default" w:ascii="Cambria Math" w:hAnsi="Cambria Math" w:eastAsia="Cambria Math" w:cs="Cambria Math"/>
      <w:color w:val="000000"/>
      <w:sz w:val="20"/>
      <w:szCs w:val="20"/>
    </w:rPr>
  </w:style>
  <w:style w:type="character" w:customStyle="1" w:styleId="148">
    <w:name w:val="font181"/>
    <w:qFormat/>
    <w:uiPriority w:val="0"/>
    <w:rPr>
      <w:rFonts w:hint="default" w:ascii="Times New Roman" w:hAnsi="Times New Roman" w:cs="Times New Roman"/>
      <w:b/>
      <w:color w:val="000000"/>
      <w:sz w:val="20"/>
      <w:szCs w:val="20"/>
    </w:rPr>
  </w:style>
  <w:style w:type="character" w:customStyle="1" w:styleId="149">
    <w:name w:val="font111"/>
    <w:qFormat/>
    <w:uiPriority w:val="0"/>
    <w:rPr>
      <w:rFonts w:hint="eastAsia" w:ascii="宋体" w:hAnsi="宋体" w:eastAsia="宋体" w:cs="宋体"/>
      <w:color w:val="000000"/>
      <w:sz w:val="20"/>
      <w:szCs w:val="20"/>
    </w:rPr>
  </w:style>
  <w:style w:type="paragraph" w:customStyle="1" w:styleId="150">
    <w:name w:val="列出段落11"/>
    <w:basedOn w:val="1"/>
    <w:qFormat/>
    <w:uiPriority w:val="0"/>
    <w:pPr>
      <w:ind w:firstLine="420" w:firstLineChars="200"/>
    </w:pPr>
  </w:style>
  <w:style w:type="character" w:customStyle="1" w:styleId="151">
    <w:name w:val="列出段落 Char"/>
    <w:link w:val="152"/>
    <w:qFormat/>
    <w:locked/>
    <w:uiPriority w:val="34"/>
    <w:rPr>
      <w:rFonts w:ascii="Calibri" w:hAnsi="Calibri"/>
      <w:kern w:val="2"/>
      <w:sz w:val="21"/>
      <w:szCs w:val="22"/>
    </w:rPr>
  </w:style>
  <w:style w:type="paragraph" w:customStyle="1" w:styleId="152">
    <w:name w:val="列出段落2"/>
    <w:basedOn w:val="1"/>
    <w:link w:val="151"/>
    <w:qFormat/>
    <w:uiPriority w:val="0"/>
    <w:pPr>
      <w:ind w:firstLine="420" w:firstLineChars="200"/>
    </w:pPr>
    <w:rPr>
      <w:rFonts w:ascii="Calibri" w:hAnsi="Calibri"/>
      <w:szCs w:val="22"/>
    </w:rPr>
  </w:style>
  <w:style w:type="character" w:customStyle="1" w:styleId="153">
    <w:name w:val="time"/>
    <w:basedOn w:val="35"/>
    <w:qFormat/>
    <w:uiPriority w:val="0"/>
  </w:style>
  <w:style w:type="character" w:customStyle="1" w:styleId="154">
    <w:name w:val="批注主题 Char1"/>
    <w:qFormat/>
    <w:uiPriority w:val="0"/>
    <w:rPr>
      <w:rFonts w:ascii="Calibri" w:hAnsi="Calibri"/>
      <w:b/>
      <w:bCs/>
      <w:szCs w:val="24"/>
    </w:rPr>
  </w:style>
  <w:style w:type="character" w:customStyle="1" w:styleId="155">
    <w:name w:val="标题 2 字符"/>
    <w:qFormat/>
    <w:uiPriority w:val="0"/>
    <w:rPr>
      <w:rFonts w:ascii="宋体" w:hAnsi="宋体"/>
      <w:b/>
      <w:sz w:val="36"/>
      <w:szCs w:val="36"/>
    </w:rPr>
  </w:style>
  <w:style w:type="character" w:customStyle="1" w:styleId="156">
    <w:name w:val="正文首行缩进 2 Char1"/>
    <w:basedOn w:val="157"/>
    <w:qFormat/>
    <w:uiPriority w:val="0"/>
    <w:rPr>
      <w:kern w:val="2"/>
      <w:sz w:val="21"/>
      <w:szCs w:val="24"/>
    </w:rPr>
  </w:style>
  <w:style w:type="character" w:customStyle="1" w:styleId="157">
    <w:name w:val="正文文本缩进 Char1"/>
    <w:qFormat/>
    <w:uiPriority w:val="0"/>
    <w:rPr>
      <w:kern w:val="2"/>
      <w:sz w:val="21"/>
      <w:szCs w:val="24"/>
    </w:rPr>
  </w:style>
  <w:style w:type="character" w:customStyle="1" w:styleId="158">
    <w:name w:val="z-窗体顶端 Char"/>
    <w:qFormat/>
    <w:uiPriority w:val="0"/>
    <w:rPr>
      <w:rFonts w:ascii="Arial"/>
      <w:vanish/>
      <w:kern w:val="2"/>
      <w:sz w:val="16"/>
      <w:szCs w:val="24"/>
    </w:rPr>
  </w:style>
  <w:style w:type="paragraph" w:customStyle="1" w:styleId="159">
    <w:name w:val="z-窗体顶端1"/>
    <w:basedOn w:val="1"/>
    <w:next w:val="1"/>
    <w:link w:val="160"/>
    <w:qFormat/>
    <w:uiPriority w:val="0"/>
    <w:pPr>
      <w:pBdr>
        <w:bottom w:val="single" w:color="auto" w:sz="6" w:space="1"/>
      </w:pBdr>
      <w:jc w:val="center"/>
    </w:pPr>
    <w:rPr>
      <w:rFonts w:ascii="Arial"/>
      <w:vanish/>
      <w:sz w:val="16"/>
    </w:rPr>
  </w:style>
  <w:style w:type="character" w:customStyle="1" w:styleId="160">
    <w:name w:val="z-窗体顶端 Char1"/>
    <w:basedOn w:val="35"/>
    <w:link w:val="159"/>
    <w:semiHidden/>
    <w:qFormat/>
    <w:uiPriority w:val="99"/>
    <w:rPr>
      <w:rFonts w:ascii="Arial" w:hAnsi="Arial" w:cs="Arial"/>
      <w:vanish/>
      <w:kern w:val="2"/>
      <w:sz w:val="16"/>
      <w:szCs w:val="16"/>
    </w:rPr>
  </w:style>
  <w:style w:type="character" w:customStyle="1" w:styleId="161">
    <w:name w:val="english"/>
    <w:qFormat/>
    <w:uiPriority w:val="0"/>
    <w:rPr>
      <w:rFonts w:ascii="微软雅黑" w:hAnsi="微软雅黑" w:eastAsia="微软雅黑" w:cs="微软雅黑"/>
      <w:i/>
      <w:caps/>
      <w:color w:val="9E9E9E"/>
      <w:sz w:val="21"/>
      <w:szCs w:val="21"/>
    </w:rPr>
  </w:style>
  <w:style w:type="character" w:customStyle="1" w:styleId="162">
    <w:name w:val="font132"/>
    <w:qFormat/>
    <w:uiPriority w:val="0"/>
    <w:rPr>
      <w:rFonts w:hint="eastAsia" w:ascii="宋体" w:hAnsi="宋体" w:eastAsia="宋体" w:cs="宋体"/>
      <w:color w:val="000000"/>
      <w:sz w:val="16"/>
      <w:szCs w:val="16"/>
      <w:u w:val="none"/>
    </w:rPr>
  </w:style>
  <w:style w:type="character" w:customStyle="1" w:styleId="163">
    <w:name w:val="english2"/>
    <w:qFormat/>
    <w:uiPriority w:val="0"/>
    <w:rPr>
      <w:rFonts w:hint="eastAsia" w:ascii="微软雅黑" w:hAnsi="微软雅黑" w:eastAsia="微软雅黑" w:cs="微软雅黑"/>
      <w:i/>
      <w:caps/>
      <w:color w:val="9E9E9E"/>
      <w:sz w:val="21"/>
      <w:szCs w:val="21"/>
    </w:rPr>
  </w:style>
  <w:style w:type="character" w:customStyle="1" w:styleId="164">
    <w:name w:val="批注框文本 Char1"/>
    <w:qFormat/>
    <w:uiPriority w:val="0"/>
    <w:rPr>
      <w:rFonts w:ascii="Calibri" w:hAnsi="Calibri"/>
      <w:kern w:val="2"/>
      <w:sz w:val="18"/>
      <w:szCs w:val="18"/>
    </w:rPr>
  </w:style>
  <w:style w:type="character" w:customStyle="1" w:styleId="165">
    <w:name w:val="time1"/>
    <w:basedOn w:val="35"/>
    <w:qFormat/>
    <w:uiPriority w:val="0"/>
  </w:style>
  <w:style w:type="character" w:customStyle="1" w:styleId="166">
    <w:name w:val="english1"/>
    <w:qFormat/>
    <w:uiPriority w:val="0"/>
    <w:rPr>
      <w:rFonts w:hint="eastAsia" w:ascii="微软雅黑" w:hAnsi="微软雅黑" w:eastAsia="微软雅黑" w:cs="微软雅黑"/>
      <w:color w:val="000000"/>
      <w:sz w:val="12"/>
      <w:szCs w:val="12"/>
    </w:rPr>
  </w:style>
  <w:style w:type="character" w:customStyle="1" w:styleId="167">
    <w:name w:val="time2"/>
    <w:basedOn w:val="35"/>
    <w:qFormat/>
    <w:uiPriority w:val="0"/>
  </w:style>
  <w:style w:type="character" w:customStyle="1" w:styleId="168">
    <w:name w:val="z-窗体底端 Char"/>
    <w:qFormat/>
    <w:uiPriority w:val="0"/>
    <w:rPr>
      <w:rFonts w:ascii="Arial"/>
      <w:vanish/>
      <w:kern w:val="2"/>
      <w:sz w:val="16"/>
      <w:szCs w:val="24"/>
    </w:rPr>
  </w:style>
  <w:style w:type="paragraph" w:customStyle="1" w:styleId="169">
    <w:name w:val="z-窗体底端1"/>
    <w:basedOn w:val="1"/>
    <w:next w:val="1"/>
    <w:link w:val="170"/>
    <w:qFormat/>
    <w:uiPriority w:val="0"/>
    <w:pPr>
      <w:pBdr>
        <w:top w:val="single" w:color="auto" w:sz="6" w:space="1"/>
      </w:pBdr>
      <w:jc w:val="center"/>
    </w:pPr>
    <w:rPr>
      <w:rFonts w:ascii="Arial"/>
      <w:vanish/>
      <w:sz w:val="16"/>
    </w:rPr>
  </w:style>
  <w:style w:type="character" w:customStyle="1" w:styleId="170">
    <w:name w:val="z-窗体底端 Char1"/>
    <w:basedOn w:val="35"/>
    <w:link w:val="169"/>
    <w:semiHidden/>
    <w:qFormat/>
    <w:uiPriority w:val="99"/>
    <w:rPr>
      <w:rFonts w:ascii="Arial" w:hAnsi="Arial" w:cs="Arial"/>
      <w:vanish/>
      <w:kern w:val="2"/>
      <w:sz w:val="16"/>
      <w:szCs w:val="16"/>
    </w:rPr>
  </w:style>
  <w:style w:type="character" w:customStyle="1" w:styleId="171">
    <w:name w:val="正文首行缩进 2 Char"/>
    <w:qFormat/>
    <w:uiPriority w:val="0"/>
    <w:rPr>
      <w:rFonts w:ascii="宋体" w:hAnsi="宋体" w:cs="宋体"/>
      <w:sz w:val="22"/>
      <w:lang w:val="zh-CN" w:bidi="zh-CN"/>
    </w:rPr>
  </w:style>
  <w:style w:type="character" w:customStyle="1" w:styleId="172">
    <w:name w:val="批注文字 Char1"/>
    <w:qFormat/>
    <w:uiPriority w:val="0"/>
    <w:rPr>
      <w:rFonts w:ascii="Calibri" w:hAnsi="Calibri"/>
      <w:szCs w:val="24"/>
    </w:rPr>
  </w:style>
  <w:style w:type="paragraph" w:customStyle="1" w:styleId="17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5">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6">
    <w:name w:val="样式1"/>
    <w:basedOn w:val="1"/>
    <w:qFormat/>
    <w:uiPriority w:val="0"/>
    <w:pPr>
      <w:tabs>
        <w:tab w:val="left" w:pos="709"/>
      </w:tabs>
      <w:adjustRightInd w:val="0"/>
    </w:pPr>
    <w:rPr>
      <w:rFonts w:ascii="宋体" w:hAnsi="宋体"/>
      <w:kern w:val="0"/>
      <w:szCs w:val="21"/>
    </w:rPr>
  </w:style>
  <w:style w:type="paragraph" w:customStyle="1" w:styleId="17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
    <w:name w:val="font5"/>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81">
    <w:name w:val="xl77"/>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18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3">
    <w:name w:val="xl11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8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19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3">
    <w:name w:val="xl75"/>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19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2">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0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0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9">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1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2">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4">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5">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6">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8">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220">
    <w:name w:val="NormalCharacter"/>
    <w:qFormat/>
    <w:uiPriority w:val="0"/>
    <w:rPr>
      <w:rFonts w:asciiTheme="minorHAnsi" w:hAnsiTheme="minorHAnsi" w:eastAsiaTheme="minorEastAsia" w:cstheme="minorBidi"/>
      <w:kern w:val="2"/>
      <w:sz w:val="21"/>
      <w:szCs w:val="24"/>
      <w:lang w:val="en-US" w:eastAsia="zh-CN" w:bidi="ar-SA"/>
    </w:rPr>
  </w:style>
  <w:style w:type="paragraph" w:styleId="221">
    <w:name w:val="List Paragraph"/>
    <w:basedOn w:val="1"/>
    <w:unhideWhenUsed/>
    <w:qFormat/>
    <w:uiPriority w:val="34"/>
    <w:pPr>
      <w:ind w:firstLine="420" w:firstLineChars="200"/>
    </w:pPr>
  </w:style>
  <w:style w:type="paragraph" w:customStyle="1" w:styleId="222">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23">
    <w:name w:val="cf01"/>
    <w:basedOn w:val="35"/>
    <w:qFormat/>
    <w:uiPriority w:val="0"/>
    <w:rPr>
      <w:rFonts w:hint="eastAsia" w:ascii="Microsoft YaHei UI" w:hAnsi="Microsoft YaHei UI" w:eastAsia="Microsoft YaHei UI"/>
      <w:sz w:val="18"/>
      <w:szCs w:val="18"/>
    </w:rPr>
  </w:style>
  <w:style w:type="paragraph" w:customStyle="1" w:styleId="224">
    <w:name w:val="楷体粗正文文字"/>
    <w:basedOn w:val="1"/>
    <w:next w:val="25"/>
    <w:qFormat/>
    <w:uiPriority w:val="0"/>
    <w:pPr>
      <w:snapToGrid w:val="0"/>
      <w:spacing w:line="480" w:lineRule="exact"/>
      <w:ind w:firstLine="560"/>
    </w:pPr>
    <w:rPr>
      <w:sz w:val="28"/>
      <w:szCs w:val="20"/>
    </w:rPr>
  </w:style>
  <w:style w:type="paragraph" w:customStyle="1" w:styleId="225">
    <w:name w:val="表格"/>
    <w:basedOn w:val="1"/>
    <w:link w:val="226"/>
    <w:qFormat/>
    <w:uiPriority w:val="0"/>
    <w:rPr>
      <w:rFonts w:eastAsia="微软雅黑"/>
      <w:sz w:val="24"/>
      <w:szCs w:val="20"/>
    </w:rPr>
  </w:style>
  <w:style w:type="character" w:customStyle="1" w:styleId="226">
    <w:name w:val="表格 Char"/>
    <w:basedOn w:val="35"/>
    <w:link w:val="225"/>
    <w:qFormat/>
    <w:uiPriority w:val="0"/>
    <w:rPr>
      <w:rFonts w:eastAsia="微软雅黑"/>
      <w:kern w:val="2"/>
      <w:sz w:val="24"/>
    </w:rPr>
  </w:style>
  <w:style w:type="paragraph" w:customStyle="1" w:styleId="227">
    <w:name w:val="修订2"/>
    <w:hidden/>
    <w:unhideWhenUsed/>
    <w:qFormat/>
    <w:uiPriority w:val="99"/>
    <w:rPr>
      <w:rFonts w:ascii="Times New Roman" w:hAnsi="Times New Roman" w:eastAsia="宋体" w:cs="Times New Roman"/>
      <w:kern w:val="2"/>
      <w:sz w:val="21"/>
      <w:szCs w:val="24"/>
      <w:lang w:val="en-US" w:eastAsia="zh-CN" w:bidi="ar-SA"/>
    </w:rPr>
  </w:style>
  <w:style w:type="table" w:customStyle="1" w:styleId="228">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229">
    <w:name w:val="_Style 9"/>
    <w:basedOn w:val="13"/>
    <w:next w:val="32"/>
    <w:qFormat/>
    <w:uiPriority w:val="0"/>
    <w:pPr>
      <w:spacing w:after="0" w:line="360" w:lineRule="auto"/>
      <w:ind w:left="0" w:leftChars="0" w:firstLine="420" w:firstLineChars="200"/>
    </w:pPr>
    <w:rPr>
      <w:rFonts w:ascii="宋体" w:hAnsi="宋体"/>
      <w:kern w:val="0"/>
      <w:sz w:val="20"/>
      <w:szCs w:val="20"/>
    </w:rPr>
  </w:style>
  <w:style w:type="table" w:customStyle="1" w:styleId="2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17159</Words>
  <Characters>17906</Characters>
  <Lines>198</Lines>
  <Paragraphs>55</Paragraphs>
  <TotalTime>180</TotalTime>
  <ScaleCrop>false</ScaleCrop>
  <LinksUpToDate>false</LinksUpToDate>
  <CharactersWithSpaces>18182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2024-05-24T09:42:00Z</dcterms:created>
  <dc:creator>User</dc:creator>
  <cp:lastModifiedBy>招标中心</cp:lastModifiedBy>
  <cp:lastPrinted>2024-03-28T09:11:00Z</cp:lastPrinted>
  <dcterms:modified xsi:type="dcterms:W3CDTF">2024-12-06T03:37:55Z</dcterms:modified>
  <dc:title>2013省本级政府设备采购招标项目	</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422FA27DF1E142BB9E629FAF84B6B023</vt:lpwstr>
  </property>
</Properties>
</file>