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0AF100">
      <w:pPr>
        <w:spacing w:line="560" w:lineRule="atLeast"/>
        <w:jc w:val="center"/>
        <w:rPr>
          <w:rFonts w:asciiTheme="minorEastAsia" w:hAnsiTheme="minorEastAsia" w:eastAsiaTheme="minorEastAsia"/>
          <w:bCs/>
          <w:sz w:val="44"/>
        </w:rPr>
      </w:pPr>
      <w:bookmarkStart w:id="0" w:name="_Toc46738283"/>
      <w:bookmarkStart w:id="1" w:name="_Toc75917299"/>
      <w:bookmarkStart w:id="2" w:name="_Toc169338716"/>
      <w:bookmarkStart w:id="3" w:name="_Toc506611778"/>
      <w:bookmarkStart w:id="4" w:name="_Toc517502601"/>
      <w:bookmarkStart w:id="5" w:name="_Toc494597746"/>
      <w:bookmarkStart w:id="6" w:name="_Toc490832162"/>
      <w:bookmarkStart w:id="7" w:name="_Toc506628521"/>
      <w:bookmarkStart w:id="8" w:name="_Toc46738149"/>
      <w:bookmarkStart w:id="9" w:name="_Toc506611570"/>
      <w:bookmarkStart w:id="10" w:name="_Toc531987376"/>
      <w:bookmarkStart w:id="11" w:name="_Toc46738410"/>
      <w:bookmarkStart w:id="12" w:name="_Toc484827160"/>
      <w:bookmarkStart w:id="13" w:name="_Toc484848505"/>
      <w:bookmarkStart w:id="14" w:name="_Toc12118333"/>
      <w:bookmarkStart w:id="15" w:name="_Toc494875372"/>
    </w:p>
    <w:p w14:paraId="6D6CB975">
      <w:pPr>
        <w:spacing w:line="560" w:lineRule="atLeast"/>
        <w:jc w:val="center"/>
        <w:rPr>
          <w:rFonts w:asciiTheme="minorEastAsia" w:hAnsiTheme="minorEastAsia" w:eastAsiaTheme="minorEastAsia"/>
          <w:bCs/>
          <w:sz w:val="44"/>
        </w:rPr>
      </w:pPr>
    </w:p>
    <w:p w14:paraId="66879296">
      <w:pPr>
        <w:spacing w:line="560" w:lineRule="atLeast"/>
        <w:jc w:val="center"/>
        <w:rPr>
          <w:rFonts w:asciiTheme="minorEastAsia" w:hAnsiTheme="minorEastAsia" w:eastAsiaTheme="minorEastAsia"/>
          <w:bCs/>
          <w:sz w:val="44"/>
        </w:rPr>
      </w:pPr>
      <w:r>
        <w:rPr>
          <w:rFonts w:hint="eastAsia" w:asciiTheme="minorEastAsia" w:hAnsiTheme="minorEastAsia" w:eastAsiaTheme="minorEastAsia"/>
          <w:bCs/>
          <w:sz w:val="44"/>
        </w:rPr>
        <w:t>2024年采购项目</w:t>
      </w:r>
    </w:p>
    <w:p w14:paraId="6381C9F0">
      <w:pPr>
        <w:spacing w:line="560" w:lineRule="atLeast"/>
        <w:jc w:val="center"/>
        <w:rPr>
          <w:rFonts w:asciiTheme="minorEastAsia" w:hAnsiTheme="minorEastAsia" w:eastAsiaTheme="minorEastAsia"/>
          <w:bCs/>
          <w:sz w:val="32"/>
          <w:szCs w:val="32"/>
        </w:rPr>
      </w:pPr>
    </w:p>
    <w:p w14:paraId="2401081B">
      <w:pPr>
        <w:spacing w:line="560" w:lineRule="atLeast"/>
        <w:jc w:val="center"/>
        <w:rPr>
          <w:rFonts w:asciiTheme="minorEastAsia" w:hAnsiTheme="minorEastAsia" w:eastAsiaTheme="minorEastAsia"/>
          <w:bCs/>
          <w:sz w:val="32"/>
          <w:szCs w:val="32"/>
        </w:rPr>
      </w:pPr>
    </w:p>
    <w:p w14:paraId="243F980A">
      <w:pPr>
        <w:spacing w:line="560" w:lineRule="atLeast"/>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项目名称：海南绿峰资源开发有限公司信息化管理平台（二期）项目</w:t>
      </w:r>
    </w:p>
    <w:p w14:paraId="007A6914">
      <w:pPr>
        <w:spacing w:line="560" w:lineRule="atLeast"/>
        <w:jc w:val="center"/>
        <w:rPr>
          <w:rFonts w:asciiTheme="minorEastAsia" w:hAnsiTheme="minorEastAsia" w:eastAsiaTheme="minorEastAsia"/>
          <w:bCs/>
          <w:sz w:val="32"/>
          <w:szCs w:val="32"/>
        </w:rPr>
      </w:pPr>
    </w:p>
    <w:p w14:paraId="687CCFCA">
      <w:pPr>
        <w:spacing w:line="560" w:lineRule="atLeast"/>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项目编号:HNJY2024-88-46</w:t>
      </w:r>
    </w:p>
    <w:p w14:paraId="0A096939">
      <w:pPr>
        <w:spacing w:line="560" w:lineRule="atLeast"/>
        <w:jc w:val="center"/>
        <w:rPr>
          <w:rFonts w:asciiTheme="minorEastAsia" w:hAnsiTheme="minorEastAsia" w:eastAsiaTheme="minorEastAsia"/>
          <w:bCs/>
          <w:sz w:val="32"/>
          <w:szCs w:val="32"/>
        </w:rPr>
      </w:pPr>
    </w:p>
    <w:p w14:paraId="61996130">
      <w:pPr>
        <w:spacing w:line="560" w:lineRule="atLeast"/>
        <w:jc w:val="center"/>
        <w:rPr>
          <w:rFonts w:hint="eastAsia" w:asciiTheme="minorEastAsia" w:hAnsiTheme="minorEastAsia" w:eastAsiaTheme="minorEastAsia"/>
          <w:bCs/>
          <w:kern w:val="0"/>
          <w:sz w:val="28"/>
          <w:szCs w:val="28"/>
        </w:rPr>
      </w:pPr>
    </w:p>
    <w:p w14:paraId="3436F9DE">
      <w:pPr>
        <w:spacing w:line="560" w:lineRule="atLeast"/>
        <w:rPr>
          <w:rFonts w:asciiTheme="minorEastAsia" w:hAnsiTheme="minorEastAsia" w:eastAsiaTheme="minorEastAsia"/>
          <w:bCs/>
          <w:sz w:val="28"/>
        </w:rPr>
      </w:pPr>
    </w:p>
    <w:p w14:paraId="7C5E1B7C">
      <w:pPr>
        <w:spacing w:line="560" w:lineRule="atLeast"/>
        <w:jc w:val="center"/>
        <w:rPr>
          <w:rFonts w:asciiTheme="minorEastAsia" w:hAnsiTheme="minorEastAsia" w:eastAsiaTheme="minorEastAsia"/>
          <w:bCs/>
          <w:sz w:val="28"/>
        </w:rPr>
      </w:pPr>
    </w:p>
    <w:p w14:paraId="083BA250">
      <w:pPr>
        <w:spacing w:line="560" w:lineRule="atLeast"/>
        <w:jc w:val="center"/>
        <w:rPr>
          <w:rFonts w:asciiTheme="minorEastAsia" w:hAnsiTheme="minorEastAsia" w:eastAsiaTheme="minorEastAsia"/>
          <w:bCs/>
          <w:sz w:val="72"/>
          <w:szCs w:val="72"/>
        </w:rPr>
      </w:pPr>
      <w:r>
        <w:rPr>
          <w:rFonts w:hint="eastAsia" w:asciiTheme="minorEastAsia" w:hAnsiTheme="minorEastAsia" w:eastAsiaTheme="minorEastAsia"/>
          <w:bCs/>
          <w:sz w:val="72"/>
          <w:szCs w:val="72"/>
        </w:rPr>
        <w:t>公开比选采购文件</w:t>
      </w:r>
    </w:p>
    <w:p w14:paraId="2029DCBE">
      <w:pPr>
        <w:spacing w:line="560" w:lineRule="atLeast"/>
        <w:jc w:val="center"/>
        <w:rPr>
          <w:rFonts w:asciiTheme="minorEastAsia" w:hAnsiTheme="minorEastAsia" w:eastAsiaTheme="minorEastAsia"/>
          <w:bCs/>
          <w:sz w:val="72"/>
          <w:szCs w:val="72"/>
        </w:rPr>
      </w:pPr>
    </w:p>
    <w:p w14:paraId="18D3BE6A">
      <w:pPr>
        <w:spacing w:line="560" w:lineRule="atLeast"/>
        <w:rPr>
          <w:rFonts w:asciiTheme="minorEastAsia" w:hAnsiTheme="minorEastAsia" w:eastAsiaTheme="minorEastAsia"/>
          <w:bCs/>
          <w:sz w:val="32"/>
        </w:rPr>
      </w:pPr>
    </w:p>
    <w:p w14:paraId="77055177">
      <w:pPr>
        <w:spacing w:line="560" w:lineRule="atLeast"/>
        <w:rPr>
          <w:rFonts w:asciiTheme="minorEastAsia" w:hAnsiTheme="minorEastAsia" w:eastAsiaTheme="minorEastAsia"/>
          <w:bCs/>
          <w:sz w:val="32"/>
        </w:rPr>
      </w:pPr>
    </w:p>
    <w:p w14:paraId="2225F585">
      <w:pPr>
        <w:spacing w:line="560" w:lineRule="atLeast"/>
        <w:rPr>
          <w:rFonts w:asciiTheme="minorEastAsia" w:hAnsiTheme="minorEastAsia" w:eastAsiaTheme="minorEastAsia"/>
          <w:bCs/>
          <w:sz w:val="32"/>
        </w:rPr>
      </w:pPr>
    </w:p>
    <w:p w14:paraId="648D36DC">
      <w:pPr>
        <w:spacing w:line="560" w:lineRule="atLeast"/>
        <w:jc w:val="center"/>
        <w:rPr>
          <w:rFonts w:hint="eastAsia" w:asciiTheme="minorEastAsia" w:hAnsiTheme="minorEastAsia" w:eastAsiaTheme="minorEastAsia"/>
          <w:bCs/>
          <w:sz w:val="30"/>
          <w:szCs w:val="30"/>
          <w:lang w:eastAsia="zh-CN"/>
        </w:rPr>
      </w:pPr>
      <w:r>
        <w:rPr>
          <w:rFonts w:hint="eastAsia" w:asciiTheme="minorEastAsia" w:hAnsiTheme="minorEastAsia" w:eastAsiaTheme="minorEastAsia"/>
          <w:bCs/>
          <w:sz w:val="30"/>
          <w:szCs w:val="30"/>
        </w:rPr>
        <w:t>采购人：</w:t>
      </w:r>
      <w:r>
        <w:rPr>
          <w:rFonts w:hint="eastAsia" w:asciiTheme="minorEastAsia" w:hAnsiTheme="minorEastAsia" w:eastAsiaTheme="minorEastAsia"/>
          <w:bCs/>
          <w:sz w:val="30"/>
          <w:szCs w:val="30"/>
          <w:lang w:eastAsia="zh-CN"/>
        </w:rPr>
        <w:t>海南绿峰资源开发有限公司</w:t>
      </w:r>
    </w:p>
    <w:p w14:paraId="50E683B6">
      <w:pPr>
        <w:pStyle w:val="23"/>
        <w:spacing w:line="560" w:lineRule="atLeast"/>
        <w:ind w:left="0" w:firstLine="0"/>
        <w:jc w:val="center"/>
        <w:rPr>
          <w:rFonts w:hint="eastAsia" w:asciiTheme="minorEastAsia" w:hAnsiTheme="minorEastAsia" w:eastAsiaTheme="minorEastAsia"/>
          <w:bCs/>
          <w:sz w:val="32"/>
          <w:szCs w:val="32"/>
        </w:rPr>
      </w:pPr>
      <w:r>
        <w:rPr>
          <w:rFonts w:hint="eastAsia" w:asciiTheme="minorEastAsia" w:hAnsiTheme="minorEastAsia" w:eastAsiaTheme="minorEastAsia"/>
          <w:bCs/>
          <w:sz w:val="30"/>
          <w:szCs w:val="30"/>
        </w:rPr>
        <w:t>采购代理机构：海南省教学仪器设备招标中心有限公司</w:t>
      </w:r>
    </w:p>
    <w:p w14:paraId="1B3728CF">
      <w:pPr>
        <w:pStyle w:val="23"/>
        <w:spacing w:line="560" w:lineRule="atLeast"/>
        <w:ind w:left="836" w:leftChars="398" w:firstLine="2912" w:firstLineChars="910"/>
        <w:jc w:val="both"/>
        <w:rPr>
          <w:rFonts w:hint="eastAsia" w:asciiTheme="minorEastAsia" w:hAnsiTheme="minorEastAsia" w:eastAsiaTheme="minorEastAsia"/>
          <w:bCs/>
          <w:sz w:val="32"/>
          <w:szCs w:val="32"/>
        </w:rPr>
      </w:pPr>
      <w:bookmarkStart w:id="16" w:name="OLE_LINK2"/>
      <w:bookmarkStart w:id="17" w:name="OLE_LINK1"/>
      <w:r>
        <w:rPr>
          <w:rFonts w:hint="eastAsia" w:asciiTheme="minorEastAsia" w:hAnsiTheme="minorEastAsia" w:eastAsiaTheme="minorEastAsia"/>
          <w:bCs/>
          <w:sz w:val="32"/>
          <w:szCs w:val="32"/>
        </w:rPr>
        <w:t>2024年12月</w:t>
      </w:r>
    </w:p>
    <w:bookmarkEnd w:id="16"/>
    <w:bookmarkEnd w:id="17"/>
    <w:p w14:paraId="2312E0C2">
      <w:pPr>
        <w:spacing w:line="560" w:lineRule="atLeast"/>
        <w:jc w:val="center"/>
        <w:rPr>
          <w:rFonts w:asciiTheme="minorEastAsia" w:hAnsiTheme="minorEastAsia" w:eastAsiaTheme="minorEastAsia"/>
          <w:bCs/>
        </w:rPr>
      </w:pPr>
    </w:p>
    <w:p w14:paraId="753BA1A5">
      <w:pPr>
        <w:spacing w:line="560" w:lineRule="atLeast"/>
        <w:jc w:val="center"/>
        <w:rPr>
          <w:rFonts w:asciiTheme="minorEastAsia" w:hAnsiTheme="minorEastAsia" w:eastAsiaTheme="minorEastAsia"/>
          <w:bCs/>
          <w:sz w:val="36"/>
          <w:szCs w:val="36"/>
        </w:rPr>
      </w:pPr>
      <w:r>
        <w:rPr>
          <w:rFonts w:hint="eastAsia" w:asciiTheme="minorEastAsia" w:hAnsiTheme="minorEastAsia" w:eastAsiaTheme="minorEastAsia"/>
          <w:bCs/>
          <w:sz w:val="36"/>
          <w:szCs w:val="36"/>
        </w:rPr>
        <w:t>目    录</w:t>
      </w:r>
    </w:p>
    <w:p w14:paraId="193F89BC">
      <w:pPr>
        <w:pStyle w:val="23"/>
        <w:spacing w:line="560" w:lineRule="atLeast"/>
        <w:ind w:left="836" w:leftChars="398" w:firstLine="1910" w:firstLineChars="597"/>
        <w:jc w:val="both"/>
        <w:rPr>
          <w:rFonts w:hint="eastAsia" w:asciiTheme="minorEastAsia" w:hAnsiTheme="minorEastAsia" w:eastAsiaTheme="minorEastAsia"/>
          <w:bCs/>
          <w:sz w:val="32"/>
          <w:szCs w:val="32"/>
        </w:rPr>
      </w:pPr>
    </w:p>
    <w:p w14:paraId="141B0305">
      <w:pPr>
        <w:spacing w:line="560" w:lineRule="atLeast"/>
        <w:rPr>
          <w:rFonts w:asciiTheme="minorEastAsia" w:hAnsiTheme="minorEastAsia" w:eastAsiaTheme="minorEastAsia"/>
          <w:bCs/>
        </w:rPr>
      </w:pPr>
    </w:p>
    <w:p w14:paraId="6B771020">
      <w:pPr>
        <w:spacing w:line="560" w:lineRule="atLeast"/>
        <w:rPr>
          <w:rFonts w:asciiTheme="minorEastAsia" w:hAnsiTheme="minorEastAsia" w:eastAsiaTheme="minorEastAsia"/>
          <w:bCs/>
          <w:sz w:val="32"/>
          <w:szCs w:val="32"/>
        </w:rPr>
      </w:pPr>
      <w:r>
        <w:rPr>
          <w:rFonts w:hint="eastAsia" w:asciiTheme="minorEastAsia" w:hAnsiTheme="minorEastAsia" w:eastAsiaTheme="minorEastAsia"/>
          <w:bCs/>
          <w:sz w:val="32"/>
          <w:szCs w:val="32"/>
        </w:rPr>
        <w:t>第一部分       公开比选采购邀请函</w:t>
      </w:r>
    </w:p>
    <w:p w14:paraId="758E0506">
      <w:pPr>
        <w:spacing w:line="560" w:lineRule="atLeast"/>
        <w:rPr>
          <w:rFonts w:asciiTheme="minorEastAsia" w:hAnsiTheme="minorEastAsia" w:eastAsiaTheme="minorEastAsia"/>
          <w:bCs/>
          <w:sz w:val="32"/>
          <w:szCs w:val="32"/>
        </w:rPr>
      </w:pPr>
      <w:r>
        <w:rPr>
          <w:rFonts w:hint="eastAsia" w:asciiTheme="minorEastAsia" w:hAnsiTheme="minorEastAsia" w:eastAsiaTheme="minorEastAsia"/>
          <w:bCs/>
          <w:sz w:val="32"/>
          <w:szCs w:val="32"/>
        </w:rPr>
        <w:t>第二部分　     公开比选采购项目需求</w:t>
      </w:r>
    </w:p>
    <w:p w14:paraId="126F5C02">
      <w:pPr>
        <w:spacing w:line="560" w:lineRule="atLeast"/>
        <w:rPr>
          <w:rFonts w:asciiTheme="minorEastAsia" w:hAnsiTheme="minorEastAsia" w:eastAsiaTheme="minorEastAsia"/>
          <w:bCs/>
          <w:sz w:val="32"/>
          <w:szCs w:val="32"/>
        </w:rPr>
      </w:pPr>
      <w:r>
        <w:rPr>
          <w:rFonts w:hint="eastAsia" w:asciiTheme="minorEastAsia" w:hAnsiTheme="minorEastAsia" w:eastAsiaTheme="minorEastAsia"/>
          <w:bCs/>
          <w:sz w:val="32"/>
          <w:szCs w:val="32"/>
        </w:rPr>
        <w:t>第三部分       投标人须知</w:t>
      </w:r>
    </w:p>
    <w:p w14:paraId="195C8BFA">
      <w:pPr>
        <w:spacing w:line="560" w:lineRule="atLeast"/>
        <w:rPr>
          <w:rFonts w:asciiTheme="minorEastAsia" w:hAnsiTheme="minorEastAsia" w:eastAsiaTheme="minorEastAsia"/>
          <w:bCs/>
          <w:sz w:val="32"/>
          <w:szCs w:val="32"/>
        </w:rPr>
      </w:pPr>
      <w:r>
        <w:rPr>
          <w:rFonts w:hint="eastAsia" w:asciiTheme="minorEastAsia" w:hAnsiTheme="minorEastAsia" w:eastAsiaTheme="minorEastAsia"/>
          <w:bCs/>
          <w:sz w:val="32"/>
          <w:szCs w:val="32"/>
        </w:rPr>
        <w:t>第四部分       评审办法</w:t>
      </w:r>
    </w:p>
    <w:p w14:paraId="05E7301E">
      <w:pPr>
        <w:spacing w:line="560" w:lineRule="atLeast"/>
        <w:rPr>
          <w:rFonts w:asciiTheme="minorEastAsia" w:hAnsiTheme="minorEastAsia" w:eastAsiaTheme="minorEastAsia"/>
          <w:bCs/>
          <w:sz w:val="32"/>
          <w:szCs w:val="32"/>
        </w:rPr>
      </w:pPr>
      <w:r>
        <w:rPr>
          <w:rFonts w:hint="eastAsia" w:asciiTheme="minorEastAsia" w:hAnsiTheme="minorEastAsia" w:eastAsiaTheme="minorEastAsia"/>
          <w:bCs/>
          <w:sz w:val="32"/>
          <w:szCs w:val="32"/>
        </w:rPr>
        <w:t>第五部分       合同条款格式</w:t>
      </w:r>
    </w:p>
    <w:p w14:paraId="6B0B1922">
      <w:pPr>
        <w:spacing w:line="560" w:lineRule="atLeast"/>
        <w:rPr>
          <w:rFonts w:asciiTheme="minorEastAsia" w:hAnsiTheme="minorEastAsia" w:eastAsiaTheme="minorEastAsia"/>
          <w:bCs/>
          <w:sz w:val="32"/>
          <w:szCs w:val="32"/>
        </w:rPr>
      </w:pPr>
      <w:r>
        <w:rPr>
          <w:rFonts w:hint="eastAsia" w:asciiTheme="minorEastAsia" w:hAnsiTheme="minorEastAsia" w:eastAsiaTheme="minorEastAsia"/>
          <w:bCs/>
          <w:sz w:val="32"/>
          <w:szCs w:val="32"/>
        </w:rPr>
        <w:t>第六部分       响应文件格式</w:t>
      </w:r>
    </w:p>
    <w:p w14:paraId="099D5E02">
      <w:pPr>
        <w:spacing w:line="560" w:lineRule="atLeast"/>
        <w:rPr>
          <w:rFonts w:asciiTheme="minorEastAsia" w:hAnsiTheme="minorEastAsia" w:eastAsiaTheme="minorEastAsia"/>
          <w:bCs/>
        </w:rPr>
      </w:pPr>
    </w:p>
    <w:p w14:paraId="574FEE75">
      <w:pPr>
        <w:spacing w:line="560" w:lineRule="atLeast"/>
        <w:rPr>
          <w:rFonts w:asciiTheme="minorEastAsia" w:hAnsiTheme="minorEastAsia" w:eastAsiaTheme="minorEastAsia"/>
          <w:bCs/>
        </w:rPr>
      </w:pPr>
    </w:p>
    <w:p w14:paraId="6B7ECC2C">
      <w:pPr>
        <w:spacing w:line="560" w:lineRule="atLeast"/>
        <w:rPr>
          <w:rFonts w:asciiTheme="minorEastAsia" w:hAnsiTheme="minorEastAsia" w:eastAsiaTheme="minorEastAsia"/>
          <w:bCs/>
        </w:rPr>
      </w:pPr>
    </w:p>
    <w:p w14:paraId="3A6F7D1F">
      <w:pPr>
        <w:spacing w:line="560" w:lineRule="atLeast"/>
        <w:rPr>
          <w:rFonts w:asciiTheme="minorEastAsia" w:hAnsiTheme="minorEastAsia" w:eastAsiaTheme="minorEastAsia"/>
          <w:bCs/>
        </w:rPr>
      </w:pPr>
    </w:p>
    <w:p w14:paraId="0E75F187">
      <w:pPr>
        <w:spacing w:line="560" w:lineRule="atLeast"/>
        <w:rPr>
          <w:rFonts w:asciiTheme="minorEastAsia" w:hAnsiTheme="minorEastAsia" w:eastAsiaTheme="minorEastAsia"/>
          <w:bCs/>
        </w:rPr>
      </w:pPr>
    </w:p>
    <w:p w14:paraId="77F228E3">
      <w:pPr>
        <w:spacing w:line="560" w:lineRule="atLeast"/>
        <w:rPr>
          <w:rFonts w:asciiTheme="minorEastAsia" w:hAnsiTheme="minorEastAsia" w:eastAsiaTheme="minorEastAsia"/>
          <w:bCs/>
        </w:rPr>
      </w:pPr>
    </w:p>
    <w:p w14:paraId="20E4A417">
      <w:pPr>
        <w:spacing w:line="560" w:lineRule="atLeast"/>
        <w:rPr>
          <w:rFonts w:asciiTheme="minorEastAsia" w:hAnsiTheme="minorEastAsia" w:eastAsiaTheme="minorEastAsia"/>
          <w:bCs/>
        </w:rPr>
      </w:pPr>
    </w:p>
    <w:p w14:paraId="696DAC28">
      <w:pPr>
        <w:spacing w:line="560" w:lineRule="atLeast"/>
        <w:rPr>
          <w:rFonts w:asciiTheme="minorEastAsia" w:hAnsiTheme="minorEastAsia" w:eastAsiaTheme="minorEastAsia"/>
          <w:bCs/>
        </w:rPr>
      </w:pPr>
    </w:p>
    <w:p w14:paraId="2AAB7F71">
      <w:pPr>
        <w:spacing w:line="560" w:lineRule="atLeast"/>
        <w:rPr>
          <w:rFonts w:asciiTheme="minorEastAsia" w:hAnsiTheme="minorEastAsia" w:eastAsiaTheme="minorEastAsia"/>
          <w:bCs/>
        </w:rPr>
      </w:pPr>
    </w:p>
    <w:p w14:paraId="5D3408C9">
      <w:pPr>
        <w:spacing w:line="560" w:lineRule="atLeast"/>
        <w:rPr>
          <w:rFonts w:asciiTheme="minorEastAsia" w:hAnsiTheme="minorEastAsia" w:eastAsiaTheme="minorEastAsia"/>
          <w:bCs/>
        </w:rPr>
      </w:pPr>
    </w:p>
    <w:p w14:paraId="483AC544">
      <w:pPr>
        <w:spacing w:line="560" w:lineRule="atLeast"/>
        <w:rPr>
          <w:rFonts w:asciiTheme="minorEastAsia" w:hAnsiTheme="minorEastAsia" w:eastAsiaTheme="minorEastAsia"/>
          <w:bCs/>
        </w:rPr>
      </w:pPr>
    </w:p>
    <w:p w14:paraId="246607CA">
      <w:pPr>
        <w:spacing w:line="560" w:lineRule="atLeast"/>
        <w:rPr>
          <w:rFonts w:asciiTheme="minorEastAsia" w:hAnsiTheme="minorEastAsia" w:eastAsiaTheme="minorEastAsia"/>
          <w:bCs/>
        </w:rPr>
      </w:pPr>
    </w:p>
    <w:p w14:paraId="6153CA61">
      <w:pPr>
        <w:spacing w:line="560" w:lineRule="atLeast"/>
        <w:rPr>
          <w:rFonts w:asciiTheme="minorEastAsia" w:hAnsiTheme="minorEastAsia" w:eastAsiaTheme="minorEastAsia"/>
          <w:bCs/>
        </w:rPr>
      </w:pPr>
    </w:p>
    <w:p w14:paraId="57AD4C79">
      <w:pPr>
        <w:spacing w:line="560" w:lineRule="atLeast"/>
        <w:rPr>
          <w:rFonts w:asciiTheme="minorEastAsia" w:hAnsiTheme="minorEastAsia" w:eastAsiaTheme="minorEastAsia"/>
          <w:bCs/>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20796B6F">
      <w:pPr>
        <w:pStyle w:val="169"/>
        <w:spacing w:line="560" w:lineRule="atLeast"/>
        <w:ind w:left="0" w:firstLine="0"/>
        <w:jc w:val="center"/>
        <w:outlineLvl w:val="0"/>
        <w:rPr>
          <w:rFonts w:hint="eastAsia" w:asciiTheme="minorEastAsia" w:hAnsiTheme="minorEastAsia" w:eastAsiaTheme="minorEastAsia"/>
          <w:bCs/>
        </w:rPr>
      </w:pPr>
      <w:r>
        <w:rPr>
          <w:rFonts w:hint="eastAsia" w:asciiTheme="minorEastAsia" w:hAnsiTheme="minorEastAsia" w:eastAsiaTheme="minorEastAsia"/>
          <w:bCs/>
          <w:sz w:val="32"/>
          <w:szCs w:val="32"/>
        </w:rPr>
        <w:t>第一部分　采购邀请函</w:t>
      </w:r>
    </w:p>
    <w:p w14:paraId="348A57AB">
      <w:pPr>
        <w:pBdr>
          <w:top w:val="single" w:color="auto" w:sz="4" w:space="1"/>
          <w:left w:val="single" w:color="auto" w:sz="4" w:space="4"/>
          <w:bottom w:val="single" w:color="auto" w:sz="4" w:space="1"/>
          <w:right w:val="single" w:color="auto" w:sz="4" w:space="4"/>
        </w:pBd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项目概况</w:t>
      </w:r>
    </w:p>
    <w:p w14:paraId="74573F8D">
      <w:pPr>
        <w:pBdr>
          <w:top w:val="single" w:color="auto" w:sz="4" w:space="1"/>
          <w:left w:val="single" w:color="auto" w:sz="4" w:space="4"/>
          <w:bottom w:val="single" w:color="auto" w:sz="4" w:space="1"/>
          <w:right w:val="single" w:color="auto" w:sz="4" w:space="4"/>
        </w:pBd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海南绿峰资源开发有限公司信息化管理平台（二期）项目的潜在投标人应在</w:t>
      </w:r>
      <w:r>
        <w:rPr>
          <w:rFonts w:hint="eastAsia" w:cs="宋体" w:asciiTheme="minorEastAsia" w:hAnsiTheme="minorEastAsia" w:eastAsiaTheme="minorEastAsia"/>
          <w:bCs/>
          <w:kern w:val="0"/>
          <w:sz w:val="24"/>
          <w:u w:val="single"/>
        </w:rPr>
        <w:t>（海南省海口市蓝天路2-8号海南省教学仪器设备招标中心有限公司）</w:t>
      </w:r>
      <w:r>
        <w:rPr>
          <w:rFonts w:hint="eastAsia" w:cs="宋体" w:asciiTheme="minorEastAsia" w:hAnsiTheme="minorEastAsia" w:eastAsiaTheme="minorEastAsia"/>
          <w:bCs/>
          <w:kern w:val="0"/>
          <w:sz w:val="24"/>
        </w:rPr>
        <w:t>获取公开比选采购文件，并于</w:t>
      </w:r>
      <w:r>
        <w:rPr>
          <w:rFonts w:hint="eastAsia" w:cs="宋体" w:asciiTheme="minorEastAsia" w:hAnsiTheme="minorEastAsia" w:eastAsiaTheme="minorEastAsia"/>
          <w:bCs/>
          <w:kern w:val="0"/>
          <w:sz w:val="24"/>
          <w:u w:val="single"/>
        </w:rPr>
        <w:t>2024年12月</w:t>
      </w:r>
      <w:r>
        <w:rPr>
          <w:rFonts w:hint="eastAsia" w:cs="宋体" w:asciiTheme="minorEastAsia" w:hAnsiTheme="minorEastAsia" w:eastAsiaTheme="minorEastAsia"/>
          <w:bCs/>
          <w:kern w:val="0"/>
          <w:sz w:val="24"/>
          <w:u w:val="single"/>
          <w:lang w:val="en-US" w:eastAsia="zh-CN"/>
        </w:rPr>
        <w:t>20</w:t>
      </w:r>
      <w:r>
        <w:rPr>
          <w:rFonts w:hint="eastAsia" w:cs="宋体" w:asciiTheme="minorEastAsia" w:hAnsiTheme="minorEastAsia" w:eastAsiaTheme="minorEastAsia"/>
          <w:bCs/>
          <w:kern w:val="0"/>
          <w:sz w:val="24"/>
          <w:u w:val="single"/>
        </w:rPr>
        <w:t>日09点00分（北京时间）</w:t>
      </w:r>
      <w:r>
        <w:rPr>
          <w:rFonts w:hint="eastAsia" w:cs="宋体" w:asciiTheme="minorEastAsia" w:hAnsiTheme="minorEastAsia" w:eastAsiaTheme="minorEastAsia"/>
          <w:bCs/>
          <w:kern w:val="0"/>
          <w:sz w:val="24"/>
        </w:rPr>
        <w:t>前提交响应</w:t>
      </w:r>
      <w:r>
        <w:rPr>
          <w:rFonts w:cs="宋体" w:asciiTheme="minorEastAsia" w:hAnsiTheme="minorEastAsia" w:eastAsiaTheme="minorEastAsia"/>
          <w:bCs/>
          <w:kern w:val="0"/>
          <w:sz w:val="24"/>
        </w:rPr>
        <w:t>文件</w:t>
      </w:r>
      <w:r>
        <w:rPr>
          <w:rFonts w:hint="eastAsia" w:cs="宋体" w:asciiTheme="minorEastAsia" w:hAnsiTheme="minorEastAsia" w:eastAsiaTheme="minorEastAsia"/>
          <w:bCs/>
          <w:kern w:val="0"/>
          <w:sz w:val="24"/>
        </w:rPr>
        <w:t>。</w:t>
      </w:r>
    </w:p>
    <w:p w14:paraId="30B31D41">
      <w:pPr>
        <w:adjustRightInd w:val="0"/>
        <w:snapToGrid w:val="0"/>
        <w:spacing w:line="560" w:lineRule="atLeast"/>
        <w:rPr>
          <w:rFonts w:hint="eastAsia" w:cs="宋体" w:asciiTheme="minorEastAsia" w:hAnsiTheme="minorEastAsia" w:eastAsiaTheme="minorEastAsia"/>
          <w:bCs/>
          <w:kern w:val="0"/>
          <w:sz w:val="24"/>
        </w:rPr>
      </w:pPr>
    </w:p>
    <w:p w14:paraId="29451FB6">
      <w:pPr>
        <w:keepNext/>
        <w:keepLines/>
        <w:autoSpaceDE w:val="0"/>
        <w:autoSpaceDN w:val="0"/>
        <w:adjustRightInd w:val="0"/>
        <w:snapToGrid w:val="0"/>
        <w:spacing w:line="560" w:lineRule="atLeast"/>
        <w:textAlignment w:val="baseline"/>
        <w:outlineLvl w:val="1"/>
        <w:rPr>
          <w:rFonts w:hint="eastAsia" w:cs="宋体" w:asciiTheme="minorEastAsia" w:hAnsiTheme="minorEastAsia" w:eastAsiaTheme="minorEastAsia"/>
          <w:bCs/>
          <w:kern w:val="0"/>
          <w:sz w:val="24"/>
        </w:rPr>
      </w:pPr>
      <w:bookmarkStart w:id="18" w:name="_Toc28359089"/>
      <w:bookmarkStart w:id="19" w:name="_Toc35393798"/>
      <w:bookmarkStart w:id="20" w:name="_Toc28359012"/>
      <w:bookmarkStart w:id="21" w:name="_Toc35393629"/>
      <w:r>
        <w:rPr>
          <w:rFonts w:hint="eastAsia" w:cs="宋体" w:asciiTheme="minorEastAsia" w:hAnsiTheme="minorEastAsia" w:eastAsiaTheme="minorEastAsia"/>
          <w:bCs/>
          <w:kern w:val="0"/>
          <w:sz w:val="24"/>
        </w:rPr>
        <w:t>一、项目基本情况</w:t>
      </w:r>
      <w:bookmarkEnd w:id="18"/>
      <w:bookmarkEnd w:id="19"/>
      <w:bookmarkEnd w:id="20"/>
      <w:bookmarkEnd w:id="21"/>
    </w:p>
    <w:p w14:paraId="439AD1BD">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 xml:space="preserve">项目编号：HNJY2024-88-46 </w:t>
      </w:r>
    </w:p>
    <w:p w14:paraId="3E4FE434">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项目名称：海南绿峰资源开发有限公司信息化管理平台（二期）项目</w:t>
      </w:r>
    </w:p>
    <w:p w14:paraId="527A9EE0">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采购方式：公开比选</w:t>
      </w:r>
    </w:p>
    <w:p w14:paraId="46DC1F28">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预算金额：91.472万元</w:t>
      </w:r>
    </w:p>
    <w:p w14:paraId="64EBB79F">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最高限价：91.472万元</w:t>
      </w:r>
    </w:p>
    <w:p w14:paraId="1DC2DEA0">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采购需求：详见公开比选采购文件采购需求</w:t>
      </w:r>
    </w:p>
    <w:p w14:paraId="2683EFB4">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合同履行期限：</w:t>
      </w:r>
    </w:p>
    <w:p w14:paraId="6E18F99C">
      <w:pPr>
        <w:numPr>
          <w:ilvl w:val="0"/>
          <w:numId w:val="2"/>
        </w:num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系统开发时间：</w:t>
      </w:r>
      <w:r>
        <w:rPr>
          <w:rFonts w:hint="eastAsia" w:cs="宋体" w:asciiTheme="minorEastAsia" w:hAnsiTheme="minorEastAsia" w:eastAsiaTheme="minorEastAsia"/>
          <w:bCs/>
          <w:kern w:val="0"/>
          <w:sz w:val="24"/>
          <w:lang w:val="en-US" w:eastAsia="zh-CN"/>
        </w:rPr>
        <w:t>合同签订之日起</w:t>
      </w:r>
      <w:r>
        <w:rPr>
          <w:rFonts w:hint="eastAsia" w:cs="宋体" w:asciiTheme="minorEastAsia" w:hAnsiTheme="minorEastAsia" w:eastAsiaTheme="minorEastAsia"/>
          <w:bCs/>
          <w:kern w:val="0"/>
          <w:sz w:val="24"/>
        </w:rPr>
        <w:t>至2025年4月30日。</w:t>
      </w:r>
    </w:p>
    <w:p w14:paraId="1286C0B7">
      <w:pPr>
        <w:numPr>
          <w:ilvl w:val="0"/>
          <w:numId w:val="2"/>
        </w:num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（二）系统测试与部署时间：2025年5月1日至2025年5月15日。</w:t>
      </w:r>
    </w:p>
    <w:p w14:paraId="10F19958">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（三）系统上线试运行时间：2025年5月16日至2025年6月15日。</w:t>
      </w:r>
    </w:p>
    <w:p w14:paraId="6F04D096">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验收期限：2025年7月1日至2025年7月10日。试运行结束后，经甲乙双方签字确认本平台已经完成开发，乙方向甲方移交相关开发文档及源码并确认。</w:t>
      </w:r>
    </w:p>
    <w:p w14:paraId="7765A6A1">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本项目不接受联合体。</w:t>
      </w:r>
    </w:p>
    <w:p w14:paraId="587C2548">
      <w:pPr>
        <w:pStyle w:val="60"/>
        <w:spacing w:line="560" w:lineRule="atLeast"/>
        <w:ind w:firstLine="480" w:firstLineChars="200"/>
        <w:rPr>
          <w:rFonts w:hint="eastAsia" w:asciiTheme="minorEastAsia" w:hAnsiTheme="minorEastAsia" w:eastAsiaTheme="minorEastAsia"/>
          <w:bCs/>
        </w:rPr>
      </w:pPr>
      <w:r>
        <w:rPr>
          <w:rFonts w:hint="eastAsia" w:asciiTheme="minorEastAsia" w:hAnsiTheme="minorEastAsia" w:eastAsiaTheme="minorEastAsia"/>
          <w:bCs/>
        </w:rPr>
        <w:t>项目</w:t>
      </w:r>
      <w:r>
        <w:rPr>
          <w:rFonts w:asciiTheme="minorEastAsia" w:hAnsiTheme="minorEastAsia" w:eastAsiaTheme="minorEastAsia"/>
          <w:bCs/>
        </w:rPr>
        <w:t>资金来自</w:t>
      </w:r>
      <w:r>
        <w:rPr>
          <w:rFonts w:hint="eastAsia" w:asciiTheme="minorEastAsia" w:hAnsiTheme="minorEastAsia" w:eastAsiaTheme="minorEastAsia"/>
          <w:bCs/>
        </w:rPr>
        <w:t>企业自筹。</w:t>
      </w:r>
    </w:p>
    <w:p w14:paraId="58A33C51">
      <w:pPr>
        <w:keepNext/>
        <w:keepLines/>
        <w:autoSpaceDE w:val="0"/>
        <w:autoSpaceDN w:val="0"/>
        <w:adjustRightInd w:val="0"/>
        <w:snapToGrid w:val="0"/>
        <w:spacing w:line="560" w:lineRule="atLeast"/>
        <w:textAlignment w:val="baseline"/>
        <w:outlineLvl w:val="1"/>
        <w:rPr>
          <w:rFonts w:hint="eastAsia" w:cs="宋体" w:asciiTheme="minorEastAsia" w:hAnsiTheme="minorEastAsia" w:eastAsiaTheme="minorEastAsia"/>
          <w:bCs/>
          <w:kern w:val="0"/>
          <w:sz w:val="24"/>
        </w:rPr>
      </w:pPr>
      <w:bookmarkStart w:id="22" w:name="_Toc28359090"/>
      <w:bookmarkStart w:id="23" w:name="_Toc35393799"/>
      <w:bookmarkStart w:id="24" w:name="_Toc28359013"/>
      <w:bookmarkStart w:id="25" w:name="_Toc35393630"/>
      <w:r>
        <w:rPr>
          <w:rFonts w:hint="eastAsia" w:cs="宋体" w:asciiTheme="minorEastAsia" w:hAnsiTheme="minorEastAsia" w:eastAsiaTheme="minorEastAsia"/>
          <w:bCs/>
          <w:kern w:val="0"/>
          <w:sz w:val="24"/>
        </w:rPr>
        <w:t>二、申请人的资格要求：</w:t>
      </w:r>
      <w:bookmarkEnd w:id="22"/>
      <w:bookmarkEnd w:id="23"/>
      <w:bookmarkEnd w:id="24"/>
      <w:bookmarkEnd w:id="25"/>
    </w:p>
    <w:p w14:paraId="0A694CFB">
      <w:pPr>
        <w:adjustRightInd w:val="0"/>
        <w:snapToGrid w:val="0"/>
        <w:spacing w:line="560" w:lineRule="atLeast"/>
        <w:ind w:firstLine="480" w:firstLineChars="200"/>
        <w:rPr>
          <w:rFonts w:hint="eastAsia" w:cs="宋体" w:asciiTheme="minorEastAsia" w:hAnsiTheme="minorEastAsia" w:eastAsiaTheme="minorEastAsia"/>
          <w:bCs/>
          <w:kern w:val="0"/>
          <w:sz w:val="24"/>
        </w:rPr>
      </w:pPr>
      <w:bookmarkStart w:id="26" w:name="_Toc35393800"/>
      <w:bookmarkStart w:id="27" w:name="_Toc35393631"/>
      <w:bookmarkStart w:id="28" w:name="_Toc28359091"/>
      <w:bookmarkStart w:id="29" w:name="_Toc28359014"/>
      <w:r>
        <w:rPr>
          <w:rFonts w:hint="eastAsia" w:cs="宋体" w:asciiTheme="minorEastAsia" w:hAnsiTheme="minorEastAsia" w:eastAsiaTheme="minorEastAsia"/>
          <w:bCs/>
          <w:kern w:val="0"/>
          <w:sz w:val="24"/>
        </w:rPr>
        <w:t>1.中华人民共和国境内注册、具有独立承担民事责任的能力（提供营业执照或事业单位法人证书）。</w:t>
      </w:r>
    </w:p>
    <w:p w14:paraId="1ABD94BC">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2.具备《中华人民共和国政府采购法》第二十二条规定条件的承诺书。</w:t>
      </w:r>
    </w:p>
    <w:p w14:paraId="2FBF3C32">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3.按附件格式提供投标人投标承诺书。</w:t>
      </w:r>
    </w:p>
    <w:p w14:paraId="18229312">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4.在“信用中国”网站（www.creditchina.gov.cn）没有列入失信被执行人、重大税收违法失信主体、政府采购严重违法失信行为记录名单的投标人。“中国政府采购网”（www.ccgp.gov.cn）政府采购严重违法失信行为记录名单的投标人。</w:t>
      </w:r>
    </w:p>
    <w:p w14:paraId="437C7A12">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注：采购人或采购代理机构将于本项目投标截止日在“信用中国”网站、“中国政府采购网”网站等渠道对投标人进行信用记录查询，凡被列入失信被执行人、重大税收违法失信主体、政府采购严重违法失信行为记录名单的，视为存在不良信用记录，参与本项目的将被拒绝。）</w:t>
      </w:r>
    </w:p>
    <w:p w14:paraId="1E1B2D1A">
      <w:pPr>
        <w:keepNext/>
        <w:keepLines/>
        <w:autoSpaceDE w:val="0"/>
        <w:autoSpaceDN w:val="0"/>
        <w:adjustRightInd w:val="0"/>
        <w:snapToGrid w:val="0"/>
        <w:spacing w:line="560" w:lineRule="atLeast"/>
        <w:textAlignment w:val="baseline"/>
        <w:outlineLvl w:val="1"/>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三、获取采购文件</w:t>
      </w:r>
      <w:bookmarkEnd w:id="26"/>
      <w:bookmarkEnd w:id="27"/>
      <w:bookmarkEnd w:id="28"/>
      <w:bookmarkEnd w:id="29"/>
    </w:p>
    <w:p w14:paraId="0EB245AA">
      <w:pPr>
        <w:adjustRightInd w:val="0"/>
        <w:snapToGrid w:val="0"/>
        <w:spacing w:line="560" w:lineRule="atLeast"/>
        <w:ind w:firstLine="54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时间：2024年12月</w:t>
      </w:r>
      <w:r>
        <w:rPr>
          <w:rFonts w:hint="eastAsia" w:cs="宋体" w:asciiTheme="minorEastAsia" w:hAnsiTheme="minorEastAsia" w:eastAsiaTheme="minorEastAsia"/>
          <w:bCs/>
          <w:kern w:val="0"/>
          <w:sz w:val="24"/>
          <w:lang w:val="en-US" w:eastAsia="zh-CN"/>
        </w:rPr>
        <w:t>16</w:t>
      </w:r>
      <w:r>
        <w:rPr>
          <w:rFonts w:hint="eastAsia" w:cs="宋体" w:asciiTheme="minorEastAsia" w:hAnsiTheme="minorEastAsia" w:eastAsiaTheme="minorEastAsia"/>
          <w:bCs/>
          <w:kern w:val="0"/>
          <w:sz w:val="24"/>
        </w:rPr>
        <w:t>日至2024年12月</w:t>
      </w:r>
      <w:r>
        <w:rPr>
          <w:rFonts w:hint="eastAsia" w:cs="宋体" w:asciiTheme="minorEastAsia" w:hAnsiTheme="minorEastAsia" w:eastAsiaTheme="minorEastAsia"/>
          <w:bCs/>
          <w:kern w:val="0"/>
          <w:sz w:val="24"/>
          <w:lang w:val="en-US" w:eastAsia="zh-CN"/>
        </w:rPr>
        <w:t>19</w:t>
      </w:r>
      <w:r>
        <w:rPr>
          <w:rFonts w:hint="eastAsia" w:cs="宋体" w:asciiTheme="minorEastAsia" w:hAnsiTheme="minorEastAsia" w:eastAsiaTheme="minorEastAsia"/>
          <w:bCs/>
          <w:kern w:val="0"/>
          <w:sz w:val="24"/>
        </w:rPr>
        <w:t>日，每天上午08:00至12:00　，下午14:30至17:30（北京时间，法定节假日除外 ）</w:t>
      </w:r>
    </w:p>
    <w:p w14:paraId="1950F87C">
      <w:pPr>
        <w:adjustRightInd w:val="0"/>
        <w:snapToGrid w:val="0"/>
        <w:spacing w:line="560" w:lineRule="atLeast"/>
        <w:ind w:firstLine="54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地点：海南省海口市蓝天路2-8号</w:t>
      </w:r>
    </w:p>
    <w:p w14:paraId="5098D4A9">
      <w:pPr>
        <w:adjustRightInd w:val="0"/>
        <w:snapToGrid w:val="0"/>
        <w:spacing w:line="560" w:lineRule="atLeast"/>
        <w:ind w:firstLine="54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方式：现场购买</w:t>
      </w:r>
    </w:p>
    <w:p w14:paraId="55428065">
      <w:pPr>
        <w:adjustRightInd w:val="0"/>
        <w:snapToGrid w:val="0"/>
        <w:spacing w:line="560" w:lineRule="atLeast"/>
        <w:ind w:firstLine="54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 xml:space="preserve">售价：300元 </w:t>
      </w:r>
    </w:p>
    <w:p w14:paraId="4AA754B6">
      <w:pPr>
        <w:keepNext/>
        <w:keepLines/>
        <w:autoSpaceDE w:val="0"/>
        <w:autoSpaceDN w:val="0"/>
        <w:adjustRightInd w:val="0"/>
        <w:snapToGrid w:val="0"/>
        <w:spacing w:line="560" w:lineRule="atLeast"/>
        <w:textAlignment w:val="baseline"/>
        <w:outlineLvl w:val="1"/>
        <w:rPr>
          <w:rFonts w:hint="eastAsia" w:cs="宋体" w:asciiTheme="minorEastAsia" w:hAnsiTheme="minorEastAsia" w:eastAsiaTheme="minorEastAsia"/>
          <w:bCs/>
          <w:kern w:val="0"/>
          <w:sz w:val="24"/>
        </w:rPr>
      </w:pPr>
      <w:bookmarkStart w:id="30" w:name="_Toc28359015"/>
      <w:bookmarkStart w:id="31" w:name="_Toc35393801"/>
      <w:bookmarkStart w:id="32" w:name="_Toc35393632"/>
      <w:bookmarkStart w:id="33" w:name="_Toc28359092"/>
      <w:r>
        <w:rPr>
          <w:rFonts w:hint="eastAsia" w:cs="宋体" w:asciiTheme="minorEastAsia" w:hAnsiTheme="minorEastAsia" w:eastAsiaTheme="minorEastAsia"/>
          <w:bCs/>
          <w:kern w:val="0"/>
          <w:sz w:val="24"/>
        </w:rPr>
        <w:t>四、响应文件提交</w:t>
      </w:r>
      <w:bookmarkEnd w:id="30"/>
      <w:bookmarkEnd w:id="31"/>
      <w:bookmarkEnd w:id="32"/>
      <w:bookmarkEnd w:id="33"/>
    </w:p>
    <w:p w14:paraId="5C568C04">
      <w:pPr>
        <w:adjustRightInd w:val="0"/>
        <w:snapToGrid w:val="0"/>
        <w:spacing w:line="560" w:lineRule="atLeast"/>
        <w:ind w:firstLine="54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截止时间：2024年12月</w:t>
      </w:r>
      <w:r>
        <w:rPr>
          <w:rFonts w:hint="eastAsia" w:cs="宋体" w:asciiTheme="minorEastAsia" w:hAnsiTheme="minorEastAsia" w:eastAsiaTheme="minorEastAsia"/>
          <w:bCs/>
          <w:kern w:val="0"/>
          <w:sz w:val="24"/>
          <w:lang w:val="en-US" w:eastAsia="zh-CN"/>
        </w:rPr>
        <w:t>19</w:t>
      </w:r>
      <w:r>
        <w:rPr>
          <w:rFonts w:hint="eastAsia" w:cs="宋体" w:asciiTheme="minorEastAsia" w:hAnsiTheme="minorEastAsia" w:eastAsiaTheme="minorEastAsia"/>
          <w:bCs/>
          <w:kern w:val="0"/>
          <w:sz w:val="24"/>
        </w:rPr>
        <w:t>日09点00分（北京时间）</w:t>
      </w:r>
    </w:p>
    <w:p w14:paraId="7934A228">
      <w:pPr>
        <w:adjustRightInd w:val="0"/>
        <w:snapToGrid w:val="0"/>
        <w:spacing w:line="560" w:lineRule="atLeast"/>
        <w:ind w:firstLine="54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地点：海南省海口市蓝天路2-8号、海南省教学仪器设备招标中心有限公司开标室</w:t>
      </w:r>
    </w:p>
    <w:p w14:paraId="1393462D">
      <w:pPr>
        <w:keepNext/>
        <w:keepLines/>
        <w:autoSpaceDE w:val="0"/>
        <w:autoSpaceDN w:val="0"/>
        <w:adjustRightInd w:val="0"/>
        <w:snapToGrid w:val="0"/>
        <w:spacing w:line="560" w:lineRule="atLeast"/>
        <w:textAlignment w:val="baseline"/>
        <w:outlineLvl w:val="1"/>
        <w:rPr>
          <w:rFonts w:hint="eastAsia" w:cs="宋体" w:asciiTheme="minorEastAsia" w:hAnsiTheme="minorEastAsia" w:eastAsiaTheme="minorEastAsia"/>
          <w:bCs/>
          <w:kern w:val="0"/>
          <w:sz w:val="24"/>
        </w:rPr>
      </w:pPr>
      <w:bookmarkStart w:id="34" w:name="_Toc35393633"/>
      <w:bookmarkStart w:id="35" w:name="_Toc28359016"/>
      <w:bookmarkStart w:id="36" w:name="_Toc35393802"/>
      <w:bookmarkStart w:id="37" w:name="_Toc28359093"/>
      <w:r>
        <w:rPr>
          <w:rFonts w:hint="eastAsia" w:cs="宋体" w:asciiTheme="minorEastAsia" w:hAnsiTheme="minorEastAsia" w:eastAsiaTheme="minorEastAsia"/>
          <w:bCs/>
          <w:kern w:val="0"/>
          <w:sz w:val="24"/>
        </w:rPr>
        <w:t>五、开启</w:t>
      </w:r>
      <w:bookmarkEnd w:id="34"/>
      <w:bookmarkEnd w:id="35"/>
      <w:bookmarkEnd w:id="36"/>
      <w:bookmarkEnd w:id="37"/>
    </w:p>
    <w:p w14:paraId="17114B43">
      <w:pPr>
        <w:adjustRightInd w:val="0"/>
        <w:snapToGrid w:val="0"/>
        <w:spacing w:line="560" w:lineRule="atLeast"/>
        <w:ind w:firstLine="54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时间：2024年12月</w:t>
      </w:r>
      <w:r>
        <w:rPr>
          <w:rFonts w:hint="eastAsia" w:cs="宋体" w:asciiTheme="minorEastAsia" w:hAnsiTheme="minorEastAsia" w:eastAsiaTheme="minorEastAsia"/>
          <w:bCs/>
          <w:kern w:val="0"/>
          <w:sz w:val="24"/>
          <w:lang w:val="en-US" w:eastAsia="zh-CN"/>
        </w:rPr>
        <w:t>19</w:t>
      </w:r>
      <w:r>
        <w:rPr>
          <w:rFonts w:hint="eastAsia" w:cs="宋体" w:asciiTheme="minorEastAsia" w:hAnsiTheme="minorEastAsia" w:eastAsiaTheme="minorEastAsia"/>
          <w:bCs/>
          <w:kern w:val="0"/>
          <w:sz w:val="24"/>
        </w:rPr>
        <w:t>日09点00分（北京时间）</w:t>
      </w:r>
    </w:p>
    <w:p w14:paraId="1273D233">
      <w:pPr>
        <w:adjustRightInd w:val="0"/>
        <w:snapToGrid w:val="0"/>
        <w:spacing w:line="560" w:lineRule="atLeast"/>
        <w:ind w:firstLine="54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地点：海南省海口市蓝天路2-8号、海南省教学仪器设备招标中心有限公司开标室</w:t>
      </w:r>
    </w:p>
    <w:p w14:paraId="6D25BD1A">
      <w:pPr>
        <w:keepNext/>
        <w:keepLines/>
        <w:autoSpaceDE w:val="0"/>
        <w:autoSpaceDN w:val="0"/>
        <w:adjustRightInd w:val="0"/>
        <w:snapToGrid w:val="0"/>
        <w:spacing w:line="560" w:lineRule="atLeast"/>
        <w:textAlignment w:val="baseline"/>
        <w:outlineLvl w:val="1"/>
        <w:rPr>
          <w:rFonts w:hint="eastAsia" w:cs="宋体" w:asciiTheme="minorEastAsia" w:hAnsiTheme="minorEastAsia" w:eastAsiaTheme="minorEastAsia"/>
          <w:bCs/>
          <w:kern w:val="0"/>
          <w:sz w:val="24"/>
        </w:rPr>
      </w:pPr>
      <w:bookmarkStart w:id="38" w:name="_Toc35393803"/>
      <w:bookmarkStart w:id="39" w:name="_Toc35393634"/>
      <w:bookmarkStart w:id="40" w:name="_Toc28359094"/>
      <w:bookmarkStart w:id="41" w:name="_Toc28359017"/>
      <w:r>
        <w:rPr>
          <w:rFonts w:hint="eastAsia" w:cs="宋体" w:asciiTheme="minorEastAsia" w:hAnsiTheme="minorEastAsia" w:eastAsiaTheme="minorEastAsia"/>
          <w:bCs/>
          <w:kern w:val="0"/>
          <w:sz w:val="24"/>
        </w:rPr>
        <w:t>六、</w:t>
      </w:r>
      <w:bookmarkEnd w:id="38"/>
      <w:bookmarkEnd w:id="39"/>
      <w:bookmarkEnd w:id="40"/>
      <w:bookmarkEnd w:id="41"/>
      <w:bookmarkStart w:id="42" w:name="_Toc35393635"/>
      <w:bookmarkStart w:id="43" w:name="_Toc35393804"/>
      <w:r>
        <w:rPr>
          <w:rFonts w:hint="eastAsia" w:cs="宋体" w:asciiTheme="minorEastAsia" w:hAnsiTheme="minorEastAsia" w:eastAsiaTheme="minorEastAsia"/>
          <w:bCs/>
          <w:kern w:val="0"/>
          <w:sz w:val="24"/>
        </w:rPr>
        <w:t>其他补充事宜</w:t>
      </w:r>
      <w:bookmarkEnd w:id="42"/>
      <w:bookmarkEnd w:id="43"/>
    </w:p>
    <w:p w14:paraId="374CE19E">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1、标</w:t>
      </w:r>
      <w:r>
        <w:rPr>
          <w:rFonts w:cs="宋体" w:asciiTheme="minorEastAsia" w:hAnsiTheme="minorEastAsia" w:eastAsiaTheme="minorEastAsia"/>
          <w:bCs/>
          <w:sz w:val="24"/>
        </w:rPr>
        <w:t>书售后不退</w:t>
      </w:r>
      <w:r>
        <w:rPr>
          <w:rFonts w:hint="eastAsia" w:cs="宋体" w:asciiTheme="minorEastAsia" w:hAnsiTheme="minorEastAsia" w:eastAsiaTheme="minorEastAsia"/>
          <w:bCs/>
          <w:sz w:val="24"/>
        </w:rPr>
        <w:t>，</w:t>
      </w:r>
      <w:r>
        <w:rPr>
          <w:rFonts w:hint="eastAsia" w:cs="宋体" w:asciiTheme="minorEastAsia" w:hAnsiTheme="minorEastAsia" w:eastAsiaTheme="minorEastAsia"/>
          <w:bCs/>
          <w:kern w:val="0"/>
          <w:sz w:val="24"/>
        </w:rPr>
        <w:t>购买采购时需提供以下证明资料及备案：</w:t>
      </w:r>
    </w:p>
    <w:p w14:paraId="1D215D2D">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sz w:val="24"/>
        </w:rPr>
        <w:t>1</w:t>
      </w:r>
      <w:r>
        <w:rPr>
          <w:rFonts w:hint="eastAsia" w:cs="宋体" w:asciiTheme="minorEastAsia" w:hAnsiTheme="minorEastAsia" w:eastAsiaTheme="minorEastAsia"/>
          <w:bCs/>
          <w:kern w:val="0"/>
          <w:sz w:val="24"/>
        </w:rPr>
        <w:t>.1 营业执照复印件（加盖本单位公章）</w:t>
      </w:r>
    </w:p>
    <w:p w14:paraId="77D04016">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sz w:val="24"/>
        </w:rPr>
        <w:t>1</w:t>
      </w:r>
      <w:r>
        <w:rPr>
          <w:rFonts w:hint="eastAsia" w:cs="宋体" w:asciiTheme="minorEastAsia" w:hAnsiTheme="minorEastAsia" w:eastAsiaTheme="minorEastAsia"/>
          <w:bCs/>
          <w:kern w:val="0"/>
          <w:sz w:val="24"/>
        </w:rPr>
        <w:t>.2 法人委托书（加盖本单位公章）</w:t>
      </w:r>
    </w:p>
    <w:p w14:paraId="6775CF3C">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sz w:val="24"/>
        </w:rPr>
        <w:t>1</w:t>
      </w:r>
      <w:r>
        <w:rPr>
          <w:rFonts w:hint="eastAsia" w:cs="宋体" w:asciiTheme="minorEastAsia" w:hAnsiTheme="minorEastAsia" w:eastAsiaTheme="minorEastAsia"/>
          <w:bCs/>
          <w:kern w:val="0"/>
          <w:sz w:val="24"/>
        </w:rPr>
        <w:t>.3法人及委托人身份证复印件（加盖本单位公章）</w:t>
      </w:r>
    </w:p>
    <w:p w14:paraId="65A25931">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2. 购买采购文件银行帐户：</w:t>
      </w:r>
    </w:p>
    <w:p w14:paraId="2AAECB5C">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单位名称：海南省教学仪器设备招标中心有限公司</w:t>
      </w:r>
    </w:p>
    <w:p w14:paraId="3D1F8A6B">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开户银行：中国银行海口琼山支行蓝天西路支行（如果汇款时搜索不到蓝天西路支行，可以直接选择海口琼山支行）</w:t>
      </w:r>
    </w:p>
    <w:p w14:paraId="59EFC54F">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银行帐号：266255028427</w:t>
      </w:r>
    </w:p>
    <w:p w14:paraId="5EDF6BF6">
      <w:pPr>
        <w:numPr>
          <w:ilvl w:val="0"/>
          <w:numId w:val="3"/>
        </w:num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投标人应准备一份正本和三份副本，并在每一份“响应文件”上要明确注明“正本”或“副本”字样。</w:t>
      </w:r>
    </w:p>
    <w:p w14:paraId="38D0D8FA">
      <w:pPr>
        <w:numPr>
          <w:ilvl w:val="0"/>
          <w:numId w:val="3"/>
        </w:num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投标人应将“响应文件”胶装成册。投标人应将“响应文件”的 “正本”的“报价一览表和规格响应表”（以包为单位）单独密封于一小信封内，并在该信封上标明“报价一览表”等字样，然后再装入“响应文件”正本的密封袋中。</w:t>
      </w:r>
    </w:p>
    <w:p w14:paraId="638089C9">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5、采购人不接受有任何选择的报价。</w:t>
      </w:r>
    </w:p>
    <w:p w14:paraId="6CCA033A">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6、本项目不收取投标保证金。</w:t>
      </w:r>
    </w:p>
    <w:p w14:paraId="0F98BD4C">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采购信息查询：</w:t>
      </w:r>
      <w:r>
        <w:rPr>
          <w:rFonts w:cs="宋体" w:asciiTheme="minorEastAsia" w:hAnsiTheme="minorEastAsia" w:eastAsiaTheme="minorEastAsia"/>
          <w:bCs/>
          <w:kern w:val="0"/>
          <w:sz w:val="24"/>
        </w:rPr>
        <w:t>http://www.hainjy.com/</w:t>
      </w:r>
    </w:p>
    <w:p w14:paraId="0684077D">
      <w:pPr>
        <w:adjustRightInd w:val="0"/>
        <w:snapToGrid w:val="0"/>
        <w:spacing w:line="560" w:lineRule="atLeast"/>
        <w:ind w:firstLine="480" w:firstLineChars="200"/>
        <w:rPr>
          <w:rFonts w:hint="eastAsia" w:cs="宋体" w:asciiTheme="minorEastAsia" w:hAnsiTheme="minorEastAsia" w:eastAsiaTheme="minorEastAsia"/>
          <w:bCs/>
          <w:kern w:val="0"/>
          <w:sz w:val="24"/>
        </w:rPr>
      </w:pPr>
      <w:bookmarkStart w:id="44" w:name="_Toc35393636"/>
      <w:bookmarkStart w:id="45" w:name="_Toc28359095"/>
      <w:bookmarkStart w:id="46" w:name="_Toc28359018"/>
      <w:bookmarkStart w:id="47" w:name="_Toc35393805"/>
      <w:r>
        <w:rPr>
          <w:rFonts w:hint="eastAsia" w:cs="宋体" w:asciiTheme="minorEastAsia" w:hAnsiTheme="minorEastAsia" w:eastAsiaTheme="minorEastAsia"/>
          <w:bCs/>
          <w:kern w:val="0"/>
          <w:sz w:val="24"/>
        </w:rPr>
        <w:t>七、凡对本次采购提出询问，请按</w:t>
      </w:r>
      <w:r>
        <w:rPr>
          <w:rFonts w:cs="宋体" w:asciiTheme="minorEastAsia" w:hAnsiTheme="minorEastAsia" w:eastAsiaTheme="minorEastAsia"/>
          <w:bCs/>
          <w:kern w:val="0"/>
          <w:sz w:val="24"/>
        </w:rPr>
        <w:t>以下方式</w:t>
      </w:r>
      <w:r>
        <w:rPr>
          <w:rFonts w:hint="eastAsia" w:cs="宋体" w:asciiTheme="minorEastAsia" w:hAnsiTheme="minorEastAsia" w:eastAsiaTheme="minorEastAsia"/>
          <w:bCs/>
          <w:kern w:val="0"/>
          <w:sz w:val="24"/>
        </w:rPr>
        <w:t>联系。</w:t>
      </w:r>
      <w:bookmarkEnd w:id="44"/>
      <w:bookmarkEnd w:id="45"/>
      <w:bookmarkEnd w:id="46"/>
      <w:bookmarkEnd w:id="47"/>
    </w:p>
    <w:p w14:paraId="6251EA6C">
      <w:pPr>
        <w:adjustRightInd w:val="0"/>
        <w:snapToGrid w:val="0"/>
        <w:spacing w:line="560" w:lineRule="atLeast"/>
        <w:ind w:firstLine="480" w:firstLineChars="200"/>
        <w:rPr>
          <w:rFonts w:hint="eastAsia" w:cs="宋体" w:asciiTheme="minorEastAsia" w:hAnsiTheme="minorEastAsia" w:eastAsiaTheme="minorEastAsia"/>
          <w:bCs/>
          <w:kern w:val="0"/>
          <w:sz w:val="24"/>
        </w:rPr>
      </w:pPr>
      <w:bookmarkStart w:id="48" w:name="_Toc28359019"/>
      <w:bookmarkStart w:id="49" w:name="_Toc35393806"/>
      <w:bookmarkStart w:id="50" w:name="_Toc35393637"/>
      <w:bookmarkStart w:id="51" w:name="_Toc28359096"/>
      <w:r>
        <w:rPr>
          <w:rFonts w:hint="eastAsia" w:cs="宋体" w:asciiTheme="minorEastAsia" w:hAnsiTheme="minorEastAsia" w:eastAsiaTheme="minorEastAsia"/>
          <w:bCs/>
          <w:kern w:val="0"/>
          <w:sz w:val="24"/>
        </w:rPr>
        <w:t>1.采购人信息</w:t>
      </w:r>
      <w:bookmarkEnd w:id="48"/>
      <w:bookmarkEnd w:id="49"/>
      <w:bookmarkEnd w:id="50"/>
      <w:bookmarkEnd w:id="51"/>
    </w:p>
    <w:p w14:paraId="4F949DCC">
      <w:pPr>
        <w:adjustRightInd w:val="0"/>
        <w:snapToGrid w:val="0"/>
        <w:spacing w:line="560" w:lineRule="atLeast"/>
        <w:ind w:firstLine="480" w:firstLineChars="200"/>
        <w:rPr>
          <w:rFonts w:hint="eastAsia" w:cs="宋体" w:asciiTheme="minorEastAsia" w:hAnsiTheme="minorEastAsia" w:eastAsiaTheme="minorEastAsia"/>
          <w:bCs/>
          <w:kern w:val="0"/>
          <w:sz w:val="24"/>
        </w:rPr>
      </w:pPr>
      <w:bookmarkStart w:id="52" w:name="_Toc28359097"/>
      <w:bookmarkStart w:id="53" w:name="_Toc35393807"/>
      <w:bookmarkStart w:id="54" w:name="_Toc28359020"/>
      <w:bookmarkStart w:id="55" w:name="_Toc35393638"/>
      <w:r>
        <w:rPr>
          <w:rFonts w:hint="eastAsia" w:cs="宋体" w:asciiTheme="minorEastAsia" w:hAnsiTheme="minorEastAsia" w:eastAsiaTheme="minorEastAsia"/>
          <w:bCs/>
          <w:kern w:val="0"/>
          <w:sz w:val="24"/>
        </w:rPr>
        <w:t>名    称：　海南绿峰资源开发有限公司</w:t>
      </w:r>
    </w:p>
    <w:p w14:paraId="25BEEBB5">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地    址：　海南省昌江县石碌镇环城西一路海钢八达城5#商铺</w:t>
      </w:r>
    </w:p>
    <w:p w14:paraId="4D3AA9FB">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联系方式：　韩工13617533720</w:t>
      </w:r>
    </w:p>
    <w:p w14:paraId="0C2CA268">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2.采购代理机构信息</w:t>
      </w:r>
      <w:bookmarkEnd w:id="52"/>
      <w:bookmarkEnd w:id="53"/>
      <w:bookmarkEnd w:id="54"/>
      <w:bookmarkEnd w:id="55"/>
    </w:p>
    <w:p w14:paraId="1DB1CDCC">
      <w:pPr>
        <w:adjustRightInd w:val="0"/>
        <w:snapToGrid w:val="0"/>
        <w:spacing w:line="560" w:lineRule="atLeast"/>
        <w:ind w:firstLine="480" w:firstLineChars="200"/>
        <w:rPr>
          <w:rFonts w:hint="eastAsia" w:cs="宋体" w:asciiTheme="minorEastAsia" w:hAnsiTheme="minorEastAsia" w:eastAsiaTheme="minorEastAsia"/>
          <w:bCs/>
          <w:kern w:val="0"/>
          <w:sz w:val="24"/>
        </w:rPr>
      </w:pPr>
      <w:bookmarkStart w:id="66" w:name="_GoBack"/>
      <w:r>
        <w:rPr>
          <w:rFonts w:hint="eastAsia" w:cs="宋体" w:asciiTheme="minorEastAsia" w:hAnsiTheme="minorEastAsia" w:eastAsiaTheme="minorEastAsia"/>
          <w:bCs/>
          <w:kern w:val="0"/>
          <w:sz w:val="24"/>
        </w:rPr>
        <w:t>名    称：　海南省教学仪器设备招标中心有限公司　　</w:t>
      </w:r>
    </w:p>
    <w:bookmarkEnd w:id="66"/>
    <w:p w14:paraId="0707320A">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地　　址：　海南省海口市蓝天路西2-8号　　</w:t>
      </w:r>
    </w:p>
    <w:p w14:paraId="72195D18">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联系方式：　0898-66779294　　</w:t>
      </w:r>
    </w:p>
    <w:p w14:paraId="13CFA966">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3.项目联系方式</w:t>
      </w:r>
    </w:p>
    <w:p w14:paraId="0B68F035">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项目联系人：李先生</w:t>
      </w:r>
    </w:p>
    <w:p w14:paraId="555C11C2">
      <w:pPr>
        <w:adjustRightInd w:val="0"/>
        <w:snapToGrid w:val="0"/>
        <w:spacing w:line="560" w:lineRule="atLeast"/>
        <w:ind w:firstLine="480" w:firstLineChars="200"/>
        <w:jc w:val="left"/>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电话：0898-66779294</w:t>
      </w:r>
    </w:p>
    <w:p w14:paraId="14960B5E">
      <w:pPr>
        <w:pStyle w:val="3"/>
        <w:spacing w:line="560" w:lineRule="atLeast"/>
        <w:rPr>
          <w:rFonts w:asciiTheme="minorEastAsia" w:hAnsiTheme="minorEastAsia" w:eastAsiaTheme="minorEastAsia"/>
          <w:b w:val="0"/>
          <w:bCs/>
          <w:sz w:val="32"/>
          <w:szCs w:val="32"/>
        </w:rPr>
      </w:pPr>
      <w:r>
        <w:rPr>
          <w:rFonts w:asciiTheme="minorEastAsia" w:hAnsiTheme="minorEastAsia" w:eastAsiaTheme="minorEastAsia"/>
          <w:b w:val="0"/>
          <w:bCs/>
          <w:sz w:val="32"/>
          <w:szCs w:val="32"/>
        </w:rPr>
        <w:br w:type="page"/>
      </w:r>
      <w:r>
        <w:rPr>
          <w:rFonts w:hint="eastAsia" w:asciiTheme="minorEastAsia" w:hAnsiTheme="minorEastAsia" w:eastAsiaTheme="minorEastAsia"/>
          <w:b w:val="0"/>
          <w:bCs/>
          <w:sz w:val="32"/>
          <w:szCs w:val="32"/>
        </w:rPr>
        <w:t>第二部分  公开比选采购项目需求</w:t>
      </w:r>
    </w:p>
    <w:p w14:paraId="713CE79A">
      <w:pPr>
        <w:spacing w:line="560" w:lineRule="atLeast"/>
        <w:rPr>
          <w:rFonts w:hint="eastAsia" w:asciiTheme="minorEastAsia" w:hAnsiTheme="minorEastAsia" w:eastAsiaTheme="minorEastAsia"/>
          <w:bCs/>
          <w:kern w:val="0"/>
          <w:sz w:val="32"/>
          <w:shd w:val="clear" w:color="auto" w:fill="FFFFFF"/>
        </w:rPr>
      </w:pPr>
      <w:r>
        <w:rPr>
          <w:rFonts w:hint="eastAsia" w:asciiTheme="minorEastAsia" w:hAnsiTheme="minorEastAsia" w:eastAsiaTheme="minorEastAsia"/>
          <w:bCs/>
          <w:kern w:val="24"/>
          <w:sz w:val="24"/>
          <w:shd w:val="clear" w:color="auto" w:fill="FFFFFF"/>
        </w:rPr>
        <w:t>投标人须知前附表</w:t>
      </w:r>
    </w:p>
    <w:tbl>
      <w:tblPr>
        <w:tblStyle w:val="40"/>
        <w:tblW w:w="9498" w:type="dxa"/>
        <w:tblInd w:w="-28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14"/>
        <w:gridCol w:w="2914"/>
        <w:gridCol w:w="5670"/>
      </w:tblGrid>
      <w:tr w14:paraId="0F8875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rPr>
        <w:tc>
          <w:tcPr>
            <w:tcW w:w="914" w:type="dxa"/>
            <w:noWrap/>
            <w:vAlign w:val="center"/>
          </w:tcPr>
          <w:p w14:paraId="751E3541">
            <w:pPr>
              <w:pStyle w:val="123"/>
              <w:spacing w:line="560" w:lineRule="atLeast"/>
              <w:ind w:left="9" w:firstLine="0"/>
              <w:jc w:val="center"/>
              <w:rPr>
                <w:rFonts w:hint="eastAsia" w:asciiTheme="minorEastAsia" w:hAnsiTheme="minorEastAsia" w:eastAsiaTheme="minorEastAsia"/>
                <w:bCs/>
                <w:sz w:val="24"/>
                <w:szCs w:val="24"/>
                <w:shd w:val="clear" w:color="auto" w:fill="FFFFFF"/>
                <w:lang w:val="zh-CN"/>
              </w:rPr>
            </w:pPr>
            <w:r>
              <w:rPr>
                <w:rFonts w:hint="eastAsia" w:asciiTheme="minorEastAsia" w:hAnsiTheme="minorEastAsia" w:eastAsiaTheme="minorEastAsia"/>
                <w:bCs/>
                <w:sz w:val="24"/>
                <w:szCs w:val="24"/>
                <w:shd w:val="clear" w:color="auto" w:fill="FFFFFF"/>
                <w:lang w:val="zh-CN"/>
              </w:rPr>
              <w:t>序号</w:t>
            </w:r>
          </w:p>
        </w:tc>
        <w:tc>
          <w:tcPr>
            <w:tcW w:w="2914" w:type="dxa"/>
            <w:noWrap/>
            <w:vAlign w:val="center"/>
          </w:tcPr>
          <w:p w14:paraId="5472C51E">
            <w:pPr>
              <w:pStyle w:val="123"/>
              <w:spacing w:line="560" w:lineRule="atLeast"/>
              <w:rPr>
                <w:rFonts w:hint="eastAsia" w:asciiTheme="minorEastAsia" w:hAnsiTheme="minorEastAsia" w:eastAsiaTheme="minorEastAsia"/>
                <w:bCs/>
                <w:sz w:val="24"/>
                <w:szCs w:val="24"/>
                <w:shd w:val="clear" w:color="auto" w:fill="FFFFFF"/>
                <w:lang w:val="zh-CN"/>
              </w:rPr>
            </w:pPr>
            <w:r>
              <w:rPr>
                <w:rFonts w:hint="eastAsia" w:asciiTheme="minorEastAsia" w:hAnsiTheme="minorEastAsia" w:eastAsiaTheme="minorEastAsia"/>
                <w:bCs/>
                <w:sz w:val="24"/>
                <w:szCs w:val="24"/>
                <w:shd w:val="clear" w:color="auto" w:fill="FFFFFF"/>
                <w:lang w:val="zh-CN"/>
              </w:rPr>
              <w:t>条款名称</w:t>
            </w:r>
          </w:p>
        </w:tc>
        <w:tc>
          <w:tcPr>
            <w:tcW w:w="5670" w:type="dxa"/>
            <w:noWrap/>
            <w:vAlign w:val="center"/>
          </w:tcPr>
          <w:p w14:paraId="693CADF0">
            <w:pPr>
              <w:pStyle w:val="123"/>
              <w:spacing w:line="560" w:lineRule="atLeast"/>
              <w:ind w:left="571" w:leftChars="272" w:firstLine="1677" w:firstLineChars="699"/>
              <w:rPr>
                <w:rFonts w:hint="eastAsia" w:asciiTheme="minorEastAsia" w:hAnsiTheme="minorEastAsia" w:eastAsiaTheme="minorEastAsia"/>
                <w:bCs/>
                <w:sz w:val="24"/>
                <w:szCs w:val="24"/>
                <w:shd w:val="clear" w:color="auto" w:fill="FFFFFF"/>
                <w:lang w:val="zh-CN"/>
              </w:rPr>
            </w:pPr>
            <w:r>
              <w:rPr>
                <w:rFonts w:hint="eastAsia" w:asciiTheme="minorEastAsia" w:hAnsiTheme="minorEastAsia" w:eastAsiaTheme="minorEastAsia"/>
                <w:bCs/>
                <w:sz w:val="24"/>
                <w:szCs w:val="24"/>
                <w:shd w:val="clear" w:color="auto" w:fill="FFFFFF"/>
                <w:lang w:val="zh-CN"/>
              </w:rPr>
              <w:t>说明和要求</w:t>
            </w:r>
          </w:p>
        </w:tc>
      </w:tr>
      <w:tr w14:paraId="14DFDE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rPr>
        <w:tc>
          <w:tcPr>
            <w:tcW w:w="914" w:type="dxa"/>
            <w:noWrap/>
            <w:vAlign w:val="center"/>
          </w:tcPr>
          <w:p w14:paraId="49DCBAFA">
            <w:pPr>
              <w:pStyle w:val="123"/>
              <w:spacing w:line="560" w:lineRule="atLeast"/>
              <w:ind w:left="0" w:firstLine="0"/>
              <w:jc w:val="center"/>
              <w:rPr>
                <w:rFonts w:hint="eastAsia" w:asciiTheme="minorEastAsia" w:hAnsiTheme="minorEastAsia" w:eastAsiaTheme="minorEastAsia"/>
                <w:bCs/>
                <w:sz w:val="24"/>
                <w:szCs w:val="24"/>
                <w:shd w:val="clear" w:color="auto" w:fill="FFFFFF"/>
                <w:lang w:val="zh-CN"/>
              </w:rPr>
            </w:pPr>
            <w:r>
              <w:rPr>
                <w:rFonts w:hint="eastAsia" w:asciiTheme="minorEastAsia" w:hAnsiTheme="minorEastAsia" w:eastAsiaTheme="minorEastAsia"/>
                <w:bCs/>
                <w:sz w:val="24"/>
                <w:szCs w:val="24"/>
                <w:shd w:val="clear" w:color="auto" w:fill="FFFFFF"/>
                <w:lang w:val="zh-CN"/>
              </w:rPr>
              <w:t>1</w:t>
            </w:r>
          </w:p>
        </w:tc>
        <w:tc>
          <w:tcPr>
            <w:tcW w:w="2914" w:type="dxa"/>
            <w:noWrap/>
            <w:vAlign w:val="center"/>
          </w:tcPr>
          <w:p w14:paraId="071C091B">
            <w:pPr>
              <w:spacing w:line="560" w:lineRule="atLeast"/>
              <w:jc w:val="center"/>
              <w:rPr>
                <w:rFonts w:hint="eastAsia" w:asciiTheme="minorEastAsia" w:hAnsiTheme="minorEastAsia" w:eastAsiaTheme="minorEastAsia"/>
                <w:bCs/>
                <w:kern w:val="0"/>
                <w:sz w:val="24"/>
                <w:shd w:val="clear" w:color="auto" w:fill="FFFFFF"/>
              </w:rPr>
            </w:pPr>
            <w:r>
              <w:rPr>
                <w:rFonts w:hint="eastAsia" w:asciiTheme="minorEastAsia" w:hAnsiTheme="minorEastAsia" w:eastAsiaTheme="minorEastAsia"/>
                <w:bCs/>
                <w:sz w:val="24"/>
                <w:shd w:val="clear" w:color="auto" w:fill="FFFFFF"/>
                <w:lang w:val="zh-CN"/>
              </w:rPr>
              <w:t>项目预算</w:t>
            </w:r>
          </w:p>
        </w:tc>
        <w:tc>
          <w:tcPr>
            <w:tcW w:w="5670" w:type="dxa"/>
            <w:noWrap/>
            <w:vAlign w:val="center"/>
          </w:tcPr>
          <w:p w14:paraId="6B88D7AE">
            <w:pPr>
              <w:spacing w:line="560" w:lineRule="atLeast"/>
              <w:jc w:val="left"/>
              <w:rPr>
                <w:rFonts w:hint="eastAsia" w:cs="宋体" w:asciiTheme="minorEastAsia" w:hAnsiTheme="minorEastAsia" w:eastAsiaTheme="minorEastAsia"/>
                <w:bCs/>
                <w:kern w:val="0"/>
                <w:sz w:val="24"/>
                <w:shd w:val="clear" w:color="auto" w:fill="FFFFFF"/>
                <w:lang w:val="zh-CN"/>
              </w:rPr>
            </w:pPr>
            <w:r>
              <w:rPr>
                <w:rFonts w:hint="eastAsia" w:cs="宋体" w:asciiTheme="minorEastAsia" w:hAnsiTheme="minorEastAsia" w:eastAsiaTheme="minorEastAsia"/>
                <w:bCs/>
                <w:kern w:val="0"/>
                <w:sz w:val="24"/>
                <w:shd w:val="clear" w:color="auto" w:fill="FFFFFF"/>
                <w:lang w:val="zh-CN"/>
              </w:rPr>
              <w:t>本项目采购预算为</w:t>
            </w:r>
            <w:r>
              <w:rPr>
                <w:rFonts w:hint="eastAsia" w:cs="宋体" w:asciiTheme="minorEastAsia" w:hAnsiTheme="minorEastAsia" w:eastAsiaTheme="minorEastAsia"/>
                <w:bCs/>
                <w:kern w:val="0"/>
                <w:sz w:val="24"/>
              </w:rPr>
              <w:t>91.472万元。</w:t>
            </w:r>
          </w:p>
          <w:p w14:paraId="6F8BF9B0">
            <w:pPr>
              <w:spacing w:line="560" w:lineRule="atLeast"/>
              <w:jc w:val="left"/>
              <w:rPr>
                <w:rFonts w:hint="eastAsia" w:cs="宋体" w:asciiTheme="minorEastAsia" w:hAnsiTheme="minorEastAsia" w:eastAsiaTheme="minorEastAsia"/>
                <w:bCs/>
                <w:kern w:val="0"/>
                <w:sz w:val="24"/>
                <w:shd w:val="clear" w:color="auto" w:fill="FFFFFF"/>
              </w:rPr>
            </w:pPr>
            <w:r>
              <w:rPr>
                <w:rFonts w:hint="eastAsia" w:cs="宋体" w:asciiTheme="minorEastAsia" w:hAnsiTheme="minorEastAsia" w:eastAsiaTheme="minorEastAsia"/>
                <w:bCs/>
                <w:kern w:val="0"/>
                <w:sz w:val="24"/>
                <w:shd w:val="clear" w:color="auto" w:fill="FFFFFF"/>
              </w:rPr>
              <w:t>折扣</w:t>
            </w:r>
            <w:r>
              <w:rPr>
                <w:rFonts w:hint="eastAsia" w:cs="宋体" w:asciiTheme="minorEastAsia" w:hAnsiTheme="minorEastAsia" w:eastAsiaTheme="minorEastAsia"/>
                <w:bCs/>
                <w:kern w:val="0"/>
                <w:sz w:val="24"/>
                <w:shd w:val="clear" w:color="auto" w:fill="FFFFFF"/>
                <w:lang w:val="zh-CN"/>
              </w:rPr>
              <w:t>报价不能超过采购预算，超过视为无效响应。</w:t>
            </w:r>
          </w:p>
        </w:tc>
      </w:tr>
      <w:tr w14:paraId="1F3984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rPr>
        <w:tc>
          <w:tcPr>
            <w:tcW w:w="914" w:type="dxa"/>
            <w:noWrap/>
            <w:vAlign w:val="center"/>
          </w:tcPr>
          <w:p w14:paraId="1A099B31">
            <w:pPr>
              <w:pStyle w:val="123"/>
              <w:spacing w:line="560" w:lineRule="atLeast"/>
              <w:ind w:left="0" w:firstLine="0"/>
              <w:jc w:val="center"/>
              <w:rPr>
                <w:rFonts w:hint="eastAsia" w:asciiTheme="minorEastAsia" w:hAnsiTheme="minorEastAsia" w:eastAsiaTheme="minorEastAsia"/>
                <w:bCs/>
                <w:sz w:val="24"/>
                <w:szCs w:val="24"/>
                <w:shd w:val="clear" w:color="auto" w:fill="FFFFFF"/>
                <w:lang w:val="zh-CN"/>
              </w:rPr>
            </w:pPr>
            <w:r>
              <w:rPr>
                <w:rFonts w:hint="eastAsia" w:asciiTheme="minorEastAsia" w:hAnsiTheme="minorEastAsia" w:eastAsiaTheme="minorEastAsia"/>
                <w:bCs/>
                <w:sz w:val="24"/>
                <w:szCs w:val="24"/>
                <w:shd w:val="clear" w:color="auto" w:fill="FFFFFF"/>
                <w:lang w:val="zh-CN"/>
              </w:rPr>
              <w:t>2</w:t>
            </w:r>
          </w:p>
        </w:tc>
        <w:tc>
          <w:tcPr>
            <w:tcW w:w="2914" w:type="dxa"/>
            <w:noWrap/>
            <w:vAlign w:val="center"/>
          </w:tcPr>
          <w:p w14:paraId="1E0217A1">
            <w:pPr>
              <w:spacing w:line="560" w:lineRule="atLeast"/>
              <w:ind w:firstLine="240" w:firstLineChars="100"/>
              <w:jc w:val="left"/>
              <w:rPr>
                <w:rFonts w:hint="eastAsia" w:cs="宋体" w:asciiTheme="minorEastAsia" w:hAnsiTheme="minorEastAsia" w:eastAsiaTheme="minorEastAsia"/>
                <w:bCs/>
                <w:kern w:val="0"/>
                <w:sz w:val="24"/>
                <w:shd w:val="clear" w:color="auto" w:fill="FFFFFF"/>
                <w:lang w:val="zh-CN"/>
              </w:rPr>
            </w:pPr>
            <w:r>
              <w:rPr>
                <w:rFonts w:hint="eastAsia" w:cs="宋体" w:asciiTheme="minorEastAsia" w:hAnsiTheme="minorEastAsia" w:eastAsiaTheme="minorEastAsia"/>
                <w:bCs/>
                <w:kern w:val="0"/>
                <w:sz w:val="24"/>
                <w:shd w:val="clear" w:color="auto" w:fill="FFFFFF"/>
                <w:lang w:val="zh-CN"/>
              </w:rPr>
              <w:t>是否接受进口产品投标</w:t>
            </w:r>
          </w:p>
        </w:tc>
        <w:tc>
          <w:tcPr>
            <w:tcW w:w="5670" w:type="dxa"/>
            <w:noWrap/>
            <w:vAlign w:val="center"/>
          </w:tcPr>
          <w:p w14:paraId="0E2D1E14">
            <w:pPr>
              <w:spacing w:line="560" w:lineRule="atLeast"/>
              <w:ind w:firstLine="240" w:firstLineChars="100"/>
              <w:jc w:val="left"/>
              <w:rPr>
                <w:rFonts w:hint="eastAsia" w:cs="宋体" w:asciiTheme="minorEastAsia" w:hAnsiTheme="minorEastAsia" w:eastAsiaTheme="minorEastAsia"/>
                <w:bCs/>
                <w:kern w:val="0"/>
                <w:sz w:val="24"/>
                <w:shd w:val="clear" w:color="auto" w:fill="FFFFFF"/>
                <w:lang w:val="zh-CN"/>
              </w:rPr>
            </w:pPr>
            <w:r>
              <w:rPr>
                <w:rFonts w:hint="eastAsia" w:cs="宋体" w:asciiTheme="minorEastAsia" w:hAnsiTheme="minorEastAsia" w:eastAsiaTheme="minorEastAsia"/>
                <w:bCs/>
                <w:kern w:val="0"/>
                <w:sz w:val="24"/>
                <w:shd w:val="clear" w:color="auto" w:fill="FFFFFF"/>
                <w:lang w:val="zh-CN"/>
              </w:rPr>
              <w:t>接受（ ）    不接受（√）</w:t>
            </w:r>
          </w:p>
        </w:tc>
      </w:tr>
      <w:tr w14:paraId="711632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rPr>
        <w:tc>
          <w:tcPr>
            <w:tcW w:w="914" w:type="dxa"/>
            <w:noWrap/>
            <w:vAlign w:val="center"/>
          </w:tcPr>
          <w:p w14:paraId="6CC4DF39">
            <w:pPr>
              <w:pStyle w:val="123"/>
              <w:spacing w:line="560" w:lineRule="atLeast"/>
              <w:ind w:left="0" w:firstLine="0"/>
              <w:jc w:val="center"/>
              <w:rPr>
                <w:rFonts w:hint="eastAsia" w:asciiTheme="minorEastAsia" w:hAnsiTheme="minorEastAsia" w:eastAsiaTheme="minorEastAsia"/>
                <w:bCs/>
                <w:sz w:val="24"/>
                <w:szCs w:val="24"/>
                <w:shd w:val="clear" w:color="auto" w:fill="FFFFFF"/>
                <w:lang w:val="zh-CN"/>
              </w:rPr>
            </w:pPr>
            <w:r>
              <w:rPr>
                <w:rFonts w:hint="eastAsia" w:asciiTheme="minorEastAsia" w:hAnsiTheme="minorEastAsia" w:eastAsiaTheme="minorEastAsia"/>
                <w:bCs/>
                <w:sz w:val="24"/>
                <w:szCs w:val="24"/>
                <w:shd w:val="clear" w:color="auto" w:fill="FFFFFF"/>
                <w:lang w:val="zh-CN"/>
              </w:rPr>
              <w:t>3</w:t>
            </w:r>
          </w:p>
        </w:tc>
        <w:tc>
          <w:tcPr>
            <w:tcW w:w="2914" w:type="dxa"/>
            <w:noWrap/>
            <w:vAlign w:val="center"/>
          </w:tcPr>
          <w:p w14:paraId="5E020181">
            <w:pPr>
              <w:spacing w:line="560" w:lineRule="atLeast"/>
              <w:jc w:val="center"/>
              <w:rPr>
                <w:rFonts w:hint="eastAsia" w:asciiTheme="minorEastAsia" w:hAnsiTheme="minorEastAsia" w:eastAsiaTheme="minorEastAsia"/>
                <w:bCs/>
                <w:sz w:val="24"/>
                <w:shd w:val="clear" w:color="auto" w:fill="FFFFFF"/>
              </w:rPr>
            </w:pPr>
            <w:r>
              <w:rPr>
                <w:rFonts w:hint="eastAsia" w:asciiTheme="minorEastAsia" w:hAnsiTheme="minorEastAsia" w:eastAsiaTheme="minorEastAsia"/>
                <w:bCs/>
                <w:sz w:val="24"/>
                <w:shd w:val="clear" w:color="auto" w:fill="FFFFFF"/>
              </w:rPr>
              <w:t>标前踏勘现场或/和标前答疑会</w:t>
            </w:r>
          </w:p>
        </w:tc>
        <w:tc>
          <w:tcPr>
            <w:tcW w:w="5670" w:type="dxa"/>
            <w:noWrap/>
            <w:vAlign w:val="center"/>
          </w:tcPr>
          <w:p w14:paraId="21C939D7">
            <w:pPr>
              <w:spacing w:line="560" w:lineRule="atLeast"/>
              <w:ind w:firstLine="240" w:firstLineChars="100"/>
              <w:jc w:val="left"/>
              <w:rPr>
                <w:rFonts w:hint="eastAsia" w:asciiTheme="minorEastAsia" w:hAnsiTheme="minorEastAsia" w:eastAsiaTheme="minorEastAsia"/>
                <w:bCs/>
                <w:kern w:val="0"/>
                <w:sz w:val="24"/>
                <w:shd w:val="clear" w:color="auto" w:fill="FFFFFF"/>
                <w:lang w:val="zh-CN"/>
              </w:rPr>
            </w:pPr>
            <w:r>
              <w:rPr>
                <w:rFonts w:hint="eastAsia" w:asciiTheme="minorEastAsia" w:hAnsiTheme="minorEastAsia" w:eastAsiaTheme="minorEastAsia"/>
                <w:bCs/>
                <w:kern w:val="0"/>
                <w:sz w:val="24"/>
                <w:shd w:val="clear" w:color="auto" w:fill="FFFFFF"/>
                <w:lang w:val="zh-CN"/>
              </w:rPr>
              <w:t>组织（ ）   不组织（√）</w:t>
            </w:r>
          </w:p>
        </w:tc>
      </w:tr>
      <w:tr w14:paraId="28DD09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rPr>
        <w:tc>
          <w:tcPr>
            <w:tcW w:w="914" w:type="dxa"/>
            <w:noWrap/>
            <w:vAlign w:val="center"/>
          </w:tcPr>
          <w:p w14:paraId="669F9B56">
            <w:pPr>
              <w:pStyle w:val="123"/>
              <w:spacing w:line="560" w:lineRule="atLeast"/>
              <w:ind w:left="0" w:firstLine="0"/>
              <w:jc w:val="center"/>
              <w:rPr>
                <w:rFonts w:hint="eastAsia" w:asciiTheme="minorEastAsia" w:hAnsiTheme="minorEastAsia" w:eastAsiaTheme="minorEastAsia"/>
                <w:bCs/>
                <w:sz w:val="24"/>
                <w:szCs w:val="24"/>
                <w:shd w:val="clear" w:color="auto" w:fill="FFFFFF"/>
                <w:lang w:val="zh-CN"/>
              </w:rPr>
            </w:pPr>
            <w:r>
              <w:rPr>
                <w:rFonts w:hint="eastAsia" w:asciiTheme="minorEastAsia" w:hAnsiTheme="minorEastAsia" w:eastAsiaTheme="minorEastAsia"/>
                <w:bCs/>
                <w:sz w:val="24"/>
                <w:szCs w:val="24"/>
                <w:shd w:val="clear" w:color="auto" w:fill="FFFFFF"/>
                <w:lang w:val="zh-CN"/>
              </w:rPr>
              <w:t>4</w:t>
            </w:r>
          </w:p>
        </w:tc>
        <w:tc>
          <w:tcPr>
            <w:tcW w:w="2914" w:type="dxa"/>
            <w:noWrap/>
            <w:vAlign w:val="center"/>
          </w:tcPr>
          <w:p w14:paraId="6672FA9D">
            <w:pPr>
              <w:pStyle w:val="123"/>
              <w:spacing w:line="560" w:lineRule="atLeast"/>
              <w:ind w:left="0" w:firstLine="0"/>
              <w:rPr>
                <w:rFonts w:hint="eastAsia" w:asciiTheme="minorEastAsia" w:hAnsiTheme="minorEastAsia" w:eastAsiaTheme="minorEastAsia"/>
                <w:bCs/>
                <w:kern w:val="0"/>
                <w:sz w:val="24"/>
                <w:szCs w:val="24"/>
                <w:shd w:val="clear" w:color="auto" w:fill="FFFFFF"/>
                <w:lang w:val="zh-CN"/>
              </w:rPr>
            </w:pPr>
            <w:r>
              <w:rPr>
                <w:rFonts w:hint="eastAsia" w:asciiTheme="minorEastAsia" w:hAnsiTheme="minorEastAsia" w:eastAsiaTheme="minorEastAsia"/>
                <w:bCs/>
                <w:kern w:val="0"/>
                <w:sz w:val="24"/>
                <w:szCs w:val="24"/>
                <w:shd w:val="clear" w:color="auto" w:fill="FFFFFF"/>
                <w:lang w:val="zh-CN"/>
              </w:rPr>
              <w:t>述标和/或产（样）品演（展）示</w:t>
            </w:r>
          </w:p>
        </w:tc>
        <w:tc>
          <w:tcPr>
            <w:tcW w:w="5670" w:type="dxa"/>
            <w:noWrap/>
            <w:vAlign w:val="center"/>
          </w:tcPr>
          <w:p w14:paraId="5D14F6D0">
            <w:pPr>
              <w:widowControl/>
              <w:tabs>
                <w:tab w:val="left" w:pos="425"/>
              </w:tabs>
              <w:spacing w:line="560" w:lineRule="atLeast"/>
              <w:ind w:firstLine="240" w:firstLineChars="100"/>
              <w:jc w:val="left"/>
              <w:rPr>
                <w:rFonts w:hint="eastAsia" w:asciiTheme="minorEastAsia" w:hAnsiTheme="minorEastAsia" w:eastAsiaTheme="minorEastAsia"/>
                <w:bCs/>
                <w:kern w:val="0"/>
                <w:sz w:val="24"/>
                <w:shd w:val="clear" w:color="auto" w:fill="FFFFFF"/>
                <w:lang w:val="zh-CN"/>
              </w:rPr>
            </w:pPr>
            <w:r>
              <w:rPr>
                <w:rFonts w:hint="eastAsia" w:asciiTheme="minorEastAsia" w:hAnsiTheme="minorEastAsia" w:eastAsiaTheme="minorEastAsia"/>
                <w:bCs/>
                <w:kern w:val="0"/>
                <w:sz w:val="24"/>
                <w:shd w:val="clear" w:color="auto" w:fill="FFFFFF"/>
                <w:lang w:val="zh-CN"/>
              </w:rPr>
              <w:t>有（）       无（√）</w:t>
            </w:r>
          </w:p>
        </w:tc>
      </w:tr>
      <w:tr w14:paraId="3D4D8C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rPr>
        <w:tc>
          <w:tcPr>
            <w:tcW w:w="914" w:type="dxa"/>
            <w:noWrap/>
            <w:vAlign w:val="center"/>
          </w:tcPr>
          <w:p w14:paraId="5A7E86EA">
            <w:pPr>
              <w:pStyle w:val="123"/>
              <w:spacing w:line="560" w:lineRule="atLeast"/>
              <w:ind w:left="0" w:firstLine="0"/>
              <w:jc w:val="center"/>
              <w:rPr>
                <w:rFonts w:hint="eastAsia" w:asciiTheme="minorEastAsia" w:hAnsiTheme="minorEastAsia" w:eastAsiaTheme="minorEastAsia"/>
                <w:bCs/>
                <w:sz w:val="24"/>
                <w:szCs w:val="24"/>
                <w:shd w:val="clear" w:color="auto" w:fill="FFFFFF"/>
                <w:lang w:val="zh-CN"/>
              </w:rPr>
            </w:pPr>
            <w:r>
              <w:rPr>
                <w:rFonts w:hint="eastAsia" w:asciiTheme="minorEastAsia" w:hAnsiTheme="minorEastAsia" w:eastAsiaTheme="minorEastAsia"/>
                <w:bCs/>
                <w:sz w:val="24"/>
                <w:szCs w:val="24"/>
                <w:shd w:val="clear" w:color="auto" w:fill="FFFFFF"/>
                <w:lang w:val="zh-CN"/>
              </w:rPr>
              <w:t>5</w:t>
            </w:r>
          </w:p>
        </w:tc>
        <w:tc>
          <w:tcPr>
            <w:tcW w:w="2914" w:type="dxa"/>
            <w:noWrap/>
            <w:vAlign w:val="center"/>
          </w:tcPr>
          <w:p w14:paraId="6F36F96D">
            <w:pPr>
              <w:pStyle w:val="123"/>
              <w:spacing w:line="560" w:lineRule="atLeast"/>
              <w:ind w:left="0" w:firstLine="0"/>
              <w:rPr>
                <w:rFonts w:hint="eastAsia" w:asciiTheme="minorEastAsia" w:hAnsiTheme="minorEastAsia" w:eastAsiaTheme="minorEastAsia"/>
                <w:bCs/>
                <w:sz w:val="24"/>
                <w:szCs w:val="24"/>
                <w:shd w:val="clear" w:color="auto" w:fill="FFFFFF"/>
                <w:lang w:val="zh-CN"/>
              </w:rPr>
            </w:pPr>
            <w:r>
              <w:rPr>
                <w:rFonts w:hint="eastAsia" w:asciiTheme="minorEastAsia" w:hAnsiTheme="minorEastAsia" w:eastAsiaTheme="minorEastAsia"/>
                <w:bCs/>
                <w:sz w:val="24"/>
                <w:szCs w:val="24"/>
                <w:shd w:val="clear" w:color="auto" w:fill="FFFFFF"/>
                <w:lang w:val="zh-CN"/>
              </w:rPr>
              <w:t>响应有效期</w:t>
            </w:r>
          </w:p>
        </w:tc>
        <w:tc>
          <w:tcPr>
            <w:tcW w:w="5670" w:type="dxa"/>
            <w:noWrap/>
            <w:vAlign w:val="center"/>
          </w:tcPr>
          <w:p w14:paraId="090E2796">
            <w:pPr>
              <w:pStyle w:val="123"/>
              <w:spacing w:line="560" w:lineRule="atLeast"/>
              <w:jc w:val="left"/>
              <w:rPr>
                <w:rFonts w:hint="eastAsia" w:asciiTheme="minorEastAsia" w:hAnsiTheme="minorEastAsia" w:eastAsiaTheme="minorEastAsia"/>
                <w:bCs/>
                <w:sz w:val="24"/>
                <w:szCs w:val="24"/>
                <w:shd w:val="clear" w:color="auto" w:fill="FFFFFF"/>
                <w:lang w:val="zh-CN"/>
              </w:rPr>
            </w:pPr>
            <w:r>
              <w:rPr>
                <w:rFonts w:hint="eastAsia" w:asciiTheme="minorEastAsia" w:hAnsiTheme="minorEastAsia" w:eastAsiaTheme="minorEastAsia"/>
                <w:bCs/>
                <w:sz w:val="24"/>
                <w:szCs w:val="24"/>
                <w:shd w:val="clear" w:color="auto" w:fill="FFFFFF"/>
              </w:rPr>
              <w:t>自响应文件递交之日起90天内。</w:t>
            </w:r>
          </w:p>
        </w:tc>
      </w:tr>
      <w:tr w14:paraId="359898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rPr>
        <w:tc>
          <w:tcPr>
            <w:tcW w:w="914" w:type="dxa"/>
            <w:noWrap/>
            <w:vAlign w:val="center"/>
          </w:tcPr>
          <w:p w14:paraId="618B717F">
            <w:pPr>
              <w:pStyle w:val="123"/>
              <w:spacing w:line="560" w:lineRule="atLeast"/>
              <w:ind w:left="0" w:firstLine="0"/>
              <w:jc w:val="center"/>
              <w:rPr>
                <w:rFonts w:hint="eastAsia" w:asciiTheme="minorEastAsia" w:hAnsiTheme="minorEastAsia" w:eastAsiaTheme="minorEastAsia"/>
                <w:bCs/>
                <w:sz w:val="24"/>
                <w:szCs w:val="24"/>
                <w:shd w:val="clear" w:color="auto" w:fill="FFFFFF"/>
                <w:lang w:val="zh-CN"/>
              </w:rPr>
            </w:pPr>
            <w:r>
              <w:rPr>
                <w:rFonts w:hint="eastAsia" w:asciiTheme="minorEastAsia" w:hAnsiTheme="minorEastAsia" w:eastAsiaTheme="minorEastAsia"/>
                <w:bCs/>
                <w:sz w:val="24"/>
                <w:szCs w:val="24"/>
                <w:shd w:val="clear" w:color="auto" w:fill="FFFFFF"/>
                <w:lang w:val="zh-CN"/>
              </w:rPr>
              <w:t>6</w:t>
            </w:r>
          </w:p>
        </w:tc>
        <w:tc>
          <w:tcPr>
            <w:tcW w:w="2914" w:type="dxa"/>
            <w:noWrap/>
            <w:vAlign w:val="center"/>
          </w:tcPr>
          <w:p w14:paraId="7A06C840">
            <w:pPr>
              <w:pStyle w:val="123"/>
              <w:spacing w:line="560" w:lineRule="atLeast"/>
              <w:ind w:left="0" w:firstLine="0"/>
              <w:rPr>
                <w:rFonts w:hint="eastAsia" w:asciiTheme="minorEastAsia" w:hAnsiTheme="minorEastAsia" w:eastAsiaTheme="minorEastAsia"/>
                <w:bCs/>
                <w:sz w:val="24"/>
                <w:szCs w:val="24"/>
                <w:shd w:val="clear" w:color="auto" w:fill="FFFFFF"/>
                <w:lang w:val="zh-CN"/>
              </w:rPr>
            </w:pPr>
            <w:r>
              <w:rPr>
                <w:rFonts w:hint="eastAsia" w:asciiTheme="minorEastAsia" w:hAnsiTheme="minorEastAsia" w:eastAsiaTheme="minorEastAsia"/>
                <w:bCs/>
                <w:sz w:val="24"/>
                <w:szCs w:val="24"/>
                <w:shd w:val="clear" w:color="auto" w:fill="FFFFFF"/>
                <w:lang w:val="zh-CN"/>
              </w:rPr>
              <w:t>响应文件份数</w:t>
            </w:r>
          </w:p>
        </w:tc>
        <w:tc>
          <w:tcPr>
            <w:tcW w:w="5670" w:type="dxa"/>
            <w:noWrap/>
            <w:vAlign w:val="center"/>
          </w:tcPr>
          <w:p w14:paraId="287E86B3">
            <w:pPr>
              <w:pStyle w:val="123"/>
              <w:spacing w:line="560" w:lineRule="atLeast"/>
              <w:ind w:firstLine="240" w:firstLineChars="100"/>
              <w:jc w:val="left"/>
              <w:rPr>
                <w:rFonts w:hint="eastAsia" w:asciiTheme="minorEastAsia" w:hAnsiTheme="minorEastAsia" w:eastAsiaTheme="minorEastAsia"/>
                <w:bCs/>
                <w:sz w:val="24"/>
                <w:szCs w:val="24"/>
                <w:shd w:val="clear" w:color="auto" w:fill="FFFFFF"/>
                <w:lang w:val="zh-CN"/>
              </w:rPr>
            </w:pPr>
            <w:r>
              <w:rPr>
                <w:rFonts w:hint="eastAsia" w:asciiTheme="minorEastAsia" w:hAnsiTheme="minorEastAsia" w:eastAsiaTheme="minorEastAsia"/>
                <w:bCs/>
                <w:sz w:val="24"/>
                <w:szCs w:val="24"/>
                <w:shd w:val="clear" w:color="auto" w:fill="FFFFFF"/>
                <w:lang w:val="zh-CN"/>
              </w:rPr>
              <w:t>正本</w:t>
            </w:r>
            <w:r>
              <w:rPr>
                <w:rFonts w:hint="eastAsia" w:asciiTheme="minorEastAsia" w:hAnsiTheme="minorEastAsia" w:eastAsiaTheme="minorEastAsia"/>
                <w:bCs/>
                <w:sz w:val="24"/>
                <w:szCs w:val="24"/>
                <w:u w:val="single"/>
                <w:shd w:val="clear" w:color="auto" w:fill="FFFFFF"/>
                <w:lang w:val="zh-CN"/>
              </w:rPr>
              <w:t xml:space="preserve">  壹 </w:t>
            </w:r>
            <w:r>
              <w:rPr>
                <w:rFonts w:hint="eastAsia" w:asciiTheme="minorEastAsia" w:hAnsiTheme="minorEastAsia" w:eastAsiaTheme="minorEastAsia"/>
                <w:bCs/>
                <w:sz w:val="24"/>
                <w:szCs w:val="24"/>
                <w:shd w:val="clear" w:color="auto" w:fill="FFFFFF"/>
                <w:lang w:val="zh-CN"/>
              </w:rPr>
              <w:t>份    副本</w:t>
            </w:r>
            <w:r>
              <w:rPr>
                <w:rFonts w:hint="eastAsia" w:asciiTheme="minorEastAsia" w:hAnsiTheme="minorEastAsia" w:eastAsiaTheme="minorEastAsia"/>
                <w:bCs/>
                <w:sz w:val="24"/>
                <w:szCs w:val="24"/>
                <w:u w:val="single"/>
                <w:shd w:val="clear" w:color="auto" w:fill="FFFFFF"/>
                <w:lang w:val="zh-CN"/>
              </w:rPr>
              <w:t xml:space="preserve">  叁  </w:t>
            </w:r>
            <w:r>
              <w:rPr>
                <w:rFonts w:hint="eastAsia" w:asciiTheme="minorEastAsia" w:hAnsiTheme="minorEastAsia" w:eastAsiaTheme="minorEastAsia"/>
                <w:bCs/>
                <w:sz w:val="24"/>
                <w:szCs w:val="24"/>
                <w:shd w:val="clear" w:color="auto" w:fill="FFFFFF"/>
                <w:lang w:val="zh-CN"/>
              </w:rPr>
              <w:t>份</w:t>
            </w:r>
          </w:p>
          <w:p w14:paraId="182CCA04">
            <w:pPr>
              <w:pStyle w:val="123"/>
              <w:spacing w:line="560" w:lineRule="atLeast"/>
              <w:ind w:left="0" w:firstLine="0"/>
              <w:jc w:val="left"/>
              <w:rPr>
                <w:rFonts w:hint="eastAsia" w:asciiTheme="minorEastAsia" w:hAnsiTheme="minorEastAsia" w:eastAsiaTheme="minorEastAsia"/>
                <w:bCs/>
                <w:color w:val="FF0000"/>
                <w:shd w:val="clear" w:color="auto" w:fill="FFFFFF"/>
                <w:lang w:val="zh-CN"/>
              </w:rPr>
            </w:pPr>
            <w:r>
              <w:rPr>
                <w:rFonts w:hint="eastAsia" w:cs="宋体" w:asciiTheme="minorEastAsia" w:hAnsiTheme="minorEastAsia" w:eastAsiaTheme="minorEastAsia"/>
                <w:bCs/>
                <w:color w:val="FF0000"/>
                <w:kern w:val="0"/>
              </w:rPr>
              <w:t>（电子响应文件正本盖章的（PDF格式）以U盘提供一份）</w:t>
            </w:r>
          </w:p>
          <w:p w14:paraId="71673BAD">
            <w:pPr>
              <w:pStyle w:val="123"/>
              <w:spacing w:line="560" w:lineRule="atLeast"/>
              <w:ind w:left="0" w:firstLine="0"/>
              <w:jc w:val="left"/>
              <w:rPr>
                <w:rFonts w:hint="eastAsia" w:asciiTheme="minorEastAsia" w:hAnsiTheme="minorEastAsia" w:eastAsiaTheme="minorEastAsia"/>
                <w:bCs/>
                <w:sz w:val="18"/>
                <w:szCs w:val="18"/>
                <w:shd w:val="clear" w:color="auto" w:fill="FFFFFF"/>
                <w:lang w:val="zh-CN"/>
              </w:rPr>
            </w:pPr>
            <w:r>
              <w:rPr>
                <w:rFonts w:hint="eastAsia" w:asciiTheme="minorEastAsia" w:hAnsiTheme="minorEastAsia" w:eastAsiaTheme="minorEastAsia"/>
                <w:bCs/>
                <w:kern w:val="0"/>
                <w:sz w:val="18"/>
                <w:szCs w:val="18"/>
              </w:rPr>
              <w:t>温馨提示：为了节约能源保护环境，制作响应文件时请双面打印</w:t>
            </w:r>
          </w:p>
        </w:tc>
      </w:tr>
      <w:tr w14:paraId="0466F4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rPr>
        <w:tc>
          <w:tcPr>
            <w:tcW w:w="914" w:type="dxa"/>
            <w:noWrap/>
            <w:vAlign w:val="center"/>
          </w:tcPr>
          <w:p w14:paraId="6E3140D1">
            <w:pPr>
              <w:pStyle w:val="8"/>
              <w:spacing w:line="560" w:lineRule="atLeast"/>
              <w:ind w:left="0" w:firstLine="0"/>
              <w:jc w:val="center"/>
              <w:rPr>
                <w:rFonts w:hint="eastAsia" w:asciiTheme="minorEastAsia" w:hAnsiTheme="minorEastAsia" w:eastAsiaTheme="minorEastAsia"/>
                <w:bCs/>
                <w:szCs w:val="24"/>
                <w:shd w:val="clear" w:color="auto" w:fill="FFFFFF"/>
                <w:lang w:val="zh-CN"/>
              </w:rPr>
            </w:pPr>
            <w:r>
              <w:rPr>
                <w:rFonts w:hint="eastAsia" w:asciiTheme="minorEastAsia" w:hAnsiTheme="minorEastAsia" w:eastAsiaTheme="minorEastAsia"/>
                <w:bCs/>
                <w:szCs w:val="24"/>
                <w:shd w:val="clear" w:color="auto" w:fill="FFFFFF"/>
                <w:lang w:val="zh-CN"/>
              </w:rPr>
              <w:t>7</w:t>
            </w:r>
          </w:p>
        </w:tc>
        <w:tc>
          <w:tcPr>
            <w:tcW w:w="2914" w:type="dxa"/>
            <w:noWrap/>
            <w:vAlign w:val="center"/>
          </w:tcPr>
          <w:p w14:paraId="2CFC8483">
            <w:pPr>
              <w:pStyle w:val="123"/>
              <w:spacing w:line="560" w:lineRule="atLeast"/>
              <w:ind w:left="0" w:firstLine="0"/>
              <w:rPr>
                <w:rFonts w:hint="eastAsia" w:asciiTheme="minorEastAsia" w:hAnsiTheme="minorEastAsia" w:eastAsiaTheme="minorEastAsia"/>
                <w:bCs/>
                <w:sz w:val="24"/>
                <w:szCs w:val="24"/>
                <w:shd w:val="clear" w:color="auto" w:fill="FFFFFF"/>
                <w:lang w:val="zh-CN"/>
              </w:rPr>
            </w:pPr>
            <w:r>
              <w:rPr>
                <w:rFonts w:hint="eastAsia" w:asciiTheme="minorEastAsia" w:hAnsiTheme="minorEastAsia" w:eastAsiaTheme="minorEastAsia"/>
                <w:bCs/>
                <w:sz w:val="24"/>
                <w:szCs w:val="24"/>
                <w:shd w:val="clear" w:color="auto" w:fill="FFFFFF"/>
                <w:lang w:val="zh-CN"/>
              </w:rPr>
              <w:t>评审方法</w:t>
            </w:r>
          </w:p>
        </w:tc>
        <w:tc>
          <w:tcPr>
            <w:tcW w:w="5670" w:type="dxa"/>
            <w:noWrap/>
            <w:vAlign w:val="center"/>
          </w:tcPr>
          <w:p w14:paraId="544D9CDF">
            <w:pPr>
              <w:pStyle w:val="123"/>
              <w:spacing w:line="560" w:lineRule="atLeast"/>
              <w:ind w:left="65" w:leftChars="31" w:firstLine="120" w:firstLineChars="50"/>
              <w:jc w:val="left"/>
              <w:rPr>
                <w:rFonts w:hint="eastAsia" w:asciiTheme="minorEastAsia" w:hAnsiTheme="minorEastAsia" w:eastAsiaTheme="minorEastAsia"/>
                <w:bCs/>
                <w:sz w:val="24"/>
                <w:szCs w:val="24"/>
                <w:shd w:val="clear" w:color="auto" w:fill="FFFFFF"/>
                <w:lang w:val="zh-CN"/>
              </w:rPr>
            </w:pPr>
            <w:r>
              <w:rPr>
                <w:rFonts w:hint="eastAsia" w:asciiTheme="minorEastAsia" w:hAnsiTheme="minorEastAsia" w:eastAsiaTheme="minorEastAsia"/>
                <w:bCs/>
                <w:sz w:val="24"/>
                <w:szCs w:val="24"/>
                <w:shd w:val="clear" w:color="auto" w:fill="FFFFFF"/>
                <w:lang w:val="zh-CN"/>
              </w:rPr>
              <w:t>最低评标价法（  ） 综合评分法（√）</w:t>
            </w:r>
          </w:p>
        </w:tc>
      </w:tr>
      <w:tr w14:paraId="1F3315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rPr>
        <w:tc>
          <w:tcPr>
            <w:tcW w:w="914" w:type="dxa"/>
            <w:noWrap/>
            <w:vAlign w:val="center"/>
          </w:tcPr>
          <w:p w14:paraId="72F5BD08">
            <w:pPr>
              <w:pStyle w:val="8"/>
              <w:spacing w:line="560" w:lineRule="atLeast"/>
              <w:ind w:left="0" w:firstLine="0"/>
              <w:jc w:val="center"/>
              <w:rPr>
                <w:rFonts w:hint="eastAsia" w:asciiTheme="minorEastAsia" w:hAnsiTheme="minorEastAsia" w:eastAsiaTheme="minorEastAsia"/>
                <w:bCs/>
                <w:szCs w:val="24"/>
                <w:shd w:val="clear" w:color="auto" w:fill="FFFFFF"/>
                <w:lang w:val="zh-CN"/>
              </w:rPr>
            </w:pPr>
            <w:r>
              <w:rPr>
                <w:rFonts w:hint="eastAsia" w:asciiTheme="minorEastAsia" w:hAnsiTheme="minorEastAsia" w:eastAsiaTheme="minorEastAsia"/>
                <w:bCs/>
                <w:szCs w:val="24"/>
                <w:shd w:val="clear" w:color="auto" w:fill="FFFFFF"/>
                <w:lang w:val="zh-CN"/>
              </w:rPr>
              <w:t>8</w:t>
            </w:r>
          </w:p>
        </w:tc>
        <w:tc>
          <w:tcPr>
            <w:tcW w:w="2914" w:type="dxa"/>
            <w:noWrap/>
            <w:vAlign w:val="center"/>
          </w:tcPr>
          <w:p w14:paraId="6E0C6DFC">
            <w:pPr>
              <w:pStyle w:val="123"/>
              <w:spacing w:line="560" w:lineRule="atLeast"/>
              <w:ind w:left="0" w:firstLine="0"/>
              <w:rPr>
                <w:rFonts w:hint="eastAsia" w:asciiTheme="minorEastAsia" w:hAnsiTheme="minorEastAsia" w:eastAsiaTheme="minorEastAsia"/>
                <w:bCs/>
                <w:sz w:val="24"/>
                <w:szCs w:val="24"/>
                <w:shd w:val="clear" w:color="auto" w:fill="FFFFFF"/>
              </w:rPr>
            </w:pPr>
            <w:r>
              <w:rPr>
                <w:rFonts w:hint="eastAsia" w:asciiTheme="minorEastAsia" w:hAnsiTheme="minorEastAsia" w:eastAsiaTheme="minorEastAsia"/>
                <w:bCs/>
                <w:sz w:val="24"/>
                <w:szCs w:val="24"/>
                <w:shd w:val="clear" w:color="auto" w:fill="FFFFFF"/>
              </w:rPr>
              <w:t>服务期限</w:t>
            </w:r>
          </w:p>
        </w:tc>
        <w:tc>
          <w:tcPr>
            <w:tcW w:w="5670" w:type="dxa"/>
            <w:noWrap/>
            <w:vAlign w:val="center"/>
          </w:tcPr>
          <w:p w14:paraId="38343C44">
            <w:pPr>
              <w:adjustRightInd w:val="0"/>
              <w:snapToGrid w:val="0"/>
              <w:spacing w:line="560" w:lineRule="atLeast"/>
              <w:ind w:firstLine="480" w:firstLineChars="200"/>
              <w:rPr>
                <w:rFonts w:hint="eastAsia" w:asciiTheme="minorEastAsia" w:hAnsiTheme="minorEastAsia" w:eastAsiaTheme="minorEastAsia"/>
                <w:bCs/>
                <w:sz w:val="24"/>
                <w:shd w:val="clear" w:color="auto" w:fill="FFFFFF"/>
              </w:rPr>
            </w:pPr>
            <w:r>
              <w:rPr>
                <w:rFonts w:hint="eastAsia" w:asciiTheme="minorEastAsia" w:hAnsiTheme="minorEastAsia" w:eastAsiaTheme="minorEastAsia"/>
                <w:bCs/>
                <w:sz w:val="24"/>
                <w:shd w:val="clear" w:color="auto" w:fill="FFFFFF"/>
              </w:rPr>
              <w:t>系统开发时间：</w:t>
            </w:r>
            <w:r>
              <w:rPr>
                <w:rFonts w:hint="eastAsia" w:asciiTheme="minorEastAsia" w:hAnsiTheme="minorEastAsia" w:eastAsiaTheme="minorEastAsia"/>
                <w:bCs/>
                <w:sz w:val="24"/>
                <w:shd w:val="clear" w:color="auto" w:fill="FFFFFF"/>
                <w:lang w:val="en-US" w:eastAsia="zh-CN"/>
              </w:rPr>
              <w:t>合同签订之日起</w:t>
            </w:r>
            <w:r>
              <w:rPr>
                <w:rFonts w:hint="eastAsia" w:asciiTheme="minorEastAsia" w:hAnsiTheme="minorEastAsia" w:eastAsiaTheme="minorEastAsia"/>
                <w:bCs/>
                <w:sz w:val="24"/>
                <w:shd w:val="clear" w:color="auto" w:fill="FFFFFF"/>
              </w:rPr>
              <w:t>至2025年4月30日。</w:t>
            </w:r>
          </w:p>
          <w:p w14:paraId="736A116D">
            <w:pPr>
              <w:adjustRightInd w:val="0"/>
              <w:snapToGrid w:val="0"/>
              <w:spacing w:line="560" w:lineRule="atLeast"/>
              <w:ind w:firstLine="480" w:firstLineChars="200"/>
              <w:rPr>
                <w:rFonts w:hint="eastAsia" w:asciiTheme="minorEastAsia" w:hAnsiTheme="minorEastAsia" w:eastAsiaTheme="minorEastAsia"/>
                <w:bCs/>
                <w:sz w:val="24"/>
                <w:shd w:val="clear" w:color="auto" w:fill="FFFFFF"/>
              </w:rPr>
            </w:pPr>
            <w:r>
              <w:rPr>
                <w:rFonts w:hint="eastAsia" w:asciiTheme="minorEastAsia" w:hAnsiTheme="minorEastAsia" w:eastAsiaTheme="minorEastAsia"/>
                <w:bCs/>
                <w:sz w:val="24"/>
                <w:shd w:val="clear" w:color="auto" w:fill="FFFFFF"/>
              </w:rPr>
              <w:t>（二）系统测试与部署时间：2025年5月1日至2025年5月15日。</w:t>
            </w:r>
          </w:p>
          <w:p w14:paraId="5DA52080">
            <w:pPr>
              <w:adjustRightInd w:val="0"/>
              <w:snapToGrid w:val="0"/>
              <w:spacing w:line="560" w:lineRule="atLeast"/>
              <w:ind w:firstLine="480" w:firstLineChars="200"/>
              <w:rPr>
                <w:rFonts w:hint="eastAsia" w:asciiTheme="minorEastAsia" w:hAnsiTheme="minorEastAsia" w:eastAsiaTheme="minorEastAsia"/>
                <w:bCs/>
                <w:sz w:val="24"/>
                <w:shd w:val="clear" w:color="auto" w:fill="FFFFFF"/>
              </w:rPr>
            </w:pPr>
            <w:r>
              <w:rPr>
                <w:rFonts w:hint="eastAsia" w:asciiTheme="minorEastAsia" w:hAnsiTheme="minorEastAsia" w:eastAsiaTheme="minorEastAsia"/>
                <w:bCs/>
                <w:sz w:val="24"/>
                <w:shd w:val="clear" w:color="auto" w:fill="FFFFFF"/>
              </w:rPr>
              <w:t>（三）系统上线试运行时间：2025年5月16日至2025年6月15日。</w:t>
            </w:r>
          </w:p>
          <w:p w14:paraId="1FEABBC3">
            <w:pPr>
              <w:adjustRightInd w:val="0"/>
              <w:snapToGrid w:val="0"/>
              <w:spacing w:line="560" w:lineRule="atLeast"/>
              <w:ind w:firstLine="480" w:firstLineChars="200"/>
              <w:rPr>
                <w:rFonts w:hint="eastAsia" w:asciiTheme="minorEastAsia" w:hAnsiTheme="minorEastAsia" w:eastAsiaTheme="minorEastAsia"/>
                <w:bCs/>
                <w:sz w:val="24"/>
                <w:shd w:val="clear" w:color="auto" w:fill="FFFFFF"/>
              </w:rPr>
            </w:pPr>
            <w:r>
              <w:rPr>
                <w:rFonts w:hint="eastAsia" w:asciiTheme="minorEastAsia" w:hAnsiTheme="minorEastAsia" w:eastAsiaTheme="minorEastAsia"/>
                <w:bCs/>
                <w:sz w:val="24"/>
                <w:shd w:val="clear" w:color="auto" w:fill="FFFFFF"/>
              </w:rPr>
              <w:t>验收期限：2025年7月1日至2025年7月10日。试运行结束后，经甲乙双方签字确认本平台已经完成开发，乙方向甲方移交相关开发文档及源码并确认。</w:t>
            </w:r>
          </w:p>
          <w:p w14:paraId="143385EC">
            <w:pPr>
              <w:adjustRightInd w:val="0"/>
              <w:snapToGrid w:val="0"/>
              <w:spacing w:line="560" w:lineRule="atLeast"/>
              <w:ind w:firstLine="480" w:firstLineChars="200"/>
              <w:rPr>
                <w:rFonts w:hint="eastAsia" w:asciiTheme="minorEastAsia" w:hAnsiTheme="minorEastAsia" w:eastAsiaTheme="minorEastAsia"/>
                <w:bCs/>
                <w:sz w:val="24"/>
                <w:shd w:val="clear" w:color="auto" w:fill="FFFFFF"/>
              </w:rPr>
            </w:pPr>
          </w:p>
        </w:tc>
      </w:tr>
      <w:tr w14:paraId="003D39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rPr>
        <w:tc>
          <w:tcPr>
            <w:tcW w:w="914" w:type="dxa"/>
            <w:noWrap/>
            <w:vAlign w:val="center"/>
          </w:tcPr>
          <w:p w14:paraId="039E8B1B">
            <w:pPr>
              <w:pStyle w:val="8"/>
              <w:spacing w:line="560" w:lineRule="atLeast"/>
              <w:ind w:left="0" w:firstLine="0"/>
              <w:jc w:val="center"/>
              <w:rPr>
                <w:rFonts w:hint="eastAsia" w:asciiTheme="minorEastAsia" w:hAnsiTheme="minorEastAsia" w:eastAsiaTheme="minorEastAsia"/>
                <w:bCs/>
                <w:szCs w:val="24"/>
                <w:shd w:val="clear" w:color="auto" w:fill="FFFFFF"/>
                <w:lang w:val="zh-CN"/>
              </w:rPr>
            </w:pPr>
            <w:r>
              <w:rPr>
                <w:rFonts w:hint="eastAsia" w:asciiTheme="minorEastAsia" w:hAnsiTheme="minorEastAsia" w:eastAsiaTheme="minorEastAsia"/>
                <w:bCs/>
                <w:szCs w:val="24"/>
                <w:shd w:val="clear" w:color="auto" w:fill="FFFFFF"/>
                <w:lang w:val="zh-CN"/>
              </w:rPr>
              <w:t>9</w:t>
            </w:r>
          </w:p>
        </w:tc>
        <w:tc>
          <w:tcPr>
            <w:tcW w:w="2914" w:type="dxa"/>
            <w:noWrap/>
            <w:vAlign w:val="center"/>
          </w:tcPr>
          <w:p w14:paraId="462B6067">
            <w:pPr>
              <w:pStyle w:val="123"/>
              <w:spacing w:line="560" w:lineRule="atLeast"/>
              <w:ind w:left="0" w:firstLine="0"/>
              <w:rPr>
                <w:rFonts w:hint="eastAsia" w:asciiTheme="minorEastAsia" w:hAnsiTheme="minorEastAsia" w:eastAsiaTheme="minorEastAsia"/>
                <w:bCs/>
                <w:sz w:val="24"/>
                <w:szCs w:val="24"/>
                <w:shd w:val="clear" w:color="auto" w:fill="FFFFFF"/>
                <w:lang w:val="zh-CN"/>
              </w:rPr>
            </w:pPr>
            <w:r>
              <w:rPr>
                <w:rFonts w:hint="eastAsia" w:asciiTheme="minorEastAsia" w:hAnsiTheme="minorEastAsia" w:eastAsiaTheme="minorEastAsia"/>
                <w:bCs/>
                <w:sz w:val="24"/>
                <w:szCs w:val="24"/>
                <w:shd w:val="clear" w:color="auto" w:fill="FFFFFF"/>
              </w:rPr>
              <w:t>服务</w:t>
            </w:r>
            <w:r>
              <w:rPr>
                <w:rFonts w:hint="eastAsia" w:asciiTheme="minorEastAsia" w:hAnsiTheme="minorEastAsia" w:eastAsiaTheme="minorEastAsia"/>
                <w:bCs/>
                <w:sz w:val="24"/>
                <w:szCs w:val="24"/>
                <w:shd w:val="clear" w:color="auto" w:fill="FFFFFF"/>
                <w:lang w:val="zh-CN"/>
              </w:rPr>
              <w:t>地点</w:t>
            </w:r>
          </w:p>
        </w:tc>
        <w:tc>
          <w:tcPr>
            <w:tcW w:w="5670" w:type="dxa"/>
            <w:noWrap/>
            <w:vAlign w:val="center"/>
          </w:tcPr>
          <w:p w14:paraId="152757DA">
            <w:pPr>
              <w:pStyle w:val="123"/>
              <w:spacing w:line="560" w:lineRule="atLeast"/>
              <w:ind w:left="0" w:firstLine="0"/>
              <w:jc w:val="left"/>
              <w:rPr>
                <w:rFonts w:hint="eastAsia" w:asciiTheme="minorEastAsia" w:hAnsiTheme="minorEastAsia" w:eastAsiaTheme="minorEastAsia"/>
                <w:bCs/>
                <w:sz w:val="24"/>
                <w:szCs w:val="24"/>
                <w:shd w:val="clear" w:color="auto" w:fill="FFFFFF"/>
              </w:rPr>
            </w:pPr>
            <w:r>
              <w:rPr>
                <w:rFonts w:hint="eastAsia" w:asciiTheme="minorEastAsia" w:hAnsiTheme="minorEastAsia" w:eastAsiaTheme="minorEastAsia"/>
                <w:bCs/>
                <w:sz w:val="24"/>
                <w:szCs w:val="24"/>
                <w:shd w:val="clear" w:color="auto" w:fill="FFFFFF"/>
              </w:rPr>
              <w:t>采购人指定地点</w:t>
            </w:r>
          </w:p>
        </w:tc>
      </w:tr>
      <w:tr w14:paraId="0917B2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rPr>
        <w:tc>
          <w:tcPr>
            <w:tcW w:w="914" w:type="dxa"/>
            <w:noWrap/>
            <w:vAlign w:val="center"/>
          </w:tcPr>
          <w:p w14:paraId="3B55DBE9">
            <w:pPr>
              <w:pStyle w:val="8"/>
              <w:spacing w:line="560" w:lineRule="atLeast"/>
              <w:ind w:left="0" w:firstLine="0"/>
              <w:jc w:val="center"/>
              <w:rPr>
                <w:rFonts w:hint="eastAsia" w:asciiTheme="minorEastAsia" w:hAnsiTheme="minorEastAsia" w:eastAsiaTheme="minorEastAsia"/>
                <w:bCs/>
                <w:szCs w:val="24"/>
                <w:shd w:val="clear" w:color="auto" w:fill="FFFFFF"/>
              </w:rPr>
            </w:pPr>
            <w:r>
              <w:rPr>
                <w:rFonts w:hint="eastAsia" w:asciiTheme="minorEastAsia" w:hAnsiTheme="minorEastAsia" w:eastAsiaTheme="minorEastAsia"/>
                <w:bCs/>
                <w:szCs w:val="24"/>
                <w:shd w:val="clear" w:color="auto" w:fill="FFFFFF"/>
              </w:rPr>
              <w:t>10</w:t>
            </w:r>
          </w:p>
        </w:tc>
        <w:tc>
          <w:tcPr>
            <w:tcW w:w="2914" w:type="dxa"/>
            <w:noWrap/>
            <w:vAlign w:val="center"/>
          </w:tcPr>
          <w:p w14:paraId="6020551C">
            <w:pPr>
              <w:pStyle w:val="123"/>
              <w:spacing w:line="560" w:lineRule="atLeast"/>
              <w:ind w:left="0" w:firstLine="0"/>
              <w:rPr>
                <w:rFonts w:hint="eastAsia" w:asciiTheme="minorEastAsia" w:hAnsiTheme="minorEastAsia" w:eastAsiaTheme="minorEastAsia"/>
                <w:bCs/>
                <w:sz w:val="24"/>
                <w:szCs w:val="24"/>
                <w:shd w:val="clear" w:color="auto" w:fill="FFFFFF"/>
              </w:rPr>
            </w:pPr>
            <w:r>
              <w:rPr>
                <w:rFonts w:hint="eastAsia" w:asciiTheme="minorEastAsia" w:hAnsiTheme="minorEastAsia" w:eastAsiaTheme="minorEastAsia"/>
                <w:bCs/>
                <w:sz w:val="24"/>
                <w:szCs w:val="24"/>
                <w:shd w:val="clear" w:color="auto" w:fill="FFFFFF"/>
              </w:rPr>
              <w:t>备注</w:t>
            </w:r>
          </w:p>
        </w:tc>
        <w:tc>
          <w:tcPr>
            <w:tcW w:w="5670" w:type="dxa"/>
            <w:noWrap/>
            <w:vAlign w:val="center"/>
          </w:tcPr>
          <w:p w14:paraId="30BC0184">
            <w:pPr>
              <w:pStyle w:val="123"/>
              <w:spacing w:line="560" w:lineRule="atLeast"/>
              <w:ind w:left="0" w:firstLine="0"/>
              <w:jc w:val="left"/>
              <w:rPr>
                <w:rFonts w:hint="eastAsia" w:asciiTheme="minorEastAsia" w:hAnsiTheme="minorEastAsia" w:eastAsiaTheme="minorEastAsia"/>
                <w:bCs/>
                <w:sz w:val="24"/>
                <w:szCs w:val="24"/>
                <w:shd w:val="clear" w:color="auto" w:fill="FFFFFF"/>
              </w:rPr>
            </w:pPr>
            <w:r>
              <w:rPr>
                <w:rFonts w:hint="eastAsia" w:asciiTheme="minorEastAsia" w:hAnsiTheme="minorEastAsia" w:eastAsiaTheme="minorEastAsia"/>
                <w:bCs/>
                <w:sz w:val="24"/>
                <w:szCs w:val="24"/>
                <w:shd w:val="clear" w:color="auto" w:fill="FFFFFF"/>
              </w:rPr>
              <w:t>1、采购需求中未列明偏差的除特殊订制类货物以外，列明的尺寸、重量及体积允许±5</w:t>
            </w:r>
            <w:r>
              <w:rPr>
                <w:rFonts w:asciiTheme="minorEastAsia" w:hAnsiTheme="minorEastAsia" w:eastAsiaTheme="minorEastAsia"/>
                <w:bCs/>
                <w:sz w:val="24"/>
                <w:szCs w:val="24"/>
                <w:shd w:val="clear" w:color="auto" w:fill="FFFFFF"/>
              </w:rPr>
              <w:t>%</w:t>
            </w:r>
            <w:r>
              <w:rPr>
                <w:rFonts w:hint="eastAsia" w:asciiTheme="minorEastAsia" w:hAnsiTheme="minorEastAsia" w:eastAsiaTheme="minorEastAsia"/>
                <w:bCs/>
                <w:sz w:val="24"/>
                <w:szCs w:val="24"/>
                <w:shd w:val="clear" w:color="auto" w:fill="FFFFFF"/>
              </w:rPr>
              <w:t>偏差。</w:t>
            </w:r>
          </w:p>
          <w:p w14:paraId="195E1BDD">
            <w:pPr>
              <w:pStyle w:val="123"/>
              <w:spacing w:line="560" w:lineRule="atLeast"/>
              <w:ind w:left="0" w:firstLine="0"/>
              <w:jc w:val="left"/>
              <w:rPr>
                <w:rFonts w:hint="eastAsia" w:asciiTheme="minorEastAsia" w:hAnsiTheme="minorEastAsia" w:eastAsiaTheme="minorEastAsia"/>
                <w:bCs/>
                <w:sz w:val="24"/>
                <w:szCs w:val="24"/>
                <w:shd w:val="clear" w:color="auto" w:fill="FFFFFF"/>
              </w:rPr>
            </w:pPr>
            <w:r>
              <w:rPr>
                <w:rFonts w:hint="eastAsia" w:asciiTheme="minorEastAsia" w:hAnsiTheme="minorEastAsia" w:eastAsiaTheme="minorEastAsia"/>
                <w:bCs/>
                <w:sz w:val="24"/>
                <w:szCs w:val="24"/>
                <w:shd w:val="clear" w:color="auto" w:fill="FFFFFF"/>
              </w:rPr>
              <w:t>2、采购标的物需按照国家相关标准、行业标准、地方标准或者其他标准、规范执行。</w:t>
            </w:r>
          </w:p>
        </w:tc>
      </w:tr>
    </w:tbl>
    <w:p w14:paraId="7B4D9A15">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60" w:lineRule="atLeast"/>
        <w:ind w:left="420"/>
        <w:rPr>
          <w:rFonts w:hint="eastAsia" w:asciiTheme="minorEastAsia" w:hAnsiTheme="minorEastAsia" w:eastAsiaTheme="minorEastAsia"/>
          <w:bCs/>
          <w:kern w:val="0"/>
          <w:sz w:val="32"/>
        </w:rPr>
      </w:pPr>
    </w:p>
    <w:p w14:paraId="1774175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60" w:lineRule="atLeast"/>
        <w:ind w:left="420"/>
        <w:rPr>
          <w:rFonts w:hint="eastAsia" w:asciiTheme="minorEastAsia" w:hAnsiTheme="minorEastAsia" w:eastAsiaTheme="minorEastAsia"/>
          <w:bCs/>
          <w:kern w:val="0"/>
          <w:sz w:val="32"/>
        </w:rPr>
      </w:pPr>
    </w:p>
    <w:p w14:paraId="1DCDA8F4">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60" w:lineRule="atLeast"/>
        <w:ind w:left="420"/>
        <w:rPr>
          <w:rFonts w:hint="eastAsia" w:asciiTheme="minorEastAsia" w:hAnsiTheme="minorEastAsia" w:eastAsiaTheme="minorEastAsia"/>
          <w:bCs/>
          <w:kern w:val="0"/>
          <w:sz w:val="32"/>
        </w:rPr>
      </w:pPr>
    </w:p>
    <w:p w14:paraId="00F36402">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60" w:lineRule="atLeast"/>
        <w:ind w:left="420"/>
        <w:rPr>
          <w:rFonts w:hint="eastAsia" w:asciiTheme="minorEastAsia" w:hAnsiTheme="minorEastAsia" w:eastAsiaTheme="minorEastAsia"/>
          <w:bCs/>
          <w:kern w:val="0"/>
          <w:sz w:val="32"/>
        </w:rPr>
      </w:pPr>
    </w:p>
    <w:p w14:paraId="50579C37">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60" w:lineRule="atLeast"/>
        <w:ind w:left="420"/>
        <w:rPr>
          <w:rFonts w:hint="eastAsia" w:asciiTheme="minorEastAsia" w:hAnsiTheme="minorEastAsia" w:eastAsiaTheme="minorEastAsia"/>
          <w:bCs/>
          <w:kern w:val="0"/>
          <w:sz w:val="32"/>
        </w:rPr>
      </w:pPr>
    </w:p>
    <w:p w14:paraId="563913F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60" w:lineRule="atLeast"/>
        <w:ind w:left="420"/>
        <w:rPr>
          <w:rFonts w:hint="eastAsia" w:asciiTheme="minorEastAsia" w:hAnsiTheme="minorEastAsia" w:eastAsiaTheme="minorEastAsia"/>
          <w:bCs/>
          <w:kern w:val="0"/>
          <w:sz w:val="32"/>
        </w:rPr>
      </w:pPr>
    </w:p>
    <w:p w14:paraId="1D9CD2B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60" w:lineRule="atLeast"/>
        <w:ind w:left="420"/>
        <w:rPr>
          <w:rFonts w:hint="eastAsia" w:asciiTheme="minorEastAsia" w:hAnsiTheme="minorEastAsia" w:eastAsiaTheme="minorEastAsia"/>
          <w:bCs/>
          <w:kern w:val="0"/>
          <w:sz w:val="32"/>
        </w:rPr>
      </w:pPr>
    </w:p>
    <w:p w14:paraId="0B036163">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60" w:lineRule="atLeast"/>
        <w:ind w:left="420"/>
        <w:rPr>
          <w:rFonts w:hint="eastAsia" w:asciiTheme="minorEastAsia" w:hAnsiTheme="minorEastAsia" w:eastAsiaTheme="minorEastAsia"/>
          <w:bCs/>
          <w:kern w:val="0"/>
          <w:sz w:val="32"/>
        </w:rPr>
      </w:pPr>
    </w:p>
    <w:p w14:paraId="776A5B8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60" w:lineRule="atLeast"/>
        <w:ind w:left="420"/>
        <w:rPr>
          <w:rFonts w:hint="eastAsia" w:asciiTheme="minorEastAsia" w:hAnsiTheme="minorEastAsia" w:eastAsiaTheme="minorEastAsia"/>
          <w:bCs/>
          <w:kern w:val="0"/>
          <w:sz w:val="32"/>
        </w:rPr>
      </w:pPr>
    </w:p>
    <w:p w14:paraId="3EA8AAE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60" w:lineRule="atLeast"/>
        <w:ind w:left="420"/>
        <w:rPr>
          <w:rFonts w:hint="eastAsia" w:asciiTheme="minorEastAsia" w:hAnsiTheme="minorEastAsia" w:eastAsiaTheme="minorEastAsia"/>
          <w:bCs/>
          <w:kern w:val="0"/>
          <w:sz w:val="32"/>
        </w:rPr>
      </w:pPr>
    </w:p>
    <w:p w14:paraId="080ECE8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60" w:lineRule="atLeast"/>
        <w:ind w:left="420"/>
        <w:rPr>
          <w:rFonts w:hint="eastAsia" w:asciiTheme="minorEastAsia" w:hAnsiTheme="minorEastAsia" w:eastAsiaTheme="minorEastAsia"/>
          <w:bCs/>
          <w:kern w:val="0"/>
          <w:sz w:val="32"/>
        </w:rPr>
      </w:pPr>
    </w:p>
    <w:p w14:paraId="6A2F140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60" w:lineRule="atLeast"/>
        <w:ind w:left="420"/>
        <w:rPr>
          <w:rFonts w:hint="eastAsia" w:asciiTheme="minorEastAsia" w:hAnsiTheme="minorEastAsia" w:eastAsiaTheme="minorEastAsia"/>
          <w:bCs/>
          <w:kern w:val="0"/>
          <w:sz w:val="32"/>
        </w:rPr>
      </w:pPr>
    </w:p>
    <w:p w14:paraId="5930875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60" w:lineRule="atLeast"/>
        <w:ind w:left="420"/>
        <w:rPr>
          <w:rFonts w:hint="eastAsia" w:asciiTheme="minorEastAsia" w:hAnsiTheme="minorEastAsia" w:eastAsiaTheme="minorEastAsia"/>
          <w:bCs/>
          <w:kern w:val="0"/>
          <w:sz w:val="32"/>
        </w:rPr>
      </w:pPr>
    </w:p>
    <w:p w14:paraId="6F5B772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60" w:lineRule="atLeast"/>
        <w:ind w:left="420"/>
        <w:rPr>
          <w:rFonts w:hint="eastAsia" w:asciiTheme="minorEastAsia" w:hAnsiTheme="minorEastAsia" w:eastAsiaTheme="minorEastAsia"/>
          <w:bCs/>
          <w:kern w:val="0"/>
          <w:sz w:val="32"/>
        </w:rPr>
      </w:pPr>
    </w:p>
    <w:p w14:paraId="5EB254C0">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60" w:lineRule="atLeast"/>
        <w:ind w:left="420"/>
        <w:rPr>
          <w:rFonts w:hint="eastAsia" w:asciiTheme="minorEastAsia" w:hAnsiTheme="minorEastAsia" w:eastAsiaTheme="minorEastAsia"/>
          <w:bCs/>
          <w:kern w:val="0"/>
          <w:sz w:val="32"/>
        </w:rPr>
      </w:pPr>
    </w:p>
    <w:p w14:paraId="3142EDF4">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60" w:lineRule="atLeast"/>
        <w:ind w:left="420"/>
        <w:rPr>
          <w:rFonts w:hint="eastAsia" w:asciiTheme="minorEastAsia" w:hAnsiTheme="minorEastAsia" w:eastAsiaTheme="minorEastAsia"/>
          <w:bCs/>
          <w:kern w:val="0"/>
          <w:sz w:val="32"/>
        </w:rPr>
      </w:pPr>
    </w:p>
    <w:p w14:paraId="13113A3D">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60" w:lineRule="atLeast"/>
        <w:ind w:left="420"/>
        <w:rPr>
          <w:rFonts w:hint="eastAsia" w:asciiTheme="minorEastAsia" w:hAnsiTheme="minorEastAsia" w:eastAsiaTheme="minorEastAsia"/>
          <w:bCs/>
          <w:kern w:val="0"/>
          <w:sz w:val="32"/>
        </w:rPr>
      </w:pPr>
    </w:p>
    <w:p w14:paraId="5DA8BB4B">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60" w:lineRule="atLeast"/>
        <w:ind w:left="420"/>
        <w:rPr>
          <w:rFonts w:hint="eastAsia" w:asciiTheme="minorEastAsia" w:hAnsiTheme="minorEastAsia" w:eastAsiaTheme="minorEastAsia"/>
          <w:bCs/>
          <w:kern w:val="0"/>
          <w:sz w:val="32"/>
        </w:rPr>
      </w:pPr>
    </w:p>
    <w:p w14:paraId="6A7CCD4D">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560" w:lineRule="atLeast"/>
        <w:rPr>
          <w:rFonts w:hint="eastAsia" w:cs="宋体" w:asciiTheme="minorEastAsia" w:hAnsiTheme="minorEastAsia" w:eastAsiaTheme="minorEastAsia"/>
          <w:bCs/>
          <w:kern w:val="0"/>
          <w:sz w:val="24"/>
        </w:rPr>
      </w:pPr>
      <w:r>
        <w:rPr>
          <w:rFonts w:hint="eastAsia" w:asciiTheme="minorEastAsia" w:hAnsiTheme="minorEastAsia" w:eastAsiaTheme="minorEastAsia"/>
          <w:bCs/>
          <w:kern w:val="0"/>
          <w:sz w:val="32"/>
        </w:rPr>
        <w:t>采购需求：</w:t>
      </w:r>
    </w:p>
    <w:p w14:paraId="2526CC03">
      <w:pPr>
        <w:pStyle w:val="4"/>
        <w:spacing w:line="560" w:lineRule="atLeast"/>
        <w:rPr>
          <w:rFonts w:hint="eastAsia" w:cs="宋体" w:asciiTheme="minorEastAsia" w:hAnsiTheme="minorEastAsia" w:eastAsiaTheme="minorEastAsia"/>
          <w:b w:val="0"/>
          <w:bCs/>
          <w:sz w:val="32"/>
          <w:szCs w:val="32"/>
        </w:rPr>
      </w:pPr>
      <w:r>
        <w:rPr>
          <w:rFonts w:hint="eastAsia" w:cs="宋体" w:asciiTheme="minorEastAsia" w:hAnsiTheme="minorEastAsia" w:eastAsiaTheme="minorEastAsia"/>
          <w:b w:val="0"/>
          <w:bCs/>
          <w:sz w:val="32"/>
          <w:szCs w:val="32"/>
        </w:rPr>
        <w:t>一、建设内容清单编制说明</w:t>
      </w:r>
    </w:p>
    <w:p w14:paraId="5C6D4DE1">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1.1 本建设内容清单是根据比选文件中包括的、有合同约束力的图纸以及有关建设内容清单的国家标准、行业标准、合同条款中约定的规则编制。</w:t>
      </w:r>
    </w:p>
    <w:p w14:paraId="685192D1">
      <w:pPr>
        <w:spacing w:line="560" w:lineRule="atLeast"/>
        <w:ind w:firstLine="480" w:firstLineChars="200"/>
        <w:jc w:val="left"/>
        <w:rPr>
          <w:rFonts w:hint="eastAsia" w:cs="宋体" w:asciiTheme="minorEastAsia" w:hAnsiTheme="minorEastAsia" w:eastAsiaTheme="minorEastAsia"/>
          <w:bCs/>
          <w:sz w:val="24"/>
        </w:rPr>
      </w:pPr>
    </w:p>
    <w:p w14:paraId="1C7A5337">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1.2 本建设内容清单应与比选文件中的参选人须知、通用合同条款、专用合同条款、技术标准和要求及图纸等一起阅读和理解。</w:t>
      </w:r>
    </w:p>
    <w:p w14:paraId="1BD71F0D">
      <w:pPr>
        <w:spacing w:line="560" w:lineRule="atLeast"/>
        <w:ind w:firstLine="480" w:firstLineChars="200"/>
        <w:jc w:val="left"/>
        <w:rPr>
          <w:rFonts w:hint="eastAsia" w:cs="宋体" w:asciiTheme="minorEastAsia" w:hAnsiTheme="minorEastAsia" w:eastAsiaTheme="minorEastAsia"/>
          <w:bCs/>
          <w:sz w:val="24"/>
        </w:rPr>
      </w:pPr>
    </w:p>
    <w:p w14:paraId="26CF06CC">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1.3  建设内容清单各章是按“技术规范”的相应章次编号的，因此，建设内容清单中各章的范围与计量等应与“技术规范”相应章节的范围、计量与支付条款结合起来理解或解释。</w:t>
      </w:r>
    </w:p>
    <w:p w14:paraId="6F44881D">
      <w:pPr>
        <w:spacing w:line="560" w:lineRule="atLeast"/>
        <w:ind w:firstLine="480" w:firstLineChars="200"/>
        <w:jc w:val="left"/>
        <w:rPr>
          <w:rFonts w:hint="eastAsia" w:cs="宋体" w:asciiTheme="minorEastAsia" w:hAnsiTheme="minorEastAsia" w:eastAsiaTheme="minorEastAsia"/>
          <w:bCs/>
          <w:sz w:val="24"/>
        </w:rPr>
      </w:pPr>
    </w:p>
    <w:p w14:paraId="3326AFBB">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1.4  对作业和材料的一般说明或规定，未重复写入建设内容清单内，在给建设内容清单各子目标价前，应参阅“技术规范”的有关内容。</w:t>
      </w:r>
    </w:p>
    <w:p w14:paraId="6E3061B0">
      <w:pPr>
        <w:spacing w:line="560" w:lineRule="atLeast"/>
        <w:ind w:firstLine="480" w:firstLineChars="200"/>
        <w:jc w:val="left"/>
        <w:rPr>
          <w:rFonts w:hint="eastAsia" w:cs="宋体" w:asciiTheme="minorEastAsia" w:hAnsiTheme="minorEastAsia" w:eastAsiaTheme="minorEastAsia"/>
          <w:bCs/>
          <w:sz w:val="24"/>
        </w:rPr>
      </w:pPr>
    </w:p>
    <w:p w14:paraId="51208516">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1.5  建设内容清单中所列内容的变动，丝毫不会降低或影响合同条款的效力，也不免除承包人按规定的标准进行施工和修复缺陷的责任。</w:t>
      </w:r>
    </w:p>
    <w:p w14:paraId="679E8969">
      <w:pPr>
        <w:spacing w:line="560" w:lineRule="atLeast"/>
        <w:ind w:firstLine="480" w:firstLineChars="200"/>
        <w:jc w:val="left"/>
        <w:rPr>
          <w:rFonts w:hint="eastAsia" w:cs="宋体" w:asciiTheme="minorEastAsia" w:hAnsiTheme="minorEastAsia" w:eastAsiaTheme="minorEastAsia"/>
          <w:bCs/>
          <w:sz w:val="24"/>
        </w:rPr>
      </w:pPr>
    </w:p>
    <w:p w14:paraId="480A7AFA">
      <w:pPr>
        <w:pStyle w:val="4"/>
        <w:spacing w:line="560" w:lineRule="atLeast"/>
        <w:rPr>
          <w:rFonts w:hint="eastAsia" w:cs="宋体" w:asciiTheme="minorEastAsia" w:hAnsiTheme="minorEastAsia" w:eastAsiaTheme="minorEastAsia"/>
          <w:b w:val="0"/>
          <w:bCs/>
          <w:sz w:val="32"/>
          <w:szCs w:val="32"/>
        </w:rPr>
      </w:pPr>
      <w:r>
        <w:rPr>
          <w:rFonts w:hint="eastAsia" w:cs="宋体" w:asciiTheme="minorEastAsia" w:hAnsiTheme="minorEastAsia" w:eastAsiaTheme="minorEastAsia"/>
          <w:b w:val="0"/>
          <w:bCs/>
          <w:sz w:val="32"/>
          <w:szCs w:val="32"/>
        </w:rPr>
        <w:t>二. 参选报价说明</w:t>
      </w:r>
    </w:p>
    <w:p w14:paraId="551CAFFF">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2.1 建设内容清单中的每一子目须填入单价或价格，且只允许有一个报价。</w:t>
      </w:r>
    </w:p>
    <w:p w14:paraId="4898A80C">
      <w:pPr>
        <w:spacing w:line="560" w:lineRule="atLeast"/>
        <w:ind w:firstLine="480" w:firstLineChars="200"/>
        <w:jc w:val="left"/>
        <w:rPr>
          <w:rFonts w:hint="eastAsia" w:cs="宋体" w:asciiTheme="minorEastAsia" w:hAnsiTheme="minorEastAsia" w:eastAsiaTheme="minorEastAsia"/>
          <w:bCs/>
          <w:sz w:val="24"/>
        </w:rPr>
      </w:pPr>
    </w:p>
    <w:p w14:paraId="2373A91B">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2.2 除非合同另有规定，建设内容清单中有标价的单价和总额价均已包括了为实施和完成合同内容所需的劳务、材料、人工、质检（自检）、安装、缺陷修复、管理、保险、税费、利润等一切费用，以及合同明示或暗示的所有责任、义务和一般风险。</w:t>
      </w:r>
    </w:p>
    <w:p w14:paraId="272B34FF">
      <w:pPr>
        <w:spacing w:line="560" w:lineRule="atLeast"/>
        <w:ind w:firstLine="480" w:firstLineChars="200"/>
        <w:jc w:val="left"/>
        <w:rPr>
          <w:rFonts w:hint="eastAsia" w:cs="宋体" w:asciiTheme="minorEastAsia" w:hAnsiTheme="minorEastAsia" w:eastAsiaTheme="minorEastAsia"/>
          <w:bCs/>
          <w:sz w:val="24"/>
        </w:rPr>
      </w:pPr>
    </w:p>
    <w:p w14:paraId="3F9CD95A">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2.4 符合合同条款规定的全部费用应认为已被计入有标价的建设内容清单所列各子目之中，未列子目不予计量的工作，其费用应视为已分摊在本合同工程的有关子目的单价或总额价之中。</w:t>
      </w:r>
    </w:p>
    <w:p w14:paraId="7F4B2CCE">
      <w:pPr>
        <w:spacing w:line="560" w:lineRule="atLeast"/>
        <w:ind w:firstLine="480" w:firstLineChars="200"/>
        <w:jc w:val="left"/>
        <w:rPr>
          <w:rFonts w:hint="eastAsia" w:cs="宋体" w:asciiTheme="minorEastAsia" w:hAnsiTheme="minorEastAsia" w:eastAsiaTheme="minorEastAsia"/>
          <w:bCs/>
          <w:sz w:val="24"/>
        </w:rPr>
      </w:pPr>
    </w:p>
    <w:p w14:paraId="0202D63F">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2.5 承包人用于本合同建设的各类软件、硬件的提供、开发、维护等支付的费用，已包括在建设内容清单的单价与总额价之中。</w:t>
      </w:r>
    </w:p>
    <w:p w14:paraId="41E1E8A8">
      <w:pPr>
        <w:spacing w:line="560" w:lineRule="atLeast"/>
        <w:ind w:firstLine="480" w:firstLineChars="200"/>
        <w:jc w:val="left"/>
        <w:rPr>
          <w:rFonts w:hint="eastAsia" w:cs="宋体" w:asciiTheme="minorEastAsia" w:hAnsiTheme="minorEastAsia" w:eastAsiaTheme="minorEastAsia"/>
          <w:bCs/>
          <w:sz w:val="24"/>
        </w:rPr>
      </w:pPr>
    </w:p>
    <w:p w14:paraId="12A75099">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2.6 建设内容清单中各项金额均以人民币（元）结算。</w:t>
      </w:r>
    </w:p>
    <w:p w14:paraId="37CBC6B6">
      <w:pPr>
        <w:pStyle w:val="4"/>
        <w:spacing w:line="560" w:lineRule="atLeast"/>
        <w:rPr>
          <w:rFonts w:hint="eastAsia" w:cs="宋体" w:asciiTheme="minorEastAsia" w:hAnsiTheme="minorEastAsia" w:eastAsiaTheme="minorEastAsia"/>
          <w:b w:val="0"/>
          <w:bCs/>
          <w:sz w:val="32"/>
          <w:szCs w:val="32"/>
        </w:rPr>
      </w:pPr>
      <w:r>
        <w:rPr>
          <w:rFonts w:hint="eastAsia" w:cs="宋体" w:asciiTheme="minorEastAsia" w:hAnsiTheme="minorEastAsia" w:eastAsiaTheme="minorEastAsia"/>
          <w:b w:val="0"/>
          <w:bCs/>
          <w:sz w:val="32"/>
          <w:szCs w:val="32"/>
        </w:rPr>
        <w:t>三、项目建设内容</w:t>
      </w:r>
    </w:p>
    <w:p w14:paraId="1F9318C0">
      <w:pPr>
        <w:pStyle w:val="48"/>
        <w:spacing w:line="560" w:lineRule="atLeast"/>
        <w:ind w:firstLine="560"/>
        <w:jc w:val="left"/>
        <w:outlineLvl w:val="2"/>
        <w:rPr>
          <w:rFonts w:hint="eastAsia" w:cs="宋体" w:asciiTheme="minorEastAsia" w:hAnsiTheme="minorEastAsia" w:eastAsiaTheme="minorEastAsia"/>
          <w:bCs/>
          <w:sz w:val="28"/>
          <w:szCs w:val="28"/>
        </w:rPr>
      </w:pPr>
      <w:r>
        <w:rPr>
          <w:rFonts w:hint="eastAsia" w:cs="宋体" w:asciiTheme="minorEastAsia" w:hAnsiTheme="minorEastAsia" w:eastAsiaTheme="minorEastAsia"/>
          <w:bCs/>
          <w:kern w:val="0"/>
          <w:sz w:val="28"/>
          <w:szCs w:val="28"/>
        </w:rPr>
        <w:t>1、</w:t>
      </w:r>
      <w:r>
        <w:rPr>
          <w:rFonts w:hint="eastAsia" w:cs="宋体" w:asciiTheme="minorEastAsia" w:hAnsiTheme="minorEastAsia" w:eastAsiaTheme="minorEastAsia"/>
          <w:bCs/>
          <w:sz w:val="28"/>
          <w:szCs w:val="28"/>
        </w:rPr>
        <w:t>业务需求分析</w:t>
      </w:r>
    </w:p>
    <w:p w14:paraId="69292F0D">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1.1过磅无人值守需求分析</w:t>
      </w:r>
    </w:p>
    <w:p w14:paraId="6BFEF37E">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传统的过磅方式主要依赖人工操作，导致了一系列问题。人工操作不仅效率低下，需要耗费大量的时间和人力，而且容易出现错误，影响数据的准确性。此外，人工过磅还存在成本高昂的问题，增加了企业的运营负担。</w:t>
      </w:r>
    </w:p>
    <w:p w14:paraId="2ED00696">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而无人值守过磅的兴起，恰好解决这些问题。它利用自动化和智能化手段，实现了过磅过程的无人化操作，大大提高了效率，减少了错误，降低了成本。本项目需要对280排土场2台已建设完成的地磅实现自动称重数据采集、车牌采集、销售系统对接，实现销售订单、称重计量、车辆管理自动化控制。</w:t>
      </w:r>
    </w:p>
    <w:p w14:paraId="7D996BD9">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本项目仅限于软件开发接口，不含硬件。</w:t>
      </w:r>
    </w:p>
    <w:p w14:paraId="01CB6F5A">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1.2现场实时监控需求分析</w:t>
      </w:r>
    </w:p>
    <w:p w14:paraId="747B8B8F">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矿山工业的迅速发展与征地之间的矛盾，使得矿山排土技术强调运距短、少占土地，在露天开采境界外就近排土，从而导致露天排土场岩土量大而集中。由于排土场由松散的剥离物组成，稳定性差，季节性灾害比较明显，排土工程一直是露天矿生产的薄弱环节。</w:t>
      </w:r>
    </w:p>
    <w:p w14:paraId="42A5F22D">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排土场视频监控的需求主要包括确保安全、提高效率、以及满足法规要求。排土场作为矿山生产的重要组成部分，其安全监控至关重要。通过视频监控，可以实时监控排土场的作业情况，包括土方的卸载、运输和堆放等过程，确保作业安全，防止事故发生。此外，排土场的作业往往涉及大量设备和人员的协同工作，通过视频监控可以优化作业流程，提高工作效率。例如，通过监控可以及时发现设备故障或人员操作不当的情况，从而迅速采取措施，避免延误生产。</w:t>
      </w:r>
    </w:p>
    <w:p w14:paraId="73487140">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同时，排土场的视频监控还需要满足相关的法规和标准要求。例如，根据国家矿山安全监察局和省级应急管理厅的规定，排土场的监控系统需要能够实现数据的联网和远程访问，以确保监管部门能够实时了解排土场的作业情况，提高监管效率。这要求排土场的视频监控系统具备高度的可靠性和稳定性，能够保证数据的准确传输和存储。</w:t>
      </w:r>
    </w:p>
    <w:p w14:paraId="3D2D9A56">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1.3销售管理需求分析</w:t>
      </w:r>
    </w:p>
    <w:p w14:paraId="1986B946">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销售管理系统是企业从接收到客户下达订单开始运作的管理，是紧密买卖双方关系的扩展延伸，即对订单的情况的记录、跟踪、控制和售后情况的反馈，是一种一站式供应链服务。销售管理需求分析涉及多个方面，包括客户管理、车辆管理、交货确认、线上下单查询、销量统计和销售额统计等功能。用户注册与登录、订单录入、交货确认、订单查询查询：订单统计、配送与自提选项、费用统计、业务分析等功能。</w:t>
      </w:r>
    </w:p>
    <w:p w14:paraId="607E78B6">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1.4微信小程序需求分析</w:t>
      </w:r>
    </w:p>
    <w:p w14:paraId="6EE9C67D">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我国已建成全球规模最大、覆盖广泛、技术领先的移动通信网络和光纤网络。伴随各类新技术规模化应用，传统工业迎来了前所未有的数字化转型机遇。无线互联网和社交媒体的发展，移动社交应用的普及和应用程序的发展，人们喜欢在移动设备上使用各类应用。为适应现代信息时代的移动应用，须开发移动端微信小程序应用，方便企业员工和客户通过移动通信设备开展业务。基本需求如下：</w:t>
      </w:r>
    </w:p>
    <w:p w14:paraId="1970AA97">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（1）用户界面：移动社交应用的用户界面应该十分友好，让用户能够轻松快速地完成操作，同时可以在多个平台上运行，为用户提供跨平台的体验。</w:t>
      </w:r>
    </w:p>
    <w:p w14:paraId="124D1C07">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（2）开发类型：方便公司员工移动线上办公和客户线上下单，系统用户分为公司用户和客户用户。</w:t>
      </w:r>
    </w:p>
    <w:p w14:paraId="333902B9">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1.5大屏展示需求分析</w:t>
      </w:r>
    </w:p>
    <w:p w14:paraId="2D2A464E">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可视化大屏的核心是将复杂的数据信息以图表、数字等形式进行展示，帮助用户更直观地理解和分析数据。因此，数据驱动是可视化大屏的首要需求。用户需要通过大屏快速获得准确、及时的数据，并能够对数据进行筛选、排序、比较等操作。同时，大屏上的数据应该能够实时更新，以保证用户获取最新的信息。本项目采用大屏展示边坡数据、销售数据、现场监控视频等数据，供指挥人员研判调度。可视化大屏展示需要适应不同设备和屏幕尺寸，包括电脑、手机、平板等多种终端设备。对于不同尺寸的屏幕，应做到自适应布局，保证数据展示的完整性和美观性。同时，还应考虑不同设备的操作方式和交互方式，以提供更好的用户体验。</w:t>
      </w:r>
    </w:p>
    <w:p w14:paraId="49D7E2AC">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1.6GPS电子围栏需求分析</w:t>
      </w:r>
    </w:p>
    <w:p w14:paraId="7A1FAD22">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随着社会的发展和物联网技术的兴起，物联网的应用日益广泛，物联网技术也给社会带来了便利性与安全性。电子围栏作为一种无线定位技术和保护系统，可利用GPS和GPRS等技术，在地图上规定区域范围之内确定人员、车辆或者物品的位置，并且实行路线记录，位置重定位，超出规定路线报警等。本项目针对矿区内作业车辆进行定位、轨迹记录分析、超界预警、超时预警等监测服务。</w:t>
      </w:r>
    </w:p>
    <w:p w14:paraId="2C41EA96">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1.7与其他系统对接需求分析</w:t>
      </w:r>
    </w:p>
    <w:p w14:paraId="77D1526F">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w:t>
      </w:r>
      <w:r>
        <w:rPr>
          <w:rFonts w:hint="eastAsia" w:cs="宋体" w:asciiTheme="minorEastAsia" w:hAnsiTheme="minorEastAsia" w:eastAsiaTheme="minorEastAsia"/>
          <w:bCs/>
          <w:sz w:val="24"/>
        </w:rPr>
        <w:tab/>
      </w:r>
      <w:r>
        <w:rPr>
          <w:rFonts w:hint="eastAsia" w:cs="宋体" w:asciiTheme="minorEastAsia" w:hAnsiTheme="minorEastAsia" w:eastAsiaTheme="minorEastAsia"/>
          <w:bCs/>
          <w:sz w:val="24"/>
        </w:rPr>
        <w:t>与财务系统对接</w:t>
      </w:r>
    </w:p>
    <w:p w14:paraId="34545347">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项目建设后，信息化管理平台，与财务系统对接，实现数据互通和共享。</w:t>
      </w:r>
    </w:p>
    <w:p w14:paraId="220B9473">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w:t>
      </w:r>
      <w:r>
        <w:rPr>
          <w:rFonts w:hint="eastAsia" w:cs="宋体" w:asciiTheme="minorEastAsia" w:hAnsiTheme="minorEastAsia" w:eastAsiaTheme="minorEastAsia"/>
          <w:bCs/>
          <w:sz w:val="24"/>
        </w:rPr>
        <w:tab/>
      </w:r>
      <w:r>
        <w:rPr>
          <w:rFonts w:hint="eastAsia" w:cs="宋体" w:asciiTheme="minorEastAsia" w:hAnsiTheme="minorEastAsia" w:eastAsiaTheme="minorEastAsia"/>
          <w:bCs/>
          <w:sz w:val="24"/>
        </w:rPr>
        <w:t>与数字海钢系统对接</w:t>
      </w:r>
    </w:p>
    <w:p w14:paraId="314AC876">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项目建设后，信息化管理平台，与数字海钢系统对接，实现数据互通和共享。</w:t>
      </w:r>
    </w:p>
    <w:p w14:paraId="1CF911B0">
      <w:pPr>
        <w:pStyle w:val="5"/>
        <w:tabs>
          <w:tab w:val="left" w:pos="425"/>
          <w:tab w:val="left" w:pos="560"/>
        </w:tabs>
        <w:spacing w:before="240" w:after="240" w:line="560" w:lineRule="atLeast"/>
        <w:ind w:firstLine="560" w:firstLineChars="200"/>
        <w:rPr>
          <w:rFonts w:asciiTheme="minorEastAsia" w:hAnsiTheme="minorEastAsia" w:eastAsiaTheme="minorEastAsia"/>
          <w:b w:val="0"/>
          <w:bCs/>
          <w:szCs w:val="28"/>
        </w:rPr>
      </w:pPr>
      <w:r>
        <w:rPr>
          <w:rFonts w:hint="eastAsia" w:asciiTheme="minorEastAsia" w:hAnsiTheme="minorEastAsia" w:eastAsiaTheme="minorEastAsia"/>
          <w:b w:val="0"/>
          <w:bCs/>
          <w:szCs w:val="28"/>
        </w:rPr>
        <w:t>2、总体建设方案</w:t>
      </w:r>
    </w:p>
    <w:p w14:paraId="1A2856F8">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2.1总体框架</w:t>
      </w:r>
    </w:p>
    <w:p w14:paraId="189D2D41">
      <w:pPr>
        <w:spacing w:line="560" w:lineRule="atLeast"/>
        <w:ind w:firstLine="480" w:firstLineChars="200"/>
        <w:jc w:val="left"/>
        <w:rPr>
          <w:rFonts w:hint="eastAsia" w:cs="宋体" w:asciiTheme="minorEastAsia" w:hAnsiTheme="minorEastAsia" w:eastAsiaTheme="minorEastAsia"/>
          <w:bCs/>
          <w:sz w:val="24"/>
        </w:rPr>
      </w:pPr>
      <w:r>
        <w:rPr>
          <w:rFonts w:cs="宋体" w:asciiTheme="minorEastAsia" w:hAnsiTheme="minorEastAsia" w:eastAsiaTheme="minorEastAsia"/>
          <w:bCs/>
          <w:sz w:val="24"/>
        </w:rPr>
        <w:drawing>
          <wp:inline distT="0" distB="0" distL="0" distR="0">
            <wp:extent cx="5266690" cy="33394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6690" cy="3339465"/>
                    </a:xfrm>
                    <a:prstGeom prst="rect">
                      <a:avLst/>
                    </a:prstGeom>
                    <a:noFill/>
                    <a:ln>
                      <a:noFill/>
                    </a:ln>
                  </pic:spPr>
                </pic:pic>
              </a:graphicData>
            </a:graphic>
          </wp:inline>
        </w:drawing>
      </w:r>
    </w:p>
    <w:p w14:paraId="60DDE330">
      <w:pPr>
        <w:pStyle w:val="17"/>
        <w:spacing w:line="560" w:lineRule="atLeast"/>
        <w:ind w:firstLine="480" w:firstLineChars="200"/>
        <w:jc w:val="left"/>
        <w:rPr>
          <w:rFonts w:hint="eastAsia" w:cs="宋体" w:asciiTheme="minorEastAsia" w:hAnsiTheme="minorEastAsia" w:eastAsiaTheme="minorEastAsia"/>
          <w:bCs/>
          <w:sz w:val="24"/>
        </w:rPr>
      </w:pPr>
    </w:p>
    <w:p w14:paraId="3B619AB4">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2.2技术路线</w:t>
      </w:r>
    </w:p>
    <w:p w14:paraId="2A78C54E">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2.2.1支持SOA标准</w:t>
      </w:r>
    </w:p>
    <w:p w14:paraId="763619F9">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遵循SOA设计原则和技术标准，能够构建标准的政府企业服务总线平台，提供松耦合模式，将业务逻辑和应用逻辑、数据逻辑等分离开，提供一个满足企业的应用集成和信息调解需求的解决方案和产品。</w:t>
      </w:r>
    </w:p>
    <w:p w14:paraId="148F6117">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灵活的消息路由方式，支持基于消息内容的处理和路由；而且还可以执行一系列方式的消息交互，包括了过滤、充实、监视、分发、关联、拆分（一对多）和合成（多对一）等。</w:t>
      </w:r>
    </w:p>
    <w:p w14:paraId="5B8C7E1B">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标准XML数据的格式转换，并且可以通过图形化映射组件、XSLT、客户化Java程序等多种方式实现转换功能。</w:t>
      </w:r>
    </w:p>
    <w:p w14:paraId="37CEA7FA">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非标准XML数据的格式转换，实现XML消息格式和其他数据格式之间的映射，包括了JSON、C Record、JMS、TDS分隔符、平文本、行业专有数据格式等多种格式，同时也要支持自定义数据格式。</w:t>
      </w:r>
    </w:p>
    <w:p w14:paraId="0E0EF751">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2.2.2采用Java的技术路线</w:t>
      </w:r>
    </w:p>
    <w:p w14:paraId="6F329B91">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简单、面向对象、分布式、解释执行、鲁棒、安全、体系结构中立、可移植、高性能、多线程以及动态性。</w:t>
      </w:r>
    </w:p>
    <w:p w14:paraId="0386EBE9">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2.2.3</w:t>
      </w:r>
      <w:r>
        <w:rPr>
          <w:rFonts w:hint="eastAsia" w:cs="宋体" w:asciiTheme="minorEastAsia" w:hAnsiTheme="minorEastAsia" w:eastAsiaTheme="minorEastAsia"/>
          <w:bCs/>
          <w:sz w:val="24"/>
        </w:rPr>
        <w:tab/>
      </w:r>
      <w:r>
        <w:rPr>
          <w:rFonts w:hint="eastAsia" w:cs="宋体" w:asciiTheme="minorEastAsia" w:hAnsiTheme="minorEastAsia" w:eastAsiaTheme="minorEastAsia"/>
          <w:bCs/>
          <w:sz w:val="24"/>
        </w:rPr>
        <w:t>采用B/S的架构技术</w:t>
      </w:r>
    </w:p>
    <w:p w14:paraId="6A150237">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B/S架构作为易升级部署、易维护的特点在本系统得到确认。</w:t>
      </w:r>
    </w:p>
    <w:p w14:paraId="4302D724">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2.2.4</w:t>
      </w:r>
      <w:r>
        <w:rPr>
          <w:rFonts w:hint="eastAsia" w:cs="宋体" w:asciiTheme="minorEastAsia" w:hAnsiTheme="minorEastAsia" w:eastAsiaTheme="minorEastAsia"/>
          <w:bCs/>
          <w:sz w:val="24"/>
        </w:rPr>
        <w:tab/>
      </w:r>
      <w:r>
        <w:rPr>
          <w:rFonts w:hint="eastAsia" w:cs="宋体" w:asciiTheme="minorEastAsia" w:hAnsiTheme="minorEastAsia" w:eastAsiaTheme="minorEastAsia"/>
          <w:bCs/>
          <w:sz w:val="24"/>
        </w:rPr>
        <w:t>采用WEBGL协议</w:t>
      </w:r>
    </w:p>
    <w:p w14:paraId="5F044DC7">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2.2.5</w:t>
      </w:r>
      <w:r>
        <w:rPr>
          <w:rFonts w:hint="eastAsia" w:cs="宋体" w:asciiTheme="minorEastAsia" w:hAnsiTheme="minorEastAsia" w:eastAsiaTheme="minorEastAsia"/>
          <w:bCs/>
          <w:sz w:val="24"/>
        </w:rPr>
        <w:tab/>
      </w:r>
      <w:r>
        <w:rPr>
          <w:rFonts w:hint="eastAsia" w:cs="宋体" w:asciiTheme="minorEastAsia" w:hAnsiTheme="minorEastAsia" w:eastAsiaTheme="minorEastAsia"/>
          <w:bCs/>
          <w:sz w:val="24"/>
        </w:rPr>
        <w:t>采用B/S的架构技术</w:t>
      </w:r>
    </w:p>
    <w:p w14:paraId="4328B2FE">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实现业务流程定制、角色配置、表单设计、表单数据绑定、流程跟踪、超时预警等工作流引擎基本功能。支持主流程里创建子流程、子流程的内容可以自动返回到主流程、子流程的附件跟主流程共享、不同环节不同表单、不同环节可以自动复制数据、并行环节、分流环节、合流环节、系统自动判断跳转相应环节、图形化流程跟踪、逐级退回、任意退回、转交、加办、抄送、附件在线编辑、自动生成打印内容等。</w:t>
      </w:r>
    </w:p>
    <w:p w14:paraId="0B67A31A">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2.2.6采用物联网技术</w:t>
      </w:r>
    </w:p>
    <w:p w14:paraId="21E8D458">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物联网是通信网和互联网的拓展应用和网络延伸，利用感知技术与智能装臵对物理世界进行感知识别，通过网络传输互联,进行计算、处理和知识挖掘，实现人与物、物与物信息交互和无缝链接，达到对物理世界实时控制、精确管理和科学决策目的。</w:t>
      </w:r>
    </w:p>
    <w:p w14:paraId="7C26FAC6">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2.2.7采用移动互联网技术</w:t>
      </w:r>
    </w:p>
    <w:p w14:paraId="7E6F70B7">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移动互联网(Mobile Internet, 简称MI)是一种通过智能移动终端，采用移动无线通信方式获取业务和服务的新兴业务，包含终端、软件和应用三个层面。终端层包括智能手机、平板电脑、电子书、MID等；软件包括操作系统、中间件、数据库和安全软件等。应用层包括休闲娱乐类、工具媒体类、商务财经类等不同应用与服务。</w:t>
      </w:r>
    </w:p>
    <w:p w14:paraId="1444272D">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2.2.8采用移动互联网技术</w:t>
      </w:r>
    </w:p>
    <w:p w14:paraId="159FA538">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GPS主要由三大组成部分：空间部分、地面监控部分和用户设备部分。GPS系统具有高精度、全天候、使用广泛等特点。</w:t>
      </w:r>
    </w:p>
    <w:p w14:paraId="28920DD7">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2.2.9采用GIS技术</w:t>
      </w:r>
    </w:p>
    <w:p w14:paraId="0629C94D">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地理信息系统（Geographic Information System，简称 GIS）是能提供存储、显示、分析地理数据功能的软件。</w:t>
      </w:r>
    </w:p>
    <w:p w14:paraId="0C1C3A6F">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2.2.10 微信小程序</w:t>
      </w:r>
    </w:p>
    <w:p w14:paraId="31FA754A">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开发小程序微信。</w:t>
      </w:r>
    </w:p>
    <w:p w14:paraId="70725DDD">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2.2.11 软硬件平台支持</w:t>
      </w:r>
    </w:p>
    <w:p w14:paraId="6E87DA26">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支持多种硬件服务器，包括华为、浪潮、黄河、曙光、新华三、IBM、HP、SUN等，同时能够提供对32位和64位的部署。</w:t>
      </w:r>
    </w:p>
    <w:p w14:paraId="6CC8CF2D">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支持主流操作系统，包含国产操作系统深度Linux（deepin）、安超OS（国产通用型云操作系统）、优麒麟（UbuntuKylin）、中标麒麟（NeoKylin）、威科乐恩Linux（WiOS）、起点操作系统、凝思磐石安全操作系统、共创Linux、思普操作系统、中科方德桌面操作系统、普华Linux、RT-Thread RTOS、中兴新支点操作系统、一铭操作系统、springLinux、红旗 linux（redflag linux）、Veket Linux、UOS（统信操作系统）、AliOS（阿里云系统）、PhoenixOS（凤凰系统） 、JideOS（技德系统）、HopeEdgeOS、openEuler、鸿蒙 Harmony OS等。</w:t>
      </w:r>
    </w:p>
    <w:p w14:paraId="6EC0D66C">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支持主流数据库，包含国产数TiDB、openGauss、DM、OceanBase、GaussDB、TDSQL、PolarDB、GBase、人大金仓、AnalyticDB、达梦数据库等。</w:t>
      </w:r>
    </w:p>
    <w:p w14:paraId="76EEEEC8">
      <w:pPr>
        <w:spacing w:line="560" w:lineRule="atLeast"/>
        <w:ind w:firstLine="480" w:firstLine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支持Java SDK 8以上标准。</w:t>
      </w:r>
    </w:p>
    <w:p w14:paraId="13992153">
      <w:pPr>
        <w:spacing w:line="560" w:lineRule="atLeast"/>
        <w:ind w:firstLine="480" w:firstLineChars="200"/>
        <w:jc w:val="left"/>
        <w:rPr>
          <w:rFonts w:hint="eastAsia" w:cs="宋体" w:asciiTheme="minorEastAsia" w:hAnsiTheme="minorEastAsia" w:eastAsiaTheme="minorEastAsia"/>
          <w:bCs/>
          <w:sz w:val="24"/>
        </w:rPr>
      </w:pPr>
    </w:p>
    <w:p w14:paraId="474B711B">
      <w:pPr>
        <w:spacing w:line="560" w:lineRule="atLeast"/>
        <w:ind w:firstLine="480" w:firstLineChars="200"/>
        <w:jc w:val="left"/>
        <w:rPr>
          <w:rFonts w:hint="eastAsia" w:cs="宋体" w:asciiTheme="minorEastAsia" w:hAnsiTheme="minorEastAsia" w:eastAsiaTheme="minorEastAsia"/>
          <w:bCs/>
          <w:sz w:val="24"/>
        </w:rPr>
      </w:pPr>
      <w:bookmarkStart w:id="56" w:name="_Toc121924482"/>
      <w:r>
        <w:rPr>
          <w:rFonts w:hint="eastAsia" w:cs="宋体" w:asciiTheme="minorEastAsia" w:hAnsiTheme="minorEastAsia" w:eastAsiaTheme="minorEastAsia"/>
          <w:bCs/>
          <w:sz w:val="24"/>
        </w:rPr>
        <w:t>2.3系统功能</w:t>
      </w:r>
      <w:bookmarkEnd w:id="56"/>
      <w:r>
        <w:rPr>
          <w:rFonts w:hint="eastAsia" w:cs="宋体" w:asciiTheme="minorEastAsia" w:hAnsiTheme="minorEastAsia" w:eastAsiaTheme="minorEastAsia"/>
          <w:bCs/>
          <w:sz w:val="24"/>
        </w:rPr>
        <w:t xml:space="preserve">     </w:t>
      </w:r>
    </w:p>
    <w:p w14:paraId="14967A45">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2.3.1 运销系统</w:t>
      </w:r>
    </w:p>
    <w:p w14:paraId="36ACF72D">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运销系统将过磅管理、销售管理、客户服务等核心业务进行整合，提供一个统一的平台以提高销售和物流的协同效率，实现订单管理、过磅处理、车辆调度、销售统计等功能的全面覆盖。</w:t>
      </w:r>
    </w:p>
    <w:p w14:paraId="24934DCB">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 订单管理与接口</w:t>
      </w:r>
    </w:p>
    <w:p w14:paraId="421C336C">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订单接口：当新的销售订单生成时，系统通过订单接口将订单信息自动发送到过磅系统，进行过磅处理。</w:t>
      </w:r>
    </w:p>
    <w:p w14:paraId="4EED856F">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车辆接口：用于连接销售管理模块和车牌识别系统，实现车辆信息的自动传递和同步，确保车辆信息的准确性。</w:t>
      </w:r>
    </w:p>
    <w:p w14:paraId="0924CCF1">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过磅接口：与地磅系统对接，实现过磅数据的自动传输。当车辆完成过磅时，过磅数据将实时同步至销售管理模块，系统根据过磅数据完成相应的订单处理。</w:t>
      </w:r>
    </w:p>
    <w:p w14:paraId="63D6F651">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 销售与客户管理</w:t>
      </w:r>
    </w:p>
    <w:p w14:paraId="48B4672E">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客户管理：包括客户信息的新增、修改、删除、查询等功能。管理客户的基础信息，如客户编码、联系人、联系方式等。支持客户信息恢复和删除确认功能，防止误操作。</w:t>
      </w:r>
    </w:p>
    <w:p w14:paraId="4BE71CD0">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订单查询与管理：支持按照订单编号、客户、时间段、关键字等多维度查询订单，展示订单详细信息，如数量、金额、交货日期等。</w:t>
      </w:r>
    </w:p>
    <w:p w14:paraId="7C492DE0">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客户订单确认：客户下单后，销售人员可以进行订单确认，检查订单信息的准确性，确保无误后推进后续操作。</w:t>
      </w:r>
    </w:p>
    <w:p w14:paraId="1E71F42C">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交货确认：销售人员可以在系统内发起交货确认操作，包括确认状态、备注、明细查看等。系统支持自定义时间段、材料种类、客户类型等多个筛选条件。</w:t>
      </w:r>
    </w:p>
    <w:p w14:paraId="14B0F0F6">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3. 过磅与销售数据统计</w:t>
      </w:r>
    </w:p>
    <w:p w14:paraId="6318D0F3">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过磅统计：通过系统自动汇总过磅数据，生成生产日报、月报以及销售报表，帮助管理层进行数据分析和决策支持。</w:t>
      </w:r>
    </w:p>
    <w:p w14:paraId="4A14F456">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销量统计：按年、月、周、日等时间维度进行销量统计，支持通过图表、WEBGIS地图等方式进行3D可视化分析，帮助管理人员评估销售趋势、环比分析、同比分析等。</w:t>
      </w:r>
    </w:p>
    <w:p w14:paraId="20EE5CF6">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销售额统计：对不同时间维度、矿点、产品类别等的销售额进行统计分析，支持基于图形、表格的方式呈现销售表现。</w:t>
      </w:r>
    </w:p>
    <w:p w14:paraId="73711B69">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订单处理与跟踪</w:t>
      </w:r>
    </w:p>
    <w:p w14:paraId="55358760">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订单处理：系统自动处理从移动端APP和客户子系统传来的订单，处理操作包括订单保存、标记已确认、生产部将订单发送至过磅系统、完成过磅数据接收后标记订单完成。订单确认后，将进入后续的财务结算和交货处理流程。</w:t>
      </w:r>
    </w:p>
    <w:p w14:paraId="01974E03">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车辆管理</w:t>
      </w:r>
    </w:p>
    <w:p w14:paraId="24987E4A">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车辆状态与分析：实时统计矿区内在运行和空闲车辆数量及占比，为调度人员提供车辆使用情况分析。</w:t>
      </w:r>
    </w:p>
    <w:p w14:paraId="0931B561">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车辆定位与轨迹分析：通过定位系统，在地图上实时显示每辆车辆的轨迹和位置，支持历史轨迹回放与优化运输路线。</w:t>
      </w:r>
    </w:p>
    <w:p w14:paraId="5307F6B5">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客户子系统与自助服务</w:t>
      </w:r>
    </w:p>
    <w:p w14:paraId="7390633E">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线上下单功能：客户通过系统进行在线下单，提供订单金额、物品类型、数量、交货日期、付款日期等信息。客户可根据需要修改或确认订单。</w:t>
      </w:r>
    </w:p>
    <w:p w14:paraId="053C2FD2">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订单确认与查询：客户可以查询和确认订单，查看订单状态和明细信息。订单状态包括已下单、已接收、已发货、已完成等。</w:t>
      </w:r>
    </w:p>
    <w:p w14:paraId="71034D26">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交货确认：客户可以对交货细节（物品类型、重量等）进行确认，支持备注和查询功能。</w:t>
      </w:r>
    </w:p>
    <w:p w14:paraId="26B39E0C">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费用统计与分析：系统统计并展示客户的各类费用支出情况，包括购买商品或服务的费用、充值费用等。</w:t>
      </w:r>
    </w:p>
    <w:p w14:paraId="53C2F3EC">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数据管理与安全</w:t>
      </w:r>
    </w:p>
    <w:p w14:paraId="79147C19">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数据存储与备份：运销系统支持订单数据、车辆信息等的保存、备份与加密。数据按天备份，保证数据安全性。6个月之前的数据采用离线方式备份。</w:t>
      </w:r>
    </w:p>
    <w:p w14:paraId="21E9C358">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权限管理与用户管理：系统支持用户信息的维护管理，包括用户新增、编辑、删除、查询、权限配置等功能，确保不同角色的操作权限得到合理分配。</w:t>
      </w:r>
    </w:p>
    <w:p w14:paraId="45773A0D">
      <w:pPr>
        <w:spacing w:line="560" w:lineRule="atLeast"/>
        <w:ind w:firstLine="480" w:firstLineChars="200"/>
        <w:jc w:val="left"/>
        <w:rPr>
          <w:rFonts w:hint="eastAsia" w:cs="宋体" w:asciiTheme="minorEastAsia" w:hAnsiTheme="minorEastAsia" w:eastAsiaTheme="minorEastAsia"/>
          <w:bCs/>
          <w:sz w:val="24"/>
        </w:rPr>
      </w:pPr>
    </w:p>
    <w:p w14:paraId="73F92BD9">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2.3.2视频监控系统</w:t>
      </w:r>
    </w:p>
    <w:p w14:paraId="0BCEF29B">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通过视频监控和智能分析，实现对矿区生产现场、出入口、关键区域等的全方位监控与管理。系统整合多种视频数据源，支持实时查看，为管理层提供及时的决策支持。</w:t>
      </w:r>
    </w:p>
    <w:p w14:paraId="1D3DDC35">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1．监控点接入与管理</w:t>
      </w:r>
    </w:p>
    <w:p w14:paraId="6935A40F">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全覆盖监控：系统将矿区内所有重要区域的视频监控接入到统一平台，包括矿山出入口、生产区、运输线路、仓库、设备设施等关键区域。每个监控点的视频流可实时传输到IOC平台，确保现场情况的实时掌握。</w:t>
      </w:r>
    </w:p>
    <w:p w14:paraId="49E3C63D">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2.视频数据集成：通过高效的视频接入与数据融合技术，系统支持多种视频信号的集成，无论是传统监控摄像头还是云视频设备，均能无缝接入并集中展示。</w:t>
      </w:r>
    </w:p>
    <w:p w14:paraId="4238F67D">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非标设备接入与集成</w:t>
      </w:r>
    </w:p>
    <w:p w14:paraId="1E54FB92">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非标设备接入支持：系统支持接入不同品牌和类型的非标设备，如萤石云、天翼云眼等视频监控设备。通过标准化接口与协议，确保这些设备的视频数据能够流畅接入并与平台进行实时交互。</w:t>
      </w:r>
    </w:p>
    <w:p w14:paraId="3D43C191">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3.多设备兼容：无论是视频流的编码格式、分辨率，还是存储设备的要求，系统均能进行适配和优化，实现多种设备的数据兼容和集成，提升视频监控系统的可扩展性和灵活性。</w:t>
      </w:r>
    </w:p>
    <w:p w14:paraId="6B65B3FC">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4.监控可视化与大屏展示</w:t>
      </w:r>
    </w:p>
    <w:p w14:paraId="37B6C25C">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大屏可视化管理：视频监控系统支持与大屏展示平台集成，实时展示监控视频流和监控点状态。通过“一张图”的方式，管理人员可以在大屏上全面掌握矿区的生产和安全状况。</w:t>
      </w:r>
    </w:p>
    <w:p w14:paraId="427E9304">
      <w:pPr>
        <w:spacing w:line="560" w:lineRule="atLeast"/>
        <w:ind w:firstLine="480" w:firstLineChars="200"/>
        <w:jc w:val="left"/>
        <w:rPr>
          <w:rFonts w:hint="eastAsia" w:cs="宋体" w:asciiTheme="minorEastAsia" w:hAnsiTheme="minorEastAsia" w:eastAsiaTheme="minorEastAsia"/>
          <w:bCs/>
          <w:sz w:val="24"/>
        </w:rPr>
      </w:pPr>
    </w:p>
    <w:p w14:paraId="27964F0C">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2.3.3移动端程序</w:t>
      </w:r>
    </w:p>
    <w:p w14:paraId="60A71F0D">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2.3.3.1企业移动端</w:t>
      </w:r>
    </w:p>
    <w:p w14:paraId="065F2D2A">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移动端程序是为了提供公司用户便捷的业务管理功能，包含地磅管理、销售管理、订单查询、数据统计、车辆管理等模块。以下是各功能模块的具体开发要求：</w:t>
      </w:r>
    </w:p>
    <w:p w14:paraId="52C610E2">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地磅管理:</w:t>
      </w:r>
    </w:p>
    <w:p w14:paraId="64A0C981">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过磅信息查询：提供用户通过移动端查询过磅信息的功能。查询的内容包括过磅时间、货物类型、重量、车牌号码、订单编号、客户名称、下单时间等。</w:t>
      </w:r>
    </w:p>
    <w:p w14:paraId="46950A52">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地磅状态查询：功能描述：允许用户查看各地磅当前的工作状态，如“已完成”、“未开始”、“过磅中”、“异常”等。</w:t>
      </w:r>
    </w:p>
    <w:p w14:paraId="5EB9B4D8">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 销售管理</w:t>
      </w:r>
    </w:p>
    <w:p w14:paraId="771AEDC6">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线上下单：可以通过移动端APP进行线上下单，填写订单信息（包括订单金额、物品类型、数量、交货日期、付款日期等）。</w:t>
      </w:r>
    </w:p>
    <w:p w14:paraId="0465FB7D">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客户订单查询：可以查询已提交订单的详细信息，支持按照日期、客户名称、物品类型等多维度进行查询。</w:t>
      </w:r>
    </w:p>
    <w:p w14:paraId="576D9C03">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3. 数据统计与分析</w:t>
      </w:r>
    </w:p>
    <w:p w14:paraId="5EF2C3D6">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客户订单统计：提供订单数据的统计与分析功能，支持按日期、时间段、客户、货物类型等维度的分析。</w:t>
      </w:r>
    </w:p>
    <w:p w14:paraId="2F174B7F">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销量统计与销售额统计：提供按时间、客户、货物类型、销售员等维度的销量和销售额统计功能。</w:t>
      </w:r>
    </w:p>
    <w:p w14:paraId="2BB81FA1">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4. 车辆管理</w:t>
      </w:r>
    </w:p>
    <w:p w14:paraId="55519121">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车辆实时定位：提供车辆当前位置的地图定位功能，显示车辆在地图上的实时位置。</w:t>
      </w:r>
    </w:p>
    <w:p w14:paraId="7BDCAC27">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车辆轨迹查询：用户可以查询车辆的历史轨迹。</w:t>
      </w:r>
    </w:p>
    <w:p w14:paraId="3E05DDE1">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车辆状态查询;：提供查看车辆当前工作状态的功能，包括正常、定位中、无法连接卫星等状态。</w:t>
      </w:r>
    </w:p>
    <w:p w14:paraId="021DDF4D">
      <w:pPr>
        <w:spacing w:line="560" w:lineRule="atLeast"/>
        <w:ind w:firstLine="480" w:firstLineChars="200"/>
        <w:jc w:val="left"/>
        <w:rPr>
          <w:rFonts w:hint="eastAsia" w:cs="宋体" w:asciiTheme="minorEastAsia" w:hAnsiTheme="minorEastAsia" w:eastAsiaTheme="minorEastAsia"/>
          <w:bCs/>
          <w:sz w:val="24"/>
        </w:rPr>
      </w:pPr>
    </w:p>
    <w:p w14:paraId="4F0C494A">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2.3.3.1 客户移动端</w:t>
      </w:r>
    </w:p>
    <w:p w14:paraId="25647E31">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 客户订单管理</w:t>
      </w:r>
    </w:p>
    <w:p w14:paraId="1B49F445">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线上下单：提供客户自助在线下单功能，支持订单信息填写、提交和确认。</w:t>
      </w:r>
    </w:p>
    <w:p w14:paraId="7F2CC611">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客户订单确认：客户可对自己的订单进行确认，检查并确认订单内容，执行确认后不支持修改。</w:t>
      </w:r>
    </w:p>
    <w:p w14:paraId="73B7738F">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订单查询：客户可以查询订单状态、订单金额、交货日期、付款日期等信息。</w:t>
      </w:r>
    </w:p>
    <w:p w14:paraId="5FD918AD">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 统计与费用管理</w:t>
      </w:r>
    </w:p>
    <w:p w14:paraId="26949C0F">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订单统计：提供订单统计功能，支持按日期、客户、货物类型等维度进行统计。</w:t>
      </w:r>
    </w:p>
    <w:p w14:paraId="2E33C4EA">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费用统计：客户可以查询并统计各类费用，包括商品费用、服务费用等。</w:t>
      </w:r>
    </w:p>
    <w:p w14:paraId="0AE47136">
      <w:pPr>
        <w:pStyle w:val="48"/>
        <w:spacing w:line="560" w:lineRule="atLeast"/>
        <w:ind w:firstLine="480"/>
        <w:rPr>
          <w:rFonts w:asciiTheme="minorEastAsia" w:hAnsiTheme="minorEastAsia" w:eastAsiaTheme="minorEastAsia"/>
          <w:bCs/>
        </w:rPr>
      </w:pPr>
    </w:p>
    <w:p w14:paraId="4A793BB9">
      <w:pPr>
        <w:spacing w:line="560" w:lineRule="atLeast"/>
        <w:ind w:firstLine="420" w:firstLineChars="200"/>
        <w:jc w:val="left"/>
        <w:rPr>
          <w:rFonts w:cs="宋体" w:asciiTheme="minorEastAsia" w:hAnsiTheme="minorEastAsia" w:eastAsiaTheme="minorEastAsia"/>
          <w:bCs/>
          <w:sz w:val="24"/>
        </w:rPr>
      </w:pPr>
      <w:r>
        <w:rPr>
          <w:rFonts w:hint="eastAsia" w:asciiTheme="minorEastAsia" w:hAnsiTheme="minorEastAsia" w:eastAsiaTheme="minorEastAsia"/>
          <w:bCs/>
        </w:rPr>
        <w:t xml:space="preserve">2.3.4 </w:t>
      </w:r>
      <w:r>
        <w:rPr>
          <w:rFonts w:cs="宋体" w:asciiTheme="minorEastAsia" w:hAnsiTheme="minorEastAsia" w:eastAsiaTheme="minorEastAsia"/>
          <w:bCs/>
          <w:sz w:val="24"/>
        </w:rPr>
        <w:t>电子围栏</w:t>
      </w:r>
    </w:p>
    <w:p w14:paraId="27F5129B">
      <w:pPr>
        <w:spacing w:line="560" w:lineRule="atLeast"/>
        <w:ind w:firstLine="480" w:firstLineChars="200"/>
        <w:jc w:val="left"/>
        <w:rPr>
          <w:rFonts w:cs="宋体" w:asciiTheme="minorEastAsia" w:hAnsiTheme="minorEastAsia" w:eastAsiaTheme="minorEastAsia"/>
          <w:bCs/>
          <w:sz w:val="24"/>
        </w:rPr>
      </w:pPr>
      <w:r>
        <w:rPr>
          <w:rFonts w:cs="宋体" w:asciiTheme="minorEastAsia" w:hAnsiTheme="minorEastAsia" w:eastAsiaTheme="minorEastAsia"/>
          <w:bCs/>
          <w:sz w:val="24"/>
        </w:rPr>
        <w:t>系统利用地理围栏技术，在特定区域内实时监控生产设备、车辆等移动目标的活动。当设备或车辆越过设定的边界时，系统将自动触发预警并提供相关信息。该系统在提升安全管理、设备监控、物流调度等方面具有重要作用。</w:t>
      </w:r>
    </w:p>
    <w:p w14:paraId="0D736E23">
      <w:pPr>
        <w:spacing w:line="560" w:lineRule="atLeast"/>
        <w:ind w:firstLine="480" w:firstLineChars="200"/>
        <w:jc w:val="left"/>
        <w:rPr>
          <w:rFonts w:cs="宋体" w:asciiTheme="minorEastAsia" w:hAnsiTheme="minorEastAsia" w:eastAsiaTheme="minorEastAsia"/>
          <w:bCs/>
          <w:sz w:val="24"/>
        </w:rPr>
      </w:pPr>
      <w:r>
        <w:rPr>
          <w:rFonts w:cs="宋体" w:asciiTheme="minorEastAsia" w:hAnsiTheme="minorEastAsia" w:eastAsiaTheme="minorEastAsia"/>
          <w:bCs/>
          <w:sz w:val="24"/>
        </w:rPr>
        <w:t>1. 越界预警：实时监控设备和车辆的当前位置，当它们超出预定工作区域（即电子围栏区域）时，系统会自动触发越界预警，并立即将预警信息发送给指定人员（如管理人员、调度员等）。</w:t>
      </w:r>
    </w:p>
    <w:p w14:paraId="15AC4039">
      <w:pPr>
        <w:spacing w:line="560" w:lineRule="atLeast"/>
        <w:ind w:firstLine="480" w:firstLineChars="200"/>
        <w:jc w:val="left"/>
        <w:rPr>
          <w:rFonts w:cs="宋体" w:asciiTheme="minorEastAsia" w:hAnsiTheme="minorEastAsia" w:eastAsiaTheme="minorEastAsia"/>
          <w:bCs/>
          <w:sz w:val="24"/>
        </w:rPr>
      </w:pPr>
      <w:r>
        <w:rPr>
          <w:rFonts w:cs="宋体" w:asciiTheme="minorEastAsia" w:hAnsiTheme="minorEastAsia" w:eastAsiaTheme="minorEastAsia"/>
          <w:bCs/>
          <w:sz w:val="24"/>
        </w:rPr>
        <w:t>2. 预警信息查询：提供用户查询历史预警信息的功能。管理人员可以根据时间、设备、车辆等条件查询和查看以往的越界预警记录。</w:t>
      </w:r>
    </w:p>
    <w:p w14:paraId="0877E302">
      <w:pPr>
        <w:spacing w:line="560" w:lineRule="atLeast"/>
        <w:ind w:firstLine="480" w:firstLineChars="200"/>
        <w:jc w:val="left"/>
        <w:rPr>
          <w:rFonts w:cs="宋体" w:asciiTheme="minorEastAsia" w:hAnsiTheme="minorEastAsia" w:eastAsiaTheme="minorEastAsia"/>
          <w:bCs/>
          <w:sz w:val="24"/>
        </w:rPr>
      </w:pPr>
      <w:r>
        <w:rPr>
          <w:rFonts w:cs="宋体" w:asciiTheme="minorEastAsia" w:hAnsiTheme="minorEastAsia" w:eastAsiaTheme="minorEastAsia"/>
          <w:bCs/>
          <w:sz w:val="24"/>
        </w:rPr>
        <w:t>3. 预警信息统计：统计历史预警信息，生成预警分析报表，帮助管理人员了解越界事件的频率、区域分布、设备或车辆的安全情况。</w:t>
      </w:r>
    </w:p>
    <w:p w14:paraId="54B328F2">
      <w:pPr>
        <w:spacing w:line="560" w:lineRule="atLeast"/>
        <w:ind w:firstLine="480" w:firstLineChars="200"/>
        <w:jc w:val="left"/>
        <w:rPr>
          <w:rFonts w:hint="eastAsia" w:cs="宋体" w:asciiTheme="minorEastAsia" w:hAnsiTheme="minorEastAsia" w:eastAsiaTheme="minorEastAsia"/>
          <w:bCs/>
          <w:kern w:val="2"/>
          <w:sz w:val="24"/>
          <w:szCs w:val="24"/>
          <w:lang w:val="en-US" w:eastAsia="zh-CN" w:bidi="ar-SA"/>
        </w:rPr>
      </w:pPr>
      <w:r>
        <w:rPr>
          <w:rFonts w:cs="宋体" w:asciiTheme="minorEastAsia" w:hAnsiTheme="minorEastAsia" w:eastAsiaTheme="minorEastAsia"/>
          <w:bCs/>
          <w:sz w:val="24"/>
        </w:rPr>
        <w:t>4. 添加及删除电子围栏：系统支持用户根据需要设置新的电子围栏区域，或删除已经不再需要的电子围栏区域。管理员可以通过地图界面直观地添加、删除围栏区域，并设定围栏的大小、形状（如圆形、矩形等）和触发条件。</w:t>
      </w:r>
    </w:p>
    <w:p w14:paraId="77DBD127">
      <w:pPr>
        <w:spacing w:line="560" w:lineRule="atLeast"/>
        <w:rPr>
          <w:rFonts w:cs="宋体" w:asciiTheme="minorEastAsia" w:hAnsiTheme="minorEastAsia" w:eastAsiaTheme="minorEastAsia"/>
          <w:bCs/>
          <w:kern w:val="2"/>
          <w:sz w:val="24"/>
          <w:szCs w:val="24"/>
          <w:lang w:val="en-US" w:eastAsia="zh-CN" w:bidi="ar-SA"/>
        </w:rPr>
      </w:pPr>
      <w:r>
        <w:rPr>
          <w:rFonts w:hint="eastAsia" w:cs="宋体" w:asciiTheme="minorEastAsia" w:hAnsiTheme="minorEastAsia" w:eastAsiaTheme="minorEastAsia"/>
          <w:bCs/>
          <w:kern w:val="2"/>
          <w:sz w:val="24"/>
          <w:szCs w:val="24"/>
          <w:lang w:val="en-US" w:eastAsia="zh-CN" w:bidi="ar-SA"/>
        </w:rPr>
        <w:t>2.3.5 IOC 运营中心</w:t>
      </w:r>
    </w:p>
    <w:p w14:paraId="46F3BC74">
      <w:pPr>
        <w:spacing w:line="560" w:lineRule="atLeast"/>
        <w:ind w:firstLine="482" w:firstLineChars="201"/>
        <w:rPr>
          <w:rFonts w:cs="宋体" w:asciiTheme="minorEastAsia" w:hAnsiTheme="minorEastAsia" w:eastAsiaTheme="minorEastAsia"/>
          <w:bCs/>
          <w:kern w:val="2"/>
          <w:sz w:val="24"/>
          <w:szCs w:val="24"/>
          <w:lang w:val="en-US" w:eastAsia="zh-CN" w:bidi="ar-SA"/>
        </w:rPr>
      </w:pPr>
      <w:r>
        <w:rPr>
          <w:rFonts w:cs="宋体" w:asciiTheme="minorEastAsia" w:hAnsiTheme="minorEastAsia" w:eastAsiaTheme="minorEastAsia"/>
          <w:bCs/>
          <w:kern w:val="2"/>
          <w:sz w:val="24"/>
          <w:szCs w:val="24"/>
          <w:lang w:val="en-US" w:eastAsia="zh-CN" w:bidi="ar-SA"/>
        </w:rPr>
        <w:t>1. 综合管控地图</w:t>
      </w:r>
    </w:p>
    <w:p w14:paraId="0F918E94">
      <w:pPr>
        <w:spacing w:line="560" w:lineRule="atLeast"/>
        <w:ind w:firstLine="482" w:firstLineChars="201"/>
        <w:rPr>
          <w:rFonts w:cs="宋体" w:asciiTheme="minorEastAsia" w:hAnsiTheme="minorEastAsia" w:eastAsiaTheme="minorEastAsia"/>
          <w:bCs/>
          <w:kern w:val="2"/>
          <w:sz w:val="24"/>
          <w:szCs w:val="24"/>
          <w:lang w:val="en-US" w:eastAsia="zh-CN" w:bidi="ar-SA"/>
        </w:rPr>
      </w:pPr>
      <w:r>
        <w:rPr>
          <w:rFonts w:cs="宋体" w:asciiTheme="minorEastAsia" w:hAnsiTheme="minorEastAsia" w:eastAsiaTheme="minorEastAsia"/>
          <w:bCs/>
          <w:kern w:val="2"/>
          <w:sz w:val="24"/>
          <w:szCs w:val="24"/>
          <w:lang w:val="en-US" w:eastAsia="zh-CN" w:bidi="ar-SA"/>
        </w:rPr>
        <w:t>基于GIS（地理信息系统）技术，集成矿区各类业务数据，通过统一的“管控地图”展示矿区资源和设施的地理信息。系统支持多种数据类型的整合与动态更新，实时呈现矿点位置、基础设施、智能设备、运输路线等关键信息。通过“一张图”的方式，管理者能够快速了解矿区全貌，提升指挥中心的全局掌控能力，支持决策者进行即时调度与资源优化。</w:t>
      </w:r>
    </w:p>
    <w:p w14:paraId="5E176E79">
      <w:pPr>
        <w:spacing w:line="560" w:lineRule="atLeast"/>
        <w:ind w:firstLine="482" w:firstLineChars="201"/>
        <w:rPr>
          <w:rFonts w:cs="宋体" w:asciiTheme="minorEastAsia" w:hAnsiTheme="minorEastAsia" w:eastAsiaTheme="minorEastAsia"/>
          <w:bCs/>
          <w:kern w:val="2"/>
          <w:sz w:val="24"/>
          <w:szCs w:val="24"/>
          <w:lang w:val="en-US" w:eastAsia="zh-CN" w:bidi="ar-SA"/>
        </w:rPr>
      </w:pPr>
      <w:r>
        <w:rPr>
          <w:rFonts w:cs="宋体" w:asciiTheme="minorEastAsia" w:hAnsiTheme="minorEastAsia" w:eastAsiaTheme="minorEastAsia"/>
          <w:bCs/>
          <w:kern w:val="2"/>
          <w:sz w:val="24"/>
          <w:szCs w:val="24"/>
          <w:lang w:val="en-US" w:eastAsia="zh-CN" w:bidi="ar-SA"/>
        </w:rPr>
        <w:t>2. 资源管理与监控</w:t>
      </w:r>
    </w:p>
    <w:p w14:paraId="43F60654">
      <w:pPr>
        <w:spacing w:line="560" w:lineRule="atLeast"/>
        <w:ind w:firstLine="482" w:firstLineChars="201"/>
        <w:rPr>
          <w:rFonts w:cs="宋体" w:asciiTheme="minorEastAsia" w:hAnsiTheme="minorEastAsia" w:eastAsiaTheme="minorEastAsia"/>
          <w:bCs/>
          <w:kern w:val="2"/>
          <w:sz w:val="24"/>
          <w:szCs w:val="24"/>
          <w:lang w:val="en-US" w:eastAsia="zh-CN" w:bidi="ar-SA"/>
        </w:rPr>
      </w:pPr>
      <w:r>
        <w:rPr>
          <w:rFonts w:cs="宋体" w:asciiTheme="minorEastAsia" w:hAnsiTheme="minorEastAsia" w:eastAsiaTheme="minorEastAsia"/>
          <w:bCs/>
          <w:kern w:val="2"/>
          <w:sz w:val="24"/>
          <w:szCs w:val="24"/>
          <w:lang w:val="en-US" w:eastAsia="zh-CN" w:bidi="ar-SA"/>
        </w:rPr>
        <w:t>系统统计并展示矿区各类资源信息，包括矿点、基础设施、应急资源和智能设备等。所有资源数据通过精确的地理位置标注，支持实时查看详细信息。资源管理模块将通过可视化的方式，帮助管理人员高效定位并监控矿区关键资源，确保资源的优化配置与实时跟踪。</w:t>
      </w:r>
    </w:p>
    <w:p w14:paraId="505D8D58">
      <w:pPr>
        <w:spacing w:line="560" w:lineRule="atLeast"/>
        <w:ind w:firstLine="482" w:firstLineChars="201"/>
        <w:rPr>
          <w:rFonts w:cs="宋体" w:asciiTheme="minorEastAsia" w:hAnsiTheme="minorEastAsia" w:eastAsiaTheme="minorEastAsia"/>
          <w:bCs/>
          <w:kern w:val="2"/>
          <w:sz w:val="24"/>
          <w:szCs w:val="24"/>
          <w:lang w:val="en-US" w:eastAsia="zh-CN" w:bidi="ar-SA"/>
        </w:rPr>
      </w:pPr>
      <w:r>
        <w:rPr>
          <w:rFonts w:cs="宋体" w:asciiTheme="minorEastAsia" w:hAnsiTheme="minorEastAsia" w:eastAsiaTheme="minorEastAsia"/>
          <w:bCs/>
          <w:kern w:val="2"/>
          <w:sz w:val="24"/>
          <w:szCs w:val="24"/>
          <w:lang w:val="en-US" w:eastAsia="zh-CN" w:bidi="ar-SA"/>
        </w:rPr>
        <w:t>3. 资源点位精准标注</w:t>
      </w:r>
    </w:p>
    <w:p w14:paraId="30045817">
      <w:pPr>
        <w:spacing w:line="560" w:lineRule="atLeast"/>
        <w:ind w:firstLine="482" w:firstLineChars="201"/>
        <w:rPr>
          <w:rFonts w:cs="宋体" w:asciiTheme="minorEastAsia" w:hAnsiTheme="minorEastAsia" w:eastAsiaTheme="minorEastAsia"/>
          <w:bCs/>
          <w:kern w:val="2"/>
          <w:sz w:val="24"/>
          <w:szCs w:val="24"/>
          <w:lang w:val="en-US" w:eastAsia="zh-CN" w:bidi="ar-SA"/>
        </w:rPr>
      </w:pPr>
      <w:r>
        <w:rPr>
          <w:rFonts w:cs="宋体" w:asciiTheme="minorEastAsia" w:hAnsiTheme="minorEastAsia" w:eastAsiaTheme="minorEastAsia"/>
          <w:bCs/>
          <w:kern w:val="2"/>
          <w:sz w:val="24"/>
          <w:szCs w:val="24"/>
          <w:lang w:val="en-US" w:eastAsia="zh-CN" w:bidi="ar-SA"/>
        </w:rPr>
        <w:t>通过精确的地理定位技术，系统能够将矿区内各类资源（如矿点、基础设施、应急资源、智能设备）进行准确的点位标注。所有涉矿资源都在“管控地图”中综合展示，使用不同的颜色、图标、形状等方式进行区分，以便管理者一目了然地获取资源分布信息并做出及时决策。该功能支持动态监控和资源调度，优化矿区生产和管理流程。</w:t>
      </w:r>
    </w:p>
    <w:p w14:paraId="31B42C25">
      <w:pPr>
        <w:spacing w:line="560" w:lineRule="atLeast"/>
        <w:ind w:firstLine="482" w:firstLineChars="201"/>
        <w:rPr>
          <w:rFonts w:cs="宋体" w:asciiTheme="minorEastAsia" w:hAnsiTheme="minorEastAsia" w:eastAsiaTheme="minorEastAsia"/>
          <w:bCs/>
          <w:kern w:val="2"/>
          <w:sz w:val="24"/>
          <w:szCs w:val="24"/>
          <w:lang w:val="en-US" w:eastAsia="zh-CN" w:bidi="ar-SA"/>
        </w:rPr>
      </w:pPr>
      <w:r>
        <w:rPr>
          <w:rFonts w:cs="宋体" w:asciiTheme="minorEastAsia" w:hAnsiTheme="minorEastAsia" w:eastAsiaTheme="minorEastAsia"/>
          <w:bCs/>
          <w:kern w:val="2"/>
          <w:sz w:val="24"/>
          <w:szCs w:val="24"/>
          <w:lang w:val="en-US" w:eastAsia="zh-CN" w:bidi="ar-SA"/>
        </w:rPr>
        <w:t>4. 实时视频监控与管理</w:t>
      </w:r>
    </w:p>
    <w:p w14:paraId="680E4D59">
      <w:pPr>
        <w:spacing w:line="560" w:lineRule="atLeast"/>
        <w:ind w:firstLine="482" w:firstLineChars="201"/>
        <w:rPr>
          <w:rFonts w:cs="宋体" w:asciiTheme="minorEastAsia" w:hAnsiTheme="minorEastAsia" w:eastAsiaTheme="minorEastAsia"/>
          <w:bCs/>
          <w:kern w:val="2"/>
          <w:sz w:val="24"/>
          <w:szCs w:val="24"/>
          <w:lang w:val="en-US" w:eastAsia="zh-CN" w:bidi="ar-SA"/>
        </w:rPr>
      </w:pPr>
      <w:r>
        <w:rPr>
          <w:rFonts w:cs="宋体" w:asciiTheme="minorEastAsia" w:hAnsiTheme="minorEastAsia" w:eastAsiaTheme="minorEastAsia"/>
          <w:bCs/>
          <w:kern w:val="2"/>
          <w:sz w:val="24"/>
          <w:szCs w:val="24"/>
          <w:lang w:val="en-US" w:eastAsia="zh-CN" w:bidi="ar-SA"/>
        </w:rPr>
        <w:t>集成统一的视频接入接口，实时获取矿区各前端监控点的视频数据。系统支持视频点位分布的可视化展示，通过全局视图让管理者对矿区现场情况进行有效监控。视频管理功能不仅实现日常监管，还能根据需要对特定区域进行视频回放和事件追踪，为应急管理和风险预警提供数据支撑。</w:t>
      </w:r>
    </w:p>
    <w:p w14:paraId="07BA3B3C">
      <w:pPr>
        <w:spacing w:line="560" w:lineRule="atLeast"/>
        <w:ind w:firstLine="482" w:firstLineChars="201"/>
        <w:rPr>
          <w:rFonts w:cs="宋体" w:asciiTheme="minorEastAsia" w:hAnsiTheme="minorEastAsia" w:eastAsiaTheme="minorEastAsia"/>
          <w:bCs/>
          <w:kern w:val="2"/>
          <w:sz w:val="24"/>
          <w:szCs w:val="24"/>
          <w:lang w:val="en-US" w:eastAsia="zh-CN" w:bidi="ar-SA"/>
        </w:rPr>
      </w:pPr>
      <w:r>
        <w:rPr>
          <w:rFonts w:cs="宋体" w:asciiTheme="minorEastAsia" w:hAnsiTheme="minorEastAsia" w:eastAsiaTheme="minorEastAsia"/>
          <w:bCs/>
          <w:kern w:val="2"/>
          <w:sz w:val="24"/>
          <w:szCs w:val="24"/>
          <w:lang w:val="en-US" w:eastAsia="zh-CN" w:bidi="ar-SA"/>
        </w:rPr>
        <w:t>5. 车辆管理与调度</w:t>
      </w:r>
    </w:p>
    <w:p w14:paraId="0E7F0F7E">
      <w:pPr>
        <w:numPr>
          <w:ilvl w:val="0"/>
          <w:numId w:val="4"/>
        </w:numPr>
        <w:spacing w:line="560" w:lineRule="atLeast"/>
        <w:ind w:firstLine="482" w:firstLineChars="201"/>
        <w:rPr>
          <w:rFonts w:cs="宋体" w:asciiTheme="minorEastAsia" w:hAnsiTheme="minorEastAsia" w:eastAsiaTheme="minorEastAsia"/>
          <w:bCs/>
          <w:kern w:val="2"/>
          <w:sz w:val="24"/>
          <w:szCs w:val="24"/>
          <w:lang w:val="en-US" w:eastAsia="zh-CN" w:bidi="ar-SA"/>
        </w:rPr>
      </w:pPr>
      <w:r>
        <w:rPr>
          <w:rFonts w:cs="宋体" w:asciiTheme="minorEastAsia" w:hAnsiTheme="minorEastAsia" w:eastAsiaTheme="minorEastAsia"/>
          <w:bCs/>
          <w:kern w:val="2"/>
          <w:sz w:val="24"/>
          <w:szCs w:val="24"/>
          <w:lang w:val="en-US" w:eastAsia="zh-CN" w:bidi="ar-SA"/>
        </w:rPr>
        <w:t>车辆状态分析：系统实时统计矿区内在运营和空闲车辆的数量与占比，支持车辆管理决策。</w:t>
      </w:r>
    </w:p>
    <w:p w14:paraId="3B820C12">
      <w:pPr>
        <w:numPr>
          <w:ilvl w:val="0"/>
          <w:numId w:val="4"/>
        </w:numPr>
        <w:spacing w:line="560" w:lineRule="atLeast"/>
        <w:ind w:firstLine="482" w:firstLineChars="201"/>
        <w:rPr>
          <w:rFonts w:cs="宋体" w:asciiTheme="minorEastAsia" w:hAnsiTheme="minorEastAsia" w:eastAsiaTheme="minorEastAsia"/>
          <w:bCs/>
          <w:kern w:val="2"/>
          <w:sz w:val="24"/>
          <w:szCs w:val="24"/>
          <w:lang w:val="en-US" w:eastAsia="zh-CN" w:bidi="ar-SA"/>
        </w:rPr>
      </w:pPr>
      <w:r>
        <w:rPr>
          <w:rFonts w:cs="宋体" w:asciiTheme="minorEastAsia" w:hAnsiTheme="minorEastAsia" w:eastAsiaTheme="minorEastAsia"/>
          <w:bCs/>
          <w:kern w:val="2"/>
          <w:sz w:val="24"/>
          <w:szCs w:val="24"/>
          <w:lang w:val="en-US" w:eastAsia="zh-CN" w:bidi="ar-SA"/>
        </w:rPr>
        <w:t>车辆定位与轨迹分析：通过集成的定位系统，实时显示每辆车辆的轨迹和当前定位信息，并支持历史轨迹回放，帮助调度人员优化运输路线与车辆调度，提升运输效率。</w:t>
      </w:r>
    </w:p>
    <w:p w14:paraId="0715EA54">
      <w:pPr>
        <w:spacing w:line="560" w:lineRule="atLeast"/>
        <w:ind w:firstLine="482" w:firstLineChars="201"/>
        <w:rPr>
          <w:rFonts w:cs="宋体" w:asciiTheme="minorEastAsia" w:hAnsiTheme="minorEastAsia" w:eastAsiaTheme="minorEastAsia"/>
          <w:bCs/>
          <w:kern w:val="2"/>
          <w:sz w:val="24"/>
          <w:szCs w:val="24"/>
          <w:lang w:val="en-US" w:eastAsia="zh-CN" w:bidi="ar-SA"/>
        </w:rPr>
      </w:pPr>
      <w:r>
        <w:rPr>
          <w:rFonts w:cs="宋体" w:asciiTheme="minorEastAsia" w:hAnsiTheme="minorEastAsia" w:eastAsiaTheme="minorEastAsia"/>
          <w:bCs/>
          <w:kern w:val="2"/>
          <w:sz w:val="24"/>
          <w:szCs w:val="24"/>
          <w:lang w:val="en-US" w:eastAsia="zh-CN" w:bidi="ar-SA"/>
        </w:rPr>
        <w:t>6. 销售统计与分析</w:t>
      </w:r>
    </w:p>
    <w:p w14:paraId="6ECB5F8C">
      <w:pPr>
        <w:numPr>
          <w:ilvl w:val="0"/>
          <w:numId w:val="5"/>
        </w:numPr>
        <w:spacing w:line="560" w:lineRule="atLeast"/>
        <w:ind w:firstLine="482" w:firstLineChars="201"/>
        <w:rPr>
          <w:rFonts w:cs="宋体" w:asciiTheme="minorEastAsia" w:hAnsiTheme="minorEastAsia" w:eastAsiaTheme="minorEastAsia"/>
          <w:bCs/>
          <w:kern w:val="2"/>
          <w:sz w:val="24"/>
          <w:szCs w:val="24"/>
          <w:lang w:val="en-US" w:eastAsia="zh-CN" w:bidi="ar-SA"/>
        </w:rPr>
      </w:pPr>
      <w:r>
        <w:rPr>
          <w:rFonts w:cs="宋体" w:asciiTheme="minorEastAsia" w:hAnsiTheme="minorEastAsia" w:eastAsiaTheme="minorEastAsia"/>
          <w:bCs/>
          <w:kern w:val="2"/>
          <w:sz w:val="24"/>
          <w:szCs w:val="24"/>
          <w:lang w:val="en-US" w:eastAsia="zh-CN" w:bidi="ar-SA"/>
        </w:rPr>
        <w:t>销售总量分析：按日、周、月维度统计矿区销售总量，并对不同产品类型的销售数量进行详细分析。</w:t>
      </w:r>
    </w:p>
    <w:p w14:paraId="0B1D5F32">
      <w:pPr>
        <w:numPr>
          <w:ilvl w:val="0"/>
          <w:numId w:val="5"/>
        </w:numPr>
        <w:spacing w:line="560" w:lineRule="atLeast"/>
        <w:ind w:firstLine="482" w:firstLineChars="201"/>
        <w:rPr>
          <w:rFonts w:cs="宋体" w:asciiTheme="minorEastAsia" w:hAnsiTheme="minorEastAsia" w:eastAsiaTheme="minorEastAsia"/>
          <w:bCs/>
          <w:kern w:val="2"/>
          <w:sz w:val="24"/>
          <w:szCs w:val="24"/>
          <w:lang w:val="en-US" w:eastAsia="zh-CN" w:bidi="ar-SA"/>
        </w:rPr>
      </w:pPr>
      <w:r>
        <w:rPr>
          <w:rFonts w:cs="宋体" w:asciiTheme="minorEastAsia" w:hAnsiTheme="minorEastAsia" w:eastAsiaTheme="minorEastAsia"/>
          <w:bCs/>
          <w:kern w:val="2"/>
          <w:sz w:val="24"/>
          <w:szCs w:val="24"/>
          <w:lang w:val="en-US" w:eastAsia="zh-CN" w:bidi="ar-SA"/>
        </w:rPr>
        <w:t>销售排行：根据销售数据，对矿区销售产量进行排名分析，支持按矿点、产品名称等维度展示销售数据，帮助管理层制定精准的销售策略。</w:t>
      </w:r>
    </w:p>
    <w:p w14:paraId="00D9B2D9">
      <w:pPr>
        <w:numPr>
          <w:ilvl w:val="0"/>
          <w:numId w:val="5"/>
        </w:numPr>
        <w:spacing w:line="560" w:lineRule="atLeast"/>
        <w:ind w:firstLine="482" w:firstLineChars="201"/>
        <w:rPr>
          <w:rFonts w:cs="宋体" w:asciiTheme="minorEastAsia" w:hAnsiTheme="minorEastAsia" w:eastAsiaTheme="minorEastAsia"/>
          <w:bCs/>
          <w:kern w:val="2"/>
          <w:sz w:val="24"/>
          <w:szCs w:val="24"/>
          <w:lang w:val="en-US" w:eastAsia="zh-CN" w:bidi="ar-SA"/>
        </w:rPr>
      </w:pPr>
      <w:r>
        <w:rPr>
          <w:rFonts w:cs="宋体" w:asciiTheme="minorEastAsia" w:hAnsiTheme="minorEastAsia" w:eastAsiaTheme="minorEastAsia"/>
          <w:bCs/>
          <w:kern w:val="2"/>
          <w:sz w:val="24"/>
          <w:szCs w:val="24"/>
          <w:lang w:val="en-US" w:eastAsia="zh-CN" w:bidi="ar-SA"/>
        </w:rPr>
        <w:t>销售金额分析：对销售金额进行全方位分析，支持根据时间、产品、矿点等维度的深入数据挖掘，提供决策支持。</w:t>
      </w:r>
    </w:p>
    <w:p w14:paraId="3AAECC5B">
      <w:pPr>
        <w:spacing w:line="560" w:lineRule="atLeast"/>
        <w:ind w:firstLine="482" w:firstLineChars="201"/>
        <w:rPr>
          <w:rFonts w:cs="宋体" w:asciiTheme="minorEastAsia" w:hAnsiTheme="minorEastAsia" w:eastAsiaTheme="minorEastAsia"/>
          <w:bCs/>
          <w:kern w:val="2"/>
          <w:sz w:val="24"/>
          <w:szCs w:val="24"/>
          <w:lang w:val="en-US" w:eastAsia="zh-CN" w:bidi="ar-SA"/>
        </w:rPr>
      </w:pPr>
      <w:r>
        <w:rPr>
          <w:rFonts w:cs="宋体" w:asciiTheme="minorEastAsia" w:hAnsiTheme="minorEastAsia" w:eastAsiaTheme="minorEastAsia"/>
          <w:bCs/>
          <w:kern w:val="2"/>
          <w:sz w:val="24"/>
          <w:szCs w:val="24"/>
          <w:lang w:val="en-US" w:eastAsia="zh-CN" w:bidi="ar-SA"/>
        </w:rPr>
        <w:t>7. 大气质量监控与超标事件统计</w:t>
      </w:r>
    </w:p>
    <w:p w14:paraId="5EE28843">
      <w:pPr>
        <w:spacing w:line="560" w:lineRule="atLeast"/>
        <w:ind w:firstLine="482" w:firstLineChars="201"/>
        <w:rPr>
          <w:rFonts w:cs="宋体" w:asciiTheme="minorEastAsia" w:hAnsiTheme="minorEastAsia" w:eastAsiaTheme="minorEastAsia"/>
          <w:bCs/>
          <w:kern w:val="2"/>
          <w:sz w:val="24"/>
          <w:szCs w:val="24"/>
          <w:lang w:val="en-US" w:eastAsia="zh-CN" w:bidi="ar-SA"/>
        </w:rPr>
      </w:pPr>
      <w:r>
        <w:rPr>
          <w:rFonts w:cs="宋体" w:asciiTheme="minorEastAsia" w:hAnsiTheme="minorEastAsia" w:eastAsiaTheme="minorEastAsia"/>
          <w:bCs/>
          <w:kern w:val="2"/>
          <w:sz w:val="24"/>
          <w:szCs w:val="24"/>
          <w:lang w:val="en-US" w:eastAsia="zh-CN" w:bidi="ar-SA"/>
        </w:rPr>
        <w:t>通过GIS平台，系统将矿区内的各个监测点位的大气质量数据实时展示在大屏上。系统采用热力图或颜色渐变方式直观反映不同区域的大气污染程度，并统计大气超标事件的发生次数和影响因素，及时发现并报告潜在的环境风险，辅助环境保护和应急响应决策。</w:t>
      </w:r>
    </w:p>
    <w:p w14:paraId="04BE4C9D">
      <w:pPr>
        <w:spacing w:line="560" w:lineRule="atLeast"/>
        <w:jc w:val="left"/>
        <w:rPr>
          <w:rFonts w:hint="eastAsia" w:cs="宋体" w:asciiTheme="minorEastAsia" w:hAnsiTheme="minorEastAsia" w:eastAsiaTheme="minorEastAsia"/>
          <w:bCs/>
          <w:sz w:val="24"/>
        </w:rPr>
      </w:pPr>
    </w:p>
    <w:p w14:paraId="7E785746">
      <w:pPr>
        <w:spacing w:line="560" w:lineRule="atLeast"/>
        <w:ind w:firstLine="480" w:firstLineChars="200"/>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2．3.6 数据管理</w:t>
      </w:r>
    </w:p>
    <w:p w14:paraId="597E8C3F">
      <w:pPr>
        <w:spacing w:line="560" w:lineRule="atLeast"/>
        <w:ind w:firstLine="480" w:firstLineChars="200"/>
        <w:jc w:val="left"/>
        <w:rPr>
          <w:rFonts w:cs="宋体" w:asciiTheme="minorEastAsia" w:hAnsiTheme="minorEastAsia" w:eastAsiaTheme="minorEastAsia"/>
          <w:bCs/>
          <w:sz w:val="24"/>
        </w:rPr>
      </w:pPr>
      <w:r>
        <w:rPr>
          <w:rFonts w:cs="宋体" w:asciiTheme="minorEastAsia" w:hAnsiTheme="minorEastAsia" w:eastAsiaTheme="minorEastAsia"/>
          <w:bCs/>
          <w:sz w:val="24"/>
        </w:rPr>
        <w:t>提供数据管理和系统运营的基础设施，确保数据流通、质量控制和系统高效运作。主要包括以下功能：</w:t>
      </w:r>
    </w:p>
    <w:p w14:paraId="66D72FF1">
      <w:pPr>
        <w:numPr>
          <w:ilvl w:val="0"/>
          <w:numId w:val="6"/>
        </w:numPr>
        <w:spacing w:line="560" w:lineRule="atLeast"/>
        <w:ind w:firstLine="480" w:firstLineChars="200"/>
        <w:jc w:val="left"/>
        <w:rPr>
          <w:rFonts w:cs="宋体" w:asciiTheme="minorEastAsia" w:hAnsiTheme="minorEastAsia" w:eastAsiaTheme="minorEastAsia"/>
          <w:bCs/>
          <w:sz w:val="24"/>
        </w:rPr>
      </w:pPr>
      <w:r>
        <w:rPr>
          <w:rFonts w:cs="宋体" w:asciiTheme="minorEastAsia" w:hAnsiTheme="minorEastAsia" w:eastAsiaTheme="minorEastAsia"/>
          <w:bCs/>
          <w:sz w:val="24"/>
        </w:rPr>
        <w:t>元数据管理：维护数据的定义、结构和变更历史，确保数据一致性。</w:t>
      </w:r>
    </w:p>
    <w:p w14:paraId="68570F55">
      <w:pPr>
        <w:numPr>
          <w:ilvl w:val="0"/>
          <w:numId w:val="6"/>
        </w:numPr>
        <w:spacing w:line="560" w:lineRule="atLeast"/>
        <w:ind w:firstLine="480" w:firstLineChars="200"/>
        <w:jc w:val="left"/>
        <w:rPr>
          <w:rFonts w:cs="宋体" w:asciiTheme="minorEastAsia" w:hAnsiTheme="minorEastAsia" w:eastAsiaTheme="minorEastAsia"/>
          <w:bCs/>
          <w:sz w:val="24"/>
        </w:rPr>
      </w:pPr>
      <w:r>
        <w:rPr>
          <w:rFonts w:cs="宋体" w:asciiTheme="minorEastAsia" w:hAnsiTheme="minorEastAsia" w:eastAsiaTheme="minorEastAsia"/>
          <w:bCs/>
          <w:sz w:val="24"/>
        </w:rPr>
        <w:t>主数据与数据标准管理：制定和维护核心业务数据标准，保证跨系统数据的一致性。</w:t>
      </w:r>
    </w:p>
    <w:p w14:paraId="6EF42776">
      <w:pPr>
        <w:numPr>
          <w:ilvl w:val="0"/>
          <w:numId w:val="6"/>
        </w:numPr>
        <w:spacing w:line="560" w:lineRule="atLeast"/>
        <w:ind w:firstLine="480" w:firstLineChars="200"/>
        <w:jc w:val="left"/>
        <w:rPr>
          <w:rFonts w:cs="宋体" w:asciiTheme="minorEastAsia" w:hAnsiTheme="minorEastAsia" w:eastAsiaTheme="minorEastAsia"/>
          <w:bCs/>
          <w:sz w:val="24"/>
        </w:rPr>
      </w:pPr>
      <w:r>
        <w:rPr>
          <w:rFonts w:cs="宋体" w:asciiTheme="minorEastAsia" w:hAnsiTheme="minorEastAsia" w:eastAsiaTheme="minorEastAsia"/>
          <w:bCs/>
          <w:sz w:val="24"/>
        </w:rPr>
        <w:t>数据规则：定义数据的验证、清洗和转换规则，确保数据质量。</w:t>
      </w:r>
    </w:p>
    <w:p w14:paraId="279AD62D">
      <w:pPr>
        <w:numPr>
          <w:ilvl w:val="0"/>
          <w:numId w:val="6"/>
        </w:numPr>
        <w:spacing w:line="560" w:lineRule="atLeast"/>
        <w:ind w:firstLine="480" w:firstLineChars="200"/>
        <w:jc w:val="left"/>
        <w:rPr>
          <w:rFonts w:cs="宋体" w:asciiTheme="minorEastAsia" w:hAnsiTheme="minorEastAsia" w:eastAsiaTheme="minorEastAsia"/>
          <w:bCs/>
          <w:sz w:val="24"/>
        </w:rPr>
      </w:pPr>
      <w:r>
        <w:rPr>
          <w:rFonts w:cs="宋体" w:asciiTheme="minorEastAsia" w:hAnsiTheme="minorEastAsia" w:eastAsiaTheme="minorEastAsia"/>
          <w:bCs/>
          <w:sz w:val="24"/>
        </w:rPr>
        <w:t>数据服务接口：提供标准化API，支持系统间的数据共享和集成。</w:t>
      </w:r>
    </w:p>
    <w:p w14:paraId="7A173D02">
      <w:pPr>
        <w:numPr>
          <w:ilvl w:val="0"/>
          <w:numId w:val="6"/>
        </w:numPr>
        <w:spacing w:line="560" w:lineRule="atLeast"/>
        <w:ind w:firstLine="480" w:firstLineChars="200"/>
        <w:jc w:val="left"/>
        <w:rPr>
          <w:rFonts w:cs="宋体" w:asciiTheme="minorEastAsia" w:hAnsiTheme="minorEastAsia" w:eastAsiaTheme="minorEastAsia"/>
          <w:bCs/>
          <w:sz w:val="24"/>
        </w:rPr>
      </w:pPr>
      <w:r>
        <w:rPr>
          <w:rFonts w:cs="宋体" w:asciiTheme="minorEastAsia" w:hAnsiTheme="minorEastAsia" w:eastAsiaTheme="minorEastAsia"/>
          <w:bCs/>
          <w:sz w:val="24"/>
        </w:rPr>
        <w:t>资源管理：优化数据存储和计算资源的使用，确保高效配置。</w:t>
      </w:r>
    </w:p>
    <w:p w14:paraId="688C6C90">
      <w:pPr>
        <w:numPr>
          <w:ilvl w:val="0"/>
          <w:numId w:val="6"/>
        </w:numPr>
        <w:spacing w:line="560" w:lineRule="atLeast"/>
        <w:ind w:firstLine="480" w:firstLineChars="200"/>
        <w:jc w:val="left"/>
        <w:rPr>
          <w:rFonts w:cs="宋体" w:asciiTheme="minorEastAsia" w:hAnsiTheme="minorEastAsia" w:eastAsiaTheme="minorEastAsia"/>
          <w:bCs/>
          <w:sz w:val="24"/>
        </w:rPr>
      </w:pPr>
      <w:r>
        <w:rPr>
          <w:rFonts w:cs="宋体" w:asciiTheme="minorEastAsia" w:hAnsiTheme="minorEastAsia" w:eastAsiaTheme="minorEastAsia"/>
          <w:bCs/>
          <w:sz w:val="24"/>
        </w:rPr>
        <w:t>数据应用：开发数据分析和可视化工具，支持智能决策和业务分析。</w:t>
      </w:r>
    </w:p>
    <w:p w14:paraId="6E2DAD72">
      <w:pPr>
        <w:numPr>
          <w:ilvl w:val="0"/>
          <w:numId w:val="6"/>
        </w:numPr>
        <w:spacing w:line="560" w:lineRule="atLeast"/>
        <w:ind w:firstLine="480" w:firstLineChars="200"/>
        <w:jc w:val="left"/>
        <w:rPr>
          <w:rFonts w:cs="宋体" w:asciiTheme="minorEastAsia" w:hAnsiTheme="minorEastAsia" w:eastAsiaTheme="minorEastAsia"/>
          <w:bCs/>
          <w:sz w:val="24"/>
        </w:rPr>
      </w:pPr>
      <w:r>
        <w:rPr>
          <w:rFonts w:cs="宋体" w:asciiTheme="minorEastAsia" w:hAnsiTheme="minorEastAsia" w:eastAsiaTheme="minorEastAsia"/>
          <w:bCs/>
          <w:sz w:val="24"/>
        </w:rPr>
        <w:t>系统管理：进行系统配置、监控和日志管理，确保系统稳定运行。</w:t>
      </w:r>
    </w:p>
    <w:p w14:paraId="4A875AA1">
      <w:pPr>
        <w:spacing w:line="560" w:lineRule="atLeast"/>
        <w:jc w:val="left"/>
        <w:rPr>
          <w:rFonts w:cs="宋体" w:asciiTheme="minorEastAsia" w:hAnsiTheme="minorEastAsia" w:eastAsiaTheme="minorEastAsia"/>
          <w:bCs/>
          <w:sz w:val="24"/>
        </w:rPr>
      </w:pPr>
    </w:p>
    <w:p w14:paraId="7E85FCD2">
      <w:pPr>
        <w:numPr>
          <w:ilvl w:val="0"/>
          <w:numId w:val="0"/>
        </w:numPr>
        <w:spacing w:line="560" w:lineRule="atLeast"/>
        <w:ind w:leftChars="200"/>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xml:space="preserve">2.3.7 </w:t>
      </w:r>
      <w:r>
        <w:rPr>
          <w:rFonts w:cs="宋体" w:asciiTheme="minorEastAsia" w:hAnsiTheme="minorEastAsia" w:eastAsiaTheme="minorEastAsia"/>
          <w:bCs/>
          <w:sz w:val="24"/>
        </w:rPr>
        <w:t>数据</w:t>
      </w:r>
      <w:r>
        <w:rPr>
          <w:rFonts w:hint="eastAsia" w:cs="宋体" w:asciiTheme="minorEastAsia" w:hAnsiTheme="minorEastAsia" w:eastAsiaTheme="minorEastAsia"/>
          <w:bCs/>
          <w:sz w:val="24"/>
        </w:rPr>
        <w:t>接口</w:t>
      </w:r>
      <w:r>
        <w:rPr>
          <w:rFonts w:cs="宋体" w:asciiTheme="minorEastAsia" w:hAnsiTheme="minorEastAsia" w:eastAsiaTheme="minorEastAsia"/>
          <w:bCs/>
          <w:sz w:val="24"/>
        </w:rPr>
        <w:t>服务</w:t>
      </w:r>
    </w:p>
    <w:p w14:paraId="31E8DD2C">
      <w:pPr>
        <w:numPr>
          <w:ilvl w:val="0"/>
          <w:numId w:val="0"/>
        </w:numPr>
        <w:spacing w:line="560" w:lineRule="atLeast"/>
        <w:ind w:leftChars="200"/>
        <w:jc w:val="left"/>
        <w:rPr>
          <w:rFonts w:cs="宋体" w:asciiTheme="minorEastAsia" w:hAnsiTheme="minorEastAsia" w:eastAsiaTheme="minorEastAsia"/>
          <w:bCs/>
          <w:sz w:val="24"/>
        </w:rPr>
      </w:pPr>
      <w:r>
        <w:rPr>
          <w:rFonts w:cs="宋体" w:asciiTheme="minorEastAsia" w:hAnsiTheme="minorEastAsia" w:eastAsiaTheme="minorEastAsia"/>
          <w:bCs/>
          <w:sz w:val="24"/>
        </w:rPr>
        <w:t>通过构建统一的数据平台，打通企业内部各系统的数据流通，实现数据的高效共享与智能应用。其核心功能包括：</w:t>
      </w:r>
    </w:p>
    <w:p w14:paraId="4D79BD25">
      <w:pPr>
        <w:numPr>
          <w:ilvl w:val="0"/>
          <w:numId w:val="7"/>
        </w:numPr>
        <w:spacing w:line="560" w:lineRule="atLeast"/>
        <w:ind w:firstLine="129" w:firstLineChars="54"/>
        <w:jc w:val="left"/>
        <w:rPr>
          <w:rFonts w:cs="宋体" w:asciiTheme="minorEastAsia" w:hAnsiTheme="minorEastAsia" w:eastAsiaTheme="minorEastAsia"/>
          <w:bCs/>
          <w:sz w:val="24"/>
        </w:rPr>
      </w:pPr>
      <w:r>
        <w:rPr>
          <w:rFonts w:cs="宋体" w:asciiTheme="minorEastAsia" w:hAnsiTheme="minorEastAsia" w:eastAsiaTheme="minorEastAsia"/>
          <w:bCs/>
          <w:sz w:val="24"/>
        </w:rPr>
        <w:t>数据底座搭建：</w:t>
      </w:r>
    </w:p>
    <w:p w14:paraId="525A1E50">
      <w:pPr>
        <w:spacing w:line="560" w:lineRule="atLeast"/>
        <w:ind w:firstLine="420"/>
        <w:jc w:val="left"/>
        <w:rPr>
          <w:rFonts w:cs="宋体" w:asciiTheme="minorEastAsia" w:hAnsiTheme="minorEastAsia" w:eastAsiaTheme="minorEastAsia"/>
          <w:bCs/>
          <w:sz w:val="24"/>
        </w:rPr>
      </w:pPr>
      <w:r>
        <w:rPr>
          <w:rFonts w:cs="宋体" w:asciiTheme="minorEastAsia" w:hAnsiTheme="minorEastAsia" w:eastAsiaTheme="minorEastAsia"/>
          <w:bCs/>
          <w:sz w:val="24"/>
        </w:rPr>
        <w:t>搭建统一的数据基础架构，确保数据的高效存储、处理和访问。</w:t>
      </w:r>
    </w:p>
    <w:p w14:paraId="6649D626">
      <w:pPr>
        <w:spacing w:line="560" w:lineRule="atLeast"/>
        <w:ind w:firstLine="420"/>
        <w:jc w:val="left"/>
        <w:rPr>
          <w:rFonts w:cs="宋体" w:asciiTheme="minorEastAsia" w:hAnsiTheme="minorEastAsia" w:eastAsiaTheme="minorEastAsia"/>
          <w:bCs/>
          <w:sz w:val="24"/>
        </w:rPr>
      </w:pPr>
      <w:r>
        <w:rPr>
          <w:rFonts w:cs="宋体" w:asciiTheme="minorEastAsia" w:hAnsiTheme="minorEastAsia" w:eastAsiaTheme="minorEastAsia"/>
          <w:bCs/>
          <w:sz w:val="24"/>
        </w:rPr>
        <w:t>提供数据采集、整合、清洗和存储的能力，支持大规模数据处理和高并发访问。</w:t>
      </w:r>
    </w:p>
    <w:p w14:paraId="39A97002">
      <w:pPr>
        <w:spacing w:line="560" w:lineRule="atLeast"/>
        <w:ind w:firstLine="420"/>
        <w:jc w:val="left"/>
        <w:rPr>
          <w:rFonts w:cs="宋体" w:asciiTheme="minorEastAsia" w:hAnsiTheme="minorEastAsia" w:eastAsiaTheme="minorEastAsia"/>
          <w:bCs/>
          <w:sz w:val="24"/>
        </w:rPr>
      </w:pPr>
      <w:r>
        <w:rPr>
          <w:rFonts w:cs="宋体" w:asciiTheme="minorEastAsia" w:hAnsiTheme="minorEastAsia" w:eastAsiaTheme="minorEastAsia"/>
          <w:bCs/>
          <w:sz w:val="24"/>
        </w:rPr>
        <w:t>提供数据服务接口，支持</w:t>
      </w:r>
      <w:r>
        <w:rPr>
          <w:rFonts w:hint="eastAsia" w:cs="宋体" w:asciiTheme="minorEastAsia" w:hAnsiTheme="minorEastAsia" w:eastAsiaTheme="minorEastAsia"/>
          <w:bCs/>
          <w:sz w:val="24"/>
        </w:rPr>
        <w:t>公司信息化管理平台与财务系统、数字海钢系统的</w:t>
      </w:r>
      <w:r>
        <w:rPr>
          <w:rFonts w:cs="宋体" w:asciiTheme="minorEastAsia" w:hAnsiTheme="minorEastAsia" w:eastAsiaTheme="minorEastAsia"/>
          <w:bCs/>
          <w:sz w:val="24"/>
        </w:rPr>
        <w:t>的数据共享与集成。</w:t>
      </w:r>
    </w:p>
    <w:p w14:paraId="343ACE66">
      <w:pPr>
        <w:numPr>
          <w:ilvl w:val="0"/>
          <w:numId w:val="7"/>
        </w:numPr>
        <w:spacing w:line="560" w:lineRule="atLeast"/>
        <w:ind w:firstLine="129" w:firstLineChars="54"/>
        <w:jc w:val="left"/>
        <w:rPr>
          <w:rFonts w:cs="宋体" w:asciiTheme="minorEastAsia" w:hAnsiTheme="minorEastAsia" w:eastAsiaTheme="minorEastAsia"/>
          <w:bCs/>
          <w:sz w:val="24"/>
        </w:rPr>
      </w:pPr>
      <w:r>
        <w:rPr>
          <w:rFonts w:cs="宋体" w:asciiTheme="minorEastAsia" w:hAnsiTheme="minorEastAsia" w:eastAsiaTheme="minorEastAsia"/>
          <w:bCs/>
          <w:sz w:val="24"/>
        </w:rPr>
        <w:t>财务系统</w:t>
      </w:r>
      <w:r>
        <w:rPr>
          <w:rFonts w:hint="eastAsia" w:cs="宋体" w:asciiTheme="minorEastAsia" w:hAnsiTheme="minorEastAsia" w:eastAsiaTheme="minorEastAsia"/>
          <w:bCs/>
          <w:sz w:val="24"/>
        </w:rPr>
        <w:t>接口</w:t>
      </w:r>
      <w:r>
        <w:rPr>
          <w:rFonts w:cs="宋体" w:asciiTheme="minorEastAsia" w:hAnsiTheme="minorEastAsia" w:eastAsiaTheme="minorEastAsia"/>
          <w:bCs/>
          <w:sz w:val="24"/>
        </w:rPr>
        <w:t>：</w:t>
      </w:r>
    </w:p>
    <w:p w14:paraId="3FA3FBA4">
      <w:pPr>
        <w:spacing w:line="560" w:lineRule="atLeast"/>
        <w:ind w:firstLine="420"/>
        <w:jc w:val="left"/>
        <w:rPr>
          <w:rFonts w:cs="宋体" w:asciiTheme="minorEastAsia" w:hAnsiTheme="minorEastAsia" w:eastAsiaTheme="minorEastAsia"/>
          <w:bCs/>
          <w:sz w:val="24"/>
        </w:rPr>
      </w:pPr>
      <w:r>
        <w:rPr>
          <w:rFonts w:cs="宋体" w:asciiTheme="minorEastAsia" w:hAnsiTheme="minorEastAsia" w:eastAsiaTheme="minorEastAsia"/>
          <w:bCs/>
          <w:sz w:val="24"/>
        </w:rPr>
        <w:t>实现与企业财务系统的对接，将财务数据整合到数据平台中，支持财务数据的实时查询与分析。</w:t>
      </w:r>
    </w:p>
    <w:p w14:paraId="50D61EDB">
      <w:pPr>
        <w:numPr>
          <w:ilvl w:val="0"/>
          <w:numId w:val="7"/>
        </w:numPr>
        <w:spacing w:line="560" w:lineRule="atLeast"/>
        <w:ind w:firstLine="129" w:firstLineChars="54"/>
        <w:jc w:val="left"/>
        <w:rPr>
          <w:rFonts w:cs="宋体" w:asciiTheme="minorEastAsia" w:hAnsiTheme="minorEastAsia" w:eastAsiaTheme="minorEastAsia"/>
          <w:bCs/>
          <w:sz w:val="24"/>
        </w:rPr>
      </w:pPr>
      <w:r>
        <w:rPr>
          <w:rFonts w:cs="宋体" w:asciiTheme="minorEastAsia" w:hAnsiTheme="minorEastAsia" w:eastAsiaTheme="minorEastAsia"/>
          <w:bCs/>
          <w:sz w:val="24"/>
        </w:rPr>
        <w:t>数字海钢系统</w:t>
      </w:r>
      <w:r>
        <w:rPr>
          <w:rFonts w:hint="eastAsia" w:cs="宋体" w:asciiTheme="minorEastAsia" w:hAnsiTheme="minorEastAsia" w:eastAsiaTheme="minorEastAsia"/>
          <w:bCs/>
          <w:sz w:val="24"/>
        </w:rPr>
        <w:t>接口</w:t>
      </w:r>
      <w:r>
        <w:rPr>
          <w:rFonts w:cs="宋体" w:asciiTheme="minorEastAsia" w:hAnsiTheme="minorEastAsia" w:eastAsiaTheme="minorEastAsia"/>
          <w:bCs/>
          <w:sz w:val="24"/>
        </w:rPr>
        <w:t>：</w:t>
      </w:r>
    </w:p>
    <w:p w14:paraId="7201BF45">
      <w:pPr>
        <w:spacing w:line="560" w:lineRule="atLeast"/>
        <w:ind w:firstLine="420"/>
        <w:jc w:val="left"/>
        <w:rPr>
          <w:rFonts w:cs="宋体" w:asciiTheme="minorEastAsia" w:hAnsiTheme="minorEastAsia" w:eastAsiaTheme="minorEastAsia"/>
          <w:bCs/>
          <w:sz w:val="24"/>
        </w:rPr>
      </w:pPr>
      <w:r>
        <w:rPr>
          <w:rFonts w:cs="宋体" w:asciiTheme="minorEastAsia" w:hAnsiTheme="minorEastAsia" w:eastAsiaTheme="minorEastAsia"/>
          <w:bCs/>
          <w:sz w:val="24"/>
        </w:rPr>
        <w:t>实现与数字海钢系统的对接，确保全流程数据的同步。</w:t>
      </w:r>
    </w:p>
    <w:p w14:paraId="416A9871">
      <w:pPr>
        <w:spacing w:line="560" w:lineRule="atLeast"/>
        <w:ind w:firstLine="420"/>
        <w:jc w:val="left"/>
        <w:rPr>
          <w:rFonts w:cs="宋体" w:asciiTheme="minorEastAsia" w:hAnsiTheme="minorEastAsia" w:eastAsiaTheme="minorEastAsia"/>
          <w:bCs/>
          <w:sz w:val="24"/>
        </w:rPr>
      </w:pPr>
      <w:r>
        <w:rPr>
          <w:rFonts w:cs="宋体" w:asciiTheme="minorEastAsia" w:hAnsiTheme="minorEastAsia" w:eastAsiaTheme="minorEastAsia"/>
          <w:bCs/>
          <w:sz w:val="24"/>
        </w:rPr>
        <w:t>支持跨</w:t>
      </w:r>
      <w:r>
        <w:rPr>
          <w:rFonts w:hint="eastAsia" w:cs="宋体" w:asciiTheme="minorEastAsia" w:hAnsiTheme="minorEastAsia" w:eastAsiaTheme="minorEastAsia"/>
          <w:bCs/>
          <w:sz w:val="24"/>
        </w:rPr>
        <w:t>组织</w:t>
      </w:r>
      <w:r>
        <w:rPr>
          <w:rFonts w:cs="宋体" w:asciiTheme="minorEastAsia" w:hAnsiTheme="minorEastAsia" w:eastAsiaTheme="minorEastAsia"/>
          <w:bCs/>
          <w:sz w:val="24"/>
        </w:rPr>
        <w:t>数据共享，优化</w:t>
      </w:r>
      <w:r>
        <w:rPr>
          <w:rFonts w:hint="eastAsia" w:cs="宋体" w:asciiTheme="minorEastAsia" w:hAnsiTheme="minorEastAsia" w:eastAsiaTheme="minorEastAsia"/>
          <w:bCs/>
          <w:sz w:val="24"/>
        </w:rPr>
        <w:t>组织间</w:t>
      </w:r>
      <w:r>
        <w:rPr>
          <w:rFonts w:cs="宋体" w:asciiTheme="minorEastAsia" w:hAnsiTheme="minorEastAsia" w:eastAsiaTheme="minorEastAsia"/>
          <w:bCs/>
          <w:sz w:val="24"/>
        </w:rPr>
        <w:t>协作</w:t>
      </w:r>
      <w:r>
        <w:rPr>
          <w:rFonts w:hint="eastAsia" w:cs="宋体" w:asciiTheme="minorEastAsia" w:hAnsiTheme="minorEastAsia" w:eastAsiaTheme="minorEastAsia"/>
          <w:bCs/>
          <w:sz w:val="24"/>
        </w:rPr>
        <w:t>。</w:t>
      </w:r>
    </w:p>
    <w:p w14:paraId="7F2663B2">
      <w:pPr>
        <w:spacing w:line="560" w:lineRule="atLeast"/>
        <w:ind w:firstLine="480" w:firstLineChars="200"/>
        <w:jc w:val="left"/>
        <w:rPr>
          <w:rFonts w:hint="eastAsia" w:cs="宋体" w:asciiTheme="minorEastAsia" w:hAnsiTheme="minorEastAsia" w:eastAsiaTheme="minorEastAsia"/>
          <w:bCs/>
          <w:sz w:val="24"/>
        </w:rPr>
      </w:pPr>
    </w:p>
    <w:p w14:paraId="7ECBA357">
      <w:pPr>
        <w:pStyle w:val="48"/>
        <w:spacing w:line="560" w:lineRule="atLeast"/>
        <w:ind w:firstLine="480"/>
        <w:jc w:val="left"/>
        <w:rPr>
          <w:rFonts w:hint="eastAsia" w:cs="宋体" w:asciiTheme="minorEastAsia" w:hAnsiTheme="minorEastAsia" w:eastAsiaTheme="minorEastAsia"/>
          <w:bCs/>
          <w:kern w:val="0"/>
          <w:szCs w:val="24"/>
        </w:rPr>
      </w:pPr>
    </w:p>
    <w:p w14:paraId="595DA7C9">
      <w:pPr>
        <w:spacing w:line="560" w:lineRule="atLeast"/>
        <w:ind w:firstLine="560" w:firstLineChars="200"/>
        <w:jc w:val="left"/>
        <w:outlineLvl w:val="2"/>
        <w:rPr>
          <w:rFonts w:cs="宋体" w:asciiTheme="minorEastAsia" w:hAnsiTheme="minorEastAsia" w:eastAsiaTheme="minorEastAsia"/>
          <w:bCs/>
          <w:color w:val="000000"/>
          <w:kern w:val="0"/>
          <w:sz w:val="28"/>
          <w:szCs w:val="28"/>
          <w:lang w:bidi="ar"/>
        </w:rPr>
      </w:pPr>
      <w:bookmarkStart w:id="57" w:name="_Toc121924465"/>
      <w:r>
        <w:rPr>
          <w:rFonts w:hint="eastAsia" w:cs="宋体" w:asciiTheme="minorEastAsia" w:hAnsiTheme="minorEastAsia" w:eastAsiaTheme="minorEastAsia"/>
          <w:bCs/>
          <w:color w:val="000000"/>
          <w:kern w:val="0"/>
          <w:sz w:val="28"/>
          <w:szCs w:val="28"/>
          <w:lang w:bidi="ar"/>
        </w:rPr>
        <w:t>3、</w:t>
      </w:r>
      <w:r>
        <w:rPr>
          <w:rFonts w:hint="eastAsia" w:cs="宋体" w:asciiTheme="minorEastAsia" w:hAnsiTheme="minorEastAsia" w:eastAsiaTheme="minorEastAsia"/>
          <w:bCs/>
          <w:color w:val="000000"/>
          <w:kern w:val="0"/>
          <w:sz w:val="28"/>
          <w:szCs w:val="28"/>
          <w:highlight w:val="yellow"/>
          <w:lang w:bidi="ar"/>
        </w:rPr>
        <w:t>平台建设内容清单</w:t>
      </w:r>
      <w:bookmarkEnd w:id="57"/>
    </w:p>
    <w:p w14:paraId="3DCFD617">
      <w:pPr>
        <w:pStyle w:val="48"/>
        <w:spacing w:line="560" w:lineRule="atLeast"/>
        <w:ind w:firstLine="480"/>
        <w:rPr>
          <w:rFonts w:asciiTheme="minorEastAsia" w:hAnsiTheme="minorEastAsia" w:eastAsiaTheme="minorEastAsia"/>
          <w:bCs/>
          <w:kern w:val="0"/>
          <w:sz w:val="20"/>
          <w:szCs w:val="20"/>
        </w:rPr>
      </w:pPr>
      <w:r>
        <w:rPr>
          <w:rFonts w:asciiTheme="minorEastAsia" w:hAnsiTheme="minorEastAsia" w:eastAsiaTheme="minorEastAsia"/>
          <w:bCs/>
          <w:lang w:bidi="ar"/>
        </w:rPr>
        <w:fldChar w:fldCharType="begin"/>
      </w:r>
      <w:r>
        <w:rPr>
          <w:rFonts w:asciiTheme="minorEastAsia" w:hAnsiTheme="minorEastAsia" w:eastAsiaTheme="minorEastAsia"/>
          <w:bCs/>
          <w:lang w:bidi="ar"/>
        </w:rPr>
        <w:instrText xml:space="preserve"> </w:instrText>
      </w:r>
      <w:r>
        <w:rPr>
          <w:rFonts w:hint="eastAsia" w:asciiTheme="minorEastAsia" w:hAnsiTheme="minorEastAsia" w:eastAsiaTheme="minorEastAsia"/>
          <w:bCs/>
          <w:lang w:bidi="ar"/>
        </w:rPr>
        <w:instrText xml:space="preserve">LINK Excel.Sheet.12 "https://d.docs.live.net/6f591fc0634cb4cf/文档/工作簿1海钢.xlsx" "Sheet1!R2C1:R68C5" \a \f 4 \h</w:instrText>
      </w:r>
      <w:r>
        <w:rPr>
          <w:rFonts w:asciiTheme="minorEastAsia" w:hAnsiTheme="minorEastAsia" w:eastAsiaTheme="minorEastAsia"/>
          <w:bCs/>
          <w:lang w:bidi="ar"/>
        </w:rPr>
        <w:instrText xml:space="preserve"> </w:instrText>
      </w:r>
      <w:r>
        <w:rPr>
          <w:rFonts w:hint="eastAsia" w:asciiTheme="minorEastAsia" w:hAnsiTheme="minorEastAsia" w:eastAsiaTheme="minorEastAsia"/>
          <w:bCs/>
          <w:lang w:bidi="ar"/>
        </w:rPr>
        <w:instrText xml:space="preserve"> \* MERGEFORMAT </w:instrText>
      </w:r>
      <w:r>
        <w:rPr>
          <w:rFonts w:asciiTheme="minorEastAsia" w:hAnsiTheme="minorEastAsia" w:eastAsiaTheme="minorEastAsia"/>
          <w:bCs/>
          <w:lang w:bidi="ar"/>
        </w:rPr>
        <w:fldChar w:fldCharType="separate"/>
      </w:r>
    </w:p>
    <w:tbl>
      <w:tblPr>
        <w:tblStyle w:val="40"/>
        <w:tblW w:w="9700" w:type="dxa"/>
        <w:tblInd w:w="0" w:type="dxa"/>
        <w:tblLayout w:type="autofit"/>
        <w:tblCellMar>
          <w:top w:w="0" w:type="dxa"/>
          <w:left w:w="108" w:type="dxa"/>
          <w:bottom w:w="0" w:type="dxa"/>
          <w:right w:w="108" w:type="dxa"/>
        </w:tblCellMar>
      </w:tblPr>
      <w:tblGrid>
        <w:gridCol w:w="620"/>
        <w:gridCol w:w="1440"/>
        <w:gridCol w:w="2230"/>
        <w:gridCol w:w="4850"/>
        <w:gridCol w:w="560"/>
      </w:tblGrid>
      <w:tr w14:paraId="576B552F">
        <w:tblPrEx>
          <w:tblCellMar>
            <w:top w:w="0" w:type="dxa"/>
            <w:left w:w="108" w:type="dxa"/>
            <w:bottom w:w="0" w:type="dxa"/>
            <w:right w:w="108" w:type="dxa"/>
          </w:tblCellMar>
        </w:tblPrEx>
        <w:trPr>
          <w:trHeight w:val="300" w:hRule="atLeast"/>
        </w:trPr>
        <w:tc>
          <w:tcPr>
            <w:tcW w:w="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2A754">
            <w:pPr>
              <w:widowControl/>
              <w:spacing w:line="560" w:lineRule="atLeast"/>
              <w:jc w:val="left"/>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序号</w:t>
            </w:r>
          </w:p>
        </w:tc>
        <w:tc>
          <w:tcPr>
            <w:tcW w:w="1440" w:type="dxa"/>
            <w:tcBorders>
              <w:top w:val="single" w:color="auto" w:sz="4" w:space="0"/>
              <w:left w:val="nil"/>
              <w:bottom w:val="single" w:color="auto" w:sz="4" w:space="0"/>
              <w:right w:val="single" w:color="auto" w:sz="4" w:space="0"/>
            </w:tcBorders>
            <w:shd w:val="clear" w:color="auto" w:fill="auto"/>
            <w:noWrap/>
            <w:vAlign w:val="center"/>
          </w:tcPr>
          <w:p w14:paraId="141A18F6">
            <w:pPr>
              <w:widowControl/>
              <w:spacing w:line="560" w:lineRule="atLeast"/>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系统</w:t>
            </w:r>
          </w:p>
        </w:tc>
        <w:tc>
          <w:tcPr>
            <w:tcW w:w="2230" w:type="dxa"/>
            <w:tcBorders>
              <w:top w:val="single" w:color="auto" w:sz="4" w:space="0"/>
              <w:left w:val="nil"/>
              <w:bottom w:val="single" w:color="auto" w:sz="4" w:space="0"/>
              <w:right w:val="single" w:color="auto" w:sz="4" w:space="0"/>
            </w:tcBorders>
            <w:shd w:val="clear" w:color="auto" w:fill="auto"/>
            <w:noWrap/>
            <w:vAlign w:val="center"/>
          </w:tcPr>
          <w:p w14:paraId="483C47DE">
            <w:pPr>
              <w:widowControl/>
              <w:spacing w:line="560" w:lineRule="atLeast"/>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模块名称</w:t>
            </w:r>
          </w:p>
        </w:tc>
        <w:tc>
          <w:tcPr>
            <w:tcW w:w="4850" w:type="dxa"/>
            <w:tcBorders>
              <w:top w:val="single" w:color="auto" w:sz="4" w:space="0"/>
              <w:left w:val="nil"/>
              <w:bottom w:val="single" w:color="auto" w:sz="4" w:space="0"/>
              <w:right w:val="single" w:color="auto" w:sz="4" w:space="0"/>
            </w:tcBorders>
            <w:shd w:val="clear" w:color="auto" w:fill="auto"/>
            <w:vAlign w:val="center"/>
          </w:tcPr>
          <w:p w14:paraId="4B9DF9D2">
            <w:pPr>
              <w:widowControl/>
              <w:spacing w:line="560" w:lineRule="atLeast"/>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功能描述</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0685D5E5">
            <w:pPr>
              <w:widowControl/>
              <w:spacing w:line="560" w:lineRule="atLeast"/>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单位</w:t>
            </w:r>
          </w:p>
        </w:tc>
      </w:tr>
      <w:tr w14:paraId="47EFA3D6">
        <w:tblPrEx>
          <w:tblCellMar>
            <w:top w:w="0" w:type="dxa"/>
            <w:left w:w="108" w:type="dxa"/>
            <w:bottom w:w="0" w:type="dxa"/>
            <w:right w:w="108" w:type="dxa"/>
          </w:tblCellMar>
        </w:tblPrEx>
        <w:trPr>
          <w:trHeight w:val="555" w:hRule="atLeast"/>
        </w:trPr>
        <w:tc>
          <w:tcPr>
            <w:tcW w:w="620" w:type="dxa"/>
            <w:vMerge w:val="restart"/>
            <w:tcBorders>
              <w:top w:val="nil"/>
              <w:left w:val="single" w:color="auto" w:sz="4" w:space="0"/>
              <w:bottom w:val="single" w:color="auto" w:sz="4" w:space="0"/>
              <w:right w:val="single" w:color="auto" w:sz="4" w:space="0"/>
            </w:tcBorders>
            <w:shd w:val="clear" w:color="auto" w:fill="auto"/>
            <w:noWrap/>
            <w:vAlign w:val="center"/>
          </w:tcPr>
          <w:p w14:paraId="4BAFBF3F">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1</w:t>
            </w:r>
          </w:p>
        </w:tc>
        <w:tc>
          <w:tcPr>
            <w:tcW w:w="1440" w:type="dxa"/>
            <w:vMerge w:val="restart"/>
            <w:tcBorders>
              <w:top w:val="nil"/>
              <w:left w:val="single" w:color="auto" w:sz="4" w:space="0"/>
              <w:bottom w:val="single" w:color="000000" w:sz="4" w:space="0"/>
              <w:right w:val="single" w:color="auto" w:sz="4" w:space="0"/>
            </w:tcBorders>
            <w:shd w:val="clear" w:color="auto" w:fill="auto"/>
            <w:noWrap/>
            <w:vAlign w:val="center"/>
          </w:tcPr>
          <w:p w14:paraId="30489F31">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运销系统</w:t>
            </w:r>
          </w:p>
        </w:tc>
        <w:tc>
          <w:tcPr>
            <w:tcW w:w="2230" w:type="dxa"/>
            <w:tcBorders>
              <w:top w:val="nil"/>
              <w:left w:val="nil"/>
              <w:bottom w:val="nil"/>
              <w:right w:val="nil"/>
            </w:tcBorders>
            <w:shd w:val="clear" w:color="auto" w:fill="auto"/>
            <w:noWrap/>
            <w:vAlign w:val="center"/>
          </w:tcPr>
          <w:p w14:paraId="6D0FE354">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asciiTheme="minorEastAsia" w:hAnsiTheme="minorEastAsia" w:eastAsiaTheme="minorEastAsia"/>
                <w:bCs/>
              </w:rPr>
              <w:t>★</w:t>
            </w:r>
            <w:r>
              <w:rPr>
                <w:rFonts w:hint="eastAsia" w:cs="宋体" w:asciiTheme="minorEastAsia" w:hAnsiTheme="minorEastAsia" w:eastAsiaTheme="minorEastAsia"/>
                <w:bCs/>
                <w:color w:val="000000"/>
                <w:kern w:val="0"/>
                <w:sz w:val="22"/>
                <w:szCs w:val="22"/>
              </w:rPr>
              <w:t>订单管理与接口</w:t>
            </w:r>
          </w:p>
        </w:tc>
        <w:tc>
          <w:tcPr>
            <w:tcW w:w="4850" w:type="dxa"/>
            <w:tcBorders>
              <w:top w:val="nil"/>
              <w:left w:val="single" w:color="auto" w:sz="4" w:space="0"/>
              <w:bottom w:val="single" w:color="auto" w:sz="4" w:space="0"/>
              <w:right w:val="single" w:color="auto" w:sz="4" w:space="0"/>
            </w:tcBorders>
            <w:shd w:val="clear" w:color="auto" w:fill="auto"/>
            <w:vAlign w:val="center"/>
          </w:tcPr>
          <w:p w14:paraId="15910721">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订单接口：将销售订单信息自动发送至过磅系统进行处理。</w:t>
            </w:r>
          </w:p>
        </w:tc>
        <w:tc>
          <w:tcPr>
            <w:tcW w:w="560" w:type="dxa"/>
            <w:vMerge w:val="restart"/>
            <w:tcBorders>
              <w:top w:val="nil"/>
              <w:left w:val="single" w:color="auto" w:sz="4" w:space="0"/>
              <w:bottom w:val="single" w:color="000000" w:sz="4" w:space="0"/>
              <w:right w:val="single" w:color="auto" w:sz="4" w:space="0"/>
            </w:tcBorders>
            <w:shd w:val="clear" w:color="auto" w:fill="auto"/>
            <w:noWrap/>
            <w:vAlign w:val="center"/>
          </w:tcPr>
          <w:p w14:paraId="77CB28F8">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项</w:t>
            </w:r>
          </w:p>
        </w:tc>
      </w:tr>
      <w:tr w14:paraId="6ABCD9AB">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4F6D1864">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274D9164">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65CF73BB">
            <w:pPr>
              <w:widowControl/>
              <w:spacing w:line="560" w:lineRule="atLeast"/>
              <w:jc w:val="center"/>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6297B4EF">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车辆接口：连接销售管理模块与车牌识别系统，实现车辆信息自动同步。</w:t>
            </w:r>
          </w:p>
        </w:tc>
        <w:tc>
          <w:tcPr>
            <w:tcW w:w="560" w:type="dxa"/>
            <w:vMerge w:val="continue"/>
            <w:tcBorders>
              <w:top w:val="nil"/>
              <w:left w:val="single" w:color="auto" w:sz="4" w:space="0"/>
              <w:bottom w:val="single" w:color="000000" w:sz="4" w:space="0"/>
              <w:right w:val="single" w:color="auto" w:sz="4" w:space="0"/>
            </w:tcBorders>
            <w:vAlign w:val="center"/>
          </w:tcPr>
          <w:p w14:paraId="71051328">
            <w:pPr>
              <w:widowControl/>
              <w:spacing w:line="560" w:lineRule="atLeast"/>
              <w:jc w:val="left"/>
              <w:rPr>
                <w:rFonts w:cs="宋体" w:asciiTheme="minorEastAsia" w:hAnsiTheme="minorEastAsia" w:eastAsiaTheme="minorEastAsia"/>
                <w:bCs/>
                <w:color w:val="000000"/>
                <w:kern w:val="0"/>
                <w:sz w:val="22"/>
                <w:szCs w:val="22"/>
              </w:rPr>
            </w:pPr>
          </w:p>
        </w:tc>
      </w:tr>
      <w:tr w14:paraId="6659E48C">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69F763F0">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52C1E0D4">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72DAFB68">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55EBAF2E">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过磅接口：与地磅系统对接，实时同步过磅数据并处理订单。</w:t>
            </w:r>
          </w:p>
        </w:tc>
        <w:tc>
          <w:tcPr>
            <w:tcW w:w="560" w:type="dxa"/>
            <w:vMerge w:val="continue"/>
            <w:tcBorders>
              <w:top w:val="nil"/>
              <w:left w:val="single" w:color="auto" w:sz="4" w:space="0"/>
              <w:bottom w:val="single" w:color="000000" w:sz="4" w:space="0"/>
              <w:right w:val="single" w:color="auto" w:sz="4" w:space="0"/>
            </w:tcBorders>
            <w:vAlign w:val="center"/>
          </w:tcPr>
          <w:p w14:paraId="4DAC4EDA">
            <w:pPr>
              <w:widowControl/>
              <w:spacing w:line="560" w:lineRule="atLeast"/>
              <w:jc w:val="left"/>
              <w:rPr>
                <w:rFonts w:cs="宋体" w:asciiTheme="minorEastAsia" w:hAnsiTheme="minorEastAsia" w:eastAsiaTheme="minorEastAsia"/>
                <w:bCs/>
                <w:color w:val="000000"/>
                <w:kern w:val="0"/>
                <w:sz w:val="22"/>
                <w:szCs w:val="22"/>
              </w:rPr>
            </w:pPr>
          </w:p>
        </w:tc>
      </w:tr>
      <w:tr w14:paraId="33890FBE">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21A1C985">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56BCB40E">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20545488">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销售与客户管理</w:t>
            </w:r>
          </w:p>
        </w:tc>
        <w:tc>
          <w:tcPr>
            <w:tcW w:w="4850" w:type="dxa"/>
            <w:tcBorders>
              <w:top w:val="nil"/>
              <w:left w:val="single" w:color="auto" w:sz="4" w:space="0"/>
              <w:bottom w:val="single" w:color="auto" w:sz="4" w:space="0"/>
              <w:right w:val="single" w:color="auto" w:sz="4" w:space="0"/>
            </w:tcBorders>
            <w:shd w:val="clear" w:color="auto" w:fill="auto"/>
            <w:vAlign w:val="center"/>
          </w:tcPr>
          <w:p w14:paraId="5E3B97E8">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客户管理：支持客户信息的新增、修改、删除、查询等功能。</w:t>
            </w:r>
          </w:p>
        </w:tc>
        <w:tc>
          <w:tcPr>
            <w:tcW w:w="560" w:type="dxa"/>
            <w:vMerge w:val="continue"/>
            <w:tcBorders>
              <w:top w:val="nil"/>
              <w:left w:val="single" w:color="auto" w:sz="4" w:space="0"/>
              <w:bottom w:val="single" w:color="000000" w:sz="4" w:space="0"/>
              <w:right w:val="single" w:color="auto" w:sz="4" w:space="0"/>
            </w:tcBorders>
            <w:vAlign w:val="center"/>
          </w:tcPr>
          <w:p w14:paraId="2F3F8975">
            <w:pPr>
              <w:widowControl/>
              <w:spacing w:line="560" w:lineRule="atLeast"/>
              <w:jc w:val="left"/>
              <w:rPr>
                <w:rFonts w:cs="宋体" w:asciiTheme="minorEastAsia" w:hAnsiTheme="minorEastAsia" w:eastAsiaTheme="minorEastAsia"/>
                <w:bCs/>
                <w:color w:val="000000"/>
                <w:kern w:val="0"/>
                <w:sz w:val="22"/>
                <w:szCs w:val="22"/>
              </w:rPr>
            </w:pPr>
          </w:p>
        </w:tc>
      </w:tr>
      <w:tr w14:paraId="30A838F3">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2C2DB561">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70941D68">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7D391072">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1138D463">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订单查询与管理：支持按订单编号、客户、时间等多维度查询订单。</w:t>
            </w:r>
          </w:p>
        </w:tc>
        <w:tc>
          <w:tcPr>
            <w:tcW w:w="560" w:type="dxa"/>
            <w:vMerge w:val="continue"/>
            <w:tcBorders>
              <w:top w:val="nil"/>
              <w:left w:val="single" w:color="auto" w:sz="4" w:space="0"/>
              <w:bottom w:val="single" w:color="000000" w:sz="4" w:space="0"/>
              <w:right w:val="single" w:color="auto" w:sz="4" w:space="0"/>
            </w:tcBorders>
            <w:vAlign w:val="center"/>
          </w:tcPr>
          <w:p w14:paraId="4C388DE4">
            <w:pPr>
              <w:widowControl/>
              <w:spacing w:line="560" w:lineRule="atLeast"/>
              <w:jc w:val="left"/>
              <w:rPr>
                <w:rFonts w:cs="宋体" w:asciiTheme="minorEastAsia" w:hAnsiTheme="minorEastAsia" w:eastAsiaTheme="minorEastAsia"/>
                <w:bCs/>
                <w:color w:val="000000"/>
                <w:kern w:val="0"/>
                <w:sz w:val="22"/>
                <w:szCs w:val="22"/>
              </w:rPr>
            </w:pPr>
          </w:p>
        </w:tc>
      </w:tr>
      <w:tr w14:paraId="105E1E1C">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409D82F1">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75B52805">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41CD4B2A">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7BC97421">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客户订单确认：销售人员确认订单信息，确保无误后推进操作。</w:t>
            </w:r>
          </w:p>
        </w:tc>
        <w:tc>
          <w:tcPr>
            <w:tcW w:w="560" w:type="dxa"/>
            <w:vMerge w:val="continue"/>
            <w:tcBorders>
              <w:top w:val="nil"/>
              <w:left w:val="single" w:color="auto" w:sz="4" w:space="0"/>
              <w:bottom w:val="single" w:color="000000" w:sz="4" w:space="0"/>
              <w:right w:val="single" w:color="auto" w:sz="4" w:space="0"/>
            </w:tcBorders>
            <w:vAlign w:val="center"/>
          </w:tcPr>
          <w:p w14:paraId="7A790913">
            <w:pPr>
              <w:widowControl/>
              <w:spacing w:line="560" w:lineRule="atLeast"/>
              <w:jc w:val="left"/>
              <w:rPr>
                <w:rFonts w:cs="宋体" w:asciiTheme="minorEastAsia" w:hAnsiTheme="minorEastAsia" w:eastAsiaTheme="minorEastAsia"/>
                <w:bCs/>
                <w:color w:val="000000"/>
                <w:kern w:val="0"/>
                <w:sz w:val="22"/>
                <w:szCs w:val="22"/>
              </w:rPr>
            </w:pPr>
          </w:p>
        </w:tc>
      </w:tr>
      <w:tr w14:paraId="2DE72BCA">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05B5C38F">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291BFEF2">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32105405">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37740FF2">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交货确认：销售人员发起交货确认，包括确认状态、备注等功能。</w:t>
            </w:r>
          </w:p>
        </w:tc>
        <w:tc>
          <w:tcPr>
            <w:tcW w:w="560" w:type="dxa"/>
            <w:vMerge w:val="continue"/>
            <w:tcBorders>
              <w:top w:val="nil"/>
              <w:left w:val="single" w:color="auto" w:sz="4" w:space="0"/>
              <w:bottom w:val="single" w:color="000000" w:sz="4" w:space="0"/>
              <w:right w:val="single" w:color="auto" w:sz="4" w:space="0"/>
            </w:tcBorders>
            <w:vAlign w:val="center"/>
          </w:tcPr>
          <w:p w14:paraId="7A947F5E">
            <w:pPr>
              <w:widowControl/>
              <w:spacing w:line="560" w:lineRule="atLeast"/>
              <w:jc w:val="left"/>
              <w:rPr>
                <w:rFonts w:cs="宋体" w:asciiTheme="minorEastAsia" w:hAnsiTheme="minorEastAsia" w:eastAsiaTheme="minorEastAsia"/>
                <w:bCs/>
                <w:color w:val="000000"/>
                <w:kern w:val="0"/>
                <w:sz w:val="22"/>
                <w:szCs w:val="22"/>
              </w:rPr>
            </w:pPr>
          </w:p>
        </w:tc>
      </w:tr>
      <w:tr w14:paraId="14E36BE5">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1887BAED">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2A1AE812">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6545C970">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asciiTheme="minorEastAsia" w:hAnsiTheme="minorEastAsia" w:eastAsiaTheme="minorEastAsia"/>
                <w:bCs/>
              </w:rPr>
              <w:t>★</w:t>
            </w:r>
            <w:r>
              <w:rPr>
                <w:rFonts w:hint="eastAsia" w:cs="宋体" w:asciiTheme="minorEastAsia" w:hAnsiTheme="minorEastAsia" w:eastAsiaTheme="minorEastAsia"/>
                <w:bCs/>
                <w:color w:val="000000"/>
                <w:kern w:val="0"/>
                <w:sz w:val="22"/>
                <w:szCs w:val="22"/>
              </w:rPr>
              <w:t>过磅与销售数据统计</w:t>
            </w:r>
          </w:p>
        </w:tc>
        <w:tc>
          <w:tcPr>
            <w:tcW w:w="4850" w:type="dxa"/>
            <w:tcBorders>
              <w:top w:val="nil"/>
              <w:left w:val="single" w:color="auto" w:sz="4" w:space="0"/>
              <w:bottom w:val="single" w:color="auto" w:sz="4" w:space="0"/>
              <w:right w:val="single" w:color="auto" w:sz="4" w:space="0"/>
            </w:tcBorders>
            <w:shd w:val="clear" w:color="auto" w:fill="auto"/>
            <w:vAlign w:val="center"/>
          </w:tcPr>
          <w:p w14:paraId="414DB1CB">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过磅统计：自动汇总过磅数据，生成日报、月报及销售报表。</w:t>
            </w:r>
          </w:p>
        </w:tc>
        <w:tc>
          <w:tcPr>
            <w:tcW w:w="560" w:type="dxa"/>
            <w:vMerge w:val="continue"/>
            <w:tcBorders>
              <w:top w:val="nil"/>
              <w:left w:val="single" w:color="auto" w:sz="4" w:space="0"/>
              <w:bottom w:val="single" w:color="000000" w:sz="4" w:space="0"/>
              <w:right w:val="single" w:color="auto" w:sz="4" w:space="0"/>
            </w:tcBorders>
            <w:vAlign w:val="center"/>
          </w:tcPr>
          <w:p w14:paraId="5CAA85FF">
            <w:pPr>
              <w:widowControl/>
              <w:spacing w:line="560" w:lineRule="atLeast"/>
              <w:jc w:val="left"/>
              <w:rPr>
                <w:rFonts w:cs="宋体" w:asciiTheme="minorEastAsia" w:hAnsiTheme="minorEastAsia" w:eastAsiaTheme="minorEastAsia"/>
                <w:bCs/>
                <w:color w:val="000000"/>
                <w:kern w:val="0"/>
                <w:sz w:val="22"/>
                <w:szCs w:val="22"/>
              </w:rPr>
            </w:pPr>
          </w:p>
        </w:tc>
      </w:tr>
      <w:tr w14:paraId="25E102A2">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73AEE503">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1794A678">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3CC2FF2B">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1FC3E998">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销量统计：按时间维度进行销量统计，并支持图表、WEBGIS地图等可视化展示。</w:t>
            </w:r>
          </w:p>
        </w:tc>
        <w:tc>
          <w:tcPr>
            <w:tcW w:w="560" w:type="dxa"/>
            <w:vMerge w:val="continue"/>
            <w:tcBorders>
              <w:top w:val="nil"/>
              <w:left w:val="single" w:color="auto" w:sz="4" w:space="0"/>
              <w:bottom w:val="single" w:color="000000" w:sz="4" w:space="0"/>
              <w:right w:val="single" w:color="auto" w:sz="4" w:space="0"/>
            </w:tcBorders>
            <w:vAlign w:val="center"/>
          </w:tcPr>
          <w:p w14:paraId="39E51EF2">
            <w:pPr>
              <w:widowControl/>
              <w:spacing w:line="560" w:lineRule="atLeast"/>
              <w:jc w:val="left"/>
              <w:rPr>
                <w:rFonts w:cs="宋体" w:asciiTheme="minorEastAsia" w:hAnsiTheme="minorEastAsia" w:eastAsiaTheme="minorEastAsia"/>
                <w:bCs/>
                <w:color w:val="000000"/>
                <w:kern w:val="0"/>
                <w:sz w:val="22"/>
                <w:szCs w:val="22"/>
              </w:rPr>
            </w:pPr>
          </w:p>
        </w:tc>
      </w:tr>
      <w:tr w14:paraId="3AE6F3C7">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442EB6BA">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4F24C80C">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511B6354">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22BE67BB">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销售额统计：根据时间、矿点、产品类别等统计销售额。</w:t>
            </w:r>
          </w:p>
        </w:tc>
        <w:tc>
          <w:tcPr>
            <w:tcW w:w="560" w:type="dxa"/>
            <w:vMerge w:val="continue"/>
            <w:tcBorders>
              <w:top w:val="nil"/>
              <w:left w:val="single" w:color="auto" w:sz="4" w:space="0"/>
              <w:bottom w:val="single" w:color="000000" w:sz="4" w:space="0"/>
              <w:right w:val="single" w:color="auto" w:sz="4" w:space="0"/>
            </w:tcBorders>
            <w:vAlign w:val="center"/>
          </w:tcPr>
          <w:p w14:paraId="7D9E3F15">
            <w:pPr>
              <w:widowControl/>
              <w:spacing w:line="560" w:lineRule="atLeast"/>
              <w:jc w:val="left"/>
              <w:rPr>
                <w:rFonts w:cs="宋体" w:asciiTheme="minorEastAsia" w:hAnsiTheme="minorEastAsia" w:eastAsiaTheme="minorEastAsia"/>
                <w:bCs/>
                <w:color w:val="000000"/>
                <w:kern w:val="0"/>
                <w:sz w:val="22"/>
                <w:szCs w:val="22"/>
              </w:rPr>
            </w:pPr>
          </w:p>
        </w:tc>
      </w:tr>
      <w:tr w14:paraId="6D3E8F74">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4922E98A">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5B664193">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7CEE9A90">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订单处理与跟踪</w:t>
            </w:r>
          </w:p>
        </w:tc>
        <w:tc>
          <w:tcPr>
            <w:tcW w:w="4850" w:type="dxa"/>
            <w:tcBorders>
              <w:top w:val="nil"/>
              <w:left w:val="single" w:color="auto" w:sz="4" w:space="0"/>
              <w:bottom w:val="single" w:color="auto" w:sz="4" w:space="0"/>
              <w:right w:val="single" w:color="auto" w:sz="4" w:space="0"/>
            </w:tcBorders>
            <w:shd w:val="clear" w:color="auto" w:fill="auto"/>
            <w:vAlign w:val="center"/>
          </w:tcPr>
          <w:p w14:paraId="68AC714F">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订单处理：自动处理来自APP和客户子系统的订单，进行确认并发送至过磅系统。</w:t>
            </w:r>
          </w:p>
        </w:tc>
        <w:tc>
          <w:tcPr>
            <w:tcW w:w="560" w:type="dxa"/>
            <w:vMerge w:val="continue"/>
            <w:tcBorders>
              <w:top w:val="nil"/>
              <w:left w:val="single" w:color="auto" w:sz="4" w:space="0"/>
              <w:bottom w:val="single" w:color="000000" w:sz="4" w:space="0"/>
              <w:right w:val="single" w:color="auto" w:sz="4" w:space="0"/>
            </w:tcBorders>
            <w:vAlign w:val="center"/>
          </w:tcPr>
          <w:p w14:paraId="3A83CC3A">
            <w:pPr>
              <w:widowControl/>
              <w:spacing w:line="560" w:lineRule="atLeast"/>
              <w:jc w:val="left"/>
              <w:rPr>
                <w:rFonts w:cs="宋体" w:asciiTheme="minorEastAsia" w:hAnsiTheme="minorEastAsia" w:eastAsiaTheme="minorEastAsia"/>
                <w:bCs/>
                <w:color w:val="000000"/>
                <w:kern w:val="0"/>
                <w:sz w:val="22"/>
                <w:szCs w:val="22"/>
              </w:rPr>
            </w:pPr>
          </w:p>
        </w:tc>
      </w:tr>
      <w:tr w14:paraId="2BDD8C07">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141252CC">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1DFF271D">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608C568E">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asciiTheme="minorEastAsia" w:hAnsiTheme="minorEastAsia" w:eastAsiaTheme="minorEastAsia"/>
                <w:bCs/>
              </w:rPr>
              <w:t>★</w:t>
            </w:r>
            <w:r>
              <w:rPr>
                <w:rFonts w:hint="eastAsia" w:cs="宋体" w:asciiTheme="minorEastAsia" w:hAnsiTheme="minorEastAsia" w:eastAsiaTheme="minorEastAsia"/>
                <w:bCs/>
                <w:color w:val="000000"/>
                <w:kern w:val="0"/>
                <w:sz w:val="22"/>
                <w:szCs w:val="22"/>
              </w:rPr>
              <w:t>车辆管理</w:t>
            </w:r>
          </w:p>
        </w:tc>
        <w:tc>
          <w:tcPr>
            <w:tcW w:w="4850" w:type="dxa"/>
            <w:tcBorders>
              <w:top w:val="nil"/>
              <w:left w:val="single" w:color="auto" w:sz="4" w:space="0"/>
              <w:bottom w:val="single" w:color="auto" w:sz="4" w:space="0"/>
              <w:right w:val="single" w:color="auto" w:sz="4" w:space="0"/>
            </w:tcBorders>
            <w:shd w:val="clear" w:color="auto" w:fill="auto"/>
            <w:vAlign w:val="center"/>
          </w:tcPr>
          <w:p w14:paraId="02E16952">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车辆状态与分析：实时统计并分析车辆的运行状态和空闲数量。</w:t>
            </w:r>
          </w:p>
        </w:tc>
        <w:tc>
          <w:tcPr>
            <w:tcW w:w="560" w:type="dxa"/>
            <w:vMerge w:val="continue"/>
            <w:tcBorders>
              <w:top w:val="nil"/>
              <w:left w:val="single" w:color="auto" w:sz="4" w:space="0"/>
              <w:bottom w:val="single" w:color="000000" w:sz="4" w:space="0"/>
              <w:right w:val="single" w:color="auto" w:sz="4" w:space="0"/>
            </w:tcBorders>
            <w:vAlign w:val="center"/>
          </w:tcPr>
          <w:p w14:paraId="1C921933">
            <w:pPr>
              <w:widowControl/>
              <w:spacing w:line="560" w:lineRule="atLeast"/>
              <w:jc w:val="left"/>
              <w:rPr>
                <w:rFonts w:cs="宋体" w:asciiTheme="minorEastAsia" w:hAnsiTheme="minorEastAsia" w:eastAsiaTheme="minorEastAsia"/>
                <w:bCs/>
                <w:color w:val="000000"/>
                <w:kern w:val="0"/>
                <w:sz w:val="22"/>
                <w:szCs w:val="22"/>
              </w:rPr>
            </w:pPr>
          </w:p>
        </w:tc>
      </w:tr>
      <w:tr w14:paraId="1D988404">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6D51B27F">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723996B0">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2656D526">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6C3BEC57">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车辆定位与轨迹分析：实时显示车辆轨迹与位置，支持历史轨迹回放与优化运输路线。</w:t>
            </w:r>
          </w:p>
        </w:tc>
        <w:tc>
          <w:tcPr>
            <w:tcW w:w="560" w:type="dxa"/>
            <w:vMerge w:val="continue"/>
            <w:tcBorders>
              <w:top w:val="nil"/>
              <w:left w:val="single" w:color="auto" w:sz="4" w:space="0"/>
              <w:bottom w:val="single" w:color="000000" w:sz="4" w:space="0"/>
              <w:right w:val="single" w:color="auto" w:sz="4" w:space="0"/>
            </w:tcBorders>
            <w:vAlign w:val="center"/>
          </w:tcPr>
          <w:p w14:paraId="51E6C821">
            <w:pPr>
              <w:widowControl/>
              <w:spacing w:line="560" w:lineRule="atLeast"/>
              <w:jc w:val="left"/>
              <w:rPr>
                <w:rFonts w:cs="宋体" w:asciiTheme="minorEastAsia" w:hAnsiTheme="minorEastAsia" w:eastAsiaTheme="minorEastAsia"/>
                <w:bCs/>
                <w:color w:val="000000"/>
                <w:kern w:val="0"/>
                <w:sz w:val="22"/>
                <w:szCs w:val="22"/>
              </w:rPr>
            </w:pPr>
          </w:p>
        </w:tc>
      </w:tr>
      <w:tr w14:paraId="67C50996">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7F0D41C0">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3AA05AB6">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34C4CA9D">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客户子系统与自助服务</w:t>
            </w:r>
          </w:p>
        </w:tc>
        <w:tc>
          <w:tcPr>
            <w:tcW w:w="4850" w:type="dxa"/>
            <w:tcBorders>
              <w:top w:val="nil"/>
              <w:left w:val="single" w:color="auto" w:sz="4" w:space="0"/>
              <w:bottom w:val="single" w:color="auto" w:sz="4" w:space="0"/>
              <w:right w:val="single" w:color="auto" w:sz="4" w:space="0"/>
            </w:tcBorders>
            <w:shd w:val="clear" w:color="auto" w:fill="auto"/>
            <w:vAlign w:val="center"/>
          </w:tcPr>
          <w:p w14:paraId="7C9DC259">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线上下单功能：客户在线提交订单，填写订单金额、物品类型、数量、交货日期等信息。</w:t>
            </w:r>
          </w:p>
        </w:tc>
        <w:tc>
          <w:tcPr>
            <w:tcW w:w="560" w:type="dxa"/>
            <w:vMerge w:val="continue"/>
            <w:tcBorders>
              <w:top w:val="nil"/>
              <w:left w:val="single" w:color="auto" w:sz="4" w:space="0"/>
              <w:bottom w:val="single" w:color="000000" w:sz="4" w:space="0"/>
              <w:right w:val="single" w:color="auto" w:sz="4" w:space="0"/>
            </w:tcBorders>
            <w:vAlign w:val="center"/>
          </w:tcPr>
          <w:p w14:paraId="4B35BDF4">
            <w:pPr>
              <w:widowControl/>
              <w:spacing w:line="560" w:lineRule="atLeast"/>
              <w:jc w:val="left"/>
              <w:rPr>
                <w:rFonts w:cs="宋体" w:asciiTheme="minorEastAsia" w:hAnsiTheme="minorEastAsia" w:eastAsiaTheme="minorEastAsia"/>
                <w:bCs/>
                <w:color w:val="000000"/>
                <w:kern w:val="0"/>
                <w:sz w:val="22"/>
                <w:szCs w:val="22"/>
              </w:rPr>
            </w:pPr>
          </w:p>
        </w:tc>
      </w:tr>
      <w:tr w14:paraId="1A1CAAD1">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0D0DB86E">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62690DE1">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73465A3C">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6D00A668">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订单确认与查询：客户可查询订单状态，查看订单详情。</w:t>
            </w:r>
          </w:p>
        </w:tc>
        <w:tc>
          <w:tcPr>
            <w:tcW w:w="560" w:type="dxa"/>
            <w:vMerge w:val="continue"/>
            <w:tcBorders>
              <w:top w:val="nil"/>
              <w:left w:val="single" w:color="auto" w:sz="4" w:space="0"/>
              <w:bottom w:val="single" w:color="000000" w:sz="4" w:space="0"/>
              <w:right w:val="single" w:color="auto" w:sz="4" w:space="0"/>
            </w:tcBorders>
            <w:vAlign w:val="center"/>
          </w:tcPr>
          <w:p w14:paraId="4CFCD24D">
            <w:pPr>
              <w:widowControl/>
              <w:spacing w:line="560" w:lineRule="atLeast"/>
              <w:jc w:val="left"/>
              <w:rPr>
                <w:rFonts w:cs="宋体" w:asciiTheme="minorEastAsia" w:hAnsiTheme="minorEastAsia" w:eastAsiaTheme="minorEastAsia"/>
                <w:bCs/>
                <w:color w:val="000000"/>
                <w:kern w:val="0"/>
                <w:sz w:val="22"/>
                <w:szCs w:val="22"/>
              </w:rPr>
            </w:pPr>
          </w:p>
        </w:tc>
      </w:tr>
      <w:tr w14:paraId="57AAFB61">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58D1DB68">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05DB0990">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3F0A988D">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148B3EC1">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交货确认：客户对交货信息进行确认，包括物品类型、重量等，并支持备注与查询。</w:t>
            </w:r>
          </w:p>
        </w:tc>
        <w:tc>
          <w:tcPr>
            <w:tcW w:w="560" w:type="dxa"/>
            <w:vMerge w:val="continue"/>
            <w:tcBorders>
              <w:top w:val="nil"/>
              <w:left w:val="single" w:color="auto" w:sz="4" w:space="0"/>
              <w:bottom w:val="single" w:color="000000" w:sz="4" w:space="0"/>
              <w:right w:val="single" w:color="auto" w:sz="4" w:space="0"/>
            </w:tcBorders>
            <w:vAlign w:val="center"/>
          </w:tcPr>
          <w:p w14:paraId="3CF32A4F">
            <w:pPr>
              <w:widowControl/>
              <w:spacing w:line="560" w:lineRule="atLeast"/>
              <w:jc w:val="left"/>
              <w:rPr>
                <w:rFonts w:cs="宋体" w:asciiTheme="minorEastAsia" w:hAnsiTheme="minorEastAsia" w:eastAsiaTheme="minorEastAsia"/>
                <w:bCs/>
                <w:color w:val="000000"/>
                <w:kern w:val="0"/>
                <w:sz w:val="22"/>
                <w:szCs w:val="22"/>
              </w:rPr>
            </w:pPr>
          </w:p>
        </w:tc>
      </w:tr>
      <w:tr w14:paraId="55DA49D1">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557A9A8B">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5B87AC53">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7EEAC038">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0EDD1CE8">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费用统计与分析：统计并展示客户的各类费用支出情况。</w:t>
            </w:r>
          </w:p>
        </w:tc>
        <w:tc>
          <w:tcPr>
            <w:tcW w:w="560" w:type="dxa"/>
            <w:vMerge w:val="continue"/>
            <w:tcBorders>
              <w:top w:val="nil"/>
              <w:left w:val="single" w:color="auto" w:sz="4" w:space="0"/>
              <w:bottom w:val="single" w:color="000000" w:sz="4" w:space="0"/>
              <w:right w:val="single" w:color="auto" w:sz="4" w:space="0"/>
            </w:tcBorders>
            <w:vAlign w:val="center"/>
          </w:tcPr>
          <w:p w14:paraId="53AAADCC">
            <w:pPr>
              <w:widowControl/>
              <w:spacing w:line="560" w:lineRule="atLeast"/>
              <w:jc w:val="left"/>
              <w:rPr>
                <w:rFonts w:cs="宋体" w:asciiTheme="minorEastAsia" w:hAnsiTheme="minorEastAsia" w:eastAsiaTheme="minorEastAsia"/>
                <w:bCs/>
                <w:color w:val="000000"/>
                <w:kern w:val="0"/>
                <w:sz w:val="22"/>
                <w:szCs w:val="22"/>
              </w:rPr>
            </w:pPr>
          </w:p>
        </w:tc>
      </w:tr>
      <w:tr w14:paraId="1CACFE05">
        <w:tblPrEx>
          <w:tblCellMar>
            <w:top w:w="0" w:type="dxa"/>
            <w:left w:w="108" w:type="dxa"/>
            <w:bottom w:w="0" w:type="dxa"/>
            <w:right w:w="108" w:type="dxa"/>
          </w:tblCellMar>
        </w:tblPrEx>
        <w:trPr>
          <w:trHeight w:val="833" w:hRule="atLeast"/>
        </w:trPr>
        <w:tc>
          <w:tcPr>
            <w:tcW w:w="620" w:type="dxa"/>
            <w:vMerge w:val="continue"/>
            <w:tcBorders>
              <w:top w:val="nil"/>
              <w:left w:val="single" w:color="auto" w:sz="4" w:space="0"/>
              <w:bottom w:val="single" w:color="auto" w:sz="4" w:space="0"/>
              <w:right w:val="single" w:color="auto" w:sz="4" w:space="0"/>
            </w:tcBorders>
            <w:vAlign w:val="center"/>
          </w:tcPr>
          <w:p w14:paraId="324EC78B">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1349F990">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17F7C987">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数据管理与安全</w:t>
            </w:r>
          </w:p>
        </w:tc>
        <w:tc>
          <w:tcPr>
            <w:tcW w:w="4850" w:type="dxa"/>
            <w:tcBorders>
              <w:top w:val="nil"/>
              <w:left w:val="single" w:color="auto" w:sz="4" w:space="0"/>
              <w:bottom w:val="single" w:color="auto" w:sz="4" w:space="0"/>
              <w:right w:val="single" w:color="auto" w:sz="4" w:space="0"/>
            </w:tcBorders>
            <w:shd w:val="clear" w:color="auto" w:fill="auto"/>
            <w:vAlign w:val="center"/>
          </w:tcPr>
          <w:p w14:paraId="17FB0D12">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数据存储与备份：支持订单数据、车辆信息的存储、备份与加密，确保数据安全。6个月之前的数据采用离线方式备份。</w:t>
            </w:r>
          </w:p>
        </w:tc>
        <w:tc>
          <w:tcPr>
            <w:tcW w:w="560" w:type="dxa"/>
            <w:vMerge w:val="continue"/>
            <w:tcBorders>
              <w:top w:val="nil"/>
              <w:left w:val="single" w:color="auto" w:sz="4" w:space="0"/>
              <w:bottom w:val="single" w:color="000000" w:sz="4" w:space="0"/>
              <w:right w:val="single" w:color="auto" w:sz="4" w:space="0"/>
            </w:tcBorders>
            <w:vAlign w:val="center"/>
          </w:tcPr>
          <w:p w14:paraId="15313AE4">
            <w:pPr>
              <w:widowControl/>
              <w:spacing w:line="560" w:lineRule="atLeast"/>
              <w:jc w:val="left"/>
              <w:rPr>
                <w:rFonts w:cs="宋体" w:asciiTheme="minorEastAsia" w:hAnsiTheme="minorEastAsia" w:eastAsiaTheme="minorEastAsia"/>
                <w:bCs/>
                <w:color w:val="000000"/>
                <w:kern w:val="0"/>
                <w:sz w:val="22"/>
                <w:szCs w:val="22"/>
              </w:rPr>
            </w:pPr>
          </w:p>
        </w:tc>
      </w:tr>
      <w:tr w14:paraId="78513C20">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3399BA58">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2B8E821C">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1522323C">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5BEDD4E7">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权限管理与用户管理：支持用户信息的维护和权限配置，确保系统操作安全与合规。</w:t>
            </w:r>
          </w:p>
        </w:tc>
        <w:tc>
          <w:tcPr>
            <w:tcW w:w="560" w:type="dxa"/>
            <w:vMerge w:val="continue"/>
            <w:tcBorders>
              <w:top w:val="nil"/>
              <w:left w:val="single" w:color="auto" w:sz="4" w:space="0"/>
              <w:bottom w:val="single" w:color="000000" w:sz="4" w:space="0"/>
              <w:right w:val="single" w:color="auto" w:sz="4" w:space="0"/>
            </w:tcBorders>
            <w:vAlign w:val="center"/>
          </w:tcPr>
          <w:p w14:paraId="4E0D8918">
            <w:pPr>
              <w:widowControl/>
              <w:spacing w:line="560" w:lineRule="atLeast"/>
              <w:jc w:val="left"/>
              <w:rPr>
                <w:rFonts w:cs="宋体" w:asciiTheme="minorEastAsia" w:hAnsiTheme="minorEastAsia" w:eastAsiaTheme="minorEastAsia"/>
                <w:bCs/>
                <w:color w:val="000000"/>
                <w:kern w:val="0"/>
                <w:sz w:val="22"/>
                <w:szCs w:val="22"/>
              </w:rPr>
            </w:pPr>
          </w:p>
        </w:tc>
      </w:tr>
      <w:tr w14:paraId="14C625E0">
        <w:tblPrEx>
          <w:tblCellMar>
            <w:top w:w="0" w:type="dxa"/>
            <w:left w:w="108" w:type="dxa"/>
            <w:bottom w:w="0" w:type="dxa"/>
            <w:right w:w="108" w:type="dxa"/>
          </w:tblCellMar>
        </w:tblPrEx>
        <w:trPr>
          <w:trHeight w:val="833" w:hRule="atLeast"/>
        </w:trPr>
        <w:tc>
          <w:tcPr>
            <w:tcW w:w="620" w:type="dxa"/>
            <w:vMerge w:val="restart"/>
            <w:tcBorders>
              <w:top w:val="nil"/>
              <w:left w:val="single" w:color="auto" w:sz="4" w:space="0"/>
              <w:bottom w:val="single" w:color="auto" w:sz="4" w:space="0"/>
              <w:right w:val="single" w:color="auto" w:sz="4" w:space="0"/>
            </w:tcBorders>
            <w:shd w:val="clear" w:color="auto" w:fill="auto"/>
            <w:noWrap/>
            <w:vAlign w:val="center"/>
          </w:tcPr>
          <w:p w14:paraId="5F7C92BB">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2</w:t>
            </w:r>
          </w:p>
        </w:tc>
        <w:tc>
          <w:tcPr>
            <w:tcW w:w="1440" w:type="dxa"/>
            <w:vMerge w:val="restart"/>
            <w:tcBorders>
              <w:top w:val="nil"/>
              <w:left w:val="single" w:color="auto" w:sz="4" w:space="0"/>
              <w:bottom w:val="single" w:color="auto" w:sz="4" w:space="0"/>
              <w:right w:val="single" w:color="auto" w:sz="4" w:space="0"/>
            </w:tcBorders>
            <w:shd w:val="clear" w:color="auto" w:fill="auto"/>
            <w:noWrap/>
            <w:vAlign w:val="center"/>
          </w:tcPr>
          <w:p w14:paraId="4915FA8E">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视频监控系统</w:t>
            </w:r>
          </w:p>
        </w:tc>
        <w:tc>
          <w:tcPr>
            <w:tcW w:w="2230" w:type="dxa"/>
            <w:tcBorders>
              <w:top w:val="nil"/>
              <w:left w:val="nil"/>
              <w:bottom w:val="nil"/>
              <w:right w:val="nil"/>
            </w:tcBorders>
            <w:shd w:val="clear" w:color="auto" w:fill="auto"/>
            <w:noWrap/>
            <w:vAlign w:val="center"/>
          </w:tcPr>
          <w:p w14:paraId="6B3A05A1">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监控点接入与管理</w:t>
            </w:r>
          </w:p>
        </w:tc>
        <w:tc>
          <w:tcPr>
            <w:tcW w:w="4850" w:type="dxa"/>
            <w:tcBorders>
              <w:top w:val="nil"/>
              <w:left w:val="single" w:color="auto" w:sz="4" w:space="0"/>
              <w:bottom w:val="single" w:color="auto" w:sz="4" w:space="0"/>
              <w:right w:val="single" w:color="auto" w:sz="4" w:space="0"/>
            </w:tcBorders>
            <w:shd w:val="clear" w:color="auto" w:fill="auto"/>
            <w:vAlign w:val="center"/>
          </w:tcPr>
          <w:p w14:paraId="2BF6EED8">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全覆盖监控：将矿区内所有重要区域的视频监控接入到统一平台，实时传输视频流至IOC平台，确保现场情况的实时掌握。</w:t>
            </w:r>
          </w:p>
        </w:tc>
        <w:tc>
          <w:tcPr>
            <w:tcW w:w="560" w:type="dxa"/>
            <w:vMerge w:val="restart"/>
            <w:tcBorders>
              <w:top w:val="nil"/>
              <w:left w:val="single" w:color="auto" w:sz="4" w:space="0"/>
              <w:bottom w:val="single" w:color="000000" w:sz="4" w:space="0"/>
              <w:right w:val="single" w:color="auto" w:sz="4" w:space="0"/>
            </w:tcBorders>
            <w:shd w:val="clear" w:color="auto" w:fill="auto"/>
            <w:noWrap/>
            <w:vAlign w:val="center"/>
          </w:tcPr>
          <w:p w14:paraId="3B35A9F6">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项</w:t>
            </w:r>
          </w:p>
        </w:tc>
      </w:tr>
      <w:tr w14:paraId="1314AD59">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10A7BE3F">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auto" w:sz="4" w:space="0"/>
              <w:right w:val="single" w:color="auto" w:sz="4" w:space="0"/>
            </w:tcBorders>
            <w:vAlign w:val="center"/>
          </w:tcPr>
          <w:p w14:paraId="0E3A2F63">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69389ACA">
            <w:pPr>
              <w:widowControl/>
              <w:spacing w:line="560" w:lineRule="atLeast"/>
              <w:jc w:val="center"/>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3B972F92">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视频数据集成：支持集成多种视频信号，包括传统摄像头和云视频设备，实现无缝接入与集中展示。</w:t>
            </w:r>
          </w:p>
        </w:tc>
        <w:tc>
          <w:tcPr>
            <w:tcW w:w="560" w:type="dxa"/>
            <w:vMerge w:val="continue"/>
            <w:tcBorders>
              <w:top w:val="nil"/>
              <w:left w:val="single" w:color="auto" w:sz="4" w:space="0"/>
              <w:bottom w:val="single" w:color="000000" w:sz="4" w:space="0"/>
              <w:right w:val="single" w:color="auto" w:sz="4" w:space="0"/>
            </w:tcBorders>
            <w:vAlign w:val="center"/>
          </w:tcPr>
          <w:p w14:paraId="3208B501">
            <w:pPr>
              <w:widowControl/>
              <w:spacing w:line="560" w:lineRule="atLeast"/>
              <w:jc w:val="left"/>
              <w:rPr>
                <w:rFonts w:cs="宋体" w:asciiTheme="minorEastAsia" w:hAnsiTheme="minorEastAsia" w:eastAsiaTheme="minorEastAsia"/>
                <w:bCs/>
                <w:color w:val="000000"/>
                <w:kern w:val="0"/>
                <w:sz w:val="22"/>
                <w:szCs w:val="22"/>
              </w:rPr>
            </w:pPr>
          </w:p>
        </w:tc>
      </w:tr>
      <w:tr w14:paraId="4D5D3D64">
        <w:tblPrEx>
          <w:tblCellMar>
            <w:top w:w="0" w:type="dxa"/>
            <w:left w:w="108" w:type="dxa"/>
            <w:bottom w:w="0" w:type="dxa"/>
            <w:right w:w="108" w:type="dxa"/>
          </w:tblCellMar>
        </w:tblPrEx>
        <w:trPr>
          <w:trHeight w:val="833" w:hRule="atLeast"/>
        </w:trPr>
        <w:tc>
          <w:tcPr>
            <w:tcW w:w="620" w:type="dxa"/>
            <w:vMerge w:val="continue"/>
            <w:tcBorders>
              <w:top w:val="nil"/>
              <w:left w:val="single" w:color="auto" w:sz="4" w:space="0"/>
              <w:bottom w:val="single" w:color="auto" w:sz="4" w:space="0"/>
              <w:right w:val="single" w:color="auto" w:sz="4" w:space="0"/>
            </w:tcBorders>
            <w:vAlign w:val="center"/>
          </w:tcPr>
          <w:p w14:paraId="1B4AFBD6">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auto" w:sz="4" w:space="0"/>
              <w:right w:val="single" w:color="auto" w:sz="4" w:space="0"/>
            </w:tcBorders>
            <w:vAlign w:val="center"/>
          </w:tcPr>
          <w:p w14:paraId="26AC05AE">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30629BE2">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asciiTheme="minorEastAsia" w:hAnsiTheme="minorEastAsia" w:eastAsiaTheme="minorEastAsia"/>
                <w:bCs/>
              </w:rPr>
              <w:t>★</w:t>
            </w:r>
            <w:r>
              <w:rPr>
                <w:rFonts w:hint="eastAsia" w:cs="宋体" w:asciiTheme="minorEastAsia" w:hAnsiTheme="minorEastAsia" w:eastAsiaTheme="minorEastAsia"/>
                <w:bCs/>
                <w:color w:val="000000"/>
                <w:kern w:val="0"/>
                <w:sz w:val="22"/>
                <w:szCs w:val="22"/>
              </w:rPr>
              <w:t>非标设备接入与集成</w:t>
            </w:r>
          </w:p>
        </w:tc>
        <w:tc>
          <w:tcPr>
            <w:tcW w:w="4850" w:type="dxa"/>
            <w:tcBorders>
              <w:top w:val="nil"/>
              <w:left w:val="single" w:color="auto" w:sz="4" w:space="0"/>
              <w:bottom w:val="single" w:color="auto" w:sz="4" w:space="0"/>
              <w:right w:val="single" w:color="auto" w:sz="4" w:space="0"/>
            </w:tcBorders>
            <w:shd w:val="clear" w:color="auto" w:fill="auto"/>
            <w:vAlign w:val="center"/>
          </w:tcPr>
          <w:p w14:paraId="5203055E">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非标设备接入支持：支持接入不同品牌和类型的非标设备（如萤石云、天翼云眼），确保视频数据流畅接入并实时交互。</w:t>
            </w:r>
          </w:p>
        </w:tc>
        <w:tc>
          <w:tcPr>
            <w:tcW w:w="560" w:type="dxa"/>
            <w:vMerge w:val="continue"/>
            <w:tcBorders>
              <w:top w:val="nil"/>
              <w:left w:val="single" w:color="auto" w:sz="4" w:space="0"/>
              <w:bottom w:val="single" w:color="000000" w:sz="4" w:space="0"/>
              <w:right w:val="single" w:color="auto" w:sz="4" w:space="0"/>
            </w:tcBorders>
            <w:vAlign w:val="center"/>
          </w:tcPr>
          <w:p w14:paraId="58F1BFF0">
            <w:pPr>
              <w:widowControl/>
              <w:spacing w:line="560" w:lineRule="atLeast"/>
              <w:jc w:val="left"/>
              <w:rPr>
                <w:rFonts w:cs="宋体" w:asciiTheme="minorEastAsia" w:hAnsiTheme="minorEastAsia" w:eastAsiaTheme="minorEastAsia"/>
                <w:bCs/>
                <w:color w:val="000000"/>
                <w:kern w:val="0"/>
                <w:sz w:val="22"/>
                <w:szCs w:val="22"/>
              </w:rPr>
            </w:pPr>
          </w:p>
        </w:tc>
      </w:tr>
      <w:tr w14:paraId="28F7A03D">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0D09120D">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auto" w:sz="4" w:space="0"/>
              <w:right w:val="single" w:color="auto" w:sz="4" w:space="0"/>
            </w:tcBorders>
            <w:vAlign w:val="center"/>
          </w:tcPr>
          <w:p w14:paraId="300645B4">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7BACE114">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3243C28A">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多设备兼容：适配和优化不同视频流的编码格式、分辨率、存储要求，实现多种设备的数据兼容与集成。</w:t>
            </w:r>
          </w:p>
        </w:tc>
        <w:tc>
          <w:tcPr>
            <w:tcW w:w="560" w:type="dxa"/>
            <w:vMerge w:val="continue"/>
            <w:tcBorders>
              <w:top w:val="nil"/>
              <w:left w:val="single" w:color="auto" w:sz="4" w:space="0"/>
              <w:bottom w:val="single" w:color="000000" w:sz="4" w:space="0"/>
              <w:right w:val="single" w:color="auto" w:sz="4" w:space="0"/>
            </w:tcBorders>
            <w:vAlign w:val="center"/>
          </w:tcPr>
          <w:p w14:paraId="6C8AEECA">
            <w:pPr>
              <w:widowControl/>
              <w:spacing w:line="560" w:lineRule="atLeast"/>
              <w:jc w:val="left"/>
              <w:rPr>
                <w:rFonts w:cs="宋体" w:asciiTheme="minorEastAsia" w:hAnsiTheme="minorEastAsia" w:eastAsiaTheme="minorEastAsia"/>
                <w:bCs/>
                <w:color w:val="000000"/>
                <w:kern w:val="0"/>
                <w:sz w:val="22"/>
                <w:szCs w:val="22"/>
              </w:rPr>
            </w:pPr>
          </w:p>
        </w:tc>
      </w:tr>
      <w:tr w14:paraId="0592C755">
        <w:tblPrEx>
          <w:tblCellMar>
            <w:top w:w="0" w:type="dxa"/>
            <w:left w:w="108" w:type="dxa"/>
            <w:bottom w:w="0" w:type="dxa"/>
            <w:right w:w="108" w:type="dxa"/>
          </w:tblCellMar>
        </w:tblPrEx>
        <w:trPr>
          <w:trHeight w:val="833" w:hRule="atLeast"/>
        </w:trPr>
        <w:tc>
          <w:tcPr>
            <w:tcW w:w="620" w:type="dxa"/>
            <w:vMerge w:val="continue"/>
            <w:tcBorders>
              <w:top w:val="nil"/>
              <w:left w:val="single" w:color="auto" w:sz="4" w:space="0"/>
              <w:bottom w:val="single" w:color="auto" w:sz="4" w:space="0"/>
              <w:right w:val="single" w:color="auto" w:sz="4" w:space="0"/>
            </w:tcBorders>
            <w:vAlign w:val="center"/>
          </w:tcPr>
          <w:p w14:paraId="3ECB0A85">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auto" w:sz="4" w:space="0"/>
              <w:right w:val="single" w:color="auto" w:sz="4" w:space="0"/>
            </w:tcBorders>
            <w:vAlign w:val="center"/>
          </w:tcPr>
          <w:p w14:paraId="0E5F594D">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7AF18F4C">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监控可视化与大屏展示</w:t>
            </w:r>
          </w:p>
        </w:tc>
        <w:tc>
          <w:tcPr>
            <w:tcW w:w="4850" w:type="dxa"/>
            <w:tcBorders>
              <w:top w:val="nil"/>
              <w:left w:val="single" w:color="auto" w:sz="4" w:space="0"/>
              <w:bottom w:val="nil"/>
              <w:right w:val="single" w:color="auto" w:sz="4" w:space="0"/>
            </w:tcBorders>
            <w:shd w:val="clear" w:color="auto" w:fill="auto"/>
            <w:vAlign w:val="center"/>
          </w:tcPr>
          <w:p w14:paraId="20135CE2">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大屏可视化管理：将监控视频流与监控点状态通过“一张图”在大屏上展示，帮助管理人员全面掌握矿区生产和安全状况。</w:t>
            </w:r>
          </w:p>
        </w:tc>
        <w:tc>
          <w:tcPr>
            <w:tcW w:w="560" w:type="dxa"/>
            <w:vMerge w:val="continue"/>
            <w:tcBorders>
              <w:top w:val="nil"/>
              <w:left w:val="single" w:color="auto" w:sz="4" w:space="0"/>
              <w:bottom w:val="single" w:color="000000" w:sz="4" w:space="0"/>
              <w:right w:val="single" w:color="auto" w:sz="4" w:space="0"/>
            </w:tcBorders>
            <w:vAlign w:val="center"/>
          </w:tcPr>
          <w:p w14:paraId="21DF10C3">
            <w:pPr>
              <w:widowControl/>
              <w:spacing w:line="560" w:lineRule="atLeast"/>
              <w:jc w:val="left"/>
              <w:rPr>
                <w:rFonts w:cs="宋体" w:asciiTheme="minorEastAsia" w:hAnsiTheme="minorEastAsia" w:eastAsiaTheme="minorEastAsia"/>
                <w:bCs/>
                <w:color w:val="000000"/>
                <w:kern w:val="0"/>
                <w:sz w:val="22"/>
                <w:szCs w:val="22"/>
              </w:rPr>
            </w:pPr>
          </w:p>
        </w:tc>
      </w:tr>
      <w:tr w14:paraId="6D71DC9F">
        <w:tblPrEx>
          <w:tblCellMar>
            <w:top w:w="0" w:type="dxa"/>
            <w:left w:w="108" w:type="dxa"/>
            <w:bottom w:w="0" w:type="dxa"/>
            <w:right w:w="108" w:type="dxa"/>
          </w:tblCellMar>
        </w:tblPrEx>
        <w:trPr>
          <w:trHeight w:val="833" w:hRule="atLeast"/>
        </w:trPr>
        <w:tc>
          <w:tcPr>
            <w:tcW w:w="62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AF5CE16">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3</w:t>
            </w:r>
          </w:p>
        </w:tc>
        <w:tc>
          <w:tcPr>
            <w:tcW w:w="14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2F00365">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移动端程序</w:t>
            </w:r>
          </w:p>
        </w:tc>
        <w:tc>
          <w:tcPr>
            <w:tcW w:w="2230" w:type="dxa"/>
            <w:tcBorders>
              <w:top w:val="single" w:color="auto" w:sz="4" w:space="0"/>
              <w:left w:val="nil"/>
              <w:bottom w:val="nil"/>
              <w:right w:val="nil"/>
            </w:tcBorders>
            <w:shd w:val="clear" w:color="auto" w:fill="auto"/>
            <w:noWrap/>
            <w:vAlign w:val="center"/>
          </w:tcPr>
          <w:p w14:paraId="7CBF3EFC">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企业移动端</w:t>
            </w:r>
          </w:p>
        </w:tc>
        <w:tc>
          <w:tcPr>
            <w:tcW w:w="4850" w:type="dxa"/>
            <w:tcBorders>
              <w:top w:val="single" w:color="auto" w:sz="4" w:space="0"/>
              <w:left w:val="single" w:color="auto" w:sz="4" w:space="0"/>
              <w:bottom w:val="single" w:color="auto" w:sz="4" w:space="0"/>
              <w:right w:val="single" w:color="auto" w:sz="4" w:space="0"/>
            </w:tcBorders>
            <w:shd w:val="clear" w:color="auto" w:fill="auto"/>
            <w:vAlign w:val="center"/>
          </w:tcPr>
          <w:p w14:paraId="4FE04F25">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地磅管理：提供过磅信息查询（过磅时间、货物类型、重量等），支持查看地磅工作状态（已完成、未开始、过磅中、异常等）。</w:t>
            </w:r>
          </w:p>
        </w:tc>
        <w:tc>
          <w:tcPr>
            <w:tcW w:w="560" w:type="dxa"/>
            <w:vMerge w:val="restart"/>
            <w:tcBorders>
              <w:top w:val="nil"/>
              <w:left w:val="single" w:color="auto" w:sz="4" w:space="0"/>
              <w:bottom w:val="single" w:color="000000" w:sz="4" w:space="0"/>
              <w:right w:val="single" w:color="auto" w:sz="4" w:space="0"/>
            </w:tcBorders>
            <w:shd w:val="clear" w:color="auto" w:fill="auto"/>
            <w:vAlign w:val="center"/>
          </w:tcPr>
          <w:p w14:paraId="6B49132F">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项</w:t>
            </w:r>
          </w:p>
        </w:tc>
      </w:tr>
      <w:tr w14:paraId="08B0D1BA">
        <w:tblPrEx>
          <w:tblCellMar>
            <w:top w:w="0" w:type="dxa"/>
            <w:left w:w="108" w:type="dxa"/>
            <w:bottom w:w="0" w:type="dxa"/>
            <w:right w:w="108" w:type="dxa"/>
          </w:tblCellMar>
        </w:tblPrEx>
        <w:trPr>
          <w:trHeight w:val="555" w:hRule="atLeast"/>
        </w:trPr>
        <w:tc>
          <w:tcPr>
            <w:tcW w:w="620" w:type="dxa"/>
            <w:vMerge w:val="continue"/>
            <w:tcBorders>
              <w:top w:val="single" w:color="auto" w:sz="4" w:space="0"/>
              <w:left w:val="single" w:color="auto" w:sz="4" w:space="0"/>
              <w:bottom w:val="single" w:color="000000" w:sz="4" w:space="0"/>
              <w:right w:val="single" w:color="auto" w:sz="4" w:space="0"/>
            </w:tcBorders>
            <w:vAlign w:val="center"/>
          </w:tcPr>
          <w:p w14:paraId="4429A4FD">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single" w:color="auto" w:sz="4" w:space="0"/>
              <w:left w:val="single" w:color="auto" w:sz="4" w:space="0"/>
              <w:bottom w:val="single" w:color="000000" w:sz="4" w:space="0"/>
              <w:right w:val="single" w:color="auto" w:sz="4" w:space="0"/>
            </w:tcBorders>
            <w:vAlign w:val="center"/>
          </w:tcPr>
          <w:p w14:paraId="0CAB670A">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269C980B">
            <w:pPr>
              <w:widowControl/>
              <w:spacing w:line="560" w:lineRule="atLeast"/>
              <w:jc w:val="center"/>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60819451">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销售管理：支持线上下单、填写订单信息，客户订单查询与管理（按日期、客户、物品类型等查询）。</w:t>
            </w:r>
          </w:p>
        </w:tc>
        <w:tc>
          <w:tcPr>
            <w:tcW w:w="560" w:type="dxa"/>
            <w:vMerge w:val="continue"/>
            <w:tcBorders>
              <w:top w:val="nil"/>
              <w:left w:val="single" w:color="auto" w:sz="4" w:space="0"/>
              <w:bottom w:val="single" w:color="000000" w:sz="4" w:space="0"/>
              <w:right w:val="single" w:color="auto" w:sz="4" w:space="0"/>
            </w:tcBorders>
            <w:vAlign w:val="center"/>
          </w:tcPr>
          <w:p w14:paraId="6623DBB6">
            <w:pPr>
              <w:widowControl/>
              <w:spacing w:line="560" w:lineRule="atLeast"/>
              <w:jc w:val="left"/>
              <w:rPr>
                <w:rFonts w:cs="宋体" w:asciiTheme="minorEastAsia" w:hAnsiTheme="minorEastAsia" w:eastAsiaTheme="minorEastAsia"/>
                <w:bCs/>
                <w:color w:val="000000"/>
                <w:kern w:val="0"/>
                <w:sz w:val="22"/>
                <w:szCs w:val="22"/>
              </w:rPr>
            </w:pPr>
          </w:p>
        </w:tc>
      </w:tr>
      <w:tr w14:paraId="08917247">
        <w:tblPrEx>
          <w:tblCellMar>
            <w:top w:w="0" w:type="dxa"/>
            <w:left w:w="108" w:type="dxa"/>
            <w:bottom w:w="0" w:type="dxa"/>
            <w:right w:w="108" w:type="dxa"/>
          </w:tblCellMar>
        </w:tblPrEx>
        <w:trPr>
          <w:trHeight w:val="833" w:hRule="atLeast"/>
        </w:trPr>
        <w:tc>
          <w:tcPr>
            <w:tcW w:w="620" w:type="dxa"/>
            <w:vMerge w:val="continue"/>
            <w:tcBorders>
              <w:top w:val="single" w:color="auto" w:sz="4" w:space="0"/>
              <w:left w:val="single" w:color="auto" w:sz="4" w:space="0"/>
              <w:bottom w:val="single" w:color="000000" w:sz="4" w:space="0"/>
              <w:right w:val="single" w:color="auto" w:sz="4" w:space="0"/>
            </w:tcBorders>
            <w:vAlign w:val="center"/>
          </w:tcPr>
          <w:p w14:paraId="026A82AC">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single" w:color="auto" w:sz="4" w:space="0"/>
              <w:left w:val="single" w:color="auto" w:sz="4" w:space="0"/>
              <w:bottom w:val="single" w:color="000000" w:sz="4" w:space="0"/>
              <w:right w:val="single" w:color="auto" w:sz="4" w:space="0"/>
            </w:tcBorders>
            <w:vAlign w:val="center"/>
          </w:tcPr>
          <w:p w14:paraId="4B23B981">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34906C79">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239E29F0">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数据统计与分析：提供客户订单统计、销量统计与销售额统计，支持按日期、客户、货物类型等维度分析。</w:t>
            </w:r>
          </w:p>
        </w:tc>
        <w:tc>
          <w:tcPr>
            <w:tcW w:w="560" w:type="dxa"/>
            <w:vMerge w:val="continue"/>
            <w:tcBorders>
              <w:top w:val="nil"/>
              <w:left w:val="single" w:color="auto" w:sz="4" w:space="0"/>
              <w:bottom w:val="single" w:color="000000" w:sz="4" w:space="0"/>
              <w:right w:val="single" w:color="auto" w:sz="4" w:space="0"/>
            </w:tcBorders>
            <w:vAlign w:val="center"/>
          </w:tcPr>
          <w:p w14:paraId="05BB96B6">
            <w:pPr>
              <w:widowControl/>
              <w:spacing w:line="560" w:lineRule="atLeast"/>
              <w:jc w:val="left"/>
              <w:rPr>
                <w:rFonts w:cs="宋体" w:asciiTheme="minorEastAsia" w:hAnsiTheme="minorEastAsia" w:eastAsiaTheme="minorEastAsia"/>
                <w:bCs/>
                <w:color w:val="000000"/>
                <w:kern w:val="0"/>
                <w:sz w:val="22"/>
                <w:szCs w:val="22"/>
              </w:rPr>
            </w:pPr>
          </w:p>
        </w:tc>
      </w:tr>
      <w:tr w14:paraId="5269EB1F">
        <w:tblPrEx>
          <w:tblCellMar>
            <w:top w:w="0" w:type="dxa"/>
            <w:left w:w="108" w:type="dxa"/>
            <w:bottom w:w="0" w:type="dxa"/>
            <w:right w:w="108" w:type="dxa"/>
          </w:tblCellMar>
        </w:tblPrEx>
        <w:trPr>
          <w:trHeight w:val="555" w:hRule="atLeast"/>
        </w:trPr>
        <w:tc>
          <w:tcPr>
            <w:tcW w:w="620" w:type="dxa"/>
            <w:vMerge w:val="continue"/>
            <w:tcBorders>
              <w:top w:val="single" w:color="auto" w:sz="4" w:space="0"/>
              <w:left w:val="single" w:color="auto" w:sz="4" w:space="0"/>
              <w:bottom w:val="single" w:color="000000" w:sz="4" w:space="0"/>
              <w:right w:val="single" w:color="auto" w:sz="4" w:space="0"/>
            </w:tcBorders>
            <w:vAlign w:val="center"/>
          </w:tcPr>
          <w:p w14:paraId="4ED9BD12">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single" w:color="auto" w:sz="4" w:space="0"/>
              <w:left w:val="single" w:color="auto" w:sz="4" w:space="0"/>
              <w:bottom w:val="single" w:color="000000" w:sz="4" w:space="0"/>
              <w:right w:val="single" w:color="auto" w:sz="4" w:space="0"/>
            </w:tcBorders>
            <w:vAlign w:val="center"/>
          </w:tcPr>
          <w:p w14:paraId="12374CFC">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6E91132C">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4E995E98">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车辆管理：支持车辆实时定位、车辆轨迹查询、车辆状态查询（正常、定位中、无法连接卫星等状态）。</w:t>
            </w:r>
          </w:p>
        </w:tc>
        <w:tc>
          <w:tcPr>
            <w:tcW w:w="560" w:type="dxa"/>
            <w:vMerge w:val="continue"/>
            <w:tcBorders>
              <w:top w:val="nil"/>
              <w:left w:val="single" w:color="auto" w:sz="4" w:space="0"/>
              <w:bottom w:val="single" w:color="000000" w:sz="4" w:space="0"/>
              <w:right w:val="single" w:color="auto" w:sz="4" w:space="0"/>
            </w:tcBorders>
            <w:vAlign w:val="center"/>
          </w:tcPr>
          <w:p w14:paraId="6CCEBE5D">
            <w:pPr>
              <w:widowControl/>
              <w:spacing w:line="560" w:lineRule="atLeast"/>
              <w:jc w:val="left"/>
              <w:rPr>
                <w:rFonts w:cs="宋体" w:asciiTheme="minorEastAsia" w:hAnsiTheme="minorEastAsia" w:eastAsiaTheme="minorEastAsia"/>
                <w:bCs/>
                <w:color w:val="000000"/>
                <w:kern w:val="0"/>
                <w:sz w:val="22"/>
                <w:szCs w:val="22"/>
              </w:rPr>
            </w:pPr>
          </w:p>
        </w:tc>
      </w:tr>
      <w:tr w14:paraId="12864D5F">
        <w:tblPrEx>
          <w:tblCellMar>
            <w:top w:w="0" w:type="dxa"/>
            <w:left w:w="108" w:type="dxa"/>
            <w:bottom w:w="0" w:type="dxa"/>
            <w:right w:w="108" w:type="dxa"/>
          </w:tblCellMar>
        </w:tblPrEx>
        <w:trPr>
          <w:trHeight w:val="555" w:hRule="atLeast"/>
        </w:trPr>
        <w:tc>
          <w:tcPr>
            <w:tcW w:w="620" w:type="dxa"/>
            <w:vMerge w:val="continue"/>
            <w:tcBorders>
              <w:top w:val="single" w:color="auto" w:sz="4" w:space="0"/>
              <w:left w:val="single" w:color="auto" w:sz="4" w:space="0"/>
              <w:bottom w:val="single" w:color="000000" w:sz="4" w:space="0"/>
              <w:right w:val="single" w:color="auto" w:sz="4" w:space="0"/>
            </w:tcBorders>
            <w:vAlign w:val="center"/>
          </w:tcPr>
          <w:p w14:paraId="446DEF7C">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single" w:color="auto" w:sz="4" w:space="0"/>
              <w:left w:val="single" w:color="auto" w:sz="4" w:space="0"/>
              <w:bottom w:val="single" w:color="000000" w:sz="4" w:space="0"/>
              <w:right w:val="single" w:color="auto" w:sz="4" w:space="0"/>
            </w:tcBorders>
            <w:vAlign w:val="center"/>
          </w:tcPr>
          <w:p w14:paraId="48893F1D">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544717EC">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客户移动端</w:t>
            </w:r>
          </w:p>
        </w:tc>
        <w:tc>
          <w:tcPr>
            <w:tcW w:w="4850" w:type="dxa"/>
            <w:tcBorders>
              <w:top w:val="nil"/>
              <w:left w:val="single" w:color="auto" w:sz="4" w:space="0"/>
              <w:bottom w:val="single" w:color="auto" w:sz="4" w:space="0"/>
              <w:right w:val="single" w:color="auto" w:sz="4" w:space="0"/>
            </w:tcBorders>
            <w:shd w:val="clear" w:color="auto" w:fill="auto"/>
            <w:vAlign w:val="center"/>
          </w:tcPr>
          <w:p w14:paraId="466D9126">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客户订单管理：客户自助在线下单、订单确认与查询，查看订单状态、金额、交货日期等信息。</w:t>
            </w:r>
          </w:p>
        </w:tc>
        <w:tc>
          <w:tcPr>
            <w:tcW w:w="560" w:type="dxa"/>
            <w:vMerge w:val="continue"/>
            <w:tcBorders>
              <w:top w:val="nil"/>
              <w:left w:val="single" w:color="auto" w:sz="4" w:space="0"/>
              <w:bottom w:val="single" w:color="000000" w:sz="4" w:space="0"/>
              <w:right w:val="single" w:color="auto" w:sz="4" w:space="0"/>
            </w:tcBorders>
            <w:vAlign w:val="center"/>
          </w:tcPr>
          <w:p w14:paraId="74664587">
            <w:pPr>
              <w:widowControl/>
              <w:spacing w:line="560" w:lineRule="atLeast"/>
              <w:jc w:val="left"/>
              <w:rPr>
                <w:rFonts w:cs="宋体" w:asciiTheme="minorEastAsia" w:hAnsiTheme="minorEastAsia" w:eastAsiaTheme="minorEastAsia"/>
                <w:bCs/>
                <w:color w:val="000000"/>
                <w:kern w:val="0"/>
                <w:sz w:val="22"/>
                <w:szCs w:val="22"/>
              </w:rPr>
            </w:pPr>
          </w:p>
        </w:tc>
      </w:tr>
      <w:tr w14:paraId="30A27287">
        <w:tblPrEx>
          <w:tblCellMar>
            <w:top w:w="0" w:type="dxa"/>
            <w:left w:w="108" w:type="dxa"/>
            <w:bottom w:w="0" w:type="dxa"/>
            <w:right w:w="108" w:type="dxa"/>
          </w:tblCellMar>
        </w:tblPrEx>
        <w:trPr>
          <w:trHeight w:val="833" w:hRule="atLeast"/>
        </w:trPr>
        <w:tc>
          <w:tcPr>
            <w:tcW w:w="620" w:type="dxa"/>
            <w:vMerge w:val="continue"/>
            <w:tcBorders>
              <w:top w:val="single" w:color="auto" w:sz="4" w:space="0"/>
              <w:left w:val="single" w:color="auto" w:sz="4" w:space="0"/>
              <w:bottom w:val="single" w:color="000000" w:sz="4" w:space="0"/>
              <w:right w:val="single" w:color="auto" w:sz="4" w:space="0"/>
            </w:tcBorders>
            <w:vAlign w:val="center"/>
          </w:tcPr>
          <w:p w14:paraId="4552FCC5">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single" w:color="auto" w:sz="4" w:space="0"/>
              <w:left w:val="single" w:color="auto" w:sz="4" w:space="0"/>
              <w:bottom w:val="single" w:color="000000" w:sz="4" w:space="0"/>
              <w:right w:val="single" w:color="auto" w:sz="4" w:space="0"/>
            </w:tcBorders>
            <w:vAlign w:val="center"/>
          </w:tcPr>
          <w:p w14:paraId="1BB7E171">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785077A6">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420B2612">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统计与费用管理：提供订单统计功能（按日期、客户、货物类型等统计）和费用统计（包括商品费用、服务费用等）。</w:t>
            </w:r>
          </w:p>
        </w:tc>
        <w:tc>
          <w:tcPr>
            <w:tcW w:w="560" w:type="dxa"/>
            <w:vMerge w:val="continue"/>
            <w:tcBorders>
              <w:top w:val="nil"/>
              <w:left w:val="single" w:color="auto" w:sz="4" w:space="0"/>
              <w:bottom w:val="single" w:color="000000" w:sz="4" w:space="0"/>
              <w:right w:val="single" w:color="auto" w:sz="4" w:space="0"/>
            </w:tcBorders>
            <w:vAlign w:val="center"/>
          </w:tcPr>
          <w:p w14:paraId="40C069AA">
            <w:pPr>
              <w:widowControl/>
              <w:spacing w:line="560" w:lineRule="atLeast"/>
              <w:jc w:val="left"/>
              <w:rPr>
                <w:rFonts w:cs="宋体" w:asciiTheme="minorEastAsia" w:hAnsiTheme="minorEastAsia" w:eastAsiaTheme="minorEastAsia"/>
                <w:bCs/>
                <w:color w:val="000000"/>
                <w:kern w:val="0"/>
                <w:sz w:val="22"/>
                <w:szCs w:val="22"/>
              </w:rPr>
            </w:pPr>
          </w:p>
        </w:tc>
      </w:tr>
      <w:tr w14:paraId="0F9952AE">
        <w:tblPrEx>
          <w:tblCellMar>
            <w:top w:w="0" w:type="dxa"/>
            <w:left w:w="108" w:type="dxa"/>
            <w:bottom w:w="0" w:type="dxa"/>
            <w:right w:w="108" w:type="dxa"/>
          </w:tblCellMar>
        </w:tblPrEx>
        <w:trPr>
          <w:trHeight w:val="555" w:hRule="atLeast"/>
        </w:trPr>
        <w:tc>
          <w:tcPr>
            <w:tcW w:w="620" w:type="dxa"/>
            <w:vMerge w:val="continue"/>
            <w:tcBorders>
              <w:top w:val="single" w:color="auto" w:sz="4" w:space="0"/>
              <w:left w:val="single" w:color="auto" w:sz="4" w:space="0"/>
              <w:bottom w:val="single" w:color="000000" w:sz="4" w:space="0"/>
              <w:right w:val="single" w:color="auto" w:sz="4" w:space="0"/>
            </w:tcBorders>
            <w:vAlign w:val="center"/>
          </w:tcPr>
          <w:p w14:paraId="631081BA">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single" w:color="auto" w:sz="4" w:space="0"/>
              <w:left w:val="single" w:color="auto" w:sz="4" w:space="0"/>
              <w:bottom w:val="single" w:color="000000" w:sz="4" w:space="0"/>
              <w:right w:val="single" w:color="auto" w:sz="4" w:space="0"/>
            </w:tcBorders>
            <w:vAlign w:val="center"/>
          </w:tcPr>
          <w:p w14:paraId="0B4DB0DD">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3E86BE2A">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电子围栏监控</w:t>
            </w:r>
          </w:p>
        </w:tc>
        <w:tc>
          <w:tcPr>
            <w:tcW w:w="4850" w:type="dxa"/>
            <w:tcBorders>
              <w:top w:val="nil"/>
              <w:left w:val="single" w:color="auto" w:sz="4" w:space="0"/>
              <w:bottom w:val="single" w:color="auto" w:sz="4" w:space="0"/>
              <w:right w:val="single" w:color="auto" w:sz="4" w:space="0"/>
            </w:tcBorders>
            <w:shd w:val="clear" w:color="auto" w:fill="auto"/>
            <w:vAlign w:val="center"/>
          </w:tcPr>
          <w:p w14:paraId="523A2DB8">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越界预警：实时监控设备和车辆的当前位置，超出工作区域时触发预警并发送给指定人员。</w:t>
            </w:r>
          </w:p>
        </w:tc>
        <w:tc>
          <w:tcPr>
            <w:tcW w:w="560" w:type="dxa"/>
            <w:vMerge w:val="continue"/>
            <w:tcBorders>
              <w:top w:val="nil"/>
              <w:left w:val="single" w:color="auto" w:sz="4" w:space="0"/>
              <w:bottom w:val="single" w:color="000000" w:sz="4" w:space="0"/>
              <w:right w:val="single" w:color="auto" w:sz="4" w:space="0"/>
            </w:tcBorders>
            <w:vAlign w:val="center"/>
          </w:tcPr>
          <w:p w14:paraId="1CF8CB3B">
            <w:pPr>
              <w:widowControl/>
              <w:spacing w:line="560" w:lineRule="atLeast"/>
              <w:jc w:val="left"/>
              <w:rPr>
                <w:rFonts w:cs="宋体" w:asciiTheme="minorEastAsia" w:hAnsiTheme="minorEastAsia" w:eastAsiaTheme="minorEastAsia"/>
                <w:bCs/>
                <w:color w:val="000000"/>
                <w:kern w:val="0"/>
                <w:sz w:val="22"/>
                <w:szCs w:val="22"/>
              </w:rPr>
            </w:pPr>
          </w:p>
        </w:tc>
      </w:tr>
      <w:tr w14:paraId="10616213">
        <w:tblPrEx>
          <w:tblCellMar>
            <w:top w:w="0" w:type="dxa"/>
            <w:left w:w="108" w:type="dxa"/>
            <w:bottom w:w="0" w:type="dxa"/>
            <w:right w:w="108" w:type="dxa"/>
          </w:tblCellMar>
        </w:tblPrEx>
        <w:trPr>
          <w:trHeight w:val="555" w:hRule="atLeast"/>
        </w:trPr>
        <w:tc>
          <w:tcPr>
            <w:tcW w:w="620" w:type="dxa"/>
            <w:vMerge w:val="continue"/>
            <w:tcBorders>
              <w:top w:val="single" w:color="auto" w:sz="4" w:space="0"/>
              <w:left w:val="single" w:color="auto" w:sz="4" w:space="0"/>
              <w:bottom w:val="single" w:color="000000" w:sz="4" w:space="0"/>
              <w:right w:val="single" w:color="auto" w:sz="4" w:space="0"/>
            </w:tcBorders>
            <w:vAlign w:val="center"/>
          </w:tcPr>
          <w:p w14:paraId="08059230">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single" w:color="auto" w:sz="4" w:space="0"/>
              <w:left w:val="single" w:color="auto" w:sz="4" w:space="0"/>
              <w:bottom w:val="single" w:color="000000" w:sz="4" w:space="0"/>
              <w:right w:val="single" w:color="auto" w:sz="4" w:space="0"/>
            </w:tcBorders>
            <w:vAlign w:val="center"/>
          </w:tcPr>
          <w:p w14:paraId="58C5FF06">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3ED55CE0">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1A58D318">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预警信息查询：提供历史预警记录查询功能，可按时间、设备、车辆等条件筛选查询。</w:t>
            </w:r>
          </w:p>
        </w:tc>
        <w:tc>
          <w:tcPr>
            <w:tcW w:w="560" w:type="dxa"/>
            <w:vMerge w:val="continue"/>
            <w:tcBorders>
              <w:top w:val="nil"/>
              <w:left w:val="single" w:color="auto" w:sz="4" w:space="0"/>
              <w:bottom w:val="single" w:color="000000" w:sz="4" w:space="0"/>
              <w:right w:val="single" w:color="auto" w:sz="4" w:space="0"/>
            </w:tcBorders>
            <w:vAlign w:val="center"/>
          </w:tcPr>
          <w:p w14:paraId="5CA711C4">
            <w:pPr>
              <w:widowControl/>
              <w:spacing w:line="560" w:lineRule="atLeast"/>
              <w:jc w:val="left"/>
              <w:rPr>
                <w:rFonts w:cs="宋体" w:asciiTheme="minorEastAsia" w:hAnsiTheme="minorEastAsia" w:eastAsiaTheme="minorEastAsia"/>
                <w:bCs/>
                <w:color w:val="000000"/>
                <w:kern w:val="0"/>
                <w:sz w:val="22"/>
                <w:szCs w:val="22"/>
              </w:rPr>
            </w:pPr>
          </w:p>
        </w:tc>
      </w:tr>
      <w:tr w14:paraId="731B2390">
        <w:tblPrEx>
          <w:tblCellMar>
            <w:top w:w="0" w:type="dxa"/>
            <w:left w:w="108" w:type="dxa"/>
            <w:bottom w:w="0" w:type="dxa"/>
            <w:right w:w="108" w:type="dxa"/>
          </w:tblCellMar>
        </w:tblPrEx>
        <w:trPr>
          <w:trHeight w:val="833" w:hRule="atLeast"/>
        </w:trPr>
        <w:tc>
          <w:tcPr>
            <w:tcW w:w="620" w:type="dxa"/>
            <w:vMerge w:val="continue"/>
            <w:tcBorders>
              <w:top w:val="single" w:color="auto" w:sz="4" w:space="0"/>
              <w:left w:val="single" w:color="auto" w:sz="4" w:space="0"/>
              <w:bottom w:val="single" w:color="000000" w:sz="4" w:space="0"/>
              <w:right w:val="single" w:color="auto" w:sz="4" w:space="0"/>
            </w:tcBorders>
            <w:vAlign w:val="center"/>
          </w:tcPr>
          <w:p w14:paraId="02FC2C87">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single" w:color="auto" w:sz="4" w:space="0"/>
              <w:left w:val="single" w:color="auto" w:sz="4" w:space="0"/>
              <w:bottom w:val="single" w:color="000000" w:sz="4" w:space="0"/>
              <w:right w:val="single" w:color="auto" w:sz="4" w:space="0"/>
            </w:tcBorders>
            <w:vAlign w:val="center"/>
          </w:tcPr>
          <w:p w14:paraId="1F44DE4F">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single" w:color="auto" w:sz="4" w:space="0"/>
              <w:right w:val="nil"/>
            </w:tcBorders>
            <w:shd w:val="clear" w:color="auto" w:fill="auto"/>
            <w:noWrap/>
            <w:vAlign w:val="center"/>
          </w:tcPr>
          <w:p w14:paraId="30113712">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　</w:t>
            </w:r>
          </w:p>
        </w:tc>
        <w:tc>
          <w:tcPr>
            <w:tcW w:w="4850" w:type="dxa"/>
            <w:tcBorders>
              <w:top w:val="nil"/>
              <w:left w:val="single" w:color="auto" w:sz="4" w:space="0"/>
              <w:bottom w:val="single" w:color="auto" w:sz="4" w:space="0"/>
              <w:right w:val="single" w:color="auto" w:sz="4" w:space="0"/>
            </w:tcBorders>
            <w:shd w:val="clear" w:color="auto" w:fill="auto"/>
            <w:vAlign w:val="center"/>
          </w:tcPr>
          <w:p w14:paraId="1F7A8B20">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预警信息统计：统计历史预警信息，生成分析报表，评估越界事件的频率、区域分布、设备/车辆安全情况。</w:t>
            </w:r>
          </w:p>
        </w:tc>
        <w:tc>
          <w:tcPr>
            <w:tcW w:w="560" w:type="dxa"/>
            <w:vMerge w:val="continue"/>
            <w:tcBorders>
              <w:top w:val="nil"/>
              <w:left w:val="single" w:color="auto" w:sz="4" w:space="0"/>
              <w:bottom w:val="single" w:color="000000" w:sz="4" w:space="0"/>
              <w:right w:val="single" w:color="auto" w:sz="4" w:space="0"/>
            </w:tcBorders>
            <w:vAlign w:val="center"/>
          </w:tcPr>
          <w:p w14:paraId="3B381F72">
            <w:pPr>
              <w:widowControl/>
              <w:spacing w:line="560" w:lineRule="atLeast"/>
              <w:jc w:val="left"/>
              <w:rPr>
                <w:rFonts w:cs="宋体" w:asciiTheme="minorEastAsia" w:hAnsiTheme="minorEastAsia" w:eastAsiaTheme="minorEastAsia"/>
                <w:bCs/>
                <w:color w:val="000000"/>
                <w:kern w:val="0"/>
                <w:sz w:val="22"/>
                <w:szCs w:val="22"/>
              </w:rPr>
            </w:pPr>
          </w:p>
        </w:tc>
      </w:tr>
      <w:tr w14:paraId="3EBFA143">
        <w:tblPrEx>
          <w:tblCellMar>
            <w:top w:w="0" w:type="dxa"/>
            <w:left w:w="108" w:type="dxa"/>
            <w:bottom w:w="0" w:type="dxa"/>
            <w:right w:w="108" w:type="dxa"/>
          </w:tblCellMar>
        </w:tblPrEx>
        <w:trPr>
          <w:trHeight w:val="555" w:hRule="atLeast"/>
        </w:trPr>
        <w:tc>
          <w:tcPr>
            <w:tcW w:w="620" w:type="dxa"/>
            <w:vMerge w:val="restart"/>
            <w:tcBorders>
              <w:top w:val="nil"/>
              <w:left w:val="single" w:color="auto" w:sz="4" w:space="0"/>
              <w:bottom w:val="single" w:color="auto" w:sz="4" w:space="0"/>
              <w:right w:val="single" w:color="auto" w:sz="4" w:space="0"/>
            </w:tcBorders>
            <w:shd w:val="clear" w:color="auto" w:fill="auto"/>
            <w:noWrap/>
            <w:vAlign w:val="center"/>
          </w:tcPr>
          <w:p w14:paraId="733052A1">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4</w:t>
            </w:r>
          </w:p>
        </w:tc>
        <w:tc>
          <w:tcPr>
            <w:tcW w:w="1440" w:type="dxa"/>
            <w:vMerge w:val="restart"/>
            <w:tcBorders>
              <w:top w:val="nil"/>
              <w:left w:val="single" w:color="auto" w:sz="4" w:space="0"/>
              <w:bottom w:val="single" w:color="000000" w:sz="4" w:space="0"/>
              <w:right w:val="single" w:color="auto" w:sz="4" w:space="0"/>
            </w:tcBorders>
            <w:shd w:val="clear" w:color="auto" w:fill="auto"/>
            <w:noWrap/>
            <w:vAlign w:val="center"/>
          </w:tcPr>
          <w:p w14:paraId="1FDEEC7E">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电子围栏</w:t>
            </w:r>
          </w:p>
        </w:tc>
        <w:tc>
          <w:tcPr>
            <w:tcW w:w="2230" w:type="dxa"/>
            <w:tcBorders>
              <w:top w:val="nil"/>
              <w:left w:val="nil"/>
              <w:bottom w:val="nil"/>
              <w:right w:val="nil"/>
            </w:tcBorders>
            <w:shd w:val="clear" w:color="auto" w:fill="auto"/>
            <w:noWrap/>
            <w:vAlign w:val="center"/>
          </w:tcPr>
          <w:p w14:paraId="462356F2">
            <w:pPr>
              <w:widowControl/>
              <w:spacing w:line="560" w:lineRule="atLeast"/>
              <w:jc w:val="center"/>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54CB4C18">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添加及删除电子围栏：支持通过地图界面添加、删除电子围栏区域，设定区域形状、大小及触发条件。</w:t>
            </w:r>
          </w:p>
        </w:tc>
        <w:tc>
          <w:tcPr>
            <w:tcW w:w="560" w:type="dxa"/>
            <w:vMerge w:val="restart"/>
            <w:tcBorders>
              <w:top w:val="nil"/>
              <w:left w:val="single" w:color="auto" w:sz="4" w:space="0"/>
              <w:bottom w:val="single" w:color="000000" w:sz="4" w:space="0"/>
              <w:right w:val="single" w:color="auto" w:sz="4" w:space="0"/>
            </w:tcBorders>
            <w:shd w:val="clear" w:color="auto" w:fill="auto"/>
            <w:vAlign w:val="center"/>
          </w:tcPr>
          <w:p w14:paraId="163307D1">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项</w:t>
            </w:r>
          </w:p>
        </w:tc>
      </w:tr>
      <w:tr w14:paraId="389BB50F">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589A53FE">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33950A25">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77B3033B">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asciiTheme="minorEastAsia" w:hAnsiTheme="minorEastAsia" w:eastAsiaTheme="minorEastAsia"/>
                <w:bCs/>
              </w:rPr>
              <w:t>★</w:t>
            </w:r>
            <w:r>
              <w:rPr>
                <w:rFonts w:hint="eastAsia" w:cs="宋体" w:asciiTheme="minorEastAsia" w:hAnsiTheme="minorEastAsia" w:eastAsiaTheme="minorEastAsia"/>
                <w:bCs/>
                <w:color w:val="000000"/>
                <w:kern w:val="0"/>
                <w:sz w:val="22"/>
                <w:szCs w:val="22"/>
              </w:rPr>
              <w:t>越界预警</w:t>
            </w:r>
          </w:p>
        </w:tc>
        <w:tc>
          <w:tcPr>
            <w:tcW w:w="4850" w:type="dxa"/>
            <w:tcBorders>
              <w:top w:val="nil"/>
              <w:left w:val="single" w:color="auto" w:sz="4" w:space="0"/>
              <w:bottom w:val="single" w:color="auto" w:sz="4" w:space="0"/>
              <w:right w:val="single" w:color="auto" w:sz="4" w:space="0"/>
            </w:tcBorders>
            <w:shd w:val="clear" w:color="auto" w:fill="auto"/>
            <w:vAlign w:val="center"/>
          </w:tcPr>
          <w:p w14:paraId="298FEDD0">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实时监控：监控设备和车辆当前位置，若超出电子围栏区域，系统自动触发预警并发送信息至指定人员。</w:t>
            </w:r>
          </w:p>
        </w:tc>
        <w:tc>
          <w:tcPr>
            <w:tcW w:w="560" w:type="dxa"/>
            <w:vMerge w:val="continue"/>
            <w:tcBorders>
              <w:top w:val="nil"/>
              <w:left w:val="single" w:color="auto" w:sz="4" w:space="0"/>
              <w:bottom w:val="single" w:color="000000" w:sz="4" w:space="0"/>
              <w:right w:val="single" w:color="auto" w:sz="4" w:space="0"/>
            </w:tcBorders>
            <w:vAlign w:val="center"/>
          </w:tcPr>
          <w:p w14:paraId="11A31650">
            <w:pPr>
              <w:widowControl/>
              <w:spacing w:line="560" w:lineRule="atLeast"/>
              <w:jc w:val="left"/>
              <w:rPr>
                <w:rFonts w:cs="宋体" w:asciiTheme="minorEastAsia" w:hAnsiTheme="minorEastAsia" w:eastAsiaTheme="minorEastAsia"/>
                <w:bCs/>
                <w:color w:val="000000"/>
                <w:kern w:val="0"/>
                <w:sz w:val="22"/>
                <w:szCs w:val="22"/>
              </w:rPr>
            </w:pPr>
          </w:p>
        </w:tc>
      </w:tr>
      <w:tr w14:paraId="2A968129">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487DCA8E">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1CD075B7">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0440B5F1">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预警信息查询</w:t>
            </w:r>
          </w:p>
        </w:tc>
        <w:tc>
          <w:tcPr>
            <w:tcW w:w="4850" w:type="dxa"/>
            <w:tcBorders>
              <w:top w:val="nil"/>
              <w:left w:val="single" w:color="auto" w:sz="4" w:space="0"/>
              <w:bottom w:val="single" w:color="auto" w:sz="4" w:space="0"/>
              <w:right w:val="single" w:color="auto" w:sz="4" w:space="0"/>
            </w:tcBorders>
            <w:shd w:val="clear" w:color="auto" w:fill="auto"/>
            <w:vAlign w:val="center"/>
          </w:tcPr>
          <w:p w14:paraId="41908477">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查询历史预警：用户可查询历史预警信息，按时间、设备、车辆等条件筛选，查看越界预警记录。</w:t>
            </w:r>
          </w:p>
        </w:tc>
        <w:tc>
          <w:tcPr>
            <w:tcW w:w="560" w:type="dxa"/>
            <w:vMerge w:val="continue"/>
            <w:tcBorders>
              <w:top w:val="nil"/>
              <w:left w:val="single" w:color="auto" w:sz="4" w:space="0"/>
              <w:bottom w:val="single" w:color="000000" w:sz="4" w:space="0"/>
              <w:right w:val="single" w:color="auto" w:sz="4" w:space="0"/>
            </w:tcBorders>
            <w:vAlign w:val="center"/>
          </w:tcPr>
          <w:p w14:paraId="60369F9F">
            <w:pPr>
              <w:widowControl/>
              <w:spacing w:line="560" w:lineRule="atLeast"/>
              <w:jc w:val="left"/>
              <w:rPr>
                <w:rFonts w:cs="宋体" w:asciiTheme="minorEastAsia" w:hAnsiTheme="minorEastAsia" w:eastAsiaTheme="minorEastAsia"/>
                <w:bCs/>
                <w:color w:val="000000"/>
                <w:kern w:val="0"/>
                <w:sz w:val="22"/>
                <w:szCs w:val="22"/>
              </w:rPr>
            </w:pPr>
          </w:p>
        </w:tc>
      </w:tr>
      <w:tr w14:paraId="0F85A9E7">
        <w:tblPrEx>
          <w:tblCellMar>
            <w:top w:w="0" w:type="dxa"/>
            <w:left w:w="108" w:type="dxa"/>
            <w:bottom w:w="0" w:type="dxa"/>
            <w:right w:w="108" w:type="dxa"/>
          </w:tblCellMar>
        </w:tblPrEx>
        <w:trPr>
          <w:trHeight w:val="833" w:hRule="atLeast"/>
        </w:trPr>
        <w:tc>
          <w:tcPr>
            <w:tcW w:w="620" w:type="dxa"/>
            <w:vMerge w:val="continue"/>
            <w:tcBorders>
              <w:top w:val="nil"/>
              <w:left w:val="single" w:color="auto" w:sz="4" w:space="0"/>
              <w:bottom w:val="single" w:color="auto" w:sz="4" w:space="0"/>
              <w:right w:val="single" w:color="auto" w:sz="4" w:space="0"/>
            </w:tcBorders>
            <w:vAlign w:val="center"/>
          </w:tcPr>
          <w:p w14:paraId="6AE5D909">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0EC411A1">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12E4FB92">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预警信息统计</w:t>
            </w:r>
          </w:p>
        </w:tc>
        <w:tc>
          <w:tcPr>
            <w:tcW w:w="4850" w:type="dxa"/>
            <w:tcBorders>
              <w:top w:val="nil"/>
              <w:left w:val="single" w:color="auto" w:sz="4" w:space="0"/>
              <w:bottom w:val="single" w:color="auto" w:sz="4" w:space="0"/>
              <w:right w:val="single" w:color="auto" w:sz="4" w:space="0"/>
            </w:tcBorders>
            <w:shd w:val="clear" w:color="auto" w:fill="auto"/>
            <w:vAlign w:val="center"/>
          </w:tcPr>
          <w:p w14:paraId="7593DEB6">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统计分析：统计历史预警信息，生成分析报表，帮助管理人员了解越界事件的频率、区域分布及设备/车辆安全情况。</w:t>
            </w:r>
          </w:p>
        </w:tc>
        <w:tc>
          <w:tcPr>
            <w:tcW w:w="560" w:type="dxa"/>
            <w:vMerge w:val="continue"/>
            <w:tcBorders>
              <w:top w:val="nil"/>
              <w:left w:val="single" w:color="auto" w:sz="4" w:space="0"/>
              <w:bottom w:val="single" w:color="000000" w:sz="4" w:space="0"/>
              <w:right w:val="single" w:color="auto" w:sz="4" w:space="0"/>
            </w:tcBorders>
            <w:vAlign w:val="center"/>
          </w:tcPr>
          <w:p w14:paraId="44D3E1AE">
            <w:pPr>
              <w:widowControl/>
              <w:spacing w:line="560" w:lineRule="atLeast"/>
              <w:jc w:val="left"/>
              <w:rPr>
                <w:rFonts w:cs="宋体" w:asciiTheme="minorEastAsia" w:hAnsiTheme="minorEastAsia" w:eastAsiaTheme="minorEastAsia"/>
                <w:bCs/>
                <w:color w:val="000000"/>
                <w:kern w:val="0"/>
                <w:sz w:val="22"/>
                <w:szCs w:val="22"/>
              </w:rPr>
            </w:pPr>
          </w:p>
        </w:tc>
      </w:tr>
      <w:tr w14:paraId="652F86FC">
        <w:tblPrEx>
          <w:tblCellMar>
            <w:top w:w="0" w:type="dxa"/>
            <w:left w:w="108" w:type="dxa"/>
            <w:bottom w:w="0" w:type="dxa"/>
            <w:right w:w="108" w:type="dxa"/>
          </w:tblCellMar>
        </w:tblPrEx>
        <w:trPr>
          <w:trHeight w:val="833" w:hRule="atLeast"/>
        </w:trPr>
        <w:tc>
          <w:tcPr>
            <w:tcW w:w="620" w:type="dxa"/>
            <w:vMerge w:val="continue"/>
            <w:tcBorders>
              <w:top w:val="nil"/>
              <w:left w:val="single" w:color="auto" w:sz="4" w:space="0"/>
              <w:bottom w:val="single" w:color="auto" w:sz="4" w:space="0"/>
              <w:right w:val="single" w:color="auto" w:sz="4" w:space="0"/>
            </w:tcBorders>
            <w:vAlign w:val="center"/>
          </w:tcPr>
          <w:p w14:paraId="15D3C6A8">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7878D64C">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4EC21573">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添加及删除电子围栏</w:t>
            </w:r>
          </w:p>
        </w:tc>
        <w:tc>
          <w:tcPr>
            <w:tcW w:w="4850" w:type="dxa"/>
            <w:tcBorders>
              <w:top w:val="nil"/>
              <w:left w:val="single" w:color="auto" w:sz="4" w:space="0"/>
              <w:bottom w:val="single" w:color="auto" w:sz="4" w:space="0"/>
              <w:right w:val="single" w:color="auto" w:sz="4" w:space="0"/>
            </w:tcBorders>
            <w:shd w:val="clear" w:color="auto" w:fill="auto"/>
            <w:vAlign w:val="center"/>
          </w:tcPr>
          <w:p w14:paraId="06BDAFBA">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围栏管理：支持用户通过地图界面添加或删除电子围栏区域，设定围栏的大小、形状（圆形、矩形等）和触发条件。</w:t>
            </w:r>
          </w:p>
        </w:tc>
        <w:tc>
          <w:tcPr>
            <w:tcW w:w="560" w:type="dxa"/>
            <w:vMerge w:val="continue"/>
            <w:tcBorders>
              <w:top w:val="nil"/>
              <w:left w:val="single" w:color="auto" w:sz="4" w:space="0"/>
              <w:bottom w:val="single" w:color="000000" w:sz="4" w:space="0"/>
              <w:right w:val="single" w:color="auto" w:sz="4" w:space="0"/>
            </w:tcBorders>
            <w:vAlign w:val="center"/>
          </w:tcPr>
          <w:p w14:paraId="360B28F8">
            <w:pPr>
              <w:widowControl/>
              <w:spacing w:line="560" w:lineRule="atLeast"/>
              <w:jc w:val="left"/>
              <w:rPr>
                <w:rFonts w:cs="宋体" w:asciiTheme="minorEastAsia" w:hAnsiTheme="minorEastAsia" w:eastAsiaTheme="minorEastAsia"/>
                <w:bCs/>
                <w:color w:val="000000"/>
                <w:kern w:val="0"/>
                <w:sz w:val="22"/>
                <w:szCs w:val="22"/>
              </w:rPr>
            </w:pPr>
          </w:p>
        </w:tc>
      </w:tr>
      <w:tr w14:paraId="1E47A899">
        <w:tblPrEx>
          <w:tblCellMar>
            <w:top w:w="0" w:type="dxa"/>
            <w:left w:w="108" w:type="dxa"/>
            <w:bottom w:w="0" w:type="dxa"/>
            <w:right w:w="108" w:type="dxa"/>
          </w:tblCellMar>
        </w:tblPrEx>
        <w:trPr>
          <w:trHeight w:val="833" w:hRule="atLeast"/>
        </w:trPr>
        <w:tc>
          <w:tcPr>
            <w:tcW w:w="620" w:type="dxa"/>
            <w:vMerge w:val="restart"/>
            <w:tcBorders>
              <w:top w:val="nil"/>
              <w:left w:val="single" w:color="auto" w:sz="4" w:space="0"/>
              <w:bottom w:val="single" w:color="auto" w:sz="4" w:space="0"/>
              <w:right w:val="single" w:color="auto" w:sz="4" w:space="0"/>
            </w:tcBorders>
            <w:shd w:val="clear" w:color="auto" w:fill="auto"/>
            <w:noWrap/>
            <w:vAlign w:val="center"/>
          </w:tcPr>
          <w:p w14:paraId="6B5A6A07">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5</w:t>
            </w:r>
          </w:p>
        </w:tc>
        <w:tc>
          <w:tcPr>
            <w:tcW w:w="1440" w:type="dxa"/>
            <w:vMerge w:val="restart"/>
            <w:tcBorders>
              <w:top w:val="nil"/>
              <w:left w:val="single" w:color="auto" w:sz="4" w:space="0"/>
              <w:bottom w:val="single" w:color="000000" w:sz="4" w:space="0"/>
              <w:right w:val="single" w:color="auto" w:sz="4" w:space="0"/>
            </w:tcBorders>
            <w:shd w:val="clear" w:color="auto" w:fill="auto"/>
            <w:vAlign w:val="center"/>
          </w:tcPr>
          <w:p w14:paraId="06A291BF">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IOC运营中心</w:t>
            </w:r>
          </w:p>
        </w:tc>
        <w:tc>
          <w:tcPr>
            <w:tcW w:w="2230" w:type="dxa"/>
            <w:tcBorders>
              <w:top w:val="single" w:color="auto" w:sz="4" w:space="0"/>
              <w:left w:val="nil"/>
              <w:bottom w:val="nil"/>
              <w:right w:val="nil"/>
            </w:tcBorders>
            <w:shd w:val="clear" w:color="auto" w:fill="auto"/>
            <w:vAlign w:val="center"/>
          </w:tcPr>
          <w:p w14:paraId="25BE01F6">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综合管控地图</w:t>
            </w:r>
          </w:p>
        </w:tc>
        <w:tc>
          <w:tcPr>
            <w:tcW w:w="4850" w:type="dxa"/>
            <w:tcBorders>
              <w:top w:val="nil"/>
              <w:left w:val="single" w:color="auto" w:sz="4" w:space="0"/>
              <w:bottom w:val="single" w:color="auto" w:sz="4" w:space="0"/>
              <w:right w:val="single" w:color="auto" w:sz="4" w:space="0"/>
            </w:tcBorders>
            <w:shd w:val="clear" w:color="auto" w:fill="auto"/>
            <w:vAlign w:val="center"/>
          </w:tcPr>
          <w:p w14:paraId="055E0F57">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管控地图：基于GIS技术，整合矿区业务数据，通过统一地图展示矿点、基础设施、智能设备、运输路线等资源信息。</w:t>
            </w:r>
          </w:p>
        </w:tc>
        <w:tc>
          <w:tcPr>
            <w:tcW w:w="560" w:type="dxa"/>
            <w:vMerge w:val="restart"/>
            <w:tcBorders>
              <w:top w:val="nil"/>
              <w:left w:val="single" w:color="auto" w:sz="4" w:space="0"/>
              <w:bottom w:val="single" w:color="000000" w:sz="4" w:space="0"/>
              <w:right w:val="single" w:color="auto" w:sz="4" w:space="0"/>
            </w:tcBorders>
            <w:shd w:val="clear" w:color="auto" w:fill="auto"/>
            <w:vAlign w:val="center"/>
          </w:tcPr>
          <w:p w14:paraId="047F2F56">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项</w:t>
            </w:r>
          </w:p>
        </w:tc>
      </w:tr>
      <w:tr w14:paraId="7118D8E5">
        <w:tblPrEx>
          <w:tblCellMar>
            <w:top w:w="0" w:type="dxa"/>
            <w:left w:w="108" w:type="dxa"/>
            <w:bottom w:w="0" w:type="dxa"/>
            <w:right w:w="108" w:type="dxa"/>
          </w:tblCellMar>
        </w:tblPrEx>
        <w:trPr>
          <w:trHeight w:val="833" w:hRule="atLeast"/>
        </w:trPr>
        <w:tc>
          <w:tcPr>
            <w:tcW w:w="620" w:type="dxa"/>
            <w:vMerge w:val="continue"/>
            <w:tcBorders>
              <w:top w:val="nil"/>
              <w:left w:val="single" w:color="auto" w:sz="4" w:space="0"/>
              <w:bottom w:val="single" w:color="auto" w:sz="4" w:space="0"/>
              <w:right w:val="single" w:color="auto" w:sz="4" w:space="0"/>
            </w:tcBorders>
            <w:vAlign w:val="center"/>
          </w:tcPr>
          <w:p w14:paraId="3E1BAB75">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468D71FC">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vAlign w:val="center"/>
          </w:tcPr>
          <w:p w14:paraId="3B5A9927">
            <w:pPr>
              <w:widowControl/>
              <w:spacing w:line="560" w:lineRule="atLeast"/>
              <w:jc w:val="center"/>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1DB24762">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支持数据动态更新，帮助管理者实时掌握矿区全貌，提升指挥中心的全局掌控能力，并支持即时调度与资源优化。</w:t>
            </w:r>
          </w:p>
        </w:tc>
        <w:tc>
          <w:tcPr>
            <w:tcW w:w="560" w:type="dxa"/>
            <w:vMerge w:val="continue"/>
            <w:tcBorders>
              <w:top w:val="nil"/>
              <w:left w:val="single" w:color="auto" w:sz="4" w:space="0"/>
              <w:bottom w:val="single" w:color="000000" w:sz="4" w:space="0"/>
              <w:right w:val="single" w:color="auto" w:sz="4" w:space="0"/>
            </w:tcBorders>
            <w:vAlign w:val="center"/>
          </w:tcPr>
          <w:p w14:paraId="5B6948C0">
            <w:pPr>
              <w:widowControl/>
              <w:spacing w:line="560" w:lineRule="atLeast"/>
              <w:jc w:val="left"/>
              <w:rPr>
                <w:rFonts w:cs="宋体" w:asciiTheme="minorEastAsia" w:hAnsiTheme="minorEastAsia" w:eastAsiaTheme="minorEastAsia"/>
                <w:bCs/>
                <w:color w:val="000000"/>
                <w:kern w:val="0"/>
                <w:sz w:val="22"/>
                <w:szCs w:val="22"/>
              </w:rPr>
            </w:pPr>
          </w:p>
        </w:tc>
      </w:tr>
      <w:tr w14:paraId="753950E8">
        <w:tblPrEx>
          <w:tblCellMar>
            <w:top w:w="0" w:type="dxa"/>
            <w:left w:w="108" w:type="dxa"/>
            <w:bottom w:w="0" w:type="dxa"/>
            <w:right w:w="108" w:type="dxa"/>
          </w:tblCellMar>
        </w:tblPrEx>
        <w:trPr>
          <w:trHeight w:val="833" w:hRule="atLeast"/>
        </w:trPr>
        <w:tc>
          <w:tcPr>
            <w:tcW w:w="620" w:type="dxa"/>
            <w:vMerge w:val="continue"/>
            <w:tcBorders>
              <w:top w:val="nil"/>
              <w:left w:val="single" w:color="auto" w:sz="4" w:space="0"/>
              <w:bottom w:val="single" w:color="auto" w:sz="4" w:space="0"/>
              <w:right w:val="single" w:color="auto" w:sz="4" w:space="0"/>
            </w:tcBorders>
            <w:vAlign w:val="center"/>
          </w:tcPr>
          <w:p w14:paraId="6145BFA7">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4BD64A40">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vAlign w:val="center"/>
          </w:tcPr>
          <w:p w14:paraId="76EB5842">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资源管理与监控</w:t>
            </w:r>
          </w:p>
        </w:tc>
        <w:tc>
          <w:tcPr>
            <w:tcW w:w="4850" w:type="dxa"/>
            <w:tcBorders>
              <w:top w:val="nil"/>
              <w:left w:val="single" w:color="auto" w:sz="4" w:space="0"/>
              <w:bottom w:val="single" w:color="auto" w:sz="4" w:space="0"/>
              <w:right w:val="single" w:color="auto" w:sz="4" w:space="0"/>
            </w:tcBorders>
            <w:shd w:val="clear" w:color="auto" w:fill="auto"/>
            <w:vAlign w:val="center"/>
          </w:tcPr>
          <w:p w14:paraId="3DA5C21B">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资源管理：实时展示矿区资源信息（矿点、基础设施、应急资源、智能设备等），支持精确位置标注和实时查看。</w:t>
            </w:r>
          </w:p>
        </w:tc>
        <w:tc>
          <w:tcPr>
            <w:tcW w:w="560" w:type="dxa"/>
            <w:vMerge w:val="continue"/>
            <w:tcBorders>
              <w:top w:val="nil"/>
              <w:left w:val="single" w:color="auto" w:sz="4" w:space="0"/>
              <w:bottom w:val="single" w:color="000000" w:sz="4" w:space="0"/>
              <w:right w:val="single" w:color="auto" w:sz="4" w:space="0"/>
            </w:tcBorders>
            <w:vAlign w:val="center"/>
          </w:tcPr>
          <w:p w14:paraId="1B144F77">
            <w:pPr>
              <w:widowControl/>
              <w:spacing w:line="560" w:lineRule="atLeast"/>
              <w:jc w:val="left"/>
              <w:rPr>
                <w:rFonts w:cs="宋体" w:asciiTheme="minorEastAsia" w:hAnsiTheme="minorEastAsia" w:eastAsiaTheme="minorEastAsia"/>
                <w:bCs/>
                <w:color w:val="000000"/>
                <w:kern w:val="0"/>
                <w:sz w:val="22"/>
                <w:szCs w:val="22"/>
              </w:rPr>
            </w:pPr>
          </w:p>
        </w:tc>
      </w:tr>
      <w:tr w14:paraId="76873000">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32E1DBD4">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1DBB1E1F">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vAlign w:val="center"/>
          </w:tcPr>
          <w:p w14:paraId="2E7F5764">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66485FC8">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可视化方式帮助管理人员高效定位资源，确保资源优化配置和实时跟踪。</w:t>
            </w:r>
          </w:p>
        </w:tc>
        <w:tc>
          <w:tcPr>
            <w:tcW w:w="560" w:type="dxa"/>
            <w:vMerge w:val="continue"/>
            <w:tcBorders>
              <w:top w:val="nil"/>
              <w:left w:val="single" w:color="auto" w:sz="4" w:space="0"/>
              <w:bottom w:val="single" w:color="000000" w:sz="4" w:space="0"/>
              <w:right w:val="single" w:color="auto" w:sz="4" w:space="0"/>
            </w:tcBorders>
            <w:vAlign w:val="center"/>
          </w:tcPr>
          <w:p w14:paraId="018F6E4D">
            <w:pPr>
              <w:widowControl/>
              <w:spacing w:line="560" w:lineRule="atLeast"/>
              <w:jc w:val="left"/>
              <w:rPr>
                <w:rFonts w:cs="宋体" w:asciiTheme="minorEastAsia" w:hAnsiTheme="minorEastAsia" w:eastAsiaTheme="minorEastAsia"/>
                <w:bCs/>
                <w:color w:val="000000"/>
                <w:kern w:val="0"/>
                <w:sz w:val="22"/>
                <w:szCs w:val="22"/>
              </w:rPr>
            </w:pPr>
          </w:p>
        </w:tc>
      </w:tr>
      <w:tr w14:paraId="569D6611">
        <w:tblPrEx>
          <w:tblCellMar>
            <w:top w:w="0" w:type="dxa"/>
            <w:left w:w="108" w:type="dxa"/>
            <w:bottom w:w="0" w:type="dxa"/>
            <w:right w:w="108" w:type="dxa"/>
          </w:tblCellMar>
        </w:tblPrEx>
        <w:trPr>
          <w:trHeight w:val="833" w:hRule="atLeast"/>
        </w:trPr>
        <w:tc>
          <w:tcPr>
            <w:tcW w:w="620" w:type="dxa"/>
            <w:vMerge w:val="continue"/>
            <w:tcBorders>
              <w:top w:val="nil"/>
              <w:left w:val="single" w:color="auto" w:sz="4" w:space="0"/>
              <w:bottom w:val="single" w:color="auto" w:sz="4" w:space="0"/>
              <w:right w:val="single" w:color="auto" w:sz="4" w:space="0"/>
            </w:tcBorders>
            <w:vAlign w:val="center"/>
          </w:tcPr>
          <w:p w14:paraId="3B495A66">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081DDDBD">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vAlign w:val="center"/>
          </w:tcPr>
          <w:p w14:paraId="7CD05799">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资源点位精准标注</w:t>
            </w:r>
          </w:p>
        </w:tc>
        <w:tc>
          <w:tcPr>
            <w:tcW w:w="4850" w:type="dxa"/>
            <w:tcBorders>
              <w:top w:val="nil"/>
              <w:left w:val="single" w:color="auto" w:sz="4" w:space="0"/>
              <w:bottom w:val="single" w:color="auto" w:sz="4" w:space="0"/>
              <w:right w:val="single" w:color="auto" w:sz="4" w:space="0"/>
            </w:tcBorders>
            <w:shd w:val="clear" w:color="auto" w:fill="auto"/>
            <w:vAlign w:val="center"/>
          </w:tcPr>
          <w:p w14:paraId="5FBD94C5">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点位精准标注：通过地理定位技术，准确标注矿区资源，支持使用不同颜色、图标、形状进行区分，优化决策效率。</w:t>
            </w:r>
          </w:p>
        </w:tc>
        <w:tc>
          <w:tcPr>
            <w:tcW w:w="560" w:type="dxa"/>
            <w:vMerge w:val="continue"/>
            <w:tcBorders>
              <w:top w:val="nil"/>
              <w:left w:val="single" w:color="auto" w:sz="4" w:space="0"/>
              <w:bottom w:val="single" w:color="000000" w:sz="4" w:space="0"/>
              <w:right w:val="single" w:color="auto" w:sz="4" w:space="0"/>
            </w:tcBorders>
            <w:vAlign w:val="center"/>
          </w:tcPr>
          <w:p w14:paraId="07014414">
            <w:pPr>
              <w:widowControl/>
              <w:spacing w:line="560" w:lineRule="atLeast"/>
              <w:jc w:val="left"/>
              <w:rPr>
                <w:rFonts w:cs="宋体" w:asciiTheme="minorEastAsia" w:hAnsiTheme="minorEastAsia" w:eastAsiaTheme="minorEastAsia"/>
                <w:bCs/>
                <w:color w:val="000000"/>
                <w:kern w:val="0"/>
                <w:sz w:val="22"/>
                <w:szCs w:val="22"/>
              </w:rPr>
            </w:pPr>
          </w:p>
        </w:tc>
      </w:tr>
      <w:tr w14:paraId="79AD6F39">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6F6179DB">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098CC50B">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vAlign w:val="center"/>
          </w:tcPr>
          <w:p w14:paraId="786FDB7C">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76440F7E">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支持动态监控和资源调度，优化矿区生产和管理流程。</w:t>
            </w:r>
          </w:p>
        </w:tc>
        <w:tc>
          <w:tcPr>
            <w:tcW w:w="560" w:type="dxa"/>
            <w:vMerge w:val="continue"/>
            <w:tcBorders>
              <w:top w:val="nil"/>
              <w:left w:val="single" w:color="auto" w:sz="4" w:space="0"/>
              <w:bottom w:val="single" w:color="000000" w:sz="4" w:space="0"/>
              <w:right w:val="single" w:color="auto" w:sz="4" w:space="0"/>
            </w:tcBorders>
            <w:vAlign w:val="center"/>
          </w:tcPr>
          <w:p w14:paraId="2C1340E6">
            <w:pPr>
              <w:widowControl/>
              <w:spacing w:line="560" w:lineRule="atLeast"/>
              <w:jc w:val="left"/>
              <w:rPr>
                <w:rFonts w:cs="宋体" w:asciiTheme="minorEastAsia" w:hAnsiTheme="minorEastAsia" w:eastAsiaTheme="minorEastAsia"/>
                <w:bCs/>
                <w:color w:val="000000"/>
                <w:kern w:val="0"/>
                <w:sz w:val="22"/>
                <w:szCs w:val="22"/>
              </w:rPr>
            </w:pPr>
          </w:p>
        </w:tc>
      </w:tr>
      <w:tr w14:paraId="69ACCA6A">
        <w:tblPrEx>
          <w:tblCellMar>
            <w:top w:w="0" w:type="dxa"/>
            <w:left w:w="108" w:type="dxa"/>
            <w:bottom w:w="0" w:type="dxa"/>
            <w:right w:w="108" w:type="dxa"/>
          </w:tblCellMar>
        </w:tblPrEx>
        <w:trPr>
          <w:trHeight w:val="833" w:hRule="atLeast"/>
        </w:trPr>
        <w:tc>
          <w:tcPr>
            <w:tcW w:w="620" w:type="dxa"/>
            <w:vMerge w:val="continue"/>
            <w:tcBorders>
              <w:top w:val="nil"/>
              <w:left w:val="single" w:color="auto" w:sz="4" w:space="0"/>
              <w:bottom w:val="single" w:color="auto" w:sz="4" w:space="0"/>
              <w:right w:val="single" w:color="auto" w:sz="4" w:space="0"/>
            </w:tcBorders>
            <w:vAlign w:val="center"/>
          </w:tcPr>
          <w:p w14:paraId="0D90DC57">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0961A830">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vAlign w:val="center"/>
          </w:tcPr>
          <w:p w14:paraId="027DDDDB">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实时视频监控与管理</w:t>
            </w:r>
          </w:p>
        </w:tc>
        <w:tc>
          <w:tcPr>
            <w:tcW w:w="4850" w:type="dxa"/>
            <w:tcBorders>
              <w:top w:val="nil"/>
              <w:left w:val="single" w:color="auto" w:sz="4" w:space="0"/>
              <w:bottom w:val="single" w:color="auto" w:sz="4" w:space="0"/>
              <w:right w:val="single" w:color="auto" w:sz="4" w:space="0"/>
            </w:tcBorders>
            <w:shd w:val="clear" w:color="auto" w:fill="auto"/>
            <w:vAlign w:val="center"/>
          </w:tcPr>
          <w:p w14:paraId="31B4D8AD">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视频监控：集成视频接入接口，实时获取矿区监控点视频数据，并可视化展示监控点位分布，便于全局监控矿区情况。</w:t>
            </w:r>
          </w:p>
        </w:tc>
        <w:tc>
          <w:tcPr>
            <w:tcW w:w="560" w:type="dxa"/>
            <w:vMerge w:val="continue"/>
            <w:tcBorders>
              <w:top w:val="nil"/>
              <w:left w:val="single" w:color="auto" w:sz="4" w:space="0"/>
              <w:bottom w:val="single" w:color="000000" w:sz="4" w:space="0"/>
              <w:right w:val="single" w:color="auto" w:sz="4" w:space="0"/>
            </w:tcBorders>
            <w:vAlign w:val="center"/>
          </w:tcPr>
          <w:p w14:paraId="01E92E95">
            <w:pPr>
              <w:widowControl/>
              <w:spacing w:line="560" w:lineRule="atLeast"/>
              <w:jc w:val="left"/>
              <w:rPr>
                <w:rFonts w:cs="宋体" w:asciiTheme="minorEastAsia" w:hAnsiTheme="minorEastAsia" w:eastAsiaTheme="minorEastAsia"/>
                <w:bCs/>
                <w:color w:val="000000"/>
                <w:kern w:val="0"/>
                <w:sz w:val="22"/>
                <w:szCs w:val="22"/>
              </w:rPr>
            </w:pPr>
          </w:p>
        </w:tc>
      </w:tr>
      <w:tr w14:paraId="6391F0DB">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24DE3EDF">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7D1EACE0">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vAlign w:val="center"/>
          </w:tcPr>
          <w:p w14:paraId="1CDB129A">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1B654FED">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支持视频回放、事件追踪，为应急管理和风险预警提供数据支撑。</w:t>
            </w:r>
          </w:p>
        </w:tc>
        <w:tc>
          <w:tcPr>
            <w:tcW w:w="560" w:type="dxa"/>
            <w:vMerge w:val="continue"/>
            <w:tcBorders>
              <w:top w:val="nil"/>
              <w:left w:val="single" w:color="auto" w:sz="4" w:space="0"/>
              <w:bottom w:val="single" w:color="000000" w:sz="4" w:space="0"/>
              <w:right w:val="single" w:color="auto" w:sz="4" w:space="0"/>
            </w:tcBorders>
            <w:vAlign w:val="center"/>
          </w:tcPr>
          <w:p w14:paraId="18B7F07F">
            <w:pPr>
              <w:widowControl/>
              <w:spacing w:line="560" w:lineRule="atLeast"/>
              <w:jc w:val="left"/>
              <w:rPr>
                <w:rFonts w:cs="宋体" w:asciiTheme="minorEastAsia" w:hAnsiTheme="minorEastAsia" w:eastAsiaTheme="minorEastAsia"/>
                <w:bCs/>
                <w:color w:val="000000"/>
                <w:kern w:val="0"/>
                <w:sz w:val="22"/>
                <w:szCs w:val="22"/>
              </w:rPr>
            </w:pPr>
          </w:p>
        </w:tc>
      </w:tr>
      <w:tr w14:paraId="240C7598">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70D1EEA7">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40BD687D">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vAlign w:val="center"/>
          </w:tcPr>
          <w:p w14:paraId="3D5E6BF0">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车辆管理与调度</w:t>
            </w:r>
          </w:p>
        </w:tc>
        <w:tc>
          <w:tcPr>
            <w:tcW w:w="4850" w:type="dxa"/>
            <w:tcBorders>
              <w:top w:val="nil"/>
              <w:left w:val="single" w:color="auto" w:sz="4" w:space="0"/>
              <w:bottom w:val="single" w:color="auto" w:sz="4" w:space="0"/>
              <w:right w:val="single" w:color="auto" w:sz="4" w:space="0"/>
            </w:tcBorders>
            <w:shd w:val="clear" w:color="auto" w:fill="auto"/>
            <w:vAlign w:val="center"/>
          </w:tcPr>
          <w:p w14:paraId="6A5F9892">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车辆状态分析：实时统计矿区内运营与空闲车辆的数量与占比，支持车辆管理决策。</w:t>
            </w:r>
          </w:p>
        </w:tc>
        <w:tc>
          <w:tcPr>
            <w:tcW w:w="560" w:type="dxa"/>
            <w:vMerge w:val="continue"/>
            <w:tcBorders>
              <w:top w:val="nil"/>
              <w:left w:val="single" w:color="auto" w:sz="4" w:space="0"/>
              <w:bottom w:val="single" w:color="000000" w:sz="4" w:space="0"/>
              <w:right w:val="single" w:color="auto" w:sz="4" w:space="0"/>
            </w:tcBorders>
            <w:vAlign w:val="center"/>
          </w:tcPr>
          <w:p w14:paraId="706D16B1">
            <w:pPr>
              <w:widowControl/>
              <w:spacing w:line="560" w:lineRule="atLeast"/>
              <w:jc w:val="left"/>
              <w:rPr>
                <w:rFonts w:cs="宋体" w:asciiTheme="minorEastAsia" w:hAnsiTheme="minorEastAsia" w:eastAsiaTheme="minorEastAsia"/>
                <w:bCs/>
                <w:color w:val="000000"/>
                <w:kern w:val="0"/>
                <w:sz w:val="22"/>
                <w:szCs w:val="22"/>
              </w:rPr>
            </w:pPr>
          </w:p>
        </w:tc>
      </w:tr>
      <w:tr w14:paraId="52986A1B">
        <w:tblPrEx>
          <w:tblCellMar>
            <w:top w:w="0" w:type="dxa"/>
            <w:left w:w="108" w:type="dxa"/>
            <w:bottom w:w="0" w:type="dxa"/>
            <w:right w:w="108" w:type="dxa"/>
          </w:tblCellMar>
        </w:tblPrEx>
        <w:trPr>
          <w:trHeight w:val="833" w:hRule="atLeast"/>
        </w:trPr>
        <w:tc>
          <w:tcPr>
            <w:tcW w:w="620" w:type="dxa"/>
            <w:vMerge w:val="continue"/>
            <w:tcBorders>
              <w:top w:val="nil"/>
              <w:left w:val="single" w:color="auto" w:sz="4" w:space="0"/>
              <w:bottom w:val="single" w:color="auto" w:sz="4" w:space="0"/>
              <w:right w:val="single" w:color="auto" w:sz="4" w:space="0"/>
            </w:tcBorders>
            <w:vAlign w:val="center"/>
          </w:tcPr>
          <w:p w14:paraId="0D081446">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09FE82EC">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vAlign w:val="center"/>
          </w:tcPr>
          <w:p w14:paraId="03F141C6">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5974F895">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车辆定位与轨迹分析：实时显示车辆轨迹与当前定位，支持历史轨迹回放，优化运输路线与调度，提升运输效率。</w:t>
            </w:r>
          </w:p>
        </w:tc>
        <w:tc>
          <w:tcPr>
            <w:tcW w:w="560" w:type="dxa"/>
            <w:vMerge w:val="continue"/>
            <w:tcBorders>
              <w:top w:val="nil"/>
              <w:left w:val="single" w:color="auto" w:sz="4" w:space="0"/>
              <w:bottom w:val="single" w:color="000000" w:sz="4" w:space="0"/>
              <w:right w:val="single" w:color="auto" w:sz="4" w:space="0"/>
            </w:tcBorders>
            <w:vAlign w:val="center"/>
          </w:tcPr>
          <w:p w14:paraId="77715A0C">
            <w:pPr>
              <w:widowControl/>
              <w:spacing w:line="560" w:lineRule="atLeast"/>
              <w:jc w:val="left"/>
              <w:rPr>
                <w:rFonts w:cs="宋体" w:asciiTheme="minorEastAsia" w:hAnsiTheme="minorEastAsia" w:eastAsiaTheme="minorEastAsia"/>
                <w:bCs/>
                <w:color w:val="000000"/>
                <w:kern w:val="0"/>
                <w:sz w:val="22"/>
                <w:szCs w:val="22"/>
              </w:rPr>
            </w:pPr>
          </w:p>
        </w:tc>
      </w:tr>
      <w:tr w14:paraId="74080007">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3C2B6F71">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695F0F86">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vAlign w:val="center"/>
          </w:tcPr>
          <w:p w14:paraId="7EE380D6">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销售统计与分析</w:t>
            </w:r>
          </w:p>
        </w:tc>
        <w:tc>
          <w:tcPr>
            <w:tcW w:w="4850" w:type="dxa"/>
            <w:tcBorders>
              <w:top w:val="nil"/>
              <w:left w:val="single" w:color="auto" w:sz="4" w:space="0"/>
              <w:bottom w:val="single" w:color="auto" w:sz="4" w:space="0"/>
              <w:right w:val="single" w:color="auto" w:sz="4" w:space="0"/>
            </w:tcBorders>
            <w:shd w:val="clear" w:color="auto" w:fill="auto"/>
            <w:vAlign w:val="center"/>
          </w:tcPr>
          <w:p w14:paraId="78D286ED">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销售总量分析：按日、周、月维度统计矿区销售总量，并分析不同产品类型的销售数量。</w:t>
            </w:r>
          </w:p>
        </w:tc>
        <w:tc>
          <w:tcPr>
            <w:tcW w:w="560" w:type="dxa"/>
            <w:vMerge w:val="continue"/>
            <w:tcBorders>
              <w:top w:val="nil"/>
              <w:left w:val="single" w:color="auto" w:sz="4" w:space="0"/>
              <w:bottom w:val="single" w:color="000000" w:sz="4" w:space="0"/>
              <w:right w:val="single" w:color="auto" w:sz="4" w:space="0"/>
            </w:tcBorders>
            <w:vAlign w:val="center"/>
          </w:tcPr>
          <w:p w14:paraId="3F8F3599">
            <w:pPr>
              <w:widowControl/>
              <w:spacing w:line="560" w:lineRule="atLeast"/>
              <w:jc w:val="left"/>
              <w:rPr>
                <w:rFonts w:cs="宋体" w:asciiTheme="minorEastAsia" w:hAnsiTheme="minorEastAsia" w:eastAsiaTheme="minorEastAsia"/>
                <w:bCs/>
                <w:color w:val="000000"/>
                <w:kern w:val="0"/>
                <w:sz w:val="22"/>
                <w:szCs w:val="22"/>
              </w:rPr>
            </w:pPr>
          </w:p>
        </w:tc>
      </w:tr>
      <w:tr w14:paraId="2F0F4840">
        <w:tblPrEx>
          <w:tblCellMar>
            <w:top w:w="0" w:type="dxa"/>
            <w:left w:w="108" w:type="dxa"/>
            <w:bottom w:w="0" w:type="dxa"/>
            <w:right w:w="108" w:type="dxa"/>
          </w:tblCellMar>
        </w:tblPrEx>
        <w:trPr>
          <w:trHeight w:val="833" w:hRule="atLeast"/>
        </w:trPr>
        <w:tc>
          <w:tcPr>
            <w:tcW w:w="620" w:type="dxa"/>
            <w:vMerge w:val="continue"/>
            <w:tcBorders>
              <w:top w:val="nil"/>
              <w:left w:val="single" w:color="auto" w:sz="4" w:space="0"/>
              <w:bottom w:val="single" w:color="auto" w:sz="4" w:space="0"/>
              <w:right w:val="single" w:color="auto" w:sz="4" w:space="0"/>
            </w:tcBorders>
            <w:vAlign w:val="center"/>
          </w:tcPr>
          <w:p w14:paraId="71F5F763">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04209212">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vAlign w:val="center"/>
          </w:tcPr>
          <w:p w14:paraId="70906ED0">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6FF81D31">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销售排行：根据销售数据进行销售排名分析，支持按矿点、产品等维度展示，帮助管理层制定精准销售策略。</w:t>
            </w:r>
          </w:p>
        </w:tc>
        <w:tc>
          <w:tcPr>
            <w:tcW w:w="560" w:type="dxa"/>
            <w:vMerge w:val="continue"/>
            <w:tcBorders>
              <w:top w:val="nil"/>
              <w:left w:val="single" w:color="auto" w:sz="4" w:space="0"/>
              <w:bottom w:val="single" w:color="000000" w:sz="4" w:space="0"/>
              <w:right w:val="single" w:color="auto" w:sz="4" w:space="0"/>
            </w:tcBorders>
            <w:vAlign w:val="center"/>
          </w:tcPr>
          <w:p w14:paraId="1C84D5EB">
            <w:pPr>
              <w:widowControl/>
              <w:spacing w:line="560" w:lineRule="atLeast"/>
              <w:jc w:val="left"/>
              <w:rPr>
                <w:rFonts w:cs="宋体" w:asciiTheme="minorEastAsia" w:hAnsiTheme="minorEastAsia" w:eastAsiaTheme="minorEastAsia"/>
                <w:bCs/>
                <w:color w:val="000000"/>
                <w:kern w:val="0"/>
                <w:sz w:val="22"/>
                <w:szCs w:val="22"/>
              </w:rPr>
            </w:pPr>
          </w:p>
        </w:tc>
      </w:tr>
      <w:tr w14:paraId="75170939">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78539BB5">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3A897480">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vAlign w:val="center"/>
          </w:tcPr>
          <w:p w14:paraId="4647352E">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34D00805">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销售金额分析：分析销售金额，支持根据时间、产品、矿点等维度进行深入数据挖掘，提供决策支持。</w:t>
            </w:r>
          </w:p>
        </w:tc>
        <w:tc>
          <w:tcPr>
            <w:tcW w:w="560" w:type="dxa"/>
            <w:vMerge w:val="continue"/>
            <w:tcBorders>
              <w:top w:val="nil"/>
              <w:left w:val="single" w:color="auto" w:sz="4" w:space="0"/>
              <w:bottom w:val="single" w:color="000000" w:sz="4" w:space="0"/>
              <w:right w:val="single" w:color="auto" w:sz="4" w:space="0"/>
            </w:tcBorders>
            <w:vAlign w:val="center"/>
          </w:tcPr>
          <w:p w14:paraId="2BD06748">
            <w:pPr>
              <w:widowControl/>
              <w:spacing w:line="560" w:lineRule="atLeast"/>
              <w:jc w:val="left"/>
              <w:rPr>
                <w:rFonts w:cs="宋体" w:asciiTheme="minorEastAsia" w:hAnsiTheme="minorEastAsia" w:eastAsiaTheme="minorEastAsia"/>
                <w:bCs/>
                <w:color w:val="000000"/>
                <w:kern w:val="0"/>
                <w:sz w:val="22"/>
                <w:szCs w:val="22"/>
              </w:rPr>
            </w:pPr>
          </w:p>
        </w:tc>
      </w:tr>
      <w:tr w14:paraId="57239A7E">
        <w:tblPrEx>
          <w:tblCellMar>
            <w:top w:w="0" w:type="dxa"/>
            <w:left w:w="108" w:type="dxa"/>
            <w:bottom w:w="0" w:type="dxa"/>
            <w:right w:w="108" w:type="dxa"/>
          </w:tblCellMar>
        </w:tblPrEx>
        <w:trPr>
          <w:trHeight w:val="833" w:hRule="atLeast"/>
        </w:trPr>
        <w:tc>
          <w:tcPr>
            <w:tcW w:w="620" w:type="dxa"/>
            <w:vMerge w:val="continue"/>
            <w:tcBorders>
              <w:top w:val="nil"/>
              <w:left w:val="single" w:color="auto" w:sz="4" w:space="0"/>
              <w:bottom w:val="single" w:color="auto" w:sz="4" w:space="0"/>
              <w:right w:val="single" w:color="auto" w:sz="4" w:space="0"/>
            </w:tcBorders>
            <w:vAlign w:val="center"/>
          </w:tcPr>
          <w:p w14:paraId="0FC9C845">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4B14BC95">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vAlign w:val="center"/>
          </w:tcPr>
          <w:p w14:paraId="75937ED6">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大气质量监控与超标事件统计</w:t>
            </w:r>
          </w:p>
        </w:tc>
        <w:tc>
          <w:tcPr>
            <w:tcW w:w="4850" w:type="dxa"/>
            <w:tcBorders>
              <w:top w:val="nil"/>
              <w:left w:val="single" w:color="auto" w:sz="4" w:space="0"/>
              <w:bottom w:val="single" w:color="auto" w:sz="4" w:space="0"/>
              <w:right w:val="single" w:color="auto" w:sz="4" w:space="0"/>
            </w:tcBorders>
            <w:shd w:val="clear" w:color="auto" w:fill="auto"/>
            <w:vAlign w:val="center"/>
          </w:tcPr>
          <w:p w14:paraId="3675C85C">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大气质量监控：通过GIS平台，实时展示矿区监测点位的大气质量数据，采用热力图或颜色渐变方式反映污染程度。</w:t>
            </w:r>
          </w:p>
        </w:tc>
        <w:tc>
          <w:tcPr>
            <w:tcW w:w="560" w:type="dxa"/>
            <w:vMerge w:val="continue"/>
            <w:tcBorders>
              <w:top w:val="nil"/>
              <w:left w:val="single" w:color="auto" w:sz="4" w:space="0"/>
              <w:bottom w:val="single" w:color="000000" w:sz="4" w:space="0"/>
              <w:right w:val="single" w:color="auto" w:sz="4" w:space="0"/>
            </w:tcBorders>
            <w:vAlign w:val="center"/>
          </w:tcPr>
          <w:p w14:paraId="5F944B8F">
            <w:pPr>
              <w:widowControl/>
              <w:spacing w:line="560" w:lineRule="atLeast"/>
              <w:jc w:val="left"/>
              <w:rPr>
                <w:rFonts w:cs="宋体" w:asciiTheme="minorEastAsia" w:hAnsiTheme="minorEastAsia" w:eastAsiaTheme="minorEastAsia"/>
                <w:bCs/>
                <w:color w:val="000000"/>
                <w:kern w:val="0"/>
                <w:sz w:val="22"/>
                <w:szCs w:val="22"/>
              </w:rPr>
            </w:pPr>
          </w:p>
        </w:tc>
      </w:tr>
      <w:tr w14:paraId="7D12BA97">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0BEAC30C">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48494CB8">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single" w:color="auto" w:sz="4" w:space="0"/>
              <w:right w:val="nil"/>
            </w:tcBorders>
            <w:shd w:val="clear" w:color="auto" w:fill="auto"/>
            <w:vAlign w:val="center"/>
          </w:tcPr>
          <w:p w14:paraId="3F1112E0">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　</w:t>
            </w:r>
          </w:p>
        </w:tc>
        <w:tc>
          <w:tcPr>
            <w:tcW w:w="4850" w:type="dxa"/>
            <w:tcBorders>
              <w:top w:val="nil"/>
              <w:left w:val="single" w:color="auto" w:sz="4" w:space="0"/>
              <w:bottom w:val="single" w:color="auto" w:sz="4" w:space="0"/>
              <w:right w:val="single" w:color="auto" w:sz="4" w:space="0"/>
            </w:tcBorders>
            <w:shd w:val="clear" w:color="auto" w:fill="auto"/>
            <w:vAlign w:val="center"/>
          </w:tcPr>
          <w:p w14:paraId="0D0DE1A9">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超标事件统计：统计大气超标事件发生次数与影响因素，为环境保护和应急响应决策提供数据支持。</w:t>
            </w:r>
          </w:p>
        </w:tc>
        <w:tc>
          <w:tcPr>
            <w:tcW w:w="560" w:type="dxa"/>
            <w:vMerge w:val="continue"/>
            <w:tcBorders>
              <w:top w:val="nil"/>
              <w:left w:val="single" w:color="auto" w:sz="4" w:space="0"/>
              <w:bottom w:val="single" w:color="000000" w:sz="4" w:space="0"/>
              <w:right w:val="single" w:color="auto" w:sz="4" w:space="0"/>
            </w:tcBorders>
            <w:vAlign w:val="center"/>
          </w:tcPr>
          <w:p w14:paraId="6896D267">
            <w:pPr>
              <w:widowControl/>
              <w:spacing w:line="560" w:lineRule="atLeast"/>
              <w:jc w:val="left"/>
              <w:rPr>
                <w:rFonts w:cs="宋体" w:asciiTheme="minorEastAsia" w:hAnsiTheme="minorEastAsia" w:eastAsiaTheme="minorEastAsia"/>
                <w:bCs/>
                <w:color w:val="000000"/>
                <w:kern w:val="0"/>
                <w:sz w:val="22"/>
                <w:szCs w:val="22"/>
              </w:rPr>
            </w:pPr>
          </w:p>
        </w:tc>
      </w:tr>
      <w:tr w14:paraId="03C1F227">
        <w:tblPrEx>
          <w:tblCellMar>
            <w:top w:w="0" w:type="dxa"/>
            <w:left w:w="108" w:type="dxa"/>
            <w:bottom w:w="0" w:type="dxa"/>
            <w:right w:w="108" w:type="dxa"/>
          </w:tblCellMar>
        </w:tblPrEx>
        <w:trPr>
          <w:trHeight w:val="555" w:hRule="atLeast"/>
        </w:trPr>
        <w:tc>
          <w:tcPr>
            <w:tcW w:w="620" w:type="dxa"/>
            <w:vMerge w:val="restart"/>
            <w:tcBorders>
              <w:top w:val="nil"/>
              <w:left w:val="single" w:color="auto" w:sz="4" w:space="0"/>
              <w:bottom w:val="single" w:color="000000" w:sz="4" w:space="0"/>
              <w:right w:val="single" w:color="auto" w:sz="4" w:space="0"/>
            </w:tcBorders>
            <w:shd w:val="clear" w:color="auto" w:fill="auto"/>
            <w:noWrap/>
            <w:vAlign w:val="center"/>
          </w:tcPr>
          <w:p w14:paraId="528D38C0">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6</w:t>
            </w:r>
          </w:p>
        </w:tc>
        <w:tc>
          <w:tcPr>
            <w:tcW w:w="1440" w:type="dxa"/>
            <w:vMerge w:val="restart"/>
            <w:tcBorders>
              <w:top w:val="nil"/>
              <w:left w:val="single" w:color="auto" w:sz="4" w:space="0"/>
              <w:bottom w:val="single" w:color="000000" w:sz="4" w:space="0"/>
              <w:right w:val="single" w:color="auto" w:sz="4" w:space="0"/>
            </w:tcBorders>
            <w:shd w:val="clear" w:color="auto" w:fill="auto"/>
            <w:noWrap/>
            <w:vAlign w:val="center"/>
          </w:tcPr>
          <w:p w14:paraId="0EC70E5F">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数据管理</w:t>
            </w:r>
          </w:p>
        </w:tc>
        <w:tc>
          <w:tcPr>
            <w:tcW w:w="2230" w:type="dxa"/>
            <w:tcBorders>
              <w:top w:val="nil"/>
              <w:left w:val="nil"/>
              <w:bottom w:val="nil"/>
              <w:right w:val="nil"/>
            </w:tcBorders>
            <w:shd w:val="clear" w:color="auto" w:fill="auto"/>
            <w:noWrap/>
            <w:vAlign w:val="center"/>
          </w:tcPr>
          <w:p w14:paraId="057F0637">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元数据管理</w:t>
            </w:r>
          </w:p>
        </w:tc>
        <w:tc>
          <w:tcPr>
            <w:tcW w:w="4850" w:type="dxa"/>
            <w:tcBorders>
              <w:top w:val="nil"/>
              <w:left w:val="single" w:color="auto" w:sz="4" w:space="0"/>
              <w:bottom w:val="single" w:color="auto" w:sz="4" w:space="0"/>
              <w:right w:val="single" w:color="auto" w:sz="4" w:space="0"/>
            </w:tcBorders>
            <w:shd w:val="clear" w:color="auto" w:fill="auto"/>
            <w:vAlign w:val="center"/>
          </w:tcPr>
          <w:p w14:paraId="751E2C31">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元数据管理：维护数据定义、结构和变更历史，确保数据一致性和透明度。</w:t>
            </w:r>
          </w:p>
        </w:tc>
        <w:tc>
          <w:tcPr>
            <w:tcW w:w="560" w:type="dxa"/>
            <w:vMerge w:val="restart"/>
            <w:tcBorders>
              <w:top w:val="nil"/>
              <w:left w:val="single" w:color="auto" w:sz="4" w:space="0"/>
              <w:bottom w:val="single" w:color="000000" w:sz="4" w:space="0"/>
              <w:right w:val="single" w:color="auto" w:sz="4" w:space="0"/>
            </w:tcBorders>
            <w:shd w:val="clear" w:color="auto" w:fill="auto"/>
            <w:noWrap/>
            <w:vAlign w:val="center"/>
          </w:tcPr>
          <w:p w14:paraId="21924731">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项</w:t>
            </w:r>
          </w:p>
        </w:tc>
      </w:tr>
      <w:tr w14:paraId="48E4DEA3">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000000" w:sz="4" w:space="0"/>
              <w:right w:val="single" w:color="auto" w:sz="4" w:space="0"/>
            </w:tcBorders>
            <w:vAlign w:val="center"/>
          </w:tcPr>
          <w:p w14:paraId="4273835B">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648314F2">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13C76E6B">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主数据与数据标准管理</w:t>
            </w:r>
          </w:p>
        </w:tc>
        <w:tc>
          <w:tcPr>
            <w:tcW w:w="4850" w:type="dxa"/>
            <w:tcBorders>
              <w:top w:val="nil"/>
              <w:left w:val="single" w:color="auto" w:sz="4" w:space="0"/>
              <w:bottom w:val="single" w:color="auto" w:sz="4" w:space="0"/>
              <w:right w:val="single" w:color="auto" w:sz="4" w:space="0"/>
            </w:tcBorders>
            <w:shd w:val="clear" w:color="auto" w:fill="auto"/>
            <w:vAlign w:val="center"/>
          </w:tcPr>
          <w:p w14:paraId="64E3C4ED">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主数据管理：制定和维护核心业务数据标准，确保跨系统数据的一致性。</w:t>
            </w:r>
          </w:p>
        </w:tc>
        <w:tc>
          <w:tcPr>
            <w:tcW w:w="560" w:type="dxa"/>
            <w:vMerge w:val="continue"/>
            <w:tcBorders>
              <w:top w:val="nil"/>
              <w:left w:val="single" w:color="auto" w:sz="4" w:space="0"/>
              <w:bottom w:val="single" w:color="000000" w:sz="4" w:space="0"/>
              <w:right w:val="single" w:color="auto" w:sz="4" w:space="0"/>
            </w:tcBorders>
            <w:vAlign w:val="center"/>
          </w:tcPr>
          <w:p w14:paraId="1106B1EF">
            <w:pPr>
              <w:widowControl/>
              <w:spacing w:line="560" w:lineRule="atLeast"/>
              <w:jc w:val="left"/>
              <w:rPr>
                <w:rFonts w:cs="宋体" w:asciiTheme="minorEastAsia" w:hAnsiTheme="minorEastAsia" w:eastAsiaTheme="minorEastAsia"/>
                <w:bCs/>
                <w:color w:val="000000"/>
                <w:kern w:val="0"/>
                <w:sz w:val="22"/>
                <w:szCs w:val="22"/>
              </w:rPr>
            </w:pPr>
          </w:p>
        </w:tc>
      </w:tr>
      <w:tr w14:paraId="61AB8421">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000000" w:sz="4" w:space="0"/>
              <w:right w:val="single" w:color="auto" w:sz="4" w:space="0"/>
            </w:tcBorders>
            <w:vAlign w:val="center"/>
          </w:tcPr>
          <w:p w14:paraId="0F3DF1A1">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566B5BDE">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6FB03E32">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574EE93E">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数据标准管理：设定数据的命名规范、格式标准等，保证数据质量和一致性。</w:t>
            </w:r>
          </w:p>
        </w:tc>
        <w:tc>
          <w:tcPr>
            <w:tcW w:w="560" w:type="dxa"/>
            <w:vMerge w:val="continue"/>
            <w:tcBorders>
              <w:top w:val="nil"/>
              <w:left w:val="single" w:color="auto" w:sz="4" w:space="0"/>
              <w:bottom w:val="single" w:color="000000" w:sz="4" w:space="0"/>
              <w:right w:val="single" w:color="auto" w:sz="4" w:space="0"/>
            </w:tcBorders>
            <w:vAlign w:val="center"/>
          </w:tcPr>
          <w:p w14:paraId="0956CAB7">
            <w:pPr>
              <w:widowControl/>
              <w:spacing w:line="560" w:lineRule="atLeast"/>
              <w:jc w:val="left"/>
              <w:rPr>
                <w:rFonts w:cs="宋体" w:asciiTheme="minorEastAsia" w:hAnsiTheme="minorEastAsia" w:eastAsiaTheme="minorEastAsia"/>
                <w:bCs/>
                <w:color w:val="000000"/>
                <w:kern w:val="0"/>
                <w:sz w:val="22"/>
                <w:szCs w:val="22"/>
              </w:rPr>
            </w:pPr>
          </w:p>
        </w:tc>
      </w:tr>
      <w:tr w14:paraId="40CC8DA7">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000000" w:sz="4" w:space="0"/>
              <w:right w:val="single" w:color="auto" w:sz="4" w:space="0"/>
            </w:tcBorders>
            <w:vAlign w:val="center"/>
          </w:tcPr>
          <w:p w14:paraId="0BF8C1EE">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61347611">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34A24344">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数据规则</w:t>
            </w:r>
          </w:p>
        </w:tc>
        <w:tc>
          <w:tcPr>
            <w:tcW w:w="4850" w:type="dxa"/>
            <w:tcBorders>
              <w:top w:val="nil"/>
              <w:left w:val="single" w:color="auto" w:sz="4" w:space="0"/>
              <w:bottom w:val="single" w:color="auto" w:sz="4" w:space="0"/>
              <w:right w:val="single" w:color="auto" w:sz="4" w:space="0"/>
            </w:tcBorders>
            <w:shd w:val="clear" w:color="auto" w:fill="auto"/>
            <w:vAlign w:val="center"/>
          </w:tcPr>
          <w:p w14:paraId="4FFB606B">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数据规则：定义数据的验证、清洗和转换规则，确保数据质量的控制。</w:t>
            </w:r>
          </w:p>
        </w:tc>
        <w:tc>
          <w:tcPr>
            <w:tcW w:w="560" w:type="dxa"/>
            <w:vMerge w:val="continue"/>
            <w:tcBorders>
              <w:top w:val="nil"/>
              <w:left w:val="single" w:color="auto" w:sz="4" w:space="0"/>
              <w:bottom w:val="single" w:color="000000" w:sz="4" w:space="0"/>
              <w:right w:val="single" w:color="auto" w:sz="4" w:space="0"/>
            </w:tcBorders>
            <w:vAlign w:val="center"/>
          </w:tcPr>
          <w:p w14:paraId="79AEC51B">
            <w:pPr>
              <w:widowControl/>
              <w:spacing w:line="560" w:lineRule="atLeast"/>
              <w:jc w:val="left"/>
              <w:rPr>
                <w:rFonts w:cs="宋体" w:asciiTheme="minorEastAsia" w:hAnsiTheme="minorEastAsia" w:eastAsiaTheme="minorEastAsia"/>
                <w:bCs/>
                <w:color w:val="000000"/>
                <w:kern w:val="0"/>
                <w:sz w:val="22"/>
                <w:szCs w:val="22"/>
              </w:rPr>
            </w:pPr>
          </w:p>
        </w:tc>
      </w:tr>
      <w:tr w14:paraId="758F7045">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000000" w:sz="4" w:space="0"/>
              <w:right w:val="single" w:color="auto" w:sz="4" w:space="0"/>
            </w:tcBorders>
            <w:vAlign w:val="center"/>
          </w:tcPr>
          <w:p w14:paraId="0263086D">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2C46FF63">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3AC03EE0">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数据服务接口</w:t>
            </w:r>
          </w:p>
        </w:tc>
        <w:tc>
          <w:tcPr>
            <w:tcW w:w="4850" w:type="dxa"/>
            <w:tcBorders>
              <w:top w:val="nil"/>
              <w:left w:val="single" w:color="auto" w:sz="4" w:space="0"/>
              <w:bottom w:val="single" w:color="auto" w:sz="4" w:space="0"/>
              <w:right w:val="single" w:color="auto" w:sz="4" w:space="0"/>
            </w:tcBorders>
            <w:shd w:val="clear" w:color="auto" w:fill="auto"/>
            <w:vAlign w:val="center"/>
          </w:tcPr>
          <w:p w14:paraId="7C38F3E8">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数据服务接口：提供标准化API，支持系统间的数据共享、交换与集成，确保跨平台数据流通。</w:t>
            </w:r>
          </w:p>
        </w:tc>
        <w:tc>
          <w:tcPr>
            <w:tcW w:w="560" w:type="dxa"/>
            <w:vMerge w:val="continue"/>
            <w:tcBorders>
              <w:top w:val="nil"/>
              <w:left w:val="single" w:color="auto" w:sz="4" w:space="0"/>
              <w:bottom w:val="single" w:color="000000" w:sz="4" w:space="0"/>
              <w:right w:val="single" w:color="auto" w:sz="4" w:space="0"/>
            </w:tcBorders>
            <w:vAlign w:val="center"/>
          </w:tcPr>
          <w:p w14:paraId="2FF217FF">
            <w:pPr>
              <w:widowControl/>
              <w:spacing w:line="560" w:lineRule="atLeast"/>
              <w:jc w:val="left"/>
              <w:rPr>
                <w:rFonts w:cs="宋体" w:asciiTheme="minorEastAsia" w:hAnsiTheme="minorEastAsia" w:eastAsiaTheme="minorEastAsia"/>
                <w:bCs/>
                <w:color w:val="000000"/>
                <w:kern w:val="0"/>
                <w:sz w:val="22"/>
                <w:szCs w:val="22"/>
              </w:rPr>
            </w:pPr>
          </w:p>
        </w:tc>
      </w:tr>
      <w:tr w14:paraId="0EFB5FC9">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000000" w:sz="4" w:space="0"/>
              <w:right w:val="single" w:color="auto" w:sz="4" w:space="0"/>
            </w:tcBorders>
            <w:vAlign w:val="center"/>
          </w:tcPr>
          <w:p w14:paraId="1AD2F0B8">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29697AD1">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4E9971B3">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资源管理</w:t>
            </w:r>
          </w:p>
        </w:tc>
        <w:tc>
          <w:tcPr>
            <w:tcW w:w="4850" w:type="dxa"/>
            <w:tcBorders>
              <w:top w:val="nil"/>
              <w:left w:val="single" w:color="auto" w:sz="4" w:space="0"/>
              <w:bottom w:val="single" w:color="auto" w:sz="4" w:space="0"/>
              <w:right w:val="single" w:color="auto" w:sz="4" w:space="0"/>
            </w:tcBorders>
            <w:shd w:val="clear" w:color="auto" w:fill="auto"/>
            <w:vAlign w:val="center"/>
          </w:tcPr>
          <w:p w14:paraId="6FABCEB2">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资源管理：优化数据存储、计算资源的使用，确保高效配置并提供灵活的资源调度。</w:t>
            </w:r>
          </w:p>
        </w:tc>
        <w:tc>
          <w:tcPr>
            <w:tcW w:w="560" w:type="dxa"/>
            <w:vMerge w:val="continue"/>
            <w:tcBorders>
              <w:top w:val="nil"/>
              <w:left w:val="single" w:color="auto" w:sz="4" w:space="0"/>
              <w:bottom w:val="single" w:color="000000" w:sz="4" w:space="0"/>
              <w:right w:val="single" w:color="auto" w:sz="4" w:space="0"/>
            </w:tcBorders>
            <w:vAlign w:val="center"/>
          </w:tcPr>
          <w:p w14:paraId="2D25675F">
            <w:pPr>
              <w:widowControl/>
              <w:spacing w:line="560" w:lineRule="atLeast"/>
              <w:jc w:val="left"/>
              <w:rPr>
                <w:rFonts w:cs="宋体" w:asciiTheme="minorEastAsia" w:hAnsiTheme="minorEastAsia" w:eastAsiaTheme="minorEastAsia"/>
                <w:bCs/>
                <w:color w:val="000000"/>
                <w:kern w:val="0"/>
                <w:sz w:val="22"/>
                <w:szCs w:val="22"/>
              </w:rPr>
            </w:pPr>
          </w:p>
        </w:tc>
      </w:tr>
      <w:tr w14:paraId="02ED84D8">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000000" w:sz="4" w:space="0"/>
              <w:right w:val="single" w:color="auto" w:sz="4" w:space="0"/>
            </w:tcBorders>
            <w:vAlign w:val="center"/>
          </w:tcPr>
          <w:p w14:paraId="5C96654E">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10B93F86">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2DC6B785">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数据应用</w:t>
            </w:r>
          </w:p>
        </w:tc>
        <w:tc>
          <w:tcPr>
            <w:tcW w:w="4850" w:type="dxa"/>
            <w:tcBorders>
              <w:top w:val="nil"/>
              <w:left w:val="single" w:color="auto" w:sz="4" w:space="0"/>
              <w:bottom w:val="single" w:color="auto" w:sz="4" w:space="0"/>
              <w:right w:val="single" w:color="auto" w:sz="4" w:space="0"/>
            </w:tcBorders>
            <w:shd w:val="clear" w:color="auto" w:fill="auto"/>
            <w:vAlign w:val="center"/>
          </w:tcPr>
          <w:p w14:paraId="3B7B39DD">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数据应用：开发数据分析和可视化工具，支持智能决策和业务分析，帮助提升决策效率。</w:t>
            </w:r>
          </w:p>
        </w:tc>
        <w:tc>
          <w:tcPr>
            <w:tcW w:w="560" w:type="dxa"/>
            <w:vMerge w:val="continue"/>
            <w:tcBorders>
              <w:top w:val="nil"/>
              <w:left w:val="single" w:color="auto" w:sz="4" w:space="0"/>
              <w:bottom w:val="single" w:color="000000" w:sz="4" w:space="0"/>
              <w:right w:val="single" w:color="auto" w:sz="4" w:space="0"/>
            </w:tcBorders>
            <w:vAlign w:val="center"/>
          </w:tcPr>
          <w:p w14:paraId="0167B73E">
            <w:pPr>
              <w:widowControl/>
              <w:spacing w:line="560" w:lineRule="atLeast"/>
              <w:jc w:val="left"/>
              <w:rPr>
                <w:rFonts w:cs="宋体" w:asciiTheme="minorEastAsia" w:hAnsiTheme="minorEastAsia" w:eastAsiaTheme="minorEastAsia"/>
                <w:bCs/>
                <w:color w:val="000000"/>
                <w:kern w:val="0"/>
                <w:sz w:val="22"/>
                <w:szCs w:val="22"/>
              </w:rPr>
            </w:pPr>
          </w:p>
        </w:tc>
      </w:tr>
      <w:tr w14:paraId="01B58EA6">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000000" w:sz="4" w:space="0"/>
              <w:right w:val="single" w:color="auto" w:sz="4" w:space="0"/>
            </w:tcBorders>
            <w:vAlign w:val="center"/>
          </w:tcPr>
          <w:p w14:paraId="6D0DF23D">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000000" w:sz="4" w:space="0"/>
              <w:right w:val="single" w:color="auto" w:sz="4" w:space="0"/>
            </w:tcBorders>
            <w:vAlign w:val="center"/>
          </w:tcPr>
          <w:p w14:paraId="4B12F419">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single" w:color="auto" w:sz="4" w:space="0"/>
              <w:right w:val="nil"/>
            </w:tcBorders>
            <w:shd w:val="clear" w:color="auto" w:fill="auto"/>
            <w:noWrap/>
            <w:vAlign w:val="center"/>
          </w:tcPr>
          <w:p w14:paraId="312B3DD2">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系统管理</w:t>
            </w:r>
          </w:p>
        </w:tc>
        <w:tc>
          <w:tcPr>
            <w:tcW w:w="4850" w:type="dxa"/>
            <w:tcBorders>
              <w:top w:val="nil"/>
              <w:left w:val="single" w:color="auto" w:sz="4" w:space="0"/>
              <w:bottom w:val="single" w:color="auto" w:sz="4" w:space="0"/>
              <w:right w:val="single" w:color="auto" w:sz="4" w:space="0"/>
            </w:tcBorders>
            <w:shd w:val="clear" w:color="auto" w:fill="auto"/>
            <w:vAlign w:val="center"/>
          </w:tcPr>
          <w:p w14:paraId="62EF79DA">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系统管理：进行系统配置、监控和日志管理，确保系统的高效稳定运行，保障数据的安全性与合规性。</w:t>
            </w:r>
          </w:p>
        </w:tc>
        <w:tc>
          <w:tcPr>
            <w:tcW w:w="560" w:type="dxa"/>
            <w:vMerge w:val="continue"/>
            <w:tcBorders>
              <w:top w:val="nil"/>
              <w:left w:val="single" w:color="auto" w:sz="4" w:space="0"/>
              <w:bottom w:val="single" w:color="000000" w:sz="4" w:space="0"/>
              <w:right w:val="single" w:color="auto" w:sz="4" w:space="0"/>
            </w:tcBorders>
            <w:vAlign w:val="center"/>
          </w:tcPr>
          <w:p w14:paraId="182294DD">
            <w:pPr>
              <w:widowControl/>
              <w:spacing w:line="560" w:lineRule="atLeast"/>
              <w:jc w:val="left"/>
              <w:rPr>
                <w:rFonts w:cs="宋体" w:asciiTheme="minorEastAsia" w:hAnsiTheme="minorEastAsia" w:eastAsiaTheme="minorEastAsia"/>
                <w:bCs/>
                <w:color w:val="000000"/>
                <w:kern w:val="0"/>
                <w:sz w:val="22"/>
                <w:szCs w:val="22"/>
              </w:rPr>
            </w:pPr>
          </w:p>
        </w:tc>
      </w:tr>
      <w:tr w14:paraId="5A5CF7DD">
        <w:tblPrEx>
          <w:tblCellMar>
            <w:top w:w="0" w:type="dxa"/>
            <w:left w:w="108" w:type="dxa"/>
            <w:bottom w:w="0" w:type="dxa"/>
            <w:right w:w="108" w:type="dxa"/>
          </w:tblCellMar>
        </w:tblPrEx>
        <w:trPr>
          <w:trHeight w:val="278" w:hRule="atLeast"/>
        </w:trPr>
        <w:tc>
          <w:tcPr>
            <w:tcW w:w="620" w:type="dxa"/>
            <w:vMerge w:val="restart"/>
            <w:tcBorders>
              <w:top w:val="nil"/>
              <w:left w:val="single" w:color="auto" w:sz="4" w:space="0"/>
              <w:bottom w:val="single" w:color="auto" w:sz="4" w:space="0"/>
              <w:right w:val="single" w:color="auto" w:sz="4" w:space="0"/>
            </w:tcBorders>
            <w:shd w:val="clear" w:color="auto" w:fill="auto"/>
            <w:noWrap/>
            <w:vAlign w:val="center"/>
          </w:tcPr>
          <w:p w14:paraId="2D2E17CD">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7</w:t>
            </w:r>
          </w:p>
        </w:tc>
        <w:tc>
          <w:tcPr>
            <w:tcW w:w="1440" w:type="dxa"/>
            <w:vMerge w:val="restart"/>
            <w:tcBorders>
              <w:top w:val="nil"/>
              <w:left w:val="single" w:color="auto" w:sz="4" w:space="0"/>
              <w:bottom w:val="single" w:color="auto" w:sz="4" w:space="0"/>
              <w:right w:val="single" w:color="auto" w:sz="4" w:space="0"/>
            </w:tcBorders>
            <w:shd w:val="clear" w:color="auto" w:fill="auto"/>
            <w:noWrap/>
            <w:vAlign w:val="center"/>
          </w:tcPr>
          <w:p w14:paraId="5C53CE5E">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数据接口服务</w:t>
            </w:r>
          </w:p>
        </w:tc>
        <w:tc>
          <w:tcPr>
            <w:tcW w:w="2230" w:type="dxa"/>
            <w:tcBorders>
              <w:top w:val="nil"/>
              <w:left w:val="nil"/>
              <w:bottom w:val="nil"/>
              <w:right w:val="nil"/>
            </w:tcBorders>
            <w:shd w:val="clear" w:color="auto" w:fill="auto"/>
            <w:noWrap/>
            <w:vAlign w:val="center"/>
          </w:tcPr>
          <w:p w14:paraId="1620D427">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数据底座搭建</w:t>
            </w:r>
          </w:p>
        </w:tc>
        <w:tc>
          <w:tcPr>
            <w:tcW w:w="4850" w:type="dxa"/>
            <w:tcBorders>
              <w:top w:val="nil"/>
              <w:left w:val="single" w:color="auto" w:sz="4" w:space="0"/>
              <w:bottom w:val="single" w:color="auto" w:sz="4" w:space="0"/>
              <w:right w:val="single" w:color="auto" w:sz="4" w:space="0"/>
            </w:tcBorders>
            <w:shd w:val="clear" w:color="auto" w:fill="auto"/>
            <w:vAlign w:val="center"/>
          </w:tcPr>
          <w:p w14:paraId="04779425">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数据基础架构：搭建统一的数据平台</w:t>
            </w:r>
          </w:p>
        </w:tc>
        <w:tc>
          <w:tcPr>
            <w:tcW w:w="560" w:type="dxa"/>
            <w:vMerge w:val="restart"/>
            <w:tcBorders>
              <w:top w:val="nil"/>
              <w:left w:val="single" w:color="auto" w:sz="4" w:space="0"/>
              <w:bottom w:val="single" w:color="000000" w:sz="4" w:space="0"/>
              <w:right w:val="single" w:color="auto" w:sz="4" w:space="0"/>
            </w:tcBorders>
            <w:shd w:val="clear" w:color="auto" w:fill="auto"/>
            <w:noWrap/>
            <w:vAlign w:val="center"/>
          </w:tcPr>
          <w:p w14:paraId="7A7AF6DA">
            <w:pPr>
              <w:widowControl/>
              <w:spacing w:line="560" w:lineRule="atLeast"/>
              <w:jc w:val="center"/>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项</w:t>
            </w:r>
          </w:p>
        </w:tc>
      </w:tr>
      <w:tr w14:paraId="07F871F9">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3B9DBE10">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auto" w:sz="4" w:space="0"/>
              <w:right w:val="single" w:color="auto" w:sz="4" w:space="0"/>
            </w:tcBorders>
            <w:vAlign w:val="center"/>
          </w:tcPr>
          <w:p w14:paraId="2D91516B">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3AED3509">
            <w:pPr>
              <w:widowControl/>
              <w:spacing w:line="560" w:lineRule="atLeast"/>
              <w:jc w:val="center"/>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391878D4">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数据采集与整合：提供数据采集、整合、清洗和存储能力</w:t>
            </w:r>
          </w:p>
        </w:tc>
        <w:tc>
          <w:tcPr>
            <w:tcW w:w="560" w:type="dxa"/>
            <w:vMerge w:val="continue"/>
            <w:tcBorders>
              <w:top w:val="nil"/>
              <w:left w:val="single" w:color="auto" w:sz="4" w:space="0"/>
              <w:bottom w:val="single" w:color="000000" w:sz="4" w:space="0"/>
              <w:right w:val="single" w:color="auto" w:sz="4" w:space="0"/>
            </w:tcBorders>
            <w:vAlign w:val="center"/>
          </w:tcPr>
          <w:p w14:paraId="7AE03FB1">
            <w:pPr>
              <w:widowControl/>
              <w:spacing w:line="560" w:lineRule="atLeast"/>
              <w:jc w:val="left"/>
              <w:rPr>
                <w:rFonts w:cs="宋体" w:asciiTheme="minorEastAsia" w:hAnsiTheme="minorEastAsia" w:eastAsiaTheme="minorEastAsia"/>
                <w:bCs/>
                <w:color w:val="000000"/>
                <w:kern w:val="0"/>
                <w:sz w:val="22"/>
                <w:szCs w:val="22"/>
              </w:rPr>
            </w:pPr>
          </w:p>
        </w:tc>
      </w:tr>
      <w:tr w14:paraId="38FBF74C">
        <w:tblPrEx>
          <w:tblCellMar>
            <w:top w:w="0" w:type="dxa"/>
            <w:left w:w="108" w:type="dxa"/>
            <w:bottom w:w="0" w:type="dxa"/>
            <w:right w:w="108" w:type="dxa"/>
          </w:tblCellMar>
        </w:tblPrEx>
        <w:trPr>
          <w:trHeight w:val="833" w:hRule="atLeast"/>
        </w:trPr>
        <w:tc>
          <w:tcPr>
            <w:tcW w:w="620" w:type="dxa"/>
            <w:vMerge w:val="continue"/>
            <w:tcBorders>
              <w:top w:val="nil"/>
              <w:left w:val="single" w:color="auto" w:sz="4" w:space="0"/>
              <w:bottom w:val="single" w:color="auto" w:sz="4" w:space="0"/>
              <w:right w:val="single" w:color="auto" w:sz="4" w:space="0"/>
            </w:tcBorders>
            <w:vAlign w:val="center"/>
          </w:tcPr>
          <w:p w14:paraId="61391CEB">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auto" w:sz="4" w:space="0"/>
              <w:right w:val="single" w:color="auto" w:sz="4" w:space="0"/>
            </w:tcBorders>
            <w:vAlign w:val="center"/>
          </w:tcPr>
          <w:p w14:paraId="67175DCD">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06767A09">
            <w:pPr>
              <w:widowControl/>
              <w:spacing w:line="560" w:lineRule="atLeast"/>
              <w:jc w:val="left"/>
              <w:rPr>
                <w:rFonts w:hint="eastAsia" w:cs="宋体" w:asciiTheme="minorEastAsia" w:hAnsiTheme="minorEastAsia" w:eastAsiaTheme="minorEastAsia"/>
                <w:bCs/>
                <w:color w:val="000000"/>
                <w:kern w:val="0"/>
                <w:sz w:val="22"/>
                <w:szCs w:val="22"/>
              </w:rPr>
            </w:pPr>
          </w:p>
        </w:tc>
        <w:tc>
          <w:tcPr>
            <w:tcW w:w="4850" w:type="dxa"/>
            <w:tcBorders>
              <w:top w:val="nil"/>
              <w:left w:val="single" w:color="auto" w:sz="4" w:space="0"/>
              <w:bottom w:val="single" w:color="auto" w:sz="4" w:space="0"/>
              <w:right w:val="single" w:color="auto" w:sz="4" w:space="0"/>
            </w:tcBorders>
            <w:shd w:val="clear" w:color="auto" w:fill="auto"/>
            <w:vAlign w:val="center"/>
          </w:tcPr>
          <w:p w14:paraId="0A3468B7">
            <w:pPr>
              <w:widowControl/>
              <w:spacing w:line="560" w:lineRule="atLeast"/>
              <w:jc w:val="left"/>
              <w:rPr>
                <w:rFonts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数据服务接口：提供数据服务接口，支持与公司信息化管理平台、财务系统、数字海钢系统的数据共享与集成。</w:t>
            </w:r>
          </w:p>
        </w:tc>
        <w:tc>
          <w:tcPr>
            <w:tcW w:w="560" w:type="dxa"/>
            <w:vMerge w:val="continue"/>
            <w:tcBorders>
              <w:top w:val="nil"/>
              <w:left w:val="single" w:color="auto" w:sz="4" w:space="0"/>
              <w:bottom w:val="single" w:color="000000" w:sz="4" w:space="0"/>
              <w:right w:val="single" w:color="auto" w:sz="4" w:space="0"/>
            </w:tcBorders>
            <w:vAlign w:val="center"/>
          </w:tcPr>
          <w:p w14:paraId="17A1E5DC">
            <w:pPr>
              <w:widowControl/>
              <w:spacing w:line="560" w:lineRule="atLeast"/>
              <w:jc w:val="left"/>
              <w:rPr>
                <w:rFonts w:cs="宋体" w:asciiTheme="minorEastAsia" w:hAnsiTheme="minorEastAsia" w:eastAsiaTheme="minorEastAsia"/>
                <w:bCs/>
                <w:color w:val="000000"/>
                <w:kern w:val="0"/>
                <w:sz w:val="22"/>
                <w:szCs w:val="22"/>
              </w:rPr>
            </w:pPr>
          </w:p>
        </w:tc>
      </w:tr>
      <w:tr w14:paraId="4295E5A8">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354AF84D">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auto" w:sz="4" w:space="0"/>
              <w:right w:val="single" w:color="auto" w:sz="4" w:space="0"/>
            </w:tcBorders>
            <w:vAlign w:val="center"/>
          </w:tcPr>
          <w:p w14:paraId="182465B6">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nil"/>
              <w:right w:val="nil"/>
            </w:tcBorders>
            <w:shd w:val="clear" w:color="auto" w:fill="auto"/>
            <w:noWrap/>
            <w:vAlign w:val="center"/>
          </w:tcPr>
          <w:p w14:paraId="475EB263">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asciiTheme="minorEastAsia" w:hAnsiTheme="minorEastAsia" w:eastAsiaTheme="minorEastAsia"/>
                <w:bCs/>
              </w:rPr>
              <w:t>★</w:t>
            </w:r>
            <w:r>
              <w:rPr>
                <w:rFonts w:hint="eastAsia" w:cs="宋体" w:asciiTheme="minorEastAsia" w:hAnsiTheme="minorEastAsia" w:eastAsiaTheme="minorEastAsia"/>
                <w:bCs/>
                <w:color w:val="000000"/>
                <w:kern w:val="0"/>
                <w:sz w:val="22"/>
                <w:szCs w:val="22"/>
              </w:rPr>
              <w:t>财务系统接口</w:t>
            </w:r>
          </w:p>
        </w:tc>
        <w:tc>
          <w:tcPr>
            <w:tcW w:w="4850" w:type="dxa"/>
            <w:tcBorders>
              <w:top w:val="nil"/>
              <w:left w:val="single" w:color="auto" w:sz="4" w:space="0"/>
              <w:bottom w:val="single" w:color="auto" w:sz="4" w:space="0"/>
              <w:right w:val="single" w:color="auto" w:sz="4" w:space="0"/>
            </w:tcBorders>
            <w:shd w:val="clear" w:color="auto" w:fill="auto"/>
            <w:vAlign w:val="center"/>
          </w:tcPr>
          <w:p w14:paraId="16EE4D72">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财务数据对接：实现与财务系统对接，将财务数据整合到数据平台中，支持财务数据的实时查询与分析。</w:t>
            </w:r>
          </w:p>
        </w:tc>
        <w:tc>
          <w:tcPr>
            <w:tcW w:w="560" w:type="dxa"/>
            <w:vMerge w:val="continue"/>
            <w:tcBorders>
              <w:top w:val="nil"/>
              <w:left w:val="single" w:color="auto" w:sz="4" w:space="0"/>
              <w:bottom w:val="single" w:color="000000" w:sz="4" w:space="0"/>
              <w:right w:val="single" w:color="auto" w:sz="4" w:space="0"/>
            </w:tcBorders>
            <w:vAlign w:val="center"/>
          </w:tcPr>
          <w:p w14:paraId="4F1DBAD9">
            <w:pPr>
              <w:widowControl/>
              <w:spacing w:line="560" w:lineRule="atLeast"/>
              <w:jc w:val="left"/>
              <w:rPr>
                <w:rFonts w:cs="宋体" w:asciiTheme="minorEastAsia" w:hAnsiTheme="minorEastAsia" w:eastAsiaTheme="minorEastAsia"/>
                <w:bCs/>
                <w:color w:val="000000"/>
                <w:kern w:val="0"/>
                <w:sz w:val="22"/>
                <w:szCs w:val="22"/>
              </w:rPr>
            </w:pPr>
          </w:p>
        </w:tc>
      </w:tr>
      <w:tr w14:paraId="6C74F256">
        <w:tblPrEx>
          <w:tblCellMar>
            <w:top w:w="0" w:type="dxa"/>
            <w:left w:w="108" w:type="dxa"/>
            <w:bottom w:w="0" w:type="dxa"/>
            <w:right w:w="108" w:type="dxa"/>
          </w:tblCellMar>
        </w:tblPrEx>
        <w:trPr>
          <w:trHeight w:val="555" w:hRule="atLeast"/>
        </w:trPr>
        <w:tc>
          <w:tcPr>
            <w:tcW w:w="620" w:type="dxa"/>
            <w:vMerge w:val="continue"/>
            <w:tcBorders>
              <w:top w:val="nil"/>
              <w:left w:val="single" w:color="auto" w:sz="4" w:space="0"/>
              <w:bottom w:val="single" w:color="auto" w:sz="4" w:space="0"/>
              <w:right w:val="single" w:color="auto" w:sz="4" w:space="0"/>
            </w:tcBorders>
            <w:vAlign w:val="center"/>
          </w:tcPr>
          <w:p w14:paraId="0B983B2C">
            <w:pPr>
              <w:widowControl/>
              <w:spacing w:line="560" w:lineRule="atLeast"/>
              <w:jc w:val="left"/>
              <w:rPr>
                <w:rFonts w:cs="宋体" w:asciiTheme="minorEastAsia" w:hAnsiTheme="minorEastAsia" w:eastAsiaTheme="minorEastAsia"/>
                <w:bCs/>
                <w:color w:val="000000"/>
                <w:kern w:val="0"/>
                <w:sz w:val="22"/>
                <w:szCs w:val="22"/>
              </w:rPr>
            </w:pPr>
          </w:p>
        </w:tc>
        <w:tc>
          <w:tcPr>
            <w:tcW w:w="1440" w:type="dxa"/>
            <w:vMerge w:val="continue"/>
            <w:tcBorders>
              <w:top w:val="nil"/>
              <w:left w:val="single" w:color="auto" w:sz="4" w:space="0"/>
              <w:bottom w:val="single" w:color="auto" w:sz="4" w:space="0"/>
              <w:right w:val="single" w:color="auto" w:sz="4" w:space="0"/>
            </w:tcBorders>
            <w:vAlign w:val="center"/>
          </w:tcPr>
          <w:p w14:paraId="6A22B1FE">
            <w:pPr>
              <w:widowControl/>
              <w:spacing w:line="560" w:lineRule="atLeast"/>
              <w:jc w:val="left"/>
              <w:rPr>
                <w:rFonts w:cs="宋体" w:asciiTheme="minorEastAsia" w:hAnsiTheme="minorEastAsia" w:eastAsiaTheme="minorEastAsia"/>
                <w:bCs/>
                <w:color w:val="000000"/>
                <w:kern w:val="0"/>
                <w:sz w:val="22"/>
                <w:szCs w:val="22"/>
              </w:rPr>
            </w:pPr>
          </w:p>
        </w:tc>
        <w:tc>
          <w:tcPr>
            <w:tcW w:w="2230" w:type="dxa"/>
            <w:tcBorders>
              <w:top w:val="nil"/>
              <w:left w:val="nil"/>
              <w:bottom w:val="single" w:color="auto" w:sz="4" w:space="0"/>
              <w:right w:val="nil"/>
            </w:tcBorders>
            <w:shd w:val="clear" w:color="auto" w:fill="auto"/>
            <w:noWrap/>
            <w:vAlign w:val="center"/>
          </w:tcPr>
          <w:p w14:paraId="50134127">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asciiTheme="minorEastAsia" w:hAnsiTheme="minorEastAsia" w:eastAsiaTheme="minorEastAsia"/>
                <w:bCs/>
              </w:rPr>
              <w:t>★</w:t>
            </w:r>
            <w:r>
              <w:rPr>
                <w:rFonts w:hint="eastAsia" w:cs="宋体" w:asciiTheme="minorEastAsia" w:hAnsiTheme="minorEastAsia" w:eastAsiaTheme="minorEastAsia"/>
                <w:bCs/>
                <w:color w:val="000000"/>
                <w:kern w:val="0"/>
                <w:sz w:val="22"/>
                <w:szCs w:val="22"/>
              </w:rPr>
              <w:t>数字海钢系统接口</w:t>
            </w:r>
          </w:p>
        </w:tc>
        <w:tc>
          <w:tcPr>
            <w:tcW w:w="4850" w:type="dxa"/>
            <w:tcBorders>
              <w:top w:val="nil"/>
              <w:left w:val="single" w:color="auto" w:sz="4" w:space="0"/>
              <w:bottom w:val="single" w:color="auto" w:sz="4" w:space="0"/>
              <w:right w:val="single" w:color="auto" w:sz="4" w:space="0"/>
            </w:tcBorders>
            <w:shd w:val="clear" w:color="auto" w:fill="auto"/>
            <w:vAlign w:val="center"/>
          </w:tcPr>
          <w:p w14:paraId="0DB753E1">
            <w:pPr>
              <w:widowControl/>
              <w:spacing w:line="560" w:lineRule="atLeast"/>
              <w:jc w:val="left"/>
              <w:rPr>
                <w:rFonts w:hint="eastAsia" w:cs="宋体" w:asciiTheme="minorEastAsia" w:hAnsiTheme="minorEastAsia" w:eastAsiaTheme="minorEastAsia"/>
                <w:bCs/>
                <w:color w:val="000000"/>
                <w:kern w:val="0"/>
                <w:sz w:val="22"/>
                <w:szCs w:val="22"/>
              </w:rPr>
            </w:pPr>
            <w:r>
              <w:rPr>
                <w:rFonts w:hint="eastAsia" w:cs="宋体" w:asciiTheme="minorEastAsia" w:hAnsiTheme="minorEastAsia" w:eastAsiaTheme="minorEastAsia"/>
                <w:bCs/>
                <w:color w:val="000000"/>
                <w:kern w:val="0"/>
                <w:sz w:val="22"/>
                <w:szCs w:val="22"/>
              </w:rPr>
              <w:t>数字海钢对接：与数字海钢系统对接，确保全流程数据同步，提升生产、销售等环节的数据整合效率。</w:t>
            </w:r>
          </w:p>
        </w:tc>
        <w:tc>
          <w:tcPr>
            <w:tcW w:w="560" w:type="dxa"/>
            <w:vMerge w:val="continue"/>
            <w:tcBorders>
              <w:top w:val="nil"/>
              <w:left w:val="single" w:color="auto" w:sz="4" w:space="0"/>
              <w:bottom w:val="single" w:color="000000" w:sz="4" w:space="0"/>
              <w:right w:val="single" w:color="auto" w:sz="4" w:space="0"/>
            </w:tcBorders>
            <w:vAlign w:val="center"/>
          </w:tcPr>
          <w:p w14:paraId="4D19A8FE">
            <w:pPr>
              <w:widowControl/>
              <w:spacing w:line="560" w:lineRule="atLeast"/>
              <w:jc w:val="left"/>
              <w:rPr>
                <w:rFonts w:cs="宋体" w:asciiTheme="minorEastAsia" w:hAnsiTheme="minorEastAsia" w:eastAsiaTheme="minorEastAsia"/>
                <w:bCs/>
                <w:color w:val="000000"/>
                <w:kern w:val="0"/>
                <w:sz w:val="22"/>
                <w:szCs w:val="22"/>
              </w:rPr>
            </w:pPr>
          </w:p>
        </w:tc>
      </w:tr>
    </w:tbl>
    <w:p w14:paraId="0B978EDE">
      <w:pPr>
        <w:pStyle w:val="48"/>
        <w:spacing w:line="560" w:lineRule="atLeast"/>
        <w:ind w:firstLine="480"/>
        <w:rPr>
          <w:rFonts w:hint="eastAsia" w:asciiTheme="minorEastAsia" w:hAnsiTheme="minorEastAsia" w:eastAsiaTheme="minorEastAsia"/>
          <w:bCs/>
          <w:lang w:bidi="ar"/>
        </w:rPr>
      </w:pPr>
      <w:r>
        <w:rPr>
          <w:rFonts w:asciiTheme="minorEastAsia" w:hAnsiTheme="minorEastAsia" w:eastAsiaTheme="minorEastAsia"/>
          <w:bCs/>
          <w:lang w:bidi="ar"/>
        </w:rPr>
        <w:fldChar w:fldCharType="end"/>
      </w:r>
    </w:p>
    <w:p w14:paraId="78FAAF78">
      <w:pPr>
        <w:pStyle w:val="5"/>
        <w:spacing w:line="560" w:lineRule="atLeast"/>
        <w:rPr>
          <w:rFonts w:hint="eastAsia" w:cs="宋体" w:asciiTheme="minorEastAsia" w:hAnsiTheme="minorEastAsia" w:eastAsiaTheme="minorEastAsia"/>
          <w:b w:val="0"/>
          <w:bCs/>
          <w:color w:val="000000"/>
          <w:kern w:val="0"/>
          <w:sz w:val="24"/>
          <w:lang w:bidi="ar"/>
        </w:rPr>
      </w:pPr>
      <w:r>
        <w:rPr>
          <w:rFonts w:hint="eastAsia" w:cs="宋体" w:asciiTheme="minorEastAsia" w:hAnsiTheme="minorEastAsia" w:eastAsiaTheme="minorEastAsia"/>
          <w:b w:val="0"/>
          <w:bCs/>
          <w:sz w:val="24"/>
        </w:rPr>
        <w:t>4</w:t>
      </w:r>
      <w:r>
        <w:rPr>
          <w:rFonts w:hint="eastAsia" w:cs="宋体" w:asciiTheme="minorEastAsia" w:hAnsiTheme="minorEastAsia" w:eastAsiaTheme="minorEastAsia"/>
          <w:b w:val="0"/>
          <w:bCs/>
          <w:sz w:val="24"/>
          <w:szCs w:val="24"/>
        </w:rPr>
        <w:t>、平台相关硬件清单</w:t>
      </w:r>
    </w:p>
    <w:tbl>
      <w:tblPr>
        <w:tblStyle w:val="40"/>
        <w:tblpPr w:leftFromText="180" w:rightFromText="180" w:vertAnchor="text" w:horzAnchor="margin" w:tblpY="349"/>
        <w:tblW w:w="9634" w:type="dxa"/>
        <w:tblInd w:w="0" w:type="dxa"/>
        <w:tblLayout w:type="fixed"/>
        <w:tblCellMar>
          <w:top w:w="0" w:type="dxa"/>
          <w:left w:w="108" w:type="dxa"/>
          <w:bottom w:w="0" w:type="dxa"/>
          <w:right w:w="108" w:type="dxa"/>
        </w:tblCellMar>
      </w:tblPr>
      <w:tblGrid>
        <w:gridCol w:w="878"/>
        <w:gridCol w:w="1040"/>
        <w:gridCol w:w="7716"/>
      </w:tblGrid>
      <w:tr w14:paraId="4419A2B9">
        <w:tblPrEx>
          <w:tblCellMar>
            <w:top w:w="0" w:type="dxa"/>
            <w:left w:w="108" w:type="dxa"/>
            <w:bottom w:w="0" w:type="dxa"/>
            <w:right w:w="108" w:type="dxa"/>
          </w:tblCellMar>
        </w:tblPrEx>
        <w:trPr>
          <w:trHeight w:val="560" w:hRule="atLeast"/>
        </w:trPr>
        <w:tc>
          <w:tcPr>
            <w:tcW w:w="878"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59DF25C5">
            <w:pPr>
              <w:widowControl/>
              <w:spacing w:line="560" w:lineRule="atLeast"/>
              <w:jc w:val="left"/>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序号</w:t>
            </w:r>
          </w:p>
        </w:tc>
        <w:tc>
          <w:tcPr>
            <w:tcW w:w="104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60B8D87F">
            <w:pPr>
              <w:widowControl/>
              <w:spacing w:line="560" w:lineRule="atLeast"/>
              <w:jc w:val="left"/>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名  称</w:t>
            </w:r>
          </w:p>
        </w:tc>
        <w:tc>
          <w:tcPr>
            <w:tcW w:w="771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14:paraId="2E56697D">
            <w:pPr>
              <w:widowControl/>
              <w:spacing w:line="560" w:lineRule="atLeast"/>
              <w:jc w:val="left"/>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技术参数与参考品牌</w:t>
            </w:r>
          </w:p>
        </w:tc>
      </w:tr>
      <w:tr w14:paraId="59FCF315">
        <w:tblPrEx>
          <w:tblCellMar>
            <w:top w:w="0" w:type="dxa"/>
            <w:left w:w="108" w:type="dxa"/>
            <w:bottom w:w="0" w:type="dxa"/>
            <w:right w:w="108" w:type="dxa"/>
          </w:tblCellMar>
        </w:tblPrEx>
        <w:trPr>
          <w:trHeight w:val="560" w:hRule="atLeast"/>
        </w:trPr>
        <w:tc>
          <w:tcPr>
            <w:tcW w:w="878" w:type="dxa"/>
            <w:vMerge w:val="continue"/>
            <w:tcBorders>
              <w:top w:val="single" w:color="auto" w:sz="4" w:space="0"/>
              <w:left w:val="single" w:color="auto" w:sz="4" w:space="0"/>
              <w:bottom w:val="single" w:color="000000" w:sz="4" w:space="0"/>
              <w:right w:val="single" w:color="auto" w:sz="4" w:space="0"/>
            </w:tcBorders>
            <w:vAlign w:val="center"/>
          </w:tcPr>
          <w:p w14:paraId="26846388">
            <w:pPr>
              <w:widowControl/>
              <w:spacing w:line="560" w:lineRule="atLeast"/>
              <w:jc w:val="left"/>
              <w:rPr>
                <w:rFonts w:hint="eastAsia" w:cs="宋体" w:asciiTheme="minorEastAsia" w:hAnsiTheme="minorEastAsia" w:eastAsiaTheme="minorEastAsia"/>
                <w:bCs/>
                <w:kern w:val="0"/>
                <w:sz w:val="24"/>
              </w:rPr>
            </w:pPr>
          </w:p>
        </w:tc>
        <w:tc>
          <w:tcPr>
            <w:tcW w:w="1040" w:type="dxa"/>
            <w:vMerge w:val="continue"/>
            <w:tcBorders>
              <w:top w:val="single" w:color="auto" w:sz="4" w:space="0"/>
              <w:left w:val="single" w:color="auto" w:sz="4" w:space="0"/>
              <w:bottom w:val="single" w:color="000000" w:sz="4" w:space="0"/>
              <w:right w:val="single" w:color="auto" w:sz="4" w:space="0"/>
            </w:tcBorders>
            <w:vAlign w:val="center"/>
          </w:tcPr>
          <w:p w14:paraId="3FEB2775">
            <w:pPr>
              <w:widowControl/>
              <w:spacing w:line="560" w:lineRule="atLeast"/>
              <w:jc w:val="left"/>
              <w:rPr>
                <w:rFonts w:hint="eastAsia" w:cs="宋体" w:asciiTheme="minorEastAsia" w:hAnsiTheme="minorEastAsia" w:eastAsiaTheme="minorEastAsia"/>
                <w:bCs/>
                <w:kern w:val="0"/>
                <w:sz w:val="24"/>
              </w:rPr>
            </w:pPr>
          </w:p>
        </w:tc>
        <w:tc>
          <w:tcPr>
            <w:tcW w:w="7716" w:type="dxa"/>
            <w:vMerge w:val="continue"/>
            <w:tcBorders>
              <w:top w:val="single" w:color="auto" w:sz="4" w:space="0"/>
              <w:left w:val="single" w:color="auto" w:sz="4" w:space="0"/>
              <w:bottom w:val="single" w:color="000000" w:sz="4" w:space="0"/>
              <w:right w:val="single" w:color="auto" w:sz="4" w:space="0"/>
            </w:tcBorders>
            <w:vAlign w:val="center"/>
          </w:tcPr>
          <w:p w14:paraId="3B557F2F">
            <w:pPr>
              <w:widowControl/>
              <w:spacing w:line="560" w:lineRule="atLeast"/>
              <w:jc w:val="left"/>
              <w:rPr>
                <w:rFonts w:hint="eastAsia" w:cs="宋体" w:asciiTheme="minorEastAsia" w:hAnsiTheme="minorEastAsia" w:eastAsiaTheme="minorEastAsia"/>
                <w:bCs/>
                <w:kern w:val="0"/>
                <w:sz w:val="24"/>
              </w:rPr>
            </w:pPr>
          </w:p>
        </w:tc>
      </w:tr>
      <w:tr w14:paraId="15AD0A29">
        <w:tblPrEx>
          <w:tblCellMar>
            <w:top w:w="0" w:type="dxa"/>
            <w:left w:w="108" w:type="dxa"/>
            <w:bottom w:w="0" w:type="dxa"/>
            <w:right w:w="108" w:type="dxa"/>
          </w:tblCellMar>
        </w:tblPrEx>
        <w:trPr>
          <w:trHeight w:val="285" w:hRule="atLeast"/>
        </w:trPr>
        <w:tc>
          <w:tcPr>
            <w:tcW w:w="878" w:type="dxa"/>
            <w:tcBorders>
              <w:top w:val="nil"/>
              <w:left w:val="single" w:color="auto" w:sz="4" w:space="0"/>
              <w:bottom w:val="single" w:color="auto" w:sz="4" w:space="0"/>
              <w:right w:val="single" w:color="auto" w:sz="4" w:space="0"/>
            </w:tcBorders>
            <w:shd w:val="clear" w:color="auto" w:fill="auto"/>
            <w:noWrap/>
            <w:vAlign w:val="center"/>
          </w:tcPr>
          <w:p w14:paraId="580651A2">
            <w:pPr>
              <w:widowControl/>
              <w:spacing w:line="560" w:lineRule="atLeast"/>
              <w:jc w:val="center"/>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一</w:t>
            </w:r>
          </w:p>
        </w:tc>
        <w:tc>
          <w:tcPr>
            <w:tcW w:w="1040" w:type="dxa"/>
            <w:tcBorders>
              <w:top w:val="nil"/>
              <w:left w:val="nil"/>
              <w:bottom w:val="single" w:color="auto" w:sz="4" w:space="0"/>
              <w:right w:val="single" w:color="auto" w:sz="4" w:space="0"/>
            </w:tcBorders>
            <w:shd w:val="clear" w:color="auto" w:fill="auto"/>
            <w:vAlign w:val="center"/>
          </w:tcPr>
          <w:p w14:paraId="05768800">
            <w:pPr>
              <w:widowControl/>
              <w:spacing w:line="560" w:lineRule="atLeast"/>
              <w:jc w:val="left"/>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实时监控</w:t>
            </w:r>
          </w:p>
        </w:tc>
        <w:tc>
          <w:tcPr>
            <w:tcW w:w="7716" w:type="dxa"/>
            <w:tcBorders>
              <w:top w:val="nil"/>
              <w:left w:val="nil"/>
              <w:bottom w:val="single" w:color="auto" w:sz="4" w:space="0"/>
              <w:right w:val="single" w:color="auto" w:sz="4" w:space="0"/>
            </w:tcBorders>
            <w:shd w:val="clear" w:color="auto" w:fill="auto"/>
            <w:vAlign w:val="center"/>
          </w:tcPr>
          <w:p w14:paraId="2F4C1ACD">
            <w:pPr>
              <w:widowControl/>
              <w:spacing w:line="560" w:lineRule="atLeast"/>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　</w:t>
            </w:r>
          </w:p>
        </w:tc>
      </w:tr>
      <w:tr w14:paraId="2652A2F2">
        <w:tblPrEx>
          <w:tblCellMar>
            <w:top w:w="0" w:type="dxa"/>
            <w:left w:w="108" w:type="dxa"/>
            <w:bottom w:w="0" w:type="dxa"/>
            <w:right w:w="108" w:type="dxa"/>
          </w:tblCellMar>
        </w:tblPrEx>
        <w:trPr>
          <w:trHeight w:val="557" w:hRule="atLeast"/>
        </w:trPr>
        <w:tc>
          <w:tcPr>
            <w:tcW w:w="878" w:type="dxa"/>
            <w:tcBorders>
              <w:top w:val="nil"/>
              <w:left w:val="single" w:color="auto" w:sz="4" w:space="0"/>
              <w:bottom w:val="single" w:color="auto" w:sz="4" w:space="0"/>
              <w:right w:val="single" w:color="auto" w:sz="4" w:space="0"/>
            </w:tcBorders>
            <w:shd w:val="clear" w:color="auto" w:fill="auto"/>
            <w:noWrap/>
            <w:vAlign w:val="center"/>
          </w:tcPr>
          <w:p w14:paraId="2A6B78A6">
            <w:pPr>
              <w:widowControl/>
              <w:spacing w:line="560" w:lineRule="atLeast"/>
              <w:jc w:val="center"/>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1</w:t>
            </w:r>
          </w:p>
        </w:tc>
        <w:tc>
          <w:tcPr>
            <w:tcW w:w="1040" w:type="dxa"/>
            <w:tcBorders>
              <w:top w:val="nil"/>
              <w:left w:val="nil"/>
              <w:bottom w:val="single" w:color="auto" w:sz="4" w:space="0"/>
              <w:right w:val="single" w:color="auto" w:sz="4" w:space="0"/>
            </w:tcBorders>
            <w:shd w:val="clear" w:color="auto" w:fill="auto"/>
            <w:vAlign w:val="center"/>
          </w:tcPr>
          <w:p w14:paraId="78004328">
            <w:pPr>
              <w:widowControl/>
              <w:spacing w:line="560" w:lineRule="atLeast"/>
              <w:jc w:val="left"/>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硬盘录像机</w:t>
            </w:r>
          </w:p>
        </w:tc>
        <w:tc>
          <w:tcPr>
            <w:tcW w:w="7716" w:type="dxa"/>
            <w:tcBorders>
              <w:top w:val="nil"/>
              <w:left w:val="nil"/>
              <w:bottom w:val="single" w:color="auto" w:sz="4" w:space="0"/>
              <w:right w:val="single" w:color="auto" w:sz="4" w:space="0"/>
            </w:tcBorders>
            <w:shd w:val="clear" w:color="auto" w:fill="auto"/>
            <w:vAlign w:val="center"/>
          </w:tcPr>
          <w:p w14:paraId="3D1D40FB">
            <w:pPr>
              <w:widowControl/>
              <w:spacing w:line="560" w:lineRule="atLeast"/>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2U机架式9盘位嵌入式网络硬盘录像机，采用存算一体架构，内置高性能AI处理器，搭载高性能ATX电源</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存储接口：≥9个SATA接口，可满配16TB硬盘</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视频接口：≥2×HDMI，2×VGA</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网络接口：≥2×RJ45 10/100/1000Mbps自适应以太网口</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报警接口：≥16路报警输入，≥4路报警输出</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串行接口：≥1路RS-232接口，1路全双工RS-485接口</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USB接口：≥2×USB 2.0，≥2×USB 3.0</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扩展接口：1×eSATA</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输入带宽：≥320Mbps</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输出带宽：≥256Mbps</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接入能力：≥32路H.264、H.265格式高清码流接入</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解码能力：最大支持32×1080P</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显示能力：最大支持8K+1080P、2×4K异源输出</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RAID模式：RAID0、RAID1、RAID5、RAID6、RAID10，支持全局热备盘</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周界自学习应用：支持周界算法（越界侦测、区域入侵、进入区域、离开区域）的推理、训练同时运行，业务不间断</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支持设备自动素材收集、自动标定、自动训练、自动升级，无需人工干预的算法版本自动迭代</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支持训练进度可视化查询，支持多版本算法管理</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图片流性能：32路图片流自学习周界防范</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单颗AI引擎分析能力：32路图片流；12路2MP/6路4MP/2路8MP视频流</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目标识别应用：支持目标抓拍、比对报警；支持以图搜图、按姓名检索、按属性检索</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目标名单库：支持32个名单库，总库容10万张</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目标抓拍：8路视频流（2MP）</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目标比对：24路图片流</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智搜应用：支持全路数目标检索功能，搭配前端警戒相机可对设备视频录像中的目标实现快速检索</w:t>
            </w:r>
            <w:r>
              <w:rPr>
                <w:rFonts w:hint="eastAsia" w:cs="宋体" w:asciiTheme="minorEastAsia" w:hAnsiTheme="minorEastAsia" w:eastAsiaTheme="minorEastAsia"/>
                <w:bCs/>
                <w:color w:val="000000"/>
                <w:kern w:val="0"/>
                <w:sz w:val="24"/>
              </w:rPr>
              <w:br w:type="textWrapping"/>
            </w:r>
            <w:r>
              <w:rPr>
                <w:rFonts w:hint="eastAsia" w:cs="宋体" w:asciiTheme="minorEastAsia" w:hAnsiTheme="minorEastAsia" w:eastAsiaTheme="minorEastAsia"/>
                <w:bCs/>
                <w:color w:val="000000"/>
                <w:kern w:val="0"/>
                <w:sz w:val="24"/>
              </w:rPr>
              <w:t>目标检索(智搜)：32路</w:t>
            </w:r>
          </w:p>
        </w:tc>
      </w:tr>
      <w:tr w14:paraId="34DDADB5">
        <w:tblPrEx>
          <w:tblCellMar>
            <w:top w:w="0" w:type="dxa"/>
            <w:left w:w="108" w:type="dxa"/>
            <w:bottom w:w="0" w:type="dxa"/>
            <w:right w:w="108" w:type="dxa"/>
          </w:tblCellMar>
        </w:tblPrEx>
        <w:trPr>
          <w:trHeight w:val="214" w:hRule="atLeast"/>
        </w:trPr>
        <w:tc>
          <w:tcPr>
            <w:tcW w:w="878" w:type="dxa"/>
            <w:tcBorders>
              <w:top w:val="nil"/>
              <w:left w:val="single" w:color="auto" w:sz="4" w:space="0"/>
              <w:bottom w:val="single" w:color="auto" w:sz="4" w:space="0"/>
              <w:right w:val="single" w:color="auto" w:sz="4" w:space="0"/>
            </w:tcBorders>
            <w:shd w:val="clear" w:color="auto" w:fill="auto"/>
            <w:noWrap/>
            <w:vAlign w:val="center"/>
          </w:tcPr>
          <w:p w14:paraId="4B41D583">
            <w:pPr>
              <w:widowControl/>
              <w:spacing w:line="560" w:lineRule="atLeast"/>
              <w:jc w:val="center"/>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2</w:t>
            </w:r>
          </w:p>
        </w:tc>
        <w:tc>
          <w:tcPr>
            <w:tcW w:w="1040" w:type="dxa"/>
            <w:tcBorders>
              <w:top w:val="nil"/>
              <w:left w:val="nil"/>
              <w:bottom w:val="single" w:color="auto" w:sz="4" w:space="0"/>
              <w:right w:val="single" w:color="auto" w:sz="4" w:space="0"/>
            </w:tcBorders>
            <w:shd w:val="clear" w:color="auto" w:fill="auto"/>
            <w:vAlign w:val="center"/>
          </w:tcPr>
          <w:p w14:paraId="37A8D3E3">
            <w:pPr>
              <w:widowControl/>
              <w:spacing w:line="560" w:lineRule="atLeast"/>
              <w:jc w:val="left"/>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监控硬盘</w:t>
            </w:r>
          </w:p>
        </w:tc>
        <w:tc>
          <w:tcPr>
            <w:tcW w:w="7716" w:type="dxa"/>
            <w:tcBorders>
              <w:top w:val="nil"/>
              <w:left w:val="nil"/>
              <w:bottom w:val="single" w:color="auto" w:sz="4" w:space="0"/>
              <w:right w:val="single" w:color="auto" w:sz="4" w:space="0"/>
            </w:tcBorders>
            <w:shd w:val="clear" w:color="auto" w:fill="auto"/>
            <w:vAlign w:val="center"/>
          </w:tcPr>
          <w:p w14:paraId="62D58860">
            <w:pPr>
              <w:widowControl/>
              <w:spacing w:line="560" w:lineRule="atLeast"/>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全新，希捷8TB  7200转</w:t>
            </w:r>
          </w:p>
        </w:tc>
      </w:tr>
      <w:tr w14:paraId="2C525D62">
        <w:tblPrEx>
          <w:tblCellMar>
            <w:top w:w="0" w:type="dxa"/>
            <w:left w:w="108" w:type="dxa"/>
            <w:bottom w:w="0" w:type="dxa"/>
            <w:right w:w="108" w:type="dxa"/>
          </w:tblCellMar>
        </w:tblPrEx>
        <w:trPr>
          <w:trHeight w:val="274" w:hRule="atLeast"/>
        </w:trPr>
        <w:tc>
          <w:tcPr>
            <w:tcW w:w="878" w:type="dxa"/>
            <w:tcBorders>
              <w:top w:val="nil"/>
              <w:left w:val="single" w:color="auto" w:sz="4" w:space="0"/>
              <w:bottom w:val="single" w:color="auto" w:sz="4" w:space="0"/>
              <w:right w:val="single" w:color="auto" w:sz="4" w:space="0"/>
            </w:tcBorders>
            <w:shd w:val="clear" w:color="auto" w:fill="auto"/>
            <w:noWrap/>
            <w:vAlign w:val="center"/>
          </w:tcPr>
          <w:p w14:paraId="375DC2A2">
            <w:pPr>
              <w:widowControl/>
              <w:spacing w:line="560" w:lineRule="atLeast"/>
              <w:jc w:val="center"/>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3</w:t>
            </w:r>
          </w:p>
        </w:tc>
        <w:tc>
          <w:tcPr>
            <w:tcW w:w="1040" w:type="dxa"/>
            <w:tcBorders>
              <w:top w:val="nil"/>
              <w:left w:val="nil"/>
              <w:bottom w:val="single" w:color="auto" w:sz="4" w:space="0"/>
              <w:right w:val="single" w:color="auto" w:sz="4" w:space="0"/>
            </w:tcBorders>
            <w:shd w:val="clear" w:color="auto" w:fill="auto"/>
            <w:vAlign w:val="center"/>
          </w:tcPr>
          <w:p w14:paraId="23009E70">
            <w:pPr>
              <w:widowControl/>
              <w:spacing w:line="560" w:lineRule="atLeast"/>
              <w:jc w:val="left"/>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图形工作站</w:t>
            </w:r>
          </w:p>
        </w:tc>
        <w:tc>
          <w:tcPr>
            <w:tcW w:w="7716" w:type="dxa"/>
            <w:tcBorders>
              <w:top w:val="nil"/>
              <w:left w:val="nil"/>
              <w:bottom w:val="single" w:color="auto" w:sz="4" w:space="0"/>
              <w:right w:val="single" w:color="auto" w:sz="4" w:space="0"/>
            </w:tcBorders>
            <w:shd w:val="clear" w:color="auto" w:fill="auto"/>
            <w:vAlign w:val="center"/>
          </w:tcPr>
          <w:p w14:paraId="69CB0381">
            <w:pPr>
              <w:widowControl/>
              <w:spacing w:line="560" w:lineRule="atLeast"/>
              <w:jc w:val="left"/>
              <w:rPr>
                <w:rFonts w:hint="eastAsia"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品牌电脑，CPU ≥10核；内存≥64G；SSD1TB+HDD4T; 显卡RTX4070/12G显存，23.8寸显示器</w:t>
            </w:r>
          </w:p>
        </w:tc>
      </w:tr>
    </w:tbl>
    <w:p w14:paraId="442A8C8C">
      <w:pPr>
        <w:spacing w:line="560" w:lineRule="atLeast"/>
        <w:ind w:firstLine="480" w:firstLineChars="200"/>
        <w:jc w:val="left"/>
        <w:rPr>
          <w:rFonts w:hint="eastAsia" w:cs="宋体" w:asciiTheme="minorEastAsia" w:hAnsiTheme="minorEastAsia" w:eastAsiaTheme="minorEastAsia"/>
          <w:bCs/>
          <w:sz w:val="24"/>
          <w:lang w:bidi="ar"/>
        </w:rPr>
      </w:pPr>
    </w:p>
    <w:p w14:paraId="6F14CC62">
      <w:pPr>
        <w:adjustRightInd w:val="0"/>
        <w:snapToGrid w:val="0"/>
        <w:spacing w:line="560" w:lineRule="atLeast"/>
        <w:ind w:firstLine="480" w:firstLineChars="200"/>
        <w:jc w:val="left"/>
        <w:rPr>
          <w:rFonts w:hint="eastAsia" w:cs="宋体" w:asciiTheme="minorEastAsia" w:hAnsiTheme="minorEastAsia" w:eastAsiaTheme="minorEastAsia"/>
          <w:bCs/>
          <w:color w:val="000000"/>
          <w:kern w:val="0"/>
          <w:sz w:val="24"/>
        </w:rPr>
      </w:pPr>
    </w:p>
    <w:p w14:paraId="51B66F40">
      <w:pPr>
        <w:adjustRightInd w:val="0"/>
        <w:snapToGrid w:val="0"/>
        <w:spacing w:line="560" w:lineRule="atLeast"/>
        <w:ind w:firstLine="480" w:firstLineChars="200"/>
        <w:rPr>
          <w:rFonts w:hint="eastAsia" w:cs="宋体" w:asciiTheme="minorEastAsia" w:hAnsiTheme="minorEastAsia" w:eastAsiaTheme="minorEastAsia"/>
          <w:bCs/>
          <w:color w:val="000000"/>
          <w:kern w:val="0"/>
          <w:sz w:val="24"/>
        </w:rPr>
      </w:pPr>
    </w:p>
    <w:p w14:paraId="07C5E430">
      <w:pPr>
        <w:adjustRightInd w:val="0"/>
        <w:snapToGrid w:val="0"/>
        <w:spacing w:line="560" w:lineRule="atLeast"/>
        <w:ind w:firstLine="480" w:firstLineChars="200"/>
        <w:rPr>
          <w:rFonts w:hint="eastAsia" w:cs="宋体" w:asciiTheme="minorEastAsia" w:hAnsiTheme="minorEastAsia" w:eastAsiaTheme="minorEastAsia"/>
          <w:bCs/>
          <w:color w:val="000000"/>
          <w:kern w:val="0"/>
          <w:sz w:val="24"/>
        </w:rPr>
      </w:pPr>
    </w:p>
    <w:p w14:paraId="4548D227">
      <w:pPr>
        <w:adjustRightInd w:val="0"/>
        <w:snapToGrid w:val="0"/>
        <w:spacing w:line="560" w:lineRule="atLeast"/>
        <w:ind w:firstLine="480" w:firstLineChars="200"/>
        <w:rPr>
          <w:rFonts w:hint="eastAsia" w:cs="宋体" w:asciiTheme="minorEastAsia" w:hAnsiTheme="minorEastAsia" w:eastAsiaTheme="minorEastAsia"/>
          <w:bCs/>
          <w:color w:val="000000"/>
          <w:kern w:val="0"/>
          <w:sz w:val="24"/>
        </w:rPr>
      </w:pPr>
    </w:p>
    <w:p w14:paraId="40DEFFD6">
      <w:pPr>
        <w:adjustRightInd w:val="0"/>
        <w:snapToGrid w:val="0"/>
        <w:spacing w:line="560" w:lineRule="atLeast"/>
        <w:ind w:firstLine="480" w:firstLineChars="200"/>
        <w:rPr>
          <w:rFonts w:hint="eastAsia" w:cs="宋体" w:asciiTheme="minorEastAsia" w:hAnsiTheme="minorEastAsia" w:eastAsiaTheme="minorEastAsia"/>
          <w:bCs/>
          <w:color w:val="000000"/>
          <w:kern w:val="0"/>
          <w:sz w:val="24"/>
        </w:rPr>
      </w:pPr>
    </w:p>
    <w:p w14:paraId="0FCFEB6F">
      <w:pPr>
        <w:pStyle w:val="48"/>
        <w:spacing w:line="560" w:lineRule="atLeast"/>
        <w:ind w:firstLine="480"/>
        <w:rPr>
          <w:rFonts w:hint="eastAsia" w:cs="宋体" w:asciiTheme="minorEastAsia" w:hAnsiTheme="minorEastAsia" w:eastAsiaTheme="minorEastAsia"/>
          <w:bCs/>
          <w:color w:val="000000"/>
          <w:kern w:val="0"/>
        </w:rPr>
      </w:pPr>
    </w:p>
    <w:p w14:paraId="60B4B883">
      <w:pPr>
        <w:pStyle w:val="48"/>
        <w:spacing w:line="560" w:lineRule="atLeast"/>
        <w:ind w:firstLine="480"/>
        <w:rPr>
          <w:rFonts w:hint="eastAsia" w:cs="宋体" w:asciiTheme="minorEastAsia" w:hAnsiTheme="minorEastAsia" w:eastAsiaTheme="minorEastAsia"/>
          <w:bCs/>
          <w:color w:val="000000"/>
          <w:kern w:val="0"/>
        </w:rPr>
      </w:pPr>
    </w:p>
    <w:p w14:paraId="5A1173F6">
      <w:pPr>
        <w:pStyle w:val="48"/>
        <w:spacing w:line="560" w:lineRule="atLeast"/>
        <w:ind w:firstLine="480"/>
        <w:rPr>
          <w:rFonts w:hint="eastAsia" w:cs="宋体" w:asciiTheme="minorEastAsia" w:hAnsiTheme="minorEastAsia" w:eastAsiaTheme="minorEastAsia"/>
          <w:bCs/>
          <w:color w:val="000000"/>
          <w:kern w:val="0"/>
        </w:rPr>
      </w:pPr>
    </w:p>
    <w:p w14:paraId="6DBE07A2">
      <w:pPr>
        <w:pStyle w:val="48"/>
        <w:spacing w:line="560" w:lineRule="atLeast"/>
        <w:ind w:firstLine="480"/>
        <w:rPr>
          <w:rFonts w:hint="eastAsia" w:cs="宋体" w:asciiTheme="minorEastAsia" w:hAnsiTheme="minorEastAsia" w:eastAsiaTheme="minorEastAsia"/>
          <w:bCs/>
          <w:color w:val="000000"/>
          <w:kern w:val="0"/>
        </w:rPr>
      </w:pPr>
    </w:p>
    <w:p w14:paraId="00602EA8">
      <w:pPr>
        <w:pStyle w:val="48"/>
        <w:spacing w:line="560" w:lineRule="atLeast"/>
        <w:ind w:firstLine="480"/>
        <w:rPr>
          <w:rFonts w:hint="eastAsia" w:cs="宋体" w:asciiTheme="minorEastAsia" w:hAnsiTheme="minorEastAsia" w:eastAsiaTheme="minorEastAsia"/>
          <w:bCs/>
          <w:color w:val="000000"/>
          <w:kern w:val="0"/>
        </w:rPr>
      </w:pPr>
    </w:p>
    <w:p w14:paraId="497C006E">
      <w:pPr>
        <w:pStyle w:val="48"/>
        <w:spacing w:line="560" w:lineRule="atLeast"/>
        <w:ind w:firstLine="480"/>
        <w:rPr>
          <w:rFonts w:hint="eastAsia" w:cs="宋体" w:asciiTheme="minorEastAsia" w:hAnsiTheme="minorEastAsia" w:eastAsiaTheme="minorEastAsia"/>
          <w:bCs/>
          <w:color w:val="000000"/>
          <w:kern w:val="0"/>
        </w:rPr>
      </w:pPr>
    </w:p>
    <w:p w14:paraId="74A785E0">
      <w:pPr>
        <w:pStyle w:val="48"/>
        <w:spacing w:line="560" w:lineRule="atLeast"/>
        <w:ind w:firstLine="480"/>
        <w:rPr>
          <w:rFonts w:hint="eastAsia" w:cs="宋体" w:asciiTheme="minorEastAsia" w:hAnsiTheme="minorEastAsia" w:eastAsiaTheme="minorEastAsia"/>
          <w:bCs/>
          <w:color w:val="000000"/>
          <w:kern w:val="0"/>
        </w:rPr>
      </w:pPr>
    </w:p>
    <w:p w14:paraId="51AA59F6">
      <w:pPr>
        <w:pStyle w:val="48"/>
        <w:spacing w:line="560" w:lineRule="atLeast"/>
        <w:ind w:firstLine="480"/>
        <w:rPr>
          <w:rFonts w:hint="eastAsia" w:cs="宋体" w:asciiTheme="minorEastAsia" w:hAnsiTheme="minorEastAsia" w:eastAsiaTheme="minorEastAsia"/>
          <w:bCs/>
          <w:color w:val="000000"/>
          <w:kern w:val="0"/>
        </w:rPr>
      </w:pPr>
    </w:p>
    <w:p w14:paraId="085EEA63">
      <w:pPr>
        <w:pStyle w:val="48"/>
        <w:spacing w:line="560" w:lineRule="atLeast"/>
        <w:ind w:firstLine="480"/>
        <w:rPr>
          <w:rFonts w:hint="eastAsia" w:cs="宋体" w:asciiTheme="minorEastAsia" w:hAnsiTheme="minorEastAsia" w:eastAsiaTheme="minorEastAsia"/>
          <w:bCs/>
          <w:color w:val="000000"/>
          <w:kern w:val="0"/>
        </w:rPr>
      </w:pPr>
    </w:p>
    <w:p w14:paraId="5C2DD594">
      <w:pPr>
        <w:pStyle w:val="48"/>
        <w:spacing w:line="560" w:lineRule="atLeast"/>
        <w:ind w:firstLine="480"/>
        <w:rPr>
          <w:rFonts w:hint="eastAsia" w:cs="宋体" w:asciiTheme="minorEastAsia" w:hAnsiTheme="minorEastAsia" w:eastAsiaTheme="minorEastAsia"/>
          <w:bCs/>
          <w:color w:val="000000"/>
          <w:kern w:val="0"/>
        </w:rPr>
      </w:pPr>
    </w:p>
    <w:p w14:paraId="5AA4F3AE">
      <w:pPr>
        <w:adjustRightInd w:val="0"/>
        <w:snapToGrid w:val="0"/>
        <w:spacing w:line="560" w:lineRule="atLeast"/>
        <w:ind w:firstLine="480" w:firstLineChars="200"/>
        <w:rPr>
          <w:rFonts w:hint="eastAsia" w:cs="宋体" w:asciiTheme="minorEastAsia" w:hAnsiTheme="minorEastAsia" w:eastAsiaTheme="minorEastAsia"/>
          <w:bCs/>
          <w:color w:val="000000"/>
          <w:kern w:val="0"/>
          <w:sz w:val="24"/>
        </w:rPr>
      </w:pPr>
    </w:p>
    <w:p w14:paraId="51156723">
      <w:pPr>
        <w:pStyle w:val="48"/>
        <w:rPr>
          <w:rFonts w:hint="eastAsia" w:cs="宋体" w:asciiTheme="minorEastAsia" w:hAnsiTheme="minorEastAsia" w:eastAsiaTheme="minorEastAsia"/>
          <w:bCs/>
          <w:color w:val="000000"/>
          <w:kern w:val="0"/>
          <w:sz w:val="24"/>
        </w:rPr>
      </w:pPr>
    </w:p>
    <w:p w14:paraId="66B0CF2C">
      <w:pPr>
        <w:pStyle w:val="48"/>
        <w:rPr>
          <w:rFonts w:hint="eastAsia" w:cs="宋体" w:asciiTheme="minorEastAsia" w:hAnsiTheme="minorEastAsia" w:eastAsiaTheme="minorEastAsia"/>
          <w:bCs/>
          <w:color w:val="000000"/>
          <w:kern w:val="0"/>
          <w:sz w:val="24"/>
        </w:rPr>
      </w:pPr>
    </w:p>
    <w:p w14:paraId="32E75650">
      <w:pPr>
        <w:pStyle w:val="48"/>
        <w:rPr>
          <w:rFonts w:hint="eastAsia" w:cs="宋体" w:asciiTheme="minorEastAsia" w:hAnsiTheme="minorEastAsia" w:eastAsiaTheme="minorEastAsia"/>
          <w:bCs/>
          <w:color w:val="000000"/>
          <w:kern w:val="0"/>
          <w:sz w:val="24"/>
        </w:rPr>
      </w:pPr>
    </w:p>
    <w:p w14:paraId="08EA96AD">
      <w:pPr>
        <w:pStyle w:val="48"/>
        <w:rPr>
          <w:rFonts w:hint="eastAsia" w:cs="宋体" w:asciiTheme="minorEastAsia" w:hAnsiTheme="minorEastAsia" w:eastAsiaTheme="minorEastAsia"/>
          <w:bCs/>
          <w:color w:val="000000"/>
          <w:kern w:val="0"/>
          <w:sz w:val="24"/>
        </w:rPr>
      </w:pPr>
    </w:p>
    <w:p w14:paraId="5757027C">
      <w:pPr>
        <w:pStyle w:val="48"/>
        <w:rPr>
          <w:rFonts w:hint="eastAsia" w:cs="宋体" w:asciiTheme="minorEastAsia" w:hAnsiTheme="minorEastAsia" w:eastAsiaTheme="minorEastAsia"/>
          <w:bCs/>
          <w:color w:val="000000"/>
          <w:kern w:val="0"/>
          <w:sz w:val="24"/>
        </w:rPr>
      </w:pPr>
    </w:p>
    <w:p w14:paraId="577483E1">
      <w:pPr>
        <w:pStyle w:val="48"/>
        <w:rPr>
          <w:rFonts w:hint="eastAsia" w:cs="宋体" w:asciiTheme="minorEastAsia" w:hAnsiTheme="minorEastAsia" w:eastAsiaTheme="minorEastAsia"/>
          <w:bCs/>
          <w:color w:val="000000"/>
          <w:kern w:val="0"/>
          <w:sz w:val="24"/>
        </w:rPr>
      </w:pPr>
    </w:p>
    <w:p w14:paraId="464E77C4">
      <w:pPr>
        <w:pStyle w:val="48"/>
        <w:rPr>
          <w:rFonts w:hint="eastAsia" w:cs="宋体" w:asciiTheme="minorEastAsia" w:hAnsiTheme="minorEastAsia" w:eastAsiaTheme="minorEastAsia"/>
          <w:bCs/>
          <w:color w:val="000000"/>
          <w:kern w:val="0"/>
          <w:sz w:val="24"/>
        </w:rPr>
      </w:pPr>
    </w:p>
    <w:p w14:paraId="2242B2F0">
      <w:pPr>
        <w:pStyle w:val="3"/>
        <w:spacing w:line="560" w:lineRule="atLeast"/>
        <w:rPr>
          <w:rFonts w:hint="eastAsia" w:asciiTheme="minorEastAsia" w:hAnsiTheme="minorEastAsia" w:eastAsiaTheme="minorEastAsia"/>
          <w:b w:val="0"/>
          <w:bCs/>
          <w:kern w:val="0"/>
          <w:sz w:val="32"/>
        </w:rPr>
      </w:pPr>
      <w:r>
        <w:rPr>
          <w:rFonts w:hint="eastAsia" w:asciiTheme="minorEastAsia" w:hAnsiTheme="minorEastAsia" w:eastAsiaTheme="minorEastAsia"/>
          <w:b w:val="0"/>
          <w:bCs/>
          <w:kern w:val="0"/>
          <w:sz w:val="32"/>
        </w:rPr>
        <w:t>第三部分投标人须知</w:t>
      </w:r>
    </w:p>
    <w:p w14:paraId="3F9B0B8D">
      <w:pPr>
        <w:pStyle w:val="4"/>
        <w:spacing w:line="560" w:lineRule="atLeast"/>
        <w:rPr>
          <w:rFonts w:asciiTheme="minorEastAsia" w:hAnsiTheme="minorEastAsia" w:eastAsiaTheme="minorEastAsia"/>
          <w:b w:val="0"/>
          <w:bCs/>
        </w:rPr>
      </w:pPr>
      <w:r>
        <w:rPr>
          <w:rFonts w:hint="eastAsia" w:asciiTheme="minorEastAsia" w:hAnsiTheme="minorEastAsia" w:eastAsiaTheme="minorEastAsia"/>
          <w:b w:val="0"/>
          <w:bCs/>
        </w:rPr>
        <w:t>一、说明</w:t>
      </w:r>
    </w:p>
    <w:p w14:paraId="412BBF30">
      <w:pPr>
        <w:adjustRightInd w:val="0"/>
        <w:snapToGrid w:val="0"/>
        <w:spacing w:line="560" w:lineRule="atLeast"/>
        <w:ind w:firstLine="588" w:firstLineChars="245"/>
        <w:rPr>
          <w:rFonts w:asciiTheme="minorEastAsia" w:hAnsiTheme="minorEastAsia" w:eastAsiaTheme="minorEastAsia"/>
          <w:bCs/>
          <w:kern w:val="0"/>
          <w:sz w:val="24"/>
        </w:rPr>
      </w:pPr>
      <w:r>
        <w:rPr>
          <w:rFonts w:hint="eastAsia" w:asciiTheme="minorEastAsia" w:hAnsiTheme="minorEastAsia" w:eastAsiaTheme="minorEastAsia"/>
          <w:bCs/>
          <w:kern w:val="0"/>
          <w:sz w:val="24"/>
        </w:rPr>
        <w:t>1、本次采购是参考《中华人民共和国政府采购法》和海南海钢集团有限公司关于印发《比选采购实施细则》的通知海钢〔2022〕68号组织和实施。无论过程中的做法和结果如何，投标人自行承担所有与参加公开比选采购有关的全部费用。</w:t>
      </w:r>
    </w:p>
    <w:p w14:paraId="2AA72F72">
      <w:pPr>
        <w:adjustRightInd w:val="0"/>
        <w:snapToGrid w:val="0"/>
        <w:spacing w:line="560" w:lineRule="atLeast"/>
        <w:ind w:firstLine="588" w:firstLineChars="245"/>
        <w:rPr>
          <w:rFonts w:asciiTheme="minorEastAsia" w:hAnsiTheme="minorEastAsia" w:eastAsiaTheme="minorEastAsia"/>
          <w:bCs/>
          <w:kern w:val="0"/>
          <w:sz w:val="24"/>
        </w:rPr>
      </w:pPr>
      <w:r>
        <w:rPr>
          <w:rFonts w:hint="eastAsia" w:asciiTheme="minorEastAsia" w:hAnsiTheme="minorEastAsia" w:eastAsiaTheme="minorEastAsia"/>
          <w:bCs/>
          <w:kern w:val="0"/>
          <w:sz w:val="24"/>
        </w:rPr>
        <w:t>2、合格的投标人</w:t>
      </w:r>
    </w:p>
    <w:p w14:paraId="01B76B07">
      <w:pPr>
        <w:adjustRightInd w:val="0"/>
        <w:snapToGrid w:val="0"/>
        <w:spacing w:line="560" w:lineRule="atLeast"/>
        <w:ind w:firstLine="588" w:firstLineChars="245"/>
        <w:rPr>
          <w:rFonts w:asciiTheme="minorEastAsia" w:hAnsiTheme="minorEastAsia" w:eastAsiaTheme="minorEastAsia"/>
          <w:bCs/>
          <w:kern w:val="0"/>
          <w:sz w:val="24"/>
        </w:rPr>
      </w:pPr>
      <w:r>
        <w:rPr>
          <w:rFonts w:hint="eastAsia" w:asciiTheme="minorEastAsia" w:hAnsiTheme="minorEastAsia" w:eastAsiaTheme="minorEastAsia"/>
          <w:bCs/>
          <w:kern w:val="0"/>
          <w:sz w:val="24"/>
        </w:rPr>
        <w:t>2.1是响应公开比选采购文件，参加公开比选采购竞争，具备公开比选采购条件的中华人民共和国独立法人或其他组织，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且有能力提供货物及服务，并通过评审委员会审核的制造厂商、供货商或代理商，均为合格的投标人。</w:t>
      </w:r>
    </w:p>
    <w:p w14:paraId="49A61647">
      <w:pPr>
        <w:adjustRightInd w:val="0"/>
        <w:snapToGrid w:val="0"/>
        <w:spacing w:line="560" w:lineRule="atLeast"/>
        <w:ind w:firstLine="588" w:firstLineChars="245"/>
        <w:rPr>
          <w:rFonts w:asciiTheme="minorEastAsia" w:hAnsiTheme="minorEastAsia" w:eastAsiaTheme="minorEastAsia"/>
          <w:bCs/>
          <w:kern w:val="0"/>
          <w:sz w:val="24"/>
        </w:rPr>
      </w:pPr>
      <w:r>
        <w:rPr>
          <w:rFonts w:hint="eastAsia" w:asciiTheme="minorEastAsia" w:hAnsiTheme="minorEastAsia" w:eastAsiaTheme="minorEastAsia"/>
          <w:bCs/>
          <w:kern w:val="0"/>
          <w:sz w:val="24"/>
          <w:lang w:val="zh-TW"/>
        </w:rPr>
        <w:t>如企业为银行、保险、石油石化、电力、电信运营商等有行业特殊情况的，其分支机构可参与投标。</w:t>
      </w:r>
    </w:p>
    <w:p w14:paraId="229AAB74">
      <w:pPr>
        <w:adjustRightInd w:val="0"/>
        <w:snapToGrid w:val="0"/>
        <w:spacing w:line="560" w:lineRule="atLeast"/>
        <w:ind w:firstLine="588" w:firstLineChars="245"/>
        <w:rPr>
          <w:rFonts w:asciiTheme="minorEastAsia" w:hAnsiTheme="minorEastAsia" w:eastAsiaTheme="minorEastAsia"/>
          <w:bCs/>
          <w:kern w:val="0"/>
          <w:sz w:val="24"/>
        </w:rPr>
      </w:pPr>
      <w:r>
        <w:rPr>
          <w:rFonts w:hint="eastAsia" w:asciiTheme="minorEastAsia" w:hAnsiTheme="minorEastAsia" w:eastAsiaTheme="minorEastAsia"/>
          <w:bCs/>
          <w:kern w:val="0"/>
          <w:sz w:val="24"/>
        </w:rPr>
        <w:t>2.2公开比选采购投标人应遵守《中华人民共和国政府采购法》有关的法律。</w:t>
      </w:r>
    </w:p>
    <w:p w14:paraId="31DC89E1">
      <w:pPr>
        <w:adjustRightInd w:val="0"/>
        <w:snapToGrid w:val="0"/>
        <w:spacing w:line="560" w:lineRule="atLeast"/>
        <w:ind w:firstLine="588" w:firstLineChars="245"/>
        <w:rPr>
          <w:rFonts w:asciiTheme="minorEastAsia" w:hAnsiTheme="minorEastAsia" w:eastAsiaTheme="minorEastAsia"/>
          <w:bCs/>
          <w:kern w:val="0"/>
          <w:sz w:val="24"/>
        </w:rPr>
      </w:pPr>
      <w:r>
        <w:rPr>
          <w:rFonts w:hint="eastAsia" w:asciiTheme="minorEastAsia" w:hAnsiTheme="minorEastAsia" w:eastAsiaTheme="minorEastAsia"/>
          <w:bCs/>
          <w:kern w:val="0"/>
          <w:sz w:val="24"/>
        </w:rPr>
        <w:t>2.3合同中提供的所有货物及其辅助服务，本合同的支付也仅限于这些货物和服务。</w:t>
      </w:r>
    </w:p>
    <w:p w14:paraId="76A65398">
      <w:pPr>
        <w:pStyle w:val="4"/>
        <w:spacing w:line="560" w:lineRule="atLeast"/>
        <w:rPr>
          <w:rFonts w:asciiTheme="minorEastAsia" w:hAnsiTheme="minorEastAsia" w:eastAsiaTheme="minorEastAsia"/>
          <w:b w:val="0"/>
          <w:bCs/>
        </w:rPr>
      </w:pPr>
      <w:r>
        <w:rPr>
          <w:rFonts w:hint="eastAsia" w:asciiTheme="minorEastAsia" w:hAnsiTheme="minorEastAsia" w:eastAsiaTheme="minorEastAsia"/>
          <w:b w:val="0"/>
          <w:bCs/>
        </w:rPr>
        <w:t>二、公开比选采购文件</w:t>
      </w:r>
    </w:p>
    <w:p w14:paraId="3F011709">
      <w:pPr>
        <w:adjustRightInd w:val="0"/>
        <w:snapToGrid w:val="0"/>
        <w:spacing w:line="560" w:lineRule="atLeast"/>
        <w:ind w:firstLine="588" w:firstLineChars="245"/>
        <w:rPr>
          <w:rFonts w:asciiTheme="minorEastAsia" w:hAnsiTheme="minorEastAsia" w:eastAsiaTheme="minorEastAsia"/>
          <w:bCs/>
          <w:kern w:val="0"/>
          <w:sz w:val="24"/>
        </w:rPr>
      </w:pPr>
      <w:r>
        <w:rPr>
          <w:rFonts w:hint="eastAsia" w:asciiTheme="minorEastAsia" w:hAnsiTheme="minorEastAsia" w:eastAsiaTheme="minorEastAsia"/>
          <w:bCs/>
          <w:kern w:val="0"/>
          <w:sz w:val="24"/>
        </w:rPr>
        <w:t>（一）公开比选采购文件：由公开比选采购文件总目录所列内容组成。</w:t>
      </w:r>
    </w:p>
    <w:p w14:paraId="0960A619">
      <w:pPr>
        <w:adjustRightInd w:val="0"/>
        <w:snapToGrid w:val="0"/>
        <w:spacing w:line="560" w:lineRule="atLeast"/>
        <w:ind w:firstLine="588" w:firstLineChars="245"/>
        <w:rPr>
          <w:rFonts w:asciiTheme="minorEastAsia" w:hAnsiTheme="minorEastAsia" w:eastAsiaTheme="minorEastAsia"/>
          <w:bCs/>
          <w:kern w:val="0"/>
          <w:sz w:val="24"/>
        </w:rPr>
      </w:pPr>
      <w:r>
        <w:rPr>
          <w:rFonts w:hint="eastAsia" w:asciiTheme="minorEastAsia" w:hAnsiTheme="minorEastAsia" w:eastAsiaTheme="minorEastAsia"/>
          <w:bCs/>
          <w:kern w:val="0"/>
          <w:sz w:val="24"/>
        </w:rPr>
        <w:t>1、公开比选采购文件采购需求中列明标的物的技术要求是采购人基于实际工作需要而提出的基本需求，如果有专利、商标、品牌、型号等信息的，仅起技术说明、参考作用，不具有任何限制型，</w:t>
      </w:r>
      <w:r>
        <w:rPr>
          <w:rFonts w:hint="eastAsia" w:asciiTheme="minorEastAsia" w:hAnsiTheme="minorEastAsia" w:eastAsiaTheme="minorEastAsia"/>
          <w:bCs/>
          <w:sz w:val="24"/>
          <w:shd w:val="clear" w:color="auto" w:fill="FFFFFF"/>
        </w:rPr>
        <w:t>参与公开比选采购</w:t>
      </w:r>
      <w:r>
        <w:rPr>
          <w:rFonts w:hint="eastAsia" w:asciiTheme="minorEastAsia" w:hAnsiTheme="minorEastAsia" w:eastAsiaTheme="minorEastAsia"/>
          <w:bCs/>
          <w:kern w:val="0"/>
          <w:sz w:val="24"/>
        </w:rPr>
        <w:t>产品响应其指标性能要求即可。</w:t>
      </w:r>
    </w:p>
    <w:p w14:paraId="196F555A">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2、如果没有特别声明或要求，</w:t>
      </w:r>
      <w:r>
        <w:rPr>
          <w:rFonts w:hint="eastAsia" w:asciiTheme="minorEastAsia" w:hAnsiTheme="minorEastAsia" w:eastAsiaTheme="minorEastAsia"/>
          <w:bCs/>
          <w:sz w:val="24"/>
          <w:shd w:val="clear" w:color="auto" w:fill="FFFFFF"/>
        </w:rPr>
        <w:t>公开比选采购</w:t>
      </w:r>
      <w:r>
        <w:rPr>
          <w:rFonts w:hint="eastAsia" w:asciiTheme="minorEastAsia" w:hAnsiTheme="minorEastAsia" w:eastAsiaTheme="minorEastAsia"/>
          <w:bCs/>
          <w:kern w:val="0"/>
          <w:sz w:val="24"/>
        </w:rPr>
        <w:t>投标人被视为充分熟悉本公开比选采购项目所在地与履行合同有关的各种情况，包括自然环境、气候条件、劳动力及公用设施等，本采购文件不再对上述情况进行描述。</w:t>
      </w:r>
    </w:p>
    <w:p w14:paraId="19AFD90F">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（二）公开比选采购文件的质疑</w:t>
      </w:r>
    </w:p>
    <w:p w14:paraId="05340752">
      <w:pPr>
        <w:adjustRightInd w:val="0"/>
        <w:snapToGrid w:val="0"/>
        <w:spacing w:line="560" w:lineRule="atLeast"/>
        <w:ind w:firstLine="480" w:firstLineChars="200"/>
        <w:rPr>
          <w:rFonts w:asciiTheme="minorEastAsia" w:hAnsiTheme="minorEastAsia" w:eastAsiaTheme="minorEastAsia"/>
          <w:bCs/>
          <w:kern w:val="0"/>
          <w:sz w:val="24"/>
        </w:rPr>
      </w:pPr>
      <w:r>
        <w:rPr>
          <w:rFonts w:asciiTheme="minorEastAsia" w:hAnsiTheme="minorEastAsia" w:eastAsiaTheme="minorEastAsia"/>
          <w:bCs/>
          <w:sz w:val="24"/>
          <w:shd w:val="clear" w:color="auto" w:fill="FFFFFF"/>
        </w:rPr>
        <w:t>1</w:t>
      </w:r>
      <w:r>
        <w:rPr>
          <w:rFonts w:hint="eastAsia" w:asciiTheme="minorEastAsia" w:hAnsiTheme="minorEastAsia" w:eastAsiaTheme="minorEastAsia"/>
          <w:bCs/>
          <w:sz w:val="24"/>
          <w:shd w:val="clear" w:color="auto" w:fill="FFFFFF"/>
        </w:rPr>
        <w:t>、</w:t>
      </w:r>
      <w:r>
        <w:rPr>
          <w:rFonts w:hint="eastAsia" w:asciiTheme="minorEastAsia" w:hAnsiTheme="minorEastAsia" w:eastAsiaTheme="minorEastAsia"/>
          <w:bCs/>
          <w:sz w:val="24"/>
        </w:rPr>
        <w:t>凡参加本次</w:t>
      </w:r>
      <w:r>
        <w:rPr>
          <w:rFonts w:hint="eastAsia" w:asciiTheme="minorEastAsia" w:hAnsiTheme="minorEastAsia" w:eastAsiaTheme="minorEastAsia"/>
          <w:bCs/>
          <w:kern w:val="0"/>
          <w:sz w:val="24"/>
        </w:rPr>
        <w:t>公开比选采购</w:t>
      </w:r>
      <w:r>
        <w:rPr>
          <w:rFonts w:hint="eastAsia" w:asciiTheme="minorEastAsia" w:hAnsiTheme="minorEastAsia" w:eastAsiaTheme="minorEastAsia"/>
          <w:bCs/>
          <w:sz w:val="24"/>
        </w:rPr>
        <w:t>的</w:t>
      </w:r>
      <w:r>
        <w:rPr>
          <w:rFonts w:hint="eastAsia" w:asciiTheme="minorEastAsia" w:hAnsiTheme="minorEastAsia" w:eastAsiaTheme="minorEastAsia"/>
          <w:bCs/>
          <w:kern w:val="0"/>
          <w:sz w:val="24"/>
        </w:rPr>
        <w:t>投标人</w:t>
      </w:r>
      <w:r>
        <w:rPr>
          <w:rFonts w:hint="eastAsia" w:asciiTheme="minorEastAsia" w:hAnsiTheme="minorEastAsia" w:eastAsiaTheme="minorEastAsia"/>
          <w:bCs/>
          <w:sz w:val="24"/>
        </w:rPr>
        <w:t>被视为已充分认识和理解了任何与本项目有关的影响事项和困难、风险等情况。</w:t>
      </w:r>
    </w:p>
    <w:p w14:paraId="767F2109">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2、潜在投标人如对</w:t>
      </w:r>
      <w:r>
        <w:rPr>
          <w:rFonts w:hint="eastAsia" w:asciiTheme="minorEastAsia" w:hAnsiTheme="minorEastAsia" w:eastAsiaTheme="minorEastAsia"/>
          <w:bCs/>
          <w:kern w:val="0"/>
          <w:sz w:val="24"/>
        </w:rPr>
        <w:t>公开比选采购</w:t>
      </w:r>
      <w:r>
        <w:rPr>
          <w:rFonts w:hint="eastAsia" w:asciiTheme="minorEastAsia" w:hAnsiTheme="minorEastAsia" w:eastAsiaTheme="minorEastAsia"/>
          <w:bCs/>
          <w:sz w:val="24"/>
        </w:rPr>
        <w:t>文件有疑问，按照相关法律法规规定，按</w:t>
      </w:r>
      <w:r>
        <w:rPr>
          <w:rFonts w:hint="eastAsia" w:asciiTheme="minorEastAsia" w:hAnsiTheme="minorEastAsia" w:eastAsiaTheme="minorEastAsia"/>
          <w:bCs/>
          <w:kern w:val="0"/>
          <w:sz w:val="24"/>
        </w:rPr>
        <w:t>公开比选采购</w:t>
      </w:r>
      <w:r>
        <w:rPr>
          <w:rFonts w:hint="eastAsia" w:asciiTheme="minorEastAsia" w:hAnsiTheme="minorEastAsia" w:eastAsiaTheme="minorEastAsia"/>
          <w:bCs/>
          <w:sz w:val="24"/>
          <w:shd w:val="clear" w:color="auto" w:fill="FFFFFF"/>
        </w:rPr>
        <w:t>文件</w:t>
      </w:r>
      <w:r>
        <w:rPr>
          <w:rFonts w:hint="eastAsia" w:asciiTheme="minorEastAsia" w:hAnsiTheme="minorEastAsia" w:eastAsiaTheme="minorEastAsia"/>
          <w:bCs/>
          <w:sz w:val="24"/>
        </w:rPr>
        <w:t>邀请中载明的地址，以书面形式，通知到采购代理机构，采购代理机构将按财政部第94号令进行答复。</w:t>
      </w:r>
    </w:p>
    <w:p w14:paraId="7A493F95">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3、投标人提出质疑应当提交质疑函和必要的证明材料。质疑函应当包括下列内容：</w:t>
      </w:r>
    </w:p>
    <w:p w14:paraId="7E0CADBC">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　　3.1投标人的姓名或者名称、地址、邮编、联系人及联系电话；</w:t>
      </w:r>
    </w:p>
    <w:p w14:paraId="2104F242">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　　3.2质疑项目的名称、编号；</w:t>
      </w:r>
    </w:p>
    <w:p w14:paraId="756661AE">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　　3.3具体、明确的质疑事项和与质疑事项相关的请求；</w:t>
      </w:r>
    </w:p>
    <w:p w14:paraId="66B935D8">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　　3.4事实依据；</w:t>
      </w:r>
    </w:p>
    <w:p w14:paraId="0AE2E2A8">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　　3.5必要的法律依据；</w:t>
      </w:r>
    </w:p>
    <w:p w14:paraId="1046889B">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　　3.6提出质疑的日期。</w:t>
      </w:r>
    </w:p>
    <w:p w14:paraId="2C2EB661">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　　投标人为自然人的，应当由本人签字；投标人为法人或者其他组织的，应当由法定代表人、主要负责人，或者其授权代表签字或者盖章，并加盖公章。</w:t>
      </w:r>
    </w:p>
    <w:p w14:paraId="55CA32B3">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4、投标人应</w:t>
      </w:r>
      <w:r>
        <w:rPr>
          <w:rFonts w:asciiTheme="minorEastAsia" w:hAnsiTheme="minorEastAsia" w:eastAsiaTheme="minorEastAsia"/>
          <w:bCs/>
          <w:sz w:val="24"/>
        </w:rPr>
        <w:t>在法定质疑期内一次性提出针对同一采购程序环节的质疑。</w:t>
      </w:r>
    </w:p>
    <w:p w14:paraId="2E5D40E1">
      <w:pPr>
        <w:adjustRightInd w:val="0"/>
        <w:snapToGrid w:val="0"/>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5、</w:t>
      </w:r>
      <w:r>
        <w:rPr>
          <w:rFonts w:asciiTheme="minorEastAsia" w:hAnsiTheme="minorEastAsia" w:eastAsiaTheme="minorEastAsia"/>
          <w:bCs/>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Theme="minorEastAsia" w:hAnsiTheme="minorEastAsia" w:eastAsiaTheme="minorEastAsia"/>
          <w:bCs/>
          <w:sz w:val="24"/>
        </w:rPr>
        <w:t>全国范围内12个月</w:t>
      </w:r>
      <w:r>
        <w:rPr>
          <w:rFonts w:asciiTheme="minorEastAsia" w:hAnsiTheme="minorEastAsia" w:eastAsiaTheme="minorEastAsia"/>
          <w:bCs/>
          <w:sz w:val="24"/>
        </w:rPr>
        <w:t>内达三次以上，将</w:t>
      </w:r>
      <w:r>
        <w:rPr>
          <w:rFonts w:hint="eastAsia" w:asciiTheme="minorEastAsia" w:hAnsiTheme="minorEastAsia" w:eastAsiaTheme="minorEastAsia"/>
          <w:bCs/>
          <w:sz w:val="24"/>
        </w:rPr>
        <w:t>由财政部门</w:t>
      </w:r>
      <w:r>
        <w:rPr>
          <w:rFonts w:asciiTheme="minorEastAsia" w:hAnsiTheme="minorEastAsia" w:eastAsiaTheme="minorEastAsia"/>
          <w:bCs/>
          <w:sz w:val="24"/>
        </w:rPr>
        <w:t>纳入不良行为记录名单并承担相应的法律责任。</w:t>
      </w:r>
    </w:p>
    <w:p w14:paraId="6B94387A">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（三）公开比选采购文件的</w:t>
      </w:r>
      <w:r>
        <w:rPr>
          <w:rFonts w:asciiTheme="minorEastAsia" w:hAnsiTheme="minorEastAsia" w:eastAsiaTheme="minorEastAsia"/>
          <w:bCs/>
          <w:kern w:val="0"/>
          <w:sz w:val="24"/>
        </w:rPr>
        <w:t>澄清或者修改</w:t>
      </w:r>
    </w:p>
    <w:p w14:paraId="686F3134">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w:t>
      </w:r>
      <w:r>
        <w:rPr>
          <w:rFonts w:asciiTheme="minorEastAsia" w:hAnsiTheme="minorEastAsia" w:eastAsiaTheme="minorEastAsia"/>
          <w:bCs/>
          <w:kern w:val="0"/>
          <w:sz w:val="24"/>
        </w:rPr>
        <w:t>提交首次响应文件截止之日前，采购人、采购代理机构或者</w:t>
      </w:r>
      <w:r>
        <w:rPr>
          <w:rFonts w:hint="eastAsia" w:asciiTheme="minorEastAsia" w:hAnsiTheme="minorEastAsia" w:eastAsiaTheme="minorEastAsia"/>
          <w:bCs/>
          <w:kern w:val="0"/>
          <w:sz w:val="24"/>
        </w:rPr>
        <w:t>公开比选采购</w:t>
      </w:r>
      <w:r>
        <w:rPr>
          <w:rFonts w:asciiTheme="minorEastAsia" w:hAnsiTheme="minorEastAsia" w:eastAsiaTheme="minorEastAsia"/>
          <w:bCs/>
          <w:kern w:val="0"/>
          <w:sz w:val="24"/>
        </w:rPr>
        <w:t>小组可以对已发出的</w:t>
      </w:r>
      <w:r>
        <w:rPr>
          <w:rFonts w:hint="eastAsia" w:asciiTheme="minorEastAsia" w:hAnsiTheme="minorEastAsia" w:eastAsiaTheme="minorEastAsia"/>
          <w:bCs/>
          <w:kern w:val="0"/>
          <w:sz w:val="24"/>
        </w:rPr>
        <w:t>公开比选采购</w:t>
      </w:r>
      <w:r>
        <w:rPr>
          <w:rFonts w:asciiTheme="minorEastAsia" w:hAnsiTheme="minorEastAsia" w:eastAsiaTheme="minorEastAsia"/>
          <w:bCs/>
          <w:kern w:val="0"/>
          <w:sz w:val="24"/>
        </w:rPr>
        <w:t>文件进行必要的澄清或者修改，澄清或者修改的内容作为</w:t>
      </w:r>
      <w:r>
        <w:rPr>
          <w:rFonts w:hint="eastAsia" w:asciiTheme="minorEastAsia" w:hAnsiTheme="minorEastAsia" w:eastAsiaTheme="minorEastAsia"/>
          <w:bCs/>
          <w:kern w:val="0"/>
          <w:sz w:val="24"/>
        </w:rPr>
        <w:t>公开比选采购</w:t>
      </w:r>
      <w:r>
        <w:rPr>
          <w:rFonts w:asciiTheme="minorEastAsia" w:hAnsiTheme="minorEastAsia" w:eastAsiaTheme="minorEastAsia"/>
          <w:bCs/>
          <w:kern w:val="0"/>
          <w:sz w:val="24"/>
        </w:rPr>
        <w:t>文件的组成部分。澄清或者修改的内容可能影响响应文件编制的，采购人、采购代理机构应当在提交首次响应文件截止时间至少5日前，以书面形式通知所有获取</w:t>
      </w:r>
      <w:r>
        <w:rPr>
          <w:rFonts w:hint="eastAsia" w:asciiTheme="minorEastAsia" w:hAnsiTheme="minorEastAsia" w:eastAsiaTheme="minorEastAsia"/>
          <w:bCs/>
          <w:kern w:val="0"/>
          <w:sz w:val="24"/>
        </w:rPr>
        <w:t>公开比选采购</w:t>
      </w:r>
      <w:r>
        <w:rPr>
          <w:rFonts w:asciiTheme="minorEastAsia" w:hAnsiTheme="minorEastAsia" w:eastAsiaTheme="minorEastAsia"/>
          <w:bCs/>
          <w:kern w:val="0"/>
          <w:sz w:val="24"/>
        </w:rPr>
        <w:t>文件的</w:t>
      </w:r>
      <w:r>
        <w:rPr>
          <w:rFonts w:hint="eastAsia" w:asciiTheme="minorEastAsia" w:hAnsiTheme="minorEastAsia" w:eastAsiaTheme="minorEastAsia"/>
          <w:bCs/>
          <w:kern w:val="0"/>
          <w:sz w:val="24"/>
        </w:rPr>
        <w:t>投标人</w:t>
      </w:r>
      <w:r>
        <w:rPr>
          <w:rFonts w:asciiTheme="minorEastAsia" w:hAnsiTheme="minorEastAsia" w:eastAsiaTheme="minorEastAsia"/>
          <w:bCs/>
          <w:kern w:val="0"/>
          <w:sz w:val="24"/>
        </w:rPr>
        <w:t>；不足5日的，采购人、采购代理机构应当顺延提交首次响应文件截止时间。</w:t>
      </w:r>
    </w:p>
    <w:p w14:paraId="02EC0B03">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2、公开比选采购文件的修改书将构成公开比选采购文件的一部分，对公开比选采购投标人有约束力。</w:t>
      </w:r>
    </w:p>
    <w:p w14:paraId="58ADE8AE">
      <w:pPr>
        <w:pStyle w:val="4"/>
        <w:spacing w:line="560" w:lineRule="atLeast"/>
        <w:rPr>
          <w:rFonts w:asciiTheme="minorEastAsia" w:hAnsiTheme="minorEastAsia" w:eastAsiaTheme="minorEastAsia"/>
          <w:b w:val="0"/>
          <w:bCs/>
        </w:rPr>
      </w:pPr>
      <w:r>
        <w:rPr>
          <w:rFonts w:hint="eastAsia" w:asciiTheme="minorEastAsia" w:hAnsiTheme="minorEastAsia" w:eastAsiaTheme="minorEastAsia"/>
          <w:b w:val="0"/>
          <w:bCs/>
        </w:rPr>
        <w:t>三、响应文件</w:t>
      </w:r>
    </w:p>
    <w:p w14:paraId="0EC41796">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（一）</w:t>
      </w:r>
      <w:r>
        <w:rPr>
          <w:rFonts w:hint="eastAsia" w:asciiTheme="minorEastAsia" w:hAnsiTheme="minorEastAsia" w:eastAsiaTheme="minorEastAsia"/>
          <w:bCs/>
          <w:sz w:val="24"/>
          <w:shd w:val="clear" w:color="auto" w:fill="FFFFFF"/>
        </w:rPr>
        <w:t>响应文件</w:t>
      </w:r>
      <w:r>
        <w:rPr>
          <w:rFonts w:hint="eastAsia" w:asciiTheme="minorEastAsia" w:hAnsiTheme="minorEastAsia" w:eastAsiaTheme="minorEastAsia"/>
          <w:bCs/>
          <w:kern w:val="0"/>
          <w:sz w:val="24"/>
        </w:rPr>
        <w:t>的要求</w:t>
      </w:r>
    </w:p>
    <w:p w14:paraId="64BB03F3">
      <w:pPr>
        <w:adjustRightInd w:val="0"/>
        <w:snapToGrid w:val="0"/>
        <w:spacing w:line="560" w:lineRule="atLeast"/>
        <w:ind w:firstLine="480" w:firstLineChars="200"/>
        <w:rPr>
          <w:rFonts w:asciiTheme="minorEastAsia" w:hAnsiTheme="minorEastAsia" w:eastAsiaTheme="minorEastAsia"/>
          <w:bCs/>
          <w:kern w:val="0"/>
          <w:sz w:val="24"/>
        </w:rPr>
      </w:pPr>
      <w:r>
        <w:rPr>
          <w:rFonts w:asciiTheme="minorEastAsia" w:hAnsiTheme="minorEastAsia" w:eastAsiaTheme="minorEastAsia"/>
          <w:bCs/>
          <w:kern w:val="0"/>
          <w:sz w:val="24"/>
        </w:rPr>
        <w:t>1</w:t>
      </w:r>
      <w:r>
        <w:rPr>
          <w:rFonts w:hint="eastAsia" w:asciiTheme="minorEastAsia" w:hAnsiTheme="minorEastAsia" w:eastAsiaTheme="minorEastAsia"/>
          <w:bCs/>
          <w:kern w:val="0"/>
          <w:sz w:val="24"/>
        </w:rPr>
        <w:t>、公开比选采购投标人应仔细阅读公开比选采购文件的所有内容，按公开比选采购文件的要求及采购设备技术规格要求，详细编制响应文件，并保证响应文件的正确性和真实性。</w:t>
      </w:r>
    </w:p>
    <w:p w14:paraId="7B5E6B5E">
      <w:pPr>
        <w:adjustRightInd w:val="0"/>
        <w:snapToGrid w:val="0"/>
        <w:spacing w:line="560" w:lineRule="atLeast"/>
        <w:ind w:firstLine="480" w:firstLineChars="200"/>
        <w:rPr>
          <w:rFonts w:asciiTheme="minorEastAsia" w:hAnsiTheme="minorEastAsia" w:eastAsiaTheme="minorEastAsia"/>
          <w:bCs/>
          <w:kern w:val="0"/>
          <w:sz w:val="24"/>
        </w:rPr>
      </w:pPr>
      <w:r>
        <w:rPr>
          <w:rFonts w:asciiTheme="minorEastAsia" w:hAnsiTheme="minorEastAsia" w:eastAsiaTheme="minorEastAsia"/>
          <w:bCs/>
          <w:kern w:val="0"/>
          <w:sz w:val="24"/>
        </w:rPr>
        <w:t>2</w:t>
      </w:r>
      <w:r>
        <w:rPr>
          <w:rFonts w:hint="eastAsia" w:asciiTheme="minorEastAsia" w:hAnsiTheme="minorEastAsia" w:eastAsiaTheme="minorEastAsia"/>
          <w:bCs/>
          <w:kern w:val="0"/>
          <w:sz w:val="24"/>
        </w:rPr>
        <w:t>、不按公开比选采购文件的资格要求提供的</w:t>
      </w:r>
      <w:r>
        <w:rPr>
          <w:rFonts w:hint="eastAsia" w:asciiTheme="minorEastAsia" w:hAnsiTheme="minorEastAsia" w:eastAsiaTheme="minorEastAsia"/>
          <w:bCs/>
          <w:sz w:val="24"/>
          <w:shd w:val="clear" w:color="auto" w:fill="FFFFFF"/>
        </w:rPr>
        <w:t>响应</w:t>
      </w:r>
      <w:r>
        <w:rPr>
          <w:rFonts w:hint="eastAsia" w:asciiTheme="minorEastAsia" w:hAnsiTheme="minorEastAsia" w:eastAsiaTheme="minorEastAsia"/>
          <w:bCs/>
          <w:kern w:val="0"/>
          <w:sz w:val="24"/>
        </w:rPr>
        <w:t>文件将被拒绝。</w:t>
      </w:r>
    </w:p>
    <w:p w14:paraId="2F9A8CE0">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（二）</w:t>
      </w:r>
      <w:r>
        <w:rPr>
          <w:rFonts w:hint="eastAsia" w:asciiTheme="minorEastAsia" w:hAnsiTheme="minorEastAsia" w:eastAsiaTheme="minorEastAsia"/>
          <w:bCs/>
          <w:sz w:val="24"/>
          <w:shd w:val="clear" w:color="auto" w:fill="FFFFFF"/>
        </w:rPr>
        <w:t>响应文件</w:t>
      </w:r>
      <w:r>
        <w:rPr>
          <w:rFonts w:hint="eastAsia" w:asciiTheme="minorEastAsia" w:hAnsiTheme="minorEastAsia" w:eastAsiaTheme="minorEastAsia"/>
          <w:bCs/>
          <w:kern w:val="0"/>
          <w:sz w:val="24"/>
        </w:rPr>
        <w:t>的组成</w:t>
      </w:r>
    </w:p>
    <w:p w14:paraId="795B024B">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公开比选采购投标人接到公开比选采购文件后，按照采购人和响应文件的要求提供公开比选投标文件，</w:t>
      </w:r>
    </w:p>
    <w:p w14:paraId="068D9CC2">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（三）公开比选采购保证金、投标人服务费及履约保证金</w:t>
      </w:r>
    </w:p>
    <w:p w14:paraId="45677B69">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w:t>
      </w:r>
      <w:r>
        <w:rPr>
          <w:rFonts w:hint="eastAsia" w:asciiTheme="minorEastAsia" w:hAnsiTheme="minorEastAsia" w:eastAsiaTheme="minorEastAsia"/>
          <w:bCs/>
          <w:sz w:val="24"/>
          <w:shd w:val="clear" w:color="auto" w:fill="FFFFFF"/>
        </w:rPr>
        <w:t>本项目不收取</w:t>
      </w:r>
      <w:r>
        <w:rPr>
          <w:rFonts w:hint="eastAsia" w:asciiTheme="minorEastAsia" w:hAnsiTheme="minorEastAsia" w:eastAsiaTheme="minorEastAsia"/>
          <w:bCs/>
          <w:kern w:val="0"/>
          <w:sz w:val="24"/>
        </w:rPr>
        <w:t>保证金。</w:t>
      </w:r>
    </w:p>
    <w:p w14:paraId="73210C15">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2、采购人支付本项目的中标服务费，服务费按照“《海南省物价局关于降低部分招标代理服务收费标准的通知》(琼价费管[2011]225 号)收费标准收取。</w:t>
      </w:r>
    </w:p>
    <w:p w14:paraId="44F08F07">
      <w:pPr>
        <w:pStyle w:val="22"/>
        <w:adjustRightInd w:val="0"/>
        <w:snapToGrid w:val="0"/>
        <w:spacing w:line="560" w:lineRule="atLeast"/>
        <w:ind w:firstLine="448" w:firstLineChars="200"/>
        <w:rPr>
          <w:rFonts w:asciiTheme="minorEastAsia" w:hAnsiTheme="minorEastAsia" w:eastAsiaTheme="minorEastAsia"/>
          <w:bCs/>
          <w:spacing w:val="0"/>
          <w:kern w:val="0"/>
          <w:szCs w:val="24"/>
        </w:rPr>
      </w:pPr>
      <w:r>
        <w:rPr>
          <w:rFonts w:hint="eastAsia" w:asciiTheme="minorEastAsia" w:hAnsiTheme="minorEastAsia" w:eastAsiaTheme="minorEastAsia"/>
          <w:bCs/>
          <w:kern w:val="0"/>
        </w:rPr>
        <w:t>3、履约保证金由采购人自行收取。</w:t>
      </w:r>
    </w:p>
    <w:p w14:paraId="44107703">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4、发生下列情况之一，公开比选采购保证金将被没收：</w:t>
      </w:r>
    </w:p>
    <w:p w14:paraId="1E70C921">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（1）投标人在提交响应文件截止时间后撤回响应文件的；</w:t>
      </w:r>
    </w:p>
    <w:p w14:paraId="1A95E19D">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（2）投标人在响应文件中提供虚假材料的；</w:t>
      </w:r>
    </w:p>
    <w:p w14:paraId="53D64774">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（3）除因不可抗力或公开比选采购文件认可的情形以外，投标人不与采购人签订合同的；</w:t>
      </w:r>
    </w:p>
    <w:p w14:paraId="2C1F3E12">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（4）投标人与采购人、其他投标人或者采购代理机构恶意串通的；</w:t>
      </w:r>
    </w:p>
    <w:p w14:paraId="6FDBFBB4">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（5）公开比选采购文件规定的其他情形。</w:t>
      </w:r>
    </w:p>
    <w:p w14:paraId="4B2BE6D5">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（四）</w:t>
      </w:r>
      <w:r>
        <w:rPr>
          <w:rFonts w:hint="eastAsia" w:asciiTheme="minorEastAsia" w:hAnsiTheme="minorEastAsia" w:eastAsiaTheme="minorEastAsia"/>
          <w:bCs/>
          <w:sz w:val="24"/>
          <w:shd w:val="clear" w:color="auto" w:fill="FFFFFF"/>
        </w:rPr>
        <w:t>响应文件</w:t>
      </w:r>
      <w:r>
        <w:rPr>
          <w:rFonts w:hint="eastAsia" w:asciiTheme="minorEastAsia" w:hAnsiTheme="minorEastAsia" w:eastAsiaTheme="minorEastAsia"/>
          <w:bCs/>
          <w:kern w:val="0"/>
          <w:sz w:val="24"/>
        </w:rPr>
        <w:t>的有效期</w:t>
      </w:r>
    </w:p>
    <w:p w14:paraId="7E266C07">
      <w:pPr>
        <w:adjustRightInd w:val="0"/>
        <w:snapToGrid w:val="0"/>
        <w:spacing w:line="560" w:lineRule="atLeast"/>
        <w:ind w:firstLine="480" w:firstLineChars="200"/>
        <w:rPr>
          <w:rFonts w:asciiTheme="minorEastAsia" w:hAnsiTheme="minorEastAsia" w:eastAsiaTheme="minorEastAsia"/>
          <w:bCs/>
          <w:kern w:val="0"/>
          <w:sz w:val="24"/>
        </w:rPr>
      </w:pPr>
      <w:r>
        <w:rPr>
          <w:rFonts w:asciiTheme="minorEastAsia" w:hAnsiTheme="minorEastAsia" w:eastAsiaTheme="minorEastAsia"/>
          <w:bCs/>
          <w:kern w:val="0"/>
          <w:sz w:val="24"/>
        </w:rPr>
        <w:t>1</w:t>
      </w:r>
      <w:r>
        <w:rPr>
          <w:rFonts w:hint="eastAsia" w:asciiTheme="minorEastAsia" w:hAnsiTheme="minorEastAsia" w:eastAsiaTheme="minorEastAsia"/>
          <w:bCs/>
          <w:kern w:val="0"/>
          <w:sz w:val="24"/>
        </w:rPr>
        <w:t>、自公开比选采购之日起90天内，</w:t>
      </w:r>
      <w:r>
        <w:rPr>
          <w:rFonts w:hint="eastAsia" w:asciiTheme="minorEastAsia" w:hAnsiTheme="minorEastAsia" w:eastAsiaTheme="minorEastAsia"/>
          <w:bCs/>
          <w:sz w:val="24"/>
          <w:shd w:val="clear" w:color="auto" w:fill="FFFFFF"/>
        </w:rPr>
        <w:t>响应文件</w:t>
      </w:r>
      <w:r>
        <w:rPr>
          <w:rFonts w:hint="eastAsia" w:asciiTheme="minorEastAsia" w:hAnsiTheme="minorEastAsia" w:eastAsiaTheme="minorEastAsia"/>
          <w:bCs/>
          <w:kern w:val="0"/>
          <w:sz w:val="24"/>
        </w:rPr>
        <w:t>应保持有效。有效期短于这个规定期限的公开比选采购投标人将被拒绝。</w:t>
      </w:r>
    </w:p>
    <w:p w14:paraId="5703A953">
      <w:pPr>
        <w:adjustRightInd w:val="0"/>
        <w:snapToGrid w:val="0"/>
        <w:spacing w:line="560" w:lineRule="atLeast"/>
        <w:ind w:firstLine="480" w:firstLineChars="200"/>
        <w:rPr>
          <w:rFonts w:asciiTheme="minorEastAsia" w:hAnsiTheme="minorEastAsia" w:eastAsiaTheme="minorEastAsia"/>
          <w:bCs/>
          <w:kern w:val="0"/>
          <w:sz w:val="24"/>
        </w:rPr>
      </w:pPr>
      <w:r>
        <w:rPr>
          <w:rFonts w:asciiTheme="minorEastAsia" w:hAnsiTheme="minorEastAsia" w:eastAsiaTheme="minorEastAsia"/>
          <w:bCs/>
          <w:kern w:val="0"/>
          <w:sz w:val="24"/>
        </w:rPr>
        <w:t>2</w:t>
      </w:r>
      <w:r>
        <w:rPr>
          <w:rFonts w:hint="eastAsia" w:asciiTheme="minorEastAsia" w:hAnsiTheme="minorEastAsia" w:eastAsiaTheme="minorEastAsia"/>
          <w:bCs/>
          <w:kern w:val="0"/>
          <w:sz w:val="24"/>
        </w:rPr>
        <w:t>、在特殊情况下，采购人可与公开比选采购投标人协商延长投标书的有效期，这种要求和答复均应书面形式进行。</w:t>
      </w:r>
    </w:p>
    <w:p w14:paraId="6500AD28">
      <w:pPr>
        <w:adjustRightInd w:val="0"/>
        <w:snapToGrid w:val="0"/>
        <w:spacing w:line="560" w:lineRule="atLeast"/>
        <w:ind w:firstLine="480" w:firstLineChars="200"/>
        <w:rPr>
          <w:rFonts w:asciiTheme="minorEastAsia" w:hAnsiTheme="minorEastAsia" w:eastAsiaTheme="minorEastAsia"/>
          <w:bCs/>
          <w:kern w:val="0"/>
          <w:sz w:val="24"/>
        </w:rPr>
      </w:pPr>
      <w:r>
        <w:rPr>
          <w:rFonts w:asciiTheme="minorEastAsia" w:hAnsiTheme="minorEastAsia" w:eastAsiaTheme="minorEastAsia"/>
          <w:bCs/>
          <w:kern w:val="0"/>
          <w:sz w:val="24"/>
        </w:rPr>
        <w:t>3</w:t>
      </w:r>
      <w:r>
        <w:rPr>
          <w:rFonts w:hint="eastAsia" w:asciiTheme="minorEastAsia" w:hAnsiTheme="minorEastAsia" w:eastAsiaTheme="minorEastAsia"/>
          <w:bCs/>
          <w:kern w:val="0"/>
          <w:sz w:val="24"/>
        </w:rPr>
        <w:t>、公开比选采购投标人可拒绝接受延期要求而不会导致公开比选采购投标人保证金被没收。同意延长有效期的公开比选采购投标人不能修改响应文件。</w:t>
      </w:r>
    </w:p>
    <w:p w14:paraId="34A40CAF">
      <w:pPr>
        <w:pStyle w:val="4"/>
        <w:spacing w:line="560" w:lineRule="atLeast"/>
        <w:rPr>
          <w:rFonts w:asciiTheme="minorEastAsia" w:hAnsiTheme="minorEastAsia" w:eastAsiaTheme="minorEastAsia"/>
          <w:b w:val="0"/>
          <w:bCs/>
        </w:rPr>
      </w:pPr>
      <w:r>
        <w:rPr>
          <w:rFonts w:hint="eastAsia" w:asciiTheme="minorEastAsia" w:hAnsiTheme="minorEastAsia" w:eastAsiaTheme="minorEastAsia"/>
          <w:b w:val="0"/>
          <w:bCs/>
        </w:rPr>
        <w:t>四、</w:t>
      </w:r>
      <w:r>
        <w:rPr>
          <w:rFonts w:hint="eastAsia" w:asciiTheme="minorEastAsia" w:hAnsiTheme="minorEastAsia" w:eastAsiaTheme="minorEastAsia"/>
          <w:b w:val="0"/>
          <w:bCs/>
          <w:shd w:val="clear" w:color="auto" w:fill="FFFFFF"/>
        </w:rPr>
        <w:t>响应文件</w:t>
      </w:r>
      <w:r>
        <w:rPr>
          <w:rFonts w:hint="eastAsia" w:asciiTheme="minorEastAsia" w:hAnsiTheme="minorEastAsia" w:eastAsiaTheme="minorEastAsia"/>
          <w:b w:val="0"/>
          <w:bCs/>
        </w:rPr>
        <w:t>的递交</w:t>
      </w:r>
    </w:p>
    <w:p w14:paraId="47A10C8C">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sz w:val="24"/>
          <w:shd w:val="clear" w:color="auto" w:fill="FFFFFF"/>
        </w:rPr>
        <w:t>响应文件</w:t>
      </w:r>
      <w:r>
        <w:rPr>
          <w:rFonts w:hint="eastAsia" w:asciiTheme="minorEastAsia" w:hAnsiTheme="minorEastAsia" w:eastAsiaTheme="minorEastAsia"/>
          <w:bCs/>
          <w:kern w:val="0"/>
          <w:sz w:val="24"/>
        </w:rPr>
        <w:t>应按以下方法分别装袋密封</w:t>
      </w:r>
      <w:r>
        <w:rPr>
          <w:rFonts w:hint="eastAsia" w:asciiTheme="minorEastAsia" w:hAnsiTheme="minorEastAsia" w:eastAsiaTheme="minorEastAsia"/>
          <w:bCs/>
          <w:sz w:val="24"/>
        </w:rPr>
        <w:t>（不作为实质性要求）</w:t>
      </w:r>
    </w:p>
    <w:p w14:paraId="3B7CEDDF">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w:t>
      </w:r>
      <w:r>
        <w:rPr>
          <w:rFonts w:asciiTheme="minorEastAsia" w:hAnsiTheme="minorEastAsia" w:eastAsiaTheme="minorEastAsia"/>
          <w:bCs/>
          <w:kern w:val="0"/>
          <w:sz w:val="24"/>
        </w:rPr>
        <w:t>1</w:t>
      </w:r>
      <w:r>
        <w:rPr>
          <w:rFonts w:hint="eastAsia" w:asciiTheme="minorEastAsia" w:hAnsiTheme="minorEastAsia" w:eastAsiaTheme="minorEastAsia"/>
          <w:bCs/>
          <w:kern w:val="0"/>
          <w:sz w:val="24"/>
        </w:rPr>
        <w:t>）所有“正本”“副本”响应文件资料按以上所列内容装订成册，并在封面上标明“正本”和 “副本”字样。</w:t>
      </w:r>
    </w:p>
    <w:p w14:paraId="3D8B6A26">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w:t>
      </w:r>
      <w:r>
        <w:rPr>
          <w:rFonts w:asciiTheme="minorEastAsia" w:hAnsiTheme="minorEastAsia" w:eastAsiaTheme="minorEastAsia"/>
          <w:bCs/>
          <w:kern w:val="0"/>
          <w:sz w:val="24"/>
        </w:rPr>
        <w:t>2</w:t>
      </w:r>
      <w:r>
        <w:rPr>
          <w:rFonts w:hint="eastAsia" w:asciiTheme="minorEastAsia" w:hAnsiTheme="minorEastAsia" w:eastAsiaTheme="minorEastAsia"/>
          <w:bCs/>
          <w:kern w:val="0"/>
          <w:sz w:val="24"/>
        </w:rPr>
        <w:t>）公开比选投标文件密封袋内正本一份、副本三份。封口处有投标人公章。封面上写明项目编号、项目名称、投标人名称，并注明“响应文件”、“开启截止时间前请勿启封”字样。</w:t>
      </w:r>
    </w:p>
    <w:p w14:paraId="0D07810D">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w:t>
      </w:r>
      <w:r>
        <w:rPr>
          <w:rFonts w:hint="eastAsia" w:asciiTheme="minorEastAsia" w:hAnsiTheme="minorEastAsia" w:eastAsiaTheme="minorEastAsia"/>
          <w:bCs/>
          <w:sz w:val="24"/>
          <w:shd w:val="clear" w:color="auto" w:fill="FFFFFF"/>
        </w:rPr>
        <w:t>响应文件</w:t>
      </w:r>
      <w:r>
        <w:rPr>
          <w:rFonts w:hint="eastAsia" w:asciiTheme="minorEastAsia" w:hAnsiTheme="minorEastAsia" w:eastAsiaTheme="minorEastAsia"/>
          <w:bCs/>
          <w:kern w:val="0"/>
          <w:sz w:val="24"/>
        </w:rPr>
        <w:t>自制部分必须打印，每页按顺序加注页码，装订牢固且不会轻易脱落（注：胶装）。如因装订问题而出现漏页或缺页，由此产生的一切后果由投标人自行承担。</w:t>
      </w:r>
    </w:p>
    <w:p w14:paraId="1C076497">
      <w:pPr>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（4）投标人的授权代表须携带《法定代表人授权书》及个人身份证原件亲临开标会现场以备查验。其现场所签署确认的文件均代表投标人单位的决定，并作为</w:t>
      </w:r>
      <w:r>
        <w:rPr>
          <w:rFonts w:hint="eastAsia" w:asciiTheme="minorEastAsia" w:hAnsiTheme="minorEastAsia" w:eastAsiaTheme="minorEastAsia"/>
          <w:bCs/>
          <w:sz w:val="24"/>
          <w:shd w:val="clear" w:color="auto" w:fill="FFFFFF"/>
        </w:rPr>
        <w:t>响应文件</w:t>
      </w:r>
      <w:r>
        <w:rPr>
          <w:rFonts w:hint="eastAsia" w:asciiTheme="minorEastAsia" w:hAnsiTheme="minorEastAsia" w:eastAsiaTheme="minorEastAsia"/>
          <w:bCs/>
          <w:kern w:val="0"/>
          <w:sz w:val="24"/>
        </w:rPr>
        <w:t>的补充内容，具有同等法律效力。</w:t>
      </w:r>
    </w:p>
    <w:p w14:paraId="40ACCF11">
      <w:pPr>
        <w:pStyle w:val="32"/>
        <w:adjustRightInd w:val="0"/>
        <w:snapToGrid w:val="0"/>
        <w:spacing w:line="560" w:lineRule="atLeas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kern w:val="0"/>
          <w:sz w:val="24"/>
          <w:szCs w:val="24"/>
        </w:rPr>
        <w:t>（5）</w:t>
      </w:r>
      <w:r>
        <w:rPr>
          <w:rFonts w:hint="eastAsia" w:asciiTheme="minorEastAsia" w:hAnsiTheme="minorEastAsia" w:eastAsiaTheme="minorEastAsia"/>
          <w:bCs/>
          <w:sz w:val="24"/>
          <w:szCs w:val="24"/>
        </w:rPr>
        <w:t>投标人应当在公开比选采购文件要求的截止时间前，将响应文件密封送达指定地点。在截止时间后送达的响应文件为无效文件，采购人、采购代理机构或者公开比选采购小组应当拒收。</w:t>
      </w:r>
    </w:p>
    <w:p w14:paraId="5BA7D53C">
      <w:pPr>
        <w:pStyle w:val="32"/>
        <w:adjustRightInd w:val="0"/>
        <w:snapToGrid w:val="0"/>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投标人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404F9AE0">
      <w:pPr>
        <w:pStyle w:val="4"/>
        <w:spacing w:line="560" w:lineRule="atLeast"/>
        <w:rPr>
          <w:rFonts w:hint="eastAsia" w:asciiTheme="minorEastAsia" w:hAnsiTheme="minorEastAsia" w:eastAsiaTheme="minorEastAsia"/>
          <w:b w:val="0"/>
          <w:bCs/>
        </w:rPr>
      </w:pPr>
      <w:r>
        <w:rPr>
          <w:rFonts w:hint="eastAsia" w:asciiTheme="minorEastAsia" w:hAnsiTheme="minorEastAsia" w:eastAsiaTheme="minorEastAsia"/>
          <w:b w:val="0"/>
          <w:bCs/>
        </w:rPr>
        <w:t>五、开标和评标</w:t>
      </w:r>
    </w:p>
    <w:p w14:paraId="17C0E1C8">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1、开标</w:t>
      </w:r>
    </w:p>
    <w:p w14:paraId="5B3387CF">
      <w:pPr>
        <w:spacing w:line="560" w:lineRule="atLeast"/>
        <w:ind w:firstLine="465"/>
        <w:rPr>
          <w:rFonts w:hint="eastAsia" w:asciiTheme="minorEastAsia" w:hAnsiTheme="minorEastAsia" w:eastAsiaTheme="minorEastAsia"/>
          <w:bCs/>
          <w:sz w:val="24"/>
        </w:rPr>
      </w:pPr>
      <w:r>
        <w:rPr>
          <w:rFonts w:hint="eastAsia" w:asciiTheme="minorEastAsia" w:hAnsiTheme="minorEastAsia" w:eastAsiaTheme="minorEastAsia"/>
          <w:bCs/>
          <w:sz w:val="24"/>
        </w:rPr>
        <w:t>1.1采购代理机构在“招标公告”或“投标邀请函”规定的时间和地点公开开标。</w:t>
      </w:r>
    </w:p>
    <w:p w14:paraId="0A47B0F1">
      <w:pPr>
        <w:spacing w:line="560" w:lineRule="atLeast"/>
        <w:ind w:firstLine="465"/>
        <w:rPr>
          <w:rFonts w:hint="eastAsia" w:asciiTheme="minorEastAsia" w:hAnsiTheme="minorEastAsia" w:eastAsiaTheme="minorEastAsia"/>
          <w:bCs/>
          <w:sz w:val="24"/>
        </w:rPr>
      </w:pPr>
      <w:r>
        <w:rPr>
          <w:rFonts w:hint="eastAsia" w:asciiTheme="minorEastAsia" w:hAnsiTheme="minorEastAsia" w:eastAsiaTheme="minorEastAsia"/>
          <w:bCs/>
          <w:sz w:val="24"/>
        </w:rPr>
        <w:t>1.2投标人</w:t>
      </w:r>
      <w:r>
        <w:rPr>
          <w:rFonts w:asciiTheme="minorEastAsia" w:hAnsiTheme="minorEastAsia" w:eastAsiaTheme="minorEastAsia"/>
          <w:bCs/>
          <w:sz w:val="24"/>
        </w:rPr>
        <w:t>不足3家的，不得开标。</w:t>
      </w:r>
    </w:p>
    <w:p w14:paraId="3D6F672A">
      <w:pPr>
        <w:spacing w:line="560" w:lineRule="atLeast"/>
        <w:ind w:firstLine="465"/>
        <w:rPr>
          <w:rFonts w:hint="eastAsia" w:asciiTheme="minorEastAsia" w:hAnsiTheme="minorEastAsia" w:eastAsiaTheme="minorEastAsia"/>
          <w:bCs/>
          <w:sz w:val="24"/>
        </w:rPr>
      </w:pPr>
      <w:r>
        <w:rPr>
          <w:rFonts w:asciiTheme="minorEastAsia" w:hAnsiTheme="minorEastAsia" w:eastAsiaTheme="minorEastAsia"/>
          <w:bCs/>
          <w:sz w:val="24"/>
        </w:rPr>
        <w:t>开标过程应当由采购人或者采购代理机构负责记录，由参加开标的各</w:t>
      </w:r>
      <w:r>
        <w:rPr>
          <w:rFonts w:hint="eastAsia" w:asciiTheme="minorEastAsia" w:hAnsiTheme="minorEastAsia" w:eastAsiaTheme="minorEastAsia"/>
          <w:bCs/>
          <w:sz w:val="24"/>
        </w:rPr>
        <w:t>投标人</w:t>
      </w:r>
      <w:r>
        <w:rPr>
          <w:rFonts w:asciiTheme="minorEastAsia" w:hAnsiTheme="minorEastAsia" w:eastAsiaTheme="minorEastAsia"/>
          <w:bCs/>
          <w:sz w:val="24"/>
        </w:rPr>
        <w:t>代表和相关工作人员签字确认后随采购文件一并存档。</w:t>
      </w:r>
    </w:p>
    <w:p w14:paraId="047DF0A9">
      <w:pPr>
        <w:spacing w:line="560" w:lineRule="atLeast"/>
        <w:rPr>
          <w:rFonts w:hint="eastAsia" w:asciiTheme="minorEastAsia" w:hAnsiTheme="minorEastAsia" w:eastAsiaTheme="minorEastAsia"/>
          <w:bCs/>
          <w:sz w:val="24"/>
        </w:rPr>
      </w:pPr>
      <w:r>
        <w:rPr>
          <w:rFonts w:asciiTheme="minorEastAsia" w:hAnsiTheme="minorEastAsia" w:eastAsiaTheme="minorEastAsia"/>
          <w:bCs/>
          <w:sz w:val="24"/>
        </w:rPr>
        <w:t>　　</w:t>
      </w:r>
      <w:r>
        <w:rPr>
          <w:rFonts w:hint="eastAsia" w:asciiTheme="minorEastAsia" w:hAnsiTheme="minorEastAsia" w:eastAsiaTheme="minorEastAsia"/>
          <w:bCs/>
          <w:sz w:val="24"/>
        </w:rPr>
        <w:t>投标人</w:t>
      </w:r>
      <w:r>
        <w:rPr>
          <w:rFonts w:asciiTheme="minorEastAsia" w:hAnsiTheme="minorEastAsia" w:eastAsiaTheme="minorEastAsia"/>
          <w:bCs/>
          <w:sz w:val="24"/>
        </w:rPr>
        <w:t>代表对开标过程和开标记录有疑义，以及认为采购人、采购代理机构相关工作人员有需要回避的情形的，应当场提出询问或者回避申请。采购人、采购代理机构对</w:t>
      </w:r>
      <w:r>
        <w:rPr>
          <w:rFonts w:hint="eastAsia" w:asciiTheme="minorEastAsia" w:hAnsiTheme="minorEastAsia" w:eastAsiaTheme="minorEastAsia"/>
          <w:bCs/>
          <w:sz w:val="24"/>
        </w:rPr>
        <w:t>投标人</w:t>
      </w:r>
      <w:r>
        <w:rPr>
          <w:rFonts w:asciiTheme="minorEastAsia" w:hAnsiTheme="minorEastAsia" w:eastAsiaTheme="minorEastAsia"/>
          <w:bCs/>
          <w:sz w:val="24"/>
        </w:rPr>
        <w:t>代表提出的询问或者回避申请应当及时处理。</w:t>
      </w:r>
      <w:r>
        <w:rPr>
          <w:rFonts w:hint="eastAsia" w:asciiTheme="minorEastAsia" w:hAnsiTheme="minorEastAsia" w:eastAsiaTheme="minorEastAsia"/>
          <w:bCs/>
          <w:sz w:val="24"/>
        </w:rPr>
        <w:t>投标人</w:t>
      </w:r>
      <w:r>
        <w:rPr>
          <w:rFonts w:asciiTheme="minorEastAsia" w:hAnsiTheme="minorEastAsia" w:eastAsiaTheme="minorEastAsia"/>
          <w:bCs/>
          <w:sz w:val="24"/>
        </w:rPr>
        <w:t>未参加开标的，视同认可开标结果。</w:t>
      </w:r>
    </w:p>
    <w:p w14:paraId="3449CA51">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2、评标委员会</w:t>
      </w:r>
    </w:p>
    <w:p w14:paraId="7863EE4E">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2.1评标委员会是依据《中华人民共和国政府采购法》并结合本项目的特点，组建的专门负责本次招标评标工作的临时性机构，其成员由评审专家组成，成员人数应当为</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人以上单数。该委员会独立工作，负责评审所有投标文件并推荐中标候选人。评标委员会对“投标文件”进行审查、质疑、评估和比较。</w:t>
      </w:r>
    </w:p>
    <w:p w14:paraId="677C80FE">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2</w:t>
      </w:r>
      <w:r>
        <w:rPr>
          <w:rFonts w:asciiTheme="minorEastAsia" w:hAnsiTheme="minorEastAsia" w:eastAsiaTheme="minorEastAsia"/>
          <w:bCs/>
          <w:sz w:val="24"/>
        </w:rPr>
        <w:t xml:space="preserve">.2 </w:t>
      </w:r>
      <w:r>
        <w:rPr>
          <w:rFonts w:hint="eastAsia" w:asciiTheme="minorEastAsia" w:hAnsiTheme="minorEastAsia" w:eastAsiaTheme="minorEastAsia"/>
          <w:bCs/>
          <w:sz w:val="24"/>
        </w:rPr>
        <w:t>评标期间，投标人应由法人代表或授权委托人应答必须的询标。</w:t>
      </w:r>
    </w:p>
    <w:p w14:paraId="7B6F3A63">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3、对“公开比选投标文件”的审查和响应性的确定</w:t>
      </w:r>
    </w:p>
    <w:p w14:paraId="6250F5E6">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3.1开标结束后，采购人或者采购代理机构应当依法对投标人的资格进行审查。合格投标人不足3家的，不得评标。</w:t>
      </w:r>
    </w:p>
    <w:p w14:paraId="03C06F3D">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公开比选投标文件</w:t>
      </w:r>
      <w:r>
        <w:rPr>
          <w:rFonts w:asciiTheme="minorEastAsia" w:hAnsiTheme="minorEastAsia" w:eastAsiaTheme="minorEastAsia"/>
          <w:bCs/>
          <w:sz w:val="24"/>
        </w:rPr>
        <w:t>报价出现前后不一致的，按照下列规定修正：（一）</w:t>
      </w:r>
      <w:r>
        <w:rPr>
          <w:rFonts w:hint="eastAsia" w:asciiTheme="minorEastAsia" w:hAnsiTheme="minorEastAsia" w:eastAsiaTheme="minorEastAsia"/>
          <w:bCs/>
          <w:sz w:val="24"/>
        </w:rPr>
        <w:t>公开比选投标文件</w:t>
      </w:r>
      <w:r>
        <w:rPr>
          <w:rFonts w:asciiTheme="minorEastAsia" w:hAnsiTheme="minorEastAsia" w:eastAsiaTheme="minorEastAsia"/>
          <w:bCs/>
          <w:sz w:val="24"/>
        </w:rPr>
        <w:t>中开标一览表（报价表）内容与</w:t>
      </w:r>
      <w:r>
        <w:rPr>
          <w:rFonts w:hint="eastAsia" w:asciiTheme="minorEastAsia" w:hAnsiTheme="minorEastAsia" w:eastAsiaTheme="minorEastAsia"/>
          <w:bCs/>
          <w:sz w:val="24"/>
        </w:rPr>
        <w:t>公开比选投标文件</w:t>
      </w:r>
      <w:r>
        <w:rPr>
          <w:rFonts w:asciiTheme="minorEastAsia" w:hAnsiTheme="minorEastAsia" w:eastAsiaTheme="minorEastAsia"/>
          <w:bCs/>
          <w:sz w:val="24"/>
        </w:rPr>
        <w:t>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w:t>
      </w:r>
    </w:p>
    <w:p w14:paraId="3FEE8488">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3.2在对“公开比选投标文件”进行详细评估之前，评标委员会将依据公开比选采购文件规定对投标人进行符合性审查，没有通过审查的，其投标将被拒绝。</w:t>
      </w:r>
    </w:p>
    <w:p w14:paraId="10B3A5D5">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3.3在评标过程中，评标委员会将确定每份投标是否对“公开比选采购文件”的实质性要求，做出了实质性的响应。实质性响应的投标是指符合“公开比选采购文件”的实质性条款、条件和规定。评标委员会判断“公开比选投标文件”的响应性，仅基于“公开比选投标文件”本身而不靠外部证据。</w:t>
      </w:r>
    </w:p>
    <w:p w14:paraId="71D34D10">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3.3.1实质性偏离是指公开比选投标文件未能响应公开比选采购文件的要求。以下情况属于实质性偏离：</w:t>
      </w:r>
    </w:p>
    <w:p w14:paraId="45E02606">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（1）公开比选采购文件载明的招标项目完成期限超过了公开比选采购文件规定的期限；</w:t>
      </w:r>
    </w:p>
    <w:p w14:paraId="57E78EA1">
      <w:pPr>
        <w:spacing w:line="560" w:lineRule="atLeast"/>
        <w:ind w:firstLine="480"/>
        <w:rPr>
          <w:rFonts w:hint="eastAsia" w:asciiTheme="minorEastAsia" w:hAnsiTheme="minorEastAsia" w:eastAsiaTheme="minorEastAsia"/>
          <w:bCs/>
          <w:sz w:val="24"/>
        </w:rPr>
      </w:pPr>
      <w:r>
        <w:rPr>
          <w:rFonts w:hint="eastAsia" w:asciiTheme="minorEastAsia" w:hAnsiTheme="minorEastAsia" w:eastAsiaTheme="minorEastAsia"/>
          <w:bCs/>
          <w:sz w:val="24"/>
        </w:rPr>
        <w:t>（2）投标人的投标报价超过了采购人的预算最高限价；</w:t>
      </w:r>
    </w:p>
    <w:p w14:paraId="425FB245">
      <w:pPr>
        <w:spacing w:line="560" w:lineRule="atLeast"/>
        <w:ind w:firstLine="480"/>
        <w:rPr>
          <w:rFonts w:hint="eastAsia" w:asciiTheme="minorEastAsia" w:hAnsiTheme="minorEastAsia" w:eastAsiaTheme="minorEastAsia"/>
          <w:bCs/>
          <w:sz w:val="24"/>
        </w:rPr>
      </w:pPr>
      <w:r>
        <w:rPr>
          <w:rFonts w:hint="eastAsia" w:asciiTheme="minorEastAsia" w:hAnsiTheme="minorEastAsia" w:eastAsiaTheme="minorEastAsia"/>
          <w:bCs/>
          <w:sz w:val="24"/>
        </w:rPr>
        <w:t>（3）公开比选投标文件中附有采购人不能接受的条件；</w:t>
      </w:r>
    </w:p>
    <w:p w14:paraId="55E8EB25">
      <w:pPr>
        <w:spacing w:line="560" w:lineRule="atLeast"/>
        <w:ind w:firstLine="480"/>
        <w:rPr>
          <w:rFonts w:hint="eastAsia" w:asciiTheme="minorEastAsia" w:hAnsiTheme="minorEastAsia" w:eastAsiaTheme="minorEastAsia"/>
          <w:bCs/>
          <w:sz w:val="24"/>
        </w:rPr>
      </w:pPr>
      <w:r>
        <w:rPr>
          <w:rFonts w:hint="eastAsia" w:asciiTheme="minorEastAsia" w:hAnsiTheme="minorEastAsia" w:eastAsiaTheme="minorEastAsia"/>
          <w:bCs/>
          <w:sz w:val="24"/>
        </w:rPr>
        <w:t>公开比选投标文件有上述情形之一的，在评标时视为：对公开比选采购文件要求有实质性偏离处理。</w:t>
      </w:r>
    </w:p>
    <w:p w14:paraId="6194EF0F">
      <w:pPr>
        <w:spacing w:line="560" w:lineRule="atLeast"/>
        <w:ind w:firstLine="480"/>
        <w:rPr>
          <w:rFonts w:hint="eastAsia" w:asciiTheme="minorEastAsia" w:hAnsiTheme="minorEastAsia" w:eastAsiaTheme="minorEastAsia"/>
          <w:bCs/>
          <w:sz w:val="24"/>
        </w:rPr>
      </w:pPr>
      <w:r>
        <w:rPr>
          <w:rFonts w:hint="eastAsia" w:asciiTheme="minorEastAsia" w:hAnsiTheme="minorEastAsia" w:eastAsiaTheme="minorEastAsia"/>
          <w:bCs/>
          <w:sz w:val="24"/>
        </w:rPr>
        <w:t>3.3.2采用最低评标价法的采购项目，提供相同品牌产品的不同投标人参加同一合同项下投标的，以其中通过资格审查、符合性审查且报价最低的参加评标；报价相同的，由采购人或者采购人委托评标委员会按照公开比选采购文件规定的方式确定一个参加评标的投标人，公开比选采购文件未规定的采取随机抽取方式确定，其他投标无效。</w:t>
      </w:r>
    </w:p>
    <w:p w14:paraId="1B1EBE29">
      <w:pPr>
        <w:spacing w:line="560" w:lineRule="atLeast"/>
        <w:ind w:firstLine="480"/>
        <w:rPr>
          <w:rFonts w:hint="eastAsia" w:asciiTheme="minorEastAsia" w:hAnsiTheme="minorEastAsia" w:eastAsiaTheme="minorEastAsia"/>
          <w:bCs/>
          <w:sz w:val="24"/>
        </w:rPr>
      </w:pPr>
      <w:r>
        <w:rPr>
          <w:rFonts w:hint="eastAsia" w:asciiTheme="minorEastAsia" w:hAnsiTheme="minorEastAsia" w:eastAsiaTheme="minorEastAsia"/>
          <w:bCs/>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公开比选采购文件规定的方式确定一个投标人获得中标人推荐资格，公开比选采购文件未规定的采取随机抽取方式确定，其他同品牌投标人不作为中标候选人。</w:t>
      </w:r>
    </w:p>
    <w:p w14:paraId="3C300822">
      <w:pPr>
        <w:spacing w:line="560" w:lineRule="atLeast"/>
        <w:ind w:firstLine="480"/>
        <w:rPr>
          <w:rFonts w:hint="eastAsia" w:asciiTheme="minorEastAsia" w:hAnsiTheme="minorEastAsia" w:eastAsiaTheme="minorEastAsia"/>
          <w:bCs/>
          <w:sz w:val="24"/>
        </w:rPr>
      </w:pPr>
      <w:r>
        <w:rPr>
          <w:rFonts w:hint="eastAsia" w:asciiTheme="minorEastAsia" w:hAnsiTheme="minorEastAsia" w:eastAsiaTheme="minorEastAsia"/>
          <w:bCs/>
          <w:sz w:val="24"/>
        </w:rPr>
        <w:t>非单一产品采购项目，采购人应当根据采购项目技术构成、产品价格比重等合理确定核心产品，并在公开比选采购文件中载明。多家投标人提供的核心产品品牌相同的，按前两款规定处理。核心</w:t>
      </w:r>
      <w:r>
        <w:rPr>
          <w:rFonts w:asciiTheme="minorEastAsia" w:hAnsiTheme="minorEastAsia" w:eastAsiaTheme="minorEastAsia"/>
          <w:bCs/>
          <w:sz w:val="24"/>
        </w:rPr>
        <w:t>产品详见</w:t>
      </w:r>
      <w:r>
        <w:rPr>
          <w:rFonts w:hint="eastAsia" w:asciiTheme="minorEastAsia" w:hAnsiTheme="minorEastAsia" w:eastAsiaTheme="minorEastAsia"/>
          <w:bCs/>
          <w:sz w:val="24"/>
        </w:rPr>
        <w:t>“采购需求”。</w:t>
      </w:r>
    </w:p>
    <w:p w14:paraId="65574A19">
      <w:pPr>
        <w:spacing w:line="560" w:lineRule="atLeast"/>
        <w:ind w:firstLine="480"/>
        <w:rPr>
          <w:rFonts w:hint="eastAsia" w:asciiTheme="minorEastAsia" w:hAnsiTheme="minorEastAsia" w:eastAsiaTheme="minorEastAsia"/>
          <w:bCs/>
          <w:sz w:val="24"/>
        </w:rPr>
      </w:pPr>
      <w:r>
        <w:rPr>
          <w:rFonts w:hint="eastAsia" w:asciiTheme="minorEastAsia" w:hAnsiTheme="minorEastAsia" w:eastAsiaTheme="minorEastAsia"/>
          <w:bCs/>
          <w:sz w:val="24"/>
        </w:rPr>
        <w:t>3.3.3非实质性偏离是指公开比选投标文件在实质上响应公开比选采购文件的要求，但在个别地方存在一些不规则、不一致、不完整的内容，并且澄清、说明或者补正这些内容不会改变公开比选投标文件的实质性内容。以下情况属于非实质性偏离：</w:t>
      </w:r>
    </w:p>
    <w:p w14:paraId="5A16A9C2">
      <w:pPr>
        <w:spacing w:line="560" w:lineRule="atLeast"/>
        <w:ind w:firstLine="480"/>
        <w:rPr>
          <w:rFonts w:hint="eastAsia" w:asciiTheme="minorEastAsia" w:hAnsiTheme="minorEastAsia" w:eastAsiaTheme="minorEastAsia"/>
          <w:bCs/>
          <w:sz w:val="24"/>
        </w:rPr>
      </w:pPr>
      <w:r>
        <w:rPr>
          <w:rFonts w:hint="eastAsia" w:asciiTheme="minorEastAsia" w:hAnsiTheme="minorEastAsia" w:eastAsiaTheme="minorEastAsia"/>
          <w:bCs/>
          <w:sz w:val="24"/>
        </w:rPr>
        <w:t>（1）文字表述的内容含义不明确；</w:t>
      </w:r>
    </w:p>
    <w:p w14:paraId="1C4A0B31">
      <w:pPr>
        <w:spacing w:line="560" w:lineRule="atLeast"/>
        <w:ind w:firstLine="480"/>
        <w:rPr>
          <w:rFonts w:hint="eastAsia" w:asciiTheme="minorEastAsia" w:hAnsiTheme="minorEastAsia" w:eastAsiaTheme="minorEastAsia"/>
          <w:bCs/>
          <w:sz w:val="24"/>
        </w:rPr>
      </w:pPr>
      <w:r>
        <w:rPr>
          <w:rFonts w:hint="eastAsia" w:asciiTheme="minorEastAsia" w:hAnsiTheme="minorEastAsia" w:eastAsiaTheme="minorEastAsia"/>
          <w:bCs/>
          <w:sz w:val="24"/>
        </w:rPr>
        <w:t>（2）同类问题表述不一致；</w:t>
      </w:r>
    </w:p>
    <w:p w14:paraId="45C2FB5F">
      <w:pPr>
        <w:spacing w:line="560" w:lineRule="atLeast"/>
        <w:ind w:firstLine="480"/>
        <w:rPr>
          <w:rFonts w:hint="eastAsia" w:asciiTheme="minorEastAsia" w:hAnsiTheme="minorEastAsia" w:eastAsiaTheme="minorEastAsia"/>
          <w:bCs/>
          <w:sz w:val="24"/>
        </w:rPr>
      </w:pPr>
      <w:r>
        <w:rPr>
          <w:rFonts w:hint="eastAsia" w:asciiTheme="minorEastAsia" w:hAnsiTheme="minorEastAsia" w:eastAsiaTheme="minorEastAsia"/>
          <w:bCs/>
          <w:sz w:val="24"/>
        </w:rPr>
        <w:t>（3）有明显文字和计算错误；</w:t>
      </w:r>
    </w:p>
    <w:p w14:paraId="67737D1E">
      <w:pPr>
        <w:spacing w:line="560" w:lineRule="atLeast"/>
        <w:ind w:firstLine="480"/>
        <w:rPr>
          <w:rFonts w:hint="eastAsia" w:asciiTheme="minorEastAsia" w:hAnsiTheme="minorEastAsia" w:eastAsiaTheme="minorEastAsia"/>
          <w:bCs/>
          <w:sz w:val="24"/>
        </w:rPr>
      </w:pPr>
      <w:r>
        <w:rPr>
          <w:rFonts w:hint="eastAsia" w:asciiTheme="minorEastAsia" w:hAnsiTheme="minorEastAsia" w:eastAsiaTheme="minorEastAsia"/>
          <w:bCs/>
          <w:sz w:val="24"/>
        </w:rPr>
        <w:t>（4）提供的技术信息和数据资料不完整；</w:t>
      </w:r>
    </w:p>
    <w:p w14:paraId="71644DD3">
      <w:pPr>
        <w:spacing w:line="560" w:lineRule="atLeast"/>
        <w:ind w:firstLine="480"/>
        <w:rPr>
          <w:rFonts w:hint="eastAsia" w:asciiTheme="minorEastAsia" w:hAnsiTheme="minorEastAsia" w:eastAsiaTheme="minorEastAsia"/>
          <w:bCs/>
          <w:sz w:val="24"/>
        </w:rPr>
      </w:pPr>
      <w:r>
        <w:rPr>
          <w:rFonts w:hint="eastAsia" w:asciiTheme="minorEastAsia" w:hAnsiTheme="minorEastAsia" w:eastAsiaTheme="minorEastAsia"/>
          <w:bCs/>
          <w:sz w:val="24"/>
        </w:rPr>
        <w:t>（5）公开比选投标文件未按公开比选采购文件要求进行装订或未编制目录、页码；</w:t>
      </w:r>
    </w:p>
    <w:p w14:paraId="7CBCC3B0">
      <w:pPr>
        <w:spacing w:line="560" w:lineRule="atLeast"/>
        <w:ind w:firstLine="480"/>
        <w:rPr>
          <w:rFonts w:hint="eastAsia" w:asciiTheme="minorEastAsia" w:hAnsiTheme="minorEastAsia" w:eastAsiaTheme="minorEastAsia"/>
          <w:bCs/>
          <w:sz w:val="24"/>
        </w:rPr>
      </w:pPr>
      <w:r>
        <w:rPr>
          <w:rFonts w:hint="eastAsia" w:asciiTheme="minorEastAsia" w:hAnsiTheme="minorEastAsia" w:eastAsiaTheme="minorEastAsia"/>
          <w:bCs/>
          <w:sz w:val="24"/>
        </w:rPr>
        <w:t>（6）评标委员会认定的其他非实质性偏离。</w:t>
      </w:r>
    </w:p>
    <w:p w14:paraId="5AE529B2">
      <w:pPr>
        <w:spacing w:line="560" w:lineRule="atLeast"/>
        <w:ind w:firstLine="480"/>
        <w:rPr>
          <w:rFonts w:hint="eastAsia" w:asciiTheme="minorEastAsia" w:hAnsiTheme="minorEastAsia" w:eastAsiaTheme="minorEastAsia"/>
          <w:bCs/>
          <w:sz w:val="24"/>
        </w:rPr>
      </w:pPr>
      <w:r>
        <w:rPr>
          <w:rFonts w:hint="eastAsia" w:asciiTheme="minorEastAsia" w:hAnsiTheme="minorEastAsia" w:eastAsiaTheme="minorEastAsia"/>
          <w:bCs/>
          <w:sz w:val="24"/>
        </w:rPr>
        <w:t>公开比选投标文件有上述（1）--（4）情形之一的，</w:t>
      </w:r>
      <w:r>
        <w:rPr>
          <w:rFonts w:cs="Arial" w:asciiTheme="minorEastAsia" w:hAnsiTheme="minorEastAsia" w:eastAsiaTheme="minorEastAsia"/>
          <w:bCs/>
          <w:kern w:val="0"/>
          <w:sz w:val="24"/>
        </w:rPr>
        <w:t>评标委员会应当以书面形式要求</w:t>
      </w:r>
      <w:r>
        <w:rPr>
          <w:rFonts w:hint="eastAsia" w:cs="Arial" w:asciiTheme="minorEastAsia" w:hAnsiTheme="minorEastAsia" w:eastAsiaTheme="minorEastAsia"/>
          <w:bCs/>
          <w:kern w:val="0"/>
          <w:sz w:val="24"/>
        </w:rPr>
        <w:t>投标人</w:t>
      </w:r>
      <w:r>
        <w:rPr>
          <w:rFonts w:cs="Arial" w:asciiTheme="minorEastAsia" w:hAnsiTheme="minorEastAsia" w:eastAsiaTheme="minorEastAsia"/>
          <w:bCs/>
          <w:kern w:val="0"/>
          <w:sz w:val="24"/>
        </w:rPr>
        <w:t>作出必要的澄清、说明或者补正。</w:t>
      </w:r>
      <w:r>
        <w:rPr>
          <w:rFonts w:hint="eastAsia" w:cs="Arial" w:asciiTheme="minorEastAsia" w:hAnsiTheme="minorEastAsia" w:eastAsiaTheme="minorEastAsia"/>
          <w:bCs/>
          <w:kern w:val="0"/>
          <w:sz w:val="24"/>
        </w:rPr>
        <w:t>投标人</w:t>
      </w:r>
      <w:r>
        <w:rPr>
          <w:rFonts w:cs="Arial" w:asciiTheme="minorEastAsia" w:hAnsiTheme="minorEastAsia" w:eastAsiaTheme="minorEastAsia"/>
          <w:bCs/>
          <w:kern w:val="0"/>
          <w:sz w:val="24"/>
        </w:rPr>
        <w:t>的澄清、说明或者补正应当采用书面形式，并加盖公章，或者由法定代表人或其授权的代表签字。</w:t>
      </w:r>
      <w:r>
        <w:rPr>
          <w:rFonts w:hint="eastAsia" w:cs="Arial" w:asciiTheme="minorEastAsia" w:hAnsiTheme="minorEastAsia" w:eastAsiaTheme="minorEastAsia"/>
          <w:bCs/>
          <w:kern w:val="0"/>
          <w:sz w:val="24"/>
        </w:rPr>
        <w:t>投标人</w:t>
      </w:r>
      <w:r>
        <w:rPr>
          <w:rFonts w:cs="Arial" w:asciiTheme="minorEastAsia" w:hAnsiTheme="minorEastAsia" w:eastAsiaTheme="minorEastAsia"/>
          <w:bCs/>
          <w:kern w:val="0"/>
          <w:sz w:val="24"/>
        </w:rPr>
        <w:t>的澄清、说明或者补正不得超出</w:t>
      </w:r>
      <w:r>
        <w:rPr>
          <w:rFonts w:hint="eastAsia" w:cs="Arial" w:asciiTheme="minorEastAsia" w:hAnsiTheme="minorEastAsia" w:eastAsiaTheme="minorEastAsia"/>
          <w:bCs/>
          <w:kern w:val="0"/>
          <w:sz w:val="24"/>
        </w:rPr>
        <w:t>公开比选投标文件</w:t>
      </w:r>
      <w:r>
        <w:rPr>
          <w:rFonts w:cs="Arial" w:asciiTheme="minorEastAsia" w:hAnsiTheme="minorEastAsia" w:eastAsiaTheme="minorEastAsia"/>
          <w:bCs/>
          <w:kern w:val="0"/>
          <w:sz w:val="24"/>
        </w:rPr>
        <w:t>的范围或者改变</w:t>
      </w:r>
      <w:r>
        <w:rPr>
          <w:rFonts w:hint="eastAsia" w:cs="Arial" w:asciiTheme="minorEastAsia" w:hAnsiTheme="minorEastAsia" w:eastAsiaTheme="minorEastAsia"/>
          <w:bCs/>
          <w:kern w:val="0"/>
          <w:sz w:val="24"/>
        </w:rPr>
        <w:t>公开比选投标文件</w:t>
      </w:r>
      <w:r>
        <w:rPr>
          <w:rFonts w:cs="Arial" w:asciiTheme="minorEastAsia" w:hAnsiTheme="minorEastAsia" w:eastAsiaTheme="minorEastAsia"/>
          <w:bCs/>
          <w:kern w:val="0"/>
          <w:sz w:val="24"/>
        </w:rPr>
        <w:t>的实质性内容。</w:t>
      </w:r>
      <w:r>
        <w:rPr>
          <w:rFonts w:hint="eastAsia" w:asciiTheme="minorEastAsia" w:hAnsiTheme="minorEastAsia" w:eastAsiaTheme="minorEastAsia"/>
          <w:bCs/>
          <w:sz w:val="24"/>
        </w:rPr>
        <w:t>澄清、说明、补正的内容也不能说明问题的，视为公开比选投标文件制作不规范。按每一项非实质性偏离进行扣分处理，直至该项分值扣完为止。评标委员会不接受投标人主动提出的澄清、说明或补正。</w:t>
      </w:r>
    </w:p>
    <w:p w14:paraId="0B2F50AE">
      <w:pPr>
        <w:spacing w:line="560" w:lineRule="atLeast"/>
        <w:ind w:firstLine="480"/>
        <w:rPr>
          <w:rFonts w:hint="eastAsia" w:asciiTheme="minorEastAsia" w:hAnsiTheme="minorEastAsia" w:eastAsiaTheme="minorEastAsia"/>
          <w:bCs/>
          <w:sz w:val="24"/>
        </w:rPr>
      </w:pPr>
      <w:r>
        <w:rPr>
          <w:rFonts w:hint="eastAsia" w:asciiTheme="minorEastAsia" w:hAnsiTheme="minorEastAsia" w:eastAsiaTheme="minorEastAsia"/>
          <w:bCs/>
          <w:sz w:val="24"/>
        </w:rPr>
        <w:t>3.3.4 在公开比选投标文件初审过程中，如果出现评标委员会成员意见不一致的情况，按照少数服从多数的原则确定。</w:t>
      </w:r>
    </w:p>
    <w:p w14:paraId="5B7AC27C">
      <w:pPr>
        <w:spacing w:line="560" w:lineRule="atLeast"/>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w:t>
      </w:r>
      <w:r>
        <w:rPr>
          <w:rFonts w:asciiTheme="minorEastAsia" w:hAnsiTheme="minorEastAsia" w:eastAsiaTheme="minorEastAsia"/>
          <w:bCs/>
          <w:kern w:val="0"/>
          <w:sz w:val="24"/>
        </w:rPr>
        <w:t>.</w:t>
      </w:r>
      <w:r>
        <w:rPr>
          <w:rFonts w:hint="eastAsia" w:asciiTheme="minorEastAsia" w:hAnsiTheme="minorEastAsia" w:eastAsiaTheme="minorEastAsia"/>
          <w:bCs/>
          <w:kern w:val="0"/>
          <w:sz w:val="24"/>
        </w:rPr>
        <w:t>4如投标人提交的公开比选投标文件为虚假材料的，按无效标处理。</w:t>
      </w:r>
    </w:p>
    <w:p w14:paraId="79B041F6">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4、公开比选采购文件的澄清</w:t>
      </w:r>
    </w:p>
    <w:p w14:paraId="6F42E687">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4.1为了有助于对“公开比选投标文件”进行审查、评估和比较，评标委员会有权向投标人提出质疑，并请投标人澄清其投标内容。投标人有责任，按照采购代理机构通知的时间、地点，指派专人进行答疑和澄清。</w:t>
      </w:r>
    </w:p>
    <w:p w14:paraId="52EA0747">
      <w:pPr>
        <w:spacing w:line="560" w:lineRule="atLeast"/>
        <w:jc w:val="center"/>
        <w:rPr>
          <w:rFonts w:hint="eastAsia" w:asciiTheme="minorEastAsia" w:hAnsiTheme="minorEastAsia" w:eastAsiaTheme="minorEastAsia"/>
          <w:bCs/>
          <w:sz w:val="24"/>
        </w:rPr>
      </w:pPr>
      <w:r>
        <w:rPr>
          <w:rFonts w:hint="eastAsia" w:asciiTheme="minorEastAsia" w:hAnsiTheme="minorEastAsia" w:eastAsiaTheme="minorEastAsia"/>
          <w:bCs/>
          <w:sz w:val="24"/>
        </w:rPr>
        <w:t>4.2重要的澄清答复应是书面的，但不得对投标内容进行实质性修改。</w:t>
      </w:r>
    </w:p>
    <w:p w14:paraId="09EEB37C">
      <w:pPr>
        <w:pStyle w:val="4"/>
        <w:spacing w:line="560" w:lineRule="atLeast"/>
        <w:rPr>
          <w:rFonts w:hint="eastAsia" w:asciiTheme="minorEastAsia" w:hAnsiTheme="minorEastAsia" w:eastAsiaTheme="minorEastAsia"/>
          <w:b w:val="0"/>
          <w:bCs/>
        </w:rPr>
      </w:pPr>
      <w:r>
        <w:rPr>
          <w:rFonts w:hint="eastAsia" w:asciiTheme="minorEastAsia" w:hAnsiTheme="minorEastAsia" w:eastAsiaTheme="minorEastAsia"/>
          <w:b w:val="0"/>
          <w:bCs/>
        </w:rPr>
        <w:t>六、授予合同</w:t>
      </w:r>
    </w:p>
    <w:p w14:paraId="61F197DD">
      <w:pPr>
        <w:spacing w:line="560" w:lineRule="atLeast"/>
        <w:ind w:left="479" w:leftChars="228"/>
        <w:jc w:val="left"/>
        <w:rPr>
          <w:rFonts w:hint="eastAsia" w:asciiTheme="minorEastAsia" w:hAnsiTheme="minorEastAsia" w:eastAsiaTheme="minorEastAsia"/>
          <w:bCs/>
          <w:sz w:val="24"/>
        </w:rPr>
      </w:pPr>
      <w:r>
        <w:rPr>
          <w:rFonts w:hint="eastAsia" w:asciiTheme="minorEastAsia" w:hAnsiTheme="minorEastAsia" w:eastAsiaTheme="minorEastAsia"/>
          <w:bCs/>
          <w:sz w:val="24"/>
        </w:rPr>
        <w:t>1、定标原则</w:t>
      </w:r>
    </w:p>
    <w:p w14:paraId="6C343A47">
      <w:pPr>
        <w:spacing w:line="560" w:lineRule="atLeast"/>
        <w:ind w:left="479" w:leftChars="228"/>
        <w:jc w:val="left"/>
        <w:rPr>
          <w:rFonts w:hint="eastAsia" w:asciiTheme="minorEastAsia" w:hAnsiTheme="minorEastAsia" w:eastAsiaTheme="minorEastAsia"/>
          <w:bCs/>
          <w:sz w:val="24"/>
        </w:rPr>
      </w:pPr>
      <w:r>
        <w:rPr>
          <w:rFonts w:hint="eastAsia" w:asciiTheme="minorEastAsia" w:hAnsiTheme="minorEastAsia" w:eastAsiaTheme="minorEastAsia"/>
          <w:bCs/>
          <w:sz w:val="24"/>
        </w:rPr>
        <w:t>1.1严格按照“公开比选采购文件”的要求和条件进行评标，择优定标。</w:t>
      </w:r>
    </w:p>
    <w:p w14:paraId="1EEC4040">
      <w:pPr>
        <w:pStyle w:val="32"/>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1.2本次招标，合同将授予符合“公开比选采购文件”的要求，并且性价比最合理，能提供最佳服务的投标者。</w:t>
      </w:r>
    </w:p>
    <w:p w14:paraId="29E4EAB4">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1.3不能保证最低报价的投标最终中标。</w:t>
      </w:r>
    </w:p>
    <w:p w14:paraId="36D471AB">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1.4评标结束后，采购代理机构组织编写评标报告，采购人根据评标报告和授标建议书推荐的中标候选投标人确定中标人，并送报采购管理机关备案。</w:t>
      </w:r>
    </w:p>
    <w:p w14:paraId="49F5A8C0">
      <w:pPr>
        <w:widowControl/>
        <w:spacing w:line="560" w:lineRule="atLeast"/>
        <w:ind w:firstLine="480" w:firstLineChars="200"/>
        <w:rPr>
          <w:rFonts w:hint="eastAsia" w:cs="宋体" w:asciiTheme="minorEastAsia" w:hAnsiTheme="minorEastAsia" w:eastAsiaTheme="minorEastAsia"/>
          <w:bCs/>
          <w:kern w:val="0"/>
          <w:sz w:val="24"/>
        </w:rPr>
      </w:pPr>
      <w:r>
        <w:rPr>
          <w:rFonts w:hint="eastAsia" w:asciiTheme="minorEastAsia" w:hAnsiTheme="minorEastAsia" w:eastAsiaTheme="minorEastAsia"/>
          <w:bCs/>
          <w:sz w:val="24"/>
        </w:rPr>
        <w:t>1.5根据评标办法推荐出一至三人为中标候选人，并标明排列顺序。采购人将确定排名第一的中标候选人为中标人并向其授予合同。</w:t>
      </w:r>
      <w:r>
        <w:rPr>
          <w:rFonts w:asciiTheme="minorEastAsia" w:hAnsiTheme="minorEastAsia" w:eastAsiaTheme="minorEastAsia"/>
          <w:bCs/>
          <w:sz w:val="24"/>
        </w:rPr>
        <w:t>中标或者</w:t>
      </w:r>
      <w:r>
        <w:rPr>
          <w:rFonts w:hint="eastAsia" w:asciiTheme="minorEastAsia" w:hAnsiTheme="minorEastAsia" w:eastAsiaTheme="minorEastAsia"/>
          <w:bCs/>
          <w:sz w:val="24"/>
        </w:rPr>
        <w:t>投标人</w:t>
      </w:r>
      <w:r>
        <w:rPr>
          <w:rFonts w:asciiTheme="minorEastAsia" w:hAnsiTheme="minorEastAsia" w:eastAsiaTheme="minorEastAsia"/>
          <w:bCs/>
          <w:sz w:val="24"/>
        </w:rPr>
        <w:t>拒绝与采购人签订合同的，采购人可以按照评审报告推荐的中标或者候选人名单排序，确定下一候选人为中标</w:t>
      </w:r>
      <w:r>
        <w:rPr>
          <w:rFonts w:hint="eastAsia" w:asciiTheme="minorEastAsia" w:hAnsiTheme="minorEastAsia" w:eastAsiaTheme="minorEastAsia"/>
          <w:bCs/>
          <w:sz w:val="24"/>
        </w:rPr>
        <w:t>人</w:t>
      </w:r>
      <w:r>
        <w:rPr>
          <w:rFonts w:asciiTheme="minorEastAsia" w:hAnsiTheme="minorEastAsia" w:eastAsiaTheme="minorEastAsia"/>
          <w:bCs/>
          <w:sz w:val="24"/>
        </w:rPr>
        <w:t>，也可以重新开展政府采购活动</w:t>
      </w:r>
      <w:r>
        <w:rPr>
          <w:rFonts w:hint="eastAsia" w:asciiTheme="minorEastAsia" w:hAnsiTheme="minorEastAsia" w:eastAsiaTheme="minorEastAsia"/>
          <w:bCs/>
          <w:sz w:val="24"/>
        </w:rPr>
        <w:t>。或因投标人对采购过程、中标或者成交结果提出的质疑，合格投标人符合法定数量时，可以从合格的中标或者成交候选人中另行确定中标、成交人的，应当依法另行确定中标、成交成人；否则应当重新开展采购活动。采购人对影响的投标人不承担任何责任。</w:t>
      </w:r>
      <w:r>
        <w:rPr>
          <w:rFonts w:hint="eastAsia" w:cs="宋体" w:asciiTheme="minorEastAsia" w:hAnsiTheme="minorEastAsia" w:eastAsiaTheme="minorEastAsia"/>
          <w:bCs/>
          <w:kern w:val="0"/>
          <w:sz w:val="24"/>
        </w:rPr>
        <w:t>中标人将在指定的网站上公示。</w:t>
      </w:r>
    </w:p>
    <w:p w14:paraId="27F6E80A">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2、中标通知</w:t>
      </w:r>
    </w:p>
    <w:p w14:paraId="387D9AE9">
      <w:pPr>
        <w:spacing w:line="560" w:lineRule="atLeast"/>
        <w:rPr>
          <w:rFonts w:hint="eastAsia" w:asciiTheme="minorEastAsia" w:hAnsiTheme="minorEastAsia" w:eastAsiaTheme="minorEastAsia"/>
          <w:bCs/>
          <w:sz w:val="24"/>
        </w:rPr>
      </w:pPr>
      <w:r>
        <w:rPr>
          <w:rFonts w:hint="eastAsia" w:asciiTheme="minorEastAsia" w:hAnsiTheme="minorEastAsia" w:eastAsiaTheme="minorEastAsia"/>
          <w:bCs/>
          <w:sz w:val="24"/>
        </w:rPr>
        <w:t>2.1评标结束后，根据评标委员会裁定的结果，由海南省教学仪器设备招标中心有限公司签发《中标通知书》。</w:t>
      </w:r>
    </w:p>
    <w:p w14:paraId="7F71F3EC">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2.2《中标通知书》将作为签订合同的重要依据。中标人不与招标人按期订立合同的，其投标保证金不予退还并取消其中标资格，给招标人造成的损失超过投标保证金金额的，应当对超出部分予以赔偿。</w:t>
      </w:r>
    </w:p>
    <w:p w14:paraId="5EE9E00B">
      <w:pPr>
        <w:spacing w:line="560" w:lineRule="atLeast"/>
        <w:ind w:firstLine="360" w:firstLineChars="150"/>
        <w:rPr>
          <w:rFonts w:hint="eastAsia" w:asciiTheme="minorEastAsia" w:hAnsiTheme="minorEastAsia" w:eastAsiaTheme="minorEastAsia"/>
          <w:bCs/>
          <w:sz w:val="24"/>
        </w:rPr>
      </w:pPr>
      <w:r>
        <w:rPr>
          <w:rFonts w:hint="eastAsia" w:asciiTheme="minorEastAsia" w:hAnsiTheme="minorEastAsia" w:eastAsiaTheme="minorEastAsia"/>
          <w:bCs/>
          <w:sz w:val="24"/>
        </w:rPr>
        <w:t>3、授予合同时变更数量的权力</w:t>
      </w:r>
    </w:p>
    <w:p w14:paraId="3CCC1AE3">
      <w:pPr>
        <w:spacing w:line="560" w:lineRule="atLeast"/>
        <w:ind w:firstLine="360"/>
        <w:rPr>
          <w:rFonts w:hint="eastAsia" w:asciiTheme="minorEastAsia" w:hAnsiTheme="minorEastAsia" w:eastAsiaTheme="minorEastAsia"/>
          <w:bCs/>
          <w:sz w:val="24"/>
        </w:rPr>
      </w:pPr>
      <w:r>
        <w:rPr>
          <w:rFonts w:hint="eastAsia" w:asciiTheme="minorEastAsia" w:hAnsiTheme="minorEastAsia" w:eastAsiaTheme="minorEastAsia"/>
          <w:bCs/>
          <w:sz w:val="24"/>
        </w:rPr>
        <w:t>采购代理机构在授予合同时，可根据采购人的需求的情况，对“招标货物一览表”中列明的货物的数量和服务予以增加或减少，额度不大于10%。</w:t>
      </w:r>
    </w:p>
    <w:p w14:paraId="071DDD86">
      <w:pPr>
        <w:spacing w:line="560" w:lineRule="atLeast"/>
        <w:ind w:firstLine="360" w:firstLineChars="150"/>
        <w:rPr>
          <w:rFonts w:hint="eastAsia" w:asciiTheme="minorEastAsia" w:hAnsiTheme="minorEastAsia" w:eastAsiaTheme="minorEastAsia"/>
          <w:bCs/>
          <w:sz w:val="24"/>
        </w:rPr>
      </w:pPr>
      <w:r>
        <w:rPr>
          <w:rFonts w:hint="eastAsia" w:asciiTheme="minorEastAsia" w:hAnsiTheme="minorEastAsia" w:eastAsiaTheme="minorEastAsia"/>
          <w:bCs/>
          <w:sz w:val="24"/>
        </w:rPr>
        <w:t>4、签订合同</w:t>
      </w:r>
    </w:p>
    <w:p w14:paraId="4010C124">
      <w:pPr>
        <w:snapToGrid w:val="0"/>
        <w:spacing w:line="560" w:lineRule="atLeast"/>
        <w:rPr>
          <w:rFonts w:hint="eastAsia" w:asciiTheme="minorEastAsia" w:hAnsiTheme="minorEastAsia" w:eastAsiaTheme="minorEastAsia"/>
          <w:bCs/>
          <w:sz w:val="24"/>
        </w:rPr>
      </w:pPr>
      <w:r>
        <w:rPr>
          <w:rFonts w:hint="eastAsia" w:asciiTheme="minorEastAsia" w:hAnsiTheme="minorEastAsia" w:eastAsiaTheme="minorEastAsia"/>
          <w:bCs/>
          <w:sz w:val="24"/>
        </w:rPr>
        <w:t>4.1中标方应按《中标通知书》指定的时间、地点与采购人签订合同，采购代理机构予以鉴证。</w:t>
      </w:r>
    </w:p>
    <w:p w14:paraId="14E5B988">
      <w:pPr>
        <w:spacing w:line="560" w:lineRule="atLeast"/>
        <w:ind w:firstLine="480"/>
        <w:rPr>
          <w:rFonts w:hint="eastAsia" w:asciiTheme="minorEastAsia" w:hAnsiTheme="minorEastAsia" w:eastAsiaTheme="minorEastAsia"/>
          <w:bCs/>
          <w:sz w:val="24"/>
        </w:rPr>
      </w:pPr>
      <w:r>
        <w:rPr>
          <w:rFonts w:hint="eastAsia" w:asciiTheme="minorEastAsia" w:hAnsiTheme="minorEastAsia" w:eastAsiaTheme="minorEastAsia"/>
          <w:bCs/>
          <w:sz w:val="24"/>
        </w:rPr>
        <w:t>4.2、《中标通知书》中标方的“公开比选采购文件”及其澄清文件等，均为签订经济合同的依据。</w:t>
      </w:r>
      <w:r>
        <w:rPr>
          <w:rFonts w:hint="eastAsia" w:cs="宋体" w:asciiTheme="minorEastAsia" w:hAnsiTheme="minorEastAsia" w:eastAsiaTheme="minorEastAsia"/>
          <w:bCs/>
          <w:kern w:val="0"/>
          <w:sz w:val="24"/>
        </w:rPr>
        <w:t>中标投标人不得延误合同签订、仪器设备交付时间（除业主单位施工现场不具备条件外）。</w:t>
      </w:r>
    </w:p>
    <w:p w14:paraId="2CAEEE33">
      <w:pPr>
        <w:pStyle w:val="3"/>
        <w:spacing w:line="560" w:lineRule="atLeast"/>
        <w:rPr>
          <w:rFonts w:asciiTheme="minorEastAsia" w:hAnsiTheme="minorEastAsia" w:eastAsiaTheme="minorEastAsia"/>
          <w:b w:val="0"/>
          <w:bCs/>
          <w:kern w:val="0"/>
          <w:sz w:val="32"/>
          <w:szCs w:val="32"/>
        </w:rPr>
      </w:pPr>
      <w:r>
        <w:rPr>
          <w:rFonts w:asciiTheme="minorEastAsia" w:hAnsiTheme="minorEastAsia" w:eastAsiaTheme="minorEastAsia"/>
          <w:b w:val="0"/>
          <w:bCs/>
          <w:kern w:val="0"/>
          <w:sz w:val="32"/>
          <w:szCs w:val="32"/>
        </w:rPr>
        <w:br w:type="page"/>
      </w:r>
      <w:r>
        <w:rPr>
          <w:rFonts w:hint="eastAsia" w:asciiTheme="minorEastAsia" w:hAnsiTheme="minorEastAsia" w:eastAsiaTheme="minorEastAsia"/>
          <w:b w:val="0"/>
          <w:bCs/>
          <w:kern w:val="0"/>
          <w:sz w:val="32"/>
          <w:szCs w:val="32"/>
        </w:rPr>
        <w:t>第四部分   评审办法</w:t>
      </w:r>
    </w:p>
    <w:p w14:paraId="6A334609">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 1.1 评标基本原则：评标工作应依据《中华人民共和国政府采购法》</w:t>
      </w:r>
      <w:r>
        <w:rPr>
          <w:rFonts w:hint="eastAsia" w:asciiTheme="minorEastAsia" w:hAnsiTheme="minorEastAsia" w:eastAsiaTheme="minorEastAsia"/>
          <w:bCs/>
          <w:kern w:val="0"/>
          <w:sz w:val="24"/>
        </w:rPr>
        <w:t>的规定</w:t>
      </w:r>
      <w:r>
        <w:rPr>
          <w:rFonts w:hint="eastAsia" w:asciiTheme="minorEastAsia" w:hAnsiTheme="minorEastAsia" w:eastAsiaTheme="minorEastAsia"/>
          <w:bCs/>
          <w:sz w:val="24"/>
        </w:rPr>
        <w:t>以及国家及地方政府有关政府采购的有关规定，按照客观、公正、审慎的原则进行，评委会对所有投标人的投标评估，都采用相同的程序和标准。本次综合评分的主要因素是：价格、技术、信誉、服务、对招标文件的响应程度。</w:t>
      </w:r>
    </w:p>
    <w:p w14:paraId="3C266542">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1</w:t>
      </w:r>
      <w:r>
        <w:rPr>
          <w:rFonts w:asciiTheme="minorEastAsia" w:hAnsiTheme="minorEastAsia" w:eastAsiaTheme="minorEastAsia"/>
          <w:bCs/>
          <w:sz w:val="24"/>
        </w:rPr>
        <w:t>.2</w:t>
      </w:r>
      <w:r>
        <w:rPr>
          <w:rFonts w:hint="eastAsia" w:asciiTheme="minorEastAsia" w:hAnsiTheme="minorEastAsia" w:eastAsiaTheme="minorEastAsia"/>
          <w:bCs/>
          <w:sz w:val="24"/>
        </w:rPr>
        <w:t>评委会对每个“公开比选投标文件”的投标报价进行比较。</w:t>
      </w:r>
    </w:p>
    <w:p w14:paraId="0467D464">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1</w:t>
      </w:r>
      <w:r>
        <w:rPr>
          <w:rFonts w:asciiTheme="minorEastAsia" w:hAnsiTheme="minorEastAsia" w:eastAsiaTheme="minorEastAsia"/>
          <w:bCs/>
          <w:sz w:val="24"/>
        </w:rPr>
        <w:t>.3</w:t>
      </w:r>
      <w:r>
        <w:rPr>
          <w:rFonts w:hint="eastAsia" w:asciiTheme="minorEastAsia" w:hAnsiTheme="minorEastAsia" w:eastAsiaTheme="minorEastAsia"/>
          <w:bCs/>
          <w:sz w:val="24"/>
        </w:rPr>
        <w:t>对各投标者所报技术性能进行比较。</w:t>
      </w:r>
    </w:p>
    <w:p w14:paraId="519B9C99">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1.4对其他内容进行分析比较</w:t>
      </w:r>
    </w:p>
    <w:p w14:paraId="431BCE2A">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1</w:t>
      </w:r>
      <w:r>
        <w:rPr>
          <w:rFonts w:asciiTheme="minorEastAsia" w:hAnsiTheme="minorEastAsia" w:eastAsiaTheme="minorEastAsia"/>
          <w:bCs/>
          <w:sz w:val="24"/>
        </w:rPr>
        <w:t>.5</w:t>
      </w:r>
      <w:r>
        <w:rPr>
          <w:rFonts w:hint="eastAsia" w:asciiTheme="minorEastAsia" w:hAnsiTheme="minorEastAsia" w:eastAsiaTheme="minorEastAsia"/>
          <w:bCs/>
          <w:sz w:val="24"/>
        </w:rPr>
        <w:t>采用综合评分法，以不公开方式进行评标。评委会成员应依据投标文件规定的评分标准和方法独立对其他因素进行比较打分。评标过程中不允许投标人与评委之间有可能影响到评标结果公正性的会面和谈话，以体现公平、公正的基本原则。</w:t>
      </w:r>
    </w:p>
    <w:p w14:paraId="2B1152DC">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1.6分值权重分配（具体见评分细则）评标委员会按得分高低顺序确定候中标人。</w:t>
      </w:r>
    </w:p>
    <w:p w14:paraId="640A1BBA">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1.7综合以上分析比较最后做出评标结论。</w:t>
      </w:r>
    </w:p>
    <w:p w14:paraId="46A4C0ED">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2、保密及其它注意事项</w:t>
      </w:r>
    </w:p>
    <w:p w14:paraId="4431F524">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2.1评标是招标工作的重要环节，评标工作在评委会内独立进行。评委会将遵照评标原则，客观、公正、审慎地对待所有投标人。</w:t>
      </w:r>
    </w:p>
    <w:p w14:paraId="02249ECB">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2.2评标后，评委会可能对投标文件中有关问题分别向投标人进行询问。各投标人应予以认真答复。重要或复杂问题的答复需以书面形式，并经法定代表人或授权人签署。澄清文件将作为“投标文件”的组成部份。</w:t>
      </w:r>
    </w:p>
    <w:p w14:paraId="049CEF3A">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2.3在开标、评标期间，投标人不得向评委询问评标情况，不得进行旨在影响评标结果的活动。</w:t>
      </w:r>
    </w:p>
    <w:p w14:paraId="188EE6F2">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2.4为保证定标的公正性，在评标过程中，评委不得与投标人私下交换意见。在招标工作结束后，凡与评标情况有接触的任何人，不得也不应将评标情况扩散出评委人员之外。</w:t>
      </w:r>
    </w:p>
    <w:p w14:paraId="06D7772B">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2</w:t>
      </w:r>
      <w:r>
        <w:rPr>
          <w:rFonts w:asciiTheme="minorEastAsia" w:hAnsiTheme="minorEastAsia" w:eastAsiaTheme="minorEastAsia"/>
          <w:bCs/>
          <w:sz w:val="24"/>
        </w:rPr>
        <w:t xml:space="preserve">.5 </w:t>
      </w:r>
      <w:r>
        <w:rPr>
          <w:rFonts w:hint="eastAsia" w:asciiTheme="minorEastAsia" w:hAnsiTheme="minorEastAsia" w:eastAsiaTheme="minorEastAsia"/>
          <w:bCs/>
          <w:sz w:val="24"/>
        </w:rPr>
        <w:t>评委会不向落标方解释落标原因，不退还投标文件。</w:t>
      </w:r>
    </w:p>
    <w:p w14:paraId="15636B5A">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3、评标步骤及评标方法</w:t>
      </w:r>
    </w:p>
    <w:p w14:paraId="5FFFDB10">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3</w:t>
      </w:r>
      <w:r>
        <w:rPr>
          <w:rFonts w:asciiTheme="minorEastAsia" w:hAnsiTheme="minorEastAsia" w:eastAsiaTheme="minorEastAsia"/>
          <w:bCs/>
          <w:sz w:val="24"/>
        </w:rPr>
        <w:t>.</w:t>
      </w:r>
      <w:r>
        <w:rPr>
          <w:rFonts w:hint="eastAsia" w:asciiTheme="minorEastAsia" w:hAnsiTheme="minorEastAsia" w:eastAsiaTheme="minorEastAsia"/>
          <w:bCs/>
          <w:sz w:val="24"/>
        </w:rPr>
        <w:t>1评标步骤：先进行投标人初步评审，再进行技术、商务及价格的详细评审。只有通过初步评审的投标人才能进入详细的评审。</w:t>
      </w:r>
    </w:p>
    <w:p w14:paraId="242A72A9">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3</w:t>
      </w:r>
      <w:r>
        <w:rPr>
          <w:rFonts w:asciiTheme="minorEastAsia" w:hAnsiTheme="minorEastAsia" w:eastAsiaTheme="minorEastAsia"/>
          <w:bCs/>
          <w:sz w:val="24"/>
        </w:rPr>
        <w:t>.</w:t>
      </w:r>
      <w:r>
        <w:rPr>
          <w:rFonts w:hint="eastAsia" w:asciiTheme="minorEastAsia" w:hAnsiTheme="minorEastAsia" w:eastAsiaTheme="minorEastAsia"/>
          <w:bCs/>
          <w:sz w:val="24"/>
        </w:rPr>
        <w:t>2本项目评标采用综合评分法。</w:t>
      </w:r>
    </w:p>
    <w:p w14:paraId="52D6F1F2">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综合得分按由高到低顺序排列。综合得分相同时，按投标报价由低到高顺序排列。综合得分和投标报价均相同的，按技术指标由优至劣顺序排列。综合得分最高的投标人为第一中标候选投标人，综合得分次高的投标人为第二中标候选投标人。本项目仅推荐3名中标候选投标人。</w:t>
      </w:r>
    </w:p>
    <w:p w14:paraId="5D36ADF8">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4、初步评审</w:t>
      </w:r>
    </w:p>
    <w:p w14:paraId="595E1154">
      <w:pPr>
        <w:spacing w:line="560" w:lineRule="atLeast"/>
        <w:ind w:left="1" w:firstLine="480" w:firstLineChars="200"/>
        <w:jc w:val="left"/>
        <w:rPr>
          <w:rFonts w:hint="eastAsia" w:asciiTheme="minorEastAsia" w:hAnsiTheme="minorEastAsia" w:eastAsiaTheme="minorEastAsia"/>
          <w:bCs/>
          <w:sz w:val="24"/>
        </w:rPr>
      </w:pPr>
      <w:r>
        <w:rPr>
          <w:rFonts w:hint="eastAsia" w:asciiTheme="minorEastAsia" w:hAnsiTheme="minorEastAsia" w:eastAsiaTheme="minorEastAsia"/>
          <w:bCs/>
          <w:sz w:val="24"/>
        </w:rPr>
        <w:t>4</w:t>
      </w:r>
      <w:r>
        <w:rPr>
          <w:rFonts w:asciiTheme="minorEastAsia" w:hAnsiTheme="minorEastAsia" w:eastAsiaTheme="minorEastAsia"/>
          <w:bCs/>
          <w:sz w:val="24"/>
        </w:rPr>
        <w:t>.</w:t>
      </w:r>
      <w:r>
        <w:rPr>
          <w:rFonts w:hint="eastAsia" w:asciiTheme="minorEastAsia" w:hAnsiTheme="minorEastAsia" w:eastAsiaTheme="minorEastAsia"/>
          <w:bCs/>
          <w:sz w:val="24"/>
        </w:rPr>
        <w:t>1采购人和代理机构根据资格性审查表对投标人的资格进行审查。</w:t>
      </w:r>
    </w:p>
    <w:p w14:paraId="18B61C70">
      <w:pPr>
        <w:spacing w:line="560" w:lineRule="atLeast"/>
        <w:ind w:left="1" w:firstLine="480" w:firstLineChars="200"/>
        <w:jc w:val="left"/>
        <w:rPr>
          <w:rFonts w:hint="eastAsia" w:asciiTheme="minorEastAsia" w:hAnsiTheme="minorEastAsia" w:eastAsiaTheme="minorEastAsia"/>
          <w:bCs/>
          <w:sz w:val="24"/>
        </w:rPr>
      </w:pPr>
      <w:r>
        <w:rPr>
          <w:rFonts w:hint="eastAsia" w:asciiTheme="minorEastAsia" w:hAnsiTheme="minorEastAsia" w:eastAsiaTheme="minorEastAsia"/>
          <w:bCs/>
          <w:sz w:val="24"/>
        </w:rPr>
        <w:t>4.2评标委员会根据符合性审查表对公开比选投标文件符合性进行评审，以确定其是否满足招标文件中的实质性要求。</w:t>
      </w:r>
    </w:p>
    <w:p w14:paraId="61F56CFF">
      <w:pPr>
        <w:spacing w:line="560" w:lineRule="atLeast"/>
        <w:ind w:firstLine="480" w:firstLineChars="200"/>
        <w:jc w:val="left"/>
        <w:rPr>
          <w:rFonts w:hint="eastAsia" w:asciiTheme="minorEastAsia" w:hAnsiTheme="minorEastAsia" w:eastAsiaTheme="minorEastAsia"/>
          <w:bCs/>
          <w:sz w:val="24"/>
        </w:rPr>
      </w:pPr>
      <w:r>
        <w:rPr>
          <w:rFonts w:hint="eastAsia" w:asciiTheme="minorEastAsia" w:hAnsiTheme="minorEastAsia" w:eastAsiaTheme="minorEastAsia"/>
          <w:bCs/>
          <w:sz w:val="24"/>
        </w:rPr>
        <w:t>4</w:t>
      </w:r>
      <w:r>
        <w:rPr>
          <w:rFonts w:asciiTheme="minorEastAsia" w:hAnsiTheme="minorEastAsia" w:eastAsiaTheme="minorEastAsia"/>
          <w:bCs/>
          <w:sz w:val="24"/>
        </w:rPr>
        <w:t>.</w:t>
      </w:r>
      <w:r>
        <w:rPr>
          <w:rFonts w:hint="eastAsia" w:asciiTheme="minorEastAsia" w:hAnsiTheme="minorEastAsia" w:eastAsiaTheme="minorEastAsia"/>
          <w:bCs/>
          <w:sz w:val="24"/>
        </w:rPr>
        <w:t>3无效投标的认定</w:t>
      </w:r>
    </w:p>
    <w:p w14:paraId="1659BE12">
      <w:pPr>
        <w:spacing w:line="560" w:lineRule="atLeast"/>
        <w:ind w:left="1" w:firstLine="480" w:firstLineChars="200"/>
        <w:jc w:val="left"/>
        <w:rPr>
          <w:rFonts w:hint="eastAsia" w:asciiTheme="minorEastAsia" w:hAnsiTheme="minorEastAsia" w:eastAsiaTheme="minorEastAsia"/>
          <w:bCs/>
          <w:sz w:val="24"/>
        </w:rPr>
      </w:pPr>
      <w:r>
        <w:rPr>
          <w:rFonts w:hint="eastAsia" w:asciiTheme="minorEastAsia" w:hAnsiTheme="minorEastAsia" w:eastAsiaTheme="minorEastAsia"/>
          <w:bCs/>
          <w:sz w:val="24"/>
        </w:rPr>
        <w:t>投标文件出现但不限于下列情况的将被认定为无效投标：</w:t>
      </w:r>
    </w:p>
    <w:p w14:paraId="7C59C39E">
      <w:pPr>
        <w:spacing w:line="560" w:lineRule="atLeast"/>
        <w:ind w:firstLine="477" w:firstLineChars="199"/>
        <w:jc w:val="left"/>
        <w:rPr>
          <w:rFonts w:hint="eastAsia" w:asciiTheme="minorEastAsia" w:hAnsiTheme="minorEastAsia" w:eastAsiaTheme="minorEastAsia"/>
          <w:bCs/>
          <w:sz w:val="24"/>
        </w:rPr>
      </w:pPr>
      <w:r>
        <w:rPr>
          <w:rFonts w:hint="eastAsia" w:asciiTheme="minorEastAsia" w:hAnsiTheme="minorEastAsia" w:eastAsiaTheme="minorEastAsia"/>
          <w:bCs/>
          <w:sz w:val="24"/>
        </w:rPr>
        <w:t>1）未按照公开比选采购文件要求的规定提交投标保证金的；</w:t>
      </w:r>
    </w:p>
    <w:p w14:paraId="0B6A5453">
      <w:pPr>
        <w:spacing w:line="560" w:lineRule="atLeast"/>
        <w:ind w:firstLine="477" w:firstLineChars="199"/>
        <w:jc w:val="left"/>
        <w:rPr>
          <w:rFonts w:hint="eastAsia" w:asciiTheme="minorEastAsia" w:hAnsiTheme="minorEastAsia" w:eastAsiaTheme="minorEastAsia"/>
          <w:bCs/>
          <w:sz w:val="24"/>
        </w:rPr>
      </w:pPr>
      <w:r>
        <w:rPr>
          <w:rFonts w:hint="eastAsia" w:asciiTheme="minorEastAsia" w:hAnsiTheme="minorEastAsia" w:eastAsiaTheme="minorEastAsia"/>
          <w:bCs/>
          <w:sz w:val="24"/>
        </w:rPr>
        <w:t>2）投标文件未按招标文件要求签署、盖章的；</w:t>
      </w:r>
    </w:p>
    <w:p w14:paraId="3017FCFA">
      <w:pPr>
        <w:spacing w:line="560" w:lineRule="atLeast"/>
        <w:ind w:firstLine="477" w:firstLineChars="199"/>
        <w:jc w:val="left"/>
        <w:rPr>
          <w:rFonts w:hint="eastAsia" w:asciiTheme="minorEastAsia" w:hAnsiTheme="minorEastAsia" w:eastAsiaTheme="minorEastAsia"/>
          <w:bCs/>
          <w:sz w:val="24"/>
        </w:rPr>
      </w:pPr>
      <w:r>
        <w:rPr>
          <w:rFonts w:hint="eastAsia" w:asciiTheme="minorEastAsia" w:hAnsiTheme="minorEastAsia" w:eastAsiaTheme="minorEastAsia"/>
          <w:bCs/>
          <w:sz w:val="24"/>
        </w:rPr>
        <w:t>3）不具备公开比选采购文件中规定的资格要求的；</w:t>
      </w:r>
    </w:p>
    <w:p w14:paraId="70492837">
      <w:pPr>
        <w:spacing w:line="560" w:lineRule="atLeast"/>
        <w:ind w:firstLine="477" w:firstLineChars="199"/>
        <w:jc w:val="left"/>
        <w:rPr>
          <w:rFonts w:hint="eastAsia" w:asciiTheme="minorEastAsia" w:hAnsiTheme="minorEastAsia" w:eastAsiaTheme="minorEastAsia"/>
          <w:bCs/>
          <w:sz w:val="24"/>
        </w:rPr>
      </w:pPr>
      <w:r>
        <w:rPr>
          <w:rFonts w:hint="eastAsia" w:asciiTheme="minorEastAsia" w:hAnsiTheme="minorEastAsia" w:eastAsiaTheme="minorEastAsia"/>
          <w:bCs/>
          <w:sz w:val="24"/>
        </w:rPr>
        <w:t>4）报价超过公开比选采购文件中规定的预算金额或者最高限价的；</w:t>
      </w:r>
    </w:p>
    <w:p w14:paraId="19BBBF80">
      <w:pPr>
        <w:spacing w:line="560" w:lineRule="atLeast"/>
        <w:ind w:firstLine="477" w:firstLineChars="199"/>
        <w:jc w:val="left"/>
        <w:rPr>
          <w:rFonts w:hint="eastAsia" w:asciiTheme="minorEastAsia" w:hAnsiTheme="minorEastAsia" w:eastAsiaTheme="minorEastAsia"/>
          <w:bCs/>
          <w:sz w:val="24"/>
        </w:rPr>
      </w:pPr>
      <w:r>
        <w:rPr>
          <w:rFonts w:hint="eastAsia" w:asciiTheme="minorEastAsia" w:hAnsiTheme="minorEastAsia" w:eastAsiaTheme="minorEastAsia"/>
          <w:bCs/>
          <w:sz w:val="24"/>
        </w:rPr>
        <w:t>5）公开比选投标文件含有采购人不能接受的附加条件的;</w:t>
      </w:r>
    </w:p>
    <w:p w14:paraId="59248E3E">
      <w:pPr>
        <w:spacing w:line="560" w:lineRule="atLeast"/>
        <w:ind w:firstLine="477" w:firstLineChars="199"/>
        <w:jc w:val="left"/>
        <w:rPr>
          <w:rFonts w:hint="eastAsia" w:asciiTheme="minorEastAsia" w:hAnsiTheme="minorEastAsia" w:eastAsiaTheme="minorEastAsia"/>
          <w:bCs/>
          <w:sz w:val="24"/>
        </w:rPr>
      </w:pPr>
      <w:r>
        <w:rPr>
          <w:rFonts w:hint="eastAsia" w:asciiTheme="minorEastAsia" w:hAnsiTheme="minorEastAsia" w:eastAsiaTheme="minorEastAsia"/>
          <w:bCs/>
          <w:sz w:val="24"/>
        </w:rPr>
        <w:t>6）法律、法规和招标文件规定的其他无效情形。</w:t>
      </w:r>
    </w:p>
    <w:p w14:paraId="119DFEF5">
      <w:pPr>
        <w:spacing w:line="560" w:lineRule="atLeast"/>
        <w:ind w:firstLine="477" w:firstLineChars="199"/>
        <w:jc w:val="left"/>
        <w:rPr>
          <w:rFonts w:hint="eastAsia" w:asciiTheme="minorEastAsia" w:hAnsiTheme="minorEastAsia" w:eastAsiaTheme="minorEastAsia"/>
          <w:bCs/>
          <w:sz w:val="24"/>
        </w:rPr>
      </w:pPr>
      <w:r>
        <w:rPr>
          <w:rFonts w:hint="eastAsia" w:asciiTheme="minorEastAsia" w:hAnsiTheme="minorEastAsia" w:eastAsiaTheme="minorEastAsia"/>
          <w:bCs/>
          <w:sz w:val="24"/>
        </w:rPr>
        <w:t>7）投标报价明显低于其他投标报价而投标人不能合理说明的。</w:t>
      </w:r>
    </w:p>
    <w:p w14:paraId="28403778">
      <w:pPr>
        <w:spacing w:line="560" w:lineRule="atLeast"/>
        <w:ind w:firstLine="477" w:firstLineChars="199"/>
        <w:jc w:val="left"/>
        <w:rPr>
          <w:rFonts w:hint="eastAsia" w:asciiTheme="minorEastAsia" w:hAnsiTheme="minorEastAsia" w:eastAsiaTheme="minorEastAsia"/>
          <w:bCs/>
          <w:sz w:val="24"/>
        </w:rPr>
      </w:pPr>
      <w:r>
        <w:rPr>
          <w:rFonts w:hint="eastAsia" w:asciiTheme="minorEastAsia" w:hAnsiTheme="minorEastAsia" w:eastAsiaTheme="minorEastAsia"/>
          <w:bCs/>
          <w:sz w:val="24"/>
        </w:rPr>
        <w:t>8）不同投标人的公开比选投标文件由同一单位或者个人编制；</w:t>
      </w:r>
    </w:p>
    <w:p w14:paraId="1483A829">
      <w:pPr>
        <w:spacing w:line="560" w:lineRule="atLeast"/>
        <w:ind w:firstLine="477" w:firstLineChars="199"/>
        <w:jc w:val="left"/>
        <w:rPr>
          <w:rFonts w:hint="eastAsia" w:asciiTheme="minorEastAsia" w:hAnsiTheme="minorEastAsia" w:eastAsiaTheme="minorEastAsia"/>
          <w:bCs/>
          <w:sz w:val="24"/>
        </w:rPr>
      </w:pPr>
      <w:r>
        <w:rPr>
          <w:rFonts w:hint="eastAsia" w:asciiTheme="minorEastAsia" w:hAnsiTheme="minorEastAsia" w:eastAsiaTheme="minorEastAsia"/>
          <w:bCs/>
          <w:sz w:val="24"/>
        </w:rPr>
        <w:t>9）不同投标人委托同一单位或者个人办理投标事宜；</w:t>
      </w:r>
    </w:p>
    <w:p w14:paraId="0F0A161E">
      <w:pPr>
        <w:spacing w:line="560" w:lineRule="atLeast"/>
        <w:ind w:firstLine="477" w:firstLineChars="199"/>
        <w:jc w:val="left"/>
        <w:rPr>
          <w:rFonts w:hint="eastAsia" w:asciiTheme="minorEastAsia" w:hAnsiTheme="minorEastAsia" w:eastAsiaTheme="minorEastAsia"/>
          <w:bCs/>
          <w:sz w:val="24"/>
        </w:rPr>
      </w:pPr>
      <w:r>
        <w:rPr>
          <w:rFonts w:hint="eastAsia" w:asciiTheme="minorEastAsia" w:hAnsiTheme="minorEastAsia" w:eastAsiaTheme="minorEastAsia"/>
          <w:bCs/>
          <w:sz w:val="24"/>
        </w:rPr>
        <w:t>10）不同投标人的公开比选投标文件载明的项目管理成员或者联系人员为同一人；</w:t>
      </w:r>
    </w:p>
    <w:p w14:paraId="0761FB33">
      <w:pPr>
        <w:spacing w:line="560" w:lineRule="atLeast"/>
        <w:ind w:firstLine="477" w:firstLineChars="199"/>
        <w:jc w:val="left"/>
        <w:rPr>
          <w:rFonts w:hint="eastAsia" w:asciiTheme="minorEastAsia" w:hAnsiTheme="minorEastAsia" w:eastAsiaTheme="minorEastAsia"/>
          <w:bCs/>
          <w:sz w:val="24"/>
        </w:rPr>
      </w:pPr>
      <w:r>
        <w:rPr>
          <w:rFonts w:hint="eastAsia" w:asciiTheme="minorEastAsia" w:hAnsiTheme="minorEastAsia" w:eastAsiaTheme="minorEastAsia"/>
          <w:bCs/>
          <w:sz w:val="24"/>
        </w:rPr>
        <w:t>11）不同投标人的公开比选投标文件异常一致或者投标报价呈规律性差异；</w:t>
      </w:r>
    </w:p>
    <w:p w14:paraId="5B5B4E0D">
      <w:pPr>
        <w:spacing w:line="560" w:lineRule="atLeast"/>
        <w:ind w:firstLine="477" w:firstLineChars="199"/>
        <w:jc w:val="left"/>
        <w:rPr>
          <w:rFonts w:hint="eastAsia" w:asciiTheme="minorEastAsia" w:hAnsiTheme="minorEastAsia" w:eastAsiaTheme="minorEastAsia"/>
          <w:bCs/>
          <w:sz w:val="24"/>
        </w:rPr>
      </w:pPr>
      <w:r>
        <w:rPr>
          <w:rFonts w:hint="eastAsia" w:asciiTheme="minorEastAsia" w:hAnsiTheme="minorEastAsia" w:eastAsiaTheme="minorEastAsia"/>
          <w:bCs/>
          <w:sz w:val="24"/>
        </w:rPr>
        <w:t>12）不同投标人的公开比选投标文件相互混装；</w:t>
      </w:r>
    </w:p>
    <w:p w14:paraId="3F66B624">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13）如投标人提交的公开比选投标文件为虚假材料的，按无效标处理</w:t>
      </w:r>
    </w:p>
    <w:p w14:paraId="705084E0">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5、详细评审</w:t>
      </w:r>
    </w:p>
    <w:p w14:paraId="27AA4495">
      <w:pPr>
        <w:spacing w:line="560" w:lineRule="atLeast"/>
        <w:ind w:left="1"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5</w:t>
      </w:r>
      <w:r>
        <w:rPr>
          <w:rFonts w:asciiTheme="minorEastAsia" w:hAnsiTheme="minorEastAsia" w:eastAsiaTheme="minorEastAsia"/>
          <w:bCs/>
          <w:sz w:val="24"/>
        </w:rPr>
        <w:t>.</w:t>
      </w:r>
      <w:r>
        <w:rPr>
          <w:rFonts w:hint="eastAsia" w:asciiTheme="minorEastAsia" w:hAnsiTheme="minorEastAsia" w:eastAsiaTheme="minorEastAsia"/>
          <w:bCs/>
          <w:sz w:val="24"/>
        </w:rPr>
        <w:t>1详细评审是对通过初步评审的投标进行技术、商务（授权）、售后服务及信誉、价格的评审。</w:t>
      </w:r>
    </w:p>
    <w:p w14:paraId="768D1D63">
      <w:pPr>
        <w:spacing w:line="560" w:lineRule="atLeast"/>
        <w:ind w:firstLine="477" w:firstLineChars="199"/>
        <w:jc w:val="left"/>
        <w:rPr>
          <w:rFonts w:hint="eastAsia" w:asciiTheme="minorEastAsia" w:hAnsiTheme="minorEastAsia" w:eastAsiaTheme="minorEastAsia"/>
          <w:bCs/>
          <w:sz w:val="24"/>
        </w:rPr>
      </w:pPr>
      <w:r>
        <w:rPr>
          <w:rFonts w:hint="eastAsia" w:asciiTheme="minorEastAsia" w:hAnsiTheme="minorEastAsia" w:eastAsiaTheme="minorEastAsia"/>
          <w:bCs/>
          <w:sz w:val="24"/>
        </w:rPr>
        <w:t>5</w:t>
      </w:r>
      <w:r>
        <w:rPr>
          <w:rFonts w:asciiTheme="minorEastAsia" w:hAnsiTheme="minorEastAsia" w:eastAsiaTheme="minorEastAsia"/>
          <w:bCs/>
          <w:sz w:val="24"/>
        </w:rPr>
        <w:t>.</w:t>
      </w:r>
      <w:r>
        <w:rPr>
          <w:rFonts w:hint="eastAsia" w:asciiTheme="minorEastAsia" w:hAnsiTheme="minorEastAsia" w:eastAsiaTheme="minorEastAsia"/>
          <w:bCs/>
          <w:sz w:val="24"/>
        </w:rPr>
        <w:t>2价格评分标准：价格分采用低价优先法计算，即满足招标文件要求且投标价格最低的投标报价为评标基准价，其价格分为满分。其他投标人的价格分统一按：投标报价得分＝（评标基准价/投标报价）×价格权值。小数点后保留两位。</w:t>
      </w:r>
    </w:p>
    <w:p w14:paraId="1EAD2EFF">
      <w:pPr>
        <w:spacing w:line="560" w:lineRule="atLeast"/>
        <w:rPr>
          <w:rFonts w:hint="eastAsia" w:asciiTheme="minorEastAsia" w:hAnsiTheme="minorEastAsia" w:eastAsiaTheme="minorEastAsia"/>
          <w:bCs/>
          <w:sz w:val="24"/>
        </w:rPr>
      </w:pPr>
      <w:r>
        <w:rPr>
          <w:rFonts w:hint="eastAsia" w:asciiTheme="minorEastAsia" w:hAnsiTheme="minorEastAsia" w:eastAsiaTheme="minorEastAsia"/>
          <w:bCs/>
          <w:sz w:val="24"/>
        </w:rPr>
        <w:t>5</w:t>
      </w:r>
      <w:r>
        <w:rPr>
          <w:rFonts w:asciiTheme="minorEastAsia" w:hAnsiTheme="minorEastAsia" w:eastAsiaTheme="minorEastAsia"/>
          <w:bCs/>
          <w:sz w:val="24"/>
        </w:rPr>
        <w:t>.</w:t>
      </w:r>
      <w:r>
        <w:rPr>
          <w:rFonts w:hint="eastAsia" w:asciiTheme="minorEastAsia" w:hAnsiTheme="minorEastAsia" w:eastAsiaTheme="minorEastAsia"/>
          <w:bCs/>
          <w:sz w:val="24"/>
        </w:rPr>
        <w:t>3根据评审方法计算进入详细评审的各投标人的综合得分，计算得分保留小数点后两位（两位后四舍五入）并按得分从高到低排名。综合得分相同的，按投标报价由低到高顺序排列。综合得分且投标报价相同的，按技术指标优劣顺序排列。</w:t>
      </w:r>
    </w:p>
    <w:p w14:paraId="4A03D717">
      <w:pPr>
        <w:spacing w:line="560" w:lineRule="atLeast"/>
        <w:ind w:firstLine="470" w:firstLineChars="196"/>
        <w:rPr>
          <w:rFonts w:asciiTheme="minorEastAsia" w:hAnsiTheme="minorEastAsia" w:eastAsiaTheme="minorEastAsia"/>
          <w:bCs/>
          <w:sz w:val="24"/>
        </w:rPr>
      </w:pPr>
      <w:r>
        <w:rPr>
          <w:rFonts w:hint="eastAsia" w:asciiTheme="minorEastAsia" w:hAnsiTheme="minorEastAsia" w:eastAsiaTheme="minorEastAsia"/>
          <w:bCs/>
          <w:sz w:val="24"/>
        </w:rPr>
        <w:t>5</w:t>
      </w:r>
      <w:r>
        <w:rPr>
          <w:rFonts w:asciiTheme="minorEastAsia" w:hAnsiTheme="minorEastAsia" w:eastAsiaTheme="minorEastAsia"/>
          <w:bCs/>
          <w:sz w:val="24"/>
        </w:rPr>
        <w:t>.</w:t>
      </w:r>
      <w:r>
        <w:rPr>
          <w:rFonts w:hint="eastAsia" w:asciiTheme="minorEastAsia" w:hAnsiTheme="minorEastAsia" w:eastAsiaTheme="minorEastAsia"/>
          <w:bCs/>
          <w:sz w:val="24"/>
        </w:rPr>
        <w:t>4《政府采购货物和服务招标投标管理办法》（财政部令第87号，以下简称“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42D498">
      <w:pPr>
        <w:spacing w:line="560" w:lineRule="atLeast"/>
        <w:ind w:firstLine="470" w:firstLineChars="196"/>
        <w:rPr>
          <w:rFonts w:asciiTheme="minorEastAsia" w:hAnsiTheme="minorEastAsia" w:eastAsiaTheme="minorEastAsia"/>
          <w:bCs/>
          <w:kern w:val="0"/>
          <w:sz w:val="24"/>
        </w:rPr>
      </w:pPr>
      <w:r>
        <w:rPr>
          <w:rFonts w:hint="eastAsia" w:asciiTheme="minorEastAsia" w:hAnsiTheme="minorEastAsia" w:eastAsiaTheme="minorEastAsia"/>
          <w:bCs/>
          <w:sz w:val="24"/>
        </w:rPr>
        <w:t>5</w:t>
      </w:r>
      <w:r>
        <w:rPr>
          <w:rFonts w:asciiTheme="minorEastAsia" w:hAnsiTheme="minorEastAsia" w:eastAsiaTheme="minorEastAsia"/>
          <w:bCs/>
          <w:sz w:val="24"/>
        </w:rPr>
        <w:t>.</w:t>
      </w:r>
      <w:r>
        <w:rPr>
          <w:rFonts w:hint="eastAsia" w:asciiTheme="minorEastAsia" w:hAnsiTheme="minorEastAsia" w:eastAsiaTheme="minorEastAsia"/>
          <w:bCs/>
          <w:sz w:val="24"/>
        </w:rPr>
        <w:t>5</w:t>
      </w:r>
      <w:r>
        <w:rPr>
          <w:rFonts w:hint="eastAsia" w:asciiTheme="minorEastAsia" w:hAnsiTheme="minorEastAsia" w:eastAsiaTheme="minorEastAsia"/>
          <w:bCs/>
          <w:kern w:val="0"/>
          <w:sz w:val="24"/>
        </w:rPr>
        <w:t>投标人应在投标（响应）文件中如实描述技术商务情况，真实填写响应（偏离）情况。除采购文件有特殊规定外，对主要技术商务或响应（偏离）情况不如实描述的，可按无效投标（响应）处理，涉及提供虚假材料谋取中标成交的，按相关法律规定处理。资格性审查、符合性审查不通过或投标无效的，采购人、采购代理机构或评审专家应在评审报告中注明不通过或投标无效的具体原因。除价格评审外，其他评审扣分的，评审专家应在评审报告中注明扣分分值、扣分理由和依据。除客观评审项外，针对同一投标人的同一评审项，评审专家的评分分值偏离幅度不得超过该评审项平均分值的30%，否则，该项评审意见无效。</w:t>
      </w:r>
    </w:p>
    <w:p w14:paraId="04CA6BAD">
      <w:pPr>
        <w:spacing w:line="560" w:lineRule="atLeast"/>
        <w:jc w:val="center"/>
        <w:rPr>
          <w:rFonts w:cs="宋体" w:asciiTheme="minorEastAsia" w:hAnsiTheme="minorEastAsia" w:eastAsiaTheme="minorEastAsia"/>
          <w:bCs/>
        </w:rPr>
      </w:pPr>
    </w:p>
    <w:p w14:paraId="1B3B9467">
      <w:pPr>
        <w:spacing w:line="560" w:lineRule="atLeast"/>
        <w:jc w:val="center"/>
        <w:rPr>
          <w:rFonts w:cs="宋体" w:asciiTheme="minorEastAsia" w:hAnsiTheme="minorEastAsia" w:eastAsiaTheme="minorEastAsia"/>
          <w:bCs/>
        </w:rPr>
      </w:pPr>
    </w:p>
    <w:p w14:paraId="242B58BE">
      <w:pPr>
        <w:spacing w:line="560" w:lineRule="atLeas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资格性审查标准</w:t>
      </w:r>
    </w:p>
    <w:p w14:paraId="506F6F5D">
      <w:pPr>
        <w:spacing w:line="560" w:lineRule="atLeast"/>
        <w:rPr>
          <w:rFonts w:cs="宋体" w:asciiTheme="minorEastAsia" w:hAnsiTheme="minorEastAsia" w:eastAsiaTheme="minorEastAsia"/>
          <w:bCs/>
        </w:rPr>
      </w:pPr>
    </w:p>
    <w:p w14:paraId="434A8F29">
      <w:pPr>
        <w:spacing w:line="560" w:lineRule="atLeast"/>
        <w:rPr>
          <w:rFonts w:cs="宋体" w:asciiTheme="minorEastAsia" w:hAnsiTheme="minorEastAsia" w:eastAsiaTheme="minorEastAsia"/>
          <w:bCs/>
        </w:rPr>
      </w:pPr>
      <w:r>
        <w:rPr>
          <w:rFonts w:hint="eastAsia" w:cs="宋体" w:asciiTheme="minorEastAsia" w:hAnsiTheme="minorEastAsia" w:eastAsiaTheme="minorEastAsia"/>
          <w:bCs/>
        </w:rPr>
        <w:t>项目名称：                      </w:t>
      </w:r>
    </w:p>
    <w:p w14:paraId="5DD71404">
      <w:pPr>
        <w:spacing w:line="560" w:lineRule="atLeast"/>
        <w:rPr>
          <w:rFonts w:cs="宋体" w:asciiTheme="minorEastAsia" w:hAnsiTheme="minorEastAsia" w:eastAsiaTheme="minorEastAsia"/>
          <w:bCs/>
        </w:rPr>
      </w:pPr>
      <w:r>
        <w:rPr>
          <w:rFonts w:hint="eastAsia" w:cs="宋体" w:asciiTheme="minorEastAsia" w:hAnsiTheme="minorEastAsia" w:eastAsiaTheme="minorEastAsia"/>
          <w:bCs/>
        </w:rPr>
        <w:t>项目编号：</w:t>
      </w:r>
    </w:p>
    <w:tbl>
      <w:tblPr>
        <w:tblStyle w:val="40"/>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7"/>
        <w:gridCol w:w="7797"/>
      </w:tblGrid>
      <w:tr w14:paraId="5742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5" w:type="dxa"/>
            <w:vAlign w:val="center"/>
          </w:tcPr>
          <w:p w14:paraId="1054CF0F">
            <w:pPr>
              <w:spacing w:line="560" w:lineRule="atLeas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序号</w:t>
            </w:r>
          </w:p>
        </w:tc>
        <w:tc>
          <w:tcPr>
            <w:tcW w:w="1417" w:type="dxa"/>
            <w:vAlign w:val="center"/>
          </w:tcPr>
          <w:p w14:paraId="3D4CFFB3">
            <w:pPr>
              <w:spacing w:line="560" w:lineRule="atLeas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审查项目</w:t>
            </w:r>
          </w:p>
        </w:tc>
        <w:tc>
          <w:tcPr>
            <w:tcW w:w="7797" w:type="dxa"/>
            <w:vAlign w:val="center"/>
          </w:tcPr>
          <w:p w14:paraId="51F8C53D">
            <w:pPr>
              <w:spacing w:line="560" w:lineRule="atLeas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评议内容</w:t>
            </w:r>
          </w:p>
        </w:tc>
      </w:tr>
      <w:tr w14:paraId="5C8D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7" w:hRule="atLeast"/>
          <w:jc w:val="center"/>
        </w:trPr>
        <w:tc>
          <w:tcPr>
            <w:tcW w:w="675" w:type="dxa"/>
            <w:vMerge w:val="restart"/>
            <w:vAlign w:val="center"/>
          </w:tcPr>
          <w:p w14:paraId="110C6556">
            <w:pPr>
              <w:spacing w:line="560" w:lineRule="atLeas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1</w:t>
            </w:r>
          </w:p>
        </w:tc>
        <w:tc>
          <w:tcPr>
            <w:tcW w:w="1417" w:type="dxa"/>
            <w:vMerge w:val="restart"/>
            <w:vAlign w:val="center"/>
          </w:tcPr>
          <w:p w14:paraId="640560D4">
            <w:pPr>
              <w:spacing w:line="560" w:lineRule="atLeast"/>
              <w:jc w:val="center"/>
              <w:rPr>
                <w:rFonts w:asciiTheme="minorEastAsia" w:hAnsiTheme="minorEastAsia" w:eastAsiaTheme="minorEastAsia"/>
                <w:bCs/>
                <w:kern w:val="0"/>
                <w:sz w:val="24"/>
              </w:rPr>
            </w:pPr>
            <w:r>
              <w:rPr>
                <w:rFonts w:hint="eastAsia" w:asciiTheme="minorEastAsia" w:hAnsiTheme="minorEastAsia" w:eastAsiaTheme="minorEastAsia"/>
                <w:bCs/>
                <w:kern w:val="0"/>
                <w:sz w:val="24"/>
              </w:rPr>
              <w:t>相关资格证明文件</w:t>
            </w:r>
          </w:p>
        </w:tc>
        <w:tc>
          <w:tcPr>
            <w:tcW w:w="7797" w:type="dxa"/>
            <w:vAlign w:val="center"/>
          </w:tcPr>
          <w:p w14:paraId="3C5D4479">
            <w:pPr>
              <w:spacing w:line="560" w:lineRule="atLeas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1.中华人民共和国境内注册、具有独立承担民事责任的能力（提供营业执照或事业单位法人证书）。</w:t>
            </w:r>
          </w:p>
        </w:tc>
      </w:tr>
      <w:tr w14:paraId="67BF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5" w:type="dxa"/>
            <w:vMerge w:val="continue"/>
            <w:vAlign w:val="center"/>
          </w:tcPr>
          <w:p w14:paraId="0841649A">
            <w:pPr>
              <w:spacing w:line="560" w:lineRule="atLeast"/>
              <w:ind w:firstLine="470" w:firstLineChars="196"/>
              <w:jc w:val="left"/>
              <w:rPr>
                <w:rFonts w:asciiTheme="minorEastAsia" w:hAnsiTheme="minorEastAsia" w:eastAsiaTheme="minorEastAsia"/>
                <w:bCs/>
                <w:kern w:val="0"/>
                <w:sz w:val="24"/>
              </w:rPr>
            </w:pPr>
          </w:p>
        </w:tc>
        <w:tc>
          <w:tcPr>
            <w:tcW w:w="1417" w:type="dxa"/>
            <w:vMerge w:val="continue"/>
            <w:vAlign w:val="center"/>
          </w:tcPr>
          <w:p w14:paraId="6502D110">
            <w:pPr>
              <w:spacing w:line="560" w:lineRule="atLeast"/>
              <w:ind w:firstLine="470" w:firstLineChars="196"/>
              <w:jc w:val="left"/>
              <w:rPr>
                <w:rFonts w:asciiTheme="minorEastAsia" w:hAnsiTheme="minorEastAsia" w:eastAsiaTheme="minorEastAsia"/>
                <w:bCs/>
                <w:kern w:val="0"/>
                <w:sz w:val="24"/>
              </w:rPr>
            </w:pPr>
          </w:p>
        </w:tc>
        <w:tc>
          <w:tcPr>
            <w:tcW w:w="7797" w:type="dxa"/>
            <w:vAlign w:val="center"/>
          </w:tcPr>
          <w:p w14:paraId="57B41202">
            <w:pPr>
              <w:spacing w:line="560" w:lineRule="atLeas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2.具备《中华人民共和国政府采购法》第二十二条规定条件的承诺书。</w:t>
            </w:r>
          </w:p>
        </w:tc>
      </w:tr>
      <w:tr w14:paraId="2BEA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675" w:type="dxa"/>
            <w:vMerge w:val="continue"/>
            <w:vAlign w:val="center"/>
          </w:tcPr>
          <w:p w14:paraId="3C3B9E9B">
            <w:pPr>
              <w:spacing w:line="560" w:lineRule="atLeast"/>
              <w:ind w:firstLine="470" w:firstLineChars="196"/>
              <w:jc w:val="left"/>
              <w:rPr>
                <w:rFonts w:asciiTheme="minorEastAsia" w:hAnsiTheme="minorEastAsia" w:eastAsiaTheme="minorEastAsia"/>
                <w:bCs/>
                <w:kern w:val="0"/>
                <w:sz w:val="24"/>
              </w:rPr>
            </w:pPr>
          </w:p>
        </w:tc>
        <w:tc>
          <w:tcPr>
            <w:tcW w:w="1417" w:type="dxa"/>
            <w:vMerge w:val="continue"/>
            <w:vAlign w:val="center"/>
          </w:tcPr>
          <w:p w14:paraId="3F237BE3">
            <w:pPr>
              <w:spacing w:line="560" w:lineRule="atLeast"/>
              <w:ind w:firstLine="470" w:firstLineChars="196"/>
              <w:jc w:val="left"/>
              <w:rPr>
                <w:rFonts w:asciiTheme="minorEastAsia" w:hAnsiTheme="minorEastAsia" w:eastAsiaTheme="minorEastAsia"/>
                <w:bCs/>
                <w:kern w:val="0"/>
                <w:sz w:val="24"/>
              </w:rPr>
            </w:pPr>
          </w:p>
        </w:tc>
        <w:tc>
          <w:tcPr>
            <w:tcW w:w="7797" w:type="dxa"/>
            <w:vAlign w:val="center"/>
          </w:tcPr>
          <w:p w14:paraId="63F0514F">
            <w:pPr>
              <w:spacing w:line="560" w:lineRule="atLeas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3.按附件格式提供投标人投标承诺书。</w:t>
            </w:r>
          </w:p>
        </w:tc>
      </w:tr>
      <w:tr w14:paraId="5E40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vAlign w:val="center"/>
          </w:tcPr>
          <w:p w14:paraId="21582365">
            <w:pPr>
              <w:spacing w:line="560" w:lineRule="atLeast"/>
              <w:ind w:firstLine="470" w:firstLineChars="196"/>
              <w:jc w:val="left"/>
              <w:rPr>
                <w:rFonts w:asciiTheme="minorEastAsia" w:hAnsiTheme="minorEastAsia" w:eastAsiaTheme="minorEastAsia"/>
                <w:bCs/>
                <w:kern w:val="0"/>
                <w:sz w:val="24"/>
              </w:rPr>
            </w:pPr>
          </w:p>
        </w:tc>
        <w:tc>
          <w:tcPr>
            <w:tcW w:w="1417" w:type="dxa"/>
            <w:vMerge w:val="continue"/>
            <w:vAlign w:val="center"/>
          </w:tcPr>
          <w:p w14:paraId="38CA7283">
            <w:pPr>
              <w:spacing w:line="560" w:lineRule="atLeast"/>
              <w:ind w:firstLine="470" w:firstLineChars="196"/>
              <w:jc w:val="left"/>
              <w:rPr>
                <w:rFonts w:asciiTheme="minorEastAsia" w:hAnsiTheme="minorEastAsia" w:eastAsiaTheme="minorEastAsia"/>
                <w:bCs/>
                <w:kern w:val="0"/>
                <w:sz w:val="24"/>
              </w:rPr>
            </w:pPr>
          </w:p>
        </w:tc>
        <w:tc>
          <w:tcPr>
            <w:tcW w:w="7797" w:type="dxa"/>
            <w:vAlign w:val="center"/>
          </w:tcPr>
          <w:p w14:paraId="70C64F0F">
            <w:pPr>
              <w:spacing w:line="560" w:lineRule="atLeas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4.信用信息查询</w:t>
            </w:r>
          </w:p>
        </w:tc>
      </w:tr>
      <w:tr w14:paraId="1EE3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5" w:type="dxa"/>
            <w:vMerge w:val="continue"/>
            <w:vAlign w:val="center"/>
          </w:tcPr>
          <w:p w14:paraId="79B947D3">
            <w:pPr>
              <w:spacing w:line="560" w:lineRule="atLeast"/>
              <w:ind w:firstLine="470" w:firstLineChars="196"/>
              <w:jc w:val="left"/>
              <w:rPr>
                <w:rFonts w:asciiTheme="minorEastAsia" w:hAnsiTheme="minorEastAsia" w:eastAsiaTheme="minorEastAsia"/>
                <w:bCs/>
                <w:kern w:val="0"/>
                <w:sz w:val="24"/>
              </w:rPr>
            </w:pPr>
          </w:p>
        </w:tc>
        <w:tc>
          <w:tcPr>
            <w:tcW w:w="1417" w:type="dxa"/>
            <w:vMerge w:val="continue"/>
            <w:vAlign w:val="center"/>
          </w:tcPr>
          <w:p w14:paraId="31B9CD75">
            <w:pPr>
              <w:spacing w:line="560" w:lineRule="atLeast"/>
              <w:ind w:firstLine="470" w:firstLineChars="196"/>
              <w:jc w:val="left"/>
              <w:rPr>
                <w:rFonts w:asciiTheme="minorEastAsia" w:hAnsiTheme="minorEastAsia" w:eastAsiaTheme="minorEastAsia"/>
                <w:bCs/>
                <w:kern w:val="0"/>
                <w:sz w:val="24"/>
              </w:rPr>
            </w:pPr>
          </w:p>
        </w:tc>
        <w:tc>
          <w:tcPr>
            <w:tcW w:w="7797" w:type="dxa"/>
            <w:vAlign w:val="center"/>
          </w:tcPr>
          <w:p w14:paraId="14B3D416">
            <w:pPr>
              <w:spacing w:line="560" w:lineRule="atLeast"/>
              <w:jc w:val="left"/>
              <w:rPr>
                <w:rFonts w:asciiTheme="minorEastAsia" w:hAnsiTheme="minorEastAsia" w:eastAsiaTheme="minorEastAsia"/>
                <w:bCs/>
                <w:kern w:val="0"/>
                <w:sz w:val="24"/>
              </w:rPr>
            </w:pPr>
            <w:r>
              <w:rPr>
                <w:rFonts w:hint="eastAsia" w:asciiTheme="minorEastAsia" w:hAnsiTheme="minorEastAsia" w:eastAsiaTheme="minorEastAsia"/>
                <w:bCs/>
                <w:kern w:val="0"/>
                <w:sz w:val="24"/>
              </w:rPr>
              <w:t>5.无其他不符合招标文件资格要求的条件</w:t>
            </w:r>
          </w:p>
        </w:tc>
      </w:tr>
      <w:tr w14:paraId="1B5B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889" w:type="dxa"/>
            <w:gridSpan w:val="3"/>
            <w:vAlign w:val="center"/>
          </w:tcPr>
          <w:p w14:paraId="69BB6261">
            <w:pPr>
              <w:spacing w:line="560" w:lineRule="atLeast"/>
              <w:rPr>
                <w:rFonts w:cs="宋体" w:asciiTheme="minorEastAsia" w:hAnsiTheme="minorEastAsia" w:eastAsiaTheme="minorEastAsia"/>
                <w:bCs/>
              </w:rPr>
            </w:pPr>
            <w:r>
              <w:rPr>
                <w:rFonts w:hint="eastAsia" w:cs="宋体" w:asciiTheme="minorEastAsia" w:hAnsiTheme="minorEastAsia" w:eastAsiaTheme="minorEastAsia"/>
                <w:bCs/>
              </w:rPr>
              <w:t>结论</w:t>
            </w:r>
          </w:p>
        </w:tc>
      </w:tr>
    </w:tbl>
    <w:p w14:paraId="1A3BE043">
      <w:pPr>
        <w:spacing w:line="560" w:lineRule="atLeast"/>
        <w:rPr>
          <w:rFonts w:cs="宋体" w:asciiTheme="minorEastAsia" w:hAnsiTheme="minorEastAsia" w:eastAsiaTheme="minorEastAsia"/>
          <w:bCs/>
        </w:rPr>
      </w:pPr>
    </w:p>
    <w:p w14:paraId="5E0CB9C6">
      <w:pPr>
        <w:spacing w:line="560" w:lineRule="atLeast"/>
        <w:jc w:val="center"/>
        <w:rPr>
          <w:rFonts w:cs="宋体" w:asciiTheme="minorEastAsia" w:hAnsiTheme="minorEastAsia" w:eastAsiaTheme="minorEastAsia"/>
          <w:bCs/>
          <w:sz w:val="24"/>
        </w:rPr>
      </w:pPr>
    </w:p>
    <w:p w14:paraId="4B26EB20">
      <w:pPr>
        <w:spacing w:line="560" w:lineRule="atLeast"/>
        <w:jc w:val="center"/>
        <w:rPr>
          <w:rFonts w:cs="宋体" w:asciiTheme="minorEastAsia" w:hAnsiTheme="minorEastAsia" w:eastAsiaTheme="minorEastAsia"/>
          <w:bCs/>
          <w:sz w:val="24"/>
        </w:rPr>
      </w:pPr>
    </w:p>
    <w:p w14:paraId="54C33ABF">
      <w:pPr>
        <w:pStyle w:val="48"/>
        <w:spacing w:line="560" w:lineRule="atLeast"/>
        <w:ind w:firstLine="480"/>
        <w:rPr>
          <w:rFonts w:asciiTheme="minorEastAsia" w:hAnsiTheme="minorEastAsia" w:eastAsiaTheme="minorEastAsia"/>
          <w:bCs/>
        </w:rPr>
      </w:pPr>
    </w:p>
    <w:p w14:paraId="50C2BD47">
      <w:pPr>
        <w:spacing w:line="560" w:lineRule="atLeas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符合性审查标准</w:t>
      </w:r>
    </w:p>
    <w:p w14:paraId="5BC05FAB">
      <w:pPr>
        <w:spacing w:line="560" w:lineRule="atLeast"/>
        <w:rPr>
          <w:rFonts w:cs="宋体" w:asciiTheme="minorEastAsia" w:hAnsiTheme="minorEastAsia" w:eastAsiaTheme="minorEastAsia"/>
          <w:bCs/>
        </w:rPr>
      </w:pPr>
    </w:p>
    <w:p w14:paraId="55699FDE">
      <w:pPr>
        <w:spacing w:line="560" w:lineRule="atLeast"/>
        <w:rPr>
          <w:rFonts w:cs="宋体" w:asciiTheme="minorEastAsia" w:hAnsiTheme="minorEastAsia" w:eastAsiaTheme="minorEastAsia"/>
          <w:bCs/>
        </w:rPr>
      </w:pPr>
      <w:r>
        <w:rPr>
          <w:rFonts w:hint="eastAsia" w:cs="宋体" w:asciiTheme="minorEastAsia" w:hAnsiTheme="minorEastAsia" w:eastAsiaTheme="minorEastAsia"/>
          <w:bCs/>
        </w:rPr>
        <w:t>项目名称：                      </w:t>
      </w:r>
    </w:p>
    <w:p w14:paraId="7B9E883B">
      <w:pPr>
        <w:spacing w:line="560" w:lineRule="atLeast"/>
        <w:rPr>
          <w:rFonts w:hint="eastAsia" w:asciiTheme="minorEastAsia" w:hAnsiTheme="minorEastAsia" w:eastAsiaTheme="minorEastAsia"/>
          <w:bCs/>
          <w:sz w:val="27"/>
          <w:szCs w:val="27"/>
          <w:shd w:val="clear" w:color="auto" w:fill="FFFFFF"/>
        </w:rPr>
      </w:pPr>
      <w:r>
        <w:rPr>
          <w:rFonts w:hint="eastAsia" w:cs="宋体" w:asciiTheme="minorEastAsia" w:hAnsiTheme="minorEastAsia" w:eastAsiaTheme="minorEastAsia"/>
          <w:bCs/>
        </w:rPr>
        <w:t>项目编号：</w:t>
      </w:r>
    </w:p>
    <w:tbl>
      <w:tblPr>
        <w:tblStyle w:val="40"/>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91"/>
        <w:gridCol w:w="7514"/>
      </w:tblGrid>
      <w:tr w14:paraId="0510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7" w:type="dxa"/>
            <w:vAlign w:val="center"/>
          </w:tcPr>
          <w:p w14:paraId="042859D0">
            <w:pPr>
              <w:spacing w:line="560" w:lineRule="atLeast"/>
              <w:jc w:val="center"/>
              <w:rPr>
                <w:rFonts w:asciiTheme="minorEastAsia" w:hAnsiTheme="minorEastAsia" w:eastAsiaTheme="minorEastAsia"/>
                <w:bCs/>
              </w:rPr>
            </w:pPr>
            <w:r>
              <w:rPr>
                <w:rFonts w:hint="eastAsia" w:cs="宋体" w:asciiTheme="minorEastAsia" w:hAnsiTheme="minorEastAsia" w:eastAsiaTheme="minorEastAsia"/>
                <w:bCs/>
              </w:rPr>
              <w:t>序号</w:t>
            </w:r>
          </w:p>
        </w:tc>
        <w:tc>
          <w:tcPr>
            <w:tcW w:w="1491" w:type="dxa"/>
            <w:vAlign w:val="center"/>
          </w:tcPr>
          <w:p w14:paraId="0E3C09DC">
            <w:pPr>
              <w:spacing w:line="560" w:lineRule="atLeast"/>
              <w:jc w:val="center"/>
              <w:rPr>
                <w:rFonts w:asciiTheme="minorEastAsia" w:hAnsiTheme="minorEastAsia" w:eastAsiaTheme="minorEastAsia"/>
                <w:bCs/>
              </w:rPr>
            </w:pPr>
            <w:r>
              <w:rPr>
                <w:rFonts w:hint="eastAsia" w:cs="宋体" w:asciiTheme="minorEastAsia" w:hAnsiTheme="minorEastAsia" w:eastAsiaTheme="minorEastAsia"/>
                <w:bCs/>
              </w:rPr>
              <w:t>审查项目</w:t>
            </w:r>
          </w:p>
        </w:tc>
        <w:tc>
          <w:tcPr>
            <w:tcW w:w="7514" w:type="dxa"/>
            <w:vAlign w:val="center"/>
          </w:tcPr>
          <w:p w14:paraId="63A5ACAE">
            <w:pPr>
              <w:spacing w:line="560" w:lineRule="atLeast"/>
              <w:jc w:val="center"/>
              <w:rPr>
                <w:rFonts w:asciiTheme="minorEastAsia" w:hAnsiTheme="minorEastAsia" w:eastAsiaTheme="minorEastAsia"/>
                <w:bCs/>
              </w:rPr>
            </w:pPr>
            <w:r>
              <w:rPr>
                <w:rFonts w:hint="eastAsia" w:cs="宋体" w:asciiTheme="minorEastAsia" w:hAnsiTheme="minorEastAsia" w:eastAsiaTheme="minorEastAsia"/>
                <w:bCs/>
              </w:rPr>
              <w:t>评审内容</w:t>
            </w:r>
          </w:p>
        </w:tc>
      </w:tr>
      <w:tr w14:paraId="7BB1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487B5D5">
            <w:pPr>
              <w:spacing w:line="560" w:lineRule="atLeast"/>
              <w:jc w:val="center"/>
              <w:rPr>
                <w:rFonts w:asciiTheme="minorEastAsia" w:hAnsiTheme="minorEastAsia" w:eastAsiaTheme="minorEastAsia"/>
                <w:bCs/>
              </w:rPr>
            </w:pPr>
            <w:r>
              <w:rPr>
                <w:rFonts w:hint="eastAsia" w:asciiTheme="minorEastAsia" w:hAnsiTheme="minorEastAsia" w:eastAsiaTheme="minorEastAsia"/>
                <w:bCs/>
              </w:rPr>
              <w:t>1</w:t>
            </w:r>
          </w:p>
        </w:tc>
        <w:tc>
          <w:tcPr>
            <w:tcW w:w="1491" w:type="dxa"/>
            <w:vAlign w:val="center"/>
          </w:tcPr>
          <w:p w14:paraId="1DCC894A">
            <w:pPr>
              <w:spacing w:line="560" w:lineRule="atLeast"/>
              <w:jc w:val="center"/>
              <w:rPr>
                <w:rFonts w:asciiTheme="minorEastAsia" w:hAnsiTheme="minorEastAsia" w:eastAsiaTheme="minorEastAsia"/>
                <w:bCs/>
              </w:rPr>
            </w:pPr>
            <w:r>
              <w:rPr>
                <w:rFonts w:hint="eastAsia" w:cs="宋体" w:asciiTheme="minorEastAsia" w:hAnsiTheme="minorEastAsia" w:eastAsiaTheme="minorEastAsia"/>
                <w:bCs/>
              </w:rPr>
              <w:t>投标文件的有效性</w:t>
            </w:r>
          </w:p>
        </w:tc>
        <w:tc>
          <w:tcPr>
            <w:tcW w:w="7514" w:type="dxa"/>
            <w:vAlign w:val="center"/>
          </w:tcPr>
          <w:p w14:paraId="5109256F">
            <w:pPr>
              <w:spacing w:line="560" w:lineRule="atLeast"/>
              <w:rPr>
                <w:rFonts w:asciiTheme="minorEastAsia" w:hAnsiTheme="minorEastAsia" w:eastAsiaTheme="minorEastAsia"/>
                <w:bCs/>
              </w:rPr>
            </w:pPr>
            <w:r>
              <w:rPr>
                <w:rFonts w:hint="eastAsia" w:cs="宋体" w:asciiTheme="minorEastAsia" w:hAnsiTheme="minorEastAsia" w:eastAsiaTheme="minorEastAsia"/>
                <w:bCs/>
              </w:rPr>
              <w:t>是否符合投标文件的式样和签署要求且内容完整无缺漏</w:t>
            </w:r>
          </w:p>
        </w:tc>
      </w:tr>
      <w:tr w14:paraId="7744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4538BF87">
            <w:pPr>
              <w:spacing w:line="560" w:lineRule="atLeast"/>
              <w:jc w:val="center"/>
              <w:rPr>
                <w:rFonts w:asciiTheme="minorEastAsia" w:hAnsiTheme="minorEastAsia" w:eastAsiaTheme="minorEastAsia"/>
                <w:bCs/>
              </w:rPr>
            </w:pPr>
            <w:r>
              <w:rPr>
                <w:rFonts w:hint="eastAsia" w:asciiTheme="minorEastAsia" w:hAnsiTheme="minorEastAsia" w:eastAsiaTheme="minorEastAsia"/>
                <w:bCs/>
              </w:rPr>
              <w:t>2</w:t>
            </w:r>
          </w:p>
        </w:tc>
        <w:tc>
          <w:tcPr>
            <w:tcW w:w="1491" w:type="dxa"/>
            <w:vAlign w:val="center"/>
          </w:tcPr>
          <w:p w14:paraId="5DE206E0">
            <w:pPr>
              <w:spacing w:line="560" w:lineRule="atLeast"/>
              <w:jc w:val="center"/>
              <w:rPr>
                <w:rFonts w:asciiTheme="minorEastAsia" w:hAnsiTheme="minorEastAsia" w:eastAsiaTheme="minorEastAsia"/>
                <w:bCs/>
              </w:rPr>
            </w:pPr>
            <w:r>
              <w:rPr>
                <w:rFonts w:hint="eastAsia" w:cs="宋体" w:asciiTheme="minorEastAsia" w:hAnsiTheme="minorEastAsia" w:eastAsiaTheme="minorEastAsia"/>
                <w:bCs/>
              </w:rPr>
              <w:t>投标有效期</w:t>
            </w:r>
          </w:p>
        </w:tc>
        <w:tc>
          <w:tcPr>
            <w:tcW w:w="7514" w:type="dxa"/>
            <w:vAlign w:val="center"/>
          </w:tcPr>
          <w:p w14:paraId="198A2997">
            <w:pPr>
              <w:spacing w:line="560" w:lineRule="atLeast"/>
              <w:rPr>
                <w:rFonts w:asciiTheme="minorEastAsia" w:hAnsiTheme="minorEastAsia" w:eastAsiaTheme="minorEastAsia"/>
                <w:bCs/>
              </w:rPr>
            </w:pPr>
            <w:r>
              <w:rPr>
                <w:rFonts w:hint="eastAsia" w:cs="宋体" w:asciiTheme="minorEastAsia" w:hAnsiTheme="minorEastAsia" w:eastAsiaTheme="minorEastAsia"/>
                <w:bCs/>
              </w:rPr>
              <w:t>投标有效期是否满足90天</w:t>
            </w:r>
          </w:p>
        </w:tc>
      </w:tr>
      <w:tr w14:paraId="5C49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74994FA">
            <w:pPr>
              <w:spacing w:line="560" w:lineRule="atLeast"/>
              <w:jc w:val="center"/>
              <w:rPr>
                <w:rFonts w:asciiTheme="minorEastAsia" w:hAnsiTheme="minorEastAsia" w:eastAsiaTheme="minorEastAsia"/>
                <w:bCs/>
              </w:rPr>
            </w:pPr>
            <w:r>
              <w:rPr>
                <w:rFonts w:hint="eastAsia" w:asciiTheme="minorEastAsia" w:hAnsiTheme="minorEastAsia" w:eastAsiaTheme="minorEastAsia"/>
                <w:bCs/>
              </w:rPr>
              <w:t>3</w:t>
            </w:r>
          </w:p>
        </w:tc>
        <w:tc>
          <w:tcPr>
            <w:tcW w:w="1491" w:type="dxa"/>
            <w:vAlign w:val="center"/>
          </w:tcPr>
          <w:p w14:paraId="1F0DFC22">
            <w:pPr>
              <w:spacing w:line="560" w:lineRule="atLeast"/>
              <w:jc w:val="center"/>
              <w:rPr>
                <w:rFonts w:asciiTheme="minorEastAsia" w:hAnsiTheme="minorEastAsia" w:eastAsiaTheme="minorEastAsia"/>
                <w:bCs/>
              </w:rPr>
            </w:pPr>
            <w:r>
              <w:rPr>
                <w:rFonts w:hint="eastAsia" w:cs="宋体" w:asciiTheme="minorEastAsia" w:hAnsiTheme="minorEastAsia" w:eastAsiaTheme="minorEastAsia"/>
                <w:bCs/>
              </w:rPr>
              <w:t>投标价</w:t>
            </w:r>
          </w:p>
        </w:tc>
        <w:tc>
          <w:tcPr>
            <w:tcW w:w="7514" w:type="dxa"/>
            <w:vAlign w:val="center"/>
          </w:tcPr>
          <w:p w14:paraId="25AF8791">
            <w:pPr>
              <w:spacing w:line="560" w:lineRule="atLeast"/>
              <w:rPr>
                <w:rFonts w:asciiTheme="minorEastAsia" w:hAnsiTheme="minorEastAsia" w:eastAsiaTheme="minorEastAsia"/>
                <w:bCs/>
              </w:rPr>
            </w:pPr>
            <w:r>
              <w:rPr>
                <w:rFonts w:hint="eastAsia" w:cs="宋体" w:asciiTheme="minorEastAsia" w:hAnsiTheme="minorEastAsia" w:eastAsiaTheme="minorEastAsia"/>
                <w:bCs/>
              </w:rPr>
              <w:t>投标价是否唯一且不超过采购预算</w:t>
            </w:r>
          </w:p>
        </w:tc>
      </w:tr>
      <w:tr w14:paraId="1456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03D2584E">
            <w:pPr>
              <w:spacing w:line="560" w:lineRule="atLeast"/>
              <w:jc w:val="center"/>
              <w:rPr>
                <w:rFonts w:asciiTheme="minorEastAsia" w:hAnsiTheme="minorEastAsia" w:eastAsiaTheme="minorEastAsia"/>
                <w:bCs/>
              </w:rPr>
            </w:pPr>
            <w:r>
              <w:rPr>
                <w:rFonts w:hint="eastAsia" w:asciiTheme="minorEastAsia" w:hAnsiTheme="minorEastAsia" w:eastAsiaTheme="minorEastAsia"/>
                <w:bCs/>
              </w:rPr>
              <w:t>4</w:t>
            </w:r>
          </w:p>
        </w:tc>
        <w:tc>
          <w:tcPr>
            <w:tcW w:w="1491" w:type="dxa"/>
            <w:vAlign w:val="center"/>
          </w:tcPr>
          <w:p w14:paraId="50FA6FA0">
            <w:pPr>
              <w:spacing w:line="560" w:lineRule="atLeast"/>
              <w:jc w:val="center"/>
              <w:rPr>
                <w:rFonts w:asciiTheme="minorEastAsia" w:hAnsiTheme="minorEastAsia" w:eastAsiaTheme="minorEastAsia"/>
                <w:bCs/>
              </w:rPr>
            </w:pPr>
            <w:r>
              <w:rPr>
                <w:rFonts w:hint="eastAsia" w:cs="宋体" w:asciiTheme="minorEastAsia" w:hAnsiTheme="minorEastAsia" w:eastAsiaTheme="minorEastAsia"/>
                <w:bCs/>
              </w:rPr>
              <w:t>服务期</w:t>
            </w:r>
          </w:p>
        </w:tc>
        <w:tc>
          <w:tcPr>
            <w:tcW w:w="7514" w:type="dxa"/>
            <w:vAlign w:val="center"/>
          </w:tcPr>
          <w:p w14:paraId="52F6B150">
            <w:pPr>
              <w:spacing w:line="560" w:lineRule="atLeast"/>
              <w:rPr>
                <w:rFonts w:asciiTheme="minorEastAsia" w:hAnsiTheme="minorEastAsia" w:eastAsiaTheme="minorEastAsia"/>
                <w:bCs/>
              </w:rPr>
            </w:pPr>
            <w:r>
              <w:rPr>
                <w:rFonts w:hint="eastAsia" w:cs="宋体" w:asciiTheme="minorEastAsia" w:hAnsiTheme="minorEastAsia" w:eastAsiaTheme="minorEastAsia"/>
                <w:bCs/>
              </w:rPr>
              <w:t>是否按照招标文件规定时间</w:t>
            </w:r>
          </w:p>
        </w:tc>
      </w:tr>
      <w:tr w14:paraId="7FB3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178B60DD">
            <w:pPr>
              <w:spacing w:line="560" w:lineRule="atLeast"/>
              <w:jc w:val="center"/>
              <w:rPr>
                <w:rFonts w:asciiTheme="minorEastAsia" w:hAnsiTheme="minorEastAsia" w:eastAsiaTheme="minorEastAsia"/>
                <w:bCs/>
              </w:rPr>
            </w:pPr>
            <w:r>
              <w:rPr>
                <w:rFonts w:hint="eastAsia" w:asciiTheme="minorEastAsia" w:hAnsiTheme="minorEastAsia" w:eastAsiaTheme="minorEastAsia"/>
                <w:bCs/>
              </w:rPr>
              <w:t>5</w:t>
            </w:r>
          </w:p>
        </w:tc>
        <w:tc>
          <w:tcPr>
            <w:tcW w:w="1491" w:type="dxa"/>
            <w:vAlign w:val="center"/>
          </w:tcPr>
          <w:p w14:paraId="4ABDDEF4">
            <w:pPr>
              <w:spacing w:line="560" w:lineRule="atLeast"/>
              <w:jc w:val="center"/>
              <w:rPr>
                <w:rFonts w:asciiTheme="minorEastAsia" w:hAnsiTheme="minorEastAsia" w:eastAsiaTheme="minorEastAsia"/>
                <w:bCs/>
              </w:rPr>
            </w:pPr>
            <w:r>
              <w:rPr>
                <w:rFonts w:hint="eastAsia" w:cs="宋体" w:asciiTheme="minorEastAsia" w:hAnsiTheme="minorEastAsia" w:eastAsiaTheme="minorEastAsia"/>
                <w:bCs/>
              </w:rPr>
              <w:t>其它</w:t>
            </w:r>
          </w:p>
        </w:tc>
        <w:tc>
          <w:tcPr>
            <w:tcW w:w="7514" w:type="dxa"/>
            <w:vAlign w:val="center"/>
          </w:tcPr>
          <w:p w14:paraId="4486DE60">
            <w:pPr>
              <w:spacing w:line="560" w:lineRule="atLeast"/>
              <w:rPr>
                <w:rFonts w:asciiTheme="minorEastAsia" w:hAnsiTheme="minorEastAsia" w:eastAsiaTheme="minorEastAsia"/>
                <w:bCs/>
              </w:rPr>
            </w:pPr>
            <w:r>
              <w:rPr>
                <w:rFonts w:hint="eastAsia" w:cs="宋体" w:asciiTheme="minorEastAsia" w:hAnsiTheme="minorEastAsia" w:eastAsiaTheme="minorEastAsia"/>
                <w:bCs/>
              </w:rPr>
              <w:t>无其它符合招标文件中或相关法律法规规定的无效投标认定条件</w:t>
            </w:r>
          </w:p>
        </w:tc>
      </w:tr>
      <w:tr w14:paraId="2C64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852" w:type="dxa"/>
            <w:gridSpan w:val="3"/>
            <w:vAlign w:val="center"/>
          </w:tcPr>
          <w:p w14:paraId="274D7151">
            <w:pPr>
              <w:spacing w:line="560" w:lineRule="atLeast"/>
              <w:jc w:val="center"/>
              <w:rPr>
                <w:rFonts w:asciiTheme="minorEastAsia" w:hAnsiTheme="minorEastAsia" w:eastAsiaTheme="minorEastAsia"/>
                <w:bCs/>
              </w:rPr>
            </w:pPr>
            <w:r>
              <w:rPr>
                <w:rFonts w:hint="eastAsia" w:cs="宋体" w:asciiTheme="minorEastAsia" w:hAnsiTheme="minorEastAsia" w:eastAsiaTheme="minorEastAsia"/>
                <w:bCs/>
              </w:rPr>
              <w:t>结论</w:t>
            </w:r>
          </w:p>
        </w:tc>
      </w:tr>
    </w:tbl>
    <w:p w14:paraId="341ADA1A">
      <w:pPr>
        <w:spacing w:before="156" w:beforeLines="50" w:after="156" w:afterLines="50" w:line="560" w:lineRule="atLeast"/>
        <w:jc w:val="center"/>
        <w:rPr>
          <w:rFonts w:hint="eastAsia" w:cs="宋体" w:asciiTheme="minorEastAsia" w:hAnsiTheme="minorEastAsia" w:eastAsiaTheme="minorEastAsia"/>
          <w:bCs/>
          <w:sz w:val="32"/>
          <w:szCs w:val="32"/>
          <w:lang w:val="en-GB"/>
        </w:rPr>
      </w:pPr>
      <w:r>
        <w:rPr>
          <w:rFonts w:cs="宋体" w:asciiTheme="minorEastAsia" w:hAnsiTheme="minorEastAsia" w:eastAsiaTheme="minorEastAsia"/>
          <w:bCs/>
          <w:sz w:val="32"/>
          <w:szCs w:val="32"/>
          <w:lang w:val="en-GB"/>
        </w:rPr>
        <w:br w:type="page"/>
      </w:r>
      <w:r>
        <w:rPr>
          <w:rFonts w:hint="eastAsia" w:cs="宋体" w:asciiTheme="minorEastAsia" w:hAnsiTheme="minorEastAsia" w:eastAsiaTheme="minorEastAsia"/>
          <w:bCs/>
          <w:sz w:val="32"/>
          <w:szCs w:val="32"/>
          <w:lang w:val="en-GB"/>
        </w:rPr>
        <w:t>评分细则表</w:t>
      </w:r>
    </w:p>
    <w:tbl>
      <w:tblPr>
        <w:tblStyle w:val="40"/>
        <w:tblW w:w="9217"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26"/>
        <w:gridCol w:w="6308"/>
        <w:gridCol w:w="787"/>
      </w:tblGrid>
      <w:tr w14:paraId="743C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96" w:type="dxa"/>
            <w:vAlign w:val="center"/>
          </w:tcPr>
          <w:p w14:paraId="47E68D81">
            <w:pPr>
              <w:adjustRightInd w:val="0"/>
              <w:snapToGrid w:val="0"/>
              <w:spacing w:line="560" w:lineRule="atLeas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序号</w:t>
            </w:r>
          </w:p>
        </w:tc>
        <w:tc>
          <w:tcPr>
            <w:tcW w:w="1326" w:type="dxa"/>
            <w:vAlign w:val="center"/>
          </w:tcPr>
          <w:p w14:paraId="72CF5E8F">
            <w:pPr>
              <w:adjustRightInd w:val="0"/>
              <w:snapToGrid w:val="0"/>
              <w:spacing w:line="560" w:lineRule="atLeas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评审内容</w:t>
            </w:r>
          </w:p>
        </w:tc>
        <w:tc>
          <w:tcPr>
            <w:tcW w:w="6308" w:type="dxa"/>
            <w:vAlign w:val="center"/>
          </w:tcPr>
          <w:p w14:paraId="186B85D8">
            <w:pPr>
              <w:adjustRightInd w:val="0"/>
              <w:snapToGrid w:val="0"/>
              <w:spacing w:line="560" w:lineRule="atLeas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评  审  标  准</w:t>
            </w:r>
          </w:p>
        </w:tc>
        <w:tc>
          <w:tcPr>
            <w:tcW w:w="787" w:type="dxa"/>
            <w:vAlign w:val="center"/>
          </w:tcPr>
          <w:p w14:paraId="6FFA668A">
            <w:pPr>
              <w:adjustRightInd w:val="0"/>
              <w:snapToGrid w:val="0"/>
              <w:spacing w:line="560" w:lineRule="atLeas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得分</w:t>
            </w:r>
          </w:p>
        </w:tc>
      </w:tr>
      <w:tr w14:paraId="1062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vAlign w:val="center"/>
          </w:tcPr>
          <w:p w14:paraId="563AC1C8">
            <w:pPr>
              <w:adjustRightInd w:val="0"/>
              <w:snapToGrid w:val="0"/>
              <w:spacing w:line="560" w:lineRule="atLeas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w:t>
            </w:r>
          </w:p>
        </w:tc>
        <w:tc>
          <w:tcPr>
            <w:tcW w:w="1326" w:type="dxa"/>
            <w:vAlign w:val="center"/>
          </w:tcPr>
          <w:p w14:paraId="272903E1">
            <w:pPr>
              <w:adjustRightInd w:val="0"/>
              <w:snapToGrid w:val="0"/>
              <w:spacing w:line="560" w:lineRule="atLeas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企业服务水平</w:t>
            </w:r>
          </w:p>
        </w:tc>
        <w:tc>
          <w:tcPr>
            <w:tcW w:w="6308" w:type="dxa"/>
            <w:vAlign w:val="center"/>
          </w:tcPr>
          <w:p w14:paraId="6B8689A1">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根据供应商在本项目响应截止之日止获取的以下资质进行评分：</w:t>
            </w:r>
          </w:p>
          <w:p w14:paraId="235ADCDA">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具备ISO9001质量管理体系证书、具备ISO27001信息安全体系证书、具备ISO20000信息技术服务管理体系证书、具备</w:t>
            </w:r>
            <w:bookmarkStart w:id="58" w:name="OLE_LINK6"/>
            <w:r>
              <w:rPr>
                <w:rFonts w:hint="eastAsia" w:cs="宋体" w:asciiTheme="minorEastAsia" w:hAnsiTheme="minorEastAsia" w:eastAsiaTheme="minorEastAsia"/>
                <w:bCs/>
                <w:sz w:val="24"/>
              </w:rPr>
              <w:t>ITSS证书</w:t>
            </w:r>
            <w:bookmarkEnd w:id="58"/>
            <w:r>
              <w:rPr>
                <w:rFonts w:hint="eastAsia" w:cs="宋体" w:asciiTheme="minorEastAsia" w:hAnsiTheme="minorEastAsia" w:eastAsiaTheme="minorEastAsia"/>
                <w:bCs/>
                <w:sz w:val="24"/>
              </w:rPr>
              <w:t>；每有一项得1分，最多得4分。</w:t>
            </w:r>
          </w:p>
          <w:p w14:paraId="6FD7584E">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证明材料：供应商须提供有效的相关认证证书复印件加盖公章。</w:t>
            </w:r>
          </w:p>
        </w:tc>
        <w:tc>
          <w:tcPr>
            <w:tcW w:w="787" w:type="dxa"/>
            <w:vAlign w:val="center"/>
          </w:tcPr>
          <w:p w14:paraId="3363A29F">
            <w:pPr>
              <w:adjustRightInd w:val="0"/>
              <w:snapToGrid w:val="0"/>
              <w:spacing w:line="560" w:lineRule="atLeas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4</w:t>
            </w:r>
          </w:p>
        </w:tc>
      </w:tr>
      <w:tr w14:paraId="1F3B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vAlign w:val="center"/>
          </w:tcPr>
          <w:p w14:paraId="2BBD15DD">
            <w:pPr>
              <w:adjustRightInd w:val="0"/>
              <w:snapToGrid w:val="0"/>
              <w:spacing w:line="560" w:lineRule="atLeas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w:t>
            </w:r>
          </w:p>
        </w:tc>
        <w:tc>
          <w:tcPr>
            <w:tcW w:w="1326" w:type="dxa"/>
            <w:vAlign w:val="center"/>
          </w:tcPr>
          <w:p w14:paraId="0FFC9648">
            <w:pPr>
              <w:adjustRightInd w:val="0"/>
              <w:snapToGrid w:val="0"/>
              <w:spacing w:line="560" w:lineRule="atLeas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类似项目业绩</w:t>
            </w:r>
          </w:p>
        </w:tc>
        <w:tc>
          <w:tcPr>
            <w:tcW w:w="6308" w:type="dxa"/>
            <w:vAlign w:val="center"/>
          </w:tcPr>
          <w:p w14:paraId="681DF736">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20</w:t>
            </w:r>
            <w:r>
              <w:rPr>
                <w:rFonts w:hint="eastAsia" w:cs="宋体" w:asciiTheme="minorEastAsia" w:hAnsiTheme="minorEastAsia" w:eastAsiaTheme="minorEastAsia"/>
                <w:bCs/>
                <w:sz w:val="24"/>
                <w:lang w:val="en-US" w:eastAsia="zh-CN"/>
              </w:rPr>
              <w:t>20</w:t>
            </w:r>
            <w:r>
              <w:rPr>
                <w:rFonts w:hint="eastAsia" w:cs="宋体" w:asciiTheme="minorEastAsia" w:hAnsiTheme="minorEastAsia" w:eastAsiaTheme="minorEastAsia"/>
                <w:bCs/>
                <w:sz w:val="24"/>
              </w:rPr>
              <w:t>年1月1日至响应截止之日止（以合同签订时间为准），投标人每具备一个合同金额大于等于500万的集成类项目得2分，最多得</w:t>
            </w:r>
            <w:r>
              <w:rPr>
                <w:rFonts w:hint="eastAsia" w:cs="宋体" w:asciiTheme="minorEastAsia" w:hAnsiTheme="minorEastAsia" w:eastAsiaTheme="minorEastAsia"/>
                <w:bCs/>
                <w:sz w:val="24"/>
                <w:lang w:val="en-US" w:eastAsia="zh-CN"/>
              </w:rPr>
              <w:t>6</w:t>
            </w:r>
            <w:r>
              <w:rPr>
                <w:rFonts w:hint="eastAsia" w:cs="宋体" w:asciiTheme="minorEastAsia" w:hAnsiTheme="minorEastAsia" w:eastAsiaTheme="minorEastAsia"/>
                <w:bCs/>
                <w:sz w:val="24"/>
              </w:rPr>
              <w:t>分；每具备一个合同金额大于等于200万且小于500万的集成类项目得1分，最多得2分。合同金额小于200万的项目不得分。</w:t>
            </w:r>
          </w:p>
          <w:p w14:paraId="60A1AF27">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证明材料：须提供合同复印件加盖公章。</w:t>
            </w:r>
          </w:p>
          <w:p w14:paraId="35C95185">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注：合同关键页复印件应至少包括合同首页、签字盖章页（需体现合同签订双方名称、签订日期）及证明符合上述业绩要求的合同内容页，业绩认定日期以合同签订日期为准。如所提供的合同复印件无法体现以上内容，须同时提供用户证明文件证明以上内容并加盖用户公章。</w:t>
            </w:r>
          </w:p>
        </w:tc>
        <w:tc>
          <w:tcPr>
            <w:tcW w:w="787" w:type="dxa"/>
            <w:vAlign w:val="center"/>
          </w:tcPr>
          <w:p w14:paraId="074939CE">
            <w:pPr>
              <w:adjustRightInd w:val="0"/>
              <w:snapToGrid w:val="0"/>
              <w:spacing w:line="560" w:lineRule="atLeast"/>
              <w:jc w:val="center"/>
              <w:rPr>
                <w:rFonts w:hint="eastAsia"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8</w:t>
            </w:r>
          </w:p>
        </w:tc>
      </w:tr>
      <w:tr w14:paraId="4127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vAlign w:val="center"/>
          </w:tcPr>
          <w:p w14:paraId="40737680">
            <w:pPr>
              <w:adjustRightInd w:val="0"/>
              <w:snapToGrid w:val="0"/>
              <w:spacing w:line="560" w:lineRule="atLeas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3</w:t>
            </w:r>
          </w:p>
        </w:tc>
        <w:tc>
          <w:tcPr>
            <w:tcW w:w="1326" w:type="dxa"/>
            <w:vAlign w:val="center"/>
          </w:tcPr>
          <w:p w14:paraId="2895F1F4">
            <w:pPr>
              <w:adjustRightInd w:val="0"/>
              <w:snapToGrid w:val="0"/>
              <w:spacing w:line="560" w:lineRule="atLeas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项目团队</w:t>
            </w:r>
          </w:p>
        </w:tc>
        <w:tc>
          <w:tcPr>
            <w:tcW w:w="6308" w:type="dxa"/>
            <w:vAlign w:val="center"/>
          </w:tcPr>
          <w:p w14:paraId="1B6FF53C">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（1）项目负责人要求（</w:t>
            </w:r>
            <w:r>
              <w:rPr>
                <w:rFonts w:hint="eastAsia" w:cs="宋体" w:asciiTheme="minorEastAsia" w:hAnsiTheme="minorEastAsia" w:eastAsiaTheme="minorEastAsia"/>
                <w:bCs/>
                <w:sz w:val="24"/>
                <w:lang w:val="en-US" w:eastAsia="zh-CN"/>
              </w:rPr>
              <w:t>3</w:t>
            </w:r>
            <w:r>
              <w:rPr>
                <w:rFonts w:hint="eastAsia" w:cs="宋体" w:asciiTheme="minorEastAsia" w:hAnsiTheme="minorEastAsia" w:eastAsiaTheme="minorEastAsia"/>
                <w:bCs/>
                <w:sz w:val="24"/>
              </w:rPr>
              <w:t>分）</w:t>
            </w:r>
          </w:p>
          <w:p w14:paraId="311FBF3D">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项目负责人同时具有</w:t>
            </w:r>
            <w:r>
              <w:rPr>
                <w:rFonts w:hint="eastAsia" w:cs="宋体" w:asciiTheme="minorEastAsia" w:hAnsiTheme="minorEastAsia" w:eastAsiaTheme="minorEastAsia"/>
                <w:bCs/>
                <w:sz w:val="24"/>
                <w:lang w:val="en-US" w:eastAsia="zh-CN"/>
              </w:rPr>
              <w:t>项目管理专业人士资格认证PMP</w:t>
            </w: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注册信息安全专业人员资格（CISP）、通信专业技术人员职业资格（互联网技术）</w:t>
            </w:r>
            <w:r>
              <w:rPr>
                <w:rFonts w:hint="eastAsia" w:cs="宋体" w:asciiTheme="minorEastAsia" w:hAnsiTheme="minorEastAsia" w:eastAsiaTheme="minorEastAsia"/>
                <w:bCs/>
                <w:sz w:val="24"/>
              </w:rPr>
              <w:t>的得</w:t>
            </w:r>
            <w:r>
              <w:rPr>
                <w:rFonts w:hint="eastAsia" w:cs="宋体" w:asciiTheme="minorEastAsia" w:hAnsiTheme="minorEastAsia" w:eastAsiaTheme="minorEastAsia"/>
                <w:bCs/>
                <w:sz w:val="24"/>
                <w:lang w:val="en-US" w:eastAsia="zh-CN"/>
              </w:rPr>
              <w:t>3</w:t>
            </w:r>
            <w:r>
              <w:rPr>
                <w:rFonts w:hint="eastAsia" w:cs="宋体" w:asciiTheme="minorEastAsia" w:hAnsiTheme="minorEastAsia" w:eastAsiaTheme="minorEastAsia"/>
                <w:bCs/>
                <w:sz w:val="24"/>
              </w:rPr>
              <w:t xml:space="preserve">分，否则不得分； </w:t>
            </w:r>
          </w:p>
          <w:p w14:paraId="29F842BB">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（2）项目技术总监要求（</w:t>
            </w:r>
            <w:r>
              <w:rPr>
                <w:rFonts w:hint="eastAsia" w:cs="宋体" w:asciiTheme="minorEastAsia" w:hAnsiTheme="minorEastAsia" w:eastAsiaTheme="minorEastAsia"/>
                <w:bCs/>
                <w:sz w:val="24"/>
                <w:lang w:val="en-US" w:eastAsia="zh-CN"/>
              </w:rPr>
              <w:t>2</w:t>
            </w:r>
            <w:r>
              <w:rPr>
                <w:rFonts w:hint="eastAsia" w:cs="宋体" w:asciiTheme="minorEastAsia" w:hAnsiTheme="minorEastAsia" w:eastAsiaTheme="minorEastAsia"/>
                <w:bCs/>
                <w:sz w:val="24"/>
              </w:rPr>
              <w:t>分）</w:t>
            </w:r>
          </w:p>
          <w:p w14:paraId="3424C2EC">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项目技术总监同时具有信息系统项目管理师（或PMP）、系统规划与管理师、ITIL 4 Foundation认证的得</w:t>
            </w:r>
            <w:r>
              <w:rPr>
                <w:rFonts w:hint="eastAsia" w:cs="宋体" w:asciiTheme="minorEastAsia" w:hAnsiTheme="minorEastAsia" w:eastAsiaTheme="minorEastAsia"/>
                <w:bCs/>
                <w:sz w:val="24"/>
                <w:lang w:val="en-US" w:eastAsia="zh-CN"/>
              </w:rPr>
              <w:t>2</w:t>
            </w:r>
            <w:r>
              <w:rPr>
                <w:rFonts w:hint="eastAsia" w:cs="宋体" w:asciiTheme="minorEastAsia" w:hAnsiTheme="minorEastAsia" w:eastAsiaTheme="minorEastAsia"/>
                <w:bCs/>
                <w:sz w:val="24"/>
              </w:rPr>
              <w:t>分，否则不得分；</w:t>
            </w:r>
          </w:p>
          <w:p w14:paraId="01569A0D">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（3）项目团队人员要求（2分）</w:t>
            </w:r>
          </w:p>
          <w:p w14:paraId="72608EAE">
            <w:pPr>
              <w:adjustRightInd w:val="0"/>
              <w:snapToGrid w:val="0"/>
              <w:spacing w:line="560" w:lineRule="atLeast"/>
              <w:jc w:val="left"/>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Cs/>
                <w:sz w:val="24"/>
              </w:rPr>
              <w:t>投标人指派的核心团队人员如具备人社部、工信部颁发的系统架构设计师或系统分析师证书的，每人次得1分，最高得1分</w:t>
            </w:r>
            <w:r>
              <w:rPr>
                <w:rFonts w:hint="eastAsia" w:cs="宋体" w:asciiTheme="minorEastAsia" w:hAnsiTheme="minorEastAsia" w:eastAsiaTheme="minorEastAsia"/>
                <w:bCs/>
                <w:sz w:val="24"/>
                <w:lang w:eastAsia="zh-CN"/>
              </w:rPr>
              <w:t>。</w:t>
            </w:r>
          </w:p>
          <w:p w14:paraId="7D4E9E9F">
            <w:pPr>
              <w:adjustRightInd w:val="0"/>
              <w:snapToGrid w:val="0"/>
              <w:spacing w:line="560" w:lineRule="atLeast"/>
              <w:jc w:val="left"/>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Cs/>
                <w:sz w:val="24"/>
              </w:rPr>
              <w:t>投标人指派的核心团队人员具备信息安全工程师或数据库系统工程师证书的，每人次得1分，最高得1分</w:t>
            </w:r>
            <w:r>
              <w:rPr>
                <w:rFonts w:hint="eastAsia" w:cs="宋体" w:asciiTheme="minorEastAsia" w:hAnsiTheme="minorEastAsia" w:eastAsiaTheme="minorEastAsia"/>
                <w:bCs/>
                <w:sz w:val="24"/>
                <w:lang w:eastAsia="zh-CN"/>
              </w:rPr>
              <w:t>。</w:t>
            </w:r>
          </w:p>
          <w:p w14:paraId="4C28376B">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证明材料：提供以上持证人员的相应证书证明及2024年近三个月的社保证明。</w:t>
            </w:r>
          </w:p>
        </w:tc>
        <w:tc>
          <w:tcPr>
            <w:tcW w:w="787" w:type="dxa"/>
            <w:vAlign w:val="center"/>
          </w:tcPr>
          <w:p w14:paraId="3DE2CEE0">
            <w:pPr>
              <w:adjustRightInd w:val="0"/>
              <w:snapToGrid w:val="0"/>
              <w:spacing w:line="560" w:lineRule="atLeast"/>
              <w:jc w:val="center"/>
              <w:rPr>
                <w:rFonts w:hint="eastAsia"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7</w:t>
            </w:r>
          </w:p>
        </w:tc>
      </w:tr>
      <w:tr w14:paraId="109F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vAlign w:val="center"/>
          </w:tcPr>
          <w:p w14:paraId="18F8186C">
            <w:pPr>
              <w:adjustRightInd w:val="0"/>
              <w:snapToGrid w:val="0"/>
              <w:spacing w:line="560" w:lineRule="atLeas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4</w:t>
            </w:r>
          </w:p>
        </w:tc>
        <w:tc>
          <w:tcPr>
            <w:tcW w:w="1326" w:type="dxa"/>
            <w:shd w:val="clear" w:color="auto" w:fill="auto"/>
            <w:vAlign w:val="center"/>
          </w:tcPr>
          <w:p w14:paraId="00CDB803">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项目技术要求响应</w:t>
            </w:r>
          </w:p>
        </w:tc>
        <w:tc>
          <w:tcPr>
            <w:tcW w:w="6308" w:type="dxa"/>
            <w:shd w:val="clear" w:color="auto" w:fill="auto"/>
            <w:vAlign w:val="center"/>
          </w:tcPr>
          <w:p w14:paraId="6F18F738">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highlight w:val="yellow"/>
              </w:rPr>
              <w:t>为本次项目提供的软件功能满足要求，带★号的每一项不满足扣4分，扣完为止。</w:t>
            </w:r>
          </w:p>
        </w:tc>
        <w:tc>
          <w:tcPr>
            <w:tcW w:w="787" w:type="dxa"/>
            <w:shd w:val="clear" w:color="auto" w:fill="auto"/>
            <w:vAlign w:val="center"/>
          </w:tcPr>
          <w:p w14:paraId="2BD11F06">
            <w:pPr>
              <w:adjustRightInd w:val="0"/>
              <w:snapToGrid w:val="0"/>
              <w:spacing w:line="560" w:lineRule="atLeas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16</w:t>
            </w:r>
          </w:p>
        </w:tc>
      </w:tr>
      <w:tr w14:paraId="4727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vAlign w:val="center"/>
          </w:tcPr>
          <w:p w14:paraId="649274A5">
            <w:pPr>
              <w:adjustRightInd w:val="0"/>
              <w:snapToGrid w:val="0"/>
              <w:spacing w:line="560" w:lineRule="atLeas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5</w:t>
            </w:r>
          </w:p>
        </w:tc>
        <w:tc>
          <w:tcPr>
            <w:tcW w:w="1326" w:type="dxa"/>
            <w:shd w:val="clear" w:color="auto" w:fill="auto"/>
            <w:vAlign w:val="center"/>
          </w:tcPr>
          <w:p w14:paraId="6191BB13">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项目建设方案</w:t>
            </w:r>
          </w:p>
        </w:tc>
        <w:tc>
          <w:tcPr>
            <w:tcW w:w="6308" w:type="dxa"/>
            <w:shd w:val="clear" w:color="auto" w:fill="auto"/>
          </w:tcPr>
          <w:p w14:paraId="2EC2BFA4">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对提供的项目建设方案进行综合评分，包括方案可行性，扩展性、合理化建议等方面，内容应包含不限于技术方案、人员组织管理，工作分工，项目进度计划与控制等:</w:t>
            </w:r>
          </w:p>
          <w:p w14:paraId="003EB419">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1.完整、合理、扩展性强，完全满足项目要求得(15-20]分；</w:t>
            </w:r>
          </w:p>
          <w:p w14:paraId="008FDB6F">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2.方案基本完整、扩展性一般，基本满足项目要求得(10-15分；</w:t>
            </w:r>
          </w:p>
          <w:p w14:paraId="29E1D538">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3.方案不完整、扩展性一般，不完全满足项目要求得(5-10]分；</w:t>
            </w:r>
          </w:p>
          <w:p w14:paraId="57BD876B">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4.未提供方案则不得分。</w:t>
            </w:r>
          </w:p>
        </w:tc>
        <w:tc>
          <w:tcPr>
            <w:tcW w:w="787" w:type="dxa"/>
            <w:shd w:val="clear" w:color="auto" w:fill="auto"/>
            <w:vAlign w:val="center"/>
          </w:tcPr>
          <w:p w14:paraId="1D00EA44">
            <w:pPr>
              <w:adjustRightInd w:val="0"/>
              <w:snapToGrid w:val="0"/>
              <w:spacing w:line="560" w:lineRule="atLeas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20</w:t>
            </w:r>
          </w:p>
        </w:tc>
      </w:tr>
      <w:tr w14:paraId="1EEA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vAlign w:val="center"/>
          </w:tcPr>
          <w:p w14:paraId="633187CD">
            <w:pPr>
              <w:adjustRightInd w:val="0"/>
              <w:snapToGrid w:val="0"/>
              <w:spacing w:line="560" w:lineRule="atLeas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6</w:t>
            </w:r>
          </w:p>
        </w:tc>
        <w:tc>
          <w:tcPr>
            <w:tcW w:w="1326" w:type="dxa"/>
            <w:shd w:val="clear" w:color="auto" w:fill="auto"/>
            <w:vAlign w:val="center"/>
          </w:tcPr>
          <w:p w14:paraId="7E33A6D3">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服务保障</w:t>
            </w:r>
          </w:p>
        </w:tc>
        <w:tc>
          <w:tcPr>
            <w:tcW w:w="6308" w:type="dxa"/>
            <w:shd w:val="clear" w:color="auto" w:fill="auto"/>
            <w:vAlign w:val="center"/>
          </w:tcPr>
          <w:p w14:paraId="1E93E750">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重点从服务体系与规范、技术与设备、管理保障、服务团队、服务承诺等方面评分:</w:t>
            </w:r>
          </w:p>
          <w:p w14:paraId="2B1DA8E1">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1.完整、合理、扩展性强，完全满足项目要求得(10-15]分；</w:t>
            </w:r>
          </w:p>
          <w:p w14:paraId="2BE477C9">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2.方案基本完整、扩展性一般，基本满足项目要求得(5-10]分；</w:t>
            </w:r>
          </w:p>
          <w:p w14:paraId="76D42EC3">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3.方案不完整、扩展性一般，不完全满足项目要求得(3-5]分；</w:t>
            </w:r>
          </w:p>
          <w:p w14:paraId="4512D963">
            <w:pPr>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4.未提供方案则不得分。</w:t>
            </w:r>
          </w:p>
        </w:tc>
        <w:tc>
          <w:tcPr>
            <w:tcW w:w="787" w:type="dxa"/>
            <w:shd w:val="clear" w:color="auto" w:fill="auto"/>
            <w:vAlign w:val="center"/>
          </w:tcPr>
          <w:p w14:paraId="7F2A9030">
            <w:pPr>
              <w:adjustRightInd w:val="0"/>
              <w:snapToGrid w:val="0"/>
              <w:spacing w:line="560" w:lineRule="atLeas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15</w:t>
            </w:r>
          </w:p>
        </w:tc>
      </w:tr>
      <w:tr w14:paraId="7CA1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vAlign w:val="center"/>
          </w:tcPr>
          <w:p w14:paraId="45919489">
            <w:pPr>
              <w:adjustRightInd w:val="0"/>
              <w:snapToGrid w:val="0"/>
              <w:spacing w:line="560" w:lineRule="atLeast"/>
              <w:jc w:val="center"/>
              <w:rPr>
                <w:rFonts w:hint="eastAsia"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7</w:t>
            </w:r>
          </w:p>
        </w:tc>
        <w:tc>
          <w:tcPr>
            <w:tcW w:w="1326" w:type="dxa"/>
            <w:shd w:val="clear" w:color="auto" w:fill="auto"/>
            <w:vAlign w:val="center"/>
          </w:tcPr>
          <w:p w14:paraId="7CFC2BE6">
            <w:pPr>
              <w:pStyle w:val="48"/>
              <w:spacing w:line="560" w:lineRule="atLeast"/>
              <w:ind w:firstLine="0" w:firstLineChars="0"/>
              <w:jc w:val="center"/>
              <w:rPr>
                <w:rFonts w:hint="eastAsia" w:cs="宋体" w:asciiTheme="minorEastAsia" w:hAnsiTheme="minorEastAsia" w:eastAsiaTheme="minorEastAsia"/>
                <w:bCs/>
                <w:szCs w:val="24"/>
              </w:rPr>
            </w:pPr>
            <w:r>
              <w:rPr>
                <w:rFonts w:hint="eastAsia" w:cs="宋体" w:asciiTheme="minorEastAsia" w:hAnsiTheme="minorEastAsia" w:eastAsiaTheme="minorEastAsia"/>
                <w:bCs/>
                <w:szCs w:val="24"/>
              </w:rPr>
              <w:t>报价</w:t>
            </w:r>
          </w:p>
        </w:tc>
        <w:tc>
          <w:tcPr>
            <w:tcW w:w="6308" w:type="dxa"/>
            <w:shd w:val="clear" w:color="auto" w:fill="auto"/>
            <w:vAlign w:val="center"/>
          </w:tcPr>
          <w:p w14:paraId="6A10FF52">
            <w:pPr>
              <w:tabs>
                <w:tab w:val="left" w:pos="993"/>
              </w:tabs>
              <w:autoSpaceDE w:val="0"/>
              <w:autoSpaceDN w:val="0"/>
              <w:adjustRightInd w:val="0"/>
              <w:snapToGrid w:val="0"/>
              <w:spacing w:line="560" w:lineRule="atLeast"/>
              <w:jc w:val="left"/>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（1）评审基准价</w:t>
            </w:r>
          </w:p>
          <w:p w14:paraId="291FE87F">
            <w:pPr>
              <w:tabs>
                <w:tab w:val="left" w:pos="993"/>
              </w:tabs>
              <w:autoSpaceDE w:val="0"/>
              <w:autoSpaceDN w:val="0"/>
              <w:adjustRightInd w:val="0"/>
              <w:snapToGrid w:val="0"/>
              <w:spacing w:line="560" w:lineRule="atLeast"/>
              <w:jc w:val="left"/>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有效响应文件中的最低报价为评审基准价。</w:t>
            </w:r>
          </w:p>
          <w:p w14:paraId="482725B4">
            <w:pPr>
              <w:tabs>
                <w:tab w:val="left" w:pos="993"/>
              </w:tabs>
              <w:autoSpaceDE w:val="0"/>
              <w:autoSpaceDN w:val="0"/>
              <w:adjustRightInd w:val="0"/>
              <w:snapToGrid w:val="0"/>
              <w:spacing w:line="560" w:lineRule="atLeast"/>
              <w:jc w:val="left"/>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（2）供应商报价得分：</w:t>
            </w:r>
          </w:p>
          <w:p w14:paraId="0C6A8066">
            <w:pPr>
              <w:tabs>
                <w:tab w:val="left" w:pos="993"/>
              </w:tabs>
              <w:autoSpaceDE w:val="0"/>
              <w:autoSpaceDN w:val="0"/>
              <w:adjustRightInd w:val="0"/>
              <w:snapToGrid w:val="0"/>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kern w:val="0"/>
                <w:sz w:val="24"/>
              </w:rPr>
              <w:t>报价得分=(评审基准价／报价)×30</w:t>
            </w:r>
          </w:p>
        </w:tc>
        <w:tc>
          <w:tcPr>
            <w:tcW w:w="787" w:type="dxa"/>
            <w:shd w:val="clear" w:color="auto" w:fill="auto"/>
            <w:vAlign w:val="center"/>
          </w:tcPr>
          <w:p w14:paraId="6CCC81EC">
            <w:pPr>
              <w:adjustRightInd w:val="0"/>
              <w:snapToGrid w:val="0"/>
              <w:spacing w:line="560" w:lineRule="atLeas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30</w:t>
            </w:r>
          </w:p>
        </w:tc>
      </w:tr>
    </w:tbl>
    <w:p w14:paraId="7505AEA3">
      <w:pPr>
        <w:spacing w:before="156" w:beforeLines="50" w:after="156" w:afterLines="50" w:line="560" w:lineRule="atLeast"/>
        <w:jc w:val="center"/>
        <w:rPr>
          <w:rFonts w:hint="eastAsia" w:asciiTheme="minorEastAsia" w:hAnsiTheme="minorEastAsia" w:eastAsiaTheme="minorEastAsia"/>
          <w:bCs/>
          <w:sz w:val="32"/>
          <w:szCs w:val="32"/>
        </w:rPr>
      </w:pPr>
    </w:p>
    <w:p w14:paraId="00B1EB28">
      <w:pPr>
        <w:spacing w:line="560" w:lineRule="atLeast"/>
        <w:ind w:firstLine="480" w:firstLineChars="200"/>
        <w:rPr>
          <w:rFonts w:hint="eastAsia" w:asciiTheme="minorEastAsia" w:hAnsiTheme="minorEastAsia" w:eastAsiaTheme="minorEastAsia"/>
          <w:bCs/>
          <w:sz w:val="24"/>
        </w:rPr>
      </w:pPr>
    </w:p>
    <w:p w14:paraId="32D60E4C">
      <w:pPr>
        <w:pStyle w:val="3"/>
        <w:numPr>
          <w:ilvl w:val="0"/>
          <w:numId w:val="8"/>
        </w:numPr>
        <w:spacing w:line="560" w:lineRule="atLeast"/>
        <w:rPr>
          <w:rFonts w:hint="eastAsia" w:asciiTheme="minorEastAsia" w:hAnsiTheme="minorEastAsia" w:eastAsiaTheme="minorEastAsia"/>
          <w:b w:val="0"/>
          <w:bCs/>
          <w:sz w:val="30"/>
          <w:szCs w:val="30"/>
        </w:rPr>
      </w:pPr>
      <w:r>
        <w:rPr>
          <w:rFonts w:asciiTheme="minorEastAsia" w:hAnsiTheme="minorEastAsia" w:eastAsiaTheme="minorEastAsia"/>
          <w:b w:val="0"/>
          <w:bCs/>
          <w:sz w:val="32"/>
          <w:szCs w:val="32"/>
        </w:rPr>
        <w:br w:type="page"/>
      </w:r>
      <w:r>
        <w:rPr>
          <w:rFonts w:asciiTheme="minorEastAsia" w:hAnsiTheme="minorEastAsia" w:eastAsiaTheme="minorEastAsia"/>
          <w:b w:val="0"/>
          <w:bCs/>
          <w:sz w:val="30"/>
          <w:szCs w:val="30"/>
        </w:rPr>
        <w:t>合同</w:t>
      </w:r>
      <w:r>
        <w:rPr>
          <w:rFonts w:hint="eastAsia" w:asciiTheme="minorEastAsia" w:hAnsiTheme="minorEastAsia" w:eastAsiaTheme="minorEastAsia"/>
          <w:b w:val="0"/>
          <w:bCs/>
          <w:sz w:val="30"/>
          <w:szCs w:val="30"/>
        </w:rPr>
        <w:t>条款格式</w:t>
      </w:r>
    </w:p>
    <w:p w14:paraId="21F2C259">
      <w:pPr>
        <w:numPr>
          <w:ilvl w:val="0"/>
          <w:numId w:val="0"/>
        </w:numPr>
        <w:rPr>
          <w:rFonts w:hint="eastAsia"/>
        </w:rPr>
      </w:pPr>
    </w:p>
    <w:p w14:paraId="07D0D0AF">
      <w:pPr>
        <w:pStyle w:val="2"/>
        <w:jc w:val="center"/>
        <w:rPr>
          <w:rFonts w:hint="eastAsia" w:eastAsia="宋体"/>
          <w:lang w:eastAsia="zh-CN"/>
        </w:rPr>
      </w:pPr>
      <w:r>
        <w:rPr>
          <w:rFonts w:hint="eastAsia"/>
          <w:lang w:eastAsia="zh-CN"/>
        </w:rPr>
        <w:t>（</w:t>
      </w:r>
      <w:r>
        <w:rPr>
          <w:rFonts w:hint="eastAsia"/>
          <w:lang w:val="en-US" w:eastAsia="zh-CN"/>
        </w:rPr>
        <w:t>本合同为参考合同，以实际签订合同为准</w:t>
      </w:r>
      <w:r>
        <w:rPr>
          <w:rFonts w:hint="eastAsia"/>
          <w:lang w:eastAsia="zh-CN"/>
        </w:rPr>
        <w:t>）</w:t>
      </w:r>
    </w:p>
    <w:p w14:paraId="185A1024">
      <w:pPr>
        <w:spacing w:line="940" w:lineRule="exact"/>
        <w:jc w:val="center"/>
        <w:rPr>
          <w:rFonts w:hint="eastAsia" w:ascii="黑体" w:eastAsia="黑体"/>
          <w:b/>
          <w:sz w:val="36"/>
          <w:szCs w:val="36"/>
          <w:highlight w:val="none"/>
        </w:rPr>
      </w:pPr>
      <w:r>
        <w:rPr>
          <w:rFonts w:hint="eastAsia" w:ascii="黑体" w:eastAsia="黑体"/>
          <w:b/>
          <w:sz w:val="36"/>
          <w:szCs w:val="36"/>
          <w:highlight w:val="none"/>
        </w:rPr>
        <w:t>采 购 合 同</w:t>
      </w:r>
    </w:p>
    <w:p w14:paraId="245899DC">
      <w:pPr>
        <w:spacing w:before="19" w:line="360" w:lineRule="auto"/>
        <w:rPr>
          <w:rFonts w:hint="eastAsia" w:ascii="宋体" w:hAnsi="宋体"/>
          <w:b/>
          <w:sz w:val="24"/>
          <w:highlight w:val="none"/>
          <w:u w:val="single"/>
        </w:rPr>
      </w:pPr>
      <w:r>
        <w:rPr>
          <w:rFonts w:hint="eastAsia" w:ascii="宋体" w:hAnsi="宋体"/>
          <w:sz w:val="24"/>
          <w:highlight w:val="none"/>
        </w:rPr>
        <w:t>甲方:</w:t>
      </w:r>
      <w:r>
        <w:rPr>
          <w:rFonts w:hint="eastAsia" w:ascii="宋体" w:hAnsi="宋体"/>
          <w:b/>
          <w:sz w:val="24"/>
          <w:highlight w:val="none"/>
        </w:rPr>
        <w:t xml:space="preserve"> </w:t>
      </w:r>
    </w:p>
    <w:p w14:paraId="2FB7714E">
      <w:pPr>
        <w:snapToGrid w:val="0"/>
        <w:spacing w:line="500" w:lineRule="exact"/>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 xml:space="preserve">乙方:                             </w:t>
      </w:r>
    </w:p>
    <w:p w14:paraId="481AE22E">
      <w:pPr>
        <w:snapToGrid w:val="0"/>
        <w:spacing w:before="19" w:line="360" w:lineRule="auto"/>
        <w:ind w:firstLine="600"/>
        <w:rPr>
          <w:rFonts w:hint="eastAsia" w:ascii="宋体" w:hAnsi="宋体"/>
          <w:sz w:val="24"/>
          <w:highlight w:val="none"/>
        </w:rPr>
      </w:pPr>
    </w:p>
    <w:p w14:paraId="41C29032">
      <w:pPr>
        <w:snapToGrid w:val="0"/>
        <w:spacing w:before="19" w:line="360" w:lineRule="auto"/>
        <w:ind w:firstLine="600"/>
        <w:rPr>
          <w:rFonts w:hint="eastAsia" w:ascii="宋体" w:hAnsi="宋体"/>
          <w:sz w:val="24"/>
          <w:highlight w:val="none"/>
        </w:rPr>
      </w:pPr>
      <w:r>
        <w:rPr>
          <w:rFonts w:hint="eastAsia" w:ascii="宋体" w:hAnsi="宋体"/>
          <w:sz w:val="24"/>
          <w:highlight w:val="none"/>
        </w:rPr>
        <w:t>甲乙双方根据</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r>
        <w:rPr>
          <w:rFonts w:hint="eastAsia" w:ascii="宋体" w:hAnsi="宋体"/>
          <w:sz w:val="24"/>
          <w:highlight w:val="none"/>
          <w:lang w:val="en-US" w:eastAsia="zh-CN"/>
        </w:rPr>
        <w:t xml:space="preserve"> </w:t>
      </w:r>
      <w:r>
        <w:rPr>
          <w:rFonts w:hint="eastAsia" w:ascii="宋体" w:hAnsi="宋体"/>
          <w:sz w:val="24"/>
          <w:highlight w:val="none"/>
          <w:u w:val="single"/>
          <w:lang w:val="en-US" w:eastAsia="zh-CN"/>
        </w:rPr>
        <w:t xml:space="preserve">                </w:t>
      </w:r>
      <w:r>
        <w:rPr>
          <w:rFonts w:hint="eastAsia" w:ascii="宋体" w:hAnsi="宋体" w:cs="宋体"/>
          <w:sz w:val="24"/>
          <w:highlight w:val="none"/>
        </w:rPr>
        <w:t>（项目编号：</w:t>
      </w:r>
      <w:r>
        <w:rPr>
          <w:rFonts w:hint="eastAsia" w:ascii="宋体"/>
          <w:color w:val="000000"/>
          <w:sz w:val="24"/>
          <w:highlight w:val="none"/>
        </w:rPr>
        <w:t>HNJY2024-</w:t>
      </w:r>
      <w:r>
        <w:rPr>
          <w:rFonts w:ascii="宋体"/>
          <w:color w:val="000000"/>
          <w:sz w:val="24"/>
          <w:highlight w:val="none"/>
        </w:rPr>
        <w:t>…</w:t>
      </w:r>
      <w:r>
        <w:rPr>
          <w:rFonts w:hint="eastAsia" w:ascii="宋体" w:hAnsi="宋体" w:cs="宋体"/>
          <w:sz w:val="24"/>
          <w:highlight w:val="none"/>
        </w:rPr>
        <w:t>）</w:t>
      </w:r>
      <w:r>
        <w:rPr>
          <w:rFonts w:hint="eastAsia" w:ascii="宋体" w:hAnsi="宋体" w:cs="宋体"/>
          <w:sz w:val="24"/>
          <w:highlight w:val="none"/>
          <w:lang w:val="en-US" w:eastAsia="zh-CN"/>
        </w:rPr>
        <w:t>公开比选采购</w:t>
      </w:r>
      <w:r>
        <w:rPr>
          <w:rFonts w:hint="eastAsia" w:ascii="宋体" w:hAnsi="宋体"/>
          <w:sz w:val="24"/>
          <w:highlight w:val="none"/>
        </w:rPr>
        <w:t>结果及</w:t>
      </w:r>
      <w:r>
        <w:rPr>
          <w:rFonts w:hint="eastAsia" w:ascii="宋体" w:hAnsi="宋体" w:cs="宋体"/>
          <w:sz w:val="24"/>
          <w:highlight w:val="none"/>
          <w:lang w:val="en-US" w:eastAsia="zh-CN"/>
        </w:rPr>
        <w:t>公开比选</w:t>
      </w:r>
      <w:r>
        <w:rPr>
          <w:rFonts w:hint="eastAsia" w:ascii="宋体" w:hAnsi="宋体"/>
          <w:sz w:val="24"/>
          <w:highlight w:val="none"/>
        </w:rPr>
        <w:t>文件的要求，经协商一致，同意以下条款作为本项目合同条款。</w:t>
      </w:r>
    </w:p>
    <w:p w14:paraId="104CEDF8">
      <w:pPr>
        <w:snapToGrid w:val="0"/>
        <w:spacing w:line="360" w:lineRule="auto"/>
        <w:ind w:firstLine="562" w:firstLineChars="200"/>
        <w:rPr>
          <w:rFonts w:hint="eastAsia" w:ascii="宋体" w:hAnsi="宋体"/>
          <w:b/>
          <w:sz w:val="28"/>
          <w:szCs w:val="28"/>
          <w:highlight w:val="none"/>
        </w:rPr>
      </w:pPr>
      <w:r>
        <w:rPr>
          <w:rFonts w:hint="eastAsia" w:ascii="宋体" w:hAnsi="宋体"/>
          <w:b/>
          <w:sz w:val="28"/>
          <w:szCs w:val="28"/>
          <w:highlight w:val="none"/>
        </w:rPr>
        <w:t>一、合同标的及金额等</w:t>
      </w:r>
    </w:p>
    <w:tbl>
      <w:tblPr>
        <w:tblStyle w:val="40"/>
        <w:tblW w:w="0" w:type="auto"/>
        <w:jc w:val="center"/>
        <w:tblLayout w:type="fixed"/>
        <w:tblCellMar>
          <w:top w:w="0" w:type="dxa"/>
          <w:left w:w="30" w:type="dxa"/>
          <w:bottom w:w="0" w:type="dxa"/>
          <w:right w:w="30" w:type="dxa"/>
        </w:tblCellMar>
      </w:tblPr>
      <w:tblGrid>
        <w:gridCol w:w="720"/>
        <w:gridCol w:w="1448"/>
        <w:gridCol w:w="2332"/>
        <w:gridCol w:w="902"/>
        <w:gridCol w:w="720"/>
        <w:gridCol w:w="1260"/>
        <w:gridCol w:w="1260"/>
      </w:tblGrid>
      <w:tr w14:paraId="671EBECC">
        <w:tblPrEx>
          <w:tblCellMar>
            <w:top w:w="0" w:type="dxa"/>
            <w:left w:w="30" w:type="dxa"/>
            <w:bottom w:w="0" w:type="dxa"/>
            <w:right w:w="30" w:type="dxa"/>
          </w:tblCellMar>
        </w:tblPrEx>
        <w:trPr>
          <w:trHeight w:val="593" w:hRule="exact"/>
          <w:jc w:val="center"/>
        </w:trPr>
        <w:tc>
          <w:tcPr>
            <w:tcW w:w="720" w:type="dxa"/>
            <w:tcBorders>
              <w:top w:val="single" w:color="auto" w:sz="8" w:space="0"/>
              <w:left w:val="single" w:color="auto" w:sz="8" w:space="0"/>
              <w:bottom w:val="single" w:color="auto" w:sz="8" w:space="0"/>
              <w:right w:val="single" w:color="auto" w:sz="8" w:space="0"/>
            </w:tcBorders>
            <w:noWrap w:val="0"/>
            <w:vAlign w:val="center"/>
          </w:tcPr>
          <w:p w14:paraId="37DDCE19">
            <w:pPr>
              <w:autoSpaceDE w:val="0"/>
              <w:autoSpaceDN w:val="0"/>
              <w:adjustRightInd w:val="0"/>
              <w:jc w:val="center"/>
              <w:rPr>
                <w:rFonts w:hint="eastAsia" w:ascii="宋体" w:hAnsi="宋体" w:cs="Arial"/>
                <w:b/>
                <w:sz w:val="24"/>
                <w:szCs w:val="21"/>
                <w:highlight w:val="none"/>
              </w:rPr>
            </w:pPr>
            <w:r>
              <w:rPr>
                <w:rFonts w:ascii="宋体" w:hAnsi="宋体" w:cs="Arial"/>
                <w:b/>
                <w:sz w:val="24"/>
                <w:szCs w:val="21"/>
                <w:highlight w:val="none"/>
              </w:rPr>
              <w:t>序号</w:t>
            </w:r>
          </w:p>
        </w:tc>
        <w:tc>
          <w:tcPr>
            <w:tcW w:w="1448" w:type="dxa"/>
            <w:tcBorders>
              <w:top w:val="single" w:color="auto" w:sz="8" w:space="0"/>
              <w:left w:val="single" w:color="auto" w:sz="8" w:space="0"/>
              <w:bottom w:val="single" w:color="auto" w:sz="8" w:space="0"/>
              <w:right w:val="single" w:color="auto" w:sz="8" w:space="0"/>
            </w:tcBorders>
            <w:noWrap w:val="0"/>
            <w:vAlign w:val="center"/>
          </w:tcPr>
          <w:p w14:paraId="4C7331C8">
            <w:pPr>
              <w:autoSpaceDE w:val="0"/>
              <w:autoSpaceDN w:val="0"/>
              <w:adjustRightInd w:val="0"/>
              <w:jc w:val="center"/>
              <w:rPr>
                <w:rFonts w:hint="eastAsia" w:ascii="宋体" w:hAnsi="宋体" w:cs="Arial"/>
                <w:b/>
                <w:sz w:val="24"/>
                <w:szCs w:val="21"/>
                <w:highlight w:val="none"/>
              </w:rPr>
            </w:pPr>
            <w:r>
              <w:rPr>
                <w:rFonts w:hint="eastAsia" w:ascii="宋体" w:hAnsi="宋体" w:cs="Arial"/>
                <w:b/>
                <w:sz w:val="24"/>
                <w:szCs w:val="21"/>
                <w:highlight w:val="none"/>
              </w:rPr>
              <w:t>项目</w:t>
            </w:r>
            <w:r>
              <w:rPr>
                <w:rFonts w:ascii="宋体" w:hAnsi="宋体" w:cs="Arial"/>
                <w:b/>
                <w:sz w:val="24"/>
                <w:szCs w:val="21"/>
                <w:highlight w:val="none"/>
              </w:rPr>
              <w:t>名称</w:t>
            </w:r>
          </w:p>
        </w:tc>
        <w:tc>
          <w:tcPr>
            <w:tcW w:w="2332" w:type="dxa"/>
            <w:tcBorders>
              <w:top w:val="single" w:color="auto" w:sz="8" w:space="0"/>
              <w:left w:val="single" w:color="auto" w:sz="8" w:space="0"/>
              <w:bottom w:val="single" w:color="auto" w:sz="8" w:space="0"/>
              <w:right w:val="single" w:color="auto" w:sz="8" w:space="0"/>
            </w:tcBorders>
            <w:noWrap w:val="0"/>
            <w:vAlign w:val="center"/>
          </w:tcPr>
          <w:p w14:paraId="5BD2C012">
            <w:pPr>
              <w:autoSpaceDE w:val="0"/>
              <w:autoSpaceDN w:val="0"/>
              <w:adjustRightInd w:val="0"/>
              <w:jc w:val="center"/>
              <w:rPr>
                <w:rFonts w:hint="eastAsia" w:ascii="宋体" w:hAnsi="宋体" w:cs="Arial"/>
                <w:b/>
                <w:sz w:val="24"/>
                <w:szCs w:val="21"/>
                <w:highlight w:val="none"/>
              </w:rPr>
            </w:pPr>
            <w:r>
              <w:rPr>
                <w:rFonts w:hint="eastAsia" w:ascii="宋体" w:hAnsi="宋体" w:cs="Arial"/>
                <w:b/>
                <w:sz w:val="24"/>
                <w:szCs w:val="21"/>
                <w:highlight w:val="none"/>
              </w:rPr>
              <w:t>项目内容</w:t>
            </w:r>
          </w:p>
        </w:tc>
        <w:tc>
          <w:tcPr>
            <w:tcW w:w="902" w:type="dxa"/>
            <w:tcBorders>
              <w:top w:val="single" w:color="auto" w:sz="8" w:space="0"/>
              <w:left w:val="single" w:color="auto" w:sz="8" w:space="0"/>
              <w:bottom w:val="single" w:color="auto" w:sz="8" w:space="0"/>
              <w:right w:val="single" w:color="auto" w:sz="8" w:space="0"/>
            </w:tcBorders>
            <w:noWrap w:val="0"/>
            <w:vAlign w:val="center"/>
          </w:tcPr>
          <w:p w14:paraId="6DA156DA">
            <w:pPr>
              <w:autoSpaceDE w:val="0"/>
              <w:autoSpaceDN w:val="0"/>
              <w:adjustRightInd w:val="0"/>
              <w:jc w:val="center"/>
              <w:rPr>
                <w:rFonts w:hint="eastAsia" w:ascii="宋体" w:hAnsi="宋体" w:cs="Arial"/>
                <w:b/>
                <w:sz w:val="24"/>
                <w:szCs w:val="21"/>
                <w:highlight w:val="none"/>
              </w:rPr>
            </w:pPr>
            <w:r>
              <w:rPr>
                <w:rFonts w:hint="eastAsia" w:ascii="宋体" w:hAnsi="宋体" w:cs="Arial"/>
                <w:b/>
                <w:sz w:val="24"/>
                <w:szCs w:val="21"/>
                <w:highlight w:val="none"/>
              </w:rPr>
              <w:t>单价</w:t>
            </w:r>
          </w:p>
        </w:tc>
        <w:tc>
          <w:tcPr>
            <w:tcW w:w="720" w:type="dxa"/>
            <w:tcBorders>
              <w:top w:val="single" w:color="auto" w:sz="8" w:space="0"/>
              <w:left w:val="single" w:color="auto" w:sz="8" w:space="0"/>
              <w:bottom w:val="single" w:color="auto" w:sz="8" w:space="0"/>
              <w:right w:val="single" w:color="auto" w:sz="8" w:space="0"/>
            </w:tcBorders>
            <w:noWrap w:val="0"/>
            <w:vAlign w:val="center"/>
          </w:tcPr>
          <w:p w14:paraId="7ADF3C9A">
            <w:pPr>
              <w:autoSpaceDE w:val="0"/>
              <w:autoSpaceDN w:val="0"/>
              <w:adjustRightInd w:val="0"/>
              <w:jc w:val="center"/>
              <w:rPr>
                <w:rFonts w:hint="eastAsia" w:ascii="宋体" w:hAnsi="宋体" w:cs="Arial"/>
                <w:b/>
                <w:sz w:val="24"/>
                <w:szCs w:val="21"/>
                <w:highlight w:val="none"/>
              </w:rPr>
            </w:pPr>
            <w:r>
              <w:rPr>
                <w:rFonts w:hint="eastAsia" w:ascii="宋体" w:hAnsi="宋体" w:cs="Arial"/>
                <w:b/>
                <w:sz w:val="24"/>
                <w:szCs w:val="21"/>
                <w:highlight w:val="none"/>
              </w:rPr>
              <w:t>数量</w:t>
            </w:r>
          </w:p>
        </w:tc>
        <w:tc>
          <w:tcPr>
            <w:tcW w:w="1260" w:type="dxa"/>
            <w:tcBorders>
              <w:top w:val="single" w:color="auto" w:sz="8" w:space="0"/>
              <w:left w:val="single" w:color="auto" w:sz="8" w:space="0"/>
              <w:bottom w:val="single" w:color="auto" w:sz="8" w:space="0"/>
              <w:right w:val="single" w:color="auto" w:sz="8" w:space="0"/>
            </w:tcBorders>
            <w:noWrap w:val="0"/>
            <w:vAlign w:val="center"/>
          </w:tcPr>
          <w:p w14:paraId="6DD4A8FC">
            <w:pPr>
              <w:autoSpaceDE w:val="0"/>
              <w:autoSpaceDN w:val="0"/>
              <w:adjustRightInd w:val="0"/>
              <w:jc w:val="center"/>
              <w:rPr>
                <w:rFonts w:hint="eastAsia" w:ascii="宋体" w:hAnsi="宋体" w:cs="Arial"/>
                <w:b/>
                <w:sz w:val="24"/>
                <w:szCs w:val="21"/>
                <w:highlight w:val="none"/>
              </w:rPr>
            </w:pPr>
            <w:r>
              <w:rPr>
                <w:rFonts w:hint="eastAsia" w:ascii="宋体" w:hAnsi="宋体" w:cs="Arial"/>
                <w:b/>
                <w:sz w:val="24"/>
                <w:szCs w:val="21"/>
                <w:highlight w:val="none"/>
              </w:rPr>
              <w:t>合计</w:t>
            </w:r>
          </w:p>
        </w:tc>
        <w:tc>
          <w:tcPr>
            <w:tcW w:w="1260" w:type="dxa"/>
            <w:tcBorders>
              <w:top w:val="single" w:color="auto" w:sz="8" w:space="0"/>
              <w:left w:val="single" w:color="auto" w:sz="8" w:space="0"/>
              <w:bottom w:val="single" w:color="auto" w:sz="8" w:space="0"/>
              <w:right w:val="single" w:color="auto" w:sz="8" w:space="0"/>
            </w:tcBorders>
            <w:noWrap w:val="0"/>
            <w:vAlign w:val="center"/>
          </w:tcPr>
          <w:p w14:paraId="05C6E61D">
            <w:pPr>
              <w:autoSpaceDE w:val="0"/>
              <w:autoSpaceDN w:val="0"/>
              <w:adjustRightInd w:val="0"/>
              <w:jc w:val="center"/>
              <w:rPr>
                <w:rFonts w:hint="eastAsia" w:ascii="宋体" w:hAnsi="宋体" w:cs="Arial"/>
                <w:b/>
                <w:sz w:val="24"/>
                <w:szCs w:val="21"/>
                <w:highlight w:val="none"/>
              </w:rPr>
            </w:pPr>
            <w:r>
              <w:rPr>
                <w:rFonts w:hint="eastAsia" w:ascii="宋体" w:hAnsi="宋体" w:cs="Arial"/>
                <w:b/>
                <w:sz w:val="24"/>
                <w:szCs w:val="21"/>
                <w:highlight w:val="none"/>
              </w:rPr>
              <w:t>备注</w:t>
            </w:r>
          </w:p>
        </w:tc>
      </w:tr>
      <w:tr w14:paraId="109A815F">
        <w:tblPrEx>
          <w:tblCellMar>
            <w:top w:w="0" w:type="dxa"/>
            <w:left w:w="30" w:type="dxa"/>
            <w:bottom w:w="0" w:type="dxa"/>
            <w:right w:w="30" w:type="dxa"/>
          </w:tblCellMar>
        </w:tblPrEx>
        <w:trPr>
          <w:trHeight w:val="770" w:hRule="exact"/>
          <w:jc w:val="center"/>
        </w:trPr>
        <w:tc>
          <w:tcPr>
            <w:tcW w:w="720" w:type="dxa"/>
            <w:tcBorders>
              <w:top w:val="single" w:color="auto" w:sz="8" w:space="0"/>
              <w:left w:val="single" w:color="auto" w:sz="8" w:space="0"/>
              <w:bottom w:val="single" w:color="auto" w:sz="8" w:space="0"/>
              <w:right w:val="single" w:color="auto" w:sz="8" w:space="0"/>
            </w:tcBorders>
            <w:noWrap w:val="0"/>
            <w:vAlign w:val="center"/>
          </w:tcPr>
          <w:p w14:paraId="37E52598">
            <w:pPr>
              <w:autoSpaceDE w:val="0"/>
              <w:autoSpaceDN w:val="0"/>
              <w:adjustRightInd w:val="0"/>
              <w:jc w:val="center"/>
              <w:rPr>
                <w:rFonts w:hint="eastAsia" w:ascii="宋体" w:hAnsi="宋体" w:cs="Arial"/>
                <w:sz w:val="24"/>
                <w:szCs w:val="21"/>
                <w:highlight w:val="none"/>
              </w:rPr>
            </w:pPr>
            <w:r>
              <w:rPr>
                <w:rFonts w:ascii="宋体" w:hAnsi="宋体" w:cs="Arial"/>
                <w:sz w:val="24"/>
                <w:szCs w:val="21"/>
                <w:highlight w:val="none"/>
              </w:rPr>
              <w:t>1</w:t>
            </w:r>
          </w:p>
        </w:tc>
        <w:tc>
          <w:tcPr>
            <w:tcW w:w="1448" w:type="dxa"/>
            <w:tcBorders>
              <w:top w:val="single" w:color="auto" w:sz="8" w:space="0"/>
              <w:left w:val="single" w:color="auto" w:sz="8" w:space="0"/>
              <w:bottom w:val="single" w:color="auto" w:sz="8" w:space="0"/>
              <w:right w:val="single" w:color="auto" w:sz="8" w:space="0"/>
            </w:tcBorders>
            <w:noWrap w:val="0"/>
            <w:vAlign w:val="bottom"/>
          </w:tcPr>
          <w:p w14:paraId="394DCA94">
            <w:pPr>
              <w:rPr>
                <w:rFonts w:hint="eastAsia" w:ascii="宋体" w:hAnsi="宋体" w:cs="宋体"/>
                <w:sz w:val="24"/>
                <w:highlight w:val="none"/>
              </w:rPr>
            </w:pPr>
            <w:r>
              <w:rPr>
                <w:rFonts w:hint="eastAsia"/>
                <w:sz w:val="24"/>
                <w:highlight w:val="none"/>
              </w:rPr>
              <w:t xml:space="preserve"> </w:t>
            </w:r>
          </w:p>
          <w:p w14:paraId="43394D4B">
            <w:pPr>
              <w:rPr>
                <w:rFonts w:hint="eastAsia" w:ascii="宋体" w:hAnsi="宋体" w:cs="Arial"/>
                <w:sz w:val="24"/>
                <w:highlight w:val="none"/>
              </w:rPr>
            </w:pPr>
          </w:p>
        </w:tc>
        <w:tc>
          <w:tcPr>
            <w:tcW w:w="2332" w:type="dxa"/>
            <w:tcBorders>
              <w:top w:val="single" w:color="auto" w:sz="8" w:space="0"/>
              <w:left w:val="single" w:color="auto" w:sz="8" w:space="0"/>
              <w:bottom w:val="single" w:color="auto" w:sz="8" w:space="0"/>
              <w:right w:val="single" w:color="auto" w:sz="8" w:space="0"/>
            </w:tcBorders>
            <w:noWrap w:val="0"/>
            <w:vAlign w:val="center"/>
          </w:tcPr>
          <w:p w14:paraId="4B85E979">
            <w:pPr>
              <w:autoSpaceDE w:val="0"/>
              <w:autoSpaceDN w:val="0"/>
              <w:adjustRightInd w:val="0"/>
              <w:jc w:val="right"/>
              <w:rPr>
                <w:rFonts w:hint="eastAsia" w:ascii="宋体" w:hAnsi="宋体" w:cs="Arial"/>
                <w:sz w:val="24"/>
                <w:szCs w:val="21"/>
                <w:highlight w:val="none"/>
              </w:rPr>
            </w:pPr>
          </w:p>
        </w:tc>
        <w:tc>
          <w:tcPr>
            <w:tcW w:w="902" w:type="dxa"/>
            <w:tcBorders>
              <w:top w:val="single" w:color="auto" w:sz="8" w:space="0"/>
              <w:left w:val="single" w:color="auto" w:sz="8" w:space="0"/>
              <w:bottom w:val="single" w:color="auto" w:sz="8" w:space="0"/>
              <w:right w:val="single" w:color="auto" w:sz="8" w:space="0"/>
            </w:tcBorders>
            <w:noWrap w:val="0"/>
            <w:vAlign w:val="top"/>
          </w:tcPr>
          <w:p w14:paraId="4AC9F4D9">
            <w:pPr>
              <w:autoSpaceDE w:val="0"/>
              <w:autoSpaceDN w:val="0"/>
              <w:adjustRightInd w:val="0"/>
              <w:jc w:val="right"/>
              <w:rPr>
                <w:rFonts w:hint="eastAsia" w:ascii="宋体" w:hAnsi="宋体" w:cs="Arial"/>
                <w:sz w:val="24"/>
                <w:szCs w:val="21"/>
                <w:highlight w:val="none"/>
              </w:rPr>
            </w:pPr>
          </w:p>
        </w:tc>
        <w:tc>
          <w:tcPr>
            <w:tcW w:w="720" w:type="dxa"/>
            <w:tcBorders>
              <w:top w:val="single" w:color="auto" w:sz="8" w:space="0"/>
              <w:left w:val="single" w:color="auto" w:sz="8" w:space="0"/>
              <w:bottom w:val="single" w:color="auto" w:sz="8" w:space="0"/>
              <w:right w:val="single" w:color="auto" w:sz="8" w:space="0"/>
            </w:tcBorders>
            <w:noWrap w:val="0"/>
            <w:vAlign w:val="top"/>
          </w:tcPr>
          <w:p w14:paraId="290ADE33">
            <w:pPr>
              <w:autoSpaceDE w:val="0"/>
              <w:autoSpaceDN w:val="0"/>
              <w:adjustRightInd w:val="0"/>
              <w:jc w:val="right"/>
              <w:rPr>
                <w:rFonts w:hint="eastAsia" w:ascii="宋体" w:hAnsi="宋体" w:cs="Arial"/>
                <w:sz w:val="24"/>
                <w:szCs w:val="21"/>
                <w:highlight w:val="none"/>
              </w:rPr>
            </w:pPr>
          </w:p>
        </w:tc>
        <w:tc>
          <w:tcPr>
            <w:tcW w:w="1260" w:type="dxa"/>
            <w:tcBorders>
              <w:top w:val="single" w:color="auto" w:sz="8" w:space="0"/>
              <w:left w:val="single" w:color="auto" w:sz="8" w:space="0"/>
              <w:bottom w:val="single" w:color="auto" w:sz="8" w:space="0"/>
              <w:right w:val="single" w:color="auto" w:sz="8" w:space="0"/>
            </w:tcBorders>
            <w:noWrap w:val="0"/>
            <w:vAlign w:val="top"/>
          </w:tcPr>
          <w:p w14:paraId="1AEFCBDB">
            <w:pPr>
              <w:rPr>
                <w:rFonts w:hint="eastAsia" w:ascii="宋体" w:hAnsi="宋体" w:cs="Arial"/>
                <w:sz w:val="24"/>
                <w:szCs w:val="21"/>
                <w:highlight w:val="none"/>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25D6C994">
            <w:pPr>
              <w:rPr>
                <w:rFonts w:hint="eastAsia" w:ascii="宋体" w:hAnsi="宋体" w:cs="Arial"/>
                <w:sz w:val="24"/>
                <w:szCs w:val="21"/>
                <w:highlight w:val="none"/>
              </w:rPr>
            </w:pPr>
          </w:p>
        </w:tc>
      </w:tr>
      <w:tr w14:paraId="53FE6052">
        <w:tblPrEx>
          <w:tblCellMar>
            <w:top w:w="0" w:type="dxa"/>
            <w:left w:w="30" w:type="dxa"/>
            <w:bottom w:w="0" w:type="dxa"/>
            <w:right w:w="30" w:type="dxa"/>
          </w:tblCellMar>
        </w:tblPrEx>
        <w:trPr>
          <w:trHeight w:val="734" w:hRule="exact"/>
          <w:jc w:val="center"/>
        </w:trPr>
        <w:tc>
          <w:tcPr>
            <w:tcW w:w="720" w:type="dxa"/>
            <w:tcBorders>
              <w:top w:val="single" w:color="auto" w:sz="8" w:space="0"/>
              <w:left w:val="single" w:color="auto" w:sz="8" w:space="0"/>
              <w:bottom w:val="single" w:color="auto" w:sz="8" w:space="0"/>
              <w:right w:val="single" w:color="auto" w:sz="8" w:space="0"/>
            </w:tcBorders>
            <w:noWrap w:val="0"/>
            <w:vAlign w:val="center"/>
          </w:tcPr>
          <w:p w14:paraId="54EDB550">
            <w:pPr>
              <w:autoSpaceDE w:val="0"/>
              <w:autoSpaceDN w:val="0"/>
              <w:adjustRightInd w:val="0"/>
              <w:jc w:val="center"/>
              <w:rPr>
                <w:rFonts w:hint="eastAsia" w:ascii="宋体" w:hAnsi="宋体" w:cs="Arial"/>
                <w:sz w:val="24"/>
                <w:szCs w:val="21"/>
                <w:highlight w:val="none"/>
              </w:rPr>
            </w:pPr>
            <w:r>
              <w:rPr>
                <w:rFonts w:hint="eastAsia" w:ascii="宋体" w:hAnsi="宋体" w:cs="Arial"/>
                <w:sz w:val="24"/>
                <w:szCs w:val="21"/>
                <w:highlight w:val="none"/>
              </w:rPr>
              <w:t>2</w:t>
            </w:r>
          </w:p>
        </w:tc>
        <w:tc>
          <w:tcPr>
            <w:tcW w:w="1448" w:type="dxa"/>
            <w:tcBorders>
              <w:top w:val="single" w:color="auto" w:sz="8" w:space="0"/>
              <w:left w:val="single" w:color="auto" w:sz="8" w:space="0"/>
              <w:bottom w:val="single" w:color="auto" w:sz="8" w:space="0"/>
              <w:right w:val="single" w:color="auto" w:sz="8" w:space="0"/>
            </w:tcBorders>
            <w:noWrap w:val="0"/>
            <w:vAlign w:val="bottom"/>
          </w:tcPr>
          <w:p w14:paraId="557C4514">
            <w:pPr>
              <w:rPr>
                <w:rFonts w:hint="eastAsia" w:ascii="宋体" w:hAnsi="宋体" w:cs="宋体"/>
                <w:sz w:val="24"/>
                <w:highlight w:val="none"/>
              </w:rPr>
            </w:pPr>
            <w:r>
              <w:rPr>
                <w:rFonts w:hint="eastAsia"/>
                <w:sz w:val="24"/>
                <w:highlight w:val="none"/>
              </w:rPr>
              <w:t xml:space="preserve"> </w:t>
            </w:r>
          </w:p>
          <w:p w14:paraId="339611D0">
            <w:pPr>
              <w:rPr>
                <w:rFonts w:hint="eastAsia" w:ascii="宋体" w:hAnsi="宋体" w:cs="Arial"/>
                <w:sz w:val="24"/>
                <w:highlight w:val="none"/>
              </w:rPr>
            </w:pPr>
          </w:p>
        </w:tc>
        <w:tc>
          <w:tcPr>
            <w:tcW w:w="2332" w:type="dxa"/>
            <w:tcBorders>
              <w:top w:val="single" w:color="auto" w:sz="8" w:space="0"/>
              <w:left w:val="single" w:color="auto" w:sz="8" w:space="0"/>
              <w:bottom w:val="single" w:color="auto" w:sz="8" w:space="0"/>
              <w:right w:val="single" w:color="auto" w:sz="8" w:space="0"/>
            </w:tcBorders>
            <w:noWrap w:val="0"/>
            <w:vAlign w:val="center"/>
          </w:tcPr>
          <w:p w14:paraId="6B6B4DDB">
            <w:pPr>
              <w:autoSpaceDE w:val="0"/>
              <w:autoSpaceDN w:val="0"/>
              <w:adjustRightInd w:val="0"/>
              <w:jc w:val="right"/>
              <w:rPr>
                <w:rFonts w:hint="eastAsia" w:ascii="宋体" w:hAnsi="宋体" w:cs="Arial"/>
                <w:sz w:val="24"/>
                <w:szCs w:val="21"/>
                <w:highlight w:val="none"/>
              </w:rPr>
            </w:pPr>
          </w:p>
        </w:tc>
        <w:tc>
          <w:tcPr>
            <w:tcW w:w="902" w:type="dxa"/>
            <w:tcBorders>
              <w:top w:val="single" w:color="auto" w:sz="8" w:space="0"/>
              <w:left w:val="single" w:color="auto" w:sz="8" w:space="0"/>
              <w:bottom w:val="single" w:color="auto" w:sz="8" w:space="0"/>
              <w:right w:val="single" w:color="auto" w:sz="8" w:space="0"/>
            </w:tcBorders>
            <w:noWrap w:val="0"/>
            <w:vAlign w:val="top"/>
          </w:tcPr>
          <w:p w14:paraId="0F1DD6BE">
            <w:pPr>
              <w:autoSpaceDE w:val="0"/>
              <w:autoSpaceDN w:val="0"/>
              <w:adjustRightInd w:val="0"/>
              <w:jc w:val="right"/>
              <w:rPr>
                <w:rFonts w:hint="eastAsia" w:ascii="宋体" w:hAnsi="宋体" w:cs="Arial"/>
                <w:sz w:val="24"/>
                <w:szCs w:val="21"/>
                <w:highlight w:val="none"/>
              </w:rPr>
            </w:pPr>
          </w:p>
        </w:tc>
        <w:tc>
          <w:tcPr>
            <w:tcW w:w="720" w:type="dxa"/>
            <w:tcBorders>
              <w:top w:val="single" w:color="auto" w:sz="8" w:space="0"/>
              <w:left w:val="single" w:color="auto" w:sz="8" w:space="0"/>
              <w:bottom w:val="single" w:color="auto" w:sz="8" w:space="0"/>
              <w:right w:val="single" w:color="auto" w:sz="8" w:space="0"/>
            </w:tcBorders>
            <w:noWrap w:val="0"/>
            <w:vAlign w:val="top"/>
          </w:tcPr>
          <w:p w14:paraId="45940282">
            <w:pPr>
              <w:autoSpaceDE w:val="0"/>
              <w:autoSpaceDN w:val="0"/>
              <w:adjustRightInd w:val="0"/>
              <w:jc w:val="right"/>
              <w:rPr>
                <w:rFonts w:hint="eastAsia" w:ascii="宋体" w:hAnsi="宋体" w:cs="Arial"/>
                <w:sz w:val="24"/>
                <w:szCs w:val="21"/>
                <w:highlight w:val="none"/>
              </w:rPr>
            </w:pPr>
          </w:p>
        </w:tc>
        <w:tc>
          <w:tcPr>
            <w:tcW w:w="1260" w:type="dxa"/>
            <w:tcBorders>
              <w:top w:val="single" w:color="auto" w:sz="8" w:space="0"/>
              <w:left w:val="single" w:color="auto" w:sz="8" w:space="0"/>
              <w:bottom w:val="single" w:color="auto" w:sz="8" w:space="0"/>
              <w:right w:val="single" w:color="auto" w:sz="8" w:space="0"/>
            </w:tcBorders>
            <w:noWrap w:val="0"/>
            <w:vAlign w:val="top"/>
          </w:tcPr>
          <w:p w14:paraId="652BAEF7">
            <w:pPr>
              <w:rPr>
                <w:rFonts w:hint="eastAsia" w:ascii="宋体" w:hAnsi="宋体" w:cs="Arial"/>
                <w:sz w:val="24"/>
                <w:szCs w:val="21"/>
                <w:highlight w:val="none"/>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27A6C829">
            <w:pPr>
              <w:rPr>
                <w:rFonts w:hint="eastAsia" w:ascii="宋体" w:hAnsi="宋体" w:cs="Arial"/>
                <w:sz w:val="24"/>
                <w:szCs w:val="21"/>
                <w:highlight w:val="none"/>
              </w:rPr>
            </w:pPr>
          </w:p>
        </w:tc>
      </w:tr>
      <w:tr w14:paraId="3A8BF9DD">
        <w:trPr>
          <w:trHeight w:val="676" w:hRule="exact"/>
          <w:jc w:val="center"/>
        </w:trPr>
        <w:tc>
          <w:tcPr>
            <w:tcW w:w="720" w:type="dxa"/>
            <w:tcBorders>
              <w:top w:val="single" w:color="auto" w:sz="8" w:space="0"/>
              <w:left w:val="single" w:color="auto" w:sz="8" w:space="0"/>
              <w:bottom w:val="single" w:color="auto" w:sz="8" w:space="0"/>
              <w:right w:val="single" w:color="auto" w:sz="8" w:space="0"/>
            </w:tcBorders>
            <w:noWrap w:val="0"/>
            <w:vAlign w:val="center"/>
          </w:tcPr>
          <w:p w14:paraId="60DFDEE7">
            <w:pPr>
              <w:autoSpaceDE w:val="0"/>
              <w:autoSpaceDN w:val="0"/>
              <w:adjustRightInd w:val="0"/>
              <w:jc w:val="center"/>
              <w:rPr>
                <w:rFonts w:hint="eastAsia" w:ascii="宋体" w:hAnsi="宋体" w:cs="Arial"/>
                <w:sz w:val="24"/>
                <w:szCs w:val="21"/>
                <w:highlight w:val="none"/>
              </w:rPr>
            </w:pPr>
            <w:r>
              <w:rPr>
                <w:rFonts w:hint="eastAsia" w:ascii="宋体" w:hAnsi="宋体" w:cs="Arial"/>
                <w:sz w:val="24"/>
                <w:szCs w:val="21"/>
                <w:highlight w:val="none"/>
              </w:rPr>
              <w:t>3</w:t>
            </w:r>
          </w:p>
        </w:tc>
        <w:tc>
          <w:tcPr>
            <w:tcW w:w="1448" w:type="dxa"/>
            <w:tcBorders>
              <w:top w:val="single" w:color="auto" w:sz="8" w:space="0"/>
              <w:left w:val="single" w:color="auto" w:sz="8" w:space="0"/>
              <w:bottom w:val="single" w:color="auto" w:sz="8" w:space="0"/>
              <w:right w:val="single" w:color="auto" w:sz="8" w:space="0"/>
            </w:tcBorders>
            <w:noWrap w:val="0"/>
            <w:vAlign w:val="bottom"/>
          </w:tcPr>
          <w:p w14:paraId="431293EE">
            <w:pPr>
              <w:rPr>
                <w:rFonts w:hint="eastAsia" w:ascii="宋体" w:hAnsi="宋体" w:cs="宋体"/>
                <w:sz w:val="24"/>
                <w:highlight w:val="none"/>
              </w:rPr>
            </w:pPr>
            <w:r>
              <w:rPr>
                <w:rFonts w:hint="eastAsia"/>
                <w:sz w:val="24"/>
                <w:highlight w:val="none"/>
              </w:rPr>
              <w:t xml:space="preserve"> </w:t>
            </w:r>
          </w:p>
          <w:p w14:paraId="7C6B9E47">
            <w:pPr>
              <w:rPr>
                <w:rFonts w:hint="eastAsia" w:ascii="宋体" w:hAnsi="宋体" w:cs="Arial"/>
                <w:sz w:val="24"/>
                <w:highlight w:val="none"/>
              </w:rPr>
            </w:pPr>
          </w:p>
        </w:tc>
        <w:tc>
          <w:tcPr>
            <w:tcW w:w="2332" w:type="dxa"/>
            <w:tcBorders>
              <w:top w:val="single" w:color="auto" w:sz="8" w:space="0"/>
              <w:left w:val="single" w:color="auto" w:sz="8" w:space="0"/>
              <w:bottom w:val="single" w:color="auto" w:sz="8" w:space="0"/>
              <w:right w:val="single" w:color="auto" w:sz="8" w:space="0"/>
            </w:tcBorders>
            <w:noWrap w:val="0"/>
            <w:vAlign w:val="center"/>
          </w:tcPr>
          <w:p w14:paraId="1CFEC8CB">
            <w:pPr>
              <w:autoSpaceDE w:val="0"/>
              <w:autoSpaceDN w:val="0"/>
              <w:adjustRightInd w:val="0"/>
              <w:jc w:val="right"/>
              <w:rPr>
                <w:rFonts w:hint="eastAsia" w:ascii="宋体" w:hAnsi="宋体" w:cs="Arial"/>
                <w:sz w:val="24"/>
                <w:szCs w:val="21"/>
                <w:highlight w:val="none"/>
              </w:rPr>
            </w:pPr>
          </w:p>
        </w:tc>
        <w:tc>
          <w:tcPr>
            <w:tcW w:w="902" w:type="dxa"/>
            <w:tcBorders>
              <w:top w:val="single" w:color="auto" w:sz="8" w:space="0"/>
              <w:left w:val="single" w:color="auto" w:sz="8" w:space="0"/>
              <w:bottom w:val="single" w:color="auto" w:sz="8" w:space="0"/>
              <w:right w:val="single" w:color="auto" w:sz="8" w:space="0"/>
            </w:tcBorders>
            <w:noWrap w:val="0"/>
            <w:vAlign w:val="top"/>
          </w:tcPr>
          <w:p w14:paraId="61AB0D29">
            <w:pPr>
              <w:autoSpaceDE w:val="0"/>
              <w:autoSpaceDN w:val="0"/>
              <w:adjustRightInd w:val="0"/>
              <w:jc w:val="right"/>
              <w:rPr>
                <w:rFonts w:hint="eastAsia" w:ascii="宋体" w:hAnsi="宋体" w:cs="Arial"/>
                <w:sz w:val="24"/>
                <w:szCs w:val="21"/>
                <w:highlight w:val="none"/>
              </w:rPr>
            </w:pPr>
          </w:p>
        </w:tc>
        <w:tc>
          <w:tcPr>
            <w:tcW w:w="720" w:type="dxa"/>
            <w:tcBorders>
              <w:top w:val="single" w:color="auto" w:sz="8" w:space="0"/>
              <w:left w:val="single" w:color="auto" w:sz="8" w:space="0"/>
              <w:bottom w:val="single" w:color="auto" w:sz="8" w:space="0"/>
              <w:right w:val="single" w:color="auto" w:sz="8" w:space="0"/>
            </w:tcBorders>
            <w:noWrap w:val="0"/>
            <w:vAlign w:val="top"/>
          </w:tcPr>
          <w:p w14:paraId="1410A7C2">
            <w:pPr>
              <w:autoSpaceDE w:val="0"/>
              <w:autoSpaceDN w:val="0"/>
              <w:adjustRightInd w:val="0"/>
              <w:jc w:val="right"/>
              <w:rPr>
                <w:rFonts w:hint="eastAsia" w:ascii="宋体" w:hAnsi="宋体" w:cs="Arial"/>
                <w:sz w:val="24"/>
                <w:szCs w:val="21"/>
                <w:highlight w:val="none"/>
              </w:rPr>
            </w:pPr>
          </w:p>
        </w:tc>
        <w:tc>
          <w:tcPr>
            <w:tcW w:w="1260" w:type="dxa"/>
            <w:tcBorders>
              <w:top w:val="single" w:color="auto" w:sz="8" w:space="0"/>
              <w:left w:val="single" w:color="auto" w:sz="8" w:space="0"/>
              <w:bottom w:val="single" w:color="auto" w:sz="8" w:space="0"/>
              <w:right w:val="single" w:color="auto" w:sz="8" w:space="0"/>
            </w:tcBorders>
            <w:noWrap w:val="0"/>
            <w:vAlign w:val="top"/>
          </w:tcPr>
          <w:p w14:paraId="3DBCB0A9">
            <w:pPr>
              <w:rPr>
                <w:rFonts w:hint="eastAsia" w:ascii="宋体" w:hAnsi="宋体" w:cs="Arial"/>
                <w:sz w:val="24"/>
                <w:szCs w:val="21"/>
                <w:highlight w:val="none"/>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6453B800">
            <w:pPr>
              <w:rPr>
                <w:rFonts w:hint="eastAsia" w:ascii="宋体" w:hAnsi="宋体" w:cs="Arial"/>
                <w:sz w:val="24"/>
                <w:szCs w:val="21"/>
                <w:highlight w:val="none"/>
              </w:rPr>
            </w:pPr>
          </w:p>
        </w:tc>
      </w:tr>
      <w:tr w14:paraId="2E27F657">
        <w:trPr>
          <w:trHeight w:val="676" w:hRule="exact"/>
          <w:jc w:val="center"/>
        </w:trPr>
        <w:tc>
          <w:tcPr>
            <w:tcW w:w="720" w:type="dxa"/>
            <w:tcBorders>
              <w:top w:val="single" w:color="auto" w:sz="8" w:space="0"/>
              <w:left w:val="single" w:color="auto" w:sz="8" w:space="0"/>
              <w:bottom w:val="single" w:color="auto" w:sz="8" w:space="0"/>
              <w:right w:val="single" w:color="auto" w:sz="8" w:space="0"/>
            </w:tcBorders>
            <w:noWrap w:val="0"/>
            <w:vAlign w:val="center"/>
          </w:tcPr>
          <w:p w14:paraId="57E8D70C">
            <w:pPr>
              <w:autoSpaceDE w:val="0"/>
              <w:autoSpaceDN w:val="0"/>
              <w:adjustRightInd w:val="0"/>
              <w:jc w:val="center"/>
              <w:rPr>
                <w:rFonts w:hint="eastAsia" w:ascii="宋体" w:hAnsi="宋体" w:cs="Arial"/>
                <w:sz w:val="24"/>
                <w:szCs w:val="21"/>
                <w:highlight w:val="none"/>
              </w:rPr>
            </w:pPr>
            <w:r>
              <w:rPr>
                <w:rFonts w:hint="eastAsia" w:ascii="宋体" w:hAnsi="宋体" w:cs="Arial"/>
                <w:sz w:val="24"/>
                <w:szCs w:val="21"/>
                <w:highlight w:val="none"/>
              </w:rPr>
              <w:t>4</w:t>
            </w:r>
          </w:p>
        </w:tc>
        <w:tc>
          <w:tcPr>
            <w:tcW w:w="1448" w:type="dxa"/>
            <w:tcBorders>
              <w:top w:val="single" w:color="auto" w:sz="8" w:space="0"/>
              <w:left w:val="single" w:color="auto" w:sz="8" w:space="0"/>
              <w:bottom w:val="single" w:color="auto" w:sz="8" w:space="0"/>
              <w:right w:val="single" w:color="auto" w:sz="8" w:space="0"/>
            </w:tcBorders>
            <w:noWrap w:val="0"/>
            <w:vAlign w:val="bottom"/>
          </w:tcPr>
          <w:p w14:paraId="17D28231">
            <w:pPr>
              <w:rPr>
                <w:sz w:val="24"/>
                <w:highlight w:val="none"/>
              </w:rPr>
            </w:pPr>
          </w:p>
        </w:tc>
        <w:tc>
          <w:tcPr>
            <w:tcW w:w="2332" w:type="dxa"/>
            <w:tcBorders>
              <w:top w:val="single" w:color="auto" w:sz="8" w:space="0"/>
              <w:left w:val="single" w:color="auto" w:sz="8" w:space="0"/>
              <w:bottom w:val="single" w:color="auto" w:sz="8" w:space="0"/>
              <w:right w:val="single" w:color="auto" w:sz="8" w:space="0"/>
            </w:tcBorders>
            <w:noWrap w:val="0"/>
            <w:vAlign w:val="center"/>
          </w:tcPr>
          <w:p w14:paraId="5A483179">
            <w:pPr>
              <w:autoSpaceDE w:val="0"/>
              <w:autoSpaceDN w:val="0"/>
              <w:adjustRightInd w:val="0"/>
              <w:jc w:val="right"/>
              <w:rPr>
                <w:rFonts w:hint="eastAsia" w:ascii="宋体" w:hAnsi="宋体" w:cs="Arial"/>
                <w:sz w:val="24"/>
                <w:szCs w:val="21"/>
                <w:highlight w:val="none"/>
              </w:rPr>
            </w:pPr>
          </w:p>
        </w:tc>
        <w:tc>
          <w:tcPr>
            <w:tcW w:w="902" w:type="dxa"/>
            <w:tcBorders>
              <w:top w:val="single" w:color="auto" w:sz="8" w:space="0"/>
              <w:left w:val="single" w:color="auto" w:sz="8" w:space="0"/>
              <w:bottom w:val="single" w:color="auto" w:sz="8" w:space="0"/>
              <w:right w:val="single" w:color="auto" w:sz="8" w:space="0"/>
            </w:tcBorders>
            <w:noWrap w:val="0"/>
            <w:vAlign w:val="top"/>
          </w:tcPr>
          <w:p w14:paraId="6B9162B9">
            <w:pPr>
              <w:autoSpaceDE w:val="0"/>
              <w:autoSpaceDN w:val="0"/>
              <w:adjustRightInd w:val="0"/>
              <w:jc w:val="right"/>
              <w:rPr>
                <w:rFonts w:hint="eastAsia" w:ascii="宋体" w:hAnsi="宋体" w:cs="Arial"/>
                <w:sz w:val="24"/>
                <w:szCs w:val="21"/>
                <w:highlight w:val="none"/>
              </w:rPr>
            </w:pPr>
          </w:p>
        </w:tc>
        <w:tc>
          <w:tcPr>
            <w:tcW w:w="720" w:type="dxa"/>
            <w:tcBorders>
              <w:top w:val="single" w:color="auto" w:sz="8" w:space="0"/>
              <w:left w:val="single" w:color="auto" w:sz="8" w:space="0"/>
              <w:bottom w:val="single" w:color="auto" w:sz="8" w:space="0"/>
              <w:right w:val="single" w:color="auto" w:sz="8" w:space="0"/>
            </w:tcBorders>
            <w:noWrap w:val="0"/>
            <w:vAlign w:val="top"/>
          </w:tcPr>
          <w:p w14:paraId="382A23DE">
            <w:pPr>
              <w:autoSpaceDE w:val="0"/>
              <w:autoSpaceDN w:val="0"/>
              <w:adjustRightInd w:val="0"/>
              <w:jc w:val="right"/>
              <w:rPr>
                <w:rFonts w:hint="eastAsia" w:ascii="宋体" w:hAnsi="宋体" w:cs="Arial"/>
                <w:sz w:val="24"/>
                <w:szCs w:val="21"/>
                <w:highlight w:val="none"/>
              </w:rPr>
            </w:pPr>
          </w:p>
        </w:tc>
        <w:tc>
          <w:tcPr>
            <w:tcW w:w="1260" w:type="dxa"/>
            <w:tcBorders>
              <w:top w:val="single" w:color="auto" w:sz="8" w:space="0"/>
              <w:left w:val="single" w:color="auto" w:sz="8" w:space="0"/>
              <w:bottom w:val="single" w:color="auto" w:sz="8" w:space="0"/>
              <w:right w:val="single" w:color="auto" w:sz="8" w:space="0"/>
            </w:tcBorders>
            <w:noWrap w:val="0"/>
            <w:vAlign w:val="top"/>
          </w:tcPr>
          <w:p w14:paraId="27BEE710">
            <w:pPr>
              <w:rPr>
                <w:rFonts w:hint="eastAsia" w:ascii="宋体" w:hAnsi="宋体" w:cs="Arial"/>
                <w:sz w:val="24"/>
                <w:szCs w:val="21"/>
                <w:highlight w:val="none"/>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04123DD9">
            <w:pPr>
              <w:rPr>
                <w:rFonts w:hint="eastAsia" w:ascii="宋体" w:hAnsi="宋体" w:cs="Arial"/>
                <w:sz w:val="24"/>
                <w:szCs w:val="21"/>
                <w:highlight w:val="none"/>
              </w:rPr>
            </w:pPr>
          </w:p>
        </w:tc>
      </w:tr>
      <w:tr w14:paraId="4A45CD6F">
        <w:trPr>
          <w:trHeight w:val="676" w:hRule="exact"/>
          <w:jc w:val="center"/>
        </w:trPr>
        <w:tc>
          <w:tcPr>
            <w:tcW w:w="720" w:type="dxa"/>
            <w:tcBorders>
              <w:top w:val="single" w:color="auto" w:sz="8" w:space="0"/>
              <w:left w:val="single" w:color="auto" w:sz="8" w:space="0"/>
              <w:bottom w:val="single" w:color="auto" w:sz="8" w:space="0"/>
              <w:right w:val="single" w:color="auto" w:sz="8" w:space="0"/>
            </w:tcBorders>
            <w:noWrap w:val="0"/>
            <w:vAlign w:val="center"/>
          </w:tcPr>
          <w:p w14:paraId="7DC18BD1">
            <w:pPr>
              <w:autoSpaceDE w:val="0"/>
              <w:autoSpaceDN w:val="0"/>
              <w:adjustRightInd w:val="0"/>
              <w:jc w:val="center"/>
              <w:rPr>
                <w:rFonts w:hint="eastAsia" w:ascii="宋体" w:hAnsi="宋体" w:cs="Arial"/>
                <w:sz w:val="24"/>
                <w:szCs w:val="21"/>
                <w:highlight w:val="none"/>
              </w:rPr>
            </w:pPr>
            <w:r>
              <w:rPr>
                <w:rFonts w:ascii="宋体" w:hAnsi="宋体" w:cs="Arial"/>
                <w:sz w:val="24"/>
                <w:szCs w:val="21"/>
                <w:highlight w:val="none"/>
              </w:rPr>
              <w:t>…</w:t>
            </w:r>
          </w:p>
        </w:tc>
        <w:tc>
          <w:tcPr>
            <w:tcW w:w="1448" w:type="dxa"/>
            <w:tcBorders>
              <w:top w:val="single" w:color="auto" w:sz="8" w:space="0"/>
              <w:left w:val="single" w:color="auto" w:sz="8" w:space="0"/>
              <w:bottom w:val="single" w:color="auto" w:sz="8" w:space="0"/>
              <w:right w:val="single" w:color="auto" w:sz="8" w:space="0"/>
            </w:tcBorders>
            <w:noWrap w:val="0"/>
            <w:vAlign w:val="bottom"/>
          </w:tcPr>
          <w:p w14:paraId="27AA9FDA">
            <w:pPr>
              <w:rPr>
                <w:sz w:val="24"/>
                <w:highlight w:val="none"/>
              </w:rPr>
            </w:pPr>
          </w:p>
        </w:tc>
        <w:tc>
          <w:tcPr>
            <w:tcW w:w="2332" w:type="dxa"/>
            <w:tcBorders>
              <w:top w:val="single" w:color="auto" w:sz="8" w:space="0"/>
              <w:left w:val="single" w:color="auto" w:sz="8" w:space="0"/>
              <w:bottom w:val="single" w:color="auto" w:sz="8" w:space="0"/>
              <w:right w:val="single" w:color="auto" w:sz="8" w:space="0"/>
            </w:tcBorders>
            <w:noWrap w:val="0"/>
            <w:vAlign w:val="center"/>
          </w:tcPr>
          <w:p w14:paraId="2D3FA29F">
            <w:pPr>
              <w:autoSpaceDE w:val="0"/>
              <w:autoSpaceDN w:val="0"/>
              <w:adjustRightInd w:val="0"/>
              <w:jc w:val="right"/>
              <w:rPr>
                <w:rFonts w:hint="eastAsia" w:ascii="宋体" w:hAnsi="宋体" w:cs="Arial"/>
                <w:sz w:val="24"/>
                <w:szCs w:val="21"/>
                <w:highlight w:val="none"/>
              </w:rPr>
            </w:pPr>
          </w:p>
        </w:tc>
        <w:tc>
          <w:tcPr>
            <w:tcW w:w="902" w:type="dxa"/>
            <w:tcBorders>
              <w:top w:val="single" w:color="auto" w:sz="8" w:space="0"/>
              <w:left w:val="single" w:color="auto" w:sz="8" w:space="0"/>
              <w:bottom w:val="single" w:color="auto" w:sz="8" w:space="0"/>
              <w:right w:val="single" w:color="auto" w:sz="8" w:space="0"/>
            </w:tcBorders>
            <w:noWrap w:val="0"/>
            <w:vAlign w:val="top"/>
          </w:tcPr>
          <w:p w14:paraId="567E0B82">
            <w:pPr>
              <w:autoSpaceDE w:val="0"/>
              <w:autoSpaceDN w:val="0"/>
              <w:adjustRightInd w:val="0"/>
              <w:jc w:val="right"/>
              <w:rPr>
                <w:rFonts w:hint="eastAsia" w:ascii="宋体" w:hAnsi="宋体" w:cs="Arial"/>
                <w:sz w:val="24"/>
                <w:szCs w:val="21"/>
                <w:highlight w:val="none"/>
              </w:rPr>
            </w:pPr>
          </w:p>
        </w:tc>
        <w:tc>
          <w:tcPr>
            <w:tcW w:w="720" w:type="dxa"/>
            <w:tcBorders>
              <w:top w:val="single" w:color="auto" w:sz="8" w:space="0"/>
              <w:left w:val="single" w:color="auto" w:sz="8" w:space="0"/>
              <w:bottom w:val="single" w:color="auto" w:sz="8" w:space="0"/>
              <w:right w:val="single" w:color="auto" w:sz="8" w:space="0"/>
            </w:tcBorders>
            <w:noWrap w:val="0"/>
            <w:vAlign w:val="top"/>
          </w:tcPr>
          <w:p w14:paraId="5AA6675B">
            <w:pPr>
              <w:autoSpaceDE w:val="0"/>
              <w:autoSpaceDN w:val="0"/>
              <w:adjustRightInd w:val="0"/>
              <w:jc w:val="right"/>
              <w:rPr>
                <w:rFonts w:hint="eastAsia" w:ascii="宋体" w:hAnsi="宋体" w:cs="Arial"/>
                <w:sz w:val="24"/>
                <w:szCs w:val="21"/>
                <w:highlight w:val="none"/>
              </w:rPr>
            </w:pPr>
          </w:p>
        </w:tc>
        <w:tc>
          <w:tcPr>
            <w:tcW w:w="1260" w:type="dxa"/>
            <w:tcBorders>
              <w:top w:val="single" w:color="auto" w:sz="8" w:space="0"/>
              <w:left w:val="single" w:color="auto" w:sz="8" w:space="0"/>
              <w:bottom w:val="single" w:color="auto" w:sz="8" w:space="0"/>
              <w:right w:val="single" w:color="auto" w:sz="8" w:space="0"/>
            </w:tcBorders>
            <w:noWrap w:val="0"/>
            <w:vAlign w:val="top"/>
          </w:tcPr>
          <w:p w14:paraId="11FA3D86">
            <w:pPr>
              <w:rPr>
                <w:rFonts w:hint="eastAsia" w:ascii="宋体" w:hAnsi="宋体" w:cs="Arial"/>
                <w:sz w:val="24"/>
                <w:szCs w:val="21"/>
                <w:highlight w:val="none"/>
              </w:rPr>
            </w:pPr>
          </w:p>
        </w:tc>
        <w:tc>
          <w:tcPr>
            <w:tcW w:w="1260" w:type="dxa"/>
            <w:tcBorders>
              <w:top w:val="single" w:color="auto" w:sz="8" w:space="0"/>
              <w:left w:val="single" w:color="auto" w:sz="8" w:space="0"/>
              <w:bottom w:val="single" w:color="auto" w:sz="8" w:space="0"/>
              <w:right w:val="single" w:color="auto" w:sz="8" w:space="0"/>
            </w:tcBorders>
            <w:noWrap w:val="0"/>
            <w:vAlign w:val="center"/>
          </w:tcPr>
          <w:p w14:paraId="471F194D">
            <w:pPr>
              <w:rPr>
                <w:rFonts w:hint="eastAsia" w:ascii="宋体" w:hAnsi="宋体" w:cs="Arial"/>
                <w:sz w:val="24"/>
                <w:szCs w:val="21"/>
                <w:highlight w:val="none"/>
              </w:rPr>
            </w:pPr>
          </w:p>
        </w:tc>
      </w:tr>
      <w:tr w14:paraId="7E35A853">
        <w:tblPrEx>
          <w:tblCellMar>
            <w:top w:w="0" w:type="dxa"/>
            <w:left w:w="30" w:type="dxa"/>
            <w:bottom w:w="0" w:type="dxa"/>
            <w:right w:w="30" w:type="dxa"/>
          </w:tblCellMar>
        </w:tblPrEx>
        <w:trPr>
          <w:trHeight w:val="579" w:hRule="exact"/>
          <w:jc w:val="center"/>
        </w:trPr>
        <w:tc>
          <w:tcPr>
            <w:tcW w:w="2168" w:type="dxa"/>
            <w:gridSpan w:val="2"/>
            <w:tcBorders>
              <w:top w:val="single" w:color="auto" w:sz="8" w:space="0"/>
              <w:left w:val="single" w:color="auto" w:sz="8" w:space="0"/>
              <w:bottom w:val="single" w:color="auto" w:sz="8" w:space="0"/>
              <w:right w:val="single" w:color="auto" w:sz="8" w:space="0"/>
            </w:tcBorders>
            <w:noWrap w:val="0"/>
            <w:vAlign w:val="center"/>
          </w:tcPr>
          <w:p w14:paraId="3A711529">
            <w:pPr>
              <w:autoSpaceDE w:val="0"/>
              <w:autoSpaceDN w:val="0"/>
              <w:adjustRightInd w:val="0"/>
              <w:jc w:val="center"/>
              <w:rPr>
                <w:rFonts w:hint="eastAsia" w:ascii="宋体" w:hAnsi="宋体" w:cs="Arial"/>
                <w:sz w:val="24"/>
                <w:szCs w:val="21"/>
                <w:highlight w:val="none"/>
              </w:rPr>
            </w:pPr>
            <w:r>
              <w:rPr>
                <w:rFonts w:hint="eastAsia" w:ascii="宋体" w:hAnsi="宋体" w:cs="Arial"/>
                <w:b/>
                <w:sz w:val="24"/>
                <w:szCs w:val="21"/>
                <w:highlight w:val="none"/>
              </w:rPr>
              <w:t>报价</w:t>
            </w:r>
            <w:r>
              <w:rPr>
                <w:rFonts w:ascii="宋体" w:hAnsi="宋体" w:cs="Arial"/>
                <w:b/>
                <w:sz w:val="24"/>
                <w:szCs w:val="21"/>
                <w:highlight w:val="none"/>
              </w:rPr>
              <w:t>总</w:t>
            </w:r>
            <w:r>
              <w:rPr>
                <w:rFonts w:hint="eastAsia" w:ascii="宋体" w:hAnsi="宋体" w:cs="Arial"/>
                <w:b/>
                <w:sz w:val="24"/>
                <w:szCs w:val="21"/>
                <w:highlight w:val="none"/>
              </w:rPr>
              <w:t>额（小写）</w:t>
            </w:r>
          </w:p>
        </w:tc>
        <w:tc>
          <w:tcPr>
            <w:tcW w:w="3954" w:type="dxa"/>
            <w:gridSpan w:val="3"/>
            <w:tcBorders>
              <w:top w:val="single" w:color="auto" w:sz="8" w:space="0"/>
              <w:left w:val="single" w:color="auto" w:sz="8" w:space="0"/>
              <w:bottom w:val="single" w:color="auto" w:sz="8" w:space="0"/>
              <w:right w:val="single" w:color="auto" w:sz="8" w:space="0"/>
            </w:tcBorders>
            <w:noWrap w:val="0"/>
            <w:vAlign w:val="center"/>
          </w:tcPr>
          <w:p w14:paraId="5043A29E">
            <w:pPr>
              <w:autoSpaceDE w:val="0"/>
              <w:autoSpaceDN w:val="0"/>
              <w:adjustRightInd w:val="0"/>
              <w:jc w:val="right"/>
              <w:rPr>
                <w:rFonts w:hint="eastAsia" w:ascii="宋体" w:hAnsi="宋体" w:cs="Arial"/>
                <w:sz w:val="24"/>
                <w:szCs w:val="21"/>
                <w:highlight w:val="none"/>
              </w:rPr>
            </w:pPr>
          </w:p>
        </w:tc>
        <w:tc>
          <w:tcPr>
            <w:tcW w:w="2520" w:type="dxa"/>
            <w:gridSpan w:val="2"/>
            <w:vMerge w:val="restart"/>
            <w:tcBorders>
              <w:top w:val="single" w:color="auto" w:sz="8" w:space="0"/>
              <w:left w:val="single" w:color="auto" w:sz="8" w:space="0"/>
              <w:right w:val="single" w:color="auto" w:sz="8" w:space="0"/>
            </w:tcBorders>
            <w:noWrap w:val="0"/>
            <w:vAlign w:val="top"/>
          </w:tcPr>
          <w:p w14:paraId="325964D5">
            <w:pPr>
              <w:rPr>
                <w:rFonts w:hint="eastAsia" w:ascii="宋体" w:hAnsi="宋体" w:cs="Arial"/>
                <w:sz w:val="24"/>
                <w:szCs w:val="21"/>
                <w:highlight w:val="none"/>
              </w:rPr>
            </w:pPr>
            <w:r>
              <w:rPr>
                <w:rFonts w:hint="eastAsia" w:ascii="宋体" w:hAnsi="宋体" w:cs="Arial"/>
                <w:sz w:val="24"/>
                <w:szCs w:val="21"/>
                <w:highlight w:val="none"/>
              </w:rPr>
              <w:t>大小写应一致</w:t>
            </w:r>
          </w:p>
        </w:tc>
      </w:tr>
      <w:tr w14:paraId="61EC7E88">
        <w:tblPrEx>
          <w:tblCellMar>
            <w:top w:w="0" w:type="dxa"/>
            <w:left w:w="30" w:type="dxa"/>
            <w:bottom w:w="0" w:type="dxa"/>
            <w:right w:w="30" w:type="dxa"/>
          </w:tblCellMar>
        </w:tblPrEx>
        <w:trPr>
          <w:trHeight w:val="579" w:hRule="exact"/>
          <w:jc w:val="center"/>
        </w:trPr>
        <w:tc>
          <w:tcPr>
            <w:tcW w:w="2168" w:type="dxa"/>
            <w:gridSpan w:val="2"/>
            <w:tcBorders>
              <w:top w:val="single" w:color="auto" w:sz="8" w:space="0"/>
              <w:left w:val="single" w:color="auto" w:sz="8" w:space="0"/>
              <w:bottom w:val="single" w:color="auto" w:sz="8" w:space="0"/>
              <w:right w:val="single" w:color="auto" w:sz="8" w:space="0"/>
            </w:tcBorders>
            <w:noWrap w:val="0"/>
            <w:vAlign w:val="center"/>
          </w:tcPr>
          <w:p w14:paraId="7F2439EE">
            <w:pPr>
              <w:autoSpaceDE w:val="0"/>
              <w:autoSpaceDN w:val="0"/>
              <w:adjustRightInd w:val="0"/>
              <w:jc w:val="center"/>
              <w:rPr>
                <w:rFonts w:hint="eastAsia" w:ascii="宋体" w:hAnsi="宋体" w:cs="Arial"/>
                <w:sz w:val="24"/>
                <w:szCs w:val="21"/>
                <w:highlight w:val="none"/>
              </w:rPr>
            </w:pPr>
            <w:r>
              <w:rPr>
                <w:rFonts w:hint="eastAsia" w:ascii="宋体" w:hAnsi="宋体" w:cs="Arial"/>
                <w:b/>
                <w:sz w:val="24"/>
                <w:szCs w:val="21"/>
                <w:highlight w:val="none"/>
              </w:rPr>
              <w:t>报价</w:t>
            </w:r>
            <w:r>
              <w:rPr>
                <w:rFonts w:ascii="宋体" w:hAnsi="宋体" w:cs="Arial"/>
                <w:b/>
                <w:sz w:val="24"/>
                <w:szCs w:val="21"/>
                <w:highlight w:val="none"/>
              </w:rPr>
              <w:t>总</w:t>
            </w:r>
            <w:r>
              <w:rPr>
                <w:rFonts w:hint="eastAsia" w:ascii="宋体" w:hAnsi="宋体" w:cs="Arial"/>
                <w:b/>
                <w:sz w:val="24"/>
                <w:szCs w:val="21"/>
                <w:highlight w:val="none"/>
              </w:rPr>
              <w:t>额（</w:t>
            </w:r>
            <w:r>
              <w:rPr>
                <w:rFonts w:ascii="宋体" w:hAnsi="宋体" w:cs="Arial"/>
                <w:b/>
                <w:sz w:val="24"/>
                <w:szCs w:val="21"/>
                <w:highlight w:val="none"/>
              </w:rPr>
              <w:t>大</w:t>
            </w:r>
            <w:r>
              <w:rPr>
                <w:rFonts w:hint="eastAsia" w:ascii="宋体" w:hAnsi="宋体" w:cs="Arial"/>
                <w:b/>
                <w:sz w:val="24"/>
                <w:szCs w:val="21"/>
                <w:highlight w:val="none"/>
              </w:rPr>
              <w:t>写）</w:t>
            </w:r>
          </w:p>
        </w:tc>
        <w:tc>
          <w:tcPr>
            <w:tcW w:w="3954" w:type="dxa"/>
            <w:gridSpan w:val="3"/>
            <w:tcBorders>
              <w:top w:val="single" w:color="auto" w:sz="8" w:space="0"/>
              <w:left w:val="single" w:color="auto" w:sz="8" w:space="0"/>
              <w:bottom w:val="single" w:color="auto" w:sz="8" w:space="0"/>
              <w:right w:val="single" w:color="auto" w:sz="8" w:space="0"/>
            </w:tcBorders>
            <w:noWrap w:val="0"/>
            <w:vAlign w:val="center"/>
          </w:tcPr>
          <w:p w14:paraId="2FB62C46">
            <w:pPr>
              <w:autoSpaceDE w:val="0"/>
              <w:autoSpaceDN w:val="0"/>
              <w:adjustRightInd w:val="0"/>
              <w:jc w:val="right"/>
              <w:rPr>
                <w:rFonts w:hint="eastAsia" w:ascii="宋体" w:hAnsi="宋体" w:cs="Arial"/>
                <w:sz w:val="24"/>
                <w:szCs w:val="21"/>
                <w:highlight w:val="none"/>
              </w:rPr>
            </w:pPr>
          </w:p>
        </w:tc>
        <w:tc>
          <w:tcPr>
            <w:tcW w:w="2520" w:type="dxa"/>
            <w:gridSpan w:val="2"/>
            <w:vMerge w:val="continue"/>
            <w:tcBorders>
              <w:left w:val="single" w:color="auto" w:sz="8" w:space="0"/>
              <w:bottom w:val="single" w:color="auto" w:sz="8" w:space="0"/>
              <w:right w:val="single" w:color="auto" w:sz="8" w:space="0"/>
            </w:tcBorders>
            <w:noWrap w:val="0"/>
            <w:vAlign w:val="top"/>
          </w:tcPr>
          <w:p w14:paraId="562B6EFD">
            <w:pPr>
              <w:rPr>
                <w:rFonts w:hint="eastAsia" w:ascii="宋体" w:hAnsi="宋体" w:cs="Arial"/>
                <w:sz w:val="24"/>
                <w:szCs w:val="21"/>
                <w:highlight w:val="none"/>
              </w:rPr>
            </w:pPr>
          </w:p>
        </w:tc>
      </w:tr>
    </w:tbl>
    <w:p w14:paraId="16AE5613">
      <w:pPr>
        <w:adjustRightInd w:val="0"/>
        <w:snapToGrid w:val="0"/>
        <w:spacing w:line="360" w:lineRule="auto"/>
        <w:ind w:firstLine="482" w:firstLineChars="200"/>
        <w:rPr>
          <w:rFonts w:hint="eastAsia" w:ascii="宋体" w:hAnsi="宋体" w:cs="宋体"/>
          <w:b/>
          <w:bCs/>
          <w:color w:val="000000"/>
          <w:kern w:val="0"/>
          <w:sz w:val="24"/>
          <w:highlight w:val="none"/>
        </w:rPr>
      </w:pPr>
    </w:p>
    <w:p w14:paraId="34996F8C">
      <w:pPr>
        <w:adjustRightInd w:val="0"/>
        <w:snapToGrid w:val="0"/>
        <w:spacing w:line="360" w:lineRule="auto"/>
        <w:ind w:firstLine="482" w:firstLineChars="200"/>
        <w:rPr>
          <w:rFonts w:hint="eastAsia" w:ascii="宋体" w:hAnsi="宋体"/>
          <w:b/>
          <w:sz w:val="24"/>
          <w:highlight w:val="none"/>
        </w:rPr>
      </w:pPr>
      <w:r>
        <w:rPr>
          <w:rFonts w:hint="eastAsia" w:ascii="宋体" w:hAnsi="宋体" w:cs="宋体"/>
          <w:b/>
          <w:bCs/>
          <w:color w:val="000000"/>
          <w:kern w:val="0"/>
          <w:sz w:val="24"/>
          <w:highlight w:val="none"/>
        </w:rPr>
        <w:t>合同履行期限：</w:t>
      </w:r>
    </w:p>
    <w:p w14:paraId="739CB28E">
      <w:pPr>
        <w:snapToGrid w:val="0"/>
        <w:spacing w:line="500" w:lineRule="exact"/>
        <w:ind w:firstLine="562" w:firstLineChars="200"/>
        <w:rPr>
          <w:rFonts w:hint="eastAsia" w:ascii="宋体" w:hAnsi="宋体"/>
          <w:b/>
          <w:sz w:val="28"/>
          <w:szCs w:val="28"/>
          <w:highlight w:val="none"/>
        </w:rPr>
      </w:pPr>
      <w:r>
        <w:rPr>
          <w:rFonts w:hint="eastAsia" w:ascii="宋体" w:hAnsi="宋体"/>
          <w:b/>
          <w:sz w:val="28"/>
          <w:szCs w:val="28"/>
          <w:highlight w:val="none"/>
        </w:rPr>
        <w:t>二、付款</w:t>
      </w:r>
    </w:p>
    <w:p w14:paraId="0E2606B6">
      <w:pPr>
        <w:snapToGrid w:val="0"/>
        <w:spacing w:line="500" w:lineRule="exact"/>
        <w:ind w:firstLine="465"/>
        <w:rPr>
          <w:rFonts w:hint="eastAsia" w:ascii="宋体" w:hAnsi="宋体"/>
          <w:sz w:val="24"/>
          <w:highlight w:val="none"/>
        </w:rPr>
      </w:pPr>
      <w:r>
        <w:rPr>
          <w:rFonts w:hint="eastAsia" w:ascii="宋体" w:hAnsi="宋体"/>
          <w:sz w:val="24"/>
          <w:highlight w:val="none"/>
        </w:rPr>
        <w:t>1.签订合同之日起5个工作日内，由成交供应商提出付款申请并出具等额的发票，经采购人确认</w:t>
      </w:r>
      <w:r>
        <w:rPr>
          <w:rFonts w:hint="eastAsia" w:ascii="等线" w:hAnsi="等线" w:eastAsia="等线"/>
          <w:sz w:val="24"/>
          <w:highlight w:val="none"/>
        </w:rPr>
        <w:t>后</w:t>
      </w:r>
      <w:r>
        <w:rPr>
          <w:rFonts w:hint="eastAsia" w:ascii="宋体" w:hAnsi="宋体"/>
          <w:sz w:val="24"/>
          <w:highlight w:val="none"/>
        </w:rPr>
        <w:t>向成交供应商支付合同额</w:t>
      </w:r>
      <w:r>
        <w:rPr>
          <w:rFonts w:hint="eastAsia" w:ascii="宋体" w:hAnsi="宋体"/>
          <w:sz w:val="24"/>
          <w:highlight w:val="none"/>
          <w:lang w:val="en-US" w:eastAsia="zh-CN"/>
        </w:rPr>
        <w:t>3</w:t>
      </w:r>
      <w:r>
        <w:rPr>
          <w:rFonts w:hint="eastAsia" w:ascii="宋体" w:hAnsi="宋体"/>
          <w:sz w:val="24"/>
          <w:highlight w:val="none"/>
        </w:rPr>
        <w:t>0%的款项。</w:t>
      </w:r>
    </w:p>
    <w:p w14:paraId="10C84D68">
      <w:pPr>
        <w:snapToGrid w:val="0"/>
        <w:spacing w:line="500" w:lineRule="exact"/>
        <w:ind w:firstLine="465"/>
        <w:rPr>
          <w:rFonts w:hint="eastAsia" w:ascii="宋体" w:hAnsi="宋体"/>
          <w:sz w:val="24"/>
          <w:highlight w:val="none"/>
        </w:rPr>
      </w:pPr>
      <w:r>
        <w:rPr>
          <w:rFonts w:hint="eastAsia" w:ascii="宋体" w:hAnsi="宋体"/>
          <w:sz w:val="24"/>
          <w:highlight w:val="none"/>
        </w:rPr>
        <w:t>2.经采购人确认，成交供应商完成全部工作，由成交供应商提出付款申请并出具等额的发票，5个工作日内采购人向成交供应商支付合同额</w:t>
      </w:r>
      <w:r>
        <w:rPr>
          <w:rFonts w:hint="eastAsia" w:ascii="宋体" w:hAnsi="宋体"/>
          <w:sz w:val="24"/>
          <w:highlight w:val="none"/>
          <w:lang w:val="en-US" w:eastAsia="zh-CN"/>
        </w:rPr>
        <w:t>7</w:t>
      </w:r>
      <w:r>
        <w:rPr>
          <w:rFonts w:hint="eastAsia" w:ascii="宋体" w:hAnsi="宋体"/>
          <w:sz w:val="24"/>
          <w:highlight w:val="none"/>
        </w:rPr>
        <w:t>0%的款项。</w:t>
      </w:r>
    </w:p>
    <w:p w14:paraId="48C4F42A">
      <w:pPr>
        <w:snapToGrid w:val="0"/>
        <w:spacing w:line="500" w:lineRule="exact"/>
        <w:ind w:firstLine="465"/>
        <w:rPr>
          <w:rFonts w:hint="eastAsia" w:ascii="宋体" w:hAnsi="宋体"/>
          <w:sz w:val="24"/>
          <w:highlight w:val="none"/>
        </w:rPr>
      </w:pPr>
      <w:r>
        <w:rPr>
          <w:rFonts w:hint="eastAsia" w:ascii="宋体" w:hAnsi="宋体"/>
          <w:sz w:val="24"/>
          <w:highlight w:val="none"/>
        </w:rPr>
        <w:t>3.支付方式：银行转账。</w:t>
      </w:r>
    </w:p>
    <w:p w14:paraId="67364104">
      <w:pPr>
        <w:snapToGrid w:val="0"/>
        <w:spacing w:line="500" w:lineRule="exact"/>
        <w:ind w:firstLine="465"/>
        <w:rPr>
          <w:rFonts w:hint="eastAsia" w:ascii="宋体" w:hAnsi="宋体"/>
          <w:sz w:val="24"/>
          <w:highlight w:val="none"/>
        </w:rPr>
      </w:pPr>
      <w:r>
        <w:rPr>
          <w:rFonts w:hint="eastAsia" w:ascii="宋体" w:hAnsi="宋体"/>
          <w:sz w:val="24"/>
          <w:highlight w:val="none"/>
        </w:rPr>
        <w:t>具体进度及金额由双方协商。</w:t>
      </w:r>
    </w:p>
    <w:p w14:paraId="37B1B1A0">
      <w:pPr>
        <w:snapToGrid w:val="0"/>
        <w:spacing w:line="500" w:lineRule="exact"/>
        <w:ind w:firstLine="562" w:firstLineChars="200"/>
        <w:rPr>
          <w:rFonts w:hint="eastAsia" w:ascii="宋体" w:hAnsi="宋体"/>
          <w:b/>
          <w:sz w:val="28"/>
          <w:szCs w:val="28"/>
          <w:highlight w:val="none"/>
        </w:rPr>
      </w:pPr>
      <w:r>
        <w:rPr>
          <w:rFonts w:hint="eastAsia" w:ascii="宋体" w:hAnsi="宋体"/>
          <w:b/>
          <w:sz w:val="28"/>
          <w:szCs w:val="28"/>
          <w:highlight w:val="none"/>
        </w:rPr>
        <w:t>三、违约赔偿</w:t>
      </w:r>
    </w:p>
    <w:p w14:paraId="507E0F97">
      <w:pPr>
        <w:snapToGrid w:val="0"/>
        <w:spacing w:line="500" w:lineRule="exact"/>
        <w:ind w:firstLine="480" w:firstLineChars="200"/>
        <w:rPr>
          <w:rFonts w:hint="eastAsia" w:ascii="宋体" w:hAnsi="宋体"/>
          <w:sz w:val="24"/>
          <w:highlight w:val="none"/>
        </w:rPr>
      </w:pPr>
      <w:r>
        <w:rPr>
          <w:rFonts w:hint="eastAsia" w:ascii="宋体" w:hAnsi="宋体"/>
          <w:sz w:val="24"/>
          <w:highlight w:val="none"/>
        </w:rPr>
        <w:t>1.除下一条规定的不可抗力外，如果乙方没有按照合同规定的时间提供服务，甲方可从合同款中扣除违约赔偿费，每延迟一个工作日迟交或未提供服务，按合同总金额的0.5％计扣违约赔偿费。但违约赔偿费的最高限额为合同总金额的15％。如果乙方延迟</w:t>
      </w:r>
      <w:r>
        <w:rPr>
          <w:rFonts w:hint="eastAsia" w:ascii="宋体" w:hAnsi="宋体"/>
          <w:sz w:val="24"/>
          <w:highlight w:val="none"/>
          <w:lang w:eastAsia="zh-Hans"/>
        </w:rPr>
        <w:t>提供服务</w:t>
      </w:r>
      <w:r>
        <w:rPr>
          <w:rFonts w:hint="eastAsia" w:ascii="宋体" w:hAnsi="宋体"/>
          <w:sz w:val="24"/>
          <w:highlight w:val="none"/>
        </w:rPr>
        <w:t>，时间超过一个月，甲方有权终止合同，乙方应返还已收相关费用，并支付合同总金额的15%作为违约金；违约金不足以弥补甲方损失的，乙方应进一步赔偿。</w:t>
      </w:r>
    </w:p>
    <w:p w14:paraId="1C2865E7">
      <w:pPr>
        <w:snapToGrid w:val="0"/>
        <w:spacing w:line="500" w:lineRule="exact"/>
        <w:ind w:firstLine="480" w:firstLineChars="200"/>
        <w:rPr>
          <w:rFonts w:hint="eastAsia" w:ascii="宋体" w:hAnsi="宋体"/>
          <w:sz w:val="24"/>
          <w:highlight w:val="none"/>
        </w:rPr>
      </w:pPr>
      <w:r>
        <w:rPr>
          <w:rFonts w:hint="eastAsia" w:ascii="宋体" w:hAnsi="宋体"/>
          <w:sz w:val="24"/>
          <w:highlight w:val="none"/>
        </w:rPr>
        <w:t>2.如果双方中任何一方由于战争、严重火灾、水灾、台风和地震以及其它经双方同意属于不可抗力的事故，致使合同履行受阻时，双方互不承担违约责任</w:t>
      </w:r>
      <w:r>
        <w:rPr>
          <w:rFonts w:ascii="宋体" w:hAnsi="宋体"/>
          <w:sz w:val="24"/>
          <w:highlight w:val="none"/>
        </w:rPr>
        <w:t>，</w:t>
      </w:r>
      <w:r>
        <w:rPr>
          <w:rFonts w:hint="eastAsia" w:ascii="宋体" w:hAnsi="宋体"/>
          <w:sz w:val="24"/>
          <w:highlight w:val="none"/>
        </w:rPr>
        <w:t>履行合同的期限应予以延长，延长的期限应相当于事故所影响的时间。</w:t>
      </w:r>
    </w:p>
    <w:p w14:paraId="1D783AAD">
      <w:pPr>
        <w:snapToGrid w:val="0"/>
        <w:spacing w:line="500" w:lineRule="exact"/>
        <w:ind w:firstLine="562" w:firstLineChars="200"/>
        <w:rPr>
          <w:rFonts w:hint="eastAsia" w:ascii="宋体" w:hAnsi="宋体"/>
          <w:b/>
          <w:sz w:val="28"/>
          <w:szCs w:val="28"/>
          <w:highlight w:val="none"/>
        </w:rPr>
      </w:pPr>
      <w:r>
        <w:rPr>
          <w:rFonts w:hint="eastAsia" w:ascii="宋体" w:hAnsi="宋体"/>
          <w:b/>
          <w:sz w:val="28"/>
          <w:szCs w:val="28"/>
          <w:highlight w:val="none"/>
        </w:rPr>
        <w:t>四、合同纠纷处理</w:t>
      </w:r>
    </w:p>
    <w:p w14:paraId="0AE8F848">
      <w:pPr>
        <w:tabs>
          <w:tab w:val="left" w:pos="1980"/>
        </w:tabs>
        <w:snapToGrid w:val="0"/>
        <w:spacing w:line="500" w:lineRule="exact"/>
        <w:ind w:firstLine="470" w:firstLineChars="196"/>
        <w:rPr>
          <w:rFonts w:hint="eastAsia" w:ascii="宋体" w:hAnsi="宋体"/>
          <w:sz w:val="24"/>
          <w:highlight w:val="none"/>
        </w:rPr>
      </w:pPr>
      <w:r>
        <w:rPr>
          <w:rFonts w:hint="eastAsia" w:ascii="宋体" w:hAnsi="宋体"/>
          <w:sz w:val="24"/>
          <w:highlight w:val="none"/>
        </w:rPr>
        <w:t>本合同履行过程中发生纠纷，应协商解决，协商不成，可向采购人所在地人民法院提起诉讼解决。</w:t>
      </w:r>
    </w:p>
    <w:p w14:paraId="70CEF462">
      <w:pPr>
        <w:snapToGrid w:val="0"/>
        <w:spacing w:line="500" w:lineRule="exact"/>
        <w:ind w:firstLine="562" w:firstLineChars="200"/>
        <w:rPr>
          <w:rFonts w:hint="eastAsia" w:ascii="宋体" w:hAnsi="宋体"/>
          <w:b/>
          <w:sz w:val="28"/>
          <w:szCs w:val="28"/>
          <w:highlight w:val="none"/>
        </w:rPr>
      </w:pPr>
      <w:r>
        <w:rPr>
          <w:rFonts w:hint="eastAsia" w:ascii="宋体" w:hAnsi="宋体"/>
          <w:b/>
          <w:sz w:val="28"/>
          <w:szCs w:val="28"/>
          <w:highlight w:val="none"/>
        </w:rPr>
        <w:t>五、合同生效</w:t>
      </w:r>
    </w:p>
    <w:p w14:paraId="1AB1B487">
      <w:pPr>
        <w:snapToGrid w:val="0"/>
        <w:spacing w:line="500" w:lineRule="exact"/>
        <w:ind w:left="555"/>
        <w:rPr>
          <w:rFonts w:hint="eastAsia" w:ascii="宋体" w:hAnsi="宋体"/>
          <w:sz w:val="24"/>
          <w:highlight w:val="none"/>
        </w:rPr>
      </w:pPr>
      <w:r>
        <w:rPr>
          <w:rFonts w:hint="eastAsia" w:ascii="宋体" w:hAnsi="宋体"/>
          <w:sz w:val="24"/>
          <w:highlight w:val="none"/>
        </w:rPr>
        <w:t>本合同由甲乙双方签字盖章后生效。</w:t>
      </w:r>
    </w:p>
    <w:p w14:paraId="3FE17B76">
      <w:pPr>
        <w:snapToGrid w:val="0"/>
        <w:spacing w:line="500" w:lineRule="exact"/>
        <w:ind w:firstLine="562" w:firstLineChars="200"/>
        <w:rPr>
          <w:rFonts w:hint="eastAsia" w:ascii="宋体" w:hAnsi="宋体"/>
          <w:b/>
          <w:sz w:val="28"/>
          <w:szCs w:val="28"/>
          <w:highlight w:val="none"/>
        </w:rPr>
      </w:pPr>
      <w:r>
        <w:rPr>
          <w:rFonts w:hint="eastAsia" w:ascii="宋体" w:hAnsi="宋体"/>
          <w:b/>
          <w:sz w:val="28"/>
          <w:szCs w:val="28"/>
          <w:highlight w:val="none"/>
        </w:rPr>
        <w:t>六、合同鉴证</w:t>
      </w:r>
    </w:p>
    <w:p w14:paraId="13BFEDBE">
      <w:pPr>
        <w:snapToGrid w:val="0"/>
        <w:spacing w:line="500" w:lineRule="exact"/>
        <w:ind w:firstLine="480" w:firstLineChars="200"/>
        <w:rPr>
          <w:rFonts w:hint="eastAsia" w:ascii="宋体" w:hAnsi="宋体"/>
          <w:b/>
          <w:sz w:val="24"/>
          <w:highlight w:val="none"/>
        </w:rPr>
      </w:pPr>
      <w:r>
        <w:rPr>
          <w:rFonts w:hint="eastAsia" w:ascii="宋体" w:hAnsi="宋体"/>
          <w:sz w:val="24"/>
          <w:highlight w:val="none"/>
        </w:rPr>
        <w:t>招标代理机构应当在本合同上签章，以证明本合同条款与磋商文件、响应文件的相关要求相符并且未对采购货物和技术参数进行实质性修改。</w:t>
      </w:r>
    </w:p>
    <w:p w14:paraId="2F18663F">
      <w:pPr>
        <w:snapToGrid w:val="0"/>
        <w:spacing w:line="500" w:lineRule="exact"/>
        <w:ind w:firstLine="562" w:firstLineChars="200"/>
        <w:rPr>
          <w:highlight w:val="none"/>
        </w:rPr>
      </w:pPr>
      <w:r>
        <w:rPr>
          <w:rFonts w:hint="eastAsia" w:ascii="宋体" w:hAnsi="宋体"/>
          <w:b/>
          <w:sz w:val="28"/>
          <w:szCs w:val="28"/>
          <w:highlight w:val="none"/>
        </w:rPr>
        <w:t>七、组成本合同的文件包括</w:t>
      </w:r>
    </w:p>
    <w:p w14:paraId="6E7237DD">
      <w:pPr>
        <w:numPr>
          <w:ilvl w:val="0"/>
          <w:numId w:val="9"/>
        </w:numPr>
        <w:snapToGrid w:val="0"/>
        <w:spacing w:line="500" w:lineRule="exact"/>
        <w:ind w:firstLine="480" w:firstLineChars="200"/>
        <w:rPr>
          <w:rFonts w:hint="eastAsia" w:ascii="宋体" w:hAnsi="宋体"/>
          <w:sz w:val="24"/>
          <w:highlight w:val="none"/>
        </w:rPr>
      </w:pPr>
      <w:r>
        <w:rPr>
          <w:rFonts w:hint="eastAsia" w:ascii="宋体" w:hAnsi="宋体"/>
          <w:sz w:val="24"/>
          <w:highlight w:val="none"/>
        </w:rPr>
        <w:t>成交通知书；</w:t>
      </w:r>
    </w:p>
    <w:p w14:paraId="4D9E03EC">
      <w:pPr>
        <w:snapToGrid w:val="0"/>
        <w:spacing w:line="500" w:lineRule="exact"/>
        <w:ind w:firstLine="480" w:firstLineChars="200"/>
        <w:rPr>
          <w:highlight w:val="none"/>
        </w:rPr>
      </w:pPr>
      <w:r>
        <w:rPr>
          <w:rFonts w:hint="eastAsia" w:ascii="宋体" w:hAnsi="宋体"/>
          <w:sz w:val="24"/>
          <w:highlight w:val="none"/>
        </w:rPr>
        <w:t>2.甲乙双方商定的其他必要文件。</w:t>
      </w:r>
    </w:p>
    <w:p w14:paraId="223D4308">
      <w:pPr>
        <w:snapToGrid w:val="0"/>
        <w:spacing w:line="360" w:lineRule="auto"/>
        <w:rPr>
          <w:rFonts w:hint="eastAsia" w:ascii="宋体" w:hAnsi="宋体"/>
          <w:bCs/>
          <w:sz w:val="24"/>
          <w:highlight w:val="none"/>
        </w:rPr>
      </w:pPr>
    </w:p>
    <w:p w14:paraId="7786263B">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上述合同文件内容互为补充（解释顺序按上述排序排列在前的优先），如有不明确，由甲方负责解释。</w:t>
      </w:r>
    </w:p>
    <w:p w14:paraId="72676068">
      <w:pPr>
        <w:snapToGrid w:val="0"/>
        <w:spacing w:line="500" w:lineRule="exact"/>
        <w:ind w:firstLine="562" w:firstLineChars="200"/>
        <w:rPr>
          <w:rFonts w:hint="eastAsia" w:ascii="宋体" w:hAnsi="宋体"/>
          <w:b/>
          <w:sz w:val="28"/>
          <w:szCs w:val="28"/>
          <w:highlight w:val="none"/>
        </w:rPr>
      </w:pPr>
      <w:r>
        <w:rPr>
          <w:rFonts w:hint="eastAsia" w:ascii="宋体" w:hAnsi="宋体"/>
          <w:b/>
          <w:sz w:val="28"/>
          <w:szCs w:val="28"/>
          <w:highlight w:val="none"/>
        </w:rPr>
        <w:t>八、合同备案</w:t>
      </w:r>
    </w:p>
    <w:p w14:paraId="1649AB1A">
      <w:pPr>
        <w:snapToGrid w:val="0"/>
        <w:spacing w:line="500" w:lineRule="exact"/>
        <w:ind w:firstLine="480" w:firstLineChars="200"/>
        <w:rPr>
          <w:rFonts w:hint="eastAsia" w:ascii="宋体" w:hAnsi="宋体"/>
          <w:bCs/>
          <w:sz w:val="24"/>
          <w:highlight w:val="none"/>
        </w:rPr>
      </w:pPr>
      <w:r>
        <w:rPr>
          <w:rFonts w:hint="eastAsia" w:ascii="宋体" w:hAnsi="宋体"/>
          <w:bCs/>
          <w:sz w:val="24"/>
          <w:highlight w:val="none"/>
        </w:rPr>
        <w:t>本合同一式二份，中文书写。甲方、乙方各执一份</w:t>
      </w:r>
      <w:r>
        <w:rPr>
          <w:rFonts w:ascii="宋体" w:hAnsi="宋体"/>
          <w:bCs/>
          <w:sz w:val="24"/>
          <w:highlight w:val="none"/>
        </w:rPr>
        <w:t>，均具有同等法律效力</w:t>
      </w:r>
      <w:r>
        <w:rPr>
          <w:rFonts w:hint="eastAsia" w:ascii="宋体" w:hAnsi="宋体"/>
          <w:bCs/>
          <w:sz w:val="24"/>
          <w:highlight w:val="none"/>
        </w:rPr>
        <w:t>。（如果甲方或乙方需要，则可在此增加合同份数）</w:t>
      </w:r>
    </w:p>
    <w:p w14:paraId="670DD777">
      <w:pPr>
        <w:snapToGrid w:val="0"/>
        <w:spacing w:before="19" w:line="500" w:lineRule="exact"/>
        <w:ind w:firstLine="480" w:firstLineChars="200"/>
        <w:rPr>
          <w:rFonts w:hint="eastAsia" w:ascii="宋体" w:hAnsi="宋体"/>
          <w:bCs/>
          <w:sz w:val="24"/>
          <w:highlight w:val="none"/>
        </w:rPr>
      </w:pPr>
    </w:p>
    <w:p w14:paraId="37BEA947">
      <w:pPr>
        <w:snapToGrid w:val="0"/>
        <w:spacing w:before="19" w:line="500" w:lineRule="exact"/>
        <w:rPr>
          <w:rFonts w:hint="eastAsia" w:ascii="宋体" w:hAnsi="宋体" w:eastAsia="宋体"/>
          <w:sz w:val="24"/>
          <w:highlight w:val="none"/>
          <w:lang w:val="en-US" w:eastAsia="zh-CN"/>
        </w:rPr>
      </w:pPr>
      <w:r>
        <w:rPr>
          <w:rFonts w:hint="eastAsia" w:ascii="宋体" w:hAnsi="宋体"/>
          <w:b/>
          <w:sz w:val="24"/>
          <w:highlight w:val="none"/>
        </w:rPr>
        <w:t>甲方：</w:t>
      </w:r>
      <w:r>
        <w:rPr>
          <w:rFonts w:hint="eastAsia" w:ascii="宋体" w:hAnsi="宋体"/>
          <w:b/>
          <w:sz w:val="24"/>
          <w:highlight w:val="none"/>
          <w:u w:val="single"/>
        </w:rPr>
        <w:t xml:space="preserve">                   （盖章）</w:t>
      </w:r>
      <w:r>
        <w:rPr>
          <w:rFonts w:hint="eastAsia" w:ascii="宋体" w:hAnsi="宋体"/>
          <w:b/>
          <w:sz w:val="24"/>
          <w:highlight w:val="none"/>
        </w:rPr>
        <w:t xml:space="preserve">     乙方：</w:t>
      </w:r>
      <w:r>
        <w:rPr>
          <w:rFonts w:hint="eastAsia" w:ascii="宋体" w:hAnsi="宋体"/>
          <w:b/>
          <w:sz w:val="24"/>
          <w:highlight w:val="none"/>
          <w:u w:val="single"/>
        </w:rPr>
        <w:t xml:space="preserve">                  （盖章）</w:t>
      </w:r>
    </w:p>
    <w:p w14:paraId="7D10511D">
      <w:pPr>
        <w:pStyle w:val="2"/>
        <w:rPr>
          <w:rFonts w:hint="eastAsia" w:ascii="宋体" w:hAnsi="宋体" w:eastAsia="宋体" w:cs="Times New Roman"/>
          <w:bCs/>
          <w:kern w:val="2"/>
          <w:sz w:val="24"/>
          <w:szCs w:val="24"/>
          <w:highlight w:val="none"/>
          <w:lang w:val="en-US" w:eastAsia="zh-CN" w:bidi="ar-SA"/>
        </w:rPr>
      </w:pPr>
    </w:p>
    <w:p w14:paraId="4816DF41">
      <w:pPr>
        <w:pStyle w:val="2"/>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
          <w:kern w:val="2"/>
          <w:sz w:val="24"/>
          <w:szCs w:val="24"/>
          <w:highlight w:val="none"/>
          <w:lang w:val="en-US" w:eastAsia="zh-CN" w:bidi="ar-SA"/>
        </w:rPr>
        <w:t xml:space="preserve">丙方:   </w:t>
      </w:r>
      <w:r>
        <w:rPr>
          <w:rFonts w:hint="eastAsia" w:ascii="宋体" w:hAnsi="宋体"/>
          <w:b/>
          <w:sz w:val="24"/>
          <w:highlight w:val="none"/>
          <w:u w:val="single"/>
        </w:rPr>
        <w:t xml:space="preserve">                （盖章）</w:t>
      </w:r>
      <w:r>
        <w:rPr>
          <w:rFonts w:hint="eastAsia" w:ascii="宋体" w:hAnsi="宋体"/>
          <w:b/>
          <w:sz w:val="24"/>
          <w:highlight w:val="none"/>
        </w:rPr>
        <w:t xml:space="preserve"> </w:t>
      </w:r>
    </w:p>
    <w:p w14:paraId="62A9C710">
      <w:pPr>
        <w:rPr>
          <w:rFonts w:hint="eastAsia"/>
          <w:highlight w:val="none"/>
        </w:rPr>
      </w:pPr>
    </w:p>
    <w:p w14:paraId="41A35991">
      <w:pPr>
        <w:snapToGrid w:val="0"/>
        <w:spacing w:before="19" w:line="500" w:lineRule="exact"/>
        <w:rPr>
          <w:rFonts w:hint="eastAsia"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 xml:space="preserve">                           </w:t>
      </w:r>
      <w:r>
        <w:rPr>
          <w:rFonts w:hint="eastAsia" w:ascii="宋体" w:hAnsi="宋体"/>
          <w:sz w:val="24"/>
          <w:highlight w:val="none"/>
        </w:rPr>
        <w:t xml:space="preserve">      地址：</w:t>
      </w:r>
      <w:r>
        <w:rPr>
          <w:rFonts w:hint="eastAsia" w:ascii="宋体" w:hAnsi="宋体"/>
          <w:sz w:val="24"/>
          <w:highlight w:val="none"/>
          <w:u w:val="single"/>
        </w:rPr>
        <w:t xml:space="preserve">                           </w:t>
      </w:r>
    </w:p>
    <w:p w14:paraId="771A5A8F">
      <w:pPr>
        <w:snapToGrid w:val="0"/>
        <w:spacing w:before="19" w:line="500" w:lineRule="exact"/>
        <w:rPr>
          <w:rFonts w:hint="eastAsia" w:ascii="宋体" w:hAnsi="宋体"/>
          <w:sz w:val="24"/>
          <w:highlight w:val="none"/>
        </w:rPr>
      </w:pPr>
      <w:r>
        <w:rPr>
          <w:rFonts w:hint="eastAsia" w:ascii="宋体" w:hAnsi="宋体"/>
          <w:sz w:val="24"/>
          <w:highlight w:val="none"/>
        </w:rPr>
        <w:t>法定（或授权）代表人：</w:t>
      </w:r>
      <w:r>
        <w:rPr>
          <w:rFonts w:hint="eastAsia" w:ascii="宋体" w:hAnsi="宋体"/>
          <w:sz w:val="24"/>
          <w:highlight w:val="none"/>
          <w:u w:val="single"/>
        </w:rPr>
        <w:t xml:space="preserve">            </w:t>
      </w:r>
      <w:r>
        <w:rPr>
          <w:rFonts w:hint="eastAsia" w:ascii="宋体" w:hAnsi="宋体"/>
          <w:sz w:val="24"/>
          <w:highlight w:val="none"/>
        </w:rPr>
        <w:t xml:space="preserve">     法定（或授权）代表人：</w:t>
      </w:r>
      <w:r>
        <w:rPr>
          <w:rFonts w:hint="eastAsia" w:ascii="宋体" w:hAnsi="宋体"/>
          <w:sz w:val="24"/>
          <w:highlight w:val="none"/>
          <w:u w:val="single"/>
        </w:rPr>
        <w:t xml:space="preserve">            </w:t>
      </w:r>
    </w:p>
    <w:p w14:paraId="115B38A7">
      <w:pPr>
        <w:snapToGrid w:val="0"/>
        <w:spacing w:before="19" w:line="500" w:lineRule="exact"/>
        <w:rPr>
          <w:rFonts w:hint="eastAsia"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 xml:space="preserve">日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2EE08BDE">
      <w:pPr>
        <w:tabs>
          <w:tab w:val="left" w:pos="720"/>
          <w:tab w:val="left" w:pos="1260"/>
          <w:tab w:val="left" w:pos="2160"/>
          <w:tab w:val="left" w:pos="2880"/>
          <w:tab w:val="left" w:pos="3600"/>
          <w:tab w:val="left" w:pos="4320"/>
          <w:tab w:val="left" w:pos="5040"/>
          <w:tab w:val="left" w:pos="5760"/>
        </w:tabs>
        <w:autoSpaceDE w:val="0"/>
        <w:autoSpaceDN w:val="0"/>
        <w:adjustRightInd w:val="0"/>
        <w:spacing w:line="560" w:lineRule="atLeast"/>
        <w:ind w:left="1260" w:leftChars="600" w:right="258" w:rightChars="123" w:firstLine="1680" w:firstLineChars="525"/>
        <w:jc w:val="left"/>
        <w:rPr>
          <w:rFonts w:asciiTheme="minorEastAsia" w:hAnsiTheme="minorEastAsia" w:eastAsiaTheme="minorEastAsia"/>
          <w:bCs/>
          <w:kern w:val="0"/>
          <w:sz w:val="32"/>
          <w:szCs w:val="32"/>
        </w:rPr>
      </w:pPr>
    </w:p>
    <w:p w14:paraId="1DC7A66B">
      <w:pPr>
        <w:tabs>
          <w:tab w:val="left" w:pos="720"/>
          <w:tab w:val="left" w:pos="1260"/>
          <w:tab w:val="left" w:pos="2160"/>
          <w:tab w:val="left" w:pos="2880"/>
          <w:tab w:val="left" w:pos="3600"/>
          <w:tab w:val="left" w:pos="4320"/>
          <w:tab w:val="left" w:pos="5040"/>
          <w:tab w:val="left" w:pos="5760"/>
        </w:tabs>
        <w:autoSpaceDE w:val="0"/>
        <w:autoSpaceDN w:val="0"/>
        <w:adjustRightInd w:val="0"/>
        <w:spacing w:line="560" w:lineRule="atLeast"/>
        <w:ind w:left="1260" w:leftChars="600" w:right="258" w:rightChars="123" w:firstLine="1680" w:firstLineChars="525"/>
        <w:jc w:val="left"/>
        <w:rPr>
          <w:rFonts w:asciiTheme="minorEastAsia" w:hAnsiTheme="minorEastAsia" w:eastAsiaTheme="minorEastAsia"/>
          <w:bCs/>
          <w:kern w:val="0"/>
          <w:sz w:val="32"/>
          <w:szCs w:val="32"/>
        </w:rPr>
      </w:pPr>
    </w:p>
    <w:p w14:paraId="45B9F6BA">
      <w:pPr>
        <w:tabs>
          <w:tab w:val="left" w:pos="720"/>
          <w:tab w:val="left" w:pos="1260"/>
          <w:tab w:val="left" w:pos="2160"/>
          <w:tab w:val="left" w:pos="2880"/>
          <w:tab w:val="left" w:pos="3600"/>
          <w:tab w:val="left" w:pos="4320"/>
          <w:tab w:val="left" w:pos="5040"/>
          <w:tab w:val="left" w:pos="5760"/>
        </w:tabs>
        <w:autoSpaceDE w:val="0"/>
        <w:autoSpaceDN w:val="0"/>
        <w:adjustRightInd w:val="0"/>
        <w:spacing w:line="560" w:lineRule="atLeast"/>
        <w:ind w:left="1260" w:leftChars="600" w:right="258" w:rightChars="123" w:firstLine="1680" w:firstLineChars="525"/>
        <w:jc w:val="left"/>
        <w:rPr>
          <w:rFonts w:asciiTheme="minorEastAsia" w:hAnsiTheme="minorEastAsia" w:eastAsiaTheme="minorEastAsia"/>
          <w:bCs/>
          <w:kern w:val="0"/>
          <w:sz w:val="32"/>
          <w:szCs w:val="32"/>
        </w:rPr>
      </w:pPr>
    </w:p>
    <w:p w14:paraId="30112472">
      <w:pPr>
        <w:tabs>
          <w:tab w:val="left" w:pos="720"/>
          <w:tab w:val="left" w:pos="1260"/>
          <w:tab w:val="left" w:pos="2160"/>
          <w:tab w:val="left" w:pos="2880"/>
          <w:tab w:val="left" w:pos="3600"/>
          <w:tab w:val="left" w:pos="4320"/>
          <w:tab w:val="left" w:pos="5040"/>
          <w:tab w:val="left" w:pos="5760"/>
        </w:tabs>
        <w:autoSpaceDE w:val="0"/>
        <w:autoSpaceDN w:val="0"/>
        <w:adjustRightInd w:val="0"/>
        <w:spacing w:line="560" w:lineRule="atLeast"/>
        <w:ind w:left="1260" w:leftChars="600" w:right="258" w:rightChars="123" w:firstLine="1680" w:firstLineChars="525"/>
        <w:jc w:val="left"/>
        <w:rPr>
          <w:rFonts w:asciiTheme="minorEastAsia" w:hAnsiTheme="minorEastAsia" w:eastAsiaTheme="minorEastAsia"/>
          <w:bCs/>
          <w:kern w:val="0"/>
          <w:sz w:val="32"/>
          <w:szCs w:val="32"/>
        </w:rPr>
      </w:pPr>
    </w:p>
    <w:p w14:paraId="3BA2280D">
      <w:pPr>
        <w:tabs>
          <w:tab w:val="left" w:pos="720"/>
          <w:tab w:val="left" w:pos="1260"/>
          <w:tab w:val="left" w:pos="2160"/>
          <w:tab w:val="left" w:pos="2880"/>
          <w:tab w:val="left" w:pos="3600"/>
          <w:tab w:val="left" w:pos="4320"/>
          <w:tab w:val="left" w:pos="5040"/>
          <w:tab w:val="left" w:pos="5760"/>
        </w:tabs>
        <w:autoSpaceDE w:val="0"/>
        <w:autoSpaceDN w:val="0"/>
        <w:adjustRightInd w:val="0"/>
        <w:spacing w:line="560" w:lineRule="atLeast"/>
        <w:ind w:left="1260" w:leftChars="600" w:right="258" w:rightChars="123" w:firstLine="1680" w:firstLineChars="525"/>
        <w:jc w:val="left"/>
        <w:rPr>
          <w:rFonts w:asciiTheme="minorEastAsia" w:hAnsiTheme="minorEastAsia" w:eastAsiaTheme="minorEastAsia"/>
          <w:bCs/>
          <w:kern w:val="0"/>
          <w:sz w:val="32"/>
          <w:szCs w:val="32"/>
        </w:rPr>
      </w:pPr>
    </w:p>
    <w:p w14:paraId="06CE42D1">
      <w:pPr>
        <w:tabs>
          <w:tab w:val="left" w:pos="720"/>
          <w:tab w:val="left" w:pos="1260"/>
          <w:tab w:val="left" w:pos="2160"/>
          <w:tab w:val="left" w:pos="2880"/>
          <w:tab w:val="left" w:pos="3600"/>
          <w:tab w:val="left" w:pos="4320"/>
          <w:tab w:val="left" w:pos="5040"/>
          <w:tab w:val="left" w:pos="5760"/>
        </w:tabs>
        <w:autoSpaceDE w:val="0"/>
        <w:autoSpaceDN w:val="0"/>
        <w:adjustRightInd w:val="0"/>
        <w:spacing w:line="560" w:lineRule="atLeast"/>
        <w:ind w:left="1260" w:leftChars="600" w:right="258" w:rightChars="123" w:firstLine="1680" w:firstLineChars="525"/>
        <w:jc w:val="left"/>
        <w:rPr>
          <w:rFonts w:asciiTheme="minorEastAsia" w:hAnsiTheme="minorEastAsia" w:eastAsiaTheme="minorEastAsia"/>
          <w:bCs/>
          <w:kern w:val="0"/>
          <w:sz w:val="32"/>
          <w:szCs w:val="32"/>
        </w:rPr>
      </w:pPr>
    </w:p>
    <w:p w14:paraId="56E52B73">
      <w:pPr>
        <w:tabs>
          <w:tab w:val="left" w:pos="720"/>
          <w:tab w:val="left" w:pos="1260"/>
          <w:tab w:val="left" w:pos="2160"/>
          <w:tab w:val="left" w:pos="2880"/>
          <w:tab w:val="left" w:pos="3600"/>
          <w:tab w:val="left" w:pos="4320"/>
          <w:tab w:val="left" w:pos="5040"/>
          <w:tab w:val="left" w:pos="5760"/>
        </w:tabs>
        <w:autoSpaceDE w:val="0"/>
        <w:autoSpaceDN w:val="0"/>
        <w:adjustRightInd w:val="0"/>
        <w:spacing w:line="560" w:lineRule="atLeast"/>
        <w:ind w:left="1260" w:leftChars="600" w:right="258" w:rightChars="123" w:firstLine="1680" w:firstLineChars="525"/>
        <w:jc w:val="left"/>
        <w:rPr>
          <w:rFonts w:asciiTheme="minorEastAsia" w:hAnsiTheme="minorEastAsia" w:eastAsiaTheme="minorEastAsia"/>
          <w:bCs/>
          <w:kern w:val="0"/>
          <w:sz w:val="32"/>
          <w:szCs w:val="32"/>
        </w:rPr>
      </w:pPr>
    </w:p>
    <w:p w14:paraId="35FCA9BB">
      <w:pPr>
        <w:tabs>
          <w:tab w:val="left" w:pos="720"/>
          <w:tab w:val="left" w:pos="1260"/>
          <w:tab w:val="left" w:pos="2160"/>
          <w:tab w:val="left" w:pos="2880"/>
          <w:tab w:val="left" w:pos="3600"/>
          <w:tab w:val="left" w:pos="4320"/>
          <w:tab w:val="left" w:pos="5040"/>
          <w:tab w:val="left" w:pos="5760"/>
        </w:tabs>
        <w:autoSpaceDE w:val="0"/>
        <w:autoSpaceDN w:val="0"/>
        <w:adjustRightInd w:val="0"/>
        <w:spacing w:line="560" w:lineRule="atLeast"/>
        <w:ind w:left="1260" w:leftChars="600" w:right="258" w:rightChars="123" w:firstLine="1680" w:firstLineChars="525"/>
        <w:jc w:val="left"/>
        <w:rPr>
          <w:rFonts w:asciiTheme="minorEastAsia" w:hAnsiTheme="minorEastAsia" w:eastAsiaTheme="minorEastAsia"/>
          <w:bCs/>
          <w:kern w:val="0"/>
          <w:sz w:val="32"/>
          <w:szCs w:val="32"/>
        </w:rPr>
      </w:pPr>
    </w:p>
    <w:p w14:paraId="258740A3">
      <w:pPr>
        <w:tabs>
          <w:tab w:val="left" w:pos="720"/>
          <w:tab w:val="left" w:pos="1260"/>
          <w:tab w:val="left" w:pos="2160"/>
          <w:tab w:val="left" w:pos="2880"/>
          <w:tab w:val="left" w:pos="3600"/>
          <w:tab w:val="left" w:pos="4320"/>
          <w:tab w:val="left" w:pos="5040"/>
          <w:tab w:val="left" w:pos="5760"/>
        </w:tabs>
        <w:autoSpaceDE w:val="0"/>
        <w:autoSpaceDN w:val="0"/>
        <w:adjustRightInd w:val="0"/>
        <w:spacing w:line="560" w:lineRule="atLeast"/>
        <w:ind w:left="1260" w:leftChars="600" w:right="258" w:rightChars="123" w:firstLine="1680" w:firstLineChars="525"/>
        <w:jc w:val="left"/>
        <w:rPr>
          <w:rFonts w:asciiTheme="minorEastAsia" w:hAnsiTheme="minorEastAsia" w:eastAsiaTheme="minorEastAsia"/>
          <w:bCs/>
          <w:kern w:val="0"/>
          <w:sz w:val="32"/>
          <w:szCs w:val="32"/>
        </w:rPr>
      </w:pPr>
    </w:p>
    <w:p w14:paraId="22142686">
      <w:pPr>
        <w:tabs>
          <w:tab w:val="left" w:pos="720"/>
          <w:tab w:val="left" w:pos="1260"/>
          <w:tab w:val="left" w:pos="2160"/>
          <w:tab w:val="left" w:pos="2880"/>
          <w:tab w:val="left" w:pos="3600"/>
          <w:tab w:val="left" w:pos="4320"/>
          <w:tab w:val="left" w:pos="5040"/>
          <w:tab w:val="left" w:pos="5760"/>
        </w:tabs>
        <w:autoSpaceDE w:val="0"/>
        <w:autoSpaceDN w:val="0"/>
        <w:adjustRightInd w:val="0"/>
        <w:spacing w:line="560" w:lineRule="atLeast"/>
        <w:ind w:left="1260" w:leftChars="600" w:right="258" w:rightChars="123" w:firstLine="1680" w:firstLineChars="525"/>
        <w:jc w:val="left"/>
        <w:rPr>
          <w:rFonts w:asciiTheme="minorEastAsia" w:hAnsiTheme="minorEastAsia" w:eastAsiaTheme="minorEastAsia"/>
          <w:bCs/>
          <w:kern w:val="0"/>
          <w:sz w:val="32"/>
          <w:szCs w:val="32"/>
        </w:rPr>
      </w:pPr>
    </w:p>
    <w:p w14:paraId="57010D0B">
      <w:pPr>
        <w:tabs>
          <w:tab w:val="left" w:pos="720"/>
          <w:tab w:val="left" w:pos="1260"/>
          <w:tab w:val="left" w:pos="2160"/>
          <w:tab w:val="left" w:pos="2880"/>
          <w:tab w:val="left" w:pos="3600"/>
          <w:tab w:val="left" w:pos="4320"/>
          <w:tab w:val="left" w:pos="5040"/>
          <w:tab w:val="left" w:pos="5760"/>
        </w:tabs>
        <w:autoSpaceDE w:val="0"/>
        <w:autoSpaceDN w:val="0"/>
        <w:adjustRightInd w:val="0"/>
        <w:spacing w:line="560" w:lineRule="atLeast"/>
        <w:ind w:left="1260" w:leftChars="600" w:right="258" w:rightChars="123" w:firstLine="1680" w:firstLineChars="525"/>
        <w:jc w:val="left"/>
        <w:rPr>
          <w:rFonts w:asciiTheme="minorEastAsia" w:hAnsiTheme="minorEastAsia" w:eastAsiaTheme="minorEastAsia"/>
          <w:bCs/>
          <w:kern w:val="0"/>
          <w:sz w:val="32"/>
          <w:szCs w:val="32"/>
        </w:rPr>
      </w:pPr>
    </w:p>
    <w:p w14:paraId="1324AB7F">
      <w:pPr>
        <w:tabs>
          <w:tab w:val="left" w:pos="720"/>
          <w:tab w:val="left" w:pos="1260"/>
          <w:tab w:val="left" w:pos="2160"/>
          <w:tab w:val="left" w:pos="2880"/>
          <w:tab w:val="left" w:pos="3600"/>
          <w:tab w:val="left" w:pos="4320"/>
          <w:tab w:val="left" w:pos="5040"/>
          <w:tab w:val="left" w:pos="5760"/>
        </w:tabs>
        <w:autoSpaceDE w:val="0"/>
        <w:autoSpaceDN w:val="0"/>
        <w:adjustRightInd w:val="0"/>
        <w:spacing w:line="560" w:lineRule="atLeast"/>
        <w:ind w:left="1260" w:leftChars="600" w:right="258" w:rightChars="123" w:firstLine="1680" w:firstLineChars="525"/>
        <w:jc w:val="left"/>
        <w:rPr>
          <w:rFonts w:asciiTheme="minorEastAsia" w:hAnsiTheme="minorEastAsia" w:eastAsiaTheme="minorEastAsia"/>
          <w:bCs/>
          <w:kern w:val="0"/>
          <w:sz w:val="32"/>
          <w:szCs w:val="32"/>
        </w:rPr>
      </w:pPr>
    </w:p>
    <w:p w14:paraId="7A664668">
      <w:pPr>
        <w:tabs>
          <w:tab w:val="left" w:pos="720"/>
          <w:tab w:val="left" w:pos="1260"/>
          <w:tab w:val="left" w:pos="2160"/>
          <w:tab w:val="left" w:pos="2880"/>
          <w:tab w:val="left" w:pos="3600"/>
          <w:tab w:val="left" w:pos="4320"/>
          <w:tab w:val="left" w:pos="5040"/>
          <w:tab w:val="left" w:pos="5760"/>
        </w:tabs>
        <w:autoSpaceDE w:val="0"/>
        <w:autoSpaceDN w:val="0"/>
        <w:adjustRightInd w:val="0"/>
        <w:spacing w:line="560" w:lineRule="atLeast"/>
        <w:ind w:left="1260" w:leftChars="600" w:right="258" w:rightChars="123" w:firstLine="1680" w:firstLineChars="525"/>
        <w:jc w:val="left"/>
        <w:rPr>
          <w:rFonts w:asciiTheme="minorEastAsia" w:hAnsiTheme="minorEastAsia" w:eastAsiaTheme="minorEastAsia"/>
          <w:bCs/>
          <w:kern w:val="0"/>
          <w:sz w:val="32"/>
          <w:szCs w:val="32"/>
        </w:rPr>
      </w:pPr>
    </w:p>
    <w:p w14:paraId="421C6A1C">
      <w:pPr>
        <w:tabs>
          <w:tab w:val="left" w:pos="720"/>
          <w:tab w:val="left" w:pos="1260"/>
          <w:tab w:val="left" w:pos="2160"/>
          <w:tab w:val="left" w:pos="2880"/>
          <w:tab w:val="left" w:pos="3600"/>
          <w:tab w:val="left" w:pos="4320"/>
          <w:tab w:val="left" w:pos="5040"/>
          <w:tab w:val="left" w:pos="5760"/>
        </w:tabs>
        <w:autoSpaceDE w:val="0"/>
        <w:autoSpaceDN w:val="0"/>
        <w:adjustRightInd w:val="0"/>
        <w:spacing w:line="560" w:lineRule="atLeast"/>
        <w:ind w:left="1260" w:leftChars="600" w:right="258" w:rightChars="123" w:firstLine="1680" w:firstLineChars="525"/>
        <w:jc w:val="left"/>
        <w:rPr>
          <w:rFonts w:asciiTheme="minorEastAsia" w:hAnsiTheme="minorEastAsia" w:eastAsiaTheme="minorEastAsia"/>
          <w:bCs/>
          <w:kern w:val="0"/>
          <w:sz w:val="32"/>
          <w:szCs w:val="32"/>
        </w:rPr>
      </w:pPr>
    </w:p>
    <w:p w14:paraId="3F28CCBE">
      <w:pPr>
        <w:tabs>
          <w:tab w:val="left" w:pos="720"/>
          <w:tab w:val="left" w:pos="1260"/>
          <w:tab w:val="left" w:pos="2160"/>
          <w:tab w:val="left" w:pos="2880"/>
          <w:tab w:val="left" w:pos="3600"/>
          <w:tab w:val="left" w:pos="4320"/>
          <w:tab w:val="left" w:pos="5040"/>
          <w:tab w:val="left" w:pos="5760"/>
        </w:tabs>
        <w:autoSpaceDE w:val="0"/>
        <w:autoSpaceDN w:val="0"/>
        <w:adjustRightInd w:val="0"/>
        <w:spacing w:line="560" w:lineRule="atLeast"/>
        <w:ind w:left="1260" w:leftChars="600" w:right="258" w:rightChars="123" w:firstLine="1680" w:firstLineChars="525"/>
        <w:jc w:val="left"/>
        <w:rPr>
          <w:rFonts w:asciiTheme="minorEastAsia" w:hAnsiTheme="minorEastAsia" w:eastAsiaTheme="minorEastAsia"/>
          <w:bCs/>
          <w:kern w:val="0"/>
          <w:sz w:val="32"/>
          <w:szCs w:val="32"/>
        </w:rPr>
      </w:pPr>
    </w:p>
    <w:p w14:paraId="76014185">
      <w:pPr>
        <w:pStyle w:val="3"/>
        <w:spacing w:line="560" w:lineRule="atLeast"/>
        <w:rPr>
          <w:rFonts w:asciiTheme="minorEastAsia" w:hAnsiTheme="minorEastAsia" w:eastAsiaTheme="minorEastAsia"/>
          <w:b w:val="0"/>
          <w:bCs/>
          <w:kern w:val="0"/>
          <w:sz w:val="32"/>
          <w:szCs w:val="32"/>
        </w:rPr>
      </w:pPr>
      <w:r>
        <w:rPr>
          <w:rFonts w:hint="eastAsia" w:asciiTheme="minorEastAsia" w:hAnsiTheme="minorEastAsia" w:eastAsiaTheme="minorEastAsia"/>
          <w:b w:val="0"/>
          <w:bCs/>
          <w:kern w:val="0"/>
          <w:sz w:val="32"/>
          <w:szCs w:val="32"/>
        </w:rPr>
        <w:t>第六部分  响应文件格式</w:t>
      </w:r>
    </w:p>
    <w:p w14:paraId="3190089B">
      <w:pPr>
        <w:tabs>
          <w:tab w:val="left" w:pos="720"/>
          <w:tab w:val="left" w:pos="1260"/>
          <w:tab w:val="left" w:pos="2160"/>
          <w:tab w:val="left" w:pos="2880"/>
          <w:tab w:val="left" w:pos="3600"/>
          <w:tab w:val="left" w:pos="4320"/>
          <w:tab w:val="left" w:pos="5040"/>
          <w:tab w:val="left" w:pos="5760"/>
        </w:tabs>
        <w:autoSpaceDE w:val="0"/>
        <w:autoSpaceDN w:val="0"/>
        <w:adjustRightInd w:val="0"/>
        <w:spacing w:line="560" w:lineRule="atLeast"/>
        <w:ind w:left="1260" w:leftChars="600" w:right="258" w:rightChars="123" w:firstLine="1680" w:firstLineChars="525"/>
        <w:jc w:val="left"/>
        <w:rPr>
          <w:rFonts w:asciiTheme="minorEastAsia" w:hAnsiTheme="minorEastAsia" w:eastAsiaTheme="minorEastAsia"/>
          <w:bCs/>
          <w:kern w:val="0"/>
          <w:sz w:val="32"/>
          <w:szCs w:val="32"/>
        </w:rPr>
      </w:pPr>
    </w:p>
    <w:p w14:paraId="794A1158">
      <w:pPr>
        <w:tabs>
          <w:tab w:val="left" w:pos="720"/>
          <w:tab w:val="left" w:pos="1260"/>
          <w:tab w:val="left" w:pos="2160"/>
          <w:tab w:val="left" w:pos="2880"/>
          <w:tab w:val="left" w:pos="3600"/>
          <w:tab w:val="left" w:pos="4320"/>
          <w:tab w:val="left" w:pos="5040"/>
          <w:tab w:val="left" w:pos="5760"/>
        </w:tabs>
        <w:autoSpaceDE w:val="0"/>
        <w:autoSpaceDN w:val="0"/>
        <w:adjustRightInd w:val="0"/>
        <w:spacing w:line="560" w:lineRule="atLeast"/>
        <w:ind w:left="1260" w:leftChars="600" w:right="258" w:rightChars="123" w:firstLine="1680" w:firstLineChars="525"/>
        <w:jc w:val="left"/>
        <w:rPr>
          <w:rFonts w:asciiTheme="minorEastAsia" w:hAnsiTheme="minorEastAsia" w:eastAsiaTheme="minorEastAsia"/>
          <w:bCs/>
          <w:kern w:val="0"/>
          <w:sz w:val="32"/>
          <w:szCs w:val="32"/>
        </w:rPr>
      </w:pPr>
    </w:p>
    <w:p w14:paraId="2497B3CD">
      <w:pPr>
        <w:snapToGrid w:val="0"/>
        <w:spacing w:line="560" w:lineRule="atLeast"/>
        <w:jc w:val="center"/>
        <w:rPr>
          <w:rStyle w:val="64"/>
          <w:rFonts w:hint="eastAsia" w:asciiTheme="minorEastAsia" w:hAnsiTheme="minorEastAsia" w:eastAsiaTheme="minorEastAsia"/>
          <w:bCs/>
          <w:kern w:val="0"/>
          <w:sz w:val="32"/>
          <w:szCs w:val="32"/>
        </w:rPr>
      </w:pPr>
      <w:r>
        <w:rPr>
          <w:rStyle w:val="64"/>
          <w:rFonts w:asciiTheme="minorEastAsia" w:hAnsiTheme="minorEastAsia" w:eastAsiaTheme="minorEastAsia"/>
          <w:bCs/>
          <w:kern w:val="0"/>
          <w:sz w:val="32"/>
          <w:szCs w:val="32"/>
        </w:rPr>
        <w:t xml:space="preserve">项目名称： </w:t>
      </w:r>
    </w:p>
    <w:p w14:paraId="3FD7C17B">
      <w:pPr>
        <w:snapToGrid w:val="0"/>
        <w:spacing w:line="560" w:lineRule="atLeast"/>
        <w:rPr>
          <w:rStyle w:val="64"/>
          <w:rFonts w:hint="eastAsia" w:asciiTheme="minorEastAsia" w:hAnsiTheme="minorEastAsia" w:eastAsiaTheme="minorEastAsia"/>
          <w:bCs/>
          <w:kern w:val="0"/>
          <w:sz w:val="32"/>
          <w:szCs w:val="32"/>
        </w:rPr>
      </w:pPr>
    </w:p>
    <w:p w14:paraId="107CA033">
      <w:pPr>
        <w:snapToGrid w:val="0"/>
        <w:spacing w:line="560" w:lineRule="atLeast"/>
        <w:jc w:val="center"/>
        <w:rPr>
          <w:rStyle w:val="64"/>
          <w:rFonts w:hint="eastAsia" w:asciiTheme="minorEastAsia" w:hAnsiTheme="minorEastAsia" w:eastAsiaTheme="minorEastAsia"/>
          <w:bCs/>
          <w:kern w:val="0"/>
          <w:sz w:val="32"/>
          <w:szCs w:val="32"/>
        </w:rPr>
      </w:pPr>
      <w:r>
        <w:rPr>
          <w:rStyle w:val="64"/>
          <w:rFonts w:asciiTheme="minorEastAsia" w:hAnsiTheme="minorEastAsia" w:eastAsiaTheme="minorEastAsia"/>
          <w:bCs/>
          <w:kern w:val="0"/>
          <w:sz w:val="32"/>
          <w:szCs w:val="32"/>
        </w:rPr>
        <w:t>项目编号: HNJY202</w:t>
      </w:r>
      <w:r>
        <w:rPr>
          <w:rStyle w:val="64"/>
          <w:rFonts w:hint="eastAsia" w:asciiTheme="minorEastAsia" w:hAnsiTheme="minorEastAsia" w:eastAsiaTheme="minorEastAsia"/>
          <w:bCs/>
          <w:kern w:val="0"/>
          <w:sz w:val="32"/>
          <w:szCs w:val="32"/>
        </w:rPr>
        <w:t>4</w:t>
      </w:r>
      <w:r>
        <w:rPr>
          <w:rStyle w:val="64"/>
          <w:rFonts w:asciiTheme="minorEastAsia" w:hAnsiTheme="minorEastAsia" w:eastAsiaTheme="minorEastAsia"/>
          <w:bCs/>
          <w:kern w:val="0"/>
          <w:sz w:val="32"/>
          <w:szCs w:val="32"/>
        </w:rPr>
        <w:t>-</w:t>
      </w:r>
    </w:p>
    <w:p w14:paraId="2DEF4352">
      <w:pPr>
        <w:snapToGrid w:val="0"/>
        <w:spacing w:line="560" w:lineRule="atLeast"/>
        <w:ind w:right="2278"/>
        <w:rPr>
          <w:rStyle w:val="64"/>
          <w:rFonts w:hint="eastAsia" w:asciiTheme="minorEastAsia" w:hAnsiTheme="minorEastAsia" w:eastAsiaTheme="minorEastAsia"/>
          <w:bCs/>
          <w:kern w:val="0"/>
          <w:sz w:val="32"/>
          <w:szCs w:val="32"/>
        </w:rPr>
      </w:pPr>
    </w:p>
    <w:p w14:paraId="52EC40E3">
      <w:pPr>
        <w:snapToGrid w:val="0"/>
        <w:spacing w:line="560" w:lineRule="atLeast"/>
        <w:ind w:right="2279"/>
        <w:jc w:val="center"/>
        <w:rPr>
          <w:rStyle w:val="64"/>
          <w:rFonts w:hint="eastAsia" w:asciiTheme="minorEastAsia" w:hAnsiTheme="minorEastAsia" w:eastAsiaTheme="minorEastAsia"/>
          <w:bCs/>
          <w:kern w:val="0"/>
          <w:sz w:val="32"/>
          <w:szCs w:val="32"/>
        </w:rPr>
      </w:pPr>
      <w:r>
        <w:rPr>
          <w:rStyle w:val="64"/>
          <w:rFonts w:hint="eastAsia" w:asciiTheme="minorEastAsia" w:hAnsiTheme="minorEastAsia" w:eastAsiaTheme="minorEastAsia"/>
          <w:bCs/>
          <w:kern w:val="0"/>
          <w:sz w:val="32"/>
          <w:szCs w:val="32"/>
        </w:rPr>
        <w:t xml:space="preserve">             公开比选采购</w:t>
      </w:r>
    </w:p>
    <w:p w14:paraId="44326C9F">
      <w:pPr>
        <w:snapToGrid w:val="0"/>
        <w:spacing w:line="560" w:lineRule="atLeast"/>
        <w:ind w:right="2279"/>
        <w:jc w:val="center"/>
        <w:rPr>
          <w:rStyle w:val="64"/>
          <w:rFonts w:hint="eastAsia" w:asciiTheme="minorEastAsia" w:hAnsiTheme="minorEastAsia" w:eastAsiaTheme="minorEastAsia"/>
          <w:bCs/>
          <w:kern w:val="0"/>
          <w:sz w:val="32"/>
          <w:szCs w:val="32"/>
        </w:rPr>
      </w:pPr>
      <w:r>
        <w:rPr>
          <w:rStyle w:val="64"/>
          <w:rFonts w:hint="eastAsia" w:asciiTheme="minorEastAsia" w:hAnsiTheme="minorEastAsia" w:eastAsiaTheme="minorEastAsia"/>
          <w:bCs/>
          <w:kern w:val="0"/>
          <w:sz w:val="32"/>
          <w:szCs w:val="32"/>
        </w:rPr>
        <w:t xml:space="preserve">             投标</w:t>
      </w:r>
      <w:r>
        <w:rPr>
          <w:rStyle w:val="64"/>
          <w:rFonts w:asciiTheme="minorEastAsia" w:hAnsiTheme="minorEastAsia" w:eastAsiaTheme="minorEastAsia"/>
          <w:bCs/>
          <w:kern w:val="0"/>
          <w:sz w:val="32"/>
          <w:szCs w:val="32"/>
        </w:rPr>
        <w:t>文件</w:t>
      </w:r>
    </w:p>
    <w:p w14:paraId="33EE5B3A">
      <w:pPr>
        <w:snapToGrid w:val="0"/>
        <w:spacing w:line="560" w:lineRule="atLeast"/>
        <w:ind w:right="2278"/>
        <w:rPr>
          <w:rStyle w:val="64"/>
          <w:rFonts w:hint="eastAsia" w:asciiTheme="minorEastAsia" w:hAnsiTheme="minorEastAsia" w:eastAsiaTheme="minorEastAsia"/>
          <w:bCs/>
          <w:sz w:val="30"/>
          <w:szCs w:val="30"/>
        </w:rPr>
      </w:pPr>
    </w:p>
    <w:p w14:paraId="528A8CB2">
      <w:pPr>
        <w:snapToGrid w:val="0"/>
        <w:spacing w:line="560" w:lineRule="atLeast"/>
        <w:ind w:right="2278"/>
        <w:rPr>
          <w:rStyle w:val="64"/>
          <w:rFonts w:hint="eastAsia" w:asciiTheme="minorEastAsia" w:hAnsiTheme="minorEastAsia" w:eastAsiaTheme="minorEastAsia"/>
          <w:bCs/>
          <w:sz w:val="30"/>
          <w:szCs w:val="30"/>
        </w:rPr>
      </w:pPr>
    </w:p>
    <w:p w14:paraId="1FE756B5">
      <w:pPr>
        <w:snapToGrid w:val="0"/>
        <w:spacing w:line="560" w:lineRule="atLeast"/>
        <w:ind w:right="2278"/>
        <w:rPr>
          <w:rStyle w:val="64"/>
          <w:rFonts w:hint="eastAsia" w:asciiTheme="minorEastAsia" w:hAnsiTheme="minorEastAsia" w:eastAsiaTheme="minorEastAsia"/>
          <w:bCs/>
          <w:sz w:val="30"/>
          <w:szCs w:val="30"/>
        </w:rPr>
      </w:pPr>
    </w:p>
    <w:p w14:paraId="251FD72D">
      <w:pPr>
        <w:snapToGrid w:val="0"/>
        <w:spacing w:line="560" w:lineRule="atLeast"/>
        <w:ind w:right="2278"/>
        <w:rPr>
          <w:rStyle w:val="64"/>
          <w:rFonts w:hint="eastAsia" w:asciiTheme="minorEastAsia" w:hAnsiTheme="minorEastAsia" w:eastAsiaTheme="minorEastAsia"/>
          <w:bCs/>
          <w:sz w:val="30"/>
          <w:szCs w:val="30"/>
        </w:rPr>
      </w:pPr>
    </w:p>
    <w:p w14:paraId="79146D98">
      <w:pPr>
        <w:pStyle w:val="48"/>
        <w:rPr>
          <w:rFonts w:hint="eastAsia"/>
        </w:rPr>
      </w:pPr>
    </w:p>
    <w:p w14:paraId="7CADB33C">
      <w:pPr>
        <w:snapToGrid w:val="0"/>
        <w:spacing w:line="560" w:lineRule="atLeast"/>
        <w:ind w:right="2278"/>
        <w:rPr>
          <w:rStyle w:val="64"/>
          <w:rFonts w:hint="eastAsia" w:asciiTheme="minorEastAsia" w:hAnsiTheme="minorEastAsia" w:eastAsiaTheme="minorEastAsia"/>
          <w:bCs/>
          <w:sz w:val="30"/>
          <w:szCs w:val="30"/>
        </w:rPr>
      </w:pPr>
    </w:p>
    <w:p w14:paraId="45F2E5C3">
      <w:pPr>
        <w:snapToGrid w:val="0"/>
        <w:spacing w:line="560" w:lineRule="atLeast"/>
        <w:ind w:right="2278"/>
        <w:rPr>
          <w:rStyle w:val="64"/>
          <w:rFonts w:hint="eastAsia" w:asciiTheme="minorEastAsia" w:hAnsiTheme="minorEastAsia" w:eastAsiaTheme="minorEastAsia"/>
          <w:bCs/>
          <w:sz w:val="30"/>
          <w:szCs w:val="30"/>
        </w:rPr>
      </w:pPr>
    </w:p>
    <w:p w14:paraId="6A8A548B">
      <w:pPr>
        <w:snapToGrid w:val="0"/>
        <w:spacing w:line="560" w:lineRule="atLeast"/>
        <w:ind w:right="2278"/>
        <w:rPr>
          <w:rStyle w:val="64"/>
          <w:rFonts w:hint="eastAsia" w:asciiTheme="minorEastAsia" w:hAnsiTheme="minorEastAsia" w:eastAsiaTheme="minorEastAsia"/>
          <w:bCs/>
          <w:sz w:val="30"/>
          <w:szCs w:val="30"/>
        </w:rPr>
      </w:pPr>
    </w:p>
    <w:p w14:paraId="5D4522C7">
      <w:pPr>
        <w:snapToGrid w:val="0"/>
        <w:spacing w:line="560" w:lineRule="atLeast"/>
        <w:ind w:right="2279"/>
        <w:rPr>
          <w:rStyle w:val="64"/>
          <w:rFonts w:hint="eastAsia" w:asciiTheme="minorEastAsia" w:hAnsiTheme="minorEastAsia" w:eastAsiaTheme="minorEastAsia"/>
          <w:bCs/>
          <w:sz w:val="30"/>
          <w:szCs w:val="30"/>
        </w:rPr>
      </w:pPr>
      <w:r>
        <w:rPr>
          <w:rStyle w:val="64"/>
          <w:rFonts w:hint="eastAsia" w:asciiTheme="minorEastAsia" w:hAnsiTheme="minorEastAsia" w:eastAsiaTheme="minorEastAsia"/>
          <w:bCs/>
          <w:sz w:val="30"/>
          <w:szCs w:val="30"/>
        </w:rPr>
        <w:t>投标人</w:t>
      </w:r>
      <w:r>
        <w:rPr>
          <w:rStyle w:val="64"/>
          <w:rFonts w:asciiTheme="minorEastAsia" w:hAnsiTheme="minorEastAsia" w:eastAsiaTheme="minorEastAsia"/>
          <w:bCs/>
          <w:sz w:val="30"/>
          <w:szCs w:val="30"/>
        </w:rPr>
        <w:t>名称：               （盖章）</w:t>
      </w:r>
    </w:p>
    <w:p w14:paraId="0D42EAAC">
      <w:pPr>
        <w:snapToGrid w:val="0"/>
        <w:spacing w:line="560" w:lineRule="atLeast"/>
        <w:ind w:right="2279"/>
        <w:rPr>
          <w:rStyle w:val="64"/>
          <w:rFonts w:hint="eastAsia" w:asciiTheme="minorEastAsia" w:hAnsiTheme="minorEastAsia" w:eastAsiaTheme="minorEastAsia"/>
          <w:bCs/>
          <w:sz w:val="30"/>
          <w:szCs w:val="30"/>
        </w:rPr>
      </w:pPr>
      <w:r>
        <w:rPr>
          <w:rStyle w:val="64"/>
          <w:rFonts w:asciiTheme="minorEastAsia" w:hAnsiTheme="minorEastAsia" w:eastAsiaTheme="minorEastAsia"/>
          <w:bCs/>
          <w:sz w:val="30"/>
          <w:szCs w:val="30"/>
        </w:rPr>
        <w:t>公司地址：</w:t>
      </w:r>
    </w:p>
    <w:p w14:paraId="04B9853A">
      <w:pPr>
        <w:snapToGrid w:val="0"/>
        <w:spacing w:line="560" w:lineRule="atLeast"/>
        <w:ind w:right="2279"/>
        <w:rPr>
          <w:rStyle w:val="64"/>
          <w:rFonts w:hint="eastAsia" w:asciiTheme="minorEastAsia" w:hAnsiTheme="minorEastAsia" w:eastAsiaTheme="minorEastAsia"/>
          <w:bCs/>
          <w:sz w:val="30"/>
          <w:szCs w:val="30"/>
        </w:rPr>
      </w:pPr>
      <w:r>
        <w:rPr>
          <w:rStyle w:val="64"/>
          <w:rFonts w:asciiTheme="minorEastAsia" w:hAnsiTheme="minorEastAsia" w:eastAsiaTheme="minorEastAsia"/>
          <w:bCs/>
          <w:sz w:val="30"/>
          <w:szCs w:val="30"/>
        </w:rPr>
        <w:t>联系人：</w:t>
      </w:r>
    </w:p>
    <w:p w14:paraId="3B2B5EB8">
      <w:pPr>
        <w:snapToGrid w:val="0"/>
        <w:spacing w:line="560" w:lineRule="atLeast"/>
        <w:ind w:right="2279"/>
        <w:rPr>
          <w:rStyle w:val="64"/>
          <w:rFonts w:hint="eastAsia" w:asciiTheme="minorEastAsia" w:hAnsiTheme="minorEastAsia" w:eastAsiaTheme="minorEastAsia"/>
          <w:bCs/>
          <w:sz w:val="30"/>
          <w:szCs w:val="30"/>
        </w:rPr>
      </w:pPr>
      <w:r>
        <w:rPr>
          <w:rStyle w:val="64"/>
          <w:rFonts w:asciiTheme="minorEastAsia" w:hAnsiTheme="minorEastAsia" w:eastAsiaTheme="minorEastAsia"/>
          <w:bCs/>
          <w:sz w:val="30"/>
          <w:szCs w:val="30"/>
        </w:rPr>
        <w:t>联系电话：</w:t>
      </w:r>
    </w:p>
    <w:p w14:paraId="12BE3C6C">
      <w:pPr>
        <w:snapToGrid w:val="0"/>
        <w:spacing w:line="560" w:lineRule="atLeast"/>
        <w:ind w:right="2278"/>
        <w:rPr>
          <w:rFonts w:asciiTheme="minorEastAsia" w:hAnsiTheme="minorEastAsia" w:eastAsiaTheme="minorEastAsia"/>
          <w:bCs/>
          <w:kern w:val="0"/>
          <w:sz w:val="32"/>
          <w:szCs w:val="32"/>
        </w:rPr>
      </w:pPr>
      <w:r>
        <w:rPr>
          <w:rStyle w:val="64"/>
          <w:rFonts w:asciiTheme="minorEastAsia" w:hAnsiTheme="minorEastAsia" w:eastAsiaTheme="minorEastAsia"/>
          <w:bCs/>
          <w:sz w:val="30"/>
          <w:szCs w:val="30"/>
        </w:rPr>
        <w:t>日期：</w:t>
      </w:r>
    </w:p>
    <w:p w14:paraId="1C17848D">
      <w:pPr>
        <w:spacing w:line="560" w:lineRule="atLeast"/>
        <w:rPr>
          <w:rFonts w:hint="eastAsia" w:asciiTheme="minorEastAsia" w:hAnsiTheme="minorEastAsia" w:eastAsiaTheme="minorEastAsia"/>
          <w:bCs/>
          <w:sz w:val="24"/>
        </w:rPr>
      </w:pPr>
    </w:p>
    <w:p w14:paraId="7C2E1D7E">
      <w:pPr>
        <w:pStyle w:val="17"/>
        <w:spacing w:line="560" w:lineRule="atLeast"/>
        <w:rPr>
          <w:rFonts w:hint="eastAsia" w:asciiTheme="minorEastAsia" w:hAnsiTheme="minorEastAsia" w:eastAsiaTheme="minorEastAsia"/>
          <w:bCs/>
          <w:sz w:val="24"/>
        </w:rPr>
      </w:pPr>
    </w:p>
    <w:p w14:paraId="3489A8C9">
      <w:pPr>
        <w:spacing w:line="560" w:lineRule="atLeast"/>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附件1                             </w:t>
      </w:r>
    </w:p>
    <w:p w14:paraId="50801E9F">
      <w:pPr>
        <w:spacing w:line="560" w:lineRule="atLeast"/>
        <w:jc w:val="center"/>
        <w:rPr>
          <w:rFonts w:hint="eastAsia" w:asciiTheme="minorEastAsia" w:hAnsiTheme="minorEastAsia" w:eastAsiaTheme="minorEastAsia"/>
          <w:bCs/>
          <w:sz w:val="24"/>
        </w:rPr>
      </w:pPr>
      <w:r>
        <w:rPr>
          <w:rFonts w:hint="eastAsia" w:asciiTheme="minorEastAsia" w:hAnsiTheme="minorEastAsia" w:eastAsiaTheme="minorEastAsia"/>
          <w:bCs/>
          <w:sz w:val="24"/>
        </w:rPr>
        <w:t>响应函</w:t>
      </w:r>
    </w:p>
    <w:p w14:paraId="3E7E456D">
      <w:pPr>
        <w:spacing w:line="560" w:lineRule="atLeast"/>
        <w:rPr>
          <w:rFonts w:hint="eastAsia" w:asciiTheme="minorEastAsia" w:hAnsiTheme="minorEastAsia" w:eastAsiaTheme="minorEastAsia"/>
          <w:bCs/>
          <w:sz w:val="24"/>
        </w:rPr>
      </w:pPr>
    </w:p>
    <w:p w14:paraId="6A689F1F">
      <w:pPr>
        <w:spacing w:line="560" w:lineRule="atLeast"/>
        <w:rPr>
          <w:rFonts w:hint="eastAsia" w:asciiTheme="minorEastAsia" w:hAnsiTheme="minorEastAsia" w:eastAsiaTheme="minorEastAsia"/>
          <w:bCs/>
          <w:sz w:val="24"/>
        </w:rPr>
      </w:pPr>
      <w:r>
        <w:rPr>
          <w:rFonts w:hint="eastAsia" w:asciiTheme="minorEastAsia" w:hAnsiTheme="minorEastAsia" w:eastAsiaTheme="minorEastAsia"/>
          <w:bCs/>
          <w:sz w:val="24"/>
        </w:rPr>
        <w:t>致：海南省教学仪器设备招标中心有限公司：</w:t>
      </w:r>
    </w:p>
    <w:p w14:paraId="74FE1285">
      <w:pPr>
        <w:spacing w:line="560" w:lineRule="atLeast"/>
        <w:rPr>
          <w:rFonts w:hint="eastAsia" w:asciiTheme="minorEastAsia" w:hAnsiTheme="minorEastAsia" w:eastAsiaTheme="minorEastAsia"/>
          <w:bCs/>
          <w:sz w:val="24"/>
        </w:rPr>
      </w:pPr>
    </w:p>
    <w:p w14:paraId="0BAA7833">
      <w:pPr>
        <w:spacing w:line="560" w:lineRule="atLeast"/>
        <w:ind w:firstLine="480"/>
        <w:rPr>
          <w:rFonts w:hint="eastAsia" w:asciiTheme="minorEastAsia" w:hAnsiTheme="minorEastAsia" w:eastAsiaTheme="minorEastAsia"/>
          <w:bCs/>
          <w:sz w:val="24"/>
        </w:rPr>
      </w:pPr>
      <w:r>
        <w:rPr>
          <w:rFonts w:hint="eastAsia" w:asciiTheme="minorEastAsia" w:hAnsiTheme="minorEastAsia" w:eastAsiaTheme="minorEastAsia"/>
          <w:bCs/>
          <w:sz w:val="24"/>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213360</wp:posOffset>
                </wp:positionV>
                <wp:extent cx="635" cy="0"/>
                <wp:effectExtent l="0" t="0" r="0" b="0"/>
                <wp:wrapNone/>
                <wp:docPr id="178091096"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369pt;margin-top:16.8pt;height:0pt;width:0.05pt;z-index:251659264;mso-width-relative:page;mso-height-relative:page;" filled="f" stroked="t" coordsize="21600,21600" o:allowincell="f" o:gfxdata="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YKb31QAAAAkBAAAPAAAAAAAAAAEAIAAA&#10;ACIAAABkcnMvZG93bnJldi54bWxQSwECFAAUAAAACACHTuJAS+gFitYBAADRAwAADgAAAAAAAAAB&#10;ACAAAAAkAQAAZHJzL2Uyb0RvYy54bWxQSwUGAAAAAAYABgBZAQAAbAUAAAAA&#10;">
                <v:fill on="f" focussize="0,0"/>
                <v:stroke color="#000000" joinstyle="round"/>
                <v:imagedata o:title=""/>
                <o:lock v:ext="edit" aspectratio="f"/>
              </v:line>
            </w:pict>
          </mc:Fallback>
        </mc:AlternateContent>
      </w:r>
      <w:r>
        <w:rPr>
          <w:rFonts w:hint="eastAsia" w:asciiTheme="minorEastAsia" w:hAnsiTheme="minorEastAsia" w:eastAsiaTheme="minorEastAsia"/>
          <w:bCs/>
          <w:sz w:val="24"/>
        </w:rPr>
        <w:t>根据贵方为“”项目的邀请（项目编号：HNJY2024- - ），正式授权下签字代表（全名、职务）代表响应投标人（投标人名称、地址）提交下述文件正本壹份和副本叁份。</w:t>
      </w:r>
    </w:p>
    <w:p w14:paraId="019B3D8E">
      <w:pPr>
        <w:snapToGrid w:val="0"/>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根据此函，我们宣布同意如下：</w:t>
      </w:r>
    </w:p>
    <w:p w14:paraId="550D435E">
      <w:pPr>
        <w:snapToGrid w:val="0"/>
        <w:spacing w:line="560" w:lineRule="atLeast"/>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    1、我方接受采购文件包括修改文件（如有的话）以及全部参考资料和有关附件的所有的条款和规定。我们完全理解并同意放弃对这方面有不明及误解的权利。</w:t>
      </w:r>
    </w:p>
    <w:p w14:paraId="31EA539B">
      <w:pPr>
        <w:snapToGrid w:val="0"/>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2、我方同意按照公开比选采购文件第三部分 “投标人须知”的规定，本响应文件的有效期为自递交响应文件截止日期起计算的</w:t>
      </w:r>
      <w:r>
        <w:rPr>
          <w:rFonts w:hint="eastAsia" w:asciiTheme="minorEastAsia" w:hAnsiTheme="minorEastAsia" w:eastAsiaTheme="minorEastAsia"/>
          <w:bCs/>
          <w:sz w:val="24"/>
          <w:u w:val="single"/>
        </w:rPr>
        <w:t>90天</w:t>
      </w:r>
      <w:r>
        <w:rPr>
          <w:rFonts w:hint="eastAsia" w:asciiTheme="minorEastAsia" w:hAnsiTheme="minorEastAsia" w:eastAsiaTheme="minorEastAsia"/>
          <w:bCs/>
          <w:sz w:val="24"/>
        </w:rPr>
        <w:t>，在此期间，本响应文件将始终对我方具有约束力，并可随时被接受。</w:t>
      </w:r>
    </w:p>
    <w:p w14:paraId="253E7307">
      <w:pPr>
        <w:snapToGrid w:val="0"/>
        <w:spacing w:line="560" w:lineRule="atLeast"/>
        <w:ind w:firstLine="48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3、我们同意提供贵单位要求的有关本次响应的所有资料或证据，并保证资料、证据的真实有效性。    </w:t>
      </w:r>
    </w:p>
    <w:p w14:paraId="02046788">
      <w:pPr>
        <w:snapToGrid w:val="0"/>
        <w:spacing w:line="560" w:lineRule="atLeast"/>
        <w:ind w:firstLine="480"/>
        <w:rPr>
          <w:rFonts w:hint="eastAsia" w:asciiTheme="minorEastAsia" w:hAnsiTheme="minorEastAsia" w:eastAsiaTheme="minorEastAsia"/>
          <w:bCs/>
          <w:sz w:val="24"/>
        </w:rPr>
      </w:pPr>
      <w:r>
        <w:rPr>
          <w:rFonts w:hint="eastAsia" w:asciiTheme="minorEastAsia" w:hAnsiTheme="minorEastAsia" w:eastAsiaTheme="minorEastAsia"/>
          <w:bCs/>
          <w:sz w:val="24"/>
        </w:rPr>
        <w:t>4、如果我方投标人，我们将根据采购文件的规定严格履行自己的责任和义务。</w:t>
      </w:r>
    </w:p>
    <w:p w14:paraId="41F78198">
      <w:pPr>
        <w:snapToGrid w:val="0"/>
        <w:spacing w:line="560" w:lineRule="atLeast"/>
        <w:ind w:firstLine="570"/>
        <w:rPr>
          <w:rFonts w:hint="eastAsia" w:asciiTheme="minorEastAsia" w:hAnsiTheme="minorEastAsia" w:eastAsiaTheme="minorEastAsia"/>
          <w:bCs/>
          <w:sz w:val="24"/>
        </w:rPr>
      </w:pPr>
    </w:p>
    <w:p w14:paraId="566B9F42">
      <w:pPr>
        <w:snapToGrid w:val="0"/>
        <w:spacing w:line="560" w:lineRule="atLeast"/>
        <w:ind w:firstLine="960" w:firstLineChars="400"/>
        <w:rPr>
          <w:rFonts w:hint="eastAsia" w:asciiTheme="minorEastAsia" w:hAnsiTheme="minorEastAsia" w:eastAsiaTheme="minorEastAsia"/>
          <w:bCs/>
          <w:sz w:val="24"/>
        </w:rPr>
      </w:pPr>
      <w:r>
        <w:rPr>
          <w:rFonts w:hint="eastAsia" w:asciiTheme="minorEastAsia" w:hAnsiTheme="minorEastAsia" w:eastAsiaTheme="minorEastAsia"/>
          <w:bCs/>
          <w:sz w:val="24"/>
        </w:rPr>
        <w:t>投标人名称：</w:t>
      </w:r>
      <w:r>
        <w:rPr>
          <w:rFonts w:hint="eastAsia" w:asciiTheme="minorEastAsia" w:hAnsiTheme="minorEastAsia" w:eastAsiaTheme="minorEastAsia"/>
          <w:bCs/>
          <w:sz w:val="24"/>
          <w:u w:val="single"/>
        </w:rPr>
        <w:t xml:space="preserve">              （公章）</w:t>
      </w:r>
    </w:p>
    <w:p w14:paraId="1EEB6641">
      <w:pPr>
        <w:snapToGrid w:val="0"/>
        <w:spacing w:line="560" w:lineRule="atLeast"/>
        <w:rPr>
          <w:rFonts w:hint="eastAsia" w:asciiTheme="minorEastAsia" w:hAnsiTheme="minorEastAsia" w:eastAsiaTheme="minorEastAsia"/>
          <w:bCs/>
          <w:sz w:val="24"/>
          <w:u w:val="single"/>
        </w:rPr>
      </w:pPr>
      <w:r>
        <w:rPr>
          <w:rFonts w:hint="eastAsia" w:asciiTheme="minorEastAsia" w:hAnsiTheme="minorEastAsia" w:eastAsiaTheme="minorEastAsia"/>
          <w:bCs/>
          <w:sz w:val="24"/>
        </w:rPr>
        <w:t xml:space="preserve">        地址：邮编：</w:t>
      </w:r>
    </w:p>
    <w:p w14:paraId="57321785">
      <w:pPr>
        <w:snapToGrid w:val="0"/>
        <w:spacing w:line="560" w:lineRule="atLeast"/>
        <w:rPr>
          <w:rFonts w:hint="eastAsia" w:asciiTheme="minorEastAsia" w:hAnsiTheme="minorEastAsia" w:eastAsiaTheme="minorEastAsia"/>
          <w:bCs/>
          <w:sz w:val="24"/>
          <w:u w:val="single"/>
        </w:rPr>
      </w:pPr>
      <w:r>
        <w:rPr>
          <w:rFonts w:hint="eastAsia" w:asciiTheme="minorEastAsia" w:hAnsiTheme="minorEastAsia" w:eastAsiaTheme="minorEastAsia"/>
          <w:bCs/>
          <w:sz w:val="24"/>
        </w:rPr>
        <w:t xml:space="preserve">        电话：传真：</w:t>
      </w:r>
    </w:p>
    <w:p w14:paraId="1F2CC891">
      <w:pPr>
        <w:snapToGrid w:val="0"/>
        <w:spacing w:line="560" w:lineRule="atLeast"/>
        <w:rPr>
          <w:rFonts w:hint="eastAsia" w:asciiTheme="minorEastAsia" w:hAnsiTheme="minorEastAsia" w:eastAsiaTheme="minorEastAsia"/>
          <w:bCs/>
          <w:sz w:val="24"/>
          <w:u w:val="single"/>
        </w:rPr>
      </w:pPr>
      <w:r>
        <w:rPr>
          <w:rFonts w:hint="eastAsia" w:asciiTheme="minorEastAsia" w:hAnsiTheme="minorEastAsia" w:eastAsiaTheme="minorEastAsia"/>
          <w:bCs/>
          <w:sz w:val="24"/>
        </w:rPr>
        <w:t xml:space="preserve">        授权代表签字：     职务：</w:t>
      </w:r>
    </w:p>
    <w:p w14:paraId="4E168035">
      <w:pPr>
        <w:snapToGrid w:val="0"/>
        <w:spacing w:line="560" w:lineRule="atLeast"/>
        <w:rPr>
          <w:rFonts w:hint="eastAsia" w:asciiTheme="minorEastAsia" w:hAnsiTheme="minorEastAsia" w:eastAsiaTheme="minorEastAsia"/>
          <w:bCs/>
          <w:sz w:val="24"/>
          <w:u w:val="single"/>
        </w:rPr>
      </w:pPr>
      <w:r>
        <w:rPr>
          <w:rFonts w:hint="eastAsia" w:asciiTheme="minorEastAsia" w:hAnsiTheme="minorEastAsia" w:eastAsiaTheme="minorEastAsia"/>
          <w:bCs/>
          <w:sz w:val="24"/>
        </w:rPr>
        <w:t xml:space="preserve">        日期：</w:t>
      </w:r>
    </w:p>
    <w:p w14:paraId="1A65DC3A">
      <w:pPr>
        <w:spacing w:line="560" w:lineRule="atLeast"/>
        <w:rPr>
          <w:rFonts w:hint="eastAsia" w:asciiTheme="minorEastAsia" w:hAnsiTheme="minorEastAsia" w:eastAsiaTheme="minorEastAsia"/>
          <w:bCs/>
          <w:sz w:val="24"/>
        </w:rPr>
      </w:pPr>
    </w:p>
    <w:p w14:paraId="12865D32">
      <w:pPr>
        <w:pStyle w:val="23"/>
        <w:spacing w:line="560" w:lineRule="atLeast"/>
        <w:ind w:left="480" w:right="508" w:hanging="480"/>
        <w:jc w:val="both"/>
        <w:rPr>
          <w:rFonts w:hint="eastAsia" w:asciiTheme="minorEastAsia" w:hAnsiTheme="minorEastAsia" w:eastAsiaTheme="minorEastAsia"/>
          <w:bCs/>
          <w:kern w:val="2"/>
          <w:szCs w:val="24"/>
        </w:rPr>
      </w:pPr>
      <w:r>
        <w:rPr>
          <w:rFonts w:hint="eastAsia" w:asciiTheme="minorEastAsia" w:hAnsiTheme="minorEastAsia" w:eastAsiaTheme="minorEastAsia"/>
          <w:bCs/>
          <w:kern w:val="2"/>
          <w:szCs w:val="24"/>
        </w:rPr>
        <w:t>附件2</w:t>
      </w:r>
    </w:p>
    <w:p w14:paraId="566AF186">
      <w:pPr>
        <w:spacing w:line="560" w:lineRule="atLeast"/>
        <w:rPr>
          <w:rFonts w:hint="eastAsia" w:asciiTheme="minorEastAsia" w:hAnsiTheme="minorEastAsia" w:eastAsiaTheme="minorEastAsia"/>
          <w:bCs/>
          <w:sz w:val="28"/>
          <w:szCs w:val="28"/>
        </w:rPr>
      </w:pPr>
      <w:bookmarkStart w:id="59" w:name="_Toc373100990"/>
      <w:r>
        <w:rPr>
          <w:rFonts w:hint="eastAsia" w:asciiTheme="minorEastAsia" w:hAnsiTheme="minorEastAsia" w:eastAsiaTheme="minorEastAsia"/>
          <w:bCs/>
          <w:sz w:val="28"/>
          <w:szCs w:val="28"/>
        </w:rPr>
        <w:t xml:space="preserve">                </w:t>
      </w:r>
      <w:r>
        <w:rPr>
          <w:rFonts w:hint="eastAsia" w:asciiTheme="minorEastAsia" w:hAnsiTheme="minorEastAsia" w:eastAsiaTheme="minorEastAsia"/>
          <w:bCs/>
          <w:sz w:val="28"/>
          <w:szCs w:val="28"/>
          <w:lang w:val="en-US" w:eastAsia="zh-CN"/>
        </w:rPr>
        <w:t xml:space="preserve">            </w:t>
      </w:r>
      <w:r>
        <w:rPr>
          <w:rFonts w:hint="eastAsia" w:asciiTheme="minorEastAsia" w:hAnsiTheme="minorEastAsia" w:eastAsiaTheme="minorEastAsia"/>
          <w:bCs/>
          <w:sz w:val="28"/>
          <w:szCs w:val="28"/>
        </w:rPr>
        <w:t>报价一览表</w:t>
      </w:r>
      <w:bookmarkEnd w:id="59"/>
    </w:p>
    <w:p w14:paraId="39383A2B">
      <w:pPr>
        <w:spacing w:line="560" w:lineRule="atLeast"/>
        <w:jc w:val="center"/>
        <w:rPr>
          <w:rFonts w:asciiTheme="minorEastAsia" w:hAnsiTheme="minorEastAsia" w:eastAsiaTheme="minorEastAsia"/>
          <w:bCs/>
          <w:sz w:val="32"/>
          <w:szCs w:val="32"/>
        </w:rPr>
      </w:pPr>
    </w:p>
    <w:p w14:paraId="3AD179F5">
      <w:pPr>
        <w:topLinePunct/>
        <w:spacing w:line="560" w:lineRule="atLeast"/>
        <w:rPr>
          <w:rFonts w:asciiTheme="minorEastAsia" w:hAnsiTheme="minorEastAsia" w:eastAsiaTheme="minorEastAsia"/>
          <w:bCs/>
          <w:sz w:val="24"/>
        </w:rPr>
      </w:pPr>
      <w:r>
        <w:rPr>
          <w:rFonts w:hint="eastAsia" w:asciiTheme="minorEastAsia" w:hAnsiTheme="minorEastAsia" w:eastAsiaTheme="minorEastAsia"/>
          <w:bCs/>
          <w:sz w:val="24"/>
        </w:rPr>
        <w:t>项目名称：</w:t>
      </w:r>
    </w:p>
    <w:p w14:paraId="563716AB">
      <w:pPr>
        <w:topLinePunct/>
        <w:spacing w:line="560" w:lineRule="atLeast"/>
        <w:jc w:val="center"/>
        <w:rPr>
          <w:rFonts w:asciiTheme="minorEastAsia" w:hAnsiTheme="minorEastAsia" w:eastAsiaTheme="minorEastAsia"/>
          <w:bCs/>
          <w:sz w:val="24"/>
        </w:rPr>
      </w:pPr>
    </w:p>
    <w:p w14:paraId="32678916">
      <w:pPr>
        <w:topLinePunct/>
        <w:spacing w:line="560" w:lineRule="atLeast"/>
        <w:rPr>
          <w:rFonts w:asciiTheme="minorEastAsia" w:hAnsiTheme="minorEastAsia" w:eastAsiaTheme="minorEastAsia"/>
          <w:bCs/>
          <w:sz w:val="24"/>
        </w:rPr>
      </w:pPr>
      <w:r>
        <w:rPr>
          <w:rFonts w:hint="eastAsia" w:asciiTheme="minorEastAsia" w:hAnsiTheme="minorEastAsia" w:eastAsiaTheme="minorEastAsia"/>
          <w:bCs/>
          <w:sz w:val="24"/>
        </w:rPr>
        <w:t>项目编号:</w:t>
      </w:r>
    </w:p>
    <w:p w14:paraId="512AFF33">
      <w:pPr>
        <w:spacing w:line="560" w:lineRule="atLeast"/>
        <w:rPr>
          <w:rFonts w:hint="eastAsia" w:asciiTheme="minorEastAsia" w:hAnsiTheme="minorEastAsia" w:eastAsiaTheme="minorEastAsia"/>
          <w:bCs/>
          <w:sz w:val="24"/>
        </w:rPr>
      </w:pPr>
    </w:p>
    <w:tbl>
      <w:tblPr>
        <w:tblStyle w:val="40"/>
        <w:tblW w:w="0" w:type="auto"/>
        <w:jc w:val="center"/>
        <w:tblLayout w:type="fixed"/>
        <w:tblCellMar>
          <w:top w:w="0" w:type="dxa"/>
          <w:left w:w="108" w:type="dxa"/>
          <w:bottom w:w="0" w:type="dxa"/>
          <w:right w:w="108" w:type="dxa"/>
        </w:tblCellMar>
      </w:tblPr>
      <w:tblGrid>
        <w:gridCol w:w="2185"/>
        <w:gridCol w:w="6742"/>
      </w:tblGrid>
      <w:tr w14:paraId="11D58F32">
        <w:tblPrEx>
          <w:tblCellMar>
            <w:top w:w="0" w:type="dxa"/>
            <w:left w:w="108" w:type="dxa"/>
            <w:bottom w:w="0" w:type="dxa"/>
            <w:right w:w="108" w:type="dxa"/>
          </w:tblCellMar>
        </w:tblPrEx>
        <w:trPr>
          <w:trHeight w:val="715" w:hRule="atLeast"/>
          <w:jc w:val="center"/>
        </w:trPr>
        <w:tc>
          <w:tcPr>
            <w:tcW w:w="2185" w:type="dxa"/>
            <w:tcBorders>
              <w:top w:val="single" w:color="000000" w:sz="4" w:space="0"/>
              <w:left w:val="single" w:color="000000" w:sz="4" w:space="0"/>
              <w:bottom w:val="single" w:color="000000" w:sz="4" w:space="0"/>
              <w:right w:val="single" w:color="000000" w:sz="4" w:space="0"/>
            </w:tcBorders>
            <w:noWrap/>
            <w:vAlign w:val="center"/>
          </w:tcPr>
          <w:p w14:paraId="764C0E61">
            <w:pPr>
              <w:topLinePunct/>
              <w:spacing w:line="560" w:lineRule="atLeast"/>
              <w:jc w:val="center"/>
              <w:rPr>
                <w:rFonts w:asciiTheme="minorEastAsia" w:hAnsiTheme="minorEastAsia" w:eastAsiaTheme="minorEastAsia"/>
                <w:bCs/>
                <w:sz w:val="24"/>
              </w:rPr>
            </w:pPr>
            <w:r>
              <w:rPr>
                <w:rFonts w:hint="eastAsia" w:asciiTheme="minorEastAsia" w:hAnsiTheme="minorEastAsia" w:eastAsiaTheme="minorEastAsia"/>
                <w:bCs/>
                <w:sz w:val="24"/>
              </w:rPr>
              <w:t>投标人名称</w:t>
            </w:r>
          </w:p>
        </w:tc>
        <w:tc>
          <w:tcPr>
            <w:tcW w:w="6742" w:type="dxa"/>
            <w:tcBorders>
              <w:top w:val="single" w:color="000000" w:sz="4" w:space="0"/>
              <w:left w:val="nil"/>
              <w:bottom w:val="single" w:color="000000" w:sz="4" w:space="0"/>
              <w:right w:val="single" w:color="000000" w:sz="4" w:space="0"/>
            </w:tcBorders>
            <w:noWrap/>
            <w:vAlign w:val="center"/>
          </w:tcPr>
          <w:p w14:paraId="10387DC0">
            <w:pPr>
              <w:spacing w:line="560" w:lineRule="atLeast"/>
              <w:rPr>
                <w:rFonts w:asciiTheme="minorEastAsia" w:hAnsiTheme="minorEastAsia" w:eastAsiaTheme="minorEastAsia"/>
                <w:bCs/>
                <w:sz w:val="24"/>
              </w:rPr>
            </w:pPr>
            <w:r>
              <w:rPr>
                <w:rFonts w:hint="eastAsia" w:asciiTheme="minorEastAsia" w:hAnsiTheme="minorEastAsia" w:eastAsiaTheme="minorEastAsia"/>
                <w:bCs/>
                <w:sz w:val="24"/>
              </w:rPr>
              <w:t>（加盖公章）</w:t>
            </w:r>
          </w:p>
        </w:tc>
      </w:tr>
      <w:tr w14:paraId="6FC4B425">
        <w:tblPrEx>
          <w:tblCellMar>
            <w:top w:w="0" w:type="dxa"/>
            <w:left w:w="108" w:type="dxa"/>
            <w:bottom w:w="0" w:type="dxa"/>
            <w:right w:w="108" w:type="dxa"/>
          </w:tblCellMar>
        </w:tblPrEx>
        <w:trPr>
          <w:trHeight w:val="772" w:hRule="atLeast"/>
          <w:jc w:val="center"/>
        </w:trPr>
        <w:tc>
          <w:tcPr>
            <w:tcW w:w="2185" w:type="dxa"/>
            <w:tcBorders>
              <w:top w:val="single" w:color="000000" w:sz="4" w:space="0"/>
              <w:left w:val="single" w:color="000000" w:sz="4" w:space="0"/>
              <w:bottom w:val="single" w:color="000000" w:sz="4" w:space="0"/>
              <w:right w:val="single" w:color="000000" w:sz="4" w:space="0"/>
            </w:tcBorders>
            <w:noWrap/>
            <w:vAlign w:val="center"/>
          </w:tcPr>
          <w:p w14:paraId="63CDDAAE">
            <w:pPr>
              <w:topLinePunct/>
              <w:spacing w:line="560" w:lineRule="atLeas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报价（元）</w:t>
            </w:r>
          </w:p>
        </w:tc>
        <w:tc>
          <w:tcPr>
            <w:tcW w:w="6742" w:type="dxa"/>
            <w:tcBorders>
              <w:top w:val="single" w:color="000000" w:sz="4" w:space="0"/>
              <w:left w:val="nil"/>
              <w:bottom w:val="single" w:color="000000" w:sz="4" w:space="0"/>
              <w:right w:val="single" w:color="000000" w:sz="4" w:space="0"/>
            </w:tcBorders>
            <w:noWrap/>
            <w:vAlign w:val="center"/>
          </w:tcPr>
          <w:p w14:paraId="140EBF01">
            <w:pPr>
              <w:topLinePunct/>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大写：</w:t>
            </w:r>
          </w:p>
          <w:p w14:paraId="3271A509">
            <w:pPr>
              <w:topLinePunct/>
              <w:spacing w:line="560" w:lineRule="atLeast"/>
              <w:jc w:val="left"/>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小写：</w:t>
            </w:r>
          </w:p>
        </w:tc>
      </w:tr>
      <w:tr w14:paraId="17E96F93">
        <w:tblPrEx>
          <w:tblCellMar>
            <w:top w:w="0" w:type="dxa"/>
            <w:left w:w="108" w:type="dxa"/>
            <w:bottom w:w="0" w:type="dxa"/>
            <w:right w:w="108" w:type="dxa"/>
          </w:tblCellMar>
        </w:tblPrEx>
        <w:trPr>
          <w:trHeight w:val="2485" w:hRule="atLeast"/>
          <w:jc w:val="center"/>
        </w:trPr>
        <w:tc>
          <w:tcPr>
            <w:tcW w:w="2185" w:type="dxa"/>
            <w:tcBorders>
              <w:top w:val="single" w:color="000000" w:sz="4" w:space="0"/>
              <w:left w:val="single" w:color="000000" w:sz="4" w:space="0"/>
              <w:bottom w:val="single" w:color="000000" w:sz="4" w:space="0"/>
              <w:right w:val="single" w:color="000000" w:sz="4" w:space="0"/>
            </w:tcBorders>
            <w:noWrap/>
            <w:vAlign w:val="center"/>
          </w:tcPr>
          <w:p w14:paraId="7942EB18">
            <w:pPr>
              <w:topLinePunct/>
              <w:spacing w:line="560" w:lineRule="atLeast"/>
              <w:jc w:val="center"/>
              <w:rPr>
                <w:rFonts w:asciiTheme="minorEastAsia" w:hAnsiTheme="minorEastAsia" w:eastAsiaTheme="minorEastAsia"/>
                <w:bCs/>
                <w:sz w:val="24"/>
              </w:rPr>
            </w:pPr>
            <w:r>
              <w:rPr>
                <w:rFonts w:hint="eastAsia" w:cs="宋体" w:asciiTheme="minorEastAsia" w:hAnsiTheme="minorEastAsia" w:eastAsiaTheme="minorEastAsia"/>
                <w:bCs/>
                <w:sz w:val="24"/>
              </w:rPr>
              <w:t>服务期/服务地点</w:t>
            </w:r>
          </w:p>
        </w:tc>
        <w:tc>
          <w:tcPr>
            <w:tcW w:w="6742" w:type="dxa"/>
            <w:tcBorders>
              <w:top w:val="single" w:color="000000" w:sz="4" w:space="0"/>
              <w:left w:val="nil"/>
              <w:bottom w:val="single" w:color="000000" w:sz="4" w:space="0"/>
              <w:right w:val="single" w:color="000000" w:sz="4" w:space="0"/>
            </w:tcBorders>
            <w:noWrap/>
            <w:vAlign w:val="center"/>
          </w:tcPr>
          <w:p w14:paraId="2D25A783">
            <w:pPr>
              <w:spacing w:line="560" w:lineRule="atLeast"/>
              <w:rPr>
                <w:rFonts w:asciiTheme="minorEastAsia" w:hAnsiTheme="minorEastAsia" w:eastAsiaTheme="minorEastAsia"/>
                <w:bCs/>
                <w:sz w:val="24"/>
              </w:rPr>
            </w:pPr>
          </w:p>
          <w:p w14:paraId="22C39A27">
            <w:pPr>
              <w:adjustRightInd w:val="0"/>
              <w:snapToGrid w:val="0"/>
              <w:spacing w:line="560" w:lineRule="atLeast"/>
              <w:ind w:firstLine="240" w:firstLineChars="1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服务期：       。</w:t>
            </w:r>
          </w:p>
          <w:p w14:paraId="4F16E30E">
            <w:pPr>
              <w:spacing w:line="560" w:lineRule="atLeast"/>
              <w:rPr>
                <w:rFonts w:asciiTheme="minorEastAsia" w:hAnsiTheme="minorEastAsia" w:eastAsiaTheme="minorEastAsia"/>
                <w:bCs/>
                <w:sz w:val="24"/>
              </w:rPr>
            </w:pPr>
          </w:p>
          <w:p w14:paraId="04C597D1">
            <w:pPr>
              <w:spacing w:line="560" w:lineRule="atLeast"/>
              <w:ind w:firstLine="240" w:firstLineChars="100"/>
              <w:rPr>
                <w:rFonts w:asciiTheme="minorEastAsia" w:hAnsiTheme="minorEastAsia" w:eastAsiaTheme="minorEastAsia"/>
                <w:bCs/>
                <w:sz w:val="24"/>
              </w:rPr>
            </w:pPr>
            <w:r>
              <w:rPr>
                <w:rFonts w:hint="eastAsia" w:cs="宋体" w:asciiTheme="minorEastAsia" w:hAnsiTheme="minorEastAsia" w:eastAsiaTheme="minorEastAsia"/>
                <w:bCs/>
                <w:sz w:val="24"/>
              </w:rPr>
              <w:t>服务地点：采购人指定地点</w:t>
            </w:r>
          </w:p>
          <w:p w14:paraId="3A0F4AB5">
            <w:pPr>
              <w:topLinePunct/>
              <w:spacing w:line="560" w:lineRule="atLeast"/>
              <w:rPr>
                <w:rFonts w:asciiTheme="minorEastAsia" w:hAnsiTheme="minorEastAsia" w:eastAsiaTheme="minorEastAsia"/>
                <w:bCs/>
                <w:sz w:val="24"/>
                <w:u w:val="single"/>
              </w:rPr>
            </w:pPr>
          </w:p>
        </w:tc>
      </w:tr>
    </w:tbl>
    <w:p w14:paraId="3196BFCB">
      <w:pPr>
        <w:spacing w:line="560" w:lineRule="atLeast"/>
        <w:rPr>
          <w:rFonts w:hint="eastAsia" w:asciiTheme="minorEastAsia" w:hAnsiTheme="minorEastAsia" w:eastAsiaTheme="minorEastAsia"/>
          <w:bCs/>
          <w:sz w:val="24"/>
        </w:rPr>
      </w:pPr>
    </w:p>
    <w:p w14:paraId="6C23AA66">
      <w:pPr>
        <w:tabs>
          <w:tab w:val="left" w:pos="654"/>
          <w:tab w:val="left" w:pos="1734"/>
          <w:tab w:val="left" w:pos="2814"/>
          <w:tab w:val="left" w:pos="3894"/>
          <w:tab w:val="left" w:pos="5334"/>
          <w:tab w:val="left" w:pos="6414"/>
          <w:tab w:val="left" w:pos="7254"/>
          <w:tab w:val="left" w:pos="8574"/>
          <w:tab w:val="left" w:pos="9654"/>
        </w:tabs>
        <w:spacing w:line="560" w:lineRule="atLeast"/>
        <w:rPr>
          <w:rFonts w:hint="eastAsia" w:asciiTheme="minorEastAsia" w:hAnsiTheme="minorEastAsia" w:eastAsiaTheme="minorEastAsia"/>
          <w:bCs/>
          <w:sz w:val="24"/>
        </w:rPr>
      </w:pPr>
    </w:p>
    <w:p w14:paraId="68A288EF">
      <w:pPr>
        <w:tabs>
          <w:tab w:val="left" w:pos="654"/>
          <w:tab w:val="left" w:pos="1734"/>
          <w:tab w:val="left" w:pos="2814"/>
          <w:tab w:val="left" w:pos="3894"/>
          <w:tab w:val="left" w:pos="5334"/>
          <w:tab w:val="left" w:pos="6414"/>
          <w:tab w:val="left" w:pos="7254"/>
          <w:tab w:val="left" w:pos="8574"/>
          <w:tab w:val="left" w:pos="9654"/>
        </w:tabs>
        <w:spacing w:line="560" w:lineRule="atLeast"/>
        <w:rPr>
          <w:rFonts w:hint="eastAsia" w:asciiTheme="minorEastAsia" w:hAnsiTheme="minorEastAsia" w:eastAsiaTheme="minorEastAsia"/>
          <w:bCs/>
          <w:sz w:val="24"/>
        </w:rPr>
      </w:pPr>
    </w:p>
    <w:p w14:paraId="33E4A974">
      <w:pPr>
        <w:tabs>
          <w:tab w:val="left" w:pos="654"/>
          <w:tab w:val="left" w:pos="1734"/>
          <w:tab w:val="left" w:pos="2814"/>
          <w:tab w:val="left" w:pos="3894"/>
          <w:tab w:val="left" w:pos="5334"/>
          <w:tab w:val="left" w:pos="6414"/>
          <w:tab w:val="left" w:pos="7254"/>
          <w:tab w:val="left" w:pos="8574"/>
          <w:tab w:val="left" w:pos="9654"/>
        </w:tabs>
        <w:spacing w:line="560" w:lineRule="atLeast"/>
        <w:rPr>
          <w:rFonts w:hint="eastAsia" w:asciiTheme="minorEastAsia" w:hAnsiTheme="minorEastAsia" w:eastAsiaTheme="minorEastAsia"/>
          <w:bCs/>
          <w:sz w:val="24"/>
        </w:rPr>
      </w:pPr>
      <w:r>
        <w:rPr>
          <w:rFonts w:hint="eastAsia" w:asciiTheme="minorEastAsia" w:hAnsiTheme="minorEastAsia" w:eastAsiaTheme="minorEastAsia"/>
          <w:bCs/>
          <w:sz w:val="24"/>
        </w:rPr>
        <w:t>法定代表或授权代表（签字）：            日期：</w:t>
      </w:r>
    </w:p>
    <w:p w14:paraId="767FFDCE">
      <w:pPr>
        <w:tabs>
          <w:tab w:val="left" w:pos="654"/>
          <w:tab w:val="left" w:pos="1734"/>
          <w:tab w:val="left" w:pos="2814"/>
          <w:tab w:val="left" w:pos="3894"/>
          <w:tab w:val="left" w:pos="5334"/>
          <w:tab w:val="left" w:pos="6414"/>
          <w:tab w:val="left" w:pos="7254"/>
          <w:tab w:val="left" w:pos="8574"/>
          <w:tab w:val="left" w:pos="9654"/>
        </w:tabs>
        <w:spacing w:line="560" w:lineRule="atLeast"/>
        <w:rPr>
          <w:rFonts w:hint="eastAsia" w:asciiTheme="minorEastAsia" w:hAnsiTheme="minorEastAsia" w:eastAsiaTheme="minorEastAsia"/>
          <w:bCs/>
          <w:sz w:val="24"/>
        </w:rPr>
      </w:pPr>
      <w:r>
        <w:rPr>
          <w:rFonts w:hint="eastAsia" w:asciiTheme="minorEastAsia" w:hAnsiTheme="minorEastAsia" w:eastAsiaTheme="minorEastAsia"/>
          <w:bCs/>
          <w:sz w:val="24"/>
        </w:rPr>
        <w:tab/>
      </w:r>
      <w:r>
        <w:rPr>
          <w:rFonts w:hint="eastAsia" w:asciiTheme="minorEastAsia" w:hAnsiTheme="minorEastAsia" w:eastAsiaTheme="minorEastAsia"/>
          <w:bCs/>
          <w:sz w:val="24"/>
        </w:rPr>
        <w:tab/>
      </w:r>
      <w:r>
        <w:rPr>
          <w:rFonts w:hint="eastAsia" w:asciiTheme="minorEastAsia" w:hAnsiTheme="minorEastAsia" w:eastAsiaTheme="minorEastAsia"/>
          <w:bCs/>
          <w:sz w:val="24"/>
        </w:rPr>
        <w:tab/>
      </w:r>
      <w:r>
        <w:rPr>
          <w:rFonts w:hint="eastAsia" w:asciiTheme="minorEastAsia" w:hAnsiTheme="minorEastAsia" w:eastAsiaTheme="minorEastAsia"/>
          <w:bCs/>
          <w:sz w:val="24"/>
        </w:rPr>
        <w:tab/>
      </w:r>
      <w:r>
        <w:rPr>
          <w:rFonts w:hint="eastAsia" w:asciiTheme="minorEastAsia" w:hAnsiTheme="minorEastAsia" w:eastAsiaTheme="minorEastAsia"/>
          <w:bCs/>
          <w:sz w:val="24"/>
        </w:rPr>
        <w:tab/>
      </w:r>
      <w:r>
        <w:rPr>
          <w:rFonts w:hint="eastAsia" w:asciiTheme="minorEastAsia" w:hAnsiTheme="minorEastAsia" w:eastAsiaTheme="minorEastAsia"/>
          <w:bCs/>
          <w:sz w:val="24"/>
        </w:rPr>
        <w:tab/>
      </w:r>
      <w:r>
        <w:rPr>
          <w:rFonts w:hint="eastAsia" w:asciiTheme="minorEastAsia" w:hAnsiTheme="minorEastAsia" w:eastAsiaTheme="minorEastAsia"/>
          <w:bCs/>
          <w:sz w:val="24"/>
        </w:rPr>
        <w:tab/>
      </w:r>
      <w:r>
        <w:rPr>
          <w:rFonts w:hint="eastAsia" w:asciiTheme="minorEastAsia" w:hAnsiTheme="minorEastAsia" w:eastAsiaTheme="minorEastAsia"/>
          <w:bCs/>
          <w:sz w:val="24"/>
        </w:rPr>
        <w:tab/>
      </w:r>
    </w:p>
    <w:p w14:paraId="30508DFB">
      <w:pPr>
        <w:spacing w:line="560" w:lineRule="atLeast"/>
        <w:rPr>
          <w:rFonts w:hint="eastAsia" w:asciiTheme="minorEastAsia" w:hAnsiTheme="minorEastAsia" w:eastAsiaTheme="minorEastAsia"/>
          <w:bCs/>
          <w:sz w:val="24"/>
        </w:rPr>
      </w:pPr>
      <w:r>
        <w:rPr>
          <w:rFonts w:hint="eastAsia" w:asciiTheme="minorEastAsia" w:hAnsiTheme="minorEastAsia" w:eastAsiaTheme="minorEastAsia"/>
          <w:bCs/>
          <w:sz w:val="24"/>
        </w:rPr>
        <w:t>备注：</w:t>
      </w:r>
    </w:p>
    <w:p w14:paraId="13A2761D">
      <w:pPr>
        <w:spacing w:before="19" w:line="560" w:lineRule="atLeast"/>
        <w:rPr>
          <w:rFonts w:hint="eastAsia" w:cs="仿宋" w:asciiTheme="minorEastAsia" w:hAnsiTheme="minorEastAsia" w:eastAsiaTheme="minorEastAsia"/>
          <w:bCs/>
        </w:rPr>
      </w:pPr>
      <w:r>
        <w:rPr>
          <w:rFonts w:hint="eastAsia" w:cs="仿宋" w:asciiTheme="minorEastAsia" w:hAnsiTheme="minorEastAsia" w:eastAsiaTheme="minorEastAsia"/>
          <w:bCs/>
          <w:sz w:val="24"/>
        </w:rPr>
        <w:t>1.总报价为包干价，包含本项目所有货物、服务、运输、按照、保险、税费等所有费用，采购方不再支付二次费用。</w:t>
      </w:r>
    </w:p>
    <w:p w14:paraId="68067ADB">
      <w:pPr>
        <w:spacing w:line="560" w:lineRule="atLeast"/>
        <w:rPr>
          <w:rFonts w:hint="eastAsia" w:asciiTheme="minorEastAsia" w:hAnsiTheme="minorEastAsia" w:eastAsiaTheme="minorEastAsia"/>
          <w:bCs/>
          <w:sz w:val="24"/>
        </w:rPr>
      </w:pPr>
    </w:p>
    <w:p w14:paraId="1FCFBA9F">
      <w:pPr>
        <w:pStyle w:val="23"/>
        <w:spacing w:line="560" w:lineRule="atLeast"/>
        <w:ind w:left="480" w:right="508" w:hanging="480"/>
        <w:jc w:val="both"/>
        <w:rPr>
          <w:rFonts w:hint="eastAsia" w:asciiTheme="minorEastAsia" w:hAnsiTheme="minorEastAsia" w:eastAsiaTheme="minorEastAsia"/>
          <w:bCs/>
          <w:kern w:val="2"/>
          <w:szCs w:val="24"/>
        </w:rPr>
      </w:pPr>
      <w:r>
        <w:rPr>
          <w:rFonts w:hint="eastAsia" w:asciiTheme="minorEastAsia" w:hAnsiTheme="minorEastAsia" w:eastAsiaTheme="minorEastAsia"/>
          <w:bCs/>
          <w:kern w:val="2"/>
          <w:szCs w:val="24"/>
        </w:rPr>
        <w:t>附件3</w:t>
      </w:r>
    </w:p>
    <w:p w14:paraId="4CF269D2">
      <w:pPr>
        <w:spacing w:line="560" w:lineRule="atLeast"/>
        <w:jc w:val="center"/>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分项报价表</w:t>
      </w:r>
    </w:p>
    <w:p w14:paraId="024AD664">
      <w:pPr>
        <w:topLinePunct/>
        <w:spacing w:line="560" w:lineRule="atLeast"/>
        <w:rPr>
          <w:rFonts w:asciiTheme="minorEastAsia" w:hAnsiTheme="minorEastAsia" w:eastAsiaTheme="minorEastAsia"/>
          <w:bCs/>
          <w:sz w:val="24"/>
        </w:rPr>
      </w:pPr>
    </w:p>
    <w:p w14:paraId="1E796367">
      <w:pPr>
        <w:topLinePunct/>
        <w:spacing w:line="560" w:lineRule="atLeast"/>
        <w:rPr>
          <w:rFonts w:asciiTheme="minorEastAsia" w:hAnsiTheme="minorEastAsia" w:eastAsiaTheme="minorEastAsia"/>
          <w:bCs/>
          <w:sz w:val="24"/>
        </w:rPr>
      </w:pPr>
      <w:r>
        <w:rPr>
          <w:rFonts w:hint="eastAsia" w:asciiTheme="minorEastAsia" w:hAnsiTheme="minorEastAsia" w:eastAsiaTheme="minorEastAsia"/>
          <w:bCs/>
          <w:sz w:val="24"/>
        </w:rPr>
        <w:t>项目名称：</w:t>
      </w:r>
    </w:p>
    <w:p w14:paraId="21852B65">
      <w:pPr>
        <w:topLinePunct/>
        <w:spacing w:line="560" w:lineRule="atLeast"/>
        <w:jc w:val="center"/>
        <w:rPr>
          <w:rFonts w:asciiTheme="minorEastAsia" w:hAnsiTheme="minorEastAsia" w:eastAsiaTheme="minorEastAsia"/>
          <w:bCs/>
          <w:sz w:val="24"/>
        </w:rPr>
      </w:pPr>
    </w:p>
    <w:p w14:paraId="05443699">
      <w:pPr>
        <w:topLinePunct/>
        <w:spacing w:line="560" w:lineRule="atLeast"/>
        <w:rPr>
          <w:rFonts w:asciiTheme="minorEastAsia" w:hAnsiTheme="minorEastAsia" w:eastAsiaTheme="minorEastAsia"/>
          <w:bCs/>
          <w:sz w:val="24"/>
        </w:rPr>
      </w:pPr>
      <w:r>
        <w:rPr>
          <w:rFonts w:hint="eastAsia" w:asciiTheme="minorEastAsia" w:hAnsiTheme="minorEastAsia" w:eastAsiaTheme="minorEastAsia"/>
          <w:bCs/>
          <w:sz w:val="24"/>
        </w:rPr>
        <w:t>项目编号:</w:t>
      </w:r>
    </w:p>
    <w:p w14:paraId="5D534FB3">
      <w:pPr>
        <w:pStyle w:val="48"/>
        <w:spacing w:line="560" w:lineRule="atLeast"/>
        <w:ind w:firstLine="480"/>
        <w:rPr>
          <w:rFonts w:hint="eastAsia" w:asciiTheme="minorEastAsia" w:hAnsiTheme="minorEastAsia" w:eastAsiaTheme="minorEastAsia"/>
          <w:bCs/>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245"/>
        <w:gridCol w:w="1245"/>
        <w:gridCol w:w="1245"/>
        <w:gridCol w:w="1246"/>
        <w:gridCol w:w="1246"/>
        <w:gridCol w:w="1246"/>
      </w:tblGrid>
      <w:tr w14:paraId="3F13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40289C6D">
            <w:pPr>
              <w:widowControl/>
              <w:spacing w:line="560" w:lineRule="atLeast"/>
              <w:jc w:val="center"/>
              <w:rPr>
                <w:rFonts w:hint="eastAsia" w:asciiTheme="minorEastAsia" w:hAnsiTheme="minorEastAsia" w:eastAsiaTheme="minorEastAsia"/>
                <w:bCs/>
                <w:sz w:val="24"/>
              </w:rPr>
            </w:pPr>
            <w:r>
              <w:rPr>
                <w:rFonts w:hint="eastAsia" w:cs="宋体" w:asciiTheme="minorEastAsia" w:hAnsiTheme="minorEastAsia" w:eastAsiaTheme="minorEastAsia"/>
                <w:bCs/>
                <w:color w:val="000000"/>
                <w:kern w:val="0"/>
                <w:sz w:val="24"/>
                <w:lang w:bidi="ar"/>
              </w:rPr>
              <w:t>序号</w:t>
            </w:r>
          </w:p>
        </w:tc>
        <w:tc>
          <w:tcPr>
            <w:tcW w:w="1245" w:type="dxa"/>
            <w:vAlign w:val="center"/>
          </w:tcPr>
          <w:p w14:paraId="14DCE164">
            <w:pPr>
              <w:widowControl/>
              <w:spacing w:line="560" w:lineRule="atLeast"/>
              <w:jc w:val="center"/>
              <w:rPr>
                <w:rFonts w:hint="eastAsia" w:asciiTheme="minorEastAsia" w:hAnsiTheme="minorEastAsia" w:eastAsiaTheme="minorEastAsia"/>
                <w:bCs/>
                <w:sz w:val="24"/>
              </w:rPr>
            </w:pPr>
            <w:r>
              <w:rPr>
                <w:rFonts w:hint="eastAsia" w:cs="宋体" w:asciiTheme="minorEastAsia" w:hAnsiTheme="minorEastAsia" w:eastAsiaTheme="minorEastAsia"/>
                <w:bCs/>
                <w:color w:val="000000"/>
                <w:kern w:val="0"/>
                <w:sz w:val="24"/>
                <w:lang w:bidi="ar"/>
              </w:rPr>
              <w:t>品名名称</w:t>
            </w:r>
          </w:p>
        </w:tc>
        <w:tc>
          <w:tcPr>
            <w:tcW w:w="1245" w:type="dxa"/>
            <w:vAlign w:val="center"/>
          </w:tcPr>
          <w:p w14:paraId="4AEF401E">
            <w:pPr>
              <w:widowControl/>
              <w:spacing w:line="560" w:lineRule="atLeast"/>
              <w:jc w:val="center"/>
              <w:rPr>
                <w:rFonts w:hint="eastAsia" w:asciiTheme="minorEastAsia" w:hAnsiTheme="minorEastAsia" w:eastAsiaTheme="minorEastAsia"/>
                <w:bCs/>
                <w:sz w:val="24"/>
              </w:rPr>
            </w:pPr>
            <w:r>
              <w:rPr>
                <w:rFonts w:hint="eastAsia" w:cs="宋体" w:asciiTheme="minorEastAsia" w:hAnsiTheme="minorEastAsia" w:eastAsiaTheme="minorEastAsia"/>
                <w:bCs/>
                <w:color w:val="000000"/>
                <w:kern w:val="0"/>
                <w:sz w:val="24"/>
                <w:lang w:bidi="ar"/>
              </w:rPr>
              <w:t>服务内容</w:t>
            </w:r>
          </w:p>
        </w:tc>
        <w:tc>
          <w:tcPr>
            <w:tcW w:w="1245" w:type="dxa"/>
            <w:vAlign w:val="center"/>
          </w:tcPr>
          <w:p w14:paraId="0D3D1772">
            <w:pPr>
              <w:widowControl/>
              <w:spacing w:line="560" w:lineRule="atLeast"/>
              <w:jc w:val="center"/>
              <w:rPr>
                <w:rFonts w:hint="eastAsia" w:asciiTheme="minorEastAsia" w:hAnsiTheme="minorEastAsia" w:eastAsiaTheme="minorEastAsia"/>
                <w:bCs/>
                <w:sz w:val="24"/>
              </w:rPr>
            </w:pPr>
            <w:r>
              <w:rPr>
                <w:rFonts w:hint="eastAsia" w:cs="宋体" w:asciiTheme="minorEastAsia" w:hAnsiTheme="minorEastAsia" w:eastAsiaTheme="minorEastAsia"/>
                <w:bCs/>
                <w:color w:val="000000"/>
                <w:kern w:val="0"/>
                <w:sz w:val="24"/>
                <w:lang w:bidi="ar"/>
              </w:rPr>
              <w:t>数量/单位</w:t>
            </w:r>
          </w:p>
        </w:tc>
        <w:tc>
          <w:tcPr>
            <w:tcW w:w="1246" w:type="dxa"/>
            <w:vAlign w:val="center"/>
          </w:tcPr>
          <w:p w14:paraId="48DCF954">
            <w:pPr>
              <w:widowControl/>
              <w:spacing w:line="560" w:lineRule="atLeast"/>
              <w:jc w:val="center"/>
              <w:rPr>
                <w:rFonts w:hint="eastAsia" w:asciiTheme="minorEastAsia" w:hAnsiTheme="minorEastAsia" w:eastAsiaTheme="minorEastAsia"/>
                <w:bCs/>
                <w:sz w:val="24"/>
              </w:rPr>
            </w:pPr>
            <w:r>
              <w:rPr>
                <w:rFonts w:hint="eastAsia" w:cs="宋体" w:asciiTheme="minorEastAsia" w:hAnsiTheme="minorEastAsia" w:eastAsiaTheme="minorEastAsia"/>
                <w:bCs/>
                <w:color w:val="000000"/>
                <w:kern w:val="0"/>
                <w:sz w:val="24"/>
                <w:lang w:bidi="ar"/>
              </w:rPr>
              <w:t>单价</w:t>
            </w:r>
          </w:p>
        </w:tc>
        <w:tc>
          <w:tcPr>
            <w:tcW w:w="1246" w:type="dxa"/>
            <w:vAlign w:val="center"/>
          </w:tcPr>
          <w:p w14:paraId="196410D4">
            <w:pPr>
              <w:pStyle w:val="48"/>
              <w:spacing w:line="560" w:lineRule="atLeast"/>
              <w:ind w:firstLine="0" w:firstLineChars="0"/>
              <w:jc w:val="center"/>
              <w:rPr>
                <w:rFonts w:hint="eastAsia" w:asciiTheme="minorEastAsia" w:hAnsiTheme="minorEastAsia" w:eastAsiaTheme="minorEastAsia"/>
                <w:bCs/>
              </w:rPr>
            </w:pPr>
            <w:r>
              <w:rPr>
                <w:rFonts w:hint="eastAsia" w:asciiTheme="minorEastAsia" w:hAnsiTheme="minorEastAsia" w:eastAsiaTheme="minorEastAsia"/>
                <w:bCs/>
              </w:rPr>
              <w:t>单项总价</w:t>
            </w:r>
          </w:p>
        </w:tc>
        <w:tc>
          <w:tcPr>
            <w:tcW w:w="1246" w:type="dxa"/>
            <w:vAlign w:val="center"/>
          </w:tcPr>
          <w:p w14:paraId="4E44179B">
            <w:pPr>
              <w:pStyle w:val="48"/>
              <w:spacing w:line="560" w:lineRule="atLeast"/>
              <w:ind w:firstLine="0" w:firstLineChars="0"/>
              <w:jc w:val="center"/>
              <w:rPr>
                <w:rFonts w:hint="eastAsia" w:asciiTheme="minorEastAsia" w:hAnsiTheme="minorEastAsia" w:eastAsiaTheme="minorEastAsia"/>
                <w:bCs/>
              </w:rPr>
            </w:pPr>
            <w:r>
              <w:rPr>
                <w:rFonts w:hint="eastAsia" w:asciiTheme="minorEastAsia" w:hAnsiTheme="minorEastAsia" w:eastAsiaTheme="minorEastAsia"/>
                <w:bCs/>
              </w:rPr>
              <w:t>备注</w:t>
            </w:r>
          </w:p>
        </w:tc>
      </w:tr>
      <w:tr w14:paraId="16AF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411B40FF">
            <w:pPr>
              <w:pStyle w:val="48"/>
              <w:spacing w:line="560" w:lineRule="atLeast"/>
              <w:ind w:firstLine="480"/>
              <w:jc w:val="center"/>
              <w:rPr>
                <w:rFonts w:hint="eastAsia" w:asciiTheme="minorEastAsia" w:hAnsiTheme="minorEastAsia" w:eastAsiaTheme="minorEastAsia"/>
                <w:bCs/>
              </w:rPr>
            </w:pPr>
          </w:p>
        </w:tc>
        <w:tc>
          <w:tcPr>
            <w:tcW w:w="1245" w:type="dxa"/>
            <w:vAlign w:val="center"/>
          </w:tcPr>
          <w:p w14:paraId="1BCC656E">
            <w:pPr>
              <w:pStyle w:val="48"/>
              <w:spacing w:line="560" w:lineRule="atLeast"/>
              <w:ind w:firstLine="480"/>
              <w:jc w:val="center"/>
              <w:rPr>
                <w:rFonts w:hint="eastAsia" w:asciiTheme="minorEastAsia" w:hAnsiTheme="minorEastAsia" w:eastAsiaTheme="minorEastAsia"/>
                <w:bCs/>
              </w:rPr>
            </w:pPr>
          </w:p>
        </w:tc>
        <w:tc>
          <w:tcPr>
            <w:tcW w:w="1245" w:type="dxa"/>
            <w:vAlign w:val="center"/>
          </w:tcPr>
          <w:p w14:paraId="59D2D58D">
            <w:pPr>
              <w:pStyle w:val="48"/>
              <w:spacing w:line="560" w:lineRule="atLeast"/>
              <w:ind w:firstLine="480"/>
              <w:jc w:val="center"/>
              <w:rPr>
                <w:rFonts w:hint="eastAsia" w:asciiTheme="minorEastAsia" w:hAnsiTheme="minorEastAsia" w:eastAsiaTheme="minorEastAsia"/>
                <w:bCs/>
              </w:rPr>
            </w:pPr>
          </w:p>
        </w:tc>
        <w:tc>
          <w:tcPr>
            <w:tcW w:w="1245" w:type="dxa"/>
            <w:vAlign w:val="center"/>
          </w:tcPr>
          <w:p w14:paraId="042F224F">
            <w:pPr>
              <w:pStyle w:val="48"/>
              <w:spacing w:line="560" w:lineRule="atLeast"/>
              <w:ind w:firstLine="480"/>
              <w:jc w:val="center"/>
              <w:rPr>
                <w:rFonts w:hint="eastAsia" w:asciiTheme="minorEastAsia" w:hAnsiTheme="minorEastAsia" w:eastAsiaTheme="minorEastAsia"/>
                <w:bCs/>
              </w:rPr>
            </w:pPr>
          </w:p>
        </w:tc>
        <w:tc>
          <w:tcPr>
            <w:tcW w:w="1246" w:type="dxa"/>
            <w:vAlign w:val="center"/>
          </w:tcPr>
          <w:p w14:paraId="2EF821F8">
            <w:pPr>
              <w:pStyle w:val="48"/>
              <w:spacing w:line="560" w:lineRule="atLeast"/>
              <w:ind w:firstLine="480"/>
              <w:jc w:val="center"/>
              <w:rPr>
                <w:rFonts w:hint="eastAsia" w:asciiTheme="minorEastAsia" w:hAnsiTheme="minorEastAsia" w:eastAsiaTheme="minorEastAsia"/>
                <w:bCs/>
              </w:rPr>
            </w:pPr>
          </w:p>
        </w:tc>
        <w:tc>
          <w:tcPr>
            <w:tcW w:w="1246" w:type="dxa"/>
            <w:vAlign w:val="center"/>
          </w:tcPr>
          <w:p w14:paraId="33281677">
            <w:pPr>
              <w:pStyle w:val="48"/>
              <w:spacing w:line="560" w:lineRule="atLeast"/>
              <w:ind w:firstLine="480"/>
              <w:jc w:val="center"/>
              <w:rPr>
                <w:rFonts w:hint="eastAsia" w:asciiTheme="minorEastAsia" w:hAnsiTheme="minorEastAsia" w:eastAsiaTheme="minorEastAsia"/>
                <w:bCs/>
              </w:rPr>
            </w:pPr>
          </w:p>
        </w:tc>
        <w:tc>
          <w:tcPr>
            <w:tcW w:w="1246" w:type="dxa"/>
            <w:vAlign w:val="center"/>
          </w:tcPr>
          <w:p w14:paraId="30CE18F5">
            <w:pPr>
              <w:pStyle w:val="48"/>
              <w:spacing w:line="560" w:lineRule="atLeast"/>
              <w:ind w:firstLine="480"/>
              <w:jc w:val="center"/>
              <w:rPr>
                <w:rFonts w:hint="eastAsia" w:asciiTheme="minorEastAsia" w:hAnsiTheme="minorEastAsia" w:eastAsiaTheme="minorEastAsia"/>
                <w:bCs/>
              </w:rPr>
            </w:pPr>
          </w:p>
        </w:tc>
      </w:tr>
      <w:tr w14:paraId="7EDD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21FF9993">
            <w:pPr>
              <w:pStyle w:val="48"/>
              <w:spacing w:line="560" w:lineRule="atLeast"/>
              <w:ind w:firstLine="480"/>
              <w:jc w:val="center"/>
              <w:rPr>
                <w:rFonts w:hint="eastAsia" w:asciiTheme="minorEastAsia" w:hAnsiTheme="minorEastAsia" w:eastAsiaTheme="minorEastAsia"/>
                <w:bCs/>
              </w:rPr>
            </w:pPr>
          </w:p>
        </w:tc>
        <w:tc>
          <w:tcPr>
            <w:tcW w:w="1245" w:type="dxa"/>
            <w:vAlign w:val="center"/>
          </w:tcPr>
          <w:p w14:paraId="7C548A42">
            <w:pPr>
              <w:pStyle w:val="48"/>
              <w:spacing w:line="560" w:lineRule="atLeast"/>
              <w:ind w:firstLine="480"/>
              <w:jc w:val="center"/>
              <w:rPr>
                <w:rFonts w:hint="eastAsia" w:asciiTheme="minorEastAsia" w:hAnsiTheme="minorEastAsia" w:eastAsiaTheme="minorEastAsia"/>
                <w:bCs/>
              </w:rPr>
            </w:pPr>
          </w:p>
        </w:tc>
        <w:tc>
          <w:tcPr>
            <w:tcW w:w="1245" w:type="dxa"/>
            <w:vAlign w:val="center"/>
          </w:tcPr>
          <w:p w14:paraId="42AE8924">
            <w:pPr>
              <w:pStyle w:val="48"/>
              <w:spacing w:line="560" w:lineRule="atLeast"/>
              <w:ind w:firstLine="480"/>
              <w:jc w:val="center"/>
              <w:rPr>
                <w:rFonts w:hint="eastAsia" w:asciiTheme="minorEastAsia" w:hAnsiTheme="minorEastAsia" w:eastAsiaTheme="minorEastAsia"/>
                <w:bCs/>
              </w:rPr>
            </w:pPr>
          </w:p>
        </w:tc>
        <w:tc>
          <w:tcPr>
            <w:tcW w:w="1245" w:type="dxa"/>
            <w:vAlign w:val="center"/>
          </w:tcPr>
          <w:p w14:paraId="16F68426">
            <w:pPr>
              <w:pStyle w:val="48"/>
              <w:spacing w:line="560" w:lineRule="atLeast"/>
              <w:ind w:firstLine="480"/>
              <w:jc w:val="center"/>
              <w:rPr>
                <w:rFonts w:hint="eastAsia" w:asciiTheme="minorEastAsia" w:hAnsiTheme="minorEastAsia" w:eastAsiaTheme="minorEastAsia"/>
                <w:bCs/>
              </w:rPr>
            </w:pPr>
          </w:p>
        </w:tc>
        <w:tc>
          <w:tcPr>
            <w:tcW w:w="1246" w:type="dxa"/>
            <w:vAlign w:val="center"/>
          </w:tcPr>
          <w:p w14:paraId="5FF20E39">
            <w:pPr>
              <w:pStyle w:val="48"/>
              <w:spacing w:line="560" w:lineRule="atLeast"/>
              <w:ind w:firstLine="480"/>
              <w:jc w:val="center"/>
              <w:rPr>
                <w:rFonts w:hint="eastAsia" w:asciiTheme="minorEastAsia" w:hAnsiTheme="minorEastAsia" w:eastAsiaTheme="minorEastAsia"/>
                <w:bCs/>
              </w:rPr>
            </w:pPr>
          </w:p>
        </w:tc>
        <w:tc>
          <w:tcPr>
            <w:tcW w:w="1246" w:type="dxa"/>
            <w:vAlign w:val="center"/>
          </w:tcPr>
          <w:p w14:paraId="5ADC511B">
            <w:pPr>
              <w:pStyle w:val="48"/>
              <w:spacing w:line="560" w:lineRule="atLeast"/>
              <w:ind w:firstLine="480"/>
              <w:jc w:val="center"/>
              <w:rPr>
                <w:rFonts w:hint="eastAsia" w:asciiTheme="minorEastAsia" w:hAnsiTheme="minorEastAsia" w:eastAsiaTheme="minorEastAsia"/>
                <w:bCs/>
              </w:rPr>
            </w:pPr>
          </w:p>
        </w:tc>
        <w:tc>
          <w:tcPr>
            <w:tcW w:w="1246" w:type="dxa"/>
            <w:vAlign w:val="center"/>
          </w:tcPr>
          <w:p w14:paraId="75FBEC0D">
            <w:pPr>
              <w:pStyle w:val="48"/>
              <w:spacing w:line="560" w:lineRule="atLeast"/>
              <w:ind w:firstLine="480"/>
              <w:jc w:val="center"/>
              <w:rPr>
                <w:rFonts w:hint="eastAsia" w:asciiTheme="minorEastAsia" w:hAnsiTheme="minorEastAsia" w:eastAsiaTheme="minorEastAsia"/>
                <w:bCs/>
              </w:rPr>
            </w:pPr>
          </w:p>
        </w:tc>
      </w:tr>
      <w:tr w14:paraId="64CD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3E3910FB">
            <w:pPr>
              <w:pStyle w:val="48"/>
              <w:spacing w:line="560" w:lineRule="atLeast"/>
              <w:ind w:firstLine="480"/>
              <w:jc w:val="center"/>
              <w:rPr>
                <w:rFonts w:hint="eastAsia" w:asciiTheme="minorEastAsia" w:hAnsiTheme="minorEastAsia" w:eastAsiaTheme="minorEastAsia"/>
                <w:bCs/>
              </w:rPr>
            </w:pPr>
          </w:p>
        </w:tc>
        <w:tc>
          <w:tcPr>
            <w:tcW w:w="1245" w:type="dxa"/>
            <w:vAlign w:val="center"/>
          </w:tcPr>
          <w:p w14:paraId="4D173E90">
            <w:pPr>
              <w:pStyle w:val="48"/>
              <w:spacing w:line="560" w:lineRule="atLeast"/>
              <w:ind w:firstLine="480"/>
              <w:jc w:val="center"/>
              <w:rPr>
                <w:rFonts w:hint="eastAsia" w:asciiTheme="minorEastAsia" w:hAnsiTheme="minorEastAsia" w:eastAsiaTheme="minorEastAsia"/>
                <w:bCs/>
              </w:rPr>
            </w:pPr>
          </w:p>
        </w:tc>
        <w:tc>
          <w:tcPr>
            <w:tcW w:w="1245" w:type="dxa"/>
            <w:vAlign w:val="center"/>
          </w:tcPr>
          <w:p w14:paraId="6CC3D010">
            <w:pPr>
              <w:pStyle w:val="48"/>
              <w:spacing w:line="560" w:lineRule="atLeast"/>
              <w:ind w:firstLine="480"/>
              <w:jc w:val="center"/>
              <w:rPr>
                <w:rFonts w:hint="eastAsia" w:asciiTheme="minorEastAsia" w:hAnsiTheme="minorEastAsia" w:eastAsiaTheme="minorEastAsia"/>
                <w:bCs/>
              </w:rPr>
            </w:pPr>
          </w:p>
        </w:tc>
        <w:tc>
          <w:tcPr>
            <w:tcW w:w="1245" w:type="dxa"/>
            <w:vAlign w:val="center"/>
          </w:tcPr>
          <w:p w14:paraId="53DAD72D">
            <w:pPr>
              <w:pStyle w:val="48"/>
              <w:spacing w:line="560" w:lineRule="atLeast"/>
              <w:ind w:firstLine="480"/>
              <w:jc w:val="center"/>
              <w:rPr>
                <w:rFonts w:hint="eastAsia" w:asciiTheme="minorEastAsia" w:hAnsiTheme="minorEastAsia" w:eastAsiaTheme="minorEastAsia"/>
                <w:bCs/>
              </w:rPr>
            </w:pPr>
          </w:p>
        </w:tc>
        <w:tc>
          <w:tcPr>
            <w:tcW w:w="1246" w:type="dxa"/>
            <w:vAlign w:val="center"/>
          </w:tcPr>
          <w:p w14:paraId="69291C5B">
            <w:pPr>
              <w:pStyle w:val="48"/>
              <w:spacing w:line="560" w:lineRule="atLeast"/>
              <w:ind w:firstLine="480"/>
              <w:jc w:val="center"/>
              <w:rPr>
                <w:rFonts w:hint="eastAsia" w:asciiTheme="minorEastAsia" w:hAnsiTheme="minorEastAsia" w:eastAsiaTheme="minorEastAsia"/>
                <w:bCs/>
              </w:rPr>
            </w:pPr>
          </w:p>
        </w:tc>
        <w:tc>
          <w:tcPr>
            <w:tcW w:w="1246" w:type="dxa"/>
            <w:vAlign w:val="center"/>
          </w:tcPr>
          <w:p w14:paraId="2EFB170E">
            <w:pPr>
              <w:pStyle w:val="48"/>
              <w:spacing w:line="560" w:lineRule="atLeast"/>
              <w:ind w:firstLine="480"/>
              <w:jc w:val="center"/>
              <w:rPr>
                <w:rFonts w:hint="eastAsia" w:asciiTheme="minorEastAsia" w:hAnsiTheme="minorEastAsia" w:eastAsiaTheme="minorEastAsia"/>
                <w:bCs/>
              </w:rPr>
            </w:pPr>
          </w:p>
        </w:tc>
        <w:tc>
          <w:tcPr>
            <w:tcW w:w="1246" w:type="dxa"/>
            <w:vAlign w:val="center"/>
          </w:tcPr>
          <w:p w14:paraId="1B540D70">
            <w:pPr>
              <w:pStyle w:val="48"/>
              <w:spacing w:line="560" w:lineRule="atLeast"/>
              <w:ind w:firstLine="480"/>
              <w:jc w:val="center"/>
              <w:rPr>
                <w:rFonts w:hint="eastAsia" w:asciiTheme="minorEastAsia" w:hAnsiTheme="minorEastAsia" w:eastAsiaTheme="minorEastAsia"/>
                <w:bCs/>
              </w:rPr>
            </w:pPr>
          </w:p>
        </w:tc>
      </w:tr>
      <w:tr w14:paraId="20D4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14:paraId="6B030A7B">
            <w:pPr>
              <w:pStyle w:val="48"/>
              <w:spacing w:line="560" w:lineRule="atLeast"/>
              <w:ind w:firstLine="480"/>
              <w:jc w:val="center"/>
              <w:rPr>
                <w:rFonts w:hint="eastAsia" w:asciiTheme="minorEastAsia" w:hAnsiTheme="minorEastAsia" w:eastAsiaTheme="minorEastAsia"/>
                <w:bCs/>
              </w:rPr>
            </w:pPr>
          </w:p>
        </w:tc>
        <w:tc>
          <w:tcPr>
            <w:tcW w:w="4981" w:type="dxa"/>
            <w:gridSpan w:val="4"/>
            <w:vAlign w:val="center"/>
          </w:tcPr>
          <w:p w14:paraId="570E28D2">
            <w:pPr>
              <w:pStyle w:val="48"/>
              <w:spacing w:line="560" w:lineRule="atLeast"/>
              <w:ind w:firstLine="480"/>
              <w:jc w:val="center"/>
              <w:rPr>
                <w:rFonts w:hint="eastAsia" w:asciiTheme="minorEastAsia" w:hAnsiTheme="minorEastAsia" w:eastAsiaTheme="minorEastAsia"/>
                <w:bCs/>
              </w:rPr>
            </w:pPr>
            <w:r>
              <w:rPr>
                <w:rFonts w:hint="eastAsia" w:asciiTheme="minorEastAsia" w:hAnsiTheme="minorEastAsia" w:eastAsiaTheme="minorEastAsia"/>
                <w:bCs/>
              </w:rPr>
              <w:t>总价：</w:t>
            </w:r>
          </w:p>
        </w:tc>
        <w:tc>
          <w:tcPr>
            <w:tcW w:w="1246" w:type="dxa"/>
            <w:vAlign w:val="center"/>
          </w:tcPr>
          <w:p w14:paraId="24B0E955">
            <w:pPr>
              <w:pStyle w:val="48"/>
              <w:spacing w:line="560" w:lineRule="atLeast"/>
              <w:ind w:firstLine="480"/>
              <w:jc w:val="center"/>
              <w:rPr>
                <w:rFonts w:hint="eastAsia" w:asciiTheme="minorEastAsia" w:hAnsiTheme="minorEastAsia" w:eastAsiaTheme="minorEastAsia"/>
                <w:bCs/>
              </w:rPr>
            </w:pPr>
          </w:p>
        </w:tc>
        <w:tc>
          <w:tcPr>
            <w:tcW w:w="1246" w:type="dxa"/>
            <w:vAlign w:val="center"/>
          </w:tcPr>
          <w:p w14:paraId="7AEE5355">
            <w:pPr>
              <w:pStyle w:val="48"/>
              <w:spacing w:line="560" w:lineRule="atLeast"/>
              <w:ind w:firstLine="480"/>
              <w:jc w:val="center"/>
              <w:rPr>
                <w:rFonts w:hint="eastAsia" w:asciiTheme="minorEastAsia" w:hAnsiTheme="minorEastAsia" w:eastAsiaTheme="minorEastAsia"/>
                <w:bCs/>
              </w:rPr>
            </w:pPr>
          </w:p>
        </w:tc>
      </w:tr>
    </w:tbl>
    <w:p w14:paraId="6CFF37AE">
      <w:pPr>
        <w:pStyle w:val="48"/>
        <w:spacing w:line="560" w:lineRule="atLeast"/>
        <w:ind w:firstLine="480"/>
        <w:rPr>
          <w:rFonts w:hint="eastAsia" w:asciiTheme="minorEastAsia" w:hAnsiTheme="minorEastAsia" w:eastAsiaTheme="minorEastAsia"/>
          <w:bCs/>
        </w:rPr>
      </w:pPr>
    </w:p>
    <w:p w14:paraId="52F6C24D">
      <w:pPr>
        <w:pStyle w:val="48"/>
        <w:spacing w:line="560" w:lineRule="atLeast"/>
        <w:ind w:firstLine="480"/>
        <w:rPr>
          <w:rFonts w:hint="eastAsia" w:asciiTheme="minorEastAsia" w:hAnsiTheme="minorEastAsia" w:eastAsiaTheme="minorEastAsia"/>
          <w:bCs/>
        </w:rPr>
      </w:pPr>
    </w:p>
    <w:p w14:paraId="52DF77F8">
      <w:pPr>
        <w:widowControl/>
        <w:spacing w:line="560" w:lineRule="atLeast"/>
        <w:jc w:val="left"/>
        <w:rPr>
          <w:rFonts w:asciiTheme="minorEastAsia" w:hAnsiTheme="minorEastAsia" w:eastAsiaTheme="minorEastAsia"/>
          <w:bCs/>
        </w:rPr>
      </w:pPr>
      <w:r>
        <w:rPr>
          <w:rFonts w:hint="eastAsia" w:cs="宋体" w:asciiTheme="minorEastAsia" w:hAnsiTheme="minorEastAsia" w:eastAsiaTheme="minorEastAsia"/>
          <w:bCs/>
          <w:color w:val="000000"/>
          <w:kern w:val="0"/>
          <w:sz w:val="24"/>
          <w:lang w:bidi="ar"/>
        </w:rPr>
        <w:t>投标单位：         （公章）</w:t>
      </w:r>
    </w:p>
    <w:p w14:paraId="305E7523">
      <w:pPr>
        <w:pStyle w:val="48"/>
        <w:spacing w:line="560" w:lineRule="atLeast"/>
        <w:ind w:firstLine="0" w:firstLineChars="0"/>
        <w:rPr>
          <w:rFonts w:hint="eastAsia" w:asciiTheme="minorEastAsia" w:hAnsiTheme="minorEastAsia" w:eastAsiaTheme="minorEastAsia"/>
          <w:bCs/>
        </w:rPr>
      </w:pPr>
    </w:p>
    <w:p w14:paraId="359805D4">
      <w:pPr>
        <w:widowControl/>
        <w:spacing w:line="560" w:lineRule="atLeast"/>
        <w:jc w:val="left"/>
        <w:rPr>
          <w:rFonts w:asciiTheme="minorEastAsia" w:hAnsiTheme="minorEastAsia" w:eastAsiaTheme="minorEastAsia"/>
          <w:bCs/>
        </w:rPr>
      </w:pPr>
      <w:r>
        <w:rPr>
          <w:rFonts w:hint="eastAsia" w:cs="宋体" w:asciiTheme="minorEastAsia" w:hAnsiTheme="minorEastAsia" w:eastAsiaTheme="minorEastAsia"/>
          <w:bCs/>
          <w:color w:val="000000"/>
          <w:kern w:val="0"/>
          <w:sz w:val="24"/>
          <w:lang w:bidi="ar"/>
        </w:rPr>
        <w:t>法定代表人（或授权代理人）：          （签字或盖章）</w:t>
      </w:r>
    </w:p>
    <w:p w14:paraId="08D378FE">
      <w:pPr>
        <w:pStyle w:val="48"/>
        <w:spacing w:line="560" w:lineRule="atLeast"/>
        <w:ind w:firstLine="480"/>
        <w:rPr>
          <w:rFonts w:hint="eastAsia" w:asciiTheme="minorEastAsia" w:hAnsiTheme="minorEastAsia" w:eastAsiaTheme="minorEastAsia"/>
          <w:bCs/>
        </w:rPr>
      </w:pPr>
    </w:p>
    <w:p w14:paraId="2948407A">
      <w:pPr>
        <w:widowControl/>
        <w:spacing w:line="560" w:lineRule="atLeast"/>
        <w:jc w:val="left"/>
        <w:rPr>
          <w:rFonts w:asciiTheme="minorEastAsia" w:hAnsiTheme="minorEastAsia" w:eastAsiaTheme="minorEastAsia"/>
          <w:bCs/>
        </w:rPr>
      </w:pPr>
      <w:r>
        <w:rPr>
          <w:rFonts w:hint="eastAsia" w:cs="宋体" w:asciiTheme="minorEastAsia" w:hAnsiTheme="minorEastAsia" w:eastAsiaTheme="minorEastAsia"/>
          <w:bCs/>
          <w:color w:val="000000"/>
          <w:kern w:val="0"/>
          <w:sz w:val="24"/>
          <w:lang w:bidi="ar"/>
        </w:rPr>
        <w:t>日期： 年 月 日</w:t>
      </w:r>
    </w:p>
    <w:p w14:paraId="0A08B2C8">
      <w:pPr>
        <w:pStyle w:val="48"/>
        <w:spacing w:line="560" w:lineRule="atLeast"/>
        <w:ind w:firstLine="480"/>
        <w:rPr>
          <w:rFonts w:hint="eastAsia" w:asciiTheme="minorEastAsia" w:hAnsiTheme="minorEastAsia" w:eastAsiaTheme="minorEastAsia"/>
          <w:bCs/>
        </w:rPr>
      </w:pPr>
    </w:p>
    <w:p w14:paraId="6D10B9B2">
      <w:pPr>
        <w:pStyle w:val="48"/>
        <w:spacing w:line="560" w:lineRule="atLeast"/>
        <w:ind w:firstLine="480"/>
        <w:rPr>
          <w:rFonts w:hint="eastAsia" w:asciiTheme="minorEastAsia" w:hAnsiTheme="minorEastAsia" w:eastAsiaTheme="minorEastAsia"/>
          <w:bCs/>
        </w:rPr>
      </w:pPr>
    </w:p>
    <w:p w14:paraId="2D347D7A">
      <w:pPr>
        <w:pStyle w:val="48"/>
        <w:spacing w:line="560" w:lineRule="atLeast"/>
        <w:ind w:firstLine="480"/>
        <w:rPr>
          <w:rFonts w:hint="eastAsia" w:asciiTheme="minorEastAsia" w:hAnsiTheme="minorEastAsia" w:eastAsiaTheme="minorEastAsia"/>
          <w:bCs/>
        </w:rPr>
      </w:pPr>
    </w:p>
    <w:p w14:paraId="4209B5CB">
      <w:pPr>
        <w:pStyle w:val="48"/>
        <w:spacing w:line="560" w:lineRule="atLeast"/>
        <w:ind w:firstLine="480"/>
        <w:rPr>
          <w:rFonts w:hint="eastAsia" w:asciiTheme="minorEastAsia" w:hAnsiTheme="minorEastAsia" w:eastAsiaTheme="minorEastAsia"/>
          <w:bCs/>
        </w:rPr>
      </w:pPr>
    </w:p>
    <w:p w14:paraId="25D77BAA">
      <w:pPr>
        <w:spacing w:line="560" w:lineRule="atLeast"/>
        <w:rPr>
          <w:rFonts w:hint="eastAsia" w:asciiTheme="minorEastAsia" w:hAnsiTheme="minorEastAsia" w:eastAsiaTheme="minorEastAsia"/>
          <w:bCs/>
          <w:sz w:val="24"/>
        </w:rPr>
      </w:pPr>
      <w:r>
        <w:rPr>
          <w:rFonts w:hint="eastAsia" w:asciiTheme="minorEastAsia" w:hAnsiTheme="minorEastAsia" w:eastAsiaTheme="minorEastAsia"/>
          <w:bCs/>
          <w:sz w:val="24"/>
        </w:rPr>
        <w:t>附件4</w:t>
      </w:r>
    </w:p>
    <w:p w14:paraId="1D221092">
      <w:pPr>
        <w:spacing w:line="560" w:lineRule="atLeast"/>
        <w:jc w:val="center"/>
        <w:rPr>
          <w:rFonts w:hint="eastAsia" w:asciiTheme="minorEastAsia" w:hAnsiTheme="minorEastAsia" w:eastAsiaTheme="minorEastAsia"/>
          <w:bCs/>
          <w:sz w:val="24"/>
        </w:rPr>
      </w:pPr>
      <w:r>
        <w:rPr>
          <w:rFonts w:hint="eastAsia" w:asciiTheme="minorEastAsia" w:hAnsiTheme="minorEastAsia" w:eastAsiaTheme="minorEastAsia"/>
          <w:bCs/>
          <w:sz w:val="24"/>
        </w:rPr>
        <w:t>采购需求响应表</w:t>
      </w:r>
    </w:p>
    <w:p w14:paraId="067911BA">
      <w:pPr>
        <w:spacing w:line="560" w:lineRule="atLeast"/>
        <w:jc w:val="center"/>
        <w:rPr>
          <w:rFonts w:hint="eastAsia" w:asciiTheme="minorEastAsia" w:hAnsiTheme="minorEastAsia" w:eastAsiaTheme="minorEastAsia"/>
          <w:bCs/>
          <w:sz w:val="28"/>
          <w:szCs w:val="28"/>
        </w:rPr>
      </w:pPr>
    </w:p>
    <w:p w14:paraId="169EA681">
      <w:pPr>
        <w:spacing w:line="560" w:lineRule="atLeast"/>
        <w:jc w:val="left"/>
        <w:rPr>
          <w:rFonts w:hint="eastAsia" w:asciiTheme="minorEastAsia" w:hAnsiTheme="minorEastAsia" w:eastAsiaTheme="minorEastAsia"/>
          <w:bCs/>
          <w:sz w:val="24"/>
        </w:rPr>
      </w:pPr>
      <w:r>
        <w:rPr>
          <w:rFonts w:hint="eastAsia" w:asciiTheme="minorEastAsia" w:hAnsiTheme="minorEastAsia" w:eastAsiaTheme="minorEastAsia"/>
          <w:bCs/>
          <w:sz w:val="24"/>
        </w:rPr>
        <w:t>说明：响应供应商必须仔细阅读采购文件中所有技术规范条款和相关功能要求，并对所有技术规范和功能偏离的条目列入下表，未列入下表的视作响应供应商不响应。响应供应商</w:t>
      </w:r>
      <w:r>
        <w:rPr>
          <w:rFonts w:hint="eastAsia" w:asciiTheme="minorEastAsia" w:hAnsiTheme="minorEastAsia" w:eastAsiaTheme="minorEastAsia"/>
          <w:bCs/>
          <w:sz w:val="24"/>
          <w:u w:val="single"/>
        </w:rPr>
        <w:t>必须根据所投产品的实际情况如实填写，评委会如发现有虚假描述，</w:t>
      </w:r>
      <w:r>
        <w:rPr>
          <w:rFonts w:asciiTheme="minorEastAsia" w:hAnsiTheme="minorEastAsia" w:eastAsiaTheme="minorEastAsia"/>
          <w:bCs/>
          <w:sz w:val="24"/>
          <w:u w:val="single"/>
        </w:rPr>
        <w:t>提供虚假材料谋取成交的</w:t>
      </w:r>
      <w:r>
        <w:rPr>
          <w:rFonts w:hint="eastAsia" w:asciiTheme="minorEastAsia" w:hAnsiTheme="minorEastAsia" w:eastAsiaTheme="minorEastAsia"/>
          <w:bCs/>
          <w:sz w:val="24"/>
          <w:u w:val="single"/>
        </w:rPr>
        <w:t>，属违反政府采购法相关规定，该响应文件作废标处理。</w:t>
      </w:r>
      <w:r>
        <w:rPr>
          <w:rFonts w:asciiTheme="minorEastAsia" w:hAnsiTheme="minorEastAsia" w:eastAsiaTheme="minorEastAsia"/>
          <w:bCs/>
          <w:sz w:val="24"/>
        </w:rPr>
        <w:tab/>
      </w:r>
    </w:p>
    <w:p w14:paraId="53B28D13">
      <w:pPr>
        <w:tabs>
          <w:tab w:val="left" w:pos="9654"/>
        </w:tabs>
        <w:spacing w:line="560" w:lineRule="atLeast"/>
        <w:rPr>
          <w:rFonts w:hint="eastAsia" w:asciiTheme="minorEastAsia" w:hAnsiTheme="minorEastAsia" w:eastAsiaTheme="minorEastAsia"/>
          <w:bCs/>
          <w:sz w:val="24"/>
        </w:rPr>
      </w:pPr>
    </w:p>
    <w:p w14:paraId="4496816C">
      <w:pPr>
        <w:tabs>
          <w:tab w:val="left" w:pos="635"/>
          <w:tab w:val="left" w:pos="2852"/>
          <w:tab w:val="left" w:pos="5260"/>
          <w:tab w:val="left" w:pos="9654"/>
        </w:tabs>
        <w:spacing w:line="560" w:lineRule="atLeast"/>
        <w:rPr>
          <w:rFonts w:hint="eastAsia" w:asciiTheme="minorEastAsia" w:hAnsiTheme="minorEastAsia" w:eastAsiaTheme="minorEastAsia"/>
          <w:bCs/>
          <w:sz w:val="24"/>
        </w:rPr>
      </w:pPr>
    </w:p>
    <w:tbl>
      <w:tblPr>
        <w:tblStyle w:val="40"/>
        <w:tblW w:w="0" w:type="auto"/>
        <w:jc w:val="center"/>
        <w:tblLayout w:type="fixed"/>
        <w:tblCellMar>
          <w:top w:w="0" w:type="dxa"/>
          <w:left w:w="54" w:type="dxa"/>
          <w:bottom w:w="0" w:type="dxa"/>
          <w:right w:w="54" w:type="dxa"/>
        </w:tblCellMar>
      </w:tblPr>
      <w:tblGrid>
        <w:gridCol w:w="660"/>
        <w:gridCol w:w="3300"/>
        <w:gridCol w:w="3300"/>
        <w:gridCol w:w="2552"/>
      </w:tblGrid>
      <w:tr w14:paraId="1F26BDB5">
        <w:tblPrEx>
          <w:tblCellMar>
            <w:top w:w="0" w:type="dxa"/>
            <w:left w:w="54" w:type="dxa"/>
            <w:bottom w:w="0" w:type="dxa"/>
            <w:right w:w="54" w:type="dxa"/>
          </w:tblCellMar>
        </w:tblPrEx>
        <w:trPr>
          <w:trHeight w:val="160" w:hRule="atLeast"/>
          <w:jc w:val="center"/>
        </w:trPr>
        <w:tc>
          <w:tcPr>
            <w:tcW w:w="660" w:type="dxa"/>
            <w:tcBorders>
              <w:top w:val="single" w:color="auto" w:sz="6" w:space="0"/>
              <w:left w:val="single" w:color="auto" w:sz="6" w:space="0"/>
              <w:bottom w:val="single" w:color="auto" w:sz="6" w:space="0"/>
              <w:right w:val="single" w:color="auto" w:sz="4" w:space="0"/>
            </w:tcBorders>
            <w:noWrap/>
            <w:vAlign w:val="center"/>
          </w:tcPr>
          <w:p w14:paraId="73E7400F">
            <w:pPr>
              <w:spacing w:line="560" w:lineRule="atLeast"/>
              <w:jc w:val="center"/>
              <w:rPr>
                <w:rFonts w:hint="eastAsia" w:asciiTheme="minorEastAsia" w:hAnsiTheme="minorEastAsia" w:eastAsiaTheme="minorEastAsia"/>
                <w:bCs/>
                <w:sz w:val="24"/>
              </w:rPr>
            </w:pPr>
            <w:r>
              <w:rPr>
                <w:rFonts w:hint="eastAsia" w:asciiTheme="minorEastAsia" w:hAnsiTheme="minorEastAsia" w:eastAsiaTheme="minorEastAsia"/>
                <w:bCs/>
                <w:sz w:val="24"/>
              </w:rPr>
              <w:t>序号</w:t>
            </w:r>
          </w:p>
        </w:tc>
        <w:tc>
          <w:tcPr>
            <w:tcW w:w="3300" w:type="dxa"/>
            <w:tcBorders>
              <w:top w:val="single" w:color="auto" w:sz="6" w:space="0"/>
              <w:left w:val="single" w:color="auto" w:sz="4" w:space="0"/>
              <w:bottom w:val="single" w:color="auto" w:sz="6" w:space="0"/>
              <w:right w:val="single" w:color="auto" w:sz="6" w:space="0"/>
            </w:tcBorders>
            <w:noWrap/>
            <w:vAlign w:val="center"/>
          </w:tcPr>
          <w:p w14:paraId="263C0D44">
            <w:pPr>
              <w:spacing w:line="560" w:lineRule="atLeast"/>
              <w:jc w:val="center"/>
              <w:rPr>
                <w:rFonts w:hint="eastAsia" w:asciiTheme="minorEastAsia" w:hAnsiTheme="minorEastAsia" w:eastAsiaTheme="minorEastAsia"/>
                <w:bCs/>
                <w:sz w:val="24"/>
              </w:rPr>
            </w:pPr>
            <w:r>
              <w:rPr>
                <w:rFonts w:hint="eastAsia" w:asciiTheme="minorEastAsia" w:hAnsiTheme="minorEastAsia" w:eastAsiaTheme="minorEastAsia"/>
                <w:bCs/>
                <w:sz w:val="24"/>
              </w:rPr>
              <w:t>采购规格</w:t>
            </w:r>
          </w:p>
        </w:tc>
        <w:tc>
          <w:tcPr>
            <w:tcW w:w="3300" w:type="dxa"/>
            <w:tcBorders>
              <w:top w:val="single" w:color="auto" w:sz="6" w:space="0"/>
              <w:left w:val="single" w:color="auto" w:sz="6" w:space="0"/>
              <w:bottom w:val="single" w:color="auto" w:sz="6" w:space="0"/>
              <w:right w:val="single" w:color="auto" w:sz="6" w:space="0"/>
            </w:tcBorders>
            <w:noWrap/>
            <w:vAlign w:val="center"/>
          </w:tcPr>
          <w:p w14:paraId="1848F4B8">
            <w:pPr>
              <w:spacing w:line="560" w:lineRule="atLeast"/>
              <w:jc w:val="center"/>
              <w:rPr>
                <w:rFonts w:hint="eastAsia" w:asciiTheme="minorEastAsia" w:hAnsiTheme="minorEastAsia" w:eastAsiaTheme="minorEastAsia"/>
                <w:bCs/>
                <w:sz w:val="24"/>
              </w:rPr>
            </w:pPr>
            <w:r>
              <w:rPr>
                <w:rFonts w:hint="eastAsia" w:asciiTheme="minorEastAsia" w:hAnsiTheme="minorEastAsia" w:eastAsiaTheme="minorEastAsia"/>
                <w:bCs/>
                <w:sz w:val="24"/>
              </w:rPr>
              <w:t>响应规格</w:t>
            </w:r>
          </w:p>
        </w:tc>
        <w:tc>
          <w:tcPr>
            <w:tcW w:w="2552" w:type="dxa"/>
            <w:tcBorders>
              <w:top w:val="single" w:color="auto" w:sz="6" w:space="0"/>
              <w:left w:val="single" w:color="auto" w:sz="4" w:space="0"/>
              <w:bottom w:val="single" w:color="auto" w:sz="6" w:space="0"/>
              <w:right w:val="single" w:color="auto" w:sz="6" w:space="0"/>
            </w:tcBorders>
            <w:noWrap/>
            <w:vAlign w:val="center"/>
          </w:tcPr>
          <w:p w14:paraId="2594B337">
            <w:pPr>
              <w:spacing w:line="560" w:lineRule="atLeast"/>
              <w:jc w:val="center"/>
              <w:rPr>
                <w:rFonts w:hint="eastAsia" w:asciiTheme="minorEastAsia" w:hAnsiTheme="minorEastAsia" w:eastAsiaTheme="minorEastAsia"/>
                <w:bCs/>
                <w:sz w:val="24"/>
              </w:rPr>
            </w:pPr>
            <w:r>
              <w:rPr>
                <w:rFonts w:asciiTheme="minorEastAsia" w:hAnsiTheme="minorEastAsia" w:eastAsiaTheme="minorEastAsia"/>
                <w:bCs/>
                <w:sz w:val="24"/>
              </w:rPr>
              <w:t>偏离情况</w:t>
            </w:r>
          </w:p>
          <w:p w14:paraId="098B292D">
            <w:pPr>
              <w:spacing w:line="560" w:lineRule="atLeast"/>
              <w:jc w:val="center"/>
              <w:rPr>
                <w:rFonts w:hint="eastAsia" w:asciiTheme="minorEastAsia" w:hAnsiTheme="minorEastAsia" w:eastAsiaTheme="minorEastAsia"/>
                <w:bCs/>
                <w:sz w:val="24"/>
              </w:rPr>
            </w:pPr>
            <w:r>
              <w:rPr>
                <w:rFonts w:asciiTheme="minorEastAsia" w:hAnsiTheme="minorEastAsia" w:eastAsiaTheme="minorEastAsia"/>
                <w:bCs/>
                <w:sz w:val="24"/>
              </w:rPr>
              <w:t>（无偏离，正/负偏离）</w:t>
            </w:r>
          </w:p>
          <w:p w14:paraId="60922A14">
            <w:pPr>
              <w:spacing w:line="560" w:lineRule="atLeast"/>
              <w:jc w:val="center"/>
              <w:rPr>
                <w:rFonts w:hint="eastAsia" w:asciiTheme="minorEastAsia" w:hAnsiTheme="minorEastAsia" w:eastAsiaTheme="minorEastAsia"/>
                <w:bCs/>
                <w:sz w:val="24"/>
              </w:rPr>
            </w:pPr>
            <w:r>
              <w:rPr>
                <w:rFonts w:hint="eastAsia" w:asciiTheme="minorEastAsia" w:hAnsiTheme="minorEastAsia" w:eastAsiaTheme="minorEastAsia"/>
                <w:bCs/>
                <w:sz w:val="24"/>
              </w:rPr>
              <w:t>证明材料页码</w:t>
            </w:r>
          </w:p>
        </w:tc>
      </w:tr>
      <w:tr w14:paraId="1FC582C6">
        <w:tblPrEx>
          <w:tblCellMar>
            <w:top w:w="0" w:type="dxa"/>
            <w:left w:w="54" w:type="dxa"/>
            <w:bottom w:w="0" w:type="dxa"/>
            <w:right w:w="54" w:type="dxa"/>
          </w:tblCellMar>
        </w:tblPrEx>
        <w:trPr>
          <w:cantSplit/>
          <w:trHeight w:val="160" w:hRule="atLeast"/>
          <w:jc w:val="center"/>
        </w:trPr>
        <w:tc>
          <w:tcPr>
            <w:tcW w:w="660" w:type="dxa"/>
            <w:tcBorders>
              <w:top w:val="single" w:color="auto" w:sz="6" w:space="0"/>
              <w:left w:val="single" w:color="auto" w:sz="6" w:space="0"/>
              <w:bottom w:val="single" w:color="auto" w:sz="4" w:space="0"/>
              <w:right w:val="single" w:color="auto" w:sz="4" w:space="0"/>
            </w:tcBorders>
            <w:noWrap/>
          </w:tcPr>
          <w:p w14:paraId="526D1ECF">
            <w:pPr>
              <w:spacing w:line="560" w:lineRule="atLeast"/>
              <w:rPr>
                <w:rFonts w:hint="eastAsia" w:asciiTheme="minorEastAsia" w:hAnsiTheme="minorEastAsia" w:eastAsiaTheme="minorEastAsia"/>
                <w:bCs/>
                <w:sz w:val="24"/>
              </w:rPr>
            </w:pPr>
          </w:p>
        </w:tc>
        <w:tc>
          <w:tcPr>
            <w:tcW w:w="3300" w:type="dxa"/>
            <w:tcBorders>
              <w:top w:val="single" w:color="auto" w:sz="6" w:space="0"/>
              <w:left w:val="single" w:color="auto" w:sz="4" w:space="0"/>
              <w:bottom w:val="single" w:color="auto" w:sz="4" w:space="0"/>
              <w:right w:val="single" w:color="auto" w:sz="6" w:space="0"/>
            </w:tcBorders>
            <w:noWrap/>
          </w:tcPr>
          <w:p w14:paraId="64937F89">
            <w:pPr>
              <w:spacing w:line="560" w:lineRule="atLeast"/>
              <w:rPr>
                <w:rFonts w:hint="eastAsia" w:asciiTheme="minorEastAsia" w:hAnsiTheme="minorEastAsia" w:eastAsiaTheme="minorEastAsia"/>
                <w:bCs/>
                <w:sz w:val="24"/>
              </w:rPr>
            </w:pPr>
          </w:p>
        </w:tc>
        <w:tc>
          <w:tcPr>
            <w:tcW w:w="3300" w:type="dxa"/>
            <w:tcBorders>
              <w:top w:val="single" w:color="auto" w:sz="6" w:space="0"/>
              <w:left w:val="single" w:color="auto" w:sz="6" w:space="0"/>
              <w:bottom w:val="single" w:color="auto" w:sz="4" w:space="0"/>
              <w:right w:val="single" w:color="auto" w:sz="6" w:space="0"/>
            </w:tcBorders>
            <w:noWrap/>
          </w:tcPr>
          <w:p w14:paraId="162FDF9B">
            <w:pPr>
              <w:spacing w:line="560" w:lineRule="atLeast"/>
              <w:rPr>
                <w:rFonts w:hint="eastAsia" w:asciiTheme="minorEastAsia" w:hAnsiTheme="minorEastAsia" w:eastAsiaTheme="minorEastAsia"/>
                <w:bCs/>
                <w:sz w:val="24"/>
              </w:rPr>
            </w:pPr>
          </w:p>
        </w:tc>
        <w:tc>
          <w:tcPr>
            <w:tcW w:w="2552" w:type="dxa"/>
            <w:tcBorders>
              <w:top w:val="single" w:color="auto" w:sz="6" w:space="0"/>
              <w:left w:val="single" w:color="auto" w:sz="4" w:space="0"/>
              <w:bottom w:val="single" w:color="auto" w:sz="4" w:space="0"/>
              <w:right w:val="single" w:color="auto" w:sz="6" w:space="0"/>
            </w:tcBorders>
            <w:noWrap/>
          </w:tcPr>
          <w:p w14:paraId="180A1604">
            <w:pPr>
              <w:spacing w:line="560" w:lineRule="atLeast"/>
              <w:rPr>
                <w:rFonts w:hint="eastAsia" w:asciiTheme="minorEastAsia" w:hAnsiTheme="minorEastAsia" w:eastAsiaTheme="minorEastAsia"/>
                <w:bCs/>
                <w:sz w:val="24"/>
              </w:rPr>
            </w:pPr>
          </w:p>
        </w:tc>
      </w:tr>
      <w:tr w14:paraId="0B2BDB6A">
        <w:tblPrEx>
          <w:tblCellMar>
            <w:top w:w="0" w:type="dxa"/>
            <w:left w:w="54" w:type="dxa"/>
            <w:bottom w:w="0" w:type="dxa"/>
            <w:right w:w="54" w:type="dxa"/>
          </w:tblCellMar>
        </w:tblPrEx>
        <w:trPr>
          <w:cantSplit/>
          <w:trHeight w:val="160" w:hRule="atLeast"/>
          <w:jc w:val="center"/>
        </w:trPr>
        <w:tc>
          <w:tcPr>
            <w:tcW w:w="660" w:type="dxa"/>
            <w:tcBorders>
              <w:top w:val="single" w:color="auto" w:sz="4" w:space="0"/>
              <w:left w:val="single" w:color="auto" w:sz="6" w:space="0"/>
              <w:bottom w:val="single" w:color="auto" w:sz="4" w:space="0"/>
              <w:right w:val="single" w:color="auto" w:sz="4" w:space="0"/>
            </w:tcBorders>
            <w:noWrap/>
          </w:tcPr>
          <w:p w14:paraId="4B4F4B74">
            <w:pPr>
              <w:spacing w:line="560" w:lineRule="atLeast"/>
              <w:rPr>
                <w:rFonts w:hint="eastAsia" w:asciiTheme="minorEastAsia" w:hAnsiTheme="minorEastAsia" w:eastAsiaTheme="minorEastAsia"/>
                <w:bCs/>
                <w:sz w:val="24"/>
              </w:rPr>
            </w:pPr>
          </w:p>
        </w:tc>
        <w:tc>
          <w:tcPr>
            <w:tcW w:w="3300" w:type="dxa"/>
            <w:tcBorders>
              <w:top w:val="single" w:color="auto" w:sz="4" w:space="0"/>
              <w:left w:val="single" w:color="auto" w:sz="4" w:space="0"/>
              <w:bottom w:val="single" w:color="auto" w:sz="4" w:space="0"/>
              <w:right w:val="single" w:color="auto" w:sz="6" w:space="0"/>
            </w:tcBorders>
            <w:noWrap/>
          </w:tcPr>
          <w:p w14:paraId="3D2D05DD">
            <w:pPr>
              <w:spacing w:line="560" w:lineRule="atLeast"/>
              <w:rPr>
                <w:rFonts w:hint="eastAsia" w:asciiTheme="minorEastAsia" w:hAnsiTheme="minorEastAsia" w:eastAsiaTheme="minorEastAsia"/>
                <w:bCs/>
                <w:sz w:val="24"/>
              </w:rPr>
            </w:pPr>
          </w:p>
        </w:tc>
        <w:tc>
          <w:tcPr>
            <w:tcW w:w="3300" w:type="dxa"/>
            <w:tcBorders>
              <w:top w:val="single" w:color="auto" w:sz="4" w:space="0"/>
              <w:left w:val="single" w:color="auto" w:sz="6" w:space="0"/>
              <w:bottom w:val="single" w:color="auto" w:sz="4" w:space="0"/>
              <w:right w:val="single" w:color="auto" w:sz="6" w:space="0"/>
            </w:tcBorders>
            <w:noWrap/>
          </w:tcPr>
          <w:p w14:paraId="32792698">
            <w:pPr>
              <w:spacing w:line="560" w:lineRule="atLeast"/>
              <w:rPr>
                <w:rFonts w:hint="eastAsia" w:asciiTheme="minorEastAsia" w:hAnsiTheme="minorEastAsia" w:eastAsiaTheme="minorEastAsia"/>
                <w:bCs/>
                <w:sz w:val="24"/>
              </w:rPr>
            </w:pPr>
          </w:p>
        </w:tc>
        <w:tc>
          <w:tcPr>
            <w:tcW w:w="2552" w:type="dxa"/>
            <w:tcBorders>
              <w:top w:val="single" w:color="auto" w:sz="4" w:space="0"/>
              <w:left w:val="single" w:color="auto" w:sz="4" w:space="0"/>
              <w:bottom w:val="single" w:color="auto" w:sz="4" w:space="0"/>
              <w:right w:val="single" w:color="auto" w:sz="6" w:space="0"/>
            </w:tcBorders>
            <w:noWrap/>
          </w:tcPr>
          <w:p w14:paraId="3A63E161">
            <w:pPr>
              <w:spacing w:line="560" w:lineRule="atLeast"/>
              <w:rPr>
                <w:rFonts w:hint="eastAsia" w:asciiTheme="minorEastAsia" w:hAnsiTheme="minorEastAsia" w:eastAsiaTheme="minorEastAsia"/>
                <w:bCs/>
                <w:sz w:val="24"/>
              </w:rPr>
            </w:pPr>
          </w:p>
        </w:tc>
      </w:tr>
      <w:tr w14:paraId="2BA40E22">
        <w:tblPrEx>
          <w:tblCellMar>
            <w:top w:w="0" w:type="dxa"/>
            <w:left w:w="54" w:type="dxa"/>
            <w:bottom w:w="0" w:type="dxa"/>
            <w:right w:w="54" w:type="dxa"/>
          </w:tblCellMar>
        </w:tblPrEx>
        <w:trPr>
          <w:cantSplit/>
          <w:trHeight w:val="160" w:hRule="atLeast"/>
          <w:jc w:val="center"/>
        </w:trPr>
        <w:tc>
          <w:tcPr>
            <w:tcW w:w="660" w:type="dxa"/>
            <w:tcBorders>
              <w:top w:val="single" w:color="auto" w:sz="4" w:space="0"/>
              <w:left w:val="single" w:color="auto" w:sz="6" w:space="0"/>
              <w:bottom w:val="single" w:color="auto" w:sz="6" w:space="0"/>
              <w:right w:val="single" w:color="auto" w:sz="4" w:space="0"/>
            </w:tcBorders>
            <w:noWrap/>
          </w:tcPr>
          <w:p w14:paraId="543CF6C4">
            <w:pPr>
              <w:spacing w:line="560" w:lineRule="atLeast"/>
              <w:rPr>
                <w:rFonts w:hint="eastAsia" w:asciiTheme="minorEastAsia" w:hAnsiTheme="minorEastAsia" w:eastAsiaTheme="minorEastAsia"/>
                <w:bCs/>
                <w:sz w:val="24"/>
              </w:rPr>
            </w:pPr>
          </w:p>
        </w:tc>
        <w:tc>
          <w:tcPr>
            <w:tcW w:w="3300" w:type="dxa"/>
            <w:tcBorders>
              <w:top w:val="single" w:color="auto" w:sz="4" w:space="0"/>
              <w:left w:val="single" w:color="auto" w:sz="4" w:space="0"/>
              <w:bottom w:val="single" w:color="auto" w:sz="6" w:space="0"/>
              <w:right w:val="single" w:color="auto" w:sz="6" w:space="0"/>
            </w:tcBorders>
            <w:noWrap/>
          </w:tcPr>
          <w:p w14:paraId="5C29AAF9">
            <w:pPr>
              <w:spacing w:line="560" w:lineRule="atLeast"/>
              <w:rPr>
                <w:rFonts w:hint="eastAsia" w:asciiTheme="minorEastAsia" w:hAnsiTheme="minorEastAsia" w:eastAsiaTheme="minorEastAsia"/>
                <w:bCs/>
                <w:sz w:val="24"/>
              </w:rPr>
            </w:pPr>
          </w:p>
        </w:tc>
        <w:tc>
          <w:tcPr>
            <w:tcW w:w="3300" w:type="dxa"/>
            <w:tcBorders>
              <w:top w:val="single" w:color="auto" w:sz="4" w:space="0"/>
              <w:left w:val="single" w:color="auto" w:sz="6" w:space="0"/>
              <w:bottom w:val="single" w:color="auto" w:sz="6" w:space="0"/>
              <w:right w:val="single" w:color="auto" w:sz="6" w:space="0"/>
            </w:tcBorders>
            <w:noWrap/>
          </w:tcPr>
          <w:p w14:paraId="52E5723D">
            <w:pPr>
              <w:spacing w:line="560" w:lineRule="atLeast"/>
              <w:rPr>
                <w:rFonts w:hint="eastAsia" w:asciiTheme="minorEastAsia" w:hAnsiTheme="minorEastAsia" w:eastAsiaTheme="minorEastAsia"/>
                <w:bCs/>
                <w:sz w:val="24"/>
              </w:rPr>
            </w:pPr>
          </w:p>
        </w:tc>
        <w:tc>
          <w:tcPr>
            <w:tcW w:w="2552" w:type="dxa"/>
            <w:tcBorders>
              <w:top w:val="single" w:color="auto" w:sz="4" w:space="0"/>
              <w:left w:val="single" w:color="auto" w:sz="4" w:space="0"/>
              <w:bottom w:val="single" w:color="auto" w:sz="6" w:space="0"/>
              <w:right w:val="single" w:color="auto" w:sz="6" w:space="0"/>
            </w:tcBorders>
            <w:noWrap/>
          </w:tcPr>
          <w:p w14:paraId="6864B731">
            <w:pPr>
              <w:spacing w:line="560" w:lineRule="atLeast"/>
              <w:rPr>
                <w:rFonts w:hint="eastAsia" w:asciiTheme="minorEastAsia" w:hAnsiTheme="minorEastAsia" w:eastAsiaTheme="minorEastAsia"/>
                <w:bCs/>
                <w:sz w:val="24"/>
              </w:rPr>
            </w:pPr>
          </w:p>
        </w:tc>
      </w:tr>
      <w:tr w14:paraId="4AA0FCA0">
        <w:tblPrEx>
          <w:tblCellMar>
            <w:top w:w="0" w:type="dxa"/>
            <w:left w:w="54" w:type="dxa"/>
            <w:bottom w:w="0" w:type="dxa"/>
            <w:right w:w="54" w:type="dxa"/>
          </w:tblCellMar>
        </w:tblPrEx>
        <w:trPr>
          <w:trHeight w:val="160" w:hRule="atLeast"/>
          <w:jc w:val="center"/>
        </w:trPr>
        <w:tc>
          <w:tcPr>
            <w:tcW w:w="660" w:type="dxa"/>
            <w:tcBorders>
              <w:top w:val="single" w:color="auto" w:sz="6" w:space="0"/>
              <w:left w:val="single" w:color="auto" w:sz="6" w:space="0"/>
              <w:bottom w:val="single" w:color="auto" w:sz="4" w:space="0"/>
              <w:right w:val="single" w:color="auto" w:sz="4" w:space="0"/>
            </w:tcBorders>
            <w:noWrap/>
          </w:tcPr>
          <w:p w14:paraId="7654A3D3">
            <w:pPr>
              <w:spacing w:line="560" w:lineRule="atLeast"/>
              <w:rPr>
                <w:rFonts w:hint="eastAsia" w:asciiTheme="minorEastAsia" w:hAnsiTheme="minorEastAsia" w:eastAsiaTheme="minorEastAsia"/>
                <w:bCs/>
                <w:sz w:val="24"/>
              </w:rPr>
            </w:pPr>
          </w:p>
        </w:tc>
        <w:tc>
          <w:tcPr>
            <w:tcW w:w="3300" w:type="dxa"/>
            <w:tcBorders>
              <w:top w:val="single" w:color="auto" w:sz="6" w:space="0"/>
              <w:left w:val="single" w:color="auto" w:sz="4" w:space="0"/>
              <w:bottom w:val="single" w:color="auto" w:sz="4" w:space="0"/>
              <w:right w:val="single" w:color="auto" w:sz="6" w:space="0"/>
            </w:tcBorders>
            <w:noWrap/>
          </w:tcPr>
          <w:p w14:paraId="5DA7C0C6">
            <w:pPr>
              <w:spacing w:line="560" w:lineRule="atLeast"/>
              <w:rPr>
                <w:rFonts w:hint="eastAsia" w:asciiTheme="minorEastAsia" w:hAnsiTheme="minorEastAsia" w:eastAsiaTheme="minorEastAsia"/>
                <w:bCs/>
                <w:sz w:val="24"/>
              </w:rPr>
            </w:pPr>
          </w:p>
        </w:tc>
        <w:tc>
          <w:tcPr>
            <w:tcW w:w="3300" w:type="dxa"/>
            <w:tcBorders>
              <w:top w:val="single" w:color="auto" w:sz="6" w:space="0"/>
              <w:left w:val="single" w:color="auto" w:sz="6" w:space="0"/>
              <w:bottom w:val="single" w:color="auto" w:sz="4" w:space="0"/>
              <w:right w:val="single" w:color="auto" w:sz="6" w:space="0"/>
            </w:tcBorders>
            <w:noWrap/>
          </w:tcPr>
          <w:p w14:paraId="534D4953">
            <w:pPr>
              <w:spacing w:line="560" w:lineRule="atLeast"/>
              <w:rPr>
                <w:rFonts w:hint="eastAsia" w:asciiTheme="minorEastAsia" w:hAnsiTheme="minorEastAsia" w:eastAsiaTheme="minorEastAsia"/>
                <w:bCs/>
                <w:sz w:val="24"/>
              </w:rPr>
            </w:pPr>
          </w:p>
        </w:tc>
        <w:tc>
          <w:tcPr>
            <w:tcW w:w="2552" w:type="dxa"/>
            <w:tcBorders>
              <w:top w:val="single" w:color="auto" w:sz="6" w:space="0"/>
              <w:left w:val="single" w:color="auto" w:sz="4" w:space="0"/>
              <w:bottom w:val="single" w:color="auto" w:sz="4" w:space="0"/>
              <w:right w:val="single" w:color="auto" w:sz="6" w:space="0"/>
            </w:tcBorders>
            <w:noWrap/>
          </w:tcPr>
          <w:p w14:paraId="19D26877">
            <w:pPr>
              <w:spacing w:line="560" w:lineRule="atLeast"/>
              <w:rPr>
                <w:rFonts w:hint="eastAsia" w:asciiTheme="minorEastAsia" w:hAnsiTheme="minorEastAsia" w:eastAsiaTheme="minorEastAsia"/>
                <w:bCs/>
                <w:sz w:val="24"/>
              </w:rPr>
            </w:pPr>
          </w:p>
        </w:tc>
      </w:tr>
      <w:tr w14:paraId="3724D067">
        <w:tblPrEx>
          <w:tblCellMar>
            <w:top w:w="0" w:type="dxa"/>
            <w:left w:w="54" w:type="dxa"/>
            <w:bottom w:w="0" w:type="dxa"/>
            <w:right w:w="54" w:type="dxa"/>
          </w:tblCellMar>
        </w:tblPrEx>
        <w:trPr>
          <w:trHeight w:val="160" w:hRule="atLeast"/>
          <w:jc w:val="center"/>
        </w:trPr>
        <w:tc>
          <w:tcPr>
            <w:tcW w:w="660" w:type="dxa"/>
            <w:tcBorders>
              <w:top w:val="single" w:color="auto" w:sz="4" w:space="0"/>
              <w:left w:val="single" w:color="auto" w:sz="6" w:space="0"/>
              <w:bottom w:val="single" w:color="auto" w:sz="4" w:space="0"/>
              <w:right w:val="single" w:color="auto" w:sz="4" w:space="0"/>
            </w:tcBorders>
            <w:noWrap/>
          </w:tcPr>
          <w:p w14:paraId="42B6DD06">
            <w:pPr>
              <w:spacing w:line="560" w:lineRule="atLeast"/>
              <w:rPr>
                <w:rFonts w:hint="eastAsia" w:asciiTheme="minorEastAsia" w:hAnsiTheme="minorEastAsia" w:eastAsiaTheme="minorEastAsia"/>
                <w:bCs/>
                <w:sz w:val="24"/>
              </w:rPr>
            </w:pPr>
          </w:p>
        </w:tc>
        <w:tc>
          <w:tcPr>
            <w:tcW w:w="3300" w:type="dxa"/>
            <w:tcBorders>
              <w:top w:val="single" w:color="auto" w:sz="4" w:space="0"/>
              <w:left w:val="single" w:color="auto" w:sz="4" w:space="0"/>
              <w:bottom w:val="single" w:color="auto" w:sz="4" w:space="0"/>
              <w:right w:val="single" w:color="auto" w:sz="6" w:space="0"/>
            </w:tcBorders>
            <w:noWrap/>
          </w:tcPr>
          <w:p w14:paraId="027D3F07">
            <w:pPr>
              <w:spacing w:line="560" w:lineRule="atLeast"/>
              <w:rPr>
                <w:rFonts w:hint="eastAsia" w:asciiTheme="minorEastAsia" w:hAnsiTheme="minorEastAsia" w:eastAsiaTheme="minorEastAsia"/>
                <w:bCs/>
                <w:sz w:val="24"/>
              </w:rPr>
            </w:pPr>
          </w:p>
        </w:tc>
        <w:tc>
          <w:tcPr>
            <w:tcW w:w="3300" w:type="dxa"/>
            <w:tcBorders>
              <w:top w:val="single" w:color="auto" w:sz="4" w:space="0"/>
              <w:left w:val="single" w:color="auto" w:sz="6" w:space="0"/>
              <w:bottom w:val="single" w:color="auto" w:sz="4" w:space="0"/>
              <w:right w:val="single" w:color="auto" w:sz="6" w:space="0"/>
            </w:tcBorders>
            <w:noWrap/>
          </w:tcPr>
          <w:p w14:paraId="2CB6E38A">
            <w:pPr>
              <w:spacing w:line="560" w:lineRule="atLeast"/>
              <w:rPr>
                <w:rFonts w:hint="eastAsia" w:asciiTheme="minorEastAsia" w:hAnsiTheme="minorEastAsia" w:eastAsiaTheme="minorEastAsia"/>
                <w:bCs/>
                <w:sz w:val="24"/>
              </w:rPr>
            </w:pPr>
          </w:p>
        </w:tc>
        <w:tc>
          <w:tcPr>
            <w:tcW w:w="2552" w:type="dxa"/>
            <w:tcBorders>
              <w:top w:val="single" w:color="auto" w:sz="4" w:space="0"/>
              <w:left w:val="single" w:color="auto" w:sz="4" w:space="0"/>
              <w:bottom w:val="single" w:color="auto" w:sz="4" w:space="0"/>
              <w:right w:val="single" w:color="auto" w:sz="6" w:space="0"/>
            </w:tcBorders>
            <w:noWrap/>
          </w:tcPr>
          <w:p w14:paraId="1DAD3478">
            <w:pPr>
              <w:spacing w:line="560" w:lineRule="atLeast"/>
              <w:rPr>
                <w:rFonts w:hint="eastAsia" w:asciiTheme="minorEastAsia" w:hAnsiTheme="minorEastAsia" w:eastAsiaTheme="minorEastAsia"/>
                <w:bCs/>
                <w:sz w:val="24"/>
              </w:rPr>
            </w:pPr>
          </w:p>
        </w:tc>
      </w:tr>
    </w:tbl>
    <w:p w14:paraId="1DAFA585">
      <w:pPr>
        <w:spacing w:line="560" w:lineRule="atLeast"/>
        <w:rPr>
          <w:rFonts w:hint="eastAsia" w:asciiTheme="minorEastAsia" w:hAnsiTheme="minorEastAsia" w:eastAsiaTheme="minorEastAsia"/>
          <w:bCs/>
          <w:sz w:val="24"/>
        </w:rPr>
      </w:pPr>
      <w:r>
        <w:rPr>
          <w:rFonts w:hint="eastAsia" w:asciiTheme="minorEastAsia" w:hAnsiTheme="minorEastAsia" w:eastAsiaTheme="minorEastAsia"/>
          <w:bCs/>
          <w:sz w:val="24"/>
        </w:rPr>
        <w:t>注：1、采购规格按采购文件采购需求填写。</w:t>
      </w:r>
    </w:p>
    <w:p w14:paraId="2E68C93E">
      <w:pPr>
        <w:spacing w:line="560" w:lineRule="atLeast"/>
        <w:rPr>
          <w:rFonts w:hint="eastAsia" w:asciiTheme="minorEastAsia" w:hAnsiTheme="minorEastAsia" w:eastAsiaTheme="minorEastAsia"/>
          <w:bCs/>
          <w:sz w:val="24"/>
        </w:rPr>
      </w:pPr>
      <w:r>
        <w:rPr>
          <w:rFonts w:hint="eastAsia" w:asciiTheme="minorEastAsia" w:hAnsiTheme="minorEastAsia" w:eastAsiaTheme="minorEastAsia"/>
          <w:bCs/>
          <w:sz w:val="24"/>
        </w:rPr>
        <w:t>2、响应规格按所投产品规格填写。不接受有选择性的参数。</w:t>
      </w:r>
    </w:p>
    <w:p w14:paraId="0C329918">
      <w:pPr>
        <w:topLinePunct/>
        <w:snapToGrid w:val="0"/>
        <w:spacing w:line="560" w:lineRule="atLeast"/>
        <w:rPr>
          <w:rFonts w:hint="eastAsia" w:cs="仿宋" w:asciiTheme="minorEastAsia" w:hAnsiTheme="minorEastAsia" w:eastAsiaTheme="minorEastAsia"/>
          <w:bCs/>
          <w:sz w:val="24"/>
        </w:rPr>
      </w:pPr>
    </w:p>
    <w:p w14:paraId="77852A62">
      <w:pPr>
        <w:topLinePunct/>
        <w:snapToGrid w:val="0"/>
        <w:spacing w:line="560" w:lineRule="atLeast"/>
        <w:rPr>
          <w:rFonts w:hint="eastAsia" w:cs="仿宋" w:asciiTheme="minorEastAsia" w:hAnsiTheme="minorEastAsia" w:eastAsiaTheme="minorEastAsia"/>
          <w:bCs/>
          <w:sz w:val="24"/>
          <w:u w:val="single"/>
        </w:rPr>
      </w:pPr>
      <w:r>
        <w:rPr>
          <w:rFonts w:hint="eastAsia" w:cs="仿宋" w:asciiTheme="minorEastAsia" w:hAnsiTheme="minorEastAsia" w:eastAsiaTheme="minorEastAsia"/>
          <w:bCs/>
          <w:sz w:val="24"/>
        </w:rPr>
        <w:t>投标人名称（盖章）：</w:t>
      </w:r>
    </w:p>
    <w:p w14:paraId="565020B1">
      <w:pPr>
        <w:topLinePunct/>
        <w:snapToGrid w:val="0"/>
        <w:spacing w:before="4" w:line="560" w:lineRule="atLeast"/>
        <w:rPr>
          <w:rFonts w:hint="eastAsia" w:cs="仿宋" w:asciiTheme="minorEastAsia" w:hAnsiTheme="minorEastAsia" w:eastAsiaTheme="minorEastAsia"/>
          <w:bCs/>
          <w:sz w:val="24"/>
        </w:rPr>
      </w:pPr>
    </w:p>
    <w:p w14:paraId="4F11D6B8">
      <w:pPr>
        <w:topLinePunct/>
        <w:snapToGrid w:val="0"/>
        <w:spacing w:before="4" w:line="560" w:lineRule="atLeast"/>
        <w:rPr>
          <w:rFonts w:hint="eastAsia" w:cs="仿宋" w:asciiTheme="minorEastAsia" w:hAnsiTheme="minorEastAsia" w:eastAsiaTheme="minorEastAsia"/>
          <w:bCs/>
          <w:sz w:val="24"/>
        </w:rPr>
      </w:pPr>
      <w:r>
        <w:rPr>
          <w:rFonts w:hint="eastAsia" w:cs="仿宋" w:asciiTheme="minorEastAsia" w:hAnsiTheme="minorEastAsia" w:eastAsiaTheme="minorEastAsia"/>
          <w:bCs/>
          <w:sz w:val="24"/>
        </w:rPr>
        <w:t>法定代表人或授权代表（签字或盖章）</w:t>
      </w:r>
    </w:p>
    <w:p w14:paraId="3F49DB00">
      <w:pPr>
        <w:spacing w:line="560" w:lineRule="atLeast"/>
        <w:rPr>
          <w:rFonts w:hint="eastAsia" w:asciiTheme="minorEastAsia" w:hAnsiTheme="minorEastAsia" w:eastAsiaTheme="minorEastAsia"/>
          <w:bCs/>
          <w:sz w:val="24"/>
        </w:rPr>
      </w:pPr>
      <w:r>
        <w:rPr>
          <w:rFonts w:hint="eastAsia" w:asciiTheme="minorEastAsia" w:hAnsiTheme="minorEastAsia" w:eastAsiaTheme="minorEastAsia"/>
          <w:bCs/>
          <w:sz w:val="24"/>
        </w:rPr>
        <w:t>附件5</w:t>
      </w:r>
    </w:p>
    <w:p w14:paraId="3C292109">
      <w:pPr>
        <w:spacing w:line="560" w:lineRule="atLeast"/>
        <w:jc w:val="center"/>
        <w:rPr>
          <w:rFonts w:hint="eastAsia" w:asciiTheme="minorEastAsia" w:hAnsiTheme="minorEastAsia" w:eastAsiaTheme="minorEastAsia"/>
          <w:bCs/>
          <w:sz w:val="24"/>
        </w:rPr>
      </w:pPr>
      <w:bookmarkStart w:id="60" w:name="_Toc183588706"/>
      <w:r>
        <w:rPr>
          <w:rFonts w:hint="eastAsia" w:asciiTheme="minorEastAsia" w:hAnsiTheme="minorEastAsia" w:eastAsiaTheme="minorEastAsia"/>
          <w:bCs/>
          <w:sz w:val="24"/>
        </w:rPr>
        <w:t>法定表人授权书</w:t>
      </w:r>
      <w:bookmarkEnd w:id="60"/>
    </w:p>
    <w:p w14:paraId="7027FBE1">
      <w:pPr>
        <w:pStyle w:val="8"/>
        <w:spacing w:line="560" w:lineRule="atLeast"/>
        <w:ind w:firstLine="480"/>
        <w:rPr>
          <w:rFonts w:hint="eastAsia" w:asciiTheme="minorEastAsia" w:hAnsiTheme="minorEastAsia" w:eastAsiaTheme="minorEastAsia"/>
          <w:bCs/>
        </w:rPr>
      </w:pPr>
    </w:p>
    <w:p w14:paraId="2FA20F1B">
      <w:pPr>
        <w:pStyle w:val="22"/>
        <w:spacing w:line="560" w:lineRule="atLeast"/>
        <w:rPr>
          <w:rFonts w:hint="eastAsia" w:asciiTheme="minorEastAsia" w:hAnsiTheme="minorEastAsia" w:eastAsiaTheme="minorEastAsia"/>
          <w:bCs/>
          <w:szCs w:val="24"/>
        </w:rPr>
      </w:pPr>
      <w:r>
        <w:rPr>
          <w:rFonts w:hint="eastAsia" w:asciiTheme="minorEastAsia" w:hAnsiTheme="minorEastAsia" w:eastAsiaTheme="minorEastAsia"/>
          <w:bCs/>
          <w:szCs w:val="24"/>
        </w:rPr>
        <w:t xml:space="preserve">    本授权书声明：注册于</w:t>
      </w:r>
      <w:r>
        <w:rPr>
          <w:rFonts w:hint="eastAsia" w:asciiTheme="minorEastAsia" w:hAnsiTheme="minorEastAsia" w:eastAsiaTheme="minorEastAsia"/>
          <w:bCs/>
          <w:szCs w:val="24"/>
          <w:u w:val="single"/>
        </w:rPr>
        <w:t>（国家或地区的名称）</w:t>
      </w:r>
      <w:r>
        <w:rPr>
          <w:rFonts w:hint="eastAsia" w:asciiTheme="minorEastAsia" w:hAnsiTheme="minorEastAsia" w:eastAsiaTheme="minorEastAsia"/>
          <w:bCs/>
          <w:szCs w:val="24"/>
        </w:rPr>
        <w:t>的（</w:t>
      </w:r>
      <w:r>
        <w:rPr>
          <w:rFonts w:hint="eastAsia" w:asciiTheme="minorEastAsia" w:hAnsiTheme="minorEastAsia" w:eastAsiaTheme="minorEastAsia"/>
          <w:bCs/>
          <w:i/>
          <w:szCs w:val="24"/>
          <w:u w:val="single"/>
        </w:rPr>
        <w:t>公司名称</w:t>
      </w:r>
      <w:r>
        <w:rPr>
          <w:rFonts w:hint="eastAsia" w:asciiTheme="minorEastAsia" w:hAnsiTheme="minorEastAsia" w:eastAsiaTheme="minorEastAsia"/>
          <w:bCs/>
          <w:szCs w:val="24"/>
        </w:rPr>
        <w:t>）的在下面签字的（</w:t>
      </w:r>
      <w:r>
        <w:rPr>
          <w:rFonts w:hint="eastAsia" w:asciiTheme="minorEastAsia" w:hAnsiTheme="minorEastAsia" w:eastAsiaTheme="minorEastAsia"/>
          <w:bCs/>
          <w:i/>
          <w:szCs w:val="24"/>
          <w:u w:val="single"/>
        </w:rPr>
        <w:t>法人代表姓名、职务</w:t>
      </w:r>
      <w:r>
        <w:rPr>
          <w:rFonts w:hint="eastAsia" w:asciiTheme="minorEastAsia" w:hAnsiTheme="minorEastAsia" w:eastAsiaTheme="minorEastAsia"/>
          <w:bCs/>
          <w:szCs w:val="24"/>
        </w:rPr>
        <w:t>）代表本公司授权（</w:t>
      </w:r>
      <w:r>
        <w:rPr>
          <w:rFonts w:hint="eastAsia" w:asciiTheme="minorEastAsia" w:hAnsiTheme="minorEastAsia" w:eastAsiaTheme="minorEastAsia"/>
          <w:bCs/>
          <w:i/>
          <w:szCs w:val="24"/>
          <w:u w:val="single"/>
        </w:rPr>
        <w:t>单位名称</w:t>
      </w:r>
      <w:r>
        <w:rPr>
          <w:rFonts w:hint="eastAsia" w:asciiTheme="minorEastAsia" w:hAnsiTheme="minorEastAsia" w:eastAsiaTheme="minorEastAsia"/>
          <w:bCs/>
          <w:szCs w:val="24"/>
        </w:rPr>
        <w:t>）的在下面签字的（</w:t>
      </w:r>
      <w:r>
        <w:rPr>
          <w:rFonts w:hint="eastAsia" w:asciiTheme="minorEastAsia" w:hAnsiTheme="minorEastAsia" w:eastAsiaTheme="minorEastAsia"/>
          <w:bCs/>
          <w:i/>
          <w:szCs w:val="24"/>
          <w:u w:val="single"/>
        </w:rPr>
        <w:t>被授权人的姓名、职务</w:t>
      </w:r>
      <w:r>
        <w:rPr>
          <w:rFonts w:hint="eastAsia" w:asciiTheme="minorEastAsia" w:hAnsiTheme="minorEastAsia" w:eastAsiaTheme="minorEastAsia"/>
          <w:bCs/>
          <w:szCs w:val="24"/>
        </w:rPr>
        <w:t>）为本公司的合法代理人，就（</w:t>
      </w:r>
      <w:r>
        <w:rPr>
          <w:rFonts w:hint="eastAsia" w:asciiTheme="minorEastAsia" w:hAnsiTheme="minorEastAsia" w:eastAsiaTheme="minorEastAsia"/>
          <w:bCs/>
          <w:i/>
          <w:szCs w:val="24"/>
          <w:u w:val="single"/>
        </w:rPr>
        <w:t>项目名称</w:t>
      </w:r>
      <w:r>
        <w:rPr>
          <w:rFonts w:hint="eastAsia" w:asciiTheme="minorEastAsia" w:hAnsiTheme="minorEastAsia" w:eastAsiaTheme="minorEastAsia"/>
          <w:bCs/>
          <w:szCs w:val="24"/>
        </w:rPr>
        <w:t>）的投标，以本公司名义处理一切与之有关的事务。</w:t>
      </w:r>
      <w:r>
        <w:rPr>
          <w:rFonts w:hint="eastAsia" w:asciiTheme="minorEastAsia" w:hAnsiTheme="minorEastAsia" w:eastAsiaTheme="minorEastAsia"/>
          <w:bCs/>
          <w:szCs w:val="24"/>
        </w:rPr>
        <w:cr/>
      </w:r>
      <w:r>
        <w:rPr>
          <w:rFonts w:hint="eastAsia" w:asciiTheme="minorEastAsia" w:hAnsiTheme="minorEastAsia" w:eastAsiaTheme="minorEastAsia"/>
          <w:bCs/>
          <w:szCs w:val="24"/>
        </w:rPr>
        <w:t>　　</w:t>
      </w:r>
    </w:p>
    <w:p w14:paraId="448EB691">
      <w:pPr>
        <w:pStyle w:val="22"/>
        <w:tabs>
          <w:tab w:val="left" w:pos="5580"/>
        </w:tabs>
        <w:spacing w:line="560" w:lineRule="atLeast"/>
        <w:ind w:firstLine="480"/>
        <w:rPr>
          <w:rFonts w:hint="eastAsia" w:asciiTheme="minorEastAsia" w:hAnsiTheme="minorEastAsia" w:eastAsiaTheme="minorEastAsia"/>
          <w:bCs/>
          <w:szCs w:val="24"/>
        </w:rPr>
      </w:pPr>
      <w:r>
        <w:rPr>
          <w:rFonts w:hint="eastAsia" w:asciiTheme="minorEastAsia" w:hAnsiTheme="minorEastAsia" w:eastAsiaTheme="minorEastAsia"/>
          <w:bCs/>
          <w:szCs w:val="24"/>
        </w:rPr>
        <w:t>本授权书于__________年_____月______日签字生效,特此声明。</w:t>
      </w:r>
      <w:r>
        <w:rPr>
          <w:rFonts w:hint="eastAsia" w:asciiTheme="minorEastAsia" w:hAnsiTheme="minorEastAsia" w:eastAsiaTheme="minorEastAsia"/>
          <w:bCs/>
          <w:szCs w:val="24"/>
        </w:rPr>
        <w:cr/>
      </w:r>
      <w:r>
        <w:rPr>
          <w:rFonts w:hint="eastAsia" w:asciiTheme="minorEastAsia" w:hAnsiTheme="minorEastAsia" w:eastAsiaTheme="minorEastAsia"/>
          <w:bCs/>
          <w:szCs w:val="24"/>
        </w:rPr>
        <w:t>法定代表人签字或盖章_______________________________</w:t>
      </w:r>
    </w:p>
    <w:p w14:paraId="18A33DB7">
      <w:pPr>
        <w:pStyle w:val="22"/>
        <w:tabs>
          <w:tab w:val="left" w:pos="5580"/>
        </w:tabs>
        <w:spacing w:line="560" w:lineRule="atLeast"/>
        <w:rPr>
          <w:rFonts w:hint="eastAsia" w:asciiTheme="minorEastAsia" w:hAnsiTheme="minorEastAsia" w:eastAsiaTheme="minorEastAsia"/>
          <w:bCs/>
          <w:szCs w:val="24"/>
        </w:rPr>
      </w:pPr>
      <w:r>
        <w:rPr>
          <w:rFonts w:hint="eastAsia" w:asciiTheme="minorEastAsia" w:hAnsiTheme="minorEastAsia" w:eastAsiaTheme="minorEastAsia"/>
          <w:bCs/>
          <w:szCs w:val="24"/>
        </w:rPr>
        <w:cr/>
      </w:r>
      <w:r>
        <w:rPr>
          <w:rFonts w:hint="eastAsia" w:asciiTheme="minorEastAsia" w:hAnsiTheme="minorEastAsia" w:eastAsiaTheme="minorEastAsia"/>
          <w:bCs/>
          <w:szCs w:val="24"/>
        </w:rPr>
        <w:t>被授权人签字_______________________________</w:t>
      </w:r>
    </w:p>
    <w:p w14:paraId="6997E6EE">
      <w:pPr>
        <w:pStyle w:val="22"/>
        <w:tabs>
          <w:tab w:val="left" w:pos="5580"/>
        </w:tabs>
        <w:spacing w:line="560" w:lineRule="atLeast"/>
        <w:rPr>
          <w:rFonts w:hint="eastAsia" w:asciiTheme="minorEastAsia" w:hAnsiTheme="minorEastAsia" w:eastAsiaTheme="minorEastAsia"/>
          <w:bCs/>
          <w:szCs w:val="24"/>
        </w:rPr>
      </w:pPr>
      <w:r>
        <w:rPr>
          <w:rFonts w:hint="eastAsia" w:asciiTheme="minorEastAsia" w:hAnsiTheme="minorEastAsia" w:eastAsiaTheme="minorEastAsia"/>
          <w:bCs/>
          <w:szCs w:val="24"/>
        </w:rPr>
        <w:t xml:space="preserve">公司盖章：                                 </w:t>
      </w:r>
    </w:p>
    <w:p w14:paraId="44315A59">
      <w:pPr>
        <w:pStyle w:val="22"/>
        <w:tabs>
          <w:tab w:val="left" w:pos="5580"/>
        </w:tabs>
        <w:spacing w:line="560" w:lineRule="atLeast"/>
        <w:rPr>
          <w:rFonts w:hint="eastAsia" w:asciiTheme="minorEastAsia" w:hAnsiTheme="minorEastAsia" w:eastAsiaTheme="minorEastAsia"/>
          <w:bCs/>
          <w:szCs w:val="24"/>
        </w:rPr>
      </w:pPr>
      <w:r>
        <w:rPr>
          <w:rFonts w:hint="eastAsia" w:asciiTheme="minorEastAsia" w:hAnsiTheme="minorEastAsia" w:eastAsiaTheme="minorEastAsia"/>
          <w:bCs/>
          <w:szCs w:val="24"/>
        </w:rPr>
        <w:t>附：</w:t>
      </w:r>
    </w:p>
    <w:p w14:paraId="6F570DCF">
      <w:pPr>
        <w:pStyle w:val="22"/>
        <w:tabs>
          <w:tab w:val="left" w:pos="5580"/>
        </w:tabs>
        <w:spacing w:line="560" w:lineRule="atLeast"/>
        <w:rPr>
          <w:rFonts w:hint="eastAsia" w:asciiTheme="minorEastAsia" w:hAnsiTheme="minorEastAsia" w:eastAsiaTheme="minorEastAsia"/>
          <w:bCs/>
          <w:szCs w:val="24"/>
        </w:rPr>
      </w:pPr>
      <w:r>
        <w:rPr>
          <w:rFonts w:hint="eastAsia" w:asciiTheme="minorEastAsia" w:hAnsiTheme="minorEastAsia" w:eastAsiaTheme="minorEastAsia"/>
          <w:bCs/>
          <w:szCs w:val="24"/>
        </w:rPr>
        <w:t>被授权人姓名：</w:t>
      </w:r>
    </w:p>
    <w:p w14:paraId="52EC5929">
      <w:pPr>
        <w:pStyle w:val="22"/>
        <w:tabs>
          <w:tab w:val="left" w:pos="5580"/>
        </w:tabs>
        <w:spacing w:line="560" w:lineRule="atLeast"/>
        <w:rPr>
          <w:rFonts w:hint="eastAsia" w:asciiTheme="minorEastAsia" w:hAnsiTheme="minorEastAsia" w:eastAsiaTheme="minorEastAsia"/>
          <w:bCs/>
          <w:szCs w:val="24"/>
        </w:rPr>
      </w:pPr>
      <w:r>
        <w:rPr>
          <w:rFonts w:hint="eastAsia" w:asciiTheme="minorEastAsia" w:hAnsiTheme="minorEastAsia" w:eastAsiaTheme="minorEastAsia"/>
          <w:bCs/>
          <w:szCs w:val="24"/>
        </w:rPr>
        <w:t>职　　　　务：</w:t>
      </w:r>
    </w:p>
    <w:p w14:paraId="1FF4A028">
      <w:pPr>
        <w:pStyle w:val="22"/>
        <w:tabs>
          <w:tab w:val="left" w:pos="5580"/>
        </w:tabs>
        <w:spacing w:line="560" w:lineRule="atLeast"/>
        <w:rPr>
          <w:rFonts w:hint="eastAsia" w:asciiTheme="minorEastAsia" w:hAnsiTheme="minorEastAsia" w:eastAsiaTheme="minorEastAsia"/>
          <w:bCs/>
          <w:szCs w:val="24"/>
        </w:rPr>
      </w:pPr>
      <w:r>
        <w:rPr>
          <w:rFonts w:hint="eastAsia" w:asciiTheme="minorEastAsia" w:hAnsiTheme="minorEastAsia" w:eastAsiaTheme="minorEastAsia"/>
          <w:bCs/>
          <w:szCs w:val="24"/>
        </w:rPr>
        <w:t>详细通讯地址：</w:t>
      </w:r>
    </w:p>
    <w:p w14:paraId="52D0FB1E">
      <w:pPr>
        <w:pStyle w:val="22"/>
        <w:tabs>
          <w:tab w:val="left" w:pos="5580"/>
        </w:tabs>
        <w:spacing w:line="560" w:lineRule="atLeast"/>
        <w:rPr>
          <w:rFonts w:hint="eastAsia" w:asciiTheme="minorEastAsia" w:hAnsiTheme="minorEastAsia" w:eastAsiaTheme="minorEastAsia"/>
          <w:bCs/>
          <w:szCs w:val="24"/>
        </w:rPr>
      </w:pPr>
      <w:r>
        <w:rPr>
          <w:rFonts w:hint="eastAsia" w:asciiTheme="minorEastAsia" w:hAnsiTheme="minorEastAsia" w:eastAsiaTheme="minorEastAsia"/>
          <w:bCs/>
          <w:szCs w:val="24"/>
        </w:rPr>
        <w:t>邮政编码　　：</w:t>
      </w:r>
    </w:p>
    <w:p w14:paraId="3BAE7C1F">
      <w:pPr>
        <w:pStyle w:val="22"/>
        <w:tabs>
          <w:tab w:val="left" w:pos="5580"/>
        </w:tabs>
        <w:spacing w:line="560" w:lineRule="atLeast"/>
        <w:rPr>
          <w:rFonts w:hint="eastAsia" w:asciiTheme="minorEastAsia" w:hAnsiTheme="minorEastAsia" w:eastAsiaTheme="minorEastAsia"/>
          <w:bCs/>
          <w:szCs w:val="24"/>
        </w:rPr>
      </w:pPr>
      <w:r>
        <w:rPr>
          <w:rFonts w:hint="eastAsia" w:asciiTheme="minorEastAsia" w:hAnsiTheme="minorEastAsia" w:eastAsiaTheme="minorEastAsia"/>
          <w:bCs/>
          <w:szCs w:val="24"/>
        </w:rPr>
        <w:t>传　　　　真：</w:t>
      </w:r>
    </w:p>
    <w:p w14:paraId="425DBD47">
      <w:pPr>
        <w:pStyle w:val="22"/>
        <w:tabs>
          <w:tab w:val="left" w:pos="5580"/>
        </w:tabs>
        <w:spacing w:line="560" w:lineRule="atLeast"/>
        <w:rPr>
          <w:rFonts w:hint="eastAsia" w:asciiTheme="minorEastAsia" w:hAnsiTheme="minorEastAsia" w:eastAsiaTheme="minorEastAsia"/>
          <w:bCs/>
          <w:szCs w:val="24"/>
        </w:rPr>
      </w:pPr>
      <w:r>
        <w:rPr>
          <w:rFonts w:hint="eastAsia" w:asciiTheme="minorEastAsia" w:hAnsiTheme="minorEastAsia" w:eastAsiaTheme="minorEastAsia"/>
          <w:bCs/>
          <w:szCs w:val="24"/>
        </w:rPr>
        <w:t>电　　　　话：</w:t>
      </w:r>
    </w:p>
    <w:tbl>
      <w:tblPr>
        <w:tblStyle w:val="40"/>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64F3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6461B014">
            <w:pPr>
              <w:spacing w:line="560" w:lineRule="atLeast"/>
              <w:jc w:val="center"/>
              <w:rPr>
                <w:rFonts w:hint="eastAsia" w:asciiTheme="minorEastAsia" w:hAnsiTheme="minorEastAsia" w:eastAsiaTheme="minorEastAsia"/>
                <w:bCs/>
                <w:sz w:val="24"/>
              </w:rPr>
            </w:pPr>
            <w:r>
              <w:rPr>
                <w:rFonts w:hint="eastAsia" w:asciiTheme="minorEastAsia" w:hAnsiTheme="minorEastAsia" w:eastAsiaTheme="minorEastAsia"/>
                <w:bCs/>
                <w:sz w:val="24"/>
              </w:rPr>
              <w:t>粘贴</w:t>
            </w:r>
          </w:p>
          <w:p w14:paraId="7A9C0F32">
            <w:pPr>
              <w:spacing w:line="560" w:lineRule="atLeast"/>
              <w:jc w:val="center"/>
              <w:rPr>
                <w:rFonts w:hint="eastAsia" w:asciiTheme="minorEastAsia" w:hAnsiTheme="minorEastAsia" w:eastAsiaTheme="minorEastAsia"/>
                <w:bCs/>
                <w:sz w:val="24"/>
              </w:rPr>
            </w:pPr>
            <w:r>
              <w:rPr>
                <w:rFonts w:hint="eastAsia" w:asciiTheme="minorEastAsia" w:hAnsiTheme="minorEastAsia" w:eastAsiaTheme="minorEastAsia"/>
                <w:bCs/>
                <w:sz w:val="24"/>
              </w:rPr>
              <w:t>法人及投标方代表身份证复印件</w:t>
            </w:r>
          </w:p>
        </w:tc>
      </w:tr>
    </w:tbl>
    <w:p w14:paraId="602C6BFC">
      <w:pPr>
        <w:spacing w:before="240" w:line="560" w:lineRule="atLeast"/>
        <w:rPr>
          <w:rFonts w:hint="eastAsia" w:asciiTheme="minorEastAsia" w:hAnsiTheme="minorEastAsia" w:eastAsiaTheme="minorEastAsia"/>
          <w:bCs/>
          <w:sz w:val="24"/>
        </w:rPr>
      </w:pPr>
    </w:p>
    <w:p w14:paraId="22184D1A">
      <w:pPr>
        <w:spacing w:before="240" w:line="560" w:lineRule="atLeast"/>
        <w:rPr>
          <w:rFonts w:hint="eastAsia" w:asciiTheme="minorEastAsia" w:hAnsiTheme="minorEastAsia" w:eastAsiaTheme="minorEastAsia"/>
          <w:bCs/>
          <w:sz w:val="24"/>
        </w:rPr>
      </w:pPr>
    </w:p>
    <w:p w14:paraId="5708266F">
      <w:pPr>
        <w:spacing w:before="240" w:line="560" w:lineRule="atLeast"/>
        <w:rPr>
          <w:rFonts w:hint="eastAsia" w:asciiTheme="minorEastAsia" w:hAnsiTheme="minorEastAsia" w:eastAsiaTheme="minorEastAsia"/>
          <w:bCs/>
          <w:sz w:val="24"/>
        </w:rPr>
      </w:pPr>
    </w:p>
    <w:p w14:paraId="37CD472B">
      <w:pPr>
        <w:adjustRightInd w:val="0"/>
        <w:snapToGrid w:val="0"/>
        <w:spacing w:line="560" w:lineRule="atLeast"/>
        <w:jc w:val="left"/>
        <w:rPr>
          <w:rFonts w:hint="eastAsia" w:cs="宋体" w:asciiTheme="minorEastAsia" w:hAnsiTheme="minorEastAsia" w:eastAsiaTheme="minorEastAsia"/>
          <w:bCs/>
          <w:kern w:val="0"/>
          <w:sz w:val="24"/>
        </w:rPr>
      </w:pPr>
      <w:bookmarkStart w:id="61" w:name="_Ref467988543"/>
      <w:bookmarkStart w:id="62" w:name="_Toc480942355"/>
      <w:bookmarkStart w:id="63" w:name="_Toc520356224"/>
      <w:bookmarkStart w:id="64" w:name="_Toc183588702"/>
      <w:r>
        <w:rPr>
          <w:rFonts w:hint="eastAsia" w:cs="宋体" w:asciiTheme="minorEastAsia" w:hAnsiTheme="minorEastAsia" w:eastAsiaTheme="minorEastAsia"/>
          <w:bCs/>
          <w:kern w:val="0"/>
          <w:sz w:val="24"/>
        </w:rPr>
        <w:t>附件6 资格证明文件（格式</w:t>
      </w:r>
      <w:bookmarkEnd w:id="61"/>
      <w:bookmarkEnd w:id="62"/>
      <w:bookmarkEnd w:id="63"/>
      <w:r>
        <w:rPr>
          <w:rFonts w:hint="eastAsia" w:cs="宋体" w:asciiTheme="minorEastAsia" w:hAnsiTheme="minorEastAsia" w:eastAsiaTheme="minorEastAsia"/>
          <w:bCs/>
          <w:kern w:val="0"/>
          <w:sz w:val="24"/>
        </w:rPr>
        <w:t>）</w:t>
      </w:r>
      <w:bookmarkEnd w:id="64"/>
      <w:r>
        <w:rPr>
          <w:rFonts w:asciiTheme="minorEastAsia" w:hAnsiTheme="minorEastAsia" w:eastAsiaTheme="minorEastAsia"/>
          <w:bCs/>
        </w:rPr>
        <w:cr/>
      </w:r>
      <w:r>
        <w:rPr>
          <w:rFonts w:hint="eastAsia" w:asciiTheme="minorEastAsia" w:hAnsiTheme="minorEastAsia" w:eastAsiaTheme="minorEastAsia"/>
          <w:bCs/>
          <w:lang w:val="en-US" w:eastAsia="zh-CN"/>
        </w:rPr>
        <w:t>6</w:t>
      </w:r>
      <w:r>
        <w:rPr>
          <w:rFonts w:hint="eastAsia" w:asciiTheme="minorEastAsia" w:hAnsiTheme="minorEastAsia" w:eastAsiaTheme="minorEastAsia"/>
          <w:bCs/>
        </w:rPr>
        <w:t>.</w:t>
      </w:r>
      <w:r>
        <w:rPr>
          <w:rFonts w:hint="eastAsia" w:cs="宋体" w:asciiTheme="minorEastAsia" w:hAnsiTheme="minorEastAsia" w:eastAsiaTheme="minorEastAsia"/>
          <w:bCs/>
          <w:kern w:val="0"/>
          <w:sz w:val="24"/>
        </w:rPr>
        <w:t>1中华人民共和国境内注册、具有独立承担民事责任的能力（提供营业执照或事业单位法人证书）。</w:t>
      </w:r>
    </w:p>
    <w:p w14:paraId="21D4C6AE">
      <w:pPr>
        <w:adjustRightInd w:val="0"/>
        <w:snapToGrid w:val="0"/>
        <w:spacing w:line="560" w:lineRule="atLeast"/>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lang w:val="en-US" w:eastAsia="zh-CN"/>
        </w:rPr>
        <w:t>6</w:t>
      </w:r>
      <w:r>
        <w:rPr>
          <w:rFonts w:hint="eastAsia" w:cs="宋体" w:asciiTheme="minorEastAsia" w:hAnsiTheme="minorEastAsia" w:eastAsiaTheme="minorEastAsia"/>
          <w:bCs/>
          <w:kern w:val="0"/>
          <w:sz w:val="24"/>
        </w:rPr>
        <w:t>.2具备《中华人民共和国政府采购法》第二十二条规定条件的承诺书。</w:t>
      </w:r>
    </w:p>
    <w:p w14:paraId="33142A12">
      <w:pPr>
        <w:adjustRightInd w:val="0"/>
        <w:snapToGrid w:val="0"/>
        <w:spacing w:line="560" w:lineRule="atLeast"/>
        <w:rPr>
          <w:rFonts w:hint="eastAsia" w:asciiTheme="minorEastAsia" w:hAnsiTheme="minorEastAsia" w:eastAsiaTheme="minorEastAsia"/>
          <w:bCs/>
          <w:sz w:val="24"/>
        </w:rPr>
      </w:pPr>
    </w:p>
    <w:p w14:paraId="73EF40D5">
      <w:pPr>
        <w:adjustRightInd w:val="0"/>
        <w:snapToGrid w:val="0"/>
        <w:spacing w:line="560" w:lineRule="atLeast"/>
        <w:rPr>
          <w:rFonts w:hint="eastAsia" w:asciiTheme="minorEastAsia" w:hAnsiTheme="minorEastAsia" w:eastAsiaTheme="minorEastAsia"/>
          <w:bCs/>
          <w:sz w:val="24"/>
        </w:rPr>
      </w:pPr>
    </w:p>
    <w:p w14:paraId="0AC220E0">
      <w:pPr>
        <w:adjustRightInd w:val="0"/>
        <w:snapToGrid w:val="0"/>
        <w:spacing w:line="560" w:lineRule="atLeast"/>
        <w:ind w:firstLine="720" w:firstLineChars="300"/>
        <w:rPr>
          <w:rFonts w:hint="eastAsia" w:asciiTheme="minorEastAsia" w:hAnsiTheme="minorEastAsia" w:eastAsiaTheme="minorEastAsia"/>
          <w:bCs/>
          <w:sz w:val="24"/>
        </w:rPr>
      </w:pPr>
      <w:r>
        <w:rPr>
          <w:rFonts w:hint="eastAsia" w:asciiTheme="minorEastAsia" w:hAnsiTheme="minorEastAsia" w:eastAsiaTheme="minorEastAsia"/>
          <w:bCs/>
          <w:sz w:val="24"/>
        </w:rPr>
        <w:t>具备《中华人民共和国政府采购法》第二十二条规定条件的承诺书</w:t>
      </w:r>
    </w:p>
    <w:p w14:paraId="20A8388C">
      <w:pPr>
        <w:spacing w:line="560" w:lineRule="atLeast"/>
        <w:rPr>
          <w:rFonts w:hint="eastAsia" w:cs="仿宋" w:asciiTheme="minorEastAsia" w:hAnsiTheme="minorEastAsia" w:eastAsiaTheme="minorEastAsia"/>
          <w:bCs/>
          <w:sz w:val="24"/>
        </w:rPr>
      </w:pPr>
      <w:r>
        <w:rPr>
          <w:rFonts w:hint="eastAsia" w:cs="仿宋" w:asciiTheme="minorEastAsia" w:hAnsiTheme="minorEastAsia" w:eastAsiaTheme="minorEastAsia"/>
          <w:bCs/>
          <w:sz w:val="24"/>
        </w:rPr>
        <w:t>致：海南省教学仪器设备招标中心有限公司</w:t>
      </w:r>
    </w:p>
    <w:p w14:paraId="192E31C2">
      <w:pPr>
        <w:spacing w:line="560" w:lineRule="atLeast"/>
        <w:ind w:firstLine="480" w:firstLineChars="200"/>
        <w:rPr>
          <w:rFonts w:hint="eastAsia" w:cs="仿宋" w:asciiTheme="minorEastAsia" w:hAnsiTheme="minorEastAsia" w:eastAsiaTheme="minorEastAsia"/>
          <w:bCs/>
          <w:sz w:val="24"/>
        </w:rPr>
      </w:pPr>
      <w:r>
        <w:rPr>
          <w:rFonts w:hint="eastAsia" w:cs="仿宋" w:asciiTheme="minorEastAsia" w:hAnsiTheme="minorEastAsia" w:eastAsiaTheme="minorEastAsia"/>
          <w:bCs/>
          <w:sz w:val="24"/>
        </w:rPr>
        <w:t xml:space="preserve">本公司作为参加本次（项目编号为：）的投标人，现郑重承诺具备以下条件（《中华人民共和国政府采购法》第二十二条）： </w:t>
      </w:r>
    </w:p>
    <w:p w14:paraId="5DF56590">
      <w:pPr>
        <w:numPr>
          <w:ilvl w:val="0"/>
          <w:numId w:val="10"/>
        </w:numPr>
        <w:spacing w:line="560" w:lineRule="atLeast"/>
        <w:ind w:firstLine="480"/>
        <w:rPr>
          <w:rFonts w:hint="eastAsia" w:cs="仿宋" w:asciiTheme="minorEastAsia" w:hAnsiTheme="minorEastAsia" w:eastAsiaTheme="minorEastAsia"/>
          <w:bCs/>
          <w:sz w:val="24"/>
        </w:rPr>
      </w:pPr>
      <w:r>
        <w:rPr>
          <w:rFonts w:hint="eastAsia" w:cs="仿宋" w:asciiTheme="minorEastAsia" w:hAnsiTheme="minorEastAsia" w:eastAsiaTheme="minorEastAsia"/>
          <w:bCs/>
          <w:sz w:val="24"/>
        </w:rPr>
        <w:t xml:space="preserve">具有独立承担民事责任的能力； </w:t>
      </w:r>
    </w:p>
    <w:p w14:paraId="72757FEA">
      <w:pPr>
        <w:numPr>
          <w:ilvl w:val="0"/>
          <w:numId w:val="10"/>
        </w:numPr>
        <w:spacing w:line="560" w:lineRule="atLeast"/>
        <w:ind w:firstLine="480"/>
        <w:rPr>
          <w:rFonts w:hint="eastAsia" w:cs="仿宋" w:asciiTheme="minorEastAsia" w:hAnsiTheme="minorEastAsia" w:eastAsiaTheme="minorEastAsia"/>
          <w:bCs/>
          <w:sz w:val="24"/>
        </w:rPr>
      </w:pPr>
      <w:r>
        <w:rPr>
          <w:rFonts w:hint="eastAsia" w:cs="仿宋" w:asciiTheme="minorEastAsia" w:hAnsiTheme="minorEastAsia" w:eastAsiaTheme="minorEastAsia"/>
          <w:bCs/>
          <w:sz w:val="24"/>
        </w:rPr>
        <w:t xml:space="preserve">具有良好的商业信誉和健全的财务会计制度； </w:t>
      </w:r>
    </w:p>
    <w:p w14:paraId="546C965C">
      <w:pPr>
        <w:numPr>
          <w:ilvl w:val="0"/>
          <w:numId w:val="10"/>
        </w:numPr>
        <w:spacing w:line="560" w:lineRule="atLeast"/>
        <w:ind w:firstLine="480"/>
        <w:rPr>
          <w:rFonts w:hint="eastAsia" w:cs="仿宋" w:asciiTheme="minorEastAsia" w:hAnsiTheme="minorEastAsia" w:eastAsiaTheme="minorEastAsia"/>
          <w:bCs/>
          <w:sz w:val="24"/>
        </w:rPr>
      </w:pPr>
      <w:r>
        <w:rPr>
          <w:rFonts w:hint="eastAsia" w:cs="仿宋" w:asciiTheme="minorEastAsia" w:hAnsiTheme="minorEastAsia" w:eastAsiaTheme="minorEastAsia"/>
          <w:bCs/>
          <w:sz w:val="24"/>
        </w:rPr>
        <w:t xml:space="preserve">具有履行合同所必需的设备和专业技术能力； </w:t>
      </w:r>
    </w:p>
    <w:p w14:paraId="723703B4">
      <w:pPr>
        <w:numPr>
          <w:ilvl w:val="0"/>
          <w:numId w:val="10"/>
        </w:numPr>
        <w:spacing w:line="560" w:lineRule="atLeast"/>
        <w:ind w:firstLine="480"/>
        <w:rPr>
          <w:rFonts w:hint="eastAsia" w:cs="仿宋" w:asciiTheme="minorEastAsia" w:hAnsiTheme="minorEastAsia" w:eastAsiaTheme="minorEastAsia"/>
          <w:bCs/>
          <w:sz w:val="24"/>
        </w:rPr>
      </w:pPr>
      <w:r>
        <w:rPr>
          <w:rFonts w:hint="eastAsia" w:cs="仿宋" w:asciiTheme="minorEastAsia" w:hAnsiTheme="minorEastAsia" w:eastAsiaTheme="minorEastAsia"/>
          <w:bCs/>
          <w:sz w:val="24"/>
        </w:rPr>
        <w:t xml:space="preserve">具有依法缴纳税收和社会保障资金的良好记录； </w:t>
      </w:r>
    </w:p>
    <w:p w14:paraId="0C7CF980">
      <w:pPr>
        <w:numPr>
          <w:ilvl w:val="0"/>
          <w:numId w:val="10"/>
        </w:numPr>
        <w:spacing w:line="560" w:lineRule="atLeast"/>
        <w:ind w:firstLine="480"/>
        <w:rPr>
          <w:rFonts w:hint="eastAsia" w:cs="仿宋" w:asciiTheme="minorEastAsia" w:hAnsiTheme="minorEastAsia" w:eastAsiaTheme="minorEastAsia"/>
          <w:bCs/>
          <w:sz w:val="24"/>
        </w:rPr>
      </w:pPr>
      <w:r>
        <w:rPr>
          <w:rFonts w:hint="eastAsia" w:cs="仿宋" w:asciiTheme="minorEastAsia" w:hAnsiTheme="minorEastAsia" w:eastAsiaTheme="minorEastAsia"/>
          <w:bCs/>
          <w:sz w:val="24"/>
        </w:rPr>
        <w:t>参加本次政府采购活动前三年内，在经营活动中没有重大违法违规记录及</w:t>
      </w:r>
      <w:r>
        <w:rPr>
          <w:rFonts w:hint="eastAsia" w:cs="宋体" w:asciiTheme="minorEastAsia" w:hAnsiTheme="minorEastAsia" w:eastAsiaTheme="minorEastAsia"/>
          <w:bCs/>
          <w:kern w:val="0"/>
          <w:sz w:val="24"/>
        </w:rPr>
        <w:t>环保类行政处罚记录</w:t>
      </w:r>
      <w:r>
        <w:rPr>
          <w:rFonts w:hint="eastAsia" w:cs="仿宋" w:asciiTheme="minorEastAsia" w:hAnsiTheme="minorEastAsia" w:eastAsiaTheme="minorEastAsia"/>
          <w:bCs/>
          <w:sz w:val="24"/>
        </w:rPr>
        <w:t>；（成立不足三年的从成立之日起计算，提供声明函）</w:t>
      </w:r>
    </w:p>
    <w:p w14:paraId="6BA879E3">
      <w:pPr>
        <w:numPr>
          <w:ilvl w:val="0"/>
          <w:numId w:val="10"/>
        </w:numPr>
        <w:spacing w:line="560" w:lineRule="atLeast"/>
        <w:ind w:firstLine="480"/>
        <w:rPr>
          <w:rFonts w:hint="eastAsia" w:cs="仿宋" w:asciiTheme="minorEastAsia" w:hAnsiTheme="minorEastAsia" w:eastAsiaTheme="minorEastAsia"/>
          <w:bCs/>
          <w:sz w:val="24"/>
        </w:rPr>
      </w:pPr>
      <w:r>
        <w:rPr>
          <w:rFonts w:hint="eastAsia" w:cs="仿宋" w:asciiTheme="minorEastAsia" w:hAnsiTheme="minorEastAsia" w:eastAsiaTheme="minorEastAsia"/>
          <w:bCs/>
          <w:sz w:val="24"/>
        </w:rPr>
        <w:t xml:space="preserve">法律、行政法规规定的其他条件。 </w:t>
      </w:r>
    </w:p>
    <w:p w14:paraId="7204623E">
      <w:pPr>
        <w:spacing w:line="560" w:lineRule="atLeast"/>
        <w:ind w:firstLine="480" w:firstLineChars="200"/>
        <w:rPr>
          <w:rFonts w:hint="eastAsia" w:cs="仿宋" w:asciiTheme="minorEastAsia" w:hAnsiTheme="minorEastAsia" w:eastAsiaTheme="minorEastAsia"/>
          <w:bCs/>
          <w:sz w:val="24"/>
        </w:rPr>
      </w:pPr>
      <w:r>
        <w:rPr>
          <w:rFonts w:hint="eastAsia" w:cs="仿宋" w:asciiTheme="minorEastAsia" w:hAnsiTheme="minorEastAsia" w:eastAsiaTheme="minorEastAsia"/>
          <w:bCs/>
          <w:sz w:val="24"/>
        </w:rPr>
        <w:t>本公司对上述承诺的真实性负责。如有虚假，将依法承担相应责任。</w:t>
      </w:r>
    </w:p>
    <w:p w14:paraId="0DC26A5F">
      <w:pPr>
        <w:spacing w:line="560" w:lineRule="atLeast"/>
        <w:ind w:firstLine="480" w:firstLineChars="200"/>
        <w:rPr>
          <w:rFonts w:hint="eastAsia" w:cs="仿宋" w:asciiTheme="minorEastAsia" w:hAnsiTheme="minorEastAsia" w:eastAsiaTheme="minorEastAsia"/>
          <w:bCs/>
        </w:rPr>
      </w:pPr>
      <w:r>
        <w:rPr>
          <w:rFonts w:hint="eastAsia" w:cs="仿宋" w:asciiTheme="minorEastAsia" w:hAnsiTheme="minorEastAsia" w:eastAsiaTheme="minorEastAsia"/>
          <w:bCs/>
          <w:sz w:val="24"/>
        </w:rPr>
        <w:t>特此承诺。</w:t>
      </w:r>
    </w:p>
    <w:p w14:paraId="7572ED53">
      <w:pPr>
        <w:shd w:val="clear" w:color="auto" w:fill="FFFFFF"/>
        <w:snapToGrid w:val="0"/>
        <w:spacing w:line="560" w:lineRule="atLeast"/>
        <w:ind w:firstLine="480" w:firstLineChars="200"/>
        <w:rPr>
          <w:rFonts w:hint="eastAsia" w:cs="仿宋" w:asciiTheme="minorEastAsia" w:hAnsiTheme="minorEastAsia" w:eastAsiaTheme="minorEastAsia"/>
          <w:bCs/>
          <w:sz w:val="24"/>
        </w:rPr>
      </w:pPr>
    </w:p>
    <w:p w14:paraId="352D1C48">
      <w:pPr>
        <w:shd w:val="clear" w:color="auto" w:fill="FFFFFF"/>
        <w:snapToGrid w:val="0"/>
        <w:spacing w:line="560" w:lineRule="atLeast"/>
        <w:ind w:firstLine="480" w:firstLineChars="200"/>
        <w:rPr>
          <w:rFonts w:hint="eastAsia" w:cs="仿宋" w:asciiTheme="minorEastAsia" w:hAnsiTheme="minorEastAsia" w:eastAsiaTheme="minorEastAsia"/>
          <w:bCs/>
          <w:sz w:val="24"/>
          <w:u w:val="single"/>
        </w:rPr>
      </w:pPr>
      <w:r>
        <w:rPr>
          <w:rFonts w:hint="eastAsia" w:cs="仿宋" w:asciiTheme="minorEastAsia" w:hAnsiTheme="minorEastAsia" w:eastAsiaTheme="minorEastAsia"/>
          <w:bCs/>
          <w:sz w:val="24"/>
        </w:rPr>
        <w:t>投标人名称：</w:t>
      </w:r>
      <w:r>
        <w:rPr>
          <w:rFonts w:hint="eastAsia" w:cs="仿宋" w:asciiTheme="minorEastAsia" w:hAnsiTheme="minorEastAsia" w:eastAsiaTheme="minorEastAsia"/>
          <w:bCs/>
          <w:sz w:val="24"/>
          <w:u w:val="single"/>
        </w:rPr>
        <w:t xml:space="preserve">                 （盖章）</w:t>
      </w:r>
    </w:p>
    <w:p w14:paraId="5519F4B3">
      <w:pPr>
        <w:shd w:val="clear" w:color="auto" w:fill="FFFFFF"/>
        <w:snapToGrid w:val="0"/>
        <w:spacing w:line="560" w:lineRule="atLeast"/>
        <w:rPr>
          <w:rFonts w:hint="eastAsia" w:cs="仿宋" w:asciiTheme="minorEastAsia" w:hAnsiTheme="minorEastAsia" w:eastAsiaTheme="minorEastAsia"/>
          <w:bCs/>
          <w:sz w:val="24"/>
          <w:u w:val="single"/>
        </w:rPr>
      </w:pPr>
      <w:r>
        <w:rPr>
          <w:rFonts w:hint="eastAsia" w:cs="仿宋" w:asciiTheme="minorEastAsia" w:hAnsiTheme="minorEastAsia" w:eastAsiaTheme="minorEastAsia"/>
          <w:bCs/>
          <w:sz w:val="24"/>
        </w:rPr>
        <w:t xml:space="preserve">    授权代表：</w:t>
      </w:r>
      <w:r>
        <w:rPr>
          <w:rFonts w:hint="eastAsia" w:cs="仿宋" w:asciiTheme="minorEastAsia" w:hAnsiTheme="minorEastAsia" w:eastAsiaTheme="minorEastAsia"/>
          <w:bCs/>
          <w:sz w:val="24"/>
          <w:u w:val="single"/>
        </w:rPr>
        <w:t xml:space="preserve">             （签名或私章）</w:t>
      </w:r>
    </w:p>
    <w:p w14:paraId="6315BA03">
      <w:pPr>
        <w:shd w:val="clear" w:color="auto" w:fill="FFFFFF"/>
        <w:snapToGrid w:val="0"/>
        <w:spacing w:line="560" w:lineRule="atLeast"/>
        <w:rPr>
          <w:rFonts w:hint="eastAsia" w:cs="仿宋" w:asciiTheme="minorEastAsia" w:hAnsiTheme="minorEastAsia" w:eastAsiaTheme="minorEastAsia"/>
          <w:bCs/>
          <w:sz w:val="24"/>
          <w:u w:val="single"/>
        </w:rPr>
      </w:pPr>
      <w:r>
        <w:rPr>
          <w:rFonts w:hint="eastAsia" w:cs="仿宋" w:asciiTheme="minorEastAsia" w:hAnsiTheme="minorEastAsia" w:eastAsiaTheme="minorEastAsia"/>
          <w:bCs/>
          <w:sz w:val="24"/>
        </w:rPr>
        <w:t xml:space="preserve">    日期：</w:t>
      </w:r>
    </w:p>
    <w:p w14:paraId="130C0069">
      <w:pPr>
        <w:spacing w:line="560" w:lineRule="atLeast"/>
        <w:rPr>
          <w:rFonts w:hint="eastAsia" w:asciiTheme="minorEastAsia" w:hAnsiTheme="minorEastAsia" w:eastAsiaTheme="minorEastAsia"/>
          <w:bCs/>
        </w:rPr>
        <w:sectPr>
          <w:footerReference r:id="rId3" w:type="default"/>
          <w:pgSz w:w="11906" w:h="16838"/>
          <w:pgMar w:top="1440" w:right="1701" w:bottom="1440" w:left="1701" w:header="851" w:footer="992" w:gutter="0"/>
          <w:cols w:space="720" w:num="1"/>
          <w:docGrid w:type="lines" w:linePitch="312" w:charSpace="0"/>
        </w:sectPr>
      </w:pPr>
    </w:p>
    <w:p w14:paraId="5F8B1094">
      <w:pPr>
        <w:adjustRightInd w:val="0"/>
        <w:snapToGrid w:val="0"/>
        <w:spacing w:line="560" w:lineRule="atLeast"/>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lang w:val="en-US" w:eastAsia="zh-CN"/>
        </w:rPr>
        <w:t>6</w:t>
      </w:r>
      <w:r>
        <w:rPr>
          <w:rFonts w:hint="eastAsia" w:cs="宋体" w:asciiTheme="minorEastAsia" w:hAnsiTheme="minorEastAsia" w:eastAsiaTheme="minorEastAsia"/>
          <w:bCs/>
          <w:kern w:val="0"/>
          <w:sz w:val="24"/>
        </w:rPr>
        <w:t>.3按附件格式提供投标人投标承诺书。</w:t>
      </w:r>
    </w:p>
    <w:p w14:paraId="4EA78313">
      <w:pPr>
        <w:adjustRightInd w:val="0"/>
        <w:snapToGrid w:val="0"/>
        <w:spacing w:line="560" w:lineRule="atLeast"/>
        <w:jc w:val="center"/>
        <w:rPr>
          <w:rFonts w:hint="eastAsia" w:asciiTheme="minorEastAsia" w:hAnsiTheme="minorEastAsia" w:eastAsiaTheme="minorEastAsia"/>
          <w:bCs/>
          <w:sz w:val="24"/>
        </w:rPr>
      </w:pPr>
      <w:r>
        <w:rPr>
          <w:rFonts w:hint="eastAsia" w:asciiTheme="minorEastAsia" w:hAnsiTheme="minorEastAsia" w:eastAsiaTheme="minorEastAsia"/>
          <w:bCs/>
          <w:sz w:val="24"/>
          <w:szCs w:val="20"/>
        </w:rPr>
        <w:t>投标人投标承诺书</w:t>
      </w:r>
    </w:p>
    <w:p w14:paraId="05F52017">
      <w:pPr>
        <w:adjustRightInd w:val="0"/>
        <w:snapToGrid w:val="0"/>
        <w:spacing w:line="560" w:lineRule="atLeast"/>
        <w:rPr>
          <w:rFonts w:hint="eastAsia" w:asciiTheme="minorEastAsia" w:hAnsiTheme="minorEastAsia" w:eastAsiaTheme="minorEastAsia"/>
          <w:bCs/>
          <w:sz w:val="24"/>
        </w:rPr>
      </w:pPr>
      <w:r>
        <w:rPr>
          <w:rFonts w:hint="eastAsia" w:asciiTheme="minorEastAsia" w:hAnsiTheme="minorEastAsia" w:eastAsiaTheme="minorEastAsia"/>
          <w:bCs/>
          <w:sz w:val="24"/>
        </w:rPr>
        <w:t>致：海南省教学仪器设备招标中心有限公司：</w:t>
      </w:r>
    </w:p>
    <w:p w14:paraId="750E65C0">
      <w:pPr>
        <w:spacing w:line="560" w:lineRule="atLeast"/>
        <w:rPr>
          <w:rFonts w:hint="eastAsia" w:asciiTheme="minorEastAsia" w:hAnsiTheme="minorEastAsia" w:eastAsiaTheme="minorEastAsia"/>
          <w:bCs/>
          <w:sz w:val="24"/>
        </w:rPr>
      </w:pPr>
      <w:r>
        <w:rPr>
          <w:rFonts w:hint="eastAsia" w:asciiTheme="minorEastAsia" w:hAnsiTheme="minorEastAsia" w:eastAsiaTheme="minorEastAsia"/>
          <w:bCs/>
          <w:sz w:val="24"/>
        </w:rPr>
        <w:t>我单位在参加项目的投标活动中，郑重承诺如下：</w:t>
      </w:r>
    </w:p>
    <w:p w14:paraId="5D5157E2">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1、我方在此声明，本次招标投标活动中提交的所有资料都是真实、准确完整的，如发现提供虚假资料，或与事实不符而导致投标无效，甚至造成任何法律和经济责任，完全由我方负责；</w:t>
      </w:r>
    </w:p>
    <w:p w14:paraId="2C26ADC2">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2、参加本次政府采购活动前三年内，在经营活动中没有重大违法违规记录及环保类行政处罚记录，我方人员针对本项目没有重大违法记录； </w:t>
      </w:r>
    </w:p>
    <w:p w14:paraId="5D5A80C5">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3、我方未被地市级及其以上行政主管部门做出取消投标资格的处罚且该处罚在有效期内的；</w:t>
      </w:r>
    </w:p>
    <w:p w14:paraId="2B71513E">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4、我方一旦中标，将严格按照公开比选投标文件中所承诺的报价、质量、工期、措施、项目负责人等内容组织实施；</w:t>
      </w:r>
    </w:p>
    <w:p w14:paraId="2AECF644">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5、我方一旦中标，将按规定及时与采购人签订合同。</w:t>
      </w:r>
    </w:p>
    <w:p w14:paraId="790F6DAE">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6、</w:t>
      </w:r>
      <w:r>
        <w:rPr>
          <w:rFonts w:hint="eastAsia" w:asciiTheme="minorEastAsia" w:hAnsiTheme="minorEastAsia" w:eastAsiaTheme="minorEastAsia"/>
          <w:bCs/>
          <w:sz w:val="24"/>
          <w:szCs w:val="20"/>
        </w:rPr>
        <w:t>我公司如果中标本项目，对本项目提供的所有货物保证货源全新正品，保质保量，按时供货，否则按合同赔偿违约金，并自愿接受省财政部门的相关处罚。</w:t>
      </w:r>
    </w:p>
    <w:p w14:paraId="34E10E03">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7、我方在本次投标活动中绝无资质挂靠、串标、围标情形，若出现下列情形，立即取消我方投标资格并承担相应的法律责任；</w:t>
      </w:r>
    </w:p>
    <w:p w14:paraId="6A722425">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（1）不同投标人的公开比选投标文件由同一单位或者个人编制；</w:t>
      </w:r>
    </w:p>
    <w:p w14:paraId="154B1197">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（2）不同投标人委托同一单位或者个人办理投标事宜；</w:t>
      </w:r>
    </w:p>
    <w:p w14:paraId="62653BC6">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（3）不同投标人的公开比选投标文件载明的项目管理成员或者联系人员为同一人；</w:t>
      </w:r>
    </w:p>
    <w:p w14:paraId="32B82FE6">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（4）不同投标人的公开比选投标文件异常一致或者投标报价呈规律性差异；</w:t>
      </w:r>
    </w:p>
    <w:p w14:paraId="6110024D">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（5）不同投标人的公开比选投标文件相互混装；</w:t>
      </w:r>
    </w:p>
    <w:p w14:paraId="64E6C622">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（6）单位负责人为同一人或者存在直接控股、管理关系的不同投标人，同时参加本项目采购活动；</w:t>
      </w:r>
    </w:p>
    <w:p w14:paraId="206608C3">
      <w:pPr>
        <w:spacing w:line="560" w:lineRule="atLeast"/>
        <w:ind w:firstLine="480" w:firstLineChars="200"/>
        <w:rPr>
          <w:rFonts w:hint="eastAsia" w:asciiTheme="minorEastAsia" w:hAnsiTheme="minorEastAsia" w:eastAsiaTheme="minorEastAsia"/>
          <w:bCs/>
          <w:sz w:val="24"/>
        </w:rPr>
      </w:pPr>
      <w:r>
        <w:rPr>
          <w:rFonts w:hint="eastAsia" w:asciiTheme="minorEastAsia" w:hAnsiTheme="minorEastAsia" w:eastAsiaTheme="minorEastAsia"/>
          <w:bCs/>
          <w:sz w:val="24"/>
        </w:rPr>
        <w:t>根据国家企业信用信息公示系统（</w:t>
      </w:r>
      <w:r>
        <w:fldChar w:fldCharType="begin"/>
      </w:r>
      <w:r>
        <w:instrText xml:space="preserve"> HYPERLINK "http://www.gsxt.gov.cn/" </w:instrText>
      </w:r>
      <w:r>
        <w:fldChar w:fldCharType="separate"/>
      </w:r>
      <w:r>
        <w:rPr>
          <w:rFonts w:asciiTheme="minorEastAsia" w:hAnsiTheme="minorEastAsia" w:eastAsiaTheme="minorEastAsia"/>
          <w:bCs/>
          <w:sz w:val="24"/>
        </w:rPr>
        <w:t>http://www.gsxt.gov.cn/</w:t>
      </w:r>
      <w:r>
        <w:rPr>
          <w:rFonts w:asciiTheme="minorEastAsia" w:hAnsiTheme="minorEastAsia" w:eastAsiaTheme="minorEastAsia"/>
          <w:bCs/>
          <w:sz w:val="24"/>
        </w:rPr>
        <w:fldChar w:fldCharType="end"/>
      </w:r>
      <w:r>
        <w:rPr>
          <w:rFonts w:hint="eastAsia" w:asciiTheme="minorEastAsia" w:hAnsiTheme="minorEastAsia" w:eastAsiaTheme="minorEastAsia"/>
          <w:bCs/>
          <w:sz w:val="24"/>
        </w:rPr>
        <w:t>）登记信息提供以下内容：</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25AB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6" w:type="dxa"/>
            <w:noWrap/>
            <w:vAlign w:val="center"/>
          </w:tcPr>
          <w:p w14:paraId="0370709B">
            <w:pPr>
              <w:spacing w:line="56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序号</w:t>
            </w:r>
          </w:p>
        </w:tc>
        <w:tc>
          <w:tcPr>
            <w:tcW w:w="2319" w:type="dxa"/>
            <w:noWrap/>
            <w:vAlign w:val="center"/>
          </w:tcPr>
          <w:p w14:paraId="12D7A6C9">
            <w:pPr>
              <w:spacing w:line="56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股东名称</w:t>
            </w:r>
          </w:p>
        </w:tc>
        <w:tc>
          <w:tcPr>
            <w:tcW w:w="2410" w:type="dxa"/>
            <w:noWrap/>
            <w:vAlign w:val="center"/>
          </w:tcPr>
          <w:p w14:paraId="060E4671">
            <w:pPr>
              <w:spacing w:line="56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股东类型</w:t>
            </w:r>
          </w:p>
        </w:tc>
        <w:tc>
          <w:tcPr>
            <w:tcW w:w="1559" w:type="dxa"/>
            <w:noWrap/>
          </w:tcPr>
          <w:p w14:paraId="7B6E2B3D">
            <w:pPr>
              <w:spacing w:line="56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占股比例</w:t>
            </w:r>
          </w:p>
        </w:tc>
        <w:tc>
          <w:tcPr>
            <w:tcW w:w="1468" w:type="dxa"/>
            <w:noWrap/>
            <w:vAlign w:val="center"/>
          </w:tcPr>
          <w:p w14:paraId="78B833D9">
            <w:pPr>
              <w:spacing w:line="56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备注</w:t>
            </w:r>
          </w:p>
        </w:tc>
      </w:tr>
      <w:tr w14:paraId="00DA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6" w:type="dxa"/>
            <w:noWrap/>
            <w:vAlign w:val="center"/>
          </w:tcPr>
          <w:p w14:paraId="3CEDCBA5">
            <w:pPr>
              <w:spacing w:line="56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1</w:t>
            </w:r>
          </w:p>
        </w:tc>
        <w:tc>
          <w:tcPr>
            <w:tcW w:w="2319" w:type="dxa"/>
            <w:noWrap/>
            <w:vAlign w:val="center"/>
          </w:tcPr>
          <w:p w14:paraId="2A0B7F9C">
            <w:pPr>
              <w:spacing w:line="560" w:lineRule="atLeast"/>
              <w:jc w:val="center"/>
              <w:rPr>
                <w:rFonts w:hint="eastAsia" w:asciiTheme="minorEastAsia" w:hAnsiTheme="minorEastAsia" w:eastAsiaTheme="minorEastAsia"/>
                <w:bCs/>
                <w:szCs w:val="21"/>
              </w:rPr>
            </w:pPr>
          </w:p>
        </w:tc>
        <w:tc>
          <w:tcPr>
            <w:tcW w:w="2410" w:type="dxa"/>
            <w:noWrap/>
            <w:vAlign w:val="center"/>
          </w:tcPr>
          <w:p w14:paraId="7EA0373B">
            <w:pPr>
              <w:spacing w:line="560" w:lineRule="atLeast"/>
              <w:jc w:val="center"/>
              <w:rPr>
                <w:rFonts w:hint="eastAsia" w:asciiTheme="minorEastAsia" w:hAnsiTheme="minorEastAsia" w:eastAsiaTheme="minorEastAsia"/>
                <w:bCs/>
                <w:szCs w:val="21"/>
              </w:rPr>
            </w:pPr>
          </w:p>
        </w:tc>
        <w:tc>
          <w:tcPr>
            <w:tcW w:w="1559" w:type="dxa"/>
            <w:noWrap/>
          </w:tcPr>
          <w:p w14:paraId="3EC92DC9">
            <w:pPr>
              <w:spacing w:line="560" w:lineRule="atLeast"/>
              <w:jc w:val="center"/>
              <w:rPr>
                <w:rFonts w:hint="eastAsia" w:asciiTheme="minorEastAsia" w:hAnsiTheme="minorEastAsia" w:eastAsiaTheme="minorEastAsia"/>
                <w:bCs/>
                <w:szCs w:val="21"/>
              </w:rPr>
            </w:pPr>
          </w:p>
        </w:tc>
        <w:tc>
          <w:tcPr>
            <w:tcW w:w="1468" w:type="dxa"/>
            <w:noWrap/>
            <w:vAlign w:val="center"/>
          </w:tcPr>
          <w:p w14:paraId="756BBDB8">
            <w:pPr>
              <w:spacing w:line="560" w:lineRule="atLeast"/>
              <w:jc w:val="center"/>
              <w:rPr>
                <w:rFonts w:hint="eastAsia" w:asciiTheme="minorEastAsia" w:hAnsiTheme="minorEastAsia" w:eastAsiaTheme="minorEastAsia"/>
                <w:bCs/>
                <w:szCs w:val="21"/>
              </w:rPr>
            </w:pPr>
          </w:p>
        </w:tc>
      </w:tr>
      <w:tr w14:paraId="7F89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6" w:type="dxa"/>
            <w:noWrap/>
            <w:vAlign w:val="center"/>
          </w:tcPr>
          <w:p w14:paraId="2B901987">
            <w:pPr>
              <w:spacing w:line="56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2</w:t>
            </w:r>
          </w:p>
        </w:tc>
        <w:tc>
          <w:tcPr>
            <w:tcW w:w="2319" w:type="dxa"/>
            <w:noWrap/>
            <w:vAlign w:val="center"/>
          </w:tcPr>
          <w:p w14:paraId="7ED114C6">
            <w:pPr>
              <w:spacing w:line="560" w:lineRule="atLeast"/>
              <w:jc w:val="center"/>
              <w:rPr>
                <w:rFonts w:hint="eastAsia" w:asciiTheme="minorEastAsia" w:hAnsiTheme="minorEastAsia" w:eastAsiaTheme="minorEastAsia"/>
                <w:bCs/>
                <w:szCs w:val="21"/>
              </w:rPr>
            </w:pPr>
          </w:p>
        </w:tc>
        <w:tc>
          <w:tcPr>
            <w:tcW w:w="2410" w:type="dxa"/>
            <w:noWrap/>
            <w:vAlign w:val="center"/>
          </w:tcPr>
          <w:p w14:paraId="031E5BA6">
            <w:pPr>
              <w:spacing w:line="560" w:lineRule="atLeast"/>
              <w:jc w:val="center"/>
              <w:rPr>
                <w:rFonts w:hint="eastAsia" w:asciiTheme="minorEastAsia" w:hAnsiTheme="minorEastAsia" w:eastAsiaTheme="minorEastAsia"/>
                <w:bCs/>
                <w:szCs w:val="21"/>
              </w:rPr>
            </w:pPr>
          </w:p>
        </w:tc>
        <w:tc>
          <w:tcPr>
            <w:tcW w:w="1559" w:type="dxa"/>
            <w:noWrap/>
          </w:tcPr>
          <w:p w14:paraId="7FFD3D87">
            <w:pPr>
              <w:spacing w:line="560" w:lineRule="atLeast"/>
              <w:jc w:val="center"/>
              <w:rPr>
                <w:rFonts w:hint="eastAsia" w:asciiTheme="minorEastAsia" w:hAnsiTheme="minorEastAsia" w:eastAsiaTheme="minorEastAsia"/>
                <w:bCs/>
                <w:szCs w:val="21"/>
              </w:rPr>
            </w:pPr>
          </w:p>
        </w:tc>
        <w:tc>
          <w:tcPr>
            <w:tcW w:w="1468" w:type="dxa"/>
            <w:noWrap/>
            <w:vAlign w:val="center"/>
          </w:tcPr>
          <w:p w14:paraId="6143C4BE">
            <w:pPr>
              <w:spacing w:line="560" w:lineRule="atLeast"/>
              <w:jc w:val="center"/>
              <w:rPr>
                <w:rFonts w:hint="eastAsia" w:asciiTheme="minorEastAsia" w:hAnsiTheme="minorEastAsia" w:eastAsiaTheme="minorEastAsia"/>
                <w:bCs/>
                <w:szCs w:val="21"/>
              </w:rPr>
            </w:pPr>
          </w:p>
        </w:tc>
      </w:tr>
      <w:tr w14:paraId="5BB6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6" w:type="dxa"/>
            <w:noWrap/>
            <w:vAlign w:val="center"/>
          </w:tcPr>
          <w:p w14:paraId="3722041B">
            <w:pPr>
              <w:spacing w:line="56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w:t>
            </w:r>
          </w:p>
        </w:tc>
        <w:tc>
          <w:tcPr>
            <w:tcW w:w="2319" w:type="dxa"/>
            <w:noWrap/>
            <w:vAlign w:val="center"/>
          </w:tcPr>
          <w:p w14:paraId="513E33B9">
            <w:pPr>
              <w:spacing w:line="560" w:lineRule="atLeast"/>
              <w:jc w:val="center"/>
              <w:rPr>
                <w:rFonts w:hint="eastAsia" w:asciiTheme="minorEastAsia" w:hAnsiTheme="minorEastAsia" w:eastAsiaTheme="minorEastAsia"/>
                <w:bCs/>
                <w:szCs w:val="21"/>
              </w:rPr>
            </w:pPr>
          </w:p>
        </w:tc>
        <w:tc>
          <w:tcPr>
            <w:tcW w:w="2410" w:type="dxa"/>
            <w:noWrap/>
            <w:vAlign w:val="center"/>
          </w:tcPr>
          <w:p w14:paraId="69234F03">
            <w:pPr>
              <w:spacing w:line="560" w:lineRule="atLeast"/>
              <w:jc w:val="center"/>
              <w:rPr>
                <w:rFonts w:hint="eastAsia" w:asciiTheme="minorEastAsia" w:hAnsiTheme="minorEastAsia" w:eastAsiaTheme="minorEastAsia"/>
                <w:bCs/>
                <w:szCs w:val="21"/>
              </w:rPr>
            </w:pPr>
          </w:p>
        </w:tc>
        <w:tc>
          <w:tcPr>
            <w:tcW w:w="1559" w:type="dxa"/>
            <w:noWrap/>
          </w:tcPr>
          <w:p w14:paraId="3C818C80">
            <w:pPr>
              <w:spacing w:line="560" w:lineRule="atLeast"/>
              <w:jc w:val="center"/>
              <w:rPr>
                <w:rFonts w:hint="eastAsia" w:asciiTheme="minorEastAsia" w:hAnsiTheme="minorEastAsia" w:eastAsiaTheme="minorEastAsia"/>
                <w:bCs/>
                <w:szCs w:val="21"/>
              </w:rPr>
            </w:pPr>
          </w:p>
        </w:tc>
        <w:tc>
          <w:tcPr>
            <w:tcW w:w="1468" w:type="dxa"/>
            <w:noWrap/>
            <w:vAlign w:val="center"/>
          </w:tcPr>
          <w:p w14:paraId="03EF94FD">
            <w:pPr>
              <w:spacing w:line="560" w:lineRule="atLeast"/>
              <w:jc w:val="center"/>
              <w:rPr>
                <w:rFonts w:hint="eastAsia" w:asciiTheme="minorEastAsia" w:hAnsiTheme="minorEastAsia" w:eastAsiaTheme="minorEastAsia"/>
                <w:bCs/>
                <w:szCs w:val="21"/>
              </w:rPr>
            </w:pPr>
          </w:p>
        </w:tc>
      </w:tr>
    </w:tbl>
    <w:p w14:paraId="70B50037">
      <w:pPr>
        <w:spacing w:line="560" w:lineRule="atLeast"/>
        <w:rPr>
          <w:rFonts w:hint="eastAsia" w:asciiTheme="minorEastAsia" w:hAnsiTheme="minorEastAsia" w:eastAsiaTheme="minorEastAsia"/>
          <w:bCs/>
          <w:sz w:val="24"/>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14:paraId="0B2F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8" w:type="dxa"/>
            <w:noWrap/>
            <w:vAlign w:val="center"/>
          </w:tcPr>
          <w:p w14:paraId="244A6774">
            <w:pPr>
              <w:spacing w:line="56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序号</w:t>
            </w:r>
          </w:p>
        </w:tc>
        <w:tc>
          <w:tcPr>
            <w:tcW w:w="2340" w:type="dxa"/>
            <w:noWrap/>
            <w:vAlign w:val="center"/>
          </w:tcPr>
          <w:p w14:paraId="2638E44A">
            <w:pPr>
              <w:spacing w:line="56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主要人员姓名</w:t>
            </w:r>
          </w:p>
        </w:tc>
        <w:tc>
          <w:tcPr>
            <w:tcW w:w="1440" w:type="dxa"/>
            <w:noWrap/>
            <w:vAlign w:val="center"/>
          </w:tcPr>
          <w:p w14:paraId="754640AA">
            <w:pPr>
              <w:spacing w:line="56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职务</w:t>
            </w:r>
          </w:p>
        </w:tc>
        <w:tc>
          <w:tcPr>
            <w:tcW w:w="3773" w:type="dxa"/>
            <w:noWrap/>
            <w:vAlign w:val="center"/>
          </w:tcPr>
          <w:p w14:paraId="689C0AB9">
            <w:pPr>
              <w:spacing w:line="56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身份证号</w:t>
            </w:r>
          </w:p>
        </w:tc>
      </w:tr>
      <w:tr w14:paraId="23A6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8" w:type="dxa"/>
            <w:noWrap/>
            <w:vAlign w:val="center"/>
          </w:tcPr>
          <w:p w14:paraId="6D833B49">
            <w:pPr>
              <w:spacing w:line="56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1</w:t>
            </w:r>
          </w:p>
        </w:tc>
        <w:tc>
          <w:tcPr>
            <w:tcW w:w="2340" w:type="dxa"/>
            <w:noWrap/>
            <w:vAlign w:val="center"/>
          </w:tcPr>
          <w:p w14:paraId="5B3C27BD">
            <w:pPr>
              <w:spacing w:line="560" w:lineRule="atLeast"/>
              <w:jc w:val="center"/>
              <w:rPr>
                <w:rFonts w:hint="eastAsia" w:asciiTheme="minorEastAsia" w:hAnsiTheme="minorEastAsia" w:eastAsiaTheme="minorEastAsia"/>
                <w:bCs/>
                <w:szCs w:val="21"/>
              </w:rPr>
            </w:pPr>
          </w:p>
        </w:tc>
        <w:tc>
          <w:tcPr>
            <w:tcW w:w="1440" w:type="dxa"/>
            <w:noWrap/>
            <w:vAlign w:val="center"/>
          </w:tcPr>
          <w:p w14:paraId="7AEEFAA2">
            <w:pPr>
              <w:spacing w:line="560" w:lineRule="atLeast"/>
              <w:jc w:val="center"/>
              <w:rPr>
                <w:rFonts w:hint="eastAsia" w:asciiTheme="minorEastAsia" w:hAnsiTheme="minorEastAsia" w:eastAsiaTheme="minorEastAsia"/>
                <w:bCs/>
                <w:szCs w:val="21"/>
              </w:rPr>
            </w:pPr>
          </w:p>
        </w:tc>
        <w:tc>
          <w:tcPr>
            <w:tcW w:w="3773" w:type="dxa"/>
            <w:noWrap/>
            <w:vAlign w:val="center"/>
          </w:tcPr>
          <w:p w14:paraId="3787FFDD">
            <w:pPr>
              <w:spacing w:line="560" w:lineRule="atLeast"/>
              <w:jc w:val="center"/>
              <w:rPr>
                <w:rFonts w:hint="eastAsia" w:asciiTheme="minorEastAsia" w:hAnsiTheme="minorEastAsia" w:eastAsiaTheme="minorEastAsia"/>
                <w:bCs/>
                <w:szCs w:val="21"/>
              </w:rPr>
            </w:pPr>
          </w:p>
        </w:tc>
      </w:tr>
      <w:tr w14:paraId="494E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8" w:type="dxa"/>
            <w:noWrap/>
            <w:vAlign w:val="center"/>
          </w:tcPr>
          <w:p w14:paraId="1678A00B">
            <w:pPr>
              <w:spacing w:line="56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2</w:t>
            </w:r>
          </w:p>
        </w:tc>
        <w:tc>
          <w:tcPr>
            <w:tcW w:w="2340" w:type="dxa"/>
            <w:noWrap/>
            <w:vAlign w:val="center"/>
          </w:tcPr>
          <w:p w14:paraId="1EF2BB5F">
            <w:pPr>
              <w:spacing w:line="560" w:lineRule="atLeast"/>
              <w:jc w:val="center"/>
              <w:rPr>
                <w:rFonts w:hint="eastAsia" w:asciiTheme="minorEastAsia" w:hAnsiTheme="minorEastAsia" w:eastAsiaTheme="minorEastAsia"/>
                <w:bCs/>
                <w:szCs w:val="21"/>
              </w:rPr>
            </w:pPr>
          </w:p>
        </w:tc>
        <w:tc>
          <w:tcPr>
            <w:tcW w:w="1440" w:type="dxa"/>
            <w:noWrap/>
            <w:vAlign w:val="center"/>
          </w:tcPr>
          <w:p w14:paraId="5FAA1976">
            <w:pPr>
              <w:spacing w:line="560" w:lineRule="atLeast"/>
              <w:jc w:val="center"/>
              <w:rPr>
                <w:rFonts w:hint="eastAsia" w:asciiTheme="minorEastAsia" w:hAnsiTheme="minorEastAsia" w:eastAsiaTheme="minorEastAsia"/>
                <w:bCs/>
                <w:szCs w:val="21"/>
              </w:rPr>
            </w:pPr>
          </w:p>
        </w:tc>
        <w:tc>
          <w:tcPr>
            <w:tcW w:w="3773" w:type="dxa"/>
            <w:noWrap/>
            <w:vAlign w:val="center"/>
          </w:tcPr>
          <w:p w14:paraId="5EE754E6">
            <w:pPr>
              <w:spacing w:line="560" w:lineRule="atLeast"/>
              <w:jc w:val="center"/>
              <w:rPr>
                <w:rFonts w:hint="eastAsia" w:asciiTheme="minorEastAsia" w:hAnsiTheme="minorEastAsia" w:eastAsiaTheme="minorEastAsia"/>
                <w:bCs/>
                <w:szCs w:val="21"/>
              </w:rPr>
            </w:pPr>
          </w:p>
        </w:tc>
      </w:tr>
      <w:tr w14:paraId="531E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8" w:type="dxa"/>
            <w:noWrap/>
            <w:vAlign w:val="center"/>
          </w:tcPr>
          <w:p w14:paraId="6BC794C0">
            <w:pPr>
              <w:spacing w:line="560" w:lineRule="atLeas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w:t>
            </w:r>
          </w:p>
        </w:tc>
        <w:tc>
          <w:tcPr>
            <w:tcW w:w="2340" w:type="dxa"/>
            <w:noWrap/>
            <w:vAlign w:val="center"/>
          </w:tcPr>
          <w:p w14:paraId="64B44BC5">
            <w:pPr>
              <w:spacing w:line="560" w:lineRule="atLeast"/>
              <w:jc w:val="center"/>
              <w:rPr>
                <w:rFonts w:hint="eastAsia" w:asciiTheme="minorEastAsia" w:hAnsiTheme="minorEastAsia" w:eastAsiaTheme="minorEastAsia"/>
                <w:bCs/>
                <w:szCs w:val="21"/>
              </w:rPr>
            </w:pPr>
          </w:p>
        </w:tc>
        <w:tc>
          <w:tcPr>
            <w:tcW w:w="1440" w:type="dxa"/>
            <w:noWrap/>
            <w:vAlign w:val="center"/>
          </w:tcPr>
          <w:p w14:paraId="23F71CEE">
            <w:pPr>
              <w:spacing w:line="560" w:lineRule="atLeast"/>
              <w:jc w:val="center"/>
              <w:rPr>
                <w:rFonts w:hint="eastAsia" w:asciiTheme="minorEastAsia" w:hAnsiTheme="minorEastAsia" w:eastAsiaTheme="minorEastAsia"/>
                <w:bCs/>
                <w:szCs w:val="21"/>
              </w:rPr>
            </w:pPr>
          </w:p>
        </w:tc>
        <w:tc>
          <w:tcPr>
            <w:tcW w:w="3773" w:type="dxa"/>
            <w:noWrap/>
            <w:vAlign w:val="center"/>
          </w:tcPr>
          <w:p w14:paraId="2178E6F5">
            <w:pPr>
              <w:spacing w:line="560" w:lineRule="atLeast"/>
              <w:jc w:val="center"/>
              <w:rPr>
                <w:rFonts w:hint="eastAsia" w:asciiTheme="minorEastAsia" w:hAnsiTheme="minorEastAsia" w:eastAsiaTheme="minorEastAsia"/>
                <w:bCs/>
                <w:szCs w:val="21"/>
              </w:rPr>
            </w:pPr>
          </w:p>
        </w:tc>
      </w:tr>
    </w:tbl>
    <w:p w14:paraId="75642587">
      <w:pPr>
        <w:spacing w:line="560" w:lineRule="atLeast"/>
        <w:rPr>
          <w:rFonts w:hint="eastAsia" w:asciiTheme="minorEastAsia" w:hAnsiTheme="minorEastAsia" w:eastAsiaTheme="minorEastAsia"/>
          <w:bCs/>
          <w:sz w:val="24"/>
        </w:rPr>
      </w:pPr>
    </w:p>
    <w:p w14:paraId="4764B50F">
      <w:pPr>
        <w:spacing w:line="560" w:lineRule="atLeast"/>
        <w:ind w:left="2698" w:leftChars="1285"/>
        <w:rPr>
          <w:rFonts w:hint="eastAsia" w:asciiTheme="minorEastAsia" w:hAnsiTheme="minorEastAsia" w:eastAsiaTheme="minorEastAsia"/>
          <w:bCs/>
          <w:sz w:val="24"/>
        </w:rPr>
      </w:pPr>
      <w:r>
        <w:rPr>
          <w:rFonts w:hint="eastAsia" w:asciiTheme="minorEastAsia" w:hAnsiTheme="minorEastAsia" w:eastAsiaTheme="minorEastAsia"/>
          <w:bCs/>
          <w:sz w:val="24"/>
        </w:rPr>
        <w:t>投标人名称： （盖公章）</w:t>
      </w:r>
    </w:p>
    <w:p w14:paraId="5304283D">
      <w:pPr>
        <w:spacing w:line="560" w:lineRule="atLeast"/>
        <w:ind w:left="2698" w:leftChars="1285"/>
        <w:rPr>
          <w:rFonts w:hint="eastAsia" w:asciiTheme="minorEastAsia" w:hAnsiTheme="minorEastAsia" w:eastAsiaTheme="minorEastAsia"/>
          <w:bCs/>
          <w:sz w:val="24"/>
        </w:rPr>
      </w:pPr>
      <w:r>
        <w:rPr>
          <w:rFonts w:hint="eastAsia" w:asciiTheme="minorEastAsia" w:hAnsiTheme="minorEastAsia" w:eastAsiaTheme="minorEastAsia"/>
          <w:bCs/>
          <w:sz w:val="24"/>
        </w:rPr>
        <w:t>法定代表人（或授权代理人）： （签字或盖章）</w:t>
      </w:r>
    </w:p>
    <w:p w14:paraId="7A2FCCCF">
      <w:pPr>
        <w:adjustRightInd w:val="0"/>
        <w:snapToGrid w:val="0"/>
        <w:spacing w:line="560" w:lineRule="atLeast"/>
        <w:ind w:firstLine="2640" w:firstLineChars="1100"/>
        <w:rPr>
          <w:rFonts w:hint="eastAsia" w:asciiTheme="minorEastAsia" w:hAnsiTheme="minorEastAsia" w:eastAsiaTheme="minorEastAsia"/>
          <w:bCs/>
          <w:sz w:val="24"/>
        </w:rPr>
      </w:pPr>
      <w:r>
        <w:rPr>
          <w:rFonts w:hint="eastAsia" w:asciiTheme="minorEastAsia" w:hAnsiTheme="minorEastAsia" w:eastAsiaTheme="minorEastAsia"/>
          <w:bCs/>
          <w:sz w:val="24"/>
        </w:rPr>
        <w:t>日期： 年 月 日</w:t>
      </w:r>
    </w:p>
    <w:p w14:paraId="7E63A403">
      <w:pPr>
        <w:adjustRightInd w:val="0"/>
        <w:snapToGrid w:val="0"/>
        <w:spacing w:line="560" w:lineRule="atLeast"/>
        <w:rPr>
          <w:rFonts w:hint="eastAsia" w:cs="宋体" w:asciiTheme="minorEastAsia" w:hAnsiTheme="minorEastAsia" w:eastAsiaTheme="minorEastAsia"/>
          <w:bCs/>
          <w:kern w:val="0"/>
          <w:sz w:val="24"/>
        </w:rPr>
      </w:pPr>
    </w:p>
    <w:p w14:paraId="26C32609">
      <w:pPr>
        <w:adjustRightInd w:val="0"/>
        <w:snapToGrid w:val="0"/>
        <w:spacing w:line="560" w:lineRule="atLeast"/>
        <w:rPr>
          <w:rFonts w:hint="eastAsia" w:cs="宋体" w:asciiTheme="minorEastAsia" w:hAnsiTheme="minorEastAsia" w:eastAsiaTheme="minorEastAsia"/>
          <w:bCs/>
          <w:kern w:val="0"/>
          <w:sz w:val="24"/>
        </w:rPr>
      </w:pPr>
    </w:p>
    <w:p w14:paraId="0E4753F3">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lang w:val="en-US" w:eastAsia="zh-CN"/>
        </w:rPr>
        <w:t>6</w:t>
      </w:r>
      <w:r>
        <w:rPr>
          <w:rFonts w:hint="eastAsia" w:cs="宋体" w:asciiTheme="minorEastAsia" w:hAnsiTheme="minorEastAsia" w:eastAsiaTheme="minorEastAsia"/>
          <w:bCs/>
          <w:kern w:val="0"/>
          <w:sz w:val="24"/>
        </w:rPr>
        <w:t>.4在“信用中国”网站（www.creditchina.gov.cn）没有列入失信被执行人、重大税收违法失信主体、政府采购严重违法失信行为记录名单的投标人。“中国政府采购网”（www.ccgp.gov.cn）政府采购严重违法失信行为记录名单的投标人。</w:t>
      </w:r>
    </w:p>
    <w:p w14:paraId="230D5914">
      <w:pPr>
        <w:adjustRightInd w:val="0"/>
        <w:snapToGrid w:val="0"/>
        <w:spacing w:line="560" w:lineRule="atLeast"/>
        <w:ind w:firstLine="480" w:firstLineChars="200"/>
        <w:rPr>
          <w:rFonts w:hint="eastAsia"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注：采购人或采购代理机构将于本项目投标截止日在“信用中国”网站、“中国政府采购网”网站等渠道对投标人进行信用记录查询，凡被列入失信被执行人、重大税收违法失信主体、政府采购严重违法失信行为记录名单的，视为存在不良信用记录，参与本项目的将被拒绝。）</w:t>
      </w:r>
    </w:p>
    <w:p w14:paraId="7CF9BCD2">
      <w:pPr>
        <w:spacing w:line="560" w:lineRule="atLeast"/>
        <w:rPr>
          <w:rFonts w:hint="eastAsia" w:asciiTheme="minorEastAsia" w:hAnsiTheme="minorEastAsia" w:eastAsiaTheme="minorEastAsia"/>
          <w:bCs/>
        </w:rPr>
      </w:pPr>
    </w:p>
    <w:p w14:paraId="665DA48D">
      <w:pPr>
        <w:spacing w:line="560" w:lineRule="atLeast"/>
        <w:ind w:firstLine="480" w:firstLineChars="200"/>
        <w:rPr>
          <w:rFonts w:hint="eastAsia" w:asciiTheme="minorEastAsia" w:hAnsiTheme="minorEastAsia" w:eastAsiaTheme="minorEastAsia"/>
          <w:bCs/>
          <w:sz w:val="24"/>
        </w:rPr>
      </w:pPr>
      <w:bookmarkStart w:id="65" w:name="_Toc183588719"/>
      <w:r>
        <w:rPr>
          <w:rFonts w:hint="eastAsia" w:asciiTheme="minorEastAsia" w:hAnsiTheme="minorEastAsia" w:eastAsiaTheme="minorEastAsia"/>
          <w:bCs/>
          <w:sz w:val="24"/>
        </w:rPr>
        <w:t>附件</w:t>
      </w:r>
      <w:r>
        <w:rPr>
          <w:rFonts w:hint="eastAsia" w:asciiTheme="minorEastAsia" w:hAnsiTheme="minorEastAsia" w:eastAsiaTheme="minorEastAsia"/>
          <w:bCs/>
          <w:sz w:val="24"/>
          <w:lang w:val="en-US" w:eastAsia="zh-CN"/>
        </w:rPr>
        <w:t>7</w:t>
      </w:r>
      <w:r>
        <w:rPr>
          <w:rFonts w:hint="eastAsia" w:asciiTheme="minorEastAsia" w:hAnsiTheme="minorEastAsia" w:eastAsiaTheme="minorEastAsia"/>
          <w:bCs/>
          <w:sz w:val="24"/>
        </w:rPr>
        <w:t>、 投标人认为需要提供的用于参与评审其他相关资料</w:t>
      </w:r>
      <w:bookmarkEnd w:id="65"/>
    </w:p>
    <w:sectPr>
      <w:headerReference r:id="rId4" w:type="default"/>
      <w:footerReference r:id="rId5" w:type="default"/>
      <w:footerReference r:id="rId6" w:type="even"/>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85825">
    <w:pPr>
      <w:pStyle w:val="26"/>
      <w:jc w:val="center"/>
    </w:pPr>
    <w:r>
      <w:fldChar w:fldCharType="begin"/>
    </w:r>
    <w:r>
      <w:instrText xml:space="preserve"> PAGE   \* MERGEFORMAT </w:instrText>
    </w:r>
    <w:r>
      <w:fldChar w:fldCharType="separate"/>
    </w:r>
    <w:r>
      <w:t>6</w:t>
    </w:r>
    <w:r>
      <w:fldChar w:fldCharType="end"/>
    </w:r>
  </w:p>
  <w:p w14:paraId="52303B36">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58FB3">
    <w:pPr>
      <w:pStyle w:val="26"/>
      <w:framePr w:wrap="around" w:vAnchor="text" w:hAnchor="margin" w:xAlign="center" w:y="1"/>
      <w:rPr>
        <w:rStyle w:val="44"/>
      </w:rPr>
    </w:pPr>
    <w:r>
      <w:fldChar w:fldCharType="begin"/>
    </w:r>
    <w:r>
      <w:rPr>
        <w:rStyle w:val="44"/>
      </w:rPr>
      <w:instrText xml:space="preserve">PAGE  </w:instrText>
    </w:r>
    <w:r>
      <w:fldChar w:fldCharType="separate"/>
    </w:r>
    <w:r>
      <w:rPr>
        <w:rStyle w:val="44"/>
      </w:rPr>
      <w:t>33</w:t>
    </w:r>
    <w:r>
      <w:fldChar w:fldCharType="end"/>
    </w:r>
  </w:p>
  <w:p w14:paraId="6A2FFC9D">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E25D3">
    <w:pPr>
      <w:pStyle w:val="26"/>
      <w:framePr w:wrap="around" w:vAnchor="text" w:hAnchor="margin" w:xAlign="center" w:y="1"/>
      <w:rPr>
        <w:rStyle w:val="44"/>
      </w:rPr>
    </w:pPr>
    <w:r>
      <w:fldChar w:fldCharType="begin"/>
    </w:r>
    <w:r>
      <w:rPr>
        <w:rStyle w:val="44"/>
      </w:rPr>
      <w:instrText xml:space="preserve">PAGE  </w:instrText>
    </w:r>
    <w:r>
      <w:fldChar w:fldCharType="separate"/>
    </w:r>
    <w:r>
      <w:rPr>
        <w:rStyle w:val="44"/>
      </w:rPr>
      <w:t>1</w:t>
    </w:r>
    <w:r>
      <w:fldChar w:fldCharType="end"/>
    </w:r>
  </w:p>
  <w:p w14:paraId="6C72F4A3">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8B0E5">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DB6D3"/>
    <w:multiLevelType w:val="singleLevel"/>
    <w:tmpl w:val="815DB6D3"/>
    <w:lvl w:ilvl="0" w:tentative="0">
      <w:start w:val="1"/>
      <w:numFmt w:val="chineseCounting"/>
      <w:suff w:val="nothing"/>
      <w:lvlText w:val="（%1）"/>
      <w:lvlJc w:val="left"/>
      <w:rPr>
        <w:rFonts w:hint="eastAsia"/>
      </w:rPr>
    </w:lvl>
  </w:abstractNum>
  <w:abstractNum w:abstractNumId="1">
    <w:nsid w:val="917BA76F"/>
    <w:multiLevelType w:val="singleLevel"/>
    <w:tmpl w:val="917BA76F"/>
    <w:lvl w:ilvl="0" w:tentative="0">
      <w:start w:val="1"/>
      <w:numFmt w:val="chineseCounting"/>
      <w:suff w:val="nothing"/>
      <w:lvlText w:val="（%1）"/>
      <w:lvlJc w:val="left"/>
      <w:pPr>
        <w:ind w:left="-60"/>
      </w:pPr>
      <w:rPr>
        <w:rFonts w:hint="eastAsia"/>
        <w:color w:val="auto"/>
      </w:rPr>
    </w:lvl>
  </w:abstractNum>
  <w:abstractNum w:abstractNumId="2">
    <w:nsid w:val="AC86A38D"/>
    <w:multiLevelType w:val="singleLevel"/>
    <w:tmpl w:val="AC86A38D"/>
    <w:lvl w:ilvl="0" w:tentative="0">
      <w:start w:val="3"/>
      <w:numFmt w:val="decimal"/>
      <w:suff w:val="space"/>
      <w:lvlText w:val="%1."/>
      <w:lvlJc w:val="left"/>
    </w:lvl>
  </w:abstractNum>
  <w:abstractNum w:abstractNumId="3">
    <w:nsid w:val="D97C1ECF"/>
    <w:multiLevelType w:val="singleLevel"/>
    <w:tmpl w:val="D97C1ECF"/>
    <w:lvl w:ilvl="0" w:tentative="0">
      <w:start w:val="1"/>
      <w:numFmt w:val="decimal"/>
      <w:lvlText w:val="%1."/>
      <w:lvlJc w:val="left"/>
      <w:pPr>
        <w:tabs>
          <w:tab w:val="left" w:pos="312"/>
        </w:tabs>
      </w:pPr>
    </w:lvl>
  </w:abstractNum>
  <w:abstractNum w:abstractNumId="4">
    <w:nsid w:val="F361EA5B"/>
    <w:multiLevelType w:val="singleLevel"/>
    <w:tmpl w:val="F361EA5B"/>
    <w:lvl w:ilvl="0" w:tentative="0">
      <w:start w:val="1"/>
      <w:numFmt w:val="decimal"/>
      <w:pStyle w:val="161"/>
      <w:lvlText w:val="%1."/>
      <w:lvlJc w:val="left"/>
      <w:pPr>
        <w:tabs>
          <w:tab w:val="left" w:pos="312"/>
        </w:tabs>
      </w:pPr>
    </w:lvl>
  </w:abstractNum>
  <w:abstractNum w:abstractNumId="5">
    <w:nsid w:val="05B77FDC"/>
    <w:multiLevelType w:val="multilevel"/>
    <w:tmpl w:val="05B77FDC"/>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B12C11F"/>
    <w:multiLevelType w:val="singleLevel"/>
    <w:tmpl w:val="1B12C11F"/>
    <w:lvl w:ilvl="0" w:tentative="0">
      <w:start w:val="5"/>
      <w:numFmt w:val="chineseCounting"/>
      <w:suff w:val="nothing"/>
      <w:lvlText w:val="第%1部分　"/>
      <w:lvlJc w:val="left"/>
      <w:rPr>
        <w:rFonts w:hint="eastAsia"/>
      </w:rPr>
    </w:lvl>
  </w:abstractNum>
  <w:abstractNum w:abstractNumId="7">
    <w:nsid w:val="266829EC"/>
    <w:multiLevelType w:val="multilevel"/>
    <w:tmpl w:val="266829E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70A04CF"/>
    <w:multiLevelType w:val="multilevel"/>
    <w:tmpl w:val="470A04C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789A6E15"/>
    <w:multiLevelType w:val="multilevel"/>
    <w:tmpl w:val="789A6E1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0"/>
  </w:num>
  <w:num w:numId="3">
    <w:abstractNumId w:val="2"/>
  </w:num>
  <w:num w:numId="4">
    <w:abstractNumId w:val="9"/>
  </w:num>
  <w:num w:numId="5">
    <w:abstractNumId w:val="7"/>
  </w:num>
  <w:num w:numId="6">
    <w:abstractNumId w:val="8"/>
  </w:num>
  <w:num w:numId="7">
    <w:abstractNumId w:val="5"/>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mMjZjYmMzNzNhM2YyMzBhYWRkNmYwNDRkYTJhM2MifQ=="/>
  </w:docVars>
  <w:rsids>
    <w:rsidRoot w:val="00172A27"/>
    <w:rsid w:val="000001B8"/>
    <w:rsid w:val="00004197"/>
    <w:rsid w:val="00010D6B"/>
    <w:rsid w:val="00011053"/>
    <w:rsid w:val="00020B83"/>
    <w:rsid w:val="00026925"/>
    <w:rsid w:val="000312D5"/>
    <w:rsid w:val="000326A0"/>
    <w:rsid w:val="00033873"/>
    <w:rsid w:val="000371AB"/>
    <w:rsid w:val="000436F1"/>
    <w:rsid w:val="000445B9"/>
    <w:rsid w:val="00045337"/>
    <w:rsid w:val="00050091"/>
    <w:rsid w:val="000506D4"/>
    <w:rsid w:val="000545B2"/>
    <w:rsid w:val="00054AED"/>
    <w:rsid w:val="000562FE"/>
    <w:rsid w:val="00056954"/>
    <w:rsid w:val="000576AF"/>
    <w:rsid w:val="000601D9"/>
    <w:rsid w:val="00063962"/>
    <w:rsid w:val="000648EA"/>
    <w:rsid w:val="00066904"/>
    <w:rsid w:val="00066AA1"/>
    <w:rsid w:val="00067DCD"/>
    <w:rsid w:val="00071C9C"/>
    <w:rsid w:val="00072322"/>
    <w:rsid w:val="0007676A"/>
    <w:rsid w:val="00077604"/>
    <w:rsid w:val="00080FF1"/>
    <w:rsid w:val="0008152A"/>
    <w:rsid w:val="00082BD9"/>
    <w:rsid w:val="00086C3D"/>
    <w:rsid w:val="00087E36"/>
    <w:rsid w:val="0009167D"/>
    <w:rsid w:val="00093A38"/>
    <w:rsid w:val="000953DE"/>
    <w:rsid w:val="00096F8B"/>
    <w:rsid w:val="000979A0"/>
    <w:rsid w:val="000A297D"/>
    <w:rsid w:val="000A4D2D"/>
    <w:rsid w:val="000A516F"/>
    <w:rsid w:val="000A5E73"/>
    <w:rsid w:val="000B01CF"/>
    <w:rsid w:val="000B1D44"/>
    <w:rsid w:val="000B1D87"/>
    <w:rsid w:val="000B26FB"/>
    <w:rsid w:val="000B3BE4"/>
    <w:rsid w:val="000B5331"/>
    <w:rsid w:val="000C1B7F"/>
    <w:rsid w:val="000C46B5"/>
    <w:rsid w:val="000C5A12"/>
    <w:rsid w:val="000D07EC"/>
    <w:rsid w:val="000D205E"/>
    <w:rsid w:val="000D4DA1"/>
    <w:rsid w:val="000D5F87"/>
    <w:rsid w:val="000D67F5"/>
    <w:rsid w:val="000D6CDF"/>
    <w:rsid w:val="000D7801"/>
    <w:rsid w:val="000D7BE8"/>
    <w:rsid w:val="000E0C99"/>
    <w:rsid w:val="000E2E89"/>
    <w:rsid w:val="000F18C4"/>
    <w:rsid w:val="000F33A7"/>
    <w:rsid w:val="00101BCF"/>
    <w:rsid w:val="0010742D"/>
    <w:rsid w:val="0011063D"/>
    <w:rsid w:val="00111EAF"/>
    <w:rsid w:val="00116ECD"/>
    <w:rsid w:val="001207F7"/>
    <w:rsid w:val="00121ED3"/>
    <w:rsid w:val="00124ED9"/>
    <w:rsid w:val="00134A8B"/>
    <w:rsid w:val="00135448"/>
    <w:rsid w:val="0014253C"/>
    <w:rsid w:val="00142CA1"/>
    <w:rsid w:val="00145372"/>
    <w:rsid w:val="001476AE"/>
    <w:rsid w:val="001546B2"/>
    <w:rsid w:val="001571D2"/>
    <w:rsid w:val="001612FE"/>
    <w:rsid w:val="0016180D"/>
    <w:rsid w:val="0016494A"/>
    <w:rsid w:val="00165C57"/>
    <w:rsid w:val="00165E9E"/>
    <w:rsid w:val="001673F4"/>
    <w:rsid w:val="0017182D"/>
    <w:rsid w:val="00172A27"/>
    <w:rsid w:val="00176565"/>
    <w:rsid w:val="00184D45"/>
    <w:rsid w:val="00186B06"/>
    <w:rsid w:val="00186F54"/>
    <w:rsid w:val="0018749E"/>
    <w:rsid w:val="0019210E"/>
    <w:rsid w:val="00192744"/>
    <w:rsid w:val="00192A9F"/>
    <w:rsid w:val="00196098"/>
    <w:rsid w:val="00196E77"/>
    <w:rsid w:val="001A2801"/>
    <w:rsid w:val="001A28B5"/>
    <w:rsid w:val="001A36FE"/>
    <w:rsid w:val="001A5A11"/>
    <w:rsid w:val="001A5BAB"/>
    <w:rsid w:val="001A6B5F"/>
    <w:rsid w:val="001A7448"/>
    <w:rsid w:val="001B143D"/>
    <w:rsid w:val="001C3343"/>
    <w:rsid w:val="001C3823"/>
    <w:rsid w:val="001C5556"/>
    <w:rsid w:val="001C63AA"/>
    <w:rsid w:val="001C751F"/>
    <w:rsid w:val="001C7A4B"/>
    <w:rsid w:val="001D0383"/>
    <w:rsid w:val="001D613C"/>
    <w:rsid w:val="001E2CB4"/>
    <w:rsid w:val="001E4E27"/>
    <w:rsid w:val="001F40CF"/>
    <w:rsid w:val="001F6512"/>
    <w:rsid w:val="001F6880"/>
    <w:rsid w:val="0020183F"/>
    <w:rsid w:val="00205E3A"/>
    <w:rsid w:val="0020798F"/>
    <w:rsid w:val="00221252"/>
    <w:rsid w:val="00221A03"/>
    <w:rsid w:val="00231B68"/>
    <w:rsid w:val="00235E37"/>
    <w:rsid w:val="002366AF"/>
    <w:rsid w:val="00241CE4"/>
    <w:rsid w:val="00247619"/>
    <w:rsid w:val="00251B8C"/>
    <w:rsid w:val="00252529"/>
    <w:rsid w:val="00254F34"/>
    <w:rsid w:val="0026069A"/>
    <w:rsid w:val="00261526"/>
    <w:rsid w:val="0026269F"/>
    <w:rsid w:val="00263546"/>
    <w:rsid w:val="002643B9"/>
    <w:rsid w:val="00270839"/>
    <w:rsid w:val="002761E2"/>
    <w:rsid w:val="002767FB"/>
    <w:rsid w:val="00277007"/>
    <w:rsid w:val="00280521"/>
    <w:rsid w:val="00281AEB"/>
    <w:rsid w:val="0028295E"/>
    <w:rsid w:val="00283C5F"/>
    <w:rsid w:val="00286C29"/>
    <w:rsid w:val="00290B4F"/>
    <w:rsid w:val="00291928"/>
    <w:rsid w:val="00295115"/>
    <w:rsid w:val="0029617A"/>
    <w:rsid w:val="00297164"/>
    <w:rsid w:val="002A486C"/>
    <w:rsid w:val="002A572D"/>
    <w:rsid w:val="002A6228"/>
    <w:rsid w:val="002A7DD9"/>
    <w:rsid w:val="002A7E1E"/>
    <w:rsid w:val="002B040B"/>
    <w:rsid w:val="002B09A7"/>
    <w:rsid w:val="002B2000"/>
    <w:rsid w:val="002B4FD1"/>
    <w:rsid w:val="002B6FD1"/>
    <w:rsid w:val="002C0896"/>
    <w:rsid w:val="002C43AD"/>
    <w:rsid w:val="002C7C22"/>
    <w:rsid w:val="002D1C63"/>
    <w:rsid w:val="002D3A0E"/>
    <w:rsid w:val="002E0D61"/>
    <w:rsid w:val="002E3301"/>
    <w:rsid w:val="002E4A9F"/>
    <w:rsid w:val="002F45C0"/>
    <w:rsid w:val="002F56FF"/>
    <w:rsid w:val="003016D4"/>
    <w:rsid w:val="00301895"/>
    <w:rsid w:val="00305FAD"/>
    <w:rsid w:val="00306B15"/>
    <w:rsid w:val="00306D09"/>
    <w:rsid w:val="003127DE"/>
    <w:rsid w:val="00312B08"/>
    <w:rsid w:val="00313645"/>
    <w:rsid w:val="003179CF"/>
    <w:rsid w:val="00320D1B"/>
    <w:rsid w:val="00322CBF"/>
    <w:rsid w:val="00323574"/>
    <w:rsid w:val="00332440"/>
    <w:rsid w:val="00333BC8"/>
    <w:rsid w:val="0033452E"/>
    <w:rsid w:val="00336B51"/>
    <w:rsid w:val="00341CE7"/>
    <w:rsid w:val="00344385"/>
    <w:rsid w:val="00352DFF"/>
    <w:rsid w:val="0035393B"/>
    <w:rsid w:val="00355252"/>
    <w:rsid w:val="00357C42"/>
    <w:rsid w:val="00362B82"/>
    <w:rsid w:val="00366D50"/>
    <w:rsid w:val="00367E22"/>
    <w:rsid w:val="00373DC8"/>
    <w:rsid w:val="0037524A"/>
    <w:rsid w:val="00376C28"/>
    <w:rsid w:val="003774CE"/>
    <w:rsid w:val="003813AE"/>
    <w:rsid w:val="003846BF"/>
    <w:rsid w:val="0038632D"/>
    <w:rsid w:val="003925C1"/>
    <w:rsid w:val="003933ED"/>
    <w:rsid w:val="00393981"/>
    <w:rsid w:val="00395AD9"/>
    <w:rsid w:val="003A0690"/>
    <w:rsid w:val="003A36CA"/>
    <w:rsid w:val="003A4E7F"/>
    <w:rsid w:val="003A6D85"/>
    <w:rsid w:val="003B1E8C"/>
    <w:rsid w:val="003B2FCA"/>
    <w:rsid w:val="003B5806"/>
    <w:rsid w:val="003B7590"/>
    <w:rsid w:val="003C01F9"/>
    <w:rsid w:val="003C0897"/>
    <w:rsid w:val="003C3024"/>
    <w:rsid w:val="003C5CB8"/>
    <w:rsid w:val="003D23F0"/>
    <w:rsid w:val="003D3DBF"/>
    <w:rsid w:val="003D57E0"/>
    <w:rsid w:val="003D6011"/>
    <w:rsid w:val="003E075B"/>
    <w:rsid w:val="003E529B"/>
    <w:rsid w:val="003F3DB3"/>
    <w:rsid w:val="003F6248"/>
    <w:rsid w:val="003F62FA"/>
    <w:rsid w:val="0040043D"/>
    <w:rsid w:val="004009D3"/>
    <w:rsid w:val="0040629C"/>
    <w:rsid w:val="004062E5"/>
    <w:rsid w:val="00410398"/>
    <w:rsid w:val="00415FC8"/>
    <w:rsid w:val="00416D06"/>
    <w:rsid w:val="0042162E"/>
    <w:rsid w:val="0042529A"/>
    <w:rsid w:val="00430894"/>
    <w:rsid w:val="004356CE"/>
    <w:rsid w:val="00443A85"/>
    <w:rsid w:val="00443D23"/>
    <w:rsid w:val="0044588F"/>
    <w:rsid w:val="004468C0"/>
    <w:rsid w:val="00452595"/>
    <w:rsid w:val="00452E92"/>
    <w:rsid w:val="00453C3B"/>
    <w:rsid w:val="00454A19"/>
    <w:rsid w:val="00455D8D"/>
    <w:rsid w:val="004569EF"/>
    <w:rsid w:val="00456B0C"/>
    <w:rsid w:val="004605E7"/>
    <w:rsid w:val="00470B04"/>
    <w:rsid w:val="0047283A"/>
    <w:rsid w:val="004737E8"/>
    <w:rsid w:val="0048657B"/>
    <w:rsid w:val="00486618"/>
    <w:rsid w:val="0048701C"/>
    <w:rsid w:val="0049383B"/>
    <w:rsid w:val="00494C20"/>
    <w:rsid w:val="004A602D"/>
    <w:rsid w:val="004B02A5"/>
    <w:rsid w:val="004B24B6"/>
    <w:rsid w:val="004B2595"/>
    <w:rsid w:val="004B3D1B"/>
    <w:rsid w:val="004B447C"/>
    <w:rsid w:val="004B4C75"/>
    <w:rsid w:val="004C5F32"/>
    <w:rsid w:val="004C6012"/>
    <w:rsid w:val="004D21A5"/>
    <w:rsid w:val="004D46E0"/>
    <w:rsid w:val="004D6142"/>
    <w:rsid w:val="004E1677"/>
    <w:rsid w:val="004E22DE"/>
    <w:rsid w:val="004E30D0"/>
    <w:rsid w:val="004E3750"/>
    <w:rsid w:val="004E6E5E"/>
    <w:rsid w:val="004F0166"/>
    <w:rsid w:val="004F0AF3"/>
    <w:rsid w:val="004F3490"/>
    <w:rsid w:val="004F5295"/>
    <w:rsid w:val="004F5CC9"/>
    <w:rsid w:val="005033DE"/>
    <w:rsid w:val="00510769"/>
    <w:rsid w:val="00513D41"/>
    <w:rsid w:val="00516C31"/>
    <w:rsid w:val="0051723B"/>
    <w:rsid w:val="005205FD"/>
    <w:rsid w:val="00523504"/>
    <w:rsid w:val="00523B92"/>
    <w:rsid w:val="0052564C"/>
    <w:rsid w:val="00525902"/>
    <w:rsid w:val="00525CEA"/>
    <w:rsid w:val="00530197"/>
    <w:rsid w:val="0054029A"/>
    <w:rsid w:val="005412F8"/>
    <w:rsid w:val="00543E01"/>
    <w:rsid w:val="00552FF8"/>
    <w:rsid w:val="005546C1"/>
    <w:rsid w:val="00561A4F"/>
    <w:rsid w:val="005660E4"/>
    <w:rsid w:val="005661B6"/>
    <w:rsid w:val="00566F8D"/>
    <w:rsid w:val="00567F7C"/>
    <w:rsid w:val="005712BF"/>
    <w:rsid w:val="005713A3"/>
    <w:rsid w:val="005732F9"/>
    <w:rsid w:val="00576F64"/>
    <w:rsid w:val="005812B8"/>
    <w:rsid w:val="00590849"/>
    <w:rsid w:val="00591AC4"/>
    <w:rsid w:val="00596260"/>
    <w:rsid w:val="005A029E"/>
    <w:rsid w:val="005A2372"/>
    <w:rsid w:val="005A2389"/>
    <w:rsid w:val="005A351E"/>
    <w:rsid w:val="005B11C9"/>
    <w:rsid w:val="005B11E5"/>
    <w:rsid w:val="005B176F"/>
    <w:rsid w:val="005B2AAF"/>
    <w:rsid w:val="005B431B"/>
    <w:rsid w:val="005B455E"/>
    <w:rsid w:val="005B58EB"/>
    <w:rsid w:val="005B5E8E"/>
    <w:rsid w:val="005B6CDF"/>
    <w:rsid w:val="005C0493"/>
    <w:rsid w:val="005C25A2"/>
    <w:rsid w:val="005C3810"/>
    <w:rsid w:val="005D100C"/>
    <w:rsid w:val="005D290E"/>
    <w:rsid w:val="005D31EB"/>
    <w:rsid w:val="005D3561"/>
    <w:rsid w:val="005D61E2"/>
    <w:rsid w:val="005D6760"/>
    <w:rsid w:val="005E1ECB"/>
    <w:rsid w:val="005E30E0"/>
    <w:rsid w:val="005E4081"/>
    <w:rsid w:val="005E77EC"/>
    <w:rsid w:val="005E7C03"/>
    <w:rsid w:val="005F0807"/>
    <w:rsid w:val="005F1BFB"/>
    <w:rsid w:val="005F3EA8"/>
    <w:rsid w:val="005F55B3"/>
    <w:rsid w:val="00600515"/>
    <w:rsid w:val="006030BF"/>
    <w:rsid w:val="006071FC"/>
    <w:rsid w:val="00612396"/>
    <w:rsid w:val="00612632"/>
    <w:rsid w:val="006128B3"/>
    <w:rsid w:val="00615147"/>
    <w:rsid w:val="00616F8F"/>
    <w:rsid w:val="0061701A"/>
    <w:rsid w:val="00617DAD"/>
    <w:rsid w:val="00623507"/>
    <w:rsid w:val="00624511"/>
    <w:rsid w:val="00624DEF"/>
    <w:rsid w:val="0062550E"/>
    <w:rsid w:val="006301F9"/>
    <w:rsid w:val="0063683F"/>
    <w:rsid w:val="00641766"/>
    <w:rsid w:val="0064506D"/>
    <w:rsid w:val="00645696"/>
    <w:rsid w:val="006470E8"/>
    <w:rsid w:val="00652F61"/>
    <w:rsid w:val="00652FE5"/>
    <w:rsid w:val="00692D10"/>
    <w:rsid w:val="00693D70"/>
    <w:rsid w:val="0069454F"/>
    <w:rsid w:val="00694889"/>
    <w:rsid w:val="00696A6A"/>
    <w:rsid w:val="006A2179"/>
    <w:rsid w:val="006A3A67"/>
    <w:rsid w:val="006A3DC5"/>
    <w:rsid w:val="006A3FF2"/>
    <w:rsid w:val="006A7095"/>
    <w:rsid w:val="006B14C0"/>
    <w:rsid w:val="006B2095"/>
    <w:rsid w:val="006B585F"/>
    <w:rsid w:val="006B7B47"/>
    <w:rsid w:val="006D0BC1"/>
    <w:rsid w:val="006D21CD"/>
    <w:rsid w:val="006D38A5"/>
    <w:rsid w:val="006D4DAE"/>
    <w:rsid w:val="006E051C"/>
    <w:rsid w:val="006E0CB2"/>
    <w:rsid w:val="006E53B4"/>
    <w:rsid w:val="006F0520"/>
    <w:rsid w:val="006F220C"/>
    <w:rsid w:val="006F38EC"/>
    <w:rsid w:val="006F40A3"/>
    <w:rsid w:val="00701EA1"/>
    <w:rsid w:val="0070324B"/>
    <w:rsid w:val="007063D1"/>
    <w:rsid w:val="007111C0"/>
    <w:rsid w:val="0072445D"/>
    <w:rsid w:val="00724F1F"/>
    <w:rsid w:val="00730C0E"/>
    <w:rsid w:val="00736632"/>
    <w:rsid w:val="00740798"/>
    <w:rsid w:val="00745490"/>
    <w:rsid w:val="0074682C"/>
    <w:rsid w:val="0075119B"/>
    <w:rsid w:val="0075136B"/>
    <w:rsid w:val="007546E7"/>
    <w:rsid w:val="00760991"/>
    <w:rsid w:val="00761DA2"/>
    <w:rsid w:val="007634C0"/>
    <w:rsid w:val="00767B62"/>
    <w:rsid w:val="00770E66"/>
    <w:rsid w:val="00773CF8"/>
    <w:rsid w:val="00777B93"/>
    <w:rsid w:val="00786AAC"/>
    <w:rsid w:val="00790B1C"/>
    <w:rsid w:val="0079218D"/>
    <w:rsid w:val="00793675"/>
    <w:rsid w:val="00793BA0"/>
    <w:rsid w:val="00797796"/>
    <w:rsid w:val="007A2B7F"/>
    <w:rsid w:val="007A3381"/>
    <w:rsid w:val="007B0396"/>
    <w:rsid w:val="007B24D9"/>
    <w:rsid w:val="007B4DB7"/>
    <w:rsid w:val="007C4BF7"/>
    <w:rsid w:val="007C4F7B"/>
    <w:rsid w:val="007C6A39"/>
    <w:rsid w:val="007D489E"/>
    <w:rsid w:val="007D6EC4"/>
    <w:rsid w:val="007E281C"/>
    <w:rsid w:val="007E2D61"/>
    <w:rsid w:val="007E6251"/>
    <w:rsid w:val="007E6B9D"/>
    <w:rsid w:val="007E784E"/>
    <w:rsid w:val="007F020D"/>
    <w:rsid w:val="007F1A6E"/>
    <w:rsid w:val="007F2EF5"/>
    <w:rsid w:val="007F4596"/>
    <w:rsid w:val="007F470A"/>
    <w:rsid w:val="007F4F6E"/>
    <w:rsid w:val="007F659E"/>
    <w:rsid w:val="007F6AEE"/>
    <w:rsid w:val="00801970"/>
    <w:rsid w:val="008048D1"/>
    <w:rsid w:val="008055A6"/>
    <w:rsid w:val="00807032"/>
    <w:rsid w:val="00811C19"/>
    <w:rsid w:val="0081517D"/>
    <w:rsid w:val="00817D27"/>
    <w:rsid w:val="008204F5"/>
    <w:rsid w:val="00821650"/>
    <w:rsid w:val="00822DF2"/>
    <w:rsid w:val="008230DE"/>
    <w:rsid w:val="008243A4"/>
    <w:rsid w:val="00826ACE"/>
    <w:rsid w:val="00827E77"/>
    <w:rsid w:val="00831360"/>
    <w:rsid w:val="0083332E"/>
    <w:rsid w:val="008343E5"/>
    <w:rsid w:val="00840472"/>
    <w:rsid w:val="008436B5"/>
    <w:rsid w:val="00847C9F"/>
    <w:rsid w:val="008514F6"/>
    <w:rsid w:val="00851A36"/>
    <w:rsid w:val="00852668"/>
    <w:rsid w:val="00852752"/>
    <w:rsid w:val="00854706"/>
    <w:rsid w:val="00855AA8"/>
    <w:rsid w:val="00856BC8"/>
    <w:rsid w:val="008674F7"/>
    <w:rsid w:val="00870A07"/>
    <w:rsid w:val="00872644"/>
    <w:rsid w:val="008744C5"/>
    <w:rsid w:val="00874A20"/>
    <w:rsid w:val="00875615"/>
    <w:rsid w:val="00876AA6"/>
    <w:rsid w:val="0088565D"/>
    <w:rsid w:val="0089338B"/>
    <w:rsid w:val="00893D5E"/>
    <w:rsid w:val="00893F82"/>
    <w:rsid w:val="00895991"/>
    <w:rsid w:val="008A09C8"/>
    <w:rsid w:val="008A3ABE"/>
    <w:rsid w:val="008A41F1"/>
    <w:rsid w:val="008A63A0"/>
    <w:rsid w:val="008A78CD"/>
    <w:rsid w:val="008B39E8"/>
    <w:rsid w:val="008B4597"/>
    <w:rsid w:val="008B7729"/>
    <w:rsid w:val="008C43CB"/>
    <w:rsid w:val="008C4DB5"/>
    <w:rsid w:val="008D44FA"/>
    <w:rsid w:val="008E2CD4"/>
    <w:rsid w:val="008E395E"/>
    <w:rsid w:val="008E7E02"/>
    <w:rsid w:val="008F099F"/>
    <w:rsid w:val="008F33B6"/>
    <w:rsid w:val="008F4AA8"/>
    <w:rsid w:val="008F4CDB"/>
    <w:rsid w:val="008F5648"/>
    <w:rsid w:val="00900FD9"/>
    <w:rsid w:val="00907716"/>
    <w:rsid w:val="00907BA6"/>
    <w:rsid w:val="00910EDA"/>
    <w:rsid w:val="009113A7"/>
    <w:rsid w:val="00911955"/>
    <w:rsid w:val="00912B0F"/>
    <w:rsid w:val="00920E79"/>
    <w:rsid w:val="00922F4D"/>
    <w:rsid w:val="0092731A"/>
    <w:rsid w:val="00937742"/>
    <w:rsid w:val="009443AA"/>
    <w:rsid w:val="009508DD"/>
    <w:rsid w:val="009545C5"/>
    <w:rsid w:val="00956887"/>
    <w:rsid w:val="00966225"/>
    <w:rsid w:val="00971C0D"/>
    <w:rsid w:val="00971DB2"/>
    <w:rsid w:val="00976B5C"/>
    <w:rsid w:val="009775D2"/>
    <w:rsid w:val="00982510"/>
    <w:rsid w:val="0098566A"/>
    <w:rsid w:val="009859E0"/>
    <w:rsid w:val="00986B6B"/>
    <w:rsid w:val="00986D37"/>
    <w:rsid w:val="00991D9C"/>
    <w:rsid w:val="00993400"/>
    <w:rsid w:val="00993AA0"/>
    <w:rsid w:val="009A0085"/>
    <w:rsid w:val="009B0782"/>
    <w:rsid w:val="009B24FB"/>
    <w:rsid w:val="009B2D0E"/>
    <w:rsid w:val="009B6360"/>
    <w:rsid w:val="009C7425"/>
    <w:rsid w:val="009D10B7"/>
    <w:rsid w:val="009D11CB"/>
    <w:rsid w:val="009D2C2B"/>
    <w:rsid w:val="009D38AB"/>
    <w:rsid w:val="009E2EF3"/>
    <w:rsid w:val="009F289E"/>
    <w:rsid w:val="009F2E0D"/>
    <w:rsid w:val="009F3FD6"/>
    <w:rsid w:val="00A01F77"/>
    <w:rsid w:val="00A021BD"/>
    <w:rsid w:val="00A02242"/>
    <w:rsid w:val="00A07E35"/>
    <w:rsid w:val="00A206FB"/>
    <w:rsid w:val="00A26F64"/>
    <w:rsid w:val="00A32F1C"/>
    <w:rsid w:val="00A42373"/>
    <w:rsid w:val="00A425A4"/>
    <w:rsid w:val="00A43BA9"/>
    <w:rsid w:val="00A5274D"/>
    <w:rsid w:val="00A53A67"/>
    <w:rsid w:val="00A5515C"/>
    <w:rsid w:val="00A559D4"/>
    <w:rsid w:val="00A56C72"/>
    <w:rsid w:val="00A60DB7"/>
    <w:rsid w:val="00A62016"/>
    <w:rsid w:val="00A62AEB"/>
    <w:rsid w:val="00A64D5E"/>
    <w:rsid w:val="00A65525"/>
    <w:rsid w:val="00A6638D"/>
    <w:rsid w:val="00A676FE"/>
    <w:rsid w:val="00A67DB6"/>
    <w:rsid w:val="00A827AE"/>
    <w:rsid w:val="00A90CFE"/>
    <w:rsid w:val="00A914EF"/>
    <w:rsid w:val="00A921B7"/>
    <w:rsid w:val="00A9348D"/>
    <w:rsid w:val="00A95360"/>
    <w:rsid w:val="00A97137"/>
    <w:rsid w:val="00A975DC"/>
    <w:rsid w:val="00AB04DC"/>
    <w:rsid w:val="00AB1D38"/>
    <w:rsid w:val="00AB1FF7"/>
    <w:rsid w:val="00AB3447"/>
    <w:rsid w:val="00AB3A69"/>
    <w:rsid w:val="00AC38FF"/>
    <w:rsid w:val="00AC5805"/>
    <w:rsid w:val="00AD124C"/>
    <w:rsid w:val="00AD1B15"/>
    <w:rsid w:val="00AD529C"/>
    <w:rsid w:val="00AD7A7D"/>
    <w:rsid w:val="00AE344B"/>
    <w:rsid w:val="00AE46EA"/>
    <w:rsid w:val="00AE6F1C"/>
    <w:rsid w:val="00AF15F6"/>
    <w:rsid w:val="00AF4A7A"/>
    <w:rsid w:val="00AF581E"/>
    <w:rsid w:val="00AF6B9F"/>
    <w:rsid w:val="00AF7255"/>
    <w:rsid w:val="00B009BD"/>
    <w:rsid w:val="00B00A61"/>
    <w:rsid w:val="00B06B99"/>
    <w:rsid w:val="00B102E3"/>
    <w:rsid w:val="00B11F24"/>
    <w:rsid w:val="00B12224"/>
    <w:rsid w:val="00B14B7F"/>
    <w:rsid w:val="00B1638F"/>
    <w:rsid w:val="00B170A6"/>
    <w:rsid w:val="00B17616"/>
    <w:rsid w:val="00B21296"/>
    <w:rsid w:val="00B21A22"/>
    <w:rsid w:val="00B229CA"/>
    <w:rsid w:val="00B30863"/>
    <w:rsid w:val="00B358B4"/>
    <w:rsid w:val="00B364EB"/>
    <w:rsid w:val="00B43A03"/>
    <w:rsid w:val="00B44185"/>
    <w:rsid w:val="00B444F6"/>
    <w:rsid w:val="00B46AA3"/>
    <w:rsid w:val="00B46F31"/>
    <w:rsid w:val="00B47247"/>
    <w:rsid w:val="00B47E41"/>
    <w:rsid w:val="00B50C95"/>
    <w:rsid w:val="00B525BC"/>
    <w:rsid w:val="00B64EF9"/>
    <w:rsid w:val="00B666EC"/>
    <w:rsid w:val="00B669B5"/>
    <w:rsid w:val="00B71F44"/>
    <w:rsid w:val="00B73420"/>
    <w:rsid w:val="00B73A03"/>
    <w:rsid w:val="00B7507C"/>
    <w:rsid w:val="00B750DD"/>
    <w:rsid w:val="00B80694"/>
    <w:rsid w:val="00B8108A"/>
    <w:rsid w:val="00B816FB"/>
    <w:rsid w:val="00B8368E"/>
    <w:rsid w:val="00B85286"/>
    <w:rsid w:val="00B85FDC"/>
    <w:rsid w:val="00B86334"/>
    <w:rsid w:val="00B86816"/>
    <w:rsid w:val="00BA23ED"/>
    <w:rsid w:val="00BA7A40"/>
    <w:rsid w:val="00BB2F1F"/>
    <w:rsid w:val="00BC2D2D"/>
    <w:rsid w:val="00BC4A59"/>
    <w:rsid w:val="00BC582E"/>
    <w:rsid w:val="00BC6BF6"/>
    <w:rsid w:val="00BD0786"/>
    <w:rsid w:val="00BD0D65"/>
    <w:rsid w:val="00BE3E9E"/>
    <w:rsid w:val="00BE6714"/>
    <w:rsid w:val="00BF1D33"/>
    <w:rsid w:val="00BF4F2E"/>
    <w:rsid w:val="00BF5A79"/>
    <w:rsid w:val="00BF60D1"/>
    <w:rsid w:val="00BF736E"/>
    <w:rsid w:val="00C011AE"/>
    <w:rsid w:val="00C0127A"/>
    <w:rsid w:val="00C11B7B"/>
    <w:rsid w:val="00C15848"/>
    <w:rsid w:val="00C15C91"/>
    <w:rsid w:val="00C21F29"/>
    <w:rsid w:val="00C222D2"/>
    <w:rsid w:val="00C240E4"/>
    <w:rsid w:val="00C2499F"/>
    <w:rsid w:val="00C271A6"/>
    <w:rsid w:val="00C338FC"/>
    <w:rsid w:val="00C33C13"/>
    <w:rsid w:val="00C341FA"/>
    <w:rsid w:val="00C374FA"/>
    <w:rsid w:val="00C376EA"/>
    <w:rsid w:val="00C47AB3"/>
    <w:rsid w:val="00C51427"/>
    <w:rsid w:val="00C524CB"/>
    <w:rsid w:val="00C52F2A"/>
    <w:rsid w:val="00C559AB"/>
    <w:rsid w:val="00C61955"/>
    <w:rsid w:val="00C65450"/>
    <w:rsid w:val="00C716A9"/>
    <w:rsid w:val="00C74505"/>
    <w:rsid w:val="00C75802"/>
    <w:rsid w:val="00C7690F"/>
    <w:rsid w:val="00C80E72"/>
    <w:rsid w:val="00C83DF6"/>
    <w:rsid w:val="00C849DE"/>
    <w:rsid w:val="00C8594F"/>
    <w:rsid w:val="00C85B6D"/>
    <w:rsid w:val="00C9631B"/>
    <w:rsid w:val="00CA0DFA"/>
    <w:rsid w:val="00CB4335"/>
    <w:rsid w:val="00CB4DCC"/>
    <w:rsid w:val="00CC01ED"/>
    <w:rsid w:val="00CC6B91"/>
    <w:rsid w:val="00CC7DAE"/>
    <w:rsid w:val="00CD002D"/>
    <w:rsid w:val="00CD150C"/>
    <w:rsid w:val="00CD428D"/>
    <w:rsid w:val="00CD5C09"/>
    <w:rsid w:val="00CE06DC"/>
    <w:rsid w:val="00CE5136"/>
    <w:rsid w:val="00CE6EBD"/>
    <w:rsid w:val="00CE701B"/>
    <w:rsid w:val="00CE725D"/>
    <w:rsid w:val="00CF0CB4"/>
    <w:rsid w:val="00CF0ED5"/>
    <w:rsid w:val="00CF3E33"/>
    <w:rsid w:val="00CF7E73"/>
    <w:rsid w:val="00D016F7"/>
    <w:rsid w:val="00D019F0"/>
    <w:rsid w:val="00D10353"/>
    <w:rsid w:val="00D10F20"/>
    <w:rsid w:val="00D125BB"/>
    <w:rsid w:val="00D12B1A"/>
    <w:rsid w:val="00D17023"/>
    <w:rsid w:val="00D27705"/>
    <w:rsid w:val="00D320BD"/>
    <w:rsid w:val="00D366B7"/>
    <w:rsid w:val="00D42942"/>
    <w:rsid w:val="00D42B93"/>
    <w:rsid w:val="00D42E99"/>
    <w:rsid w:val="00D433E8"/>
    <w:rsid w:val="00D44FC3"/>
    <w:rsid w:val="00D51A0B"/>
    <w:rsid w:val="00D52190"/>
    <w:rsid w:val="00D5502F"/>
    <w:rsid w:val="00D6319B"/>
    <w:rsid w:val="00D65BA9"/>
    <w:rsid w:val="00D66087"/>
    <w:rsid w:val="00D679C7"/>
    <w:rsid w:val="00D67C81"/>
    <w:rsid w:val="00D7143E"/>
    <w:rsid w:val="00D72F71"/>
    <w:rsid w:val="00D74FA1"/>
    <w:rsid w:val="00D77615"/>
    <w:rsid w:val="00D82B9B"/>
    <w:rsid w:val="00D83691"/>
    <w:rsid w:val="00D85BC7"/>
    <w:rsid w:val="00D86857"/>
    <w:rsid w:val="00D87350"/>
    <w:rsid w:val="00D9025F"/>
    <w:rsid w:val="00D90460"/>
    <w:rsid w:val="00D93135"/>
    <w:rsid w:val="00D94FCC"/>
    <w:rsid w:val="00D963B6"/>
    <w:rsid w:val="00DA20F0"/>
    <w:rsid w:val="00DA2FBC"/>
    <w:rsid w:val="00DA3C7B"/>
    <w:rsid w:val="00DA4BC9"/>
    <w:rsid w:val="00DA6CF8"/>
    <w:rsid w:val="00DB01B7"/>
    <w:rsid w:val="00DB15F7"/>
    <w:rsid w:val="00DB1613"/>
    <w:rsid w:val="00DB30B2"/>
    <w:rsid w:val="00DB43A5"/>
    <w:rsid w:val="00DB6345"/>
    <w:rsid w:val="00DB6688"/>
    <w:rsid w:val="00DB7EB0"/>
    <w:rsid w:val="00DC4677"/>
    <w:rsid w:val="00DC73E7"/>
    <w:rsid w:val="00DC79BE"/>
    <w:rsid w:val="00DD1F27"/>
    <w:rsid w:val="00DD4188"/>
    <w:rsid w:val="00DD7658"/>
    <w:rsid w:val="00DE06D6"/>
    <w:rsid w:val="00DE0755"/>
    <w:rsid w:val="00DE27F8"/>
    <w:rsid w:val="00DE3FCA"/>
    <w:rsid w:val="00E03DC5"/>
    <w:rsid w:val="00E1341C"/>
    <w:rsid w:val="00E13B6D"/>
    <w:rsid w:val="00E13EF2"/>
    <w:rsid w:val="00E15079"/>
    <w:rsid w:val="00E248A8"/>
    <w:rsid w:val="00E24DE9"/>
    <w:rsid w:val="00E269BA"/>
    <w:rsid w:val="00E27BF2"/>
    <w:rsid w:val="00E31D32"/>
    <w:rsid w:val="00E37B8A"/>
    <w:rsid w:val="00E41763"/>
    <w:rsid w:val="00E41E24"/>
    <w:rsid w:val="00E43B72"/>
    <w:rsid w:val="00E457FC"/>
    <w:rsid w:val="00E47FD6"/>
    <w:rsid w:val="00E50443"/>
    <w:rsid w:val="00E51368"/>
    <w:rsid w:val="00E514E0"/>
    <w:rsid w:val="00E5433B"/>
    <w:rsid w:val="00E560A7"/>
    <w:rsid w:val="00E61592"/>
    <w:rsid w:val="00E6422C"/>
    <w:rsid w:val="00E672F5"/>
    <w:rsid w:val="00E673CD"/>
    <w:rsid w:val="00E67880"/>
    <w:rsid w:val="00E735BC"/>
    <w:rsid w:val="00E73BFC"/>
    <w:rsid w:val="00E754AE"/>
    <w:rsid w:val="00E76713"/>
    <w:rsid w:val="00E84034"/>
    <w:rsid w:val="00E8551B"/>
    <w:rsid w:val="00E90033"/>
    <w:rsid w:val="00E95437"/>
    <w:rsid w:val="00E96406"/>
    <w:rsid w:val="00E96C5B"/>
    <w:rsid w:val="00E9706E"/>
    <w:rsid w:val="00EA1DC2"/>
    <w:rsid w:val="00EA43B7"/>
    <w:rsid w:val="00EA7004"/>
    <w:rsid w:val="00EB00E1"/>
    <w:rsid w:val="00EB17DE"/>
    <w:rsid w:val="00EB1AD7"/>
    <w:rsid w:val="00EB2155"/>
    <w:rsid w:val="00EB3C38"/>
    <w:rsid w:val="00EB4DBD"/>
    <w:rsid w:val="00EC006A"/>
    <w:rsid w:val="00EC1359"/>
    <w:rsid w:val="00EC31A6"/>
    <w:rsid w:val="00EC6294"/>
    <w:rsid w:val="00EC7A22"/>
    <w:rsid w:val="00ED0F1E"/>
    <w:rsid w:val="00EE059F"/>
    <w:rsid w:val="00EE4E1E"/>
    <w:rsid w:val="00EE6236"/>
    <w:rsid w:val="00EF1499"/>
    <w:rsid w:val="00EF35B2"/>
    <w:rsid w:val="00EF36DA"/>
    <w:rsid w:val="00EF4841"/>
    <w:rsid w:val="00EF49FB"/>
    <w:rsid w:val="00EF61C9"/>
    <w:rsid w:val="00F03BE8"/>
    <w:rsid w:val="00F044EF"/>
    <w:rsid w:val="00F050E9"/>
    <w:rsid w:val="00F0719B"/>
    <w:rsid w:val="00F12149"/>
    <w:rsid w:val="00F1405D"/>
    <w:rsid w:val="00F144D8"/>
    <w:rsid w:val="00F173C1"/>
    <w:rsid w:val="00F17537"/>
    <w:rsid w:val="00F2544E"/>
    <w:rsid w:val="00F27A9E"/>
    <w:rsid w:val="00F31012"/>
    <w:rsid w:val="00F32DCA"/>
    <w:rsid w:val="00F33A51"/>
    <w:rsid w:val="00F33BCB"/>
    <w:rsid w:val="00F33CB7"/>
    <w:rsid w:val="00F35386"/>
    <w:rsid w:val="00F361F7"/>
    <w:rsid w:val="00F37DAB"/>
    <w:rsid w:val="00F45784"/>
    <w:rsid w:val="00F54435"/>
    <w:rsid w:val="00F54721"/>
    <w:rsid w:val="00F56C18"/>
    <w:rsid w:val="00F579E6"/>
    <w:rsid w:val="00F606B4"/>
    <w:rsid w:val="00F60A8C"/>
    <w:rsid w:val="00F652A0"/>
    <w:rsid w:val="00F71333"/>
    <w:rsid w:val="00F72B8A"/>
    <w:rsid w:val="00F733D1"/>
    <w:rsid w:val="00F76898"/>
    <w:rsid w:val="00F854A2"/>
    <w:rsid w:val="00F90638"/>
    <w:rsid w:val="00F9603C"/>
    <w:rsid w:val="00F96644"/>
    <w:rsid w:val="00FA0787"/>
    <w:rsid w:val="00FA3790"/>
    <w:rsid w:val="00FB141D"/>
    <w:rsid w:val="00FB4FED"/>
    <w:rsid w:val="00FB7444"/>
    <w:rsid w:val="00FC0D5F"/>
    <w:rsid w:val="00FC3285"/>
    <w:rsid w:val="00FD388D"/>
    <w:rsid w:val="00FE4D79"/>
    <w:rsid w:val="00FE50C9"/>
    <w:rsid w:val="00FE6713"/>
    <w:rsid w:val="00FE6A5A"/>
    <w:rsid w:val="00FE7554"/>
    <w:rsid w:val="00FF11B0"/>
    <w:rsid w:val="00FF1624"/>
    <w:rsid w:val="00FF1966"/>
    <w:rsid w:val="00FF3FEB"/>
    <w:rsid w:val="00FF67AE"/>
    <w:rsid w:val="00FF715E"/>
    <w:rsid w:val="022162B1"/>
    <w:rsid w:val="039B46FF"/>
    <w:rsid w:val="04073203"/>
    <w:rsid w:val="046C31A4"/>
    <w:rsid w:val="06B16ADD"/>
    <w:rsid w:val="082C723D"/>
    <w:rsid w:val="087B1631"/>
    <w:rsid w:val="0941554B"/>
    <w:rsid w:val="0A133E84"/>
    <w:rsid w:val="0BF41AF2"/>
    <w:rsid w:val="0C40215D"/>
    <w:rsid w:val="0CFD4E74"/>
    <w:rsid w:val="0D821B4C"/>
    <w:rsid w:val="0DA32AB6"/>
    <w:rsid w:val="0E857111"/>
    <w:rsid w:val="0EEC2FFB"/>
    <w:rsid w:val="0F1023F8"/>
    <w:rsid w:val="0F2D097A"/>
    <w:rsid w:val="10C57233"/>
    <w:rsid w:val="127039FD"/>
    <w:rsid w:val="182C71A8"/>
    <w:rsid w:val="184957D7"/>
    <w:rsid w:val="18ED4FD8"/>
    <w:rsid w:val="1B625407"/>
    <w:rsid w:val="1BCD22A3"/>
    <w:rsid w:val="1CC449EE"/>
    <w:rsid w:val="1D293D92"/>
    <w:rsid w:val="1D695934"/>
    <w:rsid w:val="1E0572E4"/>
    <w:rsid w:val="1F38206B"/>
    <w:rsid w:val="1F39532A"/>
    <w:rsid w:val="1F932500"/>
    <w:rsid w:val="209F52B9"/>
    <w:rsid w:val="21953B19"/>
    <w:rsid w:val="21A13378"/>
    <w:rsid w:val="2232017D"/>
    <w:rsid w:val="228C50A0"/>
    <w:rsid w:val="253604E7"/>
    <w:rsid w:val="253D00AD"/>
    <w:rsid w:val="2619693E"/>
    <w:rsid w:val="27DB2255"/>
    <w:rsid w:val="2A692A82"/>
    <w:rsid w:val="2A6B6334"/>
    <w:rsid w:val="2B253F3C"/>
    <w:rsid w:val="2B62111E"/>
    <w:rsid w:val="2E1A242E"/>
    <w:rsid w:val="2E294A91"/>
    <w:rsid w:val="2E386967"/>
    <w:rsid w:val="2E902D4D"/>
    <w:rsid w:val="30E27286"/>
    <w:rsid w:val="317C672F"/>
    <w:rsid w:val="33543E57"/>
    <w:rsid w:val="34FA0097"/>
    <w:rsid w:val="35380BBF"/>
    <w:rsid w:val="358B6F41"/>
    <w:rsid w:val="35CC4711"/>
    <w:rsid w:val="36112941"/>
    <w:rsid w:val="36F9612C"/>
    <w:rsid w:val="36FB264A"/>
    <w:rsid w:val="37FC608E"/>
    <w:rsid w:val="380356E1"/>
    <w:rsid w:val="38A32C62"/>
    <w:rsid w:val="38C41EFC"/>
    <w:rsid w:val="3A6A181A"/>
    <w:rsid w:val="3CD61426"/>
    <w:rsid w:val="3E7C195D"/>
    <w:rsid w:val="3F0B5B5B"/>
    <w:rsid w:val="3FD12AA3"/>
    <w:rsid w:val="40245174"/>
    <w:rsid w:val="43A21908"/>
    <w:rsid w:val="447F5EC2"/>
    <w:rsid w:val="44895F78"/>
    <w:rsid w:val="45116316"/>
    <w:rsid w:val="45D814A9"/>
    <w:rsid w:val="46D63FB4"/>
    <w:rsid w:val="47273282"/>
    <w:rsid w:val="47BF153E"/>
    <w:rsid w:val="47D31486"/>
    <w:rsid w:val="489F2E1F"/>
    <w:rsid w:val="48C60564"/>
    <w:rsid w:val="4B5E0C31"/>
    <w:rsid w:val="4B7B626D"/>
    <w:rsid w:val="4C0E789E"/>
    <w:rsid w:val="4C4A08D0"/>
    <w:rsid w:val="4C6807BE"/>
    <w:rsid w:val="4FC04FA2"/>
    <w:rsid w:val="50716C98"/>
    <w:rsid w:val="50D457E8"/>
    <w:rsid w:val="50FD1198"/>
    <w:rsid w:val="51187F34"/>
    <w:rsid w:val="513D4EA5"/>
    <w:rsid w:val="52B66476"/>
    <w:rsid w:val="541D74A6"/>
    <w:rsid w:val="54DA7A86"/>
    <w:rsid w:val="555420C8"/>
    <w:rsid w:val="555F46EB"/>
    <w:rsid w:val="56CE2D52"/>
    <w:rsid w:val="5B7333DE"/>
    <w:rsid w:val="5B8F0C89"/>
    <w:rsid w:val="5BB44C81"/>
    <w:rsid w:val="5CA47B63"/>
    <w:rsid w:val="5CEF3915"/>
    <w:rsid w:val="5CFE5644"/>
    <w:rsid w:val="5D0266BB"/>
    <w:rsid w:val="5D0C3EE4"/>
    <w:rsid w:val="5E6C74CA"/>
    <w:rsid w:val="5FC20C8C"/>
    <w:rsid w:val="60BC655E"/>
    <w:rsid w:val="627866F2"/>
    <w:rsid w:val="637C38A9"/>
    <w:rsid w:val="63D274BB"/>
    <w:rsid w:val="648D7855"/>
    <w:rsid w:val="64E70858"/>
    <w:rsid w:val="65E6756F"/>
    <w:rsid w:val="67BE7815"/>
    <w:rsid w:val="682A513E"/>
    <w:rsid w:val="683F16C8"/>
    <w:rsid w:val="68452F01"/>
    <w:rsid w:val="68DE109F"/>
    <w:rsid w:val="69304602"/>
    <w:rsid w:val="69E67492"/>
    <w:rsid w:val="6A875C5B"/>
    <w:rsid w:val="6BD149A6"/>
    <w:rsid w:val="6D5663ED"/>
    <w:rsid w:val="6D942FA1"/>
    <w:rsid w:val="70BB1961"/>
    <w:rsid w:val="70D17B7A"/>
    <w:rsid w:val="724B4E84"/>
    <w:rsid w:val="72544ED6"/>
    <w:rsid w:val="72903472"/>
    <w:rsid w:val="733F40E4"/>
    <w:rsid w:val="745148D6"/>
    <w:rsid w:val="74912E09"/>
    <w:rsid w:val="74B70B38"/>
    <w:rsid w:val="74F36D0D"/>
    <w:rsid w:val="7616320C"/>
    <w:rsid w:val="763C2C36"/>
    <w:rsid w:val="77393B4E"/>
    <w:rsid w:val="78C171F1"/>
    <w:rsid w:val="78D27468"/>
    <w:rsid w:val="7919277F"/>
    <w:rsid w:val="79B50E56"/>
    <w:rsid w:val="79F674FE"/>
    <w:rsid w:val="79FC3536"/>
    <w:rsid w:val="7A806F5C"/>
    <w:rsid w:val="7C065A34"/>
    <w:rsid w:val="7DA72FBA"/>
    <w:rsid w:val="7E89554E"/>
    <w:rsid w:val="7EF912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jc w:val="center"/>
      <w:textAlignment w:val="baseline"/>
      <w:outlineLvl w:val="0"/>
    </w:pPr>
    <w:rPr>
      <w:rFonts w:ascii="宋体" w:hAnsi="宋体"/>
      <w:b/>
      <w:kern w:val="44"/>
      <w:sz w:val="44"/>
      <w:szCs w:val="44"/>
    </w:rPr>
  </w:style>
  <w:style w:type="paragraph" w:styleId="4">
    <w:name w:val="heading 2"/>
    <w:basedOn w:val="1"/>
    <w:next w:val="1"/>
    <w:link w:val="49"/>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5">
    <w:name w:val="heading 3"/>
    <w:basedOn w:val="1"/>
    <w:next w:val="1"/>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6">
    <w:name w:val="heading 4"/>
    <w:basedOn w:val="1"/>
    <w:qFormat/>
    <w:uiPriority w:val="0"/>
    <w:pPr>
      <w:widowControl/>
      <w:spacing w:beforeAutospacing="1" w:afterAutospacing="1"/>
      <w:jc w:val="center"/>
      <w:outlineLvl w:val="3"/>
    </w:pPr>
    <w:rPr>
      <w:rFonts w:ascii="宋体" w:hAnsi="宋体" w:cs="宋体"/>
      <w:b/>
      <w:bCs/>
      <w:kern w:val="0"/>
      <w:sz w:val="24"/>
    </w:rPr>
  </w:style>
  <w:style w:type="paragraph" w:styleId="7">
    <w:name w:val="heading 5"/>
    <w:basedOn w:val="1"/>
    <w:next w:val="8"/>
    <w:qFormat/>
    <w:uiPriority w:val="0"/>
    <w:pPr>
      <w:keepNext/>
      <w:keepLines/>
      <w:tabs>
        <w:tab w:val="left" w:pos="312"/>
      </w:tabs>
      <w:spacing w:line="372" w:lineRule="auto"/>
      <w:outlineLvl w:val="4"/>
    </w:pPr>
    <w:rPr>
      <w:b/>
      <w:sz w:val="28"/>
      <w:szCs w:val="20"/>
    </w:rPr>
  </w:style>
  <w:style w:type="paragraph" w:styleId="9">
    <w:name w:val="heading 6"/>
    <w:basedOn w:val="1"/>
    <w:next w:val="8"/>
    <w:qFormat/>
    <w:uiPriority w:val="0"/>
    <w:pPr>
      <w:keepNext/>
      <w:keepLines/>
      <w:tabs>
        <w:tab w:val="left" w:pos="312"/>
      </w:tabs>
      <w:spacing w:line="317" w:lineRule="auto"/>
      <w:outlineLvl w:val="5"/>
    </w:pPr>
    <w:rPr>
      <w:rFonts w:ascii="Arial" w:hAnsi="Arial" w:eastAsia="黑体"/>
      <w:b/>
      <w:sz w:val="24"/>
      <w:szCs w:val="20"/>
    </w:rPr>
  </w:style>
  <w:style w:type="paragraph" w:styleId="10">
    <w:name w:val="heading 7"/>
    <w:basedOn w:val="1"/>
    <w:next w:val="8"/>
    <w:qFormat/>
    <w:uiPriority w:val="0"/>
    <w:pPr>
      <w:keepNext/>
      <w:keepLines/>
      <w:tabs>
        <w:tab w:val="left" w:pos="312"/>
      </w:tabs>
      <w:spacing w:line="317" w:lineRule="auto"/>
      <w:outlineLvl w:val="6"/>
    </w:pPr>
    <w:rPr>
      <w:b/>
      <w:sz w:val="24"/>
      <w:szCs w:val="20"/>
    </w:rPr>
  </w:style>
  <w:style w:type="paragraph" w:styleId="11">
    <w:name w:val="heading 8"/>
    <w:basedOn w:val="1"/>
    <w:next w:val="8"/>
    <w:qFormat/>
    <w:uiPriority w:val="0"/>
    <w:pPr>
      <w:keepNext/>
      <w:keepLines/>
      <w:tabs>
        <w:tab w:val="left" w:pos="312"/>
      </w:tabs>
      <w:spacing w:line="317" w:lineRule="auto"/>
      <w:outlineLvl w:val="7"/>
    </w:pPr>
    <w:rPr>
      <w:rFonts w:ascii="Arial" w:hAnsi="Arial" w:eastAsia="黑体"/>
      <w:sz w:val="24"/>
      <w:szCs w:val="20"/>
    </w:rPr>
  </w:style>
  <w:style w:type="paragraph" w:styleId="12">
    <w:name w:val="heading 9"/>
    <w:basedOn w:val="1"/>
    <w:next w:val="8"/>
    <w:qFormat/>
    <w:uiPriority w:val="0"/>
    <w:pPr>
      <w:keepNext/>
      <w:keepLines/>
      <w:tabs>
        <w:tab w:val="left" w:pos="312"/>
      </w:tabs>
      <w:spacing w:line="317" w:lineRule="auto"/>
      <w:outlineLvl w:val="8"/>
    </w:pPr>
    <w:rPr>
      <w:rFonts w:ascii="Arial" w:hAnsi="Arial" w:eastAsia="黑体"/>
      <w:szCs w:val="20"/>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索引 411"/>
    <w:basedOn w:val="1"/>
    <w:next w:val="1"/>
    <w:unhideWhenUsed/>
    <w:qFormat/>
    <w:uiPriority w:val="99"/>
    <w:pPr>
      <w:jc w:val="left"/>
    </w:pPr>
    <w:rPr>
      <w:sz w:val="24"/>
      <w:szCs w:val="24"/>
    </w:rPr>
  </w:style>
  <w:style w:type="paragraph" w:styleId="8">
    <w:name w:val="Normal Indent"/>
    <w:basedOn w:val="1"/>
    <w:link w:val="50"/>
    <w:qFormat/>
    <w:uiPriority w:val="0"/>
    <w:pPr>
      <w:autoSpaceDE w:val="0"/>
      <w:autoSpaceDN w:val="0"/>
      <w:spacing w:line="360" w:lineRule="auto"/>
      <w:ind w:left="181" w:firstLine="420"/>
    </w:pPr>
    <w:rPr>
      <w:sz w:val="24"/>
      <w:szCs w:val="20"/>
    </w:rPr>
  </w:style>
  <w:style w:type="paragraph" w:styleId="13">
    <w:name w:val="caption"/>
    <w:basedOn w:val="1"/>
    <w:next w:val="1"/>
    <w:qFormat/>
    <w:uiPriority w:val="0"/>
    <w:pPr>
      <w:spacing w:line="360" w:lineRule="auto"/>
      <w:jc w:val="center"/>
    </w:pPr>
    <w:rPr>
      <w:rFonts w:ascii="Arial" w:hAnsi="Arial" w:eastAsia="黑体"/>
      <w:sz w:val="24"/>
      <w:szCs w:val="20"/>
    </w:rPr>
  </w:style>
  <w:style w:type="paragraph" w:styleId="14">
    <w:name w:val="Document Map"/>
    <w:basedOn w:val="1"/>
    <w:qFormat/>
    <w:uiPriority w:val="0"/>
    <w:pPr>
      <w:shd w:val="clear" w:color="auto" w:fill="000080"/>
    </w:pPr>
  </w:style>
  <w:style w:type="paragraph" w:styleId="15">
    <w:name w:val="annotation text"/>
    <w:basedOn w:val="1"/>
    <w:link w:val="51"/>
    <w:qFormat/>
    <w:uiPriority w:val="99"/>
    <w:pPr>
      <w:jc w:val="left"/>
    </w:pPr>
  </w:style>
  <w:style w:type="paragraph" w:styleId="16">
    <w:name w:val="Body Text 3"/>
    <w:basedOn w:val="1"/>
    <w:qFormat/>
    <w:uiPriority w:val="0"/>
    <w:pPr>
      <w:spacing w:line="240" w:lineRule="exact"/>
    </w:pPr>
    <w:rPr>
      <w:rFonts w:ascii="宋体" w:hAnsi="宋体"/>
      <w:sz w:val="18"/>
    </w:rPr>
  </w:style>
  <w:style w:type="paragraph" w:styleId="17">
    <w:name w:val="Body Text"/>
    <w:basedOn w:val="1"/>
    <w:next w:val="1"/>
    <w:qFormat/>
    <w:uiPriority w:val="0"/>
  </w:style>
  <w:style w:type="paragraph" w:styleId="18">
    <w:name w:val="Body Text Indent"/>
    <w:basedOn w:val="1"/>
    <w:next w:val="19"/>
    <w:link w:val="52"/>
    <w:qFormat/>
    <w:uiPriority w:val="0"/>
    <w:pPr>
      <w:autoSpaceDE w:val="0"/>
      <w:autoSpaceDN w:val="0"/>
      <w:spacing w:line="360" w:lineRule="auto"/>
      <w:ind w:left="181" w:firstLine="539"/>
    </w:pPr>
    <w:rPr>
      <w:sz w:val="24"/>
      <w:szCs w:val="20"/>
    </w:rPr>
  </w:style>
  <w:style w:type="paragraph" w:styleId="19">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20">
    <w:name w:val="Block Text"/>
    <w:basedOn w:val="1"/>
    <w:qFormat/>
    <w:uiPriority w:val="0"/>
    <w:pPr>
      <w:ind w:left="1440" w:leftChars="700" w:right="1440" w:rightChars="700"/>
    </w:pPr>
  </w:style>
  <w:style w:type="paragraph" w:styleId="21">
    <w:name w:val="toc 3"/>
    <w:basedOn w:val="1"/>
    <w:next w:val="1"/>
    <w:qFormat/>
    <w:uiPriority w:val="0"/>
    <w:pPr>
      <w:ind w:left="420"/>
      <w:jc w:val="left"/>
    </w:pPr>
    <w:rPr>
      <w:i/>
      <w:iCs/>
    </w:rPr>
  </w:style>
  <w:style w:type="paragraph" w:styleId="22">
    <w:name w:val="Plain Text"/>
    <w:basedOn w:val="1"/>
    <w:link w:val="53"/>
    <w:qFormat/>
    <w:uiPriority w:val="99"/>
    <w:pPr>
      <w:spacing w:line="360" w:lineRule="auto"/>
    </w:pPr>
    <w:rPr>
      <w:rFonts w:ascii="宋体" w:hAnsi="Courier New"/>
      <w:spacing w:val="-8"/>
      <w:sz w:val="24"/>
      <w:szCs w:val="20"/>
    </w:rPr>
  </w:style>
  <w:style w:type="paragraph" w:styleId="23">
    <w:name w:val="Date"/>
    <w:basedOn w:val="1"/>
    <w:next w:val="1"/>
    <w:link w:val="54"/>
    <w:qFormat/>
    <w:uiPriority w:val="99"/>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4">
    <w:name w:val="Body Text Indent 2"/>
    <w:basedOn w:val="1"/>
    <w:qFormat/>
    <w:uiPriority w:val="0"/>
    <w:pPr>
      <w:ind w:firstLine="540"/>
    </w:pPr>
    <w:rPr>
      <w:szCs w:val="20"/>
    </w:rPr>
  </w:style>
  <w:style w:type="paragraph" w:styleId="25">
    <w:name w:val="Balloon Text"/>
    <w:basedOn w:val="1"/>
    <w:link w:val="55"/>
    <w:qFormat/>
    <w:uiPriority w:val="0"/>
    <w:rPr>
      <w:sz w:val="18"/>
      <w:szCs w:val="18"/>
    </w:rPr>
  </w:style>
  <w:style w:type="paragraph" w:styleId="26">
    <w:name w:val="footer"/>
    <w:basedOn w:val="1"/>
    <w:link w:val="56"/>
    <w:qFormat/>
    <w:uiPriority w:val="99"/>
    <w:pPr>
      <w:tabs>
        <w:tab w:val="center" w:pos="4153"/>
        <w:tab w:val="right" w:pos="8306"/>
      </w:tabs>
      <w:snapToGrid w:val="0"/>
      <w:jc w:val="left"/>
    </w:pPr>
    <w:rPr>
      <w:sz w:val="18"/>
      <w:szCs w:val="20"/>
    </w:rPr>
  </w:style>
  <w:style w:type="paragraph" w:styleId="27">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28">
    <w:name w:val="Signature"/>
    <w:basedOn w:val="1"/>
    <w:qFormat/>
    <w:uiPriority w:val="0"/>
    <w:pPr>
      <w:ind w:left="4320"/>
    </w:pPr>
    <w:rPr>
      <w:rFonts w:eastAsia="楷体_GB2312"/>
      <w:szCs w:val="20"/>
    </w:rPr>
  </w:style>
  <w:style w:type="paragraph" w:styleId="29">
    <w:name w:val="toc 1"/>
    <w:basedOn w:val="1"/>
    <w:next w:val="1"/>
    <w:qFormat/>
    <w:uiPriority w:val="0"/>
    <w:pPr>
      <w:jc w:val="left"/>
    </w:pPr>
    <w:rPr>
      <w:b/>
      <w:bCs/>
      <w:caps/>
    </w:rPr>
  </w:style>
  <w:style w:type="paragraph" w:styleId="30">
    <w:name w:val="Body Text Indent 3"/>
    <w:basedOn w:val="1"/>
    <w:qFormat/>
    <w:uiPriority w:val="0"/>
    <w:pPr>
      <w:ind w:firstLine="426"/>
    </w:pPr>
    <w:rPr>
      <w:szCs w:val="20"/>
    </w:rPr>
  </w:style>
  <w:style w:type="paragraph" w:styleId="31">
    <w:name w:val="toc 2"/>
    <w:basedOn w:val="1"/>
    <w:next w:val="1"/>
    <w:qFormat/>
    <w:uiPriority w:val="39"/>
    <w:pPr>
      <w:tabs>
        <w:tab w:val="right" w:leader="dot" w:pos="8778"/>
      </w:tabs>
      <w:ind w:left="23" w:leftChars="9" w:hanging="4" w:hangingChars="2"/>
      <w:jc w:val="left"/>
    </w:pPr>
    <w:rPr>
      <w:smallCaps/>
      <w:sz w:val="20"/>
      <w:szCs w:val="20"/>
    </w:rPr>
  </w:style>
  <w:style w:type="paragraph" w:styleId="32">
    <w:name w:val="Body Text 2"/>
    <w:basedOn w:val="1"/>
    <w:qFormat/>
    <w:uiPriority w:val="0"/>
    <w:rPr>
      <w:sz w:val="28"/>
      <w:szCs w:val="20"/>
    </w:rPr>
  </w:style>
  <w:style w:type="paragraph" w:styleId="33">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5">
    <w:name w:val="Normal (Web)"/>
    <w:basedOn w:val="1"/>
    <w:qFormat/>
    <w:uiPriority w:val="0"/>
    <w:pPr>
      <w:widowControl/>
      <w:spacing w:beforeAutospacing="1" w:afterAutospacing="1"/>
      <w:jc w:val="left"/>
    </w:pPr>
    <w:rPr>
      <w:rFonts w:ascii="宋体" w:hAnsi="宋体"/>
      <w:kern w:val="0"/>
      <w:sz w:val="24"/>
    </w:rPr>
  </w:style>
  <w:style w:type="paragraph" w:styleId="36">
    <w:name w:val="Title"/>
    <w:basedOn w:val="1"/>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7">
    <w:name w:val="annotation subject"/>
    <w:basedOn w:val="15"/>
    <w:next w:val="15"/>
    <w:link w:val="58"/>
    <w:qFormat/>
    <w:uiPriority w:val="0"/>
    <w:rPr>
      <w:b/>
      <w:bCs/>
    </w:rPr>
  </w:style>
  <w:style w:type="paragraph" w:styleId="38">
    <w:name w:val="Body Text First Indent"/>
    <w:basedOn w:val="17"/>
    <w:qFormat/>
    <w:uiPriority w:val="0"/>
    <w:pPr>
      <w:ind w:firstLine="420"/>
    </w:pPr>
    <w:rPr>
      <w:szCs w:val="20"/>
    </w:rPr>
  </w:style>
  <w:style w:type="paragraph" w:styleId="39">
    <w:name w:val="Body Text First Indent 2"/>
    <w:basedOn w:val="18"/>
    <w:link w:val="59"/>
    <w:qFormat/>
    <w:uiPriority w:val="0"/>
    <w:pPr>
      <w:autoSpaceDE/>
      <w:autoSpaceDN/>
      <w:spacing w:after="120" w:line="240" w:lineRule="auto"/>
      <w:ind w:left="420" w:leftChars="200" w:firstLine="420" w:firstLineChars="200"/>
    </w:pPr>
    <w:rPr>
      <w:sz w:val="21"/>
      <w:szCs w:val="24"/>
    </w:rPr>
  </w:style>
  <w:style w:type="table" w:styleId="41">
    <w:name w:val="Table Grid"/>
    <w:basedOn w:val="4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qFormat/>
    <w:uiPriority w:val="0"/>
    <w:rPr>
      <w:b/>
      <w:bCs/>
    </w:rPr>
  </w:style>
  <w:style w:type="character" w:styleId="44">
    <w:name w:val="page number"/>
    <w:qFormat/>
    <w:uiPriority w:val="0"/>
  </w:style>
  <w:style w:type="character" w:styleId="45">
    <w:name w:val="Emphasis"/>
    <w:qFormat/>
    <w:uiPriority w:val="20"/>
    <w:rPr>
      <w:i/>
      <w:iCs/>
    </w:rPr>
  </w:style>
  <w:style w:type="character" w:styleId="46">
    <w:name w:val="Hyperlink"/>
    <w:qFormat/>
    <w:uiPriority w:val="99"/>
    <w:rPr>
      <w:rFonts w:eastAsia="宋体"/>
      <w:color w:val="0000FF"/>
      <w:kern w:val="2"/>
      <w:sz w:val="24"/>
      <w:szCs w:val="24"/>
      <w:u w:val="single"/>
      <w:lang w:val="en-US" w:eastAsia="zh-CN" w:bidi="ar-SA"/>
    </w:rPr>
  </w:style>
  <w:style w:type="character" w:styleId="47">
    <w:name w:val="annotation reference"/>
    <w:qFormat/>
    <w:uiPriority w:val="0"/>
    <w:rPr>
      <w:sz w:val="21"/>
      <w:szCs w:val="21"/>
    </w:rPr>
  </w:style>
  <w:style w:type="paragraph" w:customStyle="1" w:styleId="48">
    <w:name w:val="Normal Indent1"/>
    <w:basedOn w:val="1"/>
    <w:qFormat/>
    <w:uiPriority w:val="0"/>
    <w:pPr>
      <w:spacing w:line="360" w:lineRule="auto"/>
      <w:ind w:firstLine="420" w:firstLineChars="200"/>
    </w:pPr>
    <w:rPr>
      <w:rFonts w:ascii="Calibri" w:hAnsi="Calibri"/>
      <w:sz w:val="24"/>
      <w:szCs w:val="21"/>
    </w:rPr>
  </w:style>
  <w:style w:type="character" w:customStyle="1" w:styleId="49">
    <w:name w:val="标题 2 字符"/>
    <w:link w:val="4"/>
    <w:qFormat/>
    <w:uiPriority w:val="0"/>
    <w:rPr>
      <w:rFonts w:ascii="Arial" w:hAnsi="Arial" w:eastAsia="黑体"/>
      <w:b/>
      <w:spacing w:val="24"/>
      <w:sz w:val="24"/>
      <w:lang w:val="en-US" w:eastAsia="zh-CN" w:bidi="ar-SA"/>
    </w:rPr>
  </w:style>
  <w:style w:type="character" w:customStyle="1" w:styleId="50">
    <w:name w:val="正文缩进 字符"/>
    <w:link w:val="8"/>
    <w:qFormat/>
    <w:uiPriority w:val="0"/>
    <w:rPr>
      <w:kern w:val="2"/>
      <w:sz w:val="24"/>
    </w:rPr>
  </w:style>
  <w:style w:type="character" w:customStyle="1" w:styleId="51">
    <w:name w:val="批注文字 字符"/>
    <w:link w:val="15"/>
    <w:qFormat/>
    <w:uiPriority w:val="99"/>
    <w:rPr>
      <w:rFonts w:eastAsia="宋体"/>
      <w:kern w:val="2"/>
      <w:sz w:val="21"/>
      <w:szCs w:val="24"/>
      <w:lang w:val="en-US" w:eastAsia="zh-CN" w:bidi="ar-SA"/>
    </w:rPr>
  </w:style>
  <w:style w:type="character" w:customStyle="1" w:styleId="52">
    <w:name w:val="正文文本缩进 字符"/>
    <w:link w:val="18"/>
    <w:qFormat/>
    <w:uiPriority w:val="0"/>
    <w:rPr>
      <w:kern w:val="2"/>
      <w:sz w:val="24"/>
    </w:rPr>
  </w:style>
  <w:style w:type="character" w:customStyle="1" w:styleId="53">
    <w:name w:val="纯文本 字符"/>
    <w:link w:val="22"/>
    <w:qFormat/>
    <w:uiPriority w:val="99"/>
    <w:rPr>
      <w:rFonts w:ascii="宋体" w:hAnsi="Courier New"/>
      <w:spacing w:val="-8"/>
      <w:kern w:val="2"/>
      <w:sz w:val="24"/>
    </w:rPr>
  </w:style>
  <w:style w:type="character" w:customStyle="1" w:styleId="54">
    <w:name w:val="日期 字符"/>
    <w:link w:val="23"/>
    <w:qFormat/>
    <w:uiPriority w:val="99"/>
    <w:rPr>
      <w:rFonts w:ascii="宋体" w:hAnsi="宋体"/>
      <w:sz w:val="24"/>
    </w:rPr>
  </w:style>
  <w:style w:type="character" w:customStyle="1" w:styleId="55">
    <w:name w:val="批注框文本 字符"/>
    <w:link w:val="25"/>
    <w:qFormat/>
    <w:uiPriority w:val="0"/>
    <w:rPr>
      <w:kern w:val="2"/>
      <w:sz w:val="18"/>
      <w:szCs w:val="18"/>
    </w:rPr>
  </w:style>
  <w:style w:type="character" w:customStyle="1" w:styleId="56">
    <w:name w:val="页脚 字符"/>
    <w:link w:val="26"/>
    <w:qFormat/>
    <w:uiPriority w:val="99"/>
    <w:rPr>
      <w:kern w:val="2"/>
      <w:sz w:val="18"/>
    </w:rPr>
  </w:style>
  <w:style w:type="character" w:customStyle="1" w:styleId="57">
    <w:name w:val="页眉 字符"/>
    <w:link w:val="27"/>
    <w:qFormat/>
    <w:uiPriority w:val="0"/>
    <w:rPr>
      <w:kern w:val="2"/>
      <w:sz w:val="18"/>
      <w:szCs w:val="18"/>
    </w:rPr>
  </w:style>
  <w:style w:type="character" w:customStyle="1" w:styleId="58">
    <w:name w:val="批注主题 字符"/>
    <w:link w:val="37"/>
    <w:qFormat/>
    <w:uiPriority w:val="0"/>
    <w:rPr>
      <w:rFonts w:eastAsia="宋体"/>
      <w:b/>
      <w:bCs/>
      <w:kern w:val="2"/>
      <w:sz w:val="21"/>
      <w:szCs w:val="24"/>
      <w:lang w:val="en-US" w:eastAsia="zh-CN" w:bidi="ar-SA"/>
    </w:rPr>
  </w:style>
  <w:style w:type="character" w:customStyle="1" w:styleId="59">
    <w:name w:val="正文文本首行缩进 2 字符"/>
    <w:basedOn w:val="52"/>
    <w:link w:val="39"/>
    <w:qFormat/>
    <w:uiPriority w:val="0"/>
    <w:rPr>
      <w:kern w:val="2"/>
      <w:sz w:val="21"/>
      <w:szCs w:val="24"/>
    </w:rPr>
  </w:style>
  <w:style w:type="paragraph" w:customStyle="1" w:styleId="60">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61">
    <w:name w:val="my正文 Char"/>
    <w:link w:val="62"/>
    <w:qFormat/>
    <w:uiPriority w:val="0"/>
    <w:rPr>
      <w:sz w:val="24"/>
      <w:szCs w:val="24"/>
    </w:rPr>
  </w:style>
  <w:style w:type="paragraph" w:customStyle="1" w:styleId="62">
    <w:name w:val="my正文"/>
    <w:basedOn w:val="1"/>
    <w:link w:val="61"/>
    <w:qFormat/>
    <w:uiPriority w:val="0"/>
    <w:pPr>
      <w:spacing w:line="360" w:lineRule="auto"/>
      <w:ind w:firstLine="200" w:firstLineChars="200"/>
    </w:pPr>
    <w:rPr>
      <w:kern w:val="0"/>
      <w:sz w:val="24"/>
    </w:rPr>
  </w:style>
  <w:style w:type="character" w:customStyle="1" w:styleId="63">
    <w:name w:val="font11"/>
    <w:qFormat/>
    <w:uiPriority w:val="0"/>
    <w:rPr>
      <w:rFonts w:hint="default" w:ascii="Times New Roman" w:hAnsi="Times New Roman" w:cs="Times New Roman"/>
      <w:color w:val="000000"/>
      <w:sz w:val="24"/>
      <w:szCs w:val="24"/>
      <w:u w:val="none"/>
    </w:rPr>
  </w:style>
  <w:style w:type="character" w:customStyle="1" w:styleId="64">
    <w:name w:val="NormalCharacter"/>
    <w:qFormat/>
    <w:uiPriority w:val="0"/>
  </w:style>
  <w:style w:type="character" w:customStyle="1" w:styleId="65">
    <w:name w:val="CSS1级正文 Char"/>
    <w:link w:val="66"/>
    <w:qFormat/>
    <w:uiPriority w:val="0"/>
    <w:rPr>
      <w:kern w:val="2"/>
      <w:sz w:val="21"/>
      <w:lang w:val="zh-CN"/>
    </w:rPr>
  </w:style>
  <w:style w:type="paragraph" w:customStyle="1" w:styleId="66">
    <w:name w:val="CSS1级正文"/>
    <w:basedOn w:val="17"/>
    <w:link w:val="65"/>
    <w:qFormat/>
    <w:uiPriority w:val="0"/>
    <w:pPr>
      <w:widowControl/>
      <w:spacing w:afterLines="100" w:line="360" w:lineRule="auto"/>
      <w:ind w:firstLine="480" w:firstLineChars="200"/>
      <w:jc w:val="left"/>
    </w:pPr>
    <w:rPr>
      <w:szCs w:val="20"/>
      <w:lang w:val="zh-CN"/>
    </w:rPr>
  </w:style>
  <w:style w:type="character" w:customStyle="1" w:styleId="67">
    <w:name w:val="普通文字 Char Char Char"/>
    <w:qFormat/>
    <w:uiPriority w:val="0"/>
    <w:rPr>
      <w:rFonts w:ascii="宋体" w:hAnsi="Courier New" w:eastAsia="宋体"/>
      <w:kern w:val="2"/>
      <w:sz w:val="21"/>
      <w:lang w:val="en-US" w:eastAsia="zh-CN" w:bidi="ar-SA"/>
    </w:rPr>
  </w:style>
  <w:style w:type="character" w:customStyle="1" w:styleId="68">
    <w:name w:val="文字 Char"/>
    <w:link w:val="69"/>
    <w:qFormat/>
    <w:uiPriority w:val="0"/>
    <w:rPr>
      <w:rFonts w:ascii="宋体" w:hAnsi="宋体" w:eastAsia="宋体"/>
      <w:kern w:val="2"/>
      <w:sz w:val="28"/>
      <w:lang w:val="en-US" w:eastAsia="zh-CN" w:bidi="ar-SA"/>
    </w:rPr>
  </w:style>
  <w:style w:type="paragraph" w:customStyle="1" w:styleId="69">
    <w:name w:val="文字"/>
    <w:basedOn w:val="1"/>
    <w:link w:val="68"/>
    <w:qFormat/>
    <w:uiPriority w:val="0"/>
    <w:pPr>
      <w:tabs>
        <w:tab w:val="left" w:pos="8520"/>
      </w:tabs>
      <w:spacing w:line="312" w:lineRule="auto"/>
      <w:ind w:right="-210" w:firstLine="556"/>
    </w:pPr>
    <w:rPr>
      <w:rFonts w:ascii="宋体" w:hAnsi="宋体"/>
      <w:sz w:val="28"/>
      <w:szCs w:val="20"/>
    </w:rPr>
  </w:style>
  <w:style w:type="character" w:customStyle="1" w:styleId="70">
    <w:name w:val="列表段落 字符"/>
    <w:link w:val="71"/>
    <w:qFormat/>
    <w:uiPriority w:val="34"/>
    <w:rPr>
      <w:rFonts w:ascii="Calibri" w:hAnsi="Calibri"/>
      <w:kern w:val="2"/>
      <w:sz w:val="21"/>
      <w:szCs w:val="22"/>
    </w:rPr>
  </w:style>
  <w:style w:type="paragraph" w:styleId="71">
    <w:name w:val="List Paragraph"/>
    <w:basedOn w:val="1"/>
    <w:link w:val="70"/>
    <w:qFormat/>
    <w:uiPriority w:val="34"/>
    <w:pPr>
      <w:ind w:firstLine="420" w:firstLineChars="200"/>
    </w:pPr>
    <w:rPr>
      <w:rFonts w:ascii="Calibri" w:hAnsi="Calibri"/>
      <w:szCs w:val="22"/>
    </w:rPr>
  </w:style>
  <w:style w:type="character" w:customStyle="1" w:styleId="72">
    <w:name w:val="列出段落 Char"/>
    <w:link w:val="73"/>
    <w:qFormat/>
    <w:locked/>
    <w:uiPriority w:val="34"/>
    <w:rPr>
      <w:kern w:val="2"/>
      <w:sz w:val="21"/>
      <w:szCs w:val="21"/>
    </w:rPr>
  </w:style>
  <w:style w:type="paragraph" w:customStyle="1" w:styleId="73">
    <w:name w:val="列出段落1"/>
    <w:basedOn w:val="1"/>
    <w:link w:val="72"/>
    <w:qFormat/>
    <w:uiPriority w:val="34"/>
    <w:pPr>
      <w:ind w:firstLine="420" w:firstLineChars="200"/>
    </w:pPr>
    <w:rPr>
      <w:szCs w:val="21"/>
    </w:rPr>
  </w:style>
  <w:style w:type="character" w:customStyle="1" w:styleId="74">
    <w:name w:val="样式 标准正文 + 宋体 小四 Char"/>
    <w:link w:val="75"/>
    <w:qFormat/>
    <w:uiPriority w:val="0"/>
    <w:rPr>
      <w:rFonts w:ascii="宋体" w:hAnsi="宋体" w:eastAsia="宋体"/>
      <w:kern w:val="2"/>
      <w:sz w:val="24"/>
      <w:lang w:val="en-US" w:eastAsia="zh-CN" w:bidi="ar-SA"/>
    </w:rPr>
  </w:style>
  <w:style w:type="paragraph" w:customStyle="1" w:styleId="75">
    <w:name w:val="样式 标准正文 + 宋体 小四"/>
    <w:basedOn w:val="1"/>
    <w:link w:val="74"/>
    <w:qFormat/>
    <w:uiPriority w:val="0"/>
    <w:pPr>
      <w:spacing w:line="360" w:lineRule="auto"/>
      <w:ind w:firstLine="200" w:firstLineChars="200"/>
    </w:pPr>
    <w:rPr>
      <w:rFonts w:ascii="宋体" w:hAnsi="宋体"/>
      <w:sz w:val="24"/>
      <w:szCs w:val="20"/>
    </w:rPr>
  </w:style>
  <w:style w:type="character" w:customStyle="1" w:styleId="76">
    <w:name w:val="style1"/>
    <w:qFormat/>
    <w:uiPriority w:val="0"/>
  </w:style>
  <w:style w:type="character" w:customStyle="1" w:styleId="77">
    <w:name w:val="apple-converted-space"/>
    <w:qFormat/>
    <w:uiPriority w:val="0"/>
  </w:style>
  <w:style w:type="character" w:customStyle="1" w:styleId="78">
    <w:name w:val="纯文本 Char"/>
    <w:qFormat/>
    <w:uiPriority w:val="99"/>
    <w:rPr>
      <w:rFonts w:ascii="宋体" w:hAnsi="Courier New" w:eastAsia="宋体"/>
      <w:kern w:val="2"/>
      <w:sz w:val="21"/>
      <w:szCs w:val="24"/>
      <w:lang w:val="en-US" w:eastAsia="zh-CN" w:bidi="ar-SA"/>
    </w:rPr>
  </w:style>
  <w:style w:type="character" w:customStyle="1" w:styleId="79">
    <w:name w:val="Char Char"/>
    <w:qFormat/>
    <w:uiPriority w:val="0"/>
    <w:rPr>
      <w:rFonts w:ascii="宋体" w:hAnsi="Courier New" w:eastAsia="宋体"/>
      <w:kern w:val="2"/>
      <w:sz w:val="21"/>
      <w:lang w:val="en-US" w:eastAsia="zh-CN" w:bidi="ar-SA"/>
    </w:rPr>
  </w:style>
  <w:style w:type="character" w:customStyle="1" w:styleId="80">
    <w:name w:val="纯文本 Char Char"/>
    <w:qFormat/>
    <w:uiPriority w:val="0"/>
    <w:rPr>
      <w:rFonts w:ascii="宋体" w:hAnsi="Courier New" w:eastAsia="宋体"/>
      <w:kern w:val="2"/>
      <w:sz w:val="21"/>
      <w:lang w:val="en-US" w:eastAsia="zh-CN" w:bidi="ar-SA"/>
    </w:rPr>
  </w:style>
  <w:style w:type="character" w:customStyle="1" w:styleId="81">
    <w:name w:val="￥正文 Char"/>
    <w:link w:val="82"/>
    <w:qFormat/>
    <w:uiPriority w:val="0"/>
    <w:rPr>
      <w:kern w:val="2"/>
      <w:sz w:val="24"/>
      <w:szCs w:val="22"/>
    </w:rPr>
  </w:style>
  <w:style w:type="paragraph" w:customStyle="1" w:styleId="82">
    <w:name w:val="￥正文"/>
    <w:basedOn w:val="1"/>
    <w:link w:val="81"/>
    <w:qFormat/>
    <w:uiPriority w:val="0"/>
    <w:pPr>
      <w:spacing w:line="360" w:lineRule="auto"/>
      <w:ind w:firstLine="200" w:firstLineChars="200"/>
    </w:pPr>
    <w:rPr>
      <w:sz w:val="24"/>
      <w:szCs w:val="22"/>
    </w:rPr>
  </w:style>
  <w:style w:type="character" w:customStyle="1" w:styleId="83">
    <w:name w:val="表正文 Char"/>
    <w:qFormat/>
    <w:uiPriority w:val="0"/>
    <w:rPr>
      <w:rFonts w:eastAsia="宋体"/>
      <w:kern w:val="2"/>
      <w:sz w:val="21"/>
      <w:szCs w:val="24"/>
      <w:lang w:val="en-US" w:eastAsia="zh-CN" w:bidi="ar-SA"/>
    </w:rPr>
  </w:style>
  <w:style w:type="paragraph" w:customStyle="1" w:styleId="84">
    <w:name w:val="正文内容"/>
    <w:basedOn w:val="1"/>
    <w:qFormat/>
    <w:uiPriority w:val="0"/>
    <w:rPr>
      <w:rFonts w:ascii="Arial" w:hAnsi="Arial"/>
      <w:spacing w:val="-12"/>
      <w:szCs w:val="20"/>
    </w:rPr>
  </w:style>
  <w:style w:type="paragraph" w:customStyle="1" w:styleId="85">
    <w:name w:val="xl26"/>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86">
    <w:name w:val="Char Char1"/>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87">
    <w:name w:val="文档正文"/>
    <w:basedOn w:val="1"/>
    <w:qFormat/>
    <w:uiPriority w:val="0"/>
    <w:rPr>
      <w:rFonts w:ascii="Arial" w:hAnsi="Arial" w:cs="Arial"/>
      <w:bCs/>
      <w:sz w:val="24"/>
    </w:rPr>
  </w:style>
  <w:style w:type="paragraph" w:customStyle="1" w:styleId="88">
    <w:name w:val="关于"/>
    <w:basedOn w:val="1"/>
    <w:next w:val="1"/>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89">
    <w:name w:val="xl39"/>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90">
    <w:name w:val="样式2"/>
    <w:basedOn w:val="21"/>
    <w:qFormat/>
    <w:uiPriority w:val="0"/>
    <w:pPr>
      <w:tabs>
        <w:tab w:val="right" w:leader="dot" w:pos="9458"/>
      </w:tabs>
    </w:pPr>
    <w:rPr>
      <w:rFonts w:ascii="Arial" w:cs="Arial"/>
      <w:i w:val="0"/>
    </w:rPr>
  </w:style>
  <w:style w:type="paragraph" w:customStyle="1" w:styleId="91">
    <w:name w:val="xl31"/>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92">
    <w:name w:val="xl32"/>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93">
    <w:name w:val="font5"/>
    <w:basedOn w:val="1"/>
    <w:qFormat/>
    <w:uiPriority w:val="0"/>
    <w:pPr>
      <w:widowControl/>
      <w:spacing w:beforeAutospacing="1" w:afterAutospacing="1"/>
      <w:jc w:val="left"/>
    </w:pPr>
    <w:rPr>
      <w:rFonts w:hint="eastAsia" w:ascii="宋体" w:hAnsi="宋体"/>
      <w:kern w:val="0"/>
      <w:sz w:val="18"/>
      <w:szCs w:val="18"/>
    </w:rPr>
  </w:style>
  <w:style w:type="paragraph" w:customStyle="1" w:styleId="94">
    <w:name w:val="表格文字"/>
    <w:basedOn w:val="1"/>
    <w:qFormat/>
    <w:uiPriority w:val="0"/>
    <w:pPr>
      <w:jc w:val="left"/>
    </w:pPr>
    <w:rPr>
      <w:spacing w:val="10"/>
      <w:kern w:val="0"/>
      <w:sz w:val="24"/>
    </w:rPr>
  </w:style>
  <w:style w:type="paragraph" w:customStyle="1" w:styleId="95">
    <w:name w:val="Char Char Char Char Char Char Char Char"/>
    <w:basedOn w:val="1"/>
    <w:qFormat/>
    <w:uiPriority w:val="0"/>
    <w:pPr>
      <w:tabs>
        <w:tab w:val="left" w:pos="360"/>
      </w:tabs>
    </w:pPr>
    <w:rPr>
      <w:sz w:val="24"/>
    </w:rPr>
  </w:style>
  <w:style w:type="paragraph" w:customStyle="1" w:styleId="96">
    <w:name w:val="Char1 Char Char Char Char Char Char"/>
    <w:basedOn w:val="1"/>
    <w:qFormat/>
    <w:uiPriority w:val="0"/>
    <w:pPr>
      <w:tabs>
        <w:tab w:val="left" w:pos="425"/>
      </w:tabs>
      <w:ind w:left="425" w:hanging="425"/>
    </w:pPr>
    <w:rPr>
      <w:sz w:val="24"/>
    </w:rPr>
  </w:style>
  <w:style w:type="paragraph" w:customStyle="1" w:styleId="97">
    <w:name w:val="签名 - 公司"/>
    <w:basedOn w:val="28"/>
    <w:next w:val="8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98">
    <w:name w:val="xl24"/>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99">
    <w:name w:val="Char Char Char Char Char Char Char Char Char Char Char Char Char Char Char Char"/>
    <w:basedOn w:val="1"/>
    <w:qFormat/>
    <w:uiPriority w:val="0"/>
    <w:pPr>
      <w:tabs>
        <w:tab w:val="left" w:pos="360"/>
      </w:tabs>
    </w:pPr>
    <w:rPr>
      <w:sz w:val="24"/>
    </w:rPr>
  </w:style>
  <w:style w:type="paragraph" w:customStyle="1" w:styleId="100">
    <w:name w:val="Char1 Char Char Char1"/>
    <w:basedOn w:val="1"/>
    <w:qFormat/>
    <w:uiPriority w:val="0"/>
    <w:pPr>
      <w:widowControl/>
      <w:spacing w:line="240" w:lineRule="exact"/>
      <w:jc w:val="left"/>
    </w:pPr>
    <w:rPr>
      <w:rFonts w:ascii="Verdana" w:hAnsi="Verdana" w:eastAsia="仿宋_GB2312"/>
      <w:kern w:val="0"/>
      <w:sz w:val="28"/>
      <w:szCs w:val="20"/>
      <w:lang w:eastAsia="en-US"/>
    </w:rPr>
  </w:style>
  <w:style w:type="paragraph" w:customStyle="1" w:styleId="101">
    <w:name w:val="正文样式"/>
    <w:basedOn w:val="1"/>
    <w:qFormat/>
    <w:uiPriority w:val="0"/>
    <w:pPr>
      <w:tabs>
        <w:tab w:val="left" w:pos="1560"/>
      </w:tabs>
      <w:spacing w:line="300" w:lineRule="auto"/>
      <w:ind w:left="1560" w:hanging="360"/>
    </w:pPr>
    <w:rPr>
      <w:rFonts w:ascii="宋体"/>
      <w:sz w:val="24"/>
    </w:rPr>
  </w:style>
  <w:style w:type="paragraph" w:customStyle="1" w:styleId="102">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03">
    <w:name w:val="样式3"/>
    <w:basedOn w:val="21"/>
    <w:qFormat/>
    <w:uiPriority w:val="0"/>
    <w:pPr>
      <w:tabs>
        <w:tab w:val="right" w:leader="dot" w:pos="9458"/>
      </w:tabs>
    </w:pPr>
    <w:rPr>
      <w:i w:val="0"/>
    </w:rPr>
  </w:style>
  <w:style w:type="paragraph" w:customStyle="1" w:styleId="104">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105">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106">
    <w:name w:val="_Style 101"/>
    <w:unhideWhenUsed/>
    <w:qFormat/>
    <w:uiPriority w:val="99"/>
    <w:rPr>
      <w:rFonts w:ascii="Times New Roman" w:hAnsi="Times New Roman" w:eastAsia="宋体" w:cs="Times New Roman"/>
      <w:kern w:val="2"/>
      <w:sz w:val="21"/>
      <w:szCs w:val="24"/>
      <w:lang w:val="en-US" w:eastAsia="zh-CN" w:bidi="ar-SA"/>
    </w:rPr>
  </w:style>
  <w:style w:type="paragraph" w:customStyle="1" w:styleId="107">
    <w:name w:val="l2"/>
    <w:basedOn w:val="1"/>
    <w:qFormat/>
    <w:uiPriority w:val="0"/>
    <w:pPr>
      <w:keepLines/>
      <w:widowControl/>
      <w:spacing w:beforeLines="50" w:afterLines="50" w:line="300" w:lineRule="auto"/>
    </w:pPr>
    <w:rPr>
      <w:rFonts w:ascii="Arial" w:hAnsi="Arial"/>
      <w:bCs/>
    </w:rPr>
  </w:style>
  <w:style w:type="paragraph" w:customStyle="1" w:styleId="108">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09">
    <w:name w:val="样式4"/>
    <w:basedOn w:val="29"/>
    <w:qFormat/>
    <w:uiPriority w:val="0"/>
    <w:pPr>
      <w:tabs>
        <w:tab w:val="right" w:leader="dot" w:pos="9458"/>
      </w:tabs>
    </w:pPr>
    <w:rPr>
      <w:b w:val="0"/>
    </w:rPr>
  </w:style>
  <w:style w:type="paragraph" w:customStyle="1" w:styleId="110">
    <w:name w:val="xl46"/>
    <w:basedOn w:val="1"/>
    <w:qFormat/>
    <w:uiPriority w:val="0"/>
    <w:pPr>
      <w:widowControl/>
      <w:spacing w:beforeAutospacing="1" w:afterAutospacing="1"/>
      <w:jc w:val="left"/>
      <w:textAlignment w:val="center"/>
    </w:pPr>
    <w:rPr>
      <w:rFonts w:ascii="宋体" w:hAnsi="宋体"/>
      <w:kern w:val="0"/>
      <w:sz w:val="22"/>
      <w:szCs w:val="22"/>
    </w:rPr>
  </w:style>
  <w:style w:type="paragraph" w:customStyle="1" w:styleId="111">
    <w:name w:val="样式1"/>
    <w:basedOn w:val="1"/>
    <w:qFormat/>
    <w:uiPriority w:val="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11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113">
    <w:name w:val="BodyText"/>
    <w:basedOn w:val="1"/>
    <w:qFormat/>
    <w:uiPriority w:val="0"/>
    <w:pPr>
      <w:widowControl/>
      <w:spacing w:after="120"/>
      <w:textAlignment w:val="baseline"/>
    </w:pPr>
    <w:rPr>
      <w:rFonts w:ascii="Calibri" w:hAnsi="Calibri"/>
    </w:rPr>
  </w:style>
  <w:style w:type="paragraph" w:customStyle="1" w:styleId="114">
    <w:name w:val="xl51"/>
    <w:basedOn w:val="1"/>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115">
    <w:name w:val="xl44"/>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16">
    <w:name w:val="4"/>
    <w:basedOn w:val="1"/>
    <w:next w:val="1"/>
    <w:qFormat/>
    <w:uiPriority w:val="0"/>
  </w:style>
  <w:style w:type="paragraph" w:customStyle="1" w:styleId="117">
    <w:name w:val="font8"/>
    <w:basedOn w:val="1"/>
    <w:qFormat/>
    <w:uiPriority w:val="0"/>
    <w:pPr>
      <w:widowControl/>
      <w:spacing w:beforeAutospacing="1" w:afterAutospacing="1"/>
      <w:jc w:val="left"/>
    </w:pPr>
    <w:rPr>
      <w:rFonts w:hint="eastAsia" w:ascii="宋体" w:hAnsi="宋体"/>
      <w:kern w:val="0"/>
      <w:sz w:val="24"/>
    </w:rPr>
  </w:style>
  <w:style w:type="paragraph" w:customStyle="1" w:styleId="118">
    <w:name w:val="Table Body"/>
    <w:basedOn w:val="1"/>
    <w:qFormat/>
    <w:uiPriority w:val="0"/>
    <w:pPr>
      <w:widowControl/>
      <w:jc w:val="center"/>
    </w:pPr>
    <w:rPr>
      <w:rFonts w:ascii="Arial" w:hAnsi="Arial"/>
      <w:snapToGrid w:val="0"/>
      <w:kern w:val="0"/>
      <w:sz w:val="18"/>
      <w:szCs w:val="20"/>
    </w:rPr>
  </w:style>
  <w:style w:type="paragraph" w:customStyle="1" w:styleId="119">
    <w:name w:val="xl34"/>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20">
    <w:name w:val="xl3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21">
    <w:name w:val="ÕýÎÄ 1"/>
    <w:basedOn w:val="1"/>
    <w:qFormat/>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122">
    <w:name w:val="Char"/>
    <w:basedOn w:val="1"/>
    <w:qFormat/>
    <w:uiPriority w:val="0"/>
    <w:pPr>
      <w:tabs>
        <w:tab w:val="left" w:pos="425"/>
      </w:tabs>
      <w:ind w:left="425" w:hanging="425"/>
    </w:pPr>
    <w:rPr>
      <w:sz w:val="24"/>
    </w:rPr>
  </w:style>
  <w:style w:type="paragraph" w:customStyle="1" w:styleId="123">
    <w:name w:val="样式"/>
    <w:basedOn w:val="1"/>
    <w:next w:val="20"/>
    <w:qFormat/>
    <w:uiPriority w:val="0"/>
    <w:pPr>
      <w:ind w:left="572" w:right="32" w:firstLine="478"/>
    </w:pPr>
    <w:rPr>
      <w:szCs w:val="21"/>
    </w:rPr>
  </w:style>
  <w:style w:type="paragraph" w:customStyle="1" w:styleId="124">
    <w:name w:val="标题5"/>
    <w:basedOn w:val="1"/>
    <w:qFormat/>
    <w:uiPriority w:val="0"/>
    <w:rPr>
      <w:rFonts w:ascii="宋体"/>
      <w:b/>
      <w:sz w:val="28"/>
    </w:rPr>
  </w:style>
  <w:style w:type="paragraph" w:customStyle="1" w:styleId="125">
    <w:name w:val="列表2"/>
    <w:basedOn w:val="1"/>
    <w:next w:val="1"/>
    <w:qFormat/>
    <w:uiPriority w:val="0"/>
    <w:pPr>
      <w:tabs>
        <w:tab w:val="left" w:pos="312"/>
        <w:tab w:val="left" w:pos="1547"/>
      </w:tabs>
      <w:spacing w:line="200" w:lineRule="atLeast"/>
      <w:ind w:left="1547" w:hanging="507"/>
    </w:pPr>
    <w:rPr>
      <w:sz w:val="28"/>
    </w:rPr>
  </w:style>
  <w:style w:type="paragraph" w:customStyle="1" w:styleId="126">
    <w:name w:val="Char Char Char Char"/>
    <w:basedOn w:val="1"/>
    <w:qFormat/>
    <w:uiPriority w:val="0"/>
    <w:pPr>
      <w:widowControl/>
      <w:spacing w:line="240" w:lineRule="exact"/>
      <w:jc w:val="left"/>
    </w:pPr>
  </w:style>
  <w:style w:type="paragraph" w:customStyle="1" w:styleId="127">
    <w:name w:val="xl36"/>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28">
    <w:name w:val="Char11"/>
    <w:basedOn w:val="1"/>
    <w:qFormat/>
    <w:uiPriority w:val="0"/>
    <w:pPr>
      <w:tabs>
        <w:tab w:val="left" w:pos="825"/>
      </w:tabs>
      <w:ind w:left="825" w:hanging="360"/>
    </w:pPr>
    <w:rPr>
      <w:sz w:val="24"/>
    </w:rPr>
  </w:style>
  <w:style w:type="paragraph" w:customStyle="1" w:styleId="129">
    <w:name w:val="xl47"/>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30">
    <w:name w:val="正文文本缩进 21"/>
    <w:basedOn w:val="1"/>
    <w:qFormat/>
    <w:uiPriority w:val="0"/>
    <w:pPr>
      <w:adjustRightInd w:val="0"/>
      <w:ind w:firstLine="420"/>
      <w:textAlignment w:val="baseline"/>
    </w:pPr>
    <w:rPr>
      <w:sz w:val="24"/>
      <w:szCs w:val="20"/>
    </w:rPr>
  </w:style>
  <w:style w:type="paragraph" w:customStyle="1" w:styleId="131">
    <w:name w:val="xl43"/>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32">
    <w:name w:val="xl33"/>
    <w:basedOn w:val="1"/>
    <w:qFormat/>
    <w:uiPriority w:val="0"/>
    <w:pPr>
      <w:widowControl/>
      <w:spacing w:beforeAutospacing="1" w:afterAutospacing="1"/>
      <w:jc w:val="left"/>
      <w:textAlignment w:val="center"/>
    </w:pPr>
    <w:rPr>
      <w:rFonts w:ascii="宋体" w:hAnsi="宋体"/>
      <w:b/>
      <w:bCs/>
      <w:kern w:val="0"/>
      <w:sz w:val="28"/>
      <w:szCs w:val="28"/>
    </w:rPr>
  </w:style>
  <w:style w:type="paragraph" w:customStyle="1" w:styleId="133">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134">
    <w:name w:val="List Paragraph1"/>
    <w:basedOn w:val="1"/>
    <w:qFormat/>
    <w:uiPriority w:val="0"/>
    <w:pPr>
      <w:widowControl/>
      <w:ind w:firstLine="420" w:firstLineChars="200"/>
      <w:jc w:val="left"/>
    </w:pPr>
    <w:rPr>
      <w:kern w:val="0"/>
      <w:szCs w:val="20"/>
    </w:rPr>
  </w:style>
  <w:style w:type="paragraph" w:customStyle="1" w:styleId="135">
    <w:name w:val="±í??"/>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36">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13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38">
    <w:name w:val="cnfont"/>
    <w:basedOn w:val="1"/>
    <w:qFormat/>
    <w:uiPriority w:val="0"/>
    <w:pPr>
      <w:widowControl/>
      <w:spacing w:beforeAutospacing="1" w:afterAutospacing="1"/>
      <w:jc w:val="left"/>
    </w:pPr>
    <w:rPr>
      <w:rFonts w:ascii="宋体" w:hAnsi="宋体"/>
      <w:color w:val="000000"/>
      <w:kern w:val="0"/>
      <w:sz w:val="24"/>
    </w:rPr>
  </w:style>
  <w:style w:type="paragraph" w:customStyle="1" w:styleId="139">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40">
    <w:name w:val="font9"/>
    <w:basedOn w:val="1"/>
    <w:qFormat/>
    <w:uiPriority w:val="0"/>
    <w:pPr>
      <w:widowControl/>
      <w:spacing w:beforeAutospacing="1" w:afterAutospacing="1"/>
      <w:jc w:val="left"/>
    </w:pPr>
    <w:rPr>
      <w:rFonts w:hint="eastAsia" w:ascii="宋体" w:hAnsi="宋体"/>
      <w:kern w:val="0"/>
      <w:sz w:val="22"/>
      <w:szCs w:val="22"/>
    </w:rPr>
  </w:style>
  <w:style w:type="paragraph" w:customStyle="1" w:styleId="141">
    <w:name w:val="font7"/>
    <w:basedOn w:val="1"/>
    <w:qFormat/>
    <w:uiPriority w:val="0"/>
    <w:pPr>
      <w:widowControl/>
      <w:spacing w:beforeAutospacing="1" w:afterAutospacing="1"/>
      <w:jc w:val="left"/>
    </w:pPr>
    <w:rPr>
      <w:kern w:val="0"/>
      <w:sz w:val="22"/>
      <w:szCs w:val="22"/>
    </w:rPr>
  </w:style>
  <w:style w:type="paragraph" w:customStyle="1" w:styleId="142">
    <w:name w:val="p0"/>
    <w:basedOn w:val="1"/>
    <w:qFormat/>
    <w:uiPriority w:val="0"/>
    <w:pPr>
      <w:widowControl/>
    </w:pPr>
    <w:rPr>
      <w:rFonts w:ascii="Calibri" w:hAnsi="Calibri" w:cs="Calibri"/>
      <w:kern w:val="0"/>
      <w:szCs w:val="21"/>
    </w:rPr>
  </w:style>
  <w:style w:type="paragraph" w:customStyle="1" w:styleId="143">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144">
    <w:name w:val="±í??É"/>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45">
    <w:name w:val="Char Char Char Char Char Char Char Char1"/>
    <w:basedOn w:val="1"/>
    <w:qFormat/>
    <w:uiPriority w:val="0"/>
    <w:pPr>
      <w:tabs>
        <w:tab w:val="left" w:pos="360"/>
      </w:tabs>
    </w:pPr>
    <w:rPr>
      <w:sz w:val="24"/>
    </w:rPr>
  </w:style>
  <w:style w:type="paragraph" w:customStyle="1" w:styleId="146">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47">
    <w:name w:val="Char Char11"/>
    <w:basedOn w:val="1"/>
    <w:qFormat/>
    <w:uiPriority w:val="0"/>
    <w:pPr>
      <w:widowControl/>
      <w:spacing w:line="240" w:lineRule="exact"/>
      <w:jc w:val="left"/>
    </w:pPr>
    <w:rPr>
      <w:rFonts w:ascii="宋体" w:hAnsi="宋体"/>
      <w:kern w:val="0"/>
      <w:sz w:val="20"/>
      <w:szCs w:val="20"/>
      <w:lang w:eastAsia="en-US"/>
    </w:rPr>
  </w:style>
  <w:style w:type="paragraph" w:customStyle="1" w:styleId="148">
    <w:name w:val="GP正文(首行缩进)"/>
    <w:basedOn w:val="1"/>
    <w:qFormat/>
    <w:uiPriority w:val="0"/>
    <w:pPr>
      <w:spacing w:line="360" w:lineRule="auto"/>
      <w:ind w:firstLine="200" w:firstLineChars="200"/>
      <w:jc w:val="left"/>
    </w:pPr>
    <w:rPr>
      <w:sz w:val="24"/>
      <w:szCs w:val="21"/>
    </w:rPr>
  </w:style>
  <w:style w:type="paragraph" w:customStyle="1" w:styleId="149">
    <w:name w:val="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50">
    <w:name w:val="xl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51">
    <w:name w:val="È¡ÀÊ¡ÎÄ¡À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52">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153">
    <w:name w:val="Char Char Char Char Char Char Char Char Char Char Char Char Char"/>
    <w:basedOn w:val="1"/>
    <w:qFormat/>
    <w:uiPriority w:val="0"/>
    <w:pPr>
      <w:widowControl/>
      <w:spacing w:line="240" w:lineRule="exact"/>
      <w:jc w:val="left"/>
    </w:pPr>
    <w:rPr>
      <w:szCs w:val="20"/>
    </w:rPr>
  </w:style>
  <w:style w:type="paragraph" w:customStyle="1" w:styleId="154">
    <w:name w:val="Normal1"/>
    <w:basedOn w:val="1"/>
    <w:qFormat/>
    <w:uiPriority w:val="0"/>
    <w:pPr>
      <w:widowControl/>
      <w:spacing w:after="200" w:line="300" w:lineRule="atLeast"/>
      <w:jc w:val="left"/>
    </w:pPr>
    <w:rPr>
      <w:rFonts w:ascii="Calibri" w:hAnsi="Calibri" w:cs="宋体"/>
      <w:kern w:val="0"/>
      <w:sz w:val="22"/>
      <w:szCs w:val="22"/>
    </w:rPr>
  </w:style>
  <w:style w:type="paragraph" w:customStyle="1" w:styleId="155">
    <w:name w:val="Char Char Char Char Char Char Char"/>
    <w:basedOn w:val="1"/>
    <w:qFormat/>
    <w:uiPriority w:val="0"/>
  </w:style>
  <w:style w:type="paragraph" w:customStyle="1" w:styleId="156">
    <w:name w:val="正文缩进1"/>
    <w:basedOn w:val="1"/>
    <w:qFormat/>
    <w:uiPriority w:val="0"/>
    <w:pPr>
      <w:ind w:firstLine="567"/>
    </w:pPr>
    <w:rPr>
      <w:spacing w:val="20"/>
      <w:sz w:val="24"/>
      <w:szCs w:val="20"/>
    </w:rPr>
  </w:style>
  <w:style w:type="paragraph" w:customStyle="1" w:styleId="157">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58">
    <w:name w:val="样式5"/>
    <w:basedOn w:val="109"/>
    <w:next w:val="109"/>
    <w:qFormat/>
    <w:uiPriority w:val="0"/>
  </w:style>
  <w:style w:type="paragraph" w:customStyle="1" w:styleId="159">
    <w:name w:val="Char Char Char Char1"/>
    <w:basedOn w:val="14"/>
    <w:qFormat/>
    <w:uiPriority w:val="0"/>
    <w:rPr>
      <w:rFonts w:ascii="Tahoma" w:hAnsi="Tahoma"/>
      <w:sz w:val="24"/>
    </w:rPr>
  </w:style>
  <w:style w:type="paragraph" w:customStyle="1" w:styleId="160">
    <w:name w:val="Table Heading"/>
    <w:basedOn w:val="1"/>
    <w:qFormat/>
    <w:uiPriority w:val="0"/>
    <w:pPr>
      <w:widowControl/>
      <w:jc w:val="center"/>
    </w:pPr>
    <w:rPr>
      <w:rFonts w:ascii="Arial" w:hAnsi="Arial"/>
      <w:b/>
      <w:kern w:val="0"/>
      <w:sz w:val="18"/>
      <w:szCs w:val="20"/>
    </w:rPr>
  </w:style>
  <w:style w:type="paragraph" w:customStyle="1" w:styleId="161">
    <w:name w:val="表格内容"/>
    <w:basedOn w:val="1"/>
    <w:qFormat/>
    <w:uiPriority w:val="0"/>
    <w:pPr>
      <w:numPr>
        <w:ilvl w:val="0"/>
        <w:numId w:val="1"/>
      </w:numPr>
      <w:spacing w:line="312" w:lineRule="auto"/>
    </w:pPr>
    <w:rPr>
      <w:rFonts w:ascii="宋体"/>
      <w:sz w:val="24"/>
      <w:szCs w:val="20"/>
    </w:rPr>
  </w:style>
  <w:style w:type="paragraph" w:customStyle="1" w:styleId="162">
    <w:name w:val="xl23"/>
    <w:basedOn w:val="1"/>
    <w:qFormat/>
    <w:uiPriority w:val="0"/>
    <w:pPr>
      <w:widowControl/>
      <w:spacing w:beforeAutospacing="1" w:afterAutospacing="1" w:line="360" w:lineRule="auto"/>
      <w:textAlignment w:val="top"/>
    </w:pPr>
    <w:rPr>
      <w:kern w:val="0"/>
      <w:sz w:val="24"/>
    </w:rPr>
  </w:style>
  <w:style w:type="paragraph" w:customStyle="1" w:styleId="163">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64">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165">
    <w:name w:val="xl45"/>
    <w:basedOn w:val="1"/>
    <w:qFormat/>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66">
    <w:name w:val="xl49"/>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67">
    <w:name w:val="xl48"/>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68">
    <w:name w:val="xl42"/>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69">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70">
    <w:name w:val="xl35"/>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71">
    <w:name w:val="Char1"/>
    <w:basedOn w:val="1"/>
    <w:qFormat/>
    <w:uiPriority w:val="0"/>
    <w:rPr>
      <w:rFonts w:ascii="Tahoma" w:hAnsi="Tahoma"/>
      <w:sz w:val="24"/>
      <w:szCs w:val="20"/>
    </w:rPr>
  </w:style>
  <w:style w:type="paragraph" w:customStyle="1" w:styleId="172">
    <w:name w:val="font6"/>
    <w:basedOn w:val="1"/>
    <w:qFormat/>
    <w:uiPriority w:val="0"/>
    <w:pPr>
      <w:widowControl/>
      <w:spacing w:beforeAutospacing="1" w:afterAutospacing="1"/>
      <w:jc w:val="left"/>
    </w:pPr>
    <w:rPr>
      <w:rFonts w:hint="eastAsia" w:ascii="宋体" w:hAnsi="宋体"/>
      <w:kern w:val="0"/>
      <w:sz w:val="22"/>
      <w:szCs w:val="22"/>
    </w:rPr>
  </w:style>
  <w:style w:type="paragraph" w:customStyle="1" w:styleId="173">
    <w:name w:val="Default 123  Text1"/>
    <w:basedOn w:val="1"/>
    <w:qFormat/>
    <w:uiPriority w:val="0"/>
    <w:pPr>
      <w:widowControl/>
      <w:overflowPunct w:val="0"/>
      <w:autoSpaceDE w:val="0"/>
      <w:autoSpaceDN w:val="0"/>
      <w:adjustRightInd w:val="0"/>
      <w:jc w:val="left"/>
    </w:pPr>
    <w:rPr>
      <w:rFonts w:hint="eastAsia" w:ascii="宋体"/>
      <w:kern w:val="0"/>
      <w:sz w:val="26"/>
      <w:szCs w:val="20"/>
    </w:rPr>
  </w:style>
  <w:style w:type="table" w:customStyle="1" w:styleId="174">
    <w:name w:val="TableGrid"/>
    <w:qFormat/>
    <w:uiPriority w:val="0"/>
    <w:rPr>
      <w:kern w:val="2"/>
      <w:sz w:val="21"/>
      <w:szCs w:val="22"/>
    </w:rPr>
    <w:tblPr>
      <w:tblCellMar>
        <w:top w:w="0" w:type="dxa"/>
        <w:left w:w="0" w:type="dxa"/>
        <w:bottom w:w="0" w:type="dxa"/>
        <w:right w:w="0" w:type="dxa"/>
      </w:tblCellMar>
    </w:tblPr>
  </w:style>
  <w:style w:type="character" w:customStyle="1" w:styleId="175">
    <w:name w:val="font21"/>
    <w:basedOn w:val="42"/>
    <w:qFormat/>
    <w:uiPriority w:val="0"/>
    <w:rPr>
      <w:rFonts w:hint="eastAsia" w:ascii="黑体" w:hAnsi="宋体" w:eastAsia="黑体" w:cs="黑体"/>
      <w:color w:val="000000"/>
      <w:sz w:val="36"/>
      <w:szCs w:val="36"/>
      <w:u w:val="none"/>
    </w:rPr>
  </w:style>
  <w:style w:type="paragraph" w:customStyle="1" w:styleId="176">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63</Pages>
  <Words>13134</Words>
  <Characters>13890</Characters>
  <Lines>208</Lines>
  <Paragraphs>58</Paragraphs>
  <TotalTime>13</TotalTime>
  <ScaleCrop>false</ScaleCrop>
  <LinksUpToDate>false</LinksUpToDate>
  <CharactersWithSpaces>14071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2024-12-11T09:06:00Z</dcterms:created>
  <dc:creator>Lenovo User</dc:creator>
  <cp:lastModifiedBy>招标中心</cp:lastModifiedBy>
  <cp:lastPrinted>2023-07-27T03:29:00Z</cp:lastPrinted>
  <dcterms:modified xsi:type="dcterms:W3CDTF">2024-12-16T07:29:00Z</dcterms:modified>
  <dc:title>2017省本级政府设备采购招标项目</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142598E916474AD39B9E2392BECD5E59_13</vt:lpwstr>
  </property>
</Properties>
</file>