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9F8BA5">
      <w:pPr>
        <w:jc w:val="center"/>
        <w:rPr>
          <w:b/>
          <w:sz w:val="44"/>
        </w:rPr>
      </w:pPr>
      <w:bookmarkStart w:id="0" w:name="_Toc490832162"/>
      <w:bookmarkStart w:id="1" w:name="_Toc75917299"/>
      <w:bookmarkStart w:id="2" w:name="_Toc517502601"/>
      <w:bookmarkStart w:id="3" w:name="_Toc506628521"/>
      <w:bookmarkStart w:id="4" w:name="_Toc484827160"/>
      <w:bookmarkStart w:id="5" w:name="_Toc494875372"/>
      <w:bookmarkStart w:id="6" w:name="_Toc12118333"/>
      <w:bookmarkStart w:id="7" w:name="_Toc494597746"/>
      <w:bookmarkStart w:id="8" w:name="_Toc506611570"/>
      <w:bookmarkStart w:id="9" w:name="_Toc46738283"/>
      <w:bookmarkStart w:id="10" w:name="_Toc484848505"/>
      <w:bookmarkStart w:id="11" w:name="_Toc46738410"/>
      <w:bookmarkStart w:id="12" w:name="_Toc169338716"/>
      <w:bookmarkStart w:id="13" w:name="_Toc46738149"/>
      <w:bookmarkStart w:id="14" w:name="_Toc506611778"/>
      <w:bookmarkStart w:id="15" w:name="_Toc531987376"/>
    </w:p>
    <w:p w14:paraId="53A55723">
      <w:pPr>
        <w:jc w:val="center"/>
        <w:rPr>
          <w:b/>
          <w:sz w:val="44"/>
        </w:rPr>
      </w:pPr>
    </w:p>
    <w:p w14:paraId="29D142DE">
      <w:pPr>
        <w:jc w:val="center"/>
        <w:rPr>
          <w:b/>
          <w:bCs/>
          <w:sz w:val="44"/>
        </w:rPr>
      </w:pPr>
      <w:r>
        <w:rPr>
          <w:rFonts w:hint="eastAsia"/>
          <w:b/>
          <w:sz w:val="44"/>
        </w:rPr>
        <w:t>2024年采购项目</w:t>
      </w:r>
    </w:p>
    <w:p w14:paraId="0C3E8166">
      <w:pPr>
        <w:spacing w:line="240" w:lineRule="atLeast"/>
        <w:jc w:val="center"/>
        <w:rPr>
          <w:rFonts w:ascii="宋体"/>
          <w:sz w:val="32"/>
          <w:szCs w:val="32"/>
        </w:rPr>
      </w:pPr>
    </w:p>
    <w:p w14:paraId="0A3D1563">
      <w:pPr>
        <w:spacing w:line="240" w:lineRule="atLeast"/>
        <w:jc w:val="center"/>
        <w:rPr>
          <w:rFonts w:ascii="宋体"/>
          <w:sz w:val="32"/>
          <w:szCs w:val="32"/>
        </w:rPr>
      </w:pPr>
    </w:p>
    <w:p w14:paraId="6CF86FAF">
      <w:pPr>
        <w:spacing w:line="240" w:lineRule="atLeast"/>
        <w:jc w:val="center"/>
        <w:rPr>
          <w:rFonts w:ascii="宋体"/>
          <w:sz w:val="32"/>
          <w:szCs w:val="32"/>
        </w:rPr>
      </w:pPr>
      <w:r>
        <w:rPr>
          <w:rFonts w:hint="eastAsia" w:ascii="宋体"/>
          <w:sz w:val="32"/>
          <w:szCs w:val="32"/>
        </w:rPr>
        <w:t>项目名称：海南成品粮绿色低温储粮系统技术研发与应用设备采购项目</w:t>
      </w:r>
    </w:p>
    <w:p w14:paraId="5C9D85A9">
      <w:pPr>
        <w:spacing w:line="240" w:lineRule="atLeast"/>
        <w:jc w:val="center"/>
        <w:rPr>
          <w:rFonts w:ascii="宋体"/>
          <w:sz w:val="32"/>
          <w:szCs w:val="32"/>
        </w:rPr>
      </w:pPr>
    </w:p>
    <w:p w14:paraId="7CD209F9">
      <w:pPr>
        <w:pStyle w:val="4"/>
        <w:keepNext w:val="0"/>
        <w:keepLines w:val="0"/>
        <w:widowControl/>
        <w:shd w:val="clear" w:color="auto" w:fill="FFFFFF"/>
        <w:spacing w:before="0" w:after="0"/>
        <w:jc w:val="center"/>
        <w:rPr>
          <w:rFonts w:hAnsi="Times New Roman"/>
          <w:b w:val="0"/>
          <w:sz w:val="32"/>
          <w:szCs w:val="32"/>
        </w:rPr>
      </w:pPr>
      <w:r>
        <w:rPr>
          <w:rFonts w:hint="eastAsia" w:hAnsi="Times New Roman"/>
          <w:b w:val="0"/>
          <w:sz w:val="32"/>
          <w:szCs w:val="32"/>
        </w:rPr>
        <w:t>项目编号:HNJY2024-88-44</w:t>
      </w:r>
    </w:p>
    <w:p w14:paraId="512FCE5B">
      <w:pPr>
        <w:spacing w:line="240" w:lineRule="atLeast"/>
        <w:jc w:val="center"/>
        <w:rPr>
          <w:rFonts w:ascii="宋体"/>
          <w:sz w:val="32"/>
          <w:szCs w:val="32"/>
        </w:rPr>
      </w:pPr>
      <w:r>
        <w:rPr>
          <w:rFonts w:hint="eastAsia" w:ascii="宋体"/>
          <w:sz w:val="32"/>
          <w:szCs w:val="32"/>
        </w:rPr>
        <w:t xml:space="preserve">  </w:t>
      </w:r>
    </w:p>
    <w:p w14:paraId="0E01EDDA">
      <w:pPr>
        <w:spacing w:line="240" w:lineRule="atLeast"/>
        <w:jc w:val="center"/>
        <w:rPr>
          <w:rFonts w:hint="eastAsia" w:ascii="宋体" w:hAnsi="宋体"/>
          <w:b/>
          <w:kern w:val="0"/>
          <w:sz w:val="28"/>
          <w:szCs w:val="28"/>
        </w:rPr>
      </w:pPr>
    </w:p>
    <w:p w14:paraId="008B3378">
      <w:pPr>
        <w:spacing w:line="240" w:lineRule="atLeast"/>
        <w:rPr>
          <w:b/>
          <w:sz w:val="28"/>
        </w:rPr>
      </w:pPr>
    </w:p>
    <w:p w14:paraId="517D6E0F">
      <w:pPr>
        <w:spacing w:line="240" w:lineRule="atLeast"/>
        <w:jc w:val="center"/>
        <w:rPr>
          <w:b/>
          <w:sz w:val="28"/>
        </w:rPr>
      </w:pPr>
    </w:p>
    <w:p w14:paraId="6DF4A983">
      <w:pPr>
        <w:spacing w:line="240" w:lineRule="atLeast"/>
        <w:jc w:val="center"/>
        <w:rPr>
          <w:sz w:val="72"/>
          <w:szCs w:val="72"/>
        </w:rPr>
      </w:pPr>
      <w:r>
        <w:rPr>
          <w:rFonts w:hint="eastAsia"/>
          <w:sz w:val="72"/>
          <w:szCs w:val="72"/>
        </w:rPr>
        <w:t>公开比选采购文件</w:t>
      </w:r>
    </w:p>
    <w:p w14:paraId="0A4C81B3">
      <w:pPr>
        <w:spacing w:line="240" w:lineRule="atLeast"/>
        <w:jc w:val="center"/>
        <w:rPr>
          <w:rFonts w:ascii="宋体"/>
          <w:sz w:val="72"/>
          <w:szCs w:val="72"/>
        </w:rPr>
      </w:pPr>
    </w:p>
    <w:p w14:paraId="174183F3">
      <w:pPr>
        <w:spacing w:line="240" w:lineRule="atLeast"/>
        <w:rPr>
          <w:rFonts w:ascii="宋体"/>
          <w:b/>
          <w:sz w:val="32"/>
        </w:rPr>
      </w:pPr>
    </w:p>
    <w:p w14:paraId="123E96D8">
      <w:pPr>
        <w:spacing w:line="240" w:lineRule="atLeast"/>
        <w:rPr>
          <w:rFonts w:ascii="宋体"/>
          <w:b/>
          <w:sz w:val="32"/>
        </w:rPr>
      </w:pPr>
    </w:p>
    <w:p w14:paraId="2F5DACED">
      <w:pPr>
        <w:spacing w:line="240" w:lineRule="atLeast"/>
        <w:rPr>
          <w:rFonts w:ascii="宋体"/>
          <w:b/>
          <w:sz w:val="32"/>
        </w:rPr>
      </w:pPr>
    </w:p>
    <w:p w14:paraId="17A9880D">
      <w:pPr>
        <w:jc w:val="center"/>
        <w:rPr>
          <w:rFonts w:hint="eastAsia" w:ascii="宋体" w:hAnsi="宋体"/>
          <w:sz w:val="30"/>
          <w:szCs w:val="30"/>
        </w:rPr>
      </w:pPr>
      <w:r>
        <w:rPr>
          <w:rFonts w:hint="eastAsia" w:ascii="宋体" w:hAnsi="宋体"/>
          <w:sz w:val="30"/>
          <w:szCs w:val="30"/>
        </w:rPr>
        <w:t>采购人：海南省军粮统筹配送中心有限公司</w:t>
      </w:r>
    </w:p>
    <w:p w14:paraId="528C81F8">
      <w:pPr>
        <w:pStyle w:val="23"/>
        <w:ind w:left="0" w:firstLine="0"/>
        <w:jc w:val="center"/>
        <w:outlineLvl w:val="0"/>
        <w:rPr>
          <w:rFonts w:hint="eastAsia"/>
          <w:b/>
          <w:sz w:val="32"/>
          <w:szCs w:val="32"/>
        </w:rPr>
      </w:pPr>
      <w:r>
        <w:rPr>
          <w:rFonts w:hint="eastAsia"/>
          <w:sz w:val="30"/>
          <w:szCs w:val="30"/>
        </w:rPr>
        <w:t>采购代理机构：海南省教学仪器设备招标中心有限公司</w:t>
      </w:r>
    </w:p>
    <w:p w14:paraId="6E36BA10">
      <w:pPr>
        <w:pStyle w:val="23"/>
        <w:ind w:left="0" w:firstLine="0"/>
        <w:jc w:val="center"/>
        <w:rPr>
          <w:rFonts w:hint="eastAsia"/>
          <w:sz w:val="32"/>
          <w:szCs w:val="32"/>
        </w:rPr>
      </w:pPr>
      <w:bookmarkStart w:id="16" w:name="OLE_LINK1"/>
      <w:bookmarkStart w:id="17" w:name="OLE_LINK2"/>
      <w:r>
        <w:rPr>
          <w:rFonts w:hint="eastAsia"/>
          <w:sz w:val="32"/>
          <w:szCs w:val="32"/>
        </w:rPr>
        <w:t>2024年12月</w:t>
      </w:r>
    </w:p>
    <w:bookmarkEnd w:id="16"/>
    <w:bookmarkEnd w:id="17"/>
    <w:p w14:paraId="1CED08DD">
      <w:pPr>
        <w:jc w:val="center"/>
      </w:pPr>
    </w:p>
    <w:p w14:paraId="546C2EE5">
      <w:pPr>
        <w:jc w:val="center"/>
        <w:rPr>
          <w:b/>
          <w:bCs/>
          <w:sz w:val="36"/>
          <w:szCs w:val="36"/>
        </w:rPr>
      </w:pPr>
      <w:r>
        <w:rPr>
          <w:rFonts w:hint="eastAsia"/>
          <w:b/>
          <w:bCs/>
          <w:sz w:val="36"/>
          <w:szCs w:val="36"/>
        </w:rPr>
        <w:t>目    录</w:t>
      </w:r>
    </w:p>
    <w:p w14:paraId="1D239BC5">
      <w:pPr>
        <w:pStyle w:val="23"/>
        <w:spacing w:line="360" w:lineRule="exact"/>
        <w:ind w:left="836" w:leftChars="398" w:firstLine="1918" w:firstLineChars="597"/>
        <w:jc w:val="both"/>
        <w:rPr>
          <w:rFonts w:hint="eastAsia"/>
          <w:b/>
          <w:bCs/>
          <w:sz w:val="32"/>
          <w:szCs w:val="32"/>
        </w:rPr>
      </w:pPr>
    </w:p>
    <w:p w14:paraId="4D84EFF3"/>
    <w:p w14:paraId="005DC68C">
      <w:pPr>
        <w:spacing w:line="900" w:lineRule="exact"/>
        <w:rPr>
          <w:b/>
          <w:sz w:val="32"/>
          <w:szCs w:val="32"/>
        </w:rPr>
      </w:pPr>
      <w:r>
        <w:rPr>
          <w:rFonts w:hint="eastAsia"/>
          <w:b/>
          <w:sz w:val="32"/>
          <w:szCs w:val="32"/>
        </w:rPr>
        <w:t>第一部分       公开比选采购邀请函</w:t>
      </w:r>
    </w:p>
    <w:p w14:paraId="462B1AC6">
      <w:pPr>
        <w:spacing w:line="900" w:lineRule="exact"/>
        <w:outlineLvl w:val="0"/>
        <w:rPr>
          <w:b/>
          <w:sz w:val="32"/>
          <w:szCs w:val="32"/>
        </w:rPr>
      </w:pPr>
      <w:r>
        <w:rPr>
          <w:rFonts w:hint="eastAsia"/>
          <w:b/>
          <w:sz w:val="32"/>
          <w:szCs w:val="32"/>
        </w:rPr>
        <w:t>第二部分　     公开比选采购项目需求</w:t>
      </w:r>
    </w:p>
    <w:p w14:paraId="3CE1B82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w:t>
      </w:r>
      <w:r>
        <w:rPr>
          <w:b/>
          <w:sz w:val="32"/>
          <w:szCs w:val="32"/>
        </w:rPr>
        <w:t xml:space="preserve">    </w:t>
      </w:r>
      <w:r>
        <w:rPr>
          <w:rFonts w:hint="eastAsia"/>
          <w:b/>
          <w:sz w:val="32"/>
          <w:szCs w:val="32"/>
        </w:rPr>
        <w:t xml:space="preserve">   投标人须知</w:t>
      </w:r>
    </w:p>
    <w:p w14:paraId="5D4D51B0">
      <w:pPr>
        <w:spacing w:line="900" w:lineRule="exact"/>
        <w:rPr>
          <w:b/>
          <w:sz w:val="32"/>
          <w:szCs w:val="32"/>
        </w:rPr>
      </w:pPr>
      <w:r>
        <w:rPr>
          <w:rFonts w:hint="eastAsia"/>
          <w:b/>
          <w:sz w:val="32"/>
          <w:szCs w:val="32"/>
        </w:rPr>
        <w:t>第四部分       评审办法</w:t>
      </w:r>
    </w:p>
    <w:p w14:paraId="7BB95880">
      <w:pPr>
        <w:spacing w:line="900" w:lineRule="exact"/>
        <w:rPr>
          <w:b/>
          <w:sz w:val="32"/>
          <w:szCs w:val="32"/>
        </w:rPr>
      </w:pPr>
      <w:r>
        <w:rPr>
          <w:rFonts w:hint="eastAsia"/>
          <w:b/>
          <w:sz w:val="32"/>
          <w:szCs w:val="32"/>
        </w:rPr>
        <w:t>第五部分       合同条款格式</w:t>
      </w:r>
    </w:p>
    <w:p w14:paraId="7A4EB9F6">
      <w:pPr>
        <w:spacing w:line="900" w:lineRule="exact"/>
        <w:rPr>
          <w:b/>
          <w:sz w:val="32"/>
          <w:szCs w:val="32"/>
        </w:rPr>
      </w:pPr>
      <w:r>
        <w:rPr>
          <w:rFonts w:hint="eastAsia"/>
          <w:b/>
          <w:sz w:val="32"/>
          <w:szCs w:val="32"/>
        </w:rPr>
        <w:t>第六部分       响应文件格式</w:t>
      </w:r>
    </w:p>
    <w:p w14:paraId="74E87A10"/>
    <w:p w14:paraId="7FFC675D"/>
    <w:p w14:paraId="777F87D0"/>
    <w:p w14:paraId="41216220"/>
    <w:p w14:paraId="134E8366"/>
    <w:p w14:paraId="597308BD"/>
    <w:p w14:paraId="2B3FF207"/>
    <w:p w14:paraId="7CC072F9"/>
    <w:p w14:paraId="7712940E"/>
    <w:p w14:paraId="37BFBDCD"/>
    <w:p w14:paraId="27FE935D"/>
    <w:p w14:paraId="0338D0E0"/>
    <w:p w14:paraId="1CB22308"/>
    <w:p w14:paraId="4F633830"/>
    <w:p w14:paraId="297B6057"/>
    <w:p w14:paraId="577F25FC"/>
    <w:p w14:paraId="0C829205"/>
    <w:p w14:paraId="7B860600"/>
    <w:p w14:paraId="7C7559F1"/>
    <w:p w14:paraId="39E120FE"/>
    <w:p w14:paraId="2513A91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76BAA50">
      <w:pPr>
        <w:pStyle w:val="167"/>
        <w:spacing w:line="360" w:lineRule="exact"/>
        <w:ind w:left="0" w:firstLine="0"/>
        <w:jc w:val="center"/>
        <w:rPr>
          <w:rFonts w:hint="eastAsia"/>
          <w:b/>
          <w:bCs/>
          <w:sz w:val="32"/>
          <w:szCs w:val="32"/>
        </w:rPr>
      </w:pPr>
    </w:p>
    <w:p w14:paraId="79945F25">
      <w:pPr>
        <w:pStyle w:val="167"/>
        <w:spacing w:line="360" w:lineRule="exact"/>
        <w:ind w:left="0" w:firstLine="0"/>
        <w:jc w:val="center"/>
        <w:rPr>
          <w:rFonts w:hint="eastAsia"/>
          <w:b/>
          <w:bCs/>
          <w:sz w:val="32"/>
          <w:szCs w:val="32"/>
        </w:rPr>
      </w:pPr>
    </w:p>
    <w:p w14:paraId="65539E7A">
      <w:pPr>
        <w:pStyle w:val="167"/>
        <w:spacing w:line="360" w:lineRule="exact"/>
        <w:ind w:left="0" w:firstLine="0"/>
        <w:jc w:val="center"/>
        <w:rPr>
          <w:rFonts w:hint="eastAsia"/>
        </w:rPr>
      </w:pPr>
      <w:r>
        <w:rPr>
          <w:rFonts w:hint="eastAsia"/>
          <w:b/>
          <w:bCs/>
          <w:sz w:val="32"/>
          <w:szCs w:val="32"/>
        </w:rPr>
        <w:t>第一部分　采购</w:t>
      </w:r>
      <w:r>
        <w:rPr>
          <w:rFonts w:hint="eastAsia"/>
          <w:b/>
          <w:sz w:val="32"/>
          <w:szCs w:val="32"/>
        </w:rPr>
        <w:t>邀请函</w:t>
      </w:r>
    </w:p>
    <w:p w14:paraId="3D3C821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bookmarkStart w:id="65" w:name="_GoBack"/>
      <w:r>
        <w:rPr>
          <w:rFonts w:hint="eastAsia" w:ascii="宋体" w:hAnsi="宋体" w:cs="宋体"/>
          <w:kern w:val="0"/>
          <w:sz w:val="24"/>
        </w:rPr>
        <w:t>项目概况</w:t>
      </w:r>
    </w:p>
    <w:p w14:paraId="6676D10D">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海南成品粮绿色低温储粮系统技术研发与应用设备采购项目的潜在投标人应在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获取公开比选采购文件，并于</w:t>
      </w:r>
      <w:r>
        <w:rPr>
          <w:rFonts w:hint="eastAsia" w:ascii="宋体" w:hAnsi="宋体" w:cs="宋体"/>
          <w:kern w:val="0"/>
          <w:sz w:val="24"/>
          <w:u w:val="single"/>
        </w:rPr>
        <w:t>2024年12月</w:t>
      </w:r>
      <w:r>
        <w:rPr>
          <w:rFonts w:hint="eastAsia" w:ascii="宋体" w:hAnsi="宋体" w:cs="宋体"/>
          <w:kern w:val="0"/>
          <w:sz w:val="24"/>
          <w:u w:val="single"/>
          <w:lang w:val="en-US" w:eastAsia="zh-CN"/>
        </w:rPr>
        <w:t>27</w:t>
      </w:r>
      <w:r>
        <w:rPr>
          <w:rFonts w:hint="eastAsia" w:ascii="宋体" w:hAnsi="宋体" w:cs="宋体"/>
          <w:kern w:val="0"/>
          <w:sz w:val="24"/>
          <w:u w:val="single"/>
        </w:rPr>
        <w:t>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1DD8E613">
      <w:pPr>
        <w:adjustRightInd w:val="0"/>
        <w:snapToGrid w:val="0"/>
        <w:spacing w:line="360" w:lineRule="auto"/>
        <w:rPr>
          <w:rFonts w:hint="eastAsia" w:ascii="宋体" w:hAnsi="宋体" w:cs="宋体"/>
          <w:kern w:val="0"/>
          <w:sz w:val="24"/>
        </w:rPr>
      </w:pPr>
    </w:p>
    <w:p w14:paraId="4714B162">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18" w:name="_Toc28359012"/>
      <w:bookmarkStart w:id="19" w:name="_Toc35393798"/>
      <w:bookmarkStart w:id="20" w:name="_Toc28359089"/>
      <w:bookmarkStart w:id="21" w:name="_Toc35393629"/>
      <w:r>
        <w:rPr>
          <w:rFonts w:hint="eastAsia" w:ascii="宋体" w:hAnsi="宋体" w:cs="宋体"/>
          <w:b/>
          <w:kern w:val="0"/>
          <w:sz w:val="24"/>
        </w:rPr>
        <w:t>一、项目基本情况</w:t>
      </w:r>
      <w:bookmarkEnd w:id="18"/>
      <w:bookmarkEnd w:id="19"/>
      <w:bookmarkEnd w:id="20"/>
      <w:bookmarkEnd w:id="21"/>
    </w:p>
    <w:p w14:paraId="4091029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项目编号：HNJY2024-88-44 </w:t>
      </w:r>
    </w:p>
    <w:p w14:paraId="053A8FA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项目名称：海南成品粮绿色低温储粮系统技术研发与应用设备采购项目</w:t>
      </w:r>
    </w:p>
    <w:p w14:paraId="164D3BF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采购方式：公开比选 </w:t>
      </w:r>
    </w:p>
    <w:p w14:paraId="262EEC5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预算金额：122万元</w:t>
      </w:r>
    </w:p>
    <w:p w14:paraId="5BAF839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最高限价：122万元</w:t>
      </w:r>
    </w:p>
    <w:p w14:paraId="09B51C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采购需求：详见公开比选采购文件采购需求</w:t>
      </w:r>
    </w:p>
    <w:p w14:paraId="3C7EC12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合同履行期限：合同签订后60天内安装完成。</w:t>
      </w:r>
    </w:p>
    <w:p w14:paraId="70937A1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38982F59">
      <w:pPr>
        <w:pStyle w:val="58"/>
        <w:ind w:firstLine="480" w:firstLineChars="200"/>
        <w:rPr>
          <w:rFonts w:hint="eastAsia"/>
        </w:rPr>
      </w:pPr>
      <w:r>
        <w:t>项目资金来自企业自筹。</w:t>
      </w:r>
    </w:p>
    <w:p w14:paraId="3C217C82">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2" w:name="_Toc28359013"/>
      <w:bookmarkStart w:id="23" w:name="_Toc28359090"/>
      <w:bookmarkStart w:id="24" w:name="_Toc35393799"/>
      <w:bookmarkStart w:id="25" w:name="_Toc35393630"/>
      <w:r>
        <w:rPr>
          <w:rFonts w:hint="eastAsia" w:ascii="宋体" w:hAnsi="宋体" w:cs="宋体"/>
          <w:b/>
          <w:kern w:val="0"/>
          <w:sz w:val="24"/>
        </w:rPr>
        <w:t>二、申请人的资格要求：</w:t>
      </w:r>
      <w:bookmarkEnd w:id="22"/>
      <w:bookmarkEnd w:id="23"/>
      <w:bookmarkEnd w:id="24"/>
      <w:bookmarkEnd w:id="25"/>
    </w:p>
    <w:p w14:paraId="707DE0C2">
      <w:pPr>
        <w:adjustRightInd w:val="0"/>
        <w:snapToGrid w:val="0"/>
        <w:spacing w:line="360" w:lineRule="auto"/>
        <w:ind w:firstLine="480" w:firstLineChars="200"/>
        <w:rPr>
          <w:rFonts w:hint="eastAsia" w:ascii="宋体" w:hAnsi="宋体" w:cs="宋体"/>
          <w:kern w:val="0"/>
          <w:sz w:val="24"/>
        </w:rPr>
      </w:pPr>
      <w:bookmarkStart w:id="26" w:name="_Toc28359014"/>
      <w:bookmarkStart w:id="27" w:name="_Toc28359091"/>
      <w:bookmarkStart w:id="28" w:name="_Toc35393800"/>
      <w:bookmarkStart w:id="29" w:name="_Toc35393631"/>
      <w:r>
        <w:rPr>
          <w:rFonts w:hint="eastAsia" w:ascii="宋体" w:hAnsi="宋体" w:cs="宋体"/>
          <w:kern w:val="0"/>
          <w:sz w:val="24"/>
        </w:rPr>
        <w:t>1.中华人民共和国境内注册、具有独立承担民事责任的能力（提供营业执照或事业单位法人证书）。</w:t>
      </w:r>
    </w:p>
    <w:p w14:paraId="4AB69C2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2.具备《中华人民共和国政府采购法》第二十二条规定条件的承诺书。</w:t>
      </w:r>
    </w:p>
    <w:p w14:paraId="6A3DDC0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3.按附件格式提供投标人投标承诺书。</w:t>
      </w:r>
    </w:p>
    <w:p w14:paraId="31FE003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4.投标人承诺遵守国家和军队有关法律法规及保密要求（提供承诺函）。</w:t>
      </w:r>
    </w:p>
    <w:p w14:paraId="436C84E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在“信用中国”网站（www.creditchina.gov.cn）没有列入失信被执行人、重大税收违法失信主体、政府采购严重违法失信行为记录名单的投标人。“中国政府采购网”（www.ccgp.gov.cn）政府采购严重违法失信行为记录名单的投标人。</w:t>
      </w:r>
    </w:p>
    <w:p w14:paraId="15A4BA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76F15CDD">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6"/>
      <w:bookmarkEnd w:id="27"/>
      <w:bookmarkEnd w:id="28"/>
      <w:bookmarkEnd w:id="29"/>
    </w:p>
    <w:p w14:paraId="19398BF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时间：2024年12月</w:t>
      </w:r>
      <w:r>
        <w:rPr>
          <w:rFonts w:hint="eastAsia" w:ascii="宋体" w:hAnsi="宋体" w:cs="宋体"/>
          <w:kern w:val="0"/>
          <w:sz w:val="24"/>
          <w:lang w:val="en-US" w:eastAsia="zh-CN"/>
        </w:rPr>
        <w:t>19</w:t>
      </w:r>
      <w:r>
        <w:rPr>
          <w:rFonts w:hint="eastAsia" w:ascii="宋体" w:hAnsi="宋体" w:cs="宋体"/>
          <w:kern w:val="0"/>
          <w:sz w:val="24"/>
        </w:rPr>
        <w:t>日至2024年12月</w:t>
      </w:r>
      <w:r>
        <w:rPr>
          <w:rFonts w:hint="eastAsia" w:ascii="宋体" w:hAnsi="宋体" w:cs="宋体"/>
          <w:kern w:val="0"/>
          <w:sz w:val="24"/>
          <w:lang w:val="en-US" w:eastAsia="zh-CN"/>
        </w:rPr>
        <w:t>24</w:t>
      </w:r>
      <w:r>
        <w:rPr>
          <w:rFonts w:hint="eastAsia" w:ascii="宋体" w:hAnsi="宋体" w:cs="宋体"/>
          <w:kern w:val="0"/>
          <w:sz w:val="24"/>
        </w:rPr>
        <w:t>日，每天上午08:00至12:00　，下午14:30至17:30（北京时间，法定节假日除外 ）</w:t>
      </w:r>
    </w:p>
    <w:p w14:paraId="0655236D">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地点：海南省海口市蓝天路2-8号</w:t>
      </w:r>
    </w:p>
    <w:p w14:paraId="12ECE49A">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方式：现场购买</w:t>
      </w:r>
    </w:p>
    <w:p w14:paraId="12CC891D">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 xml:space="preserve">售价：300元 </w:t>
      </w:r>
    </w:p>
    <w:p w14:paraId="4F6F490B">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30" w:name="_Toc28359015"/>
      <w:bookmarkStart w:id="31" w:name="_Toc28359092"/>
      <w:bookmarkStart w:id="32" w:name="_Toc35393801"/>
      <w:bookmarkStart w:id="33" w:name="_Toc35393632"/>
      <w:r>
        <w:rPr>
          <w:rFonts w:hint="eastAsia" w:ascii="宋体" w:hAnsi="宋体" w:cs="宋体"/>
          <w:b/>
          <w:kern w:val="0"/>
          <w:sz w:val="24"/>
        </w:rPr>
        <w:t>四、响应文件提交</w:t>
      </w:r>
      <w:bookmarkEnd w:id="30"/>
      <w:bookmarkEnd w:id="31"/>
      <w:bookmarkEnd w:id="32"/>
      <w:bookmarkEnd w:id="33"/>
    </w:p>
    <w:p w14:paraId="61C69EE5">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截止时间：2024年12月</w:t>
      </w:r>
      <w:r>
        <w:rPr>
          <w:rFonts w:hint="eastAsia" w:ascii="宋体" w:hAnsi="宋体" w:cs="宋体"/>
          <w:kern w:val="0"/>
          <w:sz w:val="24"/>
          <w:lang w:val="en-US" w:eastAsia="zh-CN"/>
        </w:rPr>
        <w:t>27</w:t>
      </w:r>
      <w:r>
        <w:rPr>
          <w:rFonts w:hint="eastAsia" w:ascii="宋体" w:hAnsi="宋体" w:cs="宋体"/>
          <w:kern w:val="0"/>
          <w:sz w:val="24"/>
        </w:rPr>
        <w:t>日09点00分（北京时间）</w:t>
      </w:r>
    </w:p>
    <w:p w14:paraId="575C46F4">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6D7BD068">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34" w:name="_Toc35393802"/>
      <w:bookmarkStart w:id="35" w:name="_Toc28359016"/>
      <w:bookmarkStart w:id="36" w:name="_Toc28359093"/>
      <w:bookmarkStart w:id="37" w:name="_Toc35393633"/>
      <w:r>
        <w:rPr>
          <w:rFonts w:hint="eastAsia" w:ascii="宋体" w:hAnsi="宋体" w:cs="宋体"/>
          <w:b/>
          <w:kern w:val="0"/>
          <w:sz w:val="24"/>
        </w:rPr>
        <w:t>五、开启</w:t>
      </w:r>
      <w:bookmarkEnd w:id="34"/>
      <w:bookmarkEnd w:id="35"/>
      <w:bookmarkEnd w:id="36"/>
      <w:bookmarkEnd w:id="37"/>
    </w:p>
    <w:p w14:paraId="019F73AE">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时间：2024年12月</w:t>
      </w:r>
      <w:r>
        <w:rPr>
          <w:rFonts w:hint="eastAsia" w:ascii="宋体" w:hAnsi="宋体" w:cs="宋体"/>
          <w:kern w:val="0"/>
          <w:sz w:val="24"/>
          <w:lang w:val="en-US" w:eastAsia="zh-CN"/>
        </w:rPr>
        <w:t>27</w:t>
      </w:r>
      <w:r>
        <w:rPr>
          <w:rFonts w:hint="eastAsia" w:ascii="宋体" w:hAnsi="宋体" w:cs="宋体"/>
          <w:kern w:val="0"/>
          <w:sz w:val="24"/>
        </w:rPr>
        <w:t>日09点00分（北京时间）</w:t>
      </w:r>
    </w:p>
    <w:p w14:paraId="55649A64">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0C6200F1">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38" w:name="_Toc28359094"/>
      <w:bookmarkStart w:id="39" w:name="_Toc35393634"/>
      <w:bookmarkStart w:id="40" w:name="_Toc28359017"/>
      <w:bookmarkStart w:id="41" w:name="_Toc35393803"/>
      <w:r>
        <w:rPr>
          <w:rFonts w:hint="eastAsia" w:ascii="宋体" w:hAnsi="宋体" w:cs="宋体"/>
          <w:b/>
          <w:kern w:val="0"/>
          <w:sz w:val="24"/>
        </w:rPr>
        <w:t>六、</w:t>
      </w:r>
      <w:bookmarkEnd w:id="38"/>
      <w:bookmarkEnd w:id="39"/>
      <w:bookmarkEnd w:id="40"/>
      <w:bookmarkEnd w:id="41"/>
      <w:bookmarkStart w:id="42" w:name="_Toc35393635"/>
      <w:bookmarkStart w:id="43" w:name="_Toc35393804"/>
      <w:r>
        <w:rPr>
          <w:rFonts w:hint="eastAsia" w:ascii="宋体" w:hAnsi="宋体" w:cs="宋体"/>
          <w:b/>
          <w:kern w:val="0"/>
          <w:sz w:val="24"/>
        </w:rPr>
        <w:t>其他补充事宜</w:t>
      </w:r>
      <w:bookmarkEnd w:id="42"/>
      <w:bookmarkEnd w:id="43"/>
    </w:p>
    <w:p w14:paraId="6B4B644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购买采购时需提供以下证明资料及备案：</w:t>
      </w:r>
    </w:p>
    <w:p w14:paraId="065C1F0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.1 营业执照复印件（加盖本单位公章）</w:t>
      </w:r>
    </w:p>
    <w:p w14:paraId="4643E84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.2 法人委托书（加盖本单位公章）</w:t>
      </w:r>
    </w:p>
    <w:p w14:paraId="7A562E2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.3法人及委托人身份证复印件（加盖本单位公章）</w:t>
      </w:r>
    </w:p>
    <w:p w14:paraId="4ABD53F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 购买采购文件银行帐户：</w:t>
      </w:r>
    </w:p>
    <w:p w14:paraId="47AFF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单位名称：海南省教学仪器设备招标中心有限公司</w:t>
      </w:r>
    </w:p>
    <w:p w14:paraId="0BE350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开户银行：中国银行海口琼山支行蓝天西路支行（如果汇款时搜索不到蓝天西路支行，可以直接选择海口琼山支行）</w:t>
      </w:r>
      <w:r>
        <w:rPr>
          <w:rFonts w:ascii="宋体" w:hAnsi="宋体" w:cs="宋体"/>
          <w:kern w:val="0"/>
          <w:sz w:val="24"/>
        </w:rPr>
        <w:t xml:space="preserve">        </w:t>
      </w:r>
    </w:p>
    <w:p w14:paraId="47F01FC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银行帐号：266255028427</w:t>
      </w:r>
    </w:p>
    <w:p w14:paraId="6BC5699C">
      <w:pPr>
        <w:numPr>
          <w:ilvl w:val="0"/>
          <w:numId w:val="2"/>
        </w:numPr>
        <w:adjustRightInd w:val="0"/>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投标人应准备一份正本和三份副本，并在每一份“响应文件”上要明确注明“正本”或“副本”字样。</w:t>
      </w:r>
    </w:p>
    <w:p w14:paraId="0A11E3A9">
      <w:pPr>
        <w:numPr>
          <w:ilvl w:val="0"/>
          <w:numId w:val="2"/>
        </w:numPr>
        <w:adjustRightInd w:val="0"/>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投标人应将“响应文件”胶装成册。投标人应将“响应文件”的 “正本”的“报价一览表和规格响应表”（以包为单位）单独密封于一小信封内，并在该信封上标明“报价一览表”等字样，然后再装入“响应文件”正本的密封袋中。</w:t>
      </w:r>
    </w:p>
    <w:p w14:paraId="6B86672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5、采购人不接受有任何选择的报价。</w:t>
      </w:r>
    </w:p>
    <w:p w14:paraId="52D9DE9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6、本项目不收取投标保证金。</w:t>
      </w:r>
    </w:p>
    <w:p w14:paraId="63AB38D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采购信息查询：</w:t>
      </w:r>
      <w:r>
        <w:rPr>
          <w:rFonts w:ascii="宋体" w:hAnsi="宋体" w:cs="宋体"/>
          <w:kern w:val="0"/>
          <w:sz w:val="24"/>
        </w:rPr>
        <w:t>http://www.hainjy.com/</w:t>
      </w:r>
    </w:p>
    <w:p w14:paraId="44C7EA3D">
      <w:pPr>
        <w:adjustRightInd w:val="0"/>
        <w:snapToGrid w:val="0"/>
        <w:spacing w:line="360" w:lineRule="auto"/>
        <w:ind w:firstLine="482" w:firstLineChars="200"/>
        <w:rPr>
          <w:rFonts w:hint="eastAsia" w:ascii="宋体" w:hAnsi="宋体" w:cs="宋体"/>
          <w:b/>
          <w:kern w:val="0"/>
          <w:sz w:val="24"/>
        </w:rPr>
      </w:pPr>
      <w:bookmarkStart w:id="44" w:name="_Toc28359018"/>
      <w:bookmarkStart w:id="45" w:name="_Toc35393805"/>
      <w:bookmarkStart w:id="46" w:name="_Toc35393636"/>
      <w:bookmarkStart w:id="47" w:name="_Toc28359095"/>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4"/>
      <w:bookmarkEnd w:id="45"/>
      <w:bookmarkEnd w:id="46"/>
      <w:bookmarkEnd w:id="47"/>
    </w:p>
    <w:p w14:paraId="1CBEFE5D">
      <w:pPr>
        <w:adjustRightInd w:val="0"/>
        <w:snapToGrid w:val="0"/>
        <w:spacing w:line="360" w:lineRule="auto"/>
        <w:ind w:firstLine="480" w:firstLineChars="200"/>
        <w:rPr>
          <w:rFonts w:hint="eastAsia" w:ascii="宋体" w:hAnsi="宋体" w:cs="宋体"/>
          <w:kern w:val="0"/>
          <w:sz w:val="24"/>
        </w:rPr>
      </w:pPr>
      <w:bookmarkStart w:id="48" w:name="_Toc28359096"/>
      <w:bookmarkStart w:id="49" w:name="_Toc28359019"/>
      <w:bookmarkStart w:id="50" w:name="_Toc35393806"/>
      <w:bookmarkStart w:id="51" w:name="_Toc35393637"/>
      <w:r>
        <w:rPr>
          <w:rFonts w:hint="eastAsia" w:ascii="宋体" w:hAnsi="宋体" w:cs="宋体"/>
          <w:kern w:val="0"/>
          <w:sz w:val="24"/>
        </w:rPr>
        <w:t>1.采购人信息</w:t>
      </w:r>
      <w:bookmarkEnd w:id="48"/>
      <w:bookmarkEnd w:id="49"/>
      <w:bookmarkEnd w:id="50"/>
      <w:bookmarkEnd w:id="51"/>
    </w:p>
    <w:p w14:paraId="3D5CE5CC">
      <w:pPr>
        <w:adjustRightInd w:val="0"/>
        <w:snapToGrid w:val="0"/>
        <w:spacing w:line="360" w:lineRule="auto"/>
        <w:ind w:firstLine="480" w:firstLineChars="200"/>
        <w:rPr>
          <w:rFonts w:hint="eastAsia" w:ascii="宋体" w:hAnsi="宋体" w:cs="宋体"/>
          <w:kern w:val="0"/>
          <w:sz w:val="24"/>
        </w:rPr>
      </w:pPr>
      <w:bookmarkStart w:id="52" w:name="_Toc28359020"/>
      <w:bookmarkStart w:id="53" w:name="_Toc28359097"/>
      <w:bookmarkStart w:id="54" w:name="_Toc35393638"/>
      <w:bookmarkStart w:id="55" w:name="_Toc35393807"/>
      <w:r>
        <w:rPr>
          <w:rFonts w:hint="eastAsia" w:ascii="宋体" w:hAnsi="宋体" w:cs="宋体"/>
          <w:kern w:val="0"/>
          <w:sz w:val="24"/>
        </w:rPr>
        <w:t>名    称：　海南省军粮统筹配送中心有限公司</w:t>
      </w:r>
    </w:p>
    <w:p w14:paraId="51F3796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海南省海口市丘海大道52号</w:t>
      </w:r>
    </w:p>
    <w:p w14:paraId="610A7FE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陈先生13307675411</w:t>
      </w:r>
    </w:p>
    <w:p w14:paraId="34CC7A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2"/>
      <w:bookmarkEnd w:id="53"/>
      <w:bookmarkEnd w:id="54"/>
      <w:bookmarkEnd w:id="55"/>
    </w:p>
    <w:p w14:paraId="0EB3459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3EC44E6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海南省海口市蓝天路西2-8号　　</w:t>
      </w:r>
    </w:p>
    <w:p w14:paraId="5671F17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　　</w:t>
      </w:r>
    </w:p>
    <w:p w14:paraId="5DD6521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624FD1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33494DD7">
      <w:pPr>
        <w:adjustRightInd w:val="0"/>
        <w:snapToGrid w:val="0"/>
        <w:spacing w:line="360" w:lineRule="auto"/>
        <w:ind w:firstLine="480" w:firstLineChars="200"/>
        <w:jc w:val="left"/>
        <w:rPr>
          <w:b/>
          <w:bCs/>
          <w:sz w:val="32"/>
          <w:szCs w:val="32"/>
        </w:rPr>
      </w:pPr>
      <w:r>
        <w:rPr>
          <w:rFonts w:hint="eastAsia" w:ascii="宋体" w:hAnsi="宋体" w:cs="宋体"/>
          <w:kern w:val="0"/>
          <w:sz w:val="24"/>
        </w:rPr>
        <w:t>电话：0898-66779294</w:t>
      </w:r>
      <w:r>
        <w:rPr>
          <w:b/>
          <w:bCs/>
          <w:sz w:val="32"/>
          <w:szCs w:val="32"/>
        </w:rPr>
        <w:br w:type="page"/>
      </w:r>
      <w:bookmarkEnd w:id="65"/>
      <w:r>
        <w:rPr>
          <w:rFonts w:hint="eastAsia"/>
          <w:b/>
          <w:bCs/>
          <w:sz w:val="32"/>
          <w:szCs w:val="32"/>
        </w:rPr>
        <w:t xml:space="preserve">              第二部分  公开比选采购项目需求</w:t>
      </w:r>
    </w:p>
    <w:p w14:paraId="26AAB56F">
      <w:pPr>
        <w:spacing w:line="360" w:lineRule="auto"/>
        <w:ind w:firstLine="112" w:firstLineChars="47"/>
        <w:outlineLvl w:val="0"/>
        <w:rPr>
          <w:rFonts w:hint="eastAsia" w:ascii="宋体" w:hAnsi="宋体"/>
          <w:b/>
          <w:kern w:val="0"/>
          <w:sz w:val="32"/>
          <w:shd w:val="clear" w:color="auto" w:fill="FFFFFF"/>
        </w:rPr>
      </w:pPr>
      <w:bookmarkStart w:id="56" w:name="_Toc373100977"/>
      <w:r>
        <w:rPr>
          <w:rFonts w:hAnsi="宋体"/>
          <w:sz w:val="24"/>
          <w:shd w:val="clear" w:color="auto" w:fill="FFFFFF"/>
        </w:rPr>
        <w:t>一、</w:t>
      </w:r>
      <w:bookmarkEnd w:id="56"/>
      <w:r>
        <w:rPr>
          <w:rFonts w:hint="eastAsia" w:ascii="宋体" w:hAnsi="宋体"/>
          <w:kern w:val="24"/>
          <w:sz w:val="24"/>
          <w:shd w:val="clear" w:color="auto" w:fill="FFFFFF"/>
        </w:rPr>
        <w:t>投标人须知前附表</w:t>
      </w:r>
    </w:p>
    <w:tbl>
      <w:tblPr>
        <w:tblStyle w:val="39"/>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3329"/>
        <w:gridCol w:w="5255"/>
      </w:tblGrid>
      <w:tr w14:paraId="2FEA3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vAlign w:val="center"/>
          </w:tcPr>
          <w:p w14:paraId="64F66B17">
            <w:pPr>
              <w:pStyle w:val="121"/>
              <w:spacing w:line="500" w:lineRule="exact"/>
              <w:ind w:left="9"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3329" w:type="dxa"/>
            <w:vAlign w:val="center"/>
          </w:tcPr>
          <w:p w14:paraId="76D0E7AE">
            <w:pPr>
              <w:pStyle w:val="121"/>
              <w:spacing w:line="500" w:lineRule="exac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255" w:type="dxa"/>
            <w:vAlign w:val="center"/>
          </w:tcPr>
          <w:p w14:paraId="58E1C0D1">
            <w:pPr>
              <w:pStyle w:val="121"/>
              <w:spacing w:line="500" w:lineRule="exact"/>
              <w:ind w:left="571" w:leftChars="272" w:firstLine="1677" w:firstLineChars="699"/>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4D17B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vAlign w:val="center"/>
          </w:tcPr>
          <w:p w14:paraId="06A0F147">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3329" w:type="dxa"/>
            <w:vAlign w:val="center"/>
          </w:tcPr>
          <w:p w14:paraId="74A0D768">
            <w:pPr>
              <w:spacing w:line="380" w:lineRule="exact"/>
              <w:jc w:val="center"/>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5255" w:type="dxa"/>
            <w:vAlign w:val="center"/>
          </w:tcPr>
          <w:p w14:paraId="7B2AAD10">
            <w:pPr>
              <w:spacing w:line="38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rPr>
              <w:t>122万元。</w:t>
            </w:r>
          </w:p>
          <w:p w14:paraId="77B1AB9D">
            <w:pPr>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折扣</w:t>
            </w:r>
            <w:r>
              <w:rPr>
                <w:rFonts w:hint="eastAsia" w:ascii="宋体" w:hAnsi="宋体" w:cs="宋体"/>
                <w:kern w:val="0"/>
                <w:sz w:val="24"/>
                <w:shd w:val="clear" w:color="auto" w:fill="FFFFFF"/>
                <w:lang w:val="zh-CN"/>
              </w:rPr>
              <w:t>报价不能超过采购预算，超过视为无效响应。</w:t>
            </w:r>
          </w:p>
        </w:tc>
      </w:tr>
      <w:tr w14:paraId="29F8B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vAlign w:val="center"/>
          </w:tcPr>
          <w:p w14:paraId="2C51110E">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3329" w:type="dxa"/>
            <w:vAlign w:val="center"/>
          </w:tcPr>
          <w:p w14:paraId="35CED3A0">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255" w:type="dxa"/>
            <w:vAlign w:val="center"/>
          </w:tcPr>
          <w:p w14:paraId="6A5811BF">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7098B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vAlign w:val="center"/>
          </w:tcPr>
          <w:p w14:paraId="1FCE42EF">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3329" w:type="dxa"/>
            <w:vAlign w:val="center"/>
          </w:tcPr>
          <w:p w14:paraId="5598E431">
            <w:pPr>
              <w:spacing w:line="500" w:lineRule="exact"/>
              <w:jc w:val="center"/>
              <w:rPr>
                <w:rFonts w:hint="eastAsia" w:ascii="宋体" w:hAnsi="宋体"/>
                <w:sz w:val="24"/>
                <w:shd w:val="clear" w:color="auto" w:fill="FFFFFF"/>
              </w:rPr>
            </w:pPr>
            <w:r>
              <w:rPr>
                <w:rFonts w:hint="eastAsia" w:ascii="宋体" w:hAnsi="宋体"/>
                <w:sz w:val="24"/>
                <w:shd w:val="clear" w:color="auto" w:fill="FFFFFF"/>
              </w:rPr>
              <w:t>标前踏勘现场或/和标前答疑会</w:t>
            </w:r>
          </w:p>
        </w:tc>
        <w:tc>
          <w:tcPr>
            <w:tcW w:w="5255" w:type="dxa"/>
            <w:vAlign w:val="center"/>
          </w:tcPr>
          <w:p w14:paraId="7A2A5201">
            <w:pPr>
              <w:spacing w:line="50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48012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vAlign w:val="center"/>
          </w:tcPr>
          <w:p w14:paraId="4B1EE841">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3329" w:type="dxa"/>
            <w:vAlign w:val="center"/>
          </w:tcPr>
          <w:p w14:paraId="0027D60C">
            <w:pPr>
              <w:pStyle w:val="121"/>
              <w:spacing w:line="500" w:lineRule="exact"/>
              <w:ind w:left="0" w:firstLine="0"/>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255" w:type="dxa"/>
            <w:vAlign w:val="center"/>
          </w:tcPr>
          <w:p w14:paraId="312BF58C">
            <w:pPr>
              <w:widowControl/>
              <w:tabs>
                <w:tab w:val="left" w:pos="425"/>
              </w:tabs>
              <w:spacing w:line="36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0823D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vAlign w:val="center"/>
          </w:tcPr>
          <w:p w14:paraId="24859941">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3329" w:type="dxa"/>
            <w:vAlign w:val="center"/>
          </w:tcPr>
          <w:p w14:paraId="4DBFCCF0">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255" w:type="dxa"/>
            <w:vAlign w:val="center"/>
          </w:tcPr>
          <w:p w14:paraId="7D201A57">
            <w:pPr>
              <w:pStyle w:val="121"/>
              <w:spacing w:line="360" w:lineRule="exact"/>
              <w:jc w:val="left"/>
              <w:rPr>
                <w:rFonts w:hint="eastAsia"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22DF5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914" w:type="dxa"/>
            <w:vAlign w:val="center"/>
          </w:tcPr>
          <w:p w14:paraId="1A031EB9">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3329" w:type="dxa"/>
            <w:vAlign w:val="center"/>
          </w:tcPr>
          <w:p w14:paraId="15AEFB45">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5255" w:type="dxa"/>
            <w:vAlign w:val="center"/>
          </w:tcPr>
          <w:p w14:paraId="69E6D708">
            <w:pPr>
              <w:pStyle w:val="121"/>
              <w:spacing w:line="440" w:lineRule="exact"/>
              <w:ind w:firstLine="240" w:firstLineChars="10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    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份</w:t>
            </w:r>
          </w:p>
          <w:p w14:paraId="558F728C">
            <w:pPr>
              <w:pStyle w:val="121"/>
              <w:spacing w:line="440" w:lineRule="exact"/>
              <w:ind w:left="0" w:firstLine="0"/>
              <w:jc w:val="left"/>
              <w:rPr>
                <w:rFonts w:hint="eastAsia" w:ascii="宋体" w:hAnsi="宋体"/>
                <w:b/>
                <w:sz w:val="18"/>
                <w:szCs w:val="18"/>
                <w:shd w:val="clear" w:color="auto" w:fill="FFFFFF"/>
                <w:lang w:val="zh-CN"/>
              </w:rPr>
            </w:pPr>
            <w:r>
              <w:rPr>
                <w:rFonts w:hint="eastAsia" w:ascii="宋体" w:hAnsi="宋体"/>
                <w:b/>
                <w:kern w:val="0"/>
                <w:sz w:val="18"/>
                <w:szCs w:val="18"/>
              </w:rPr>
              <w:t>温馨提示：为了节约能源保护环境，制作响应文件时请双面打印</w:t>
            </w:r>
          </w:p>
        </w:tc>
      </w:tr>
      <w:tr w14:paraId="230B0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6BFFEA44">
            <w:pPr>
              <w:pStyle w:val="5"/>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7</w:t>
            </w:r>
          </w:p>
        </w:tc>
        <w:tc>
          <w:tcPr>
            <w:tcW w:w="3329" w:type="dxa"/>
            <w:vAlign w:val="center"/>
          </w:tcPr>
          <w:p w14:paraId="1714720D">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255" w:type="dxa"/>
            <w:vAlign w:val="center"/>
          </w:tcPr>
          <w:p w14:paraId="04CF9B2E">
            <w:pPr>
              <w:pStyle w:val="121"/>
              <w:spacing w:line="400" w:lineRule="exact"/>
              <w:ind w:left="65" w:leftChars="31" w:firstLine="120" w:firstLineChars="5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E587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103B09C6">
            <w:pPr>
              <w:pStyle w:val="5"/>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8</w:t>
            </w:r>
          </w:p>
        </w:tc>
        <w:tc>
          <w:tcPr>
            <w:tcW w:w="3329" w:type="dxa"/>
            <w:vAlign w:val="center"/>
          </w:tcPr>
          <w:p w14:paraId="29A927D2">
            <w:pPr>
              <w:pStyle w:val="121"/>
              <w:spacing w:line="500" w:lineRule="exact"/>
              <w:ind w:left="0" w:firstLine="0"/>
              <w:rPr>
                <w:rFonts w:hint="eastAsia" w:ascii="宋体" w:hAnsi="宋体"/>
                <w:sz w:val="24"/>
                <w:szCs w:val="24"/>
                <w:shd w:val="clear" w:color="auto" w:fill="FFFFFF"/>
              </w:rPr>
            </w:pPr>
            <w:r>
              <w:rPr>
                <w:rFonts w:hint="eastAsia" w:ascii="宋体" w:hAnsi="宋体"/>
                <w:bCs/>
                <w:sz w:val="24"/>
                <w:szCs w:val="24"/>
                <w:shd w:val="clear" w:color="auto" w:fill="FFFFFF"/>
              </w:rPr>
              <w:t>服务期限</w:t>
            </w:r>
          </w:p>
        </w:tc>
        <w:tc>
          <w:tcPr>
            <w:tcW w:w="5255" w:type="dxa"/>
            <w:vAlign w:val="center"/>
          </w:tcPr>
          <w:p w14:paraId="20F1BF3B">
            <w:pPr>
              <w:adjustRightInd w:val="0"/>
              <w:snapToGrid w:val="0"/>
              <w:spacing w:line="360" w:lineRule="auto"/>
              <w:rPr>
                <w:rFonts w:hint="eastAsia" w:ascii="宋体" w:hAnsi="宋体"/>
                <w:sz w:val="24"/>
                <w:shd w:val="clear" w:color="auto" w:fill="FFFFFF"/>
              </w:rPr>
            </w:pPr>
            <w:r>
              <w:rPr>
                <w:rFonts w:hint="eastAsia" w:ascii="宋体" w:hAnsi="宋体" w:cs="宋体"/>
                <w:kern w:val="0"/>
                <w:sz w:val="24"/>
              </w:rPr>
              <w:t>合同签订后60天内安装完成。</w:t>
            </w:r>
          </w:p>
        </w:tc>
      </w:tr>
      <w:tr w14:paraId="11A03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3" w:hRule="atLeast"/>
        </w:trPr>
        <w:tc>
          <w:tcPr>
            <w:tcW w:w="914" w:type="dxa"/>
            <w:vAlign w:val="center"/>
          </w:tcPr>
          <w:p w14:paraId="2BB03346">
            <w:pPr>
              <w:pStyle w:val="5"/>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9</w:t>
            </w:r>
          </w:p>
        </w:tc>
        <w:tc>
          <w:tcPr>
            <w:tcW w:w="3329" w:type="dxa"/>
            <w:vAlign w:val="center"/>
          </w:tcPr>
          <w:p w14:paraId="6FAAEACE">
            <w:pPr>
              <w:pStyle w:val="121"/>
              <w:spacing w:line="500" w:lineRule="exact"/>
              <w:ind w:left="0" w:firstLine="0"/>
              <w:rPr>
                <w:rFonts w:hint="eastAsia" w:ascii="宋体" w:hAnsi="宋体"/>
                <w:sz w:val="24"/>
                <w:szCs w:val="24"/>
                <w:shd w:val="clear" w:color="auto" w:fill="FFFFFF"/>
                <w:lang w:val="zh-CN"/>
              </w:rPr>
            </w:pPr>
            <w:r>
              <w:rPr>
                <w:rFonts w:hint="eastAsia" w:ascii="宋体" w:hAnsi="宋体"/>
                <w:bCs/>
                <w:sz w:val="24"/>
                <w:szCs w:val="24"/>
                <w:shd w:val="clear" w:color="auto" w:fill="FFFFFF"/>
              </w:rPr>
              <w:t>服务</w:t>
            </w:r>
            <w:r>
              <w:rPr>
                <w:rFonts w:hint="eastAsia" w:ascii="宋体" w:hAnsi="宋体"/>
                <w:sz w:val="24"/>
                <w:szCs w:val="24"/>
                <w:shd w:val="clear" w:color="auto" w:fill="FFFFFF"/>
                <w:lang w:val="zh-CN"/>
              </w:rPr>
              <w:t>地点</w:t>
            </w:r>
          </w:p>
        </w:tc>
        <w:tc>
          <w:tcPr>
            <w:tcW w:w="5255" w:type="dxa"/>
            <w:vAlign w:val="center"/>
          </w:tcPr>
          <w:p w14:paraId="29E2851C">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r w14:paraId="3F85F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7ECF78A0">
            <w:pPr>
              <w:pStyle w:val="5"/>
              <w:spacing w:line="500" w:lineRule="exact"/>
              <w:ind w:left="0" w:firstLine="0"/>
              <w:jc w:val="center"/>
              <w:rPr>
                <w:rFonts w:hint="eastAsia" w:ascii="宋体" w:hAnsi="宋体"/>
                <w:szCs w:val="24"/>
                <w:shd w:val="clear" w:color="auto" w:fill="FFFFFF"/>
              </w:rPr>
            </w:pPr>
            <w:r>
              <w:rPr>
                <w:rFonts w:hint="eastAsia" w:ascii="宋体" w:hAnsi="宋体"/>
                <w:szCs w:val="24"/>
                <w:shd w:val="clear" w:color="auto" w:fill="FFFFFF"/>
              </w:rPr>
              <w:t>1</w:t>
            </w:r>
            <w:r>
              <w:rPr>
                <w:rFonts w:ascii="宋体" w:hAnsi="宋体"/>
                <w:szCs w:val="24"/>
                <w:shd w:val="clear" w:color="auto" w:fill="FFFFFF"/>
              </w:rPr>
              <w:t>0</w:t>
            </w:r>
          </w:p>
        </w:tc>
        <w:tc>
          <w:tcPr>
            <w:tcW w:w="3329" w:type="dxa"/>
            <w:vAlign w:val="center"/>
          </w:tcPr>
          <w:p w14:paraId="78538FB4">
            <w:pPr>
              <w:pStyle w:val="121"/>
              <w:spacing w:line="500" w:lineRule="exact"/>
              <w:ind w:left="0" w:firstLine="0"/>
              <w:rPr>
                <w:rFonts w:hint="eastAsia" w:ascii="宋体" w:hAnsi="宋体"/>
                <w:sz w:val="24"/>
                <w:szCs w:val="24"/>
                <w:shd w:val="clear" w:color="auto" w:fill="FFFFFF"/>
              </w:rPr>
            </w:pPr>
            <w:r>
              <w:rPr>
                <w:rFonts w:hint="eastAsia" w:ascii="宋体" w:hAnsi="宋体"/>
                <w:sz w:val="24"/>
                <w:szCs w:val="24"/>
                <w:shd w:val="clear" w:color="auto" w:fill="FFFFFF"/>
              </w:rPr>
              <w:t>付款方式</w:t>
            </w:r>
          </w:p>
        </w:tc>
        <w:tc>
          <w:tcPr>
            <w:tcW w:w="5255" w:type="dxa"/>
            <w:vAlign w:val="center"/>
          </w:tcPr>
          <w:p w14:paraId="4C39C910">
            <w:pPr>
              <w:pStyle w:val="20"/>
              <w:numPr>
                <w:ilvl w:val="0"/>
                <w:numId w:val="3"/>
              </w:numPr>
              <w:ind w:left="0" w:leftChars="0" w:right="0" w:rightChars="0" w:firstLine="0"/>
              <w:rPr>
                <w:rFonts w:hint="eastAsia" w:ascii="宋体" w:hAnsi="宋体"/>
                <w:sz w:val="24"/>
                <w:shd w:val="clear" w:color="auto" w:fill="FFFFFF"/>
              </w:rPr>
            </w:pPr>
            <w:r>
              <w:rPr>
                <w:rFonts w:hint="eastAsia" w:ascii="宋体" w:hAnsi="宋体"/>
                <w:sz w:val="24"/>
                <w:shd w:val="clear" w:color="auto" w:fill="FFFFFF"/>
              </w:rPr>
              <w:t>合同签订生效后7个工作日内，甲方支付乙方本合同金额的30%作为预付款；</w:t>
            </w:r>
          </w:p>
          <w:p w14:paraId="4165082B">
            <w:pPr>
              <w:pStyle w:val="20"/>
              <w:numPr>
                <w:ilvl w:val="0"/>
                <w:numId w:val="3"/>
              </w:numPr>
              <w:ind w:left="0" w:leftChars="0" w:right="0" w:rightChars="0" w:firstLine="0"/>
              <w:rPr>
                <w:rFonts w:hint="eastAsia" w:ascii="宋体" w:hAnsi="宋体"/>
                <w:sz w:val="24"/>
                <w:shd w:val="clear" w:color="auto" w:fill="FFFFFF"/>
              </w:rPr>
            </w:pPr>
            <w:r>
              <w:rPr>
                <w:rFonts w:hint="eastAsia" w:ascii="宋体" w:hAnsi="宋体"/>
                <w:sz w:val="24"/>
                <w:shd w:val="clear" w:color="auto" w:fill="FFFFFF"/>
              </w:rPr>
              <w:t>本项目实施完成，具备进粮条件并通过甲乙双方验收，甲方7个工作日内支付5</w:t>
            </w:r>
            <w:r>
              <w:rPr>
                <w:rFonts w:ascii="宋体" w:hAnsi="宋体"/>
                <w:sz w:val="24"/>
                <w:shd w:val="clear" w:color="auto" w:fill="FFFFFF"/>
              </w:rPr>
              <w:t>5%的合同款</w:t>
            </w:r>
            <w:r>
              <w:rPr>
                <w:rFonts w:hint="eastAsia" w:ascii="宋体" w:hAnsi="宋体"/>
                <w:sz w:val="24"/>
                <w:shd w:val="clear" w:color="auto" w:fill="FFFFFF"/>
              </w:rPr>
              <w:t>；</w:t>
            </w:r>
          </w:p>
          <w:p w14:paraId="2CCFFE90">
            <w:pPr>
              <w:pStyle w:val="20"/>
              <w:numPr>
                <w:ilvl w:val="0"/>
                <w:numId w:val="3"/>
              </w:numPr>
              <w:ind w:left="0" w:leftChars="0" w:right="0" w:rightChars="0" w:firstLine="0"/>
              <w:rPr>
                <w:rFonts w:hint="eastAsia" w:ascii="宋体" w:hAnsi="宋体"/>
                <w:sz w:val="24"/>
                <w:shd w:val="clear" w:color="auto" w:fill="FFFFFF"/>
              </w:rPr>
            </w:pPr>
            <w:r>
              <w:rPr>
                <w:rFonts w:ascii="宋体" w:hAnsi="宋体"/>
                <w:sz w:val="24"/>
                <w:shd w:val="clear" w:color="auto" w:fill="FFFFFF"/>
              </w:rPr>
              <w:t>验收完成后</w:t>
            </w:r>
            <w:r>
              <w:rPr>
                <w:rFonts w:hint="eastAsia" w:ascii="宋体" w:hAnsi="宋体"/>
                <w:sz w:val="24"/>
                <w:shd w:val="clear" w:color="auto" w:fill="FFFFFF"/>
              </w:rPr>
              <w:t>6个月，甲方7个工作日内支付1</w:t>
            </w:r>
            <w:r>
              <w:rPr>
                <w:rFonts w:ascii="宋体" w:hAnsi="宋体"/>
                <w:sz w:val="24"/>
                <w:shd w:val="clear" w:color="auto" w:fill="FFFFFF"/>
              </w:rPr>
              <w:t>0%的合同款；</w:t>
            </w:r>
          </w:p>
          <w:p w14:paraId="3EB4857E">
            <w:pPr>
              <w:pStyle w:val="20"/>
              <w:numPr>
                <w:ilvl w:val="0"/>
                <w:numId w:val="3"/>
              </w:numPr>
              <w:ind w:left="0" w:leftChars="0" w:right="0" w:rightChars="0" w:firstLine="0"/>
              <w:rPr>
                <w:rFonts w:hint="eastAsia" w:ascii="宋体" w:hAnsi="宋体"/>
                <w:sz w:val="24"/>
                <w:shd w:val="clear" w:color="auto" w:fill="FFFFFF"/>
              </w:rPr>
            </w:pPr>
            <w:r>
              <w:rPr>
                <w:rFonts w:hint="eastAsia" w:ascii="宋体" w:hAnsi="宋体"/>
                <w:sz w:val="24"/>
                <w:shd w:val="clear" w:color="auto" w:fill="FFFFFF"/>
              </w:rPr>
              <w:t>合同剩余5%款项作为质保金，自项目改造完成甲乙双方验收签字盖章验收之日起计算，质保期满后甲方无息支付尾款。</w:t>
            </w:r>
          </w:p>
          <w:p w14:paraId="38BCD6B7">
            <w:pPr>
              <w:pStyle w:val="20"/>
              <w:ind w:left="0" w:leftChars="0" w:right="0" w:rightChars="0"/>
              <w:rPr>
                <w:rFonts w:hint="eastAsia" w:ascii="宋体" w:hAnsi="宋体"/>
                <w:sz w:val="24"/>
                <w:shd w:val="clear" w:color="auto" w:fill="FFFFFF"/>
              </w:rPr>
            </w:pPr>
            <w:r>
              <w:rPr>
                <w:rFonts w:ascii="宋体" w:hAnsi="宋体"/>
                <w:sz w:val="24"/>
                <w:shd w:val="clear" w:color="auto" w:fill="FFFFFF"/>
              </w:rPr>
              <w:t>注：</w:t>
            </w:r>
            <w:r>
              <w:rPr>
                <w:rFonts w:hint="eastAsia" w:ascii="宋体" w:hAnsi="宋体"/>
                <w:sz w:val="24"/>
                <w:shd w:val="clear" w:color="auto" w:fill="FFFFFF"/>
              </w:rPr>
              <w:t>乙方应在甲方支付合同款项前提供等额有效发票。</w:t>
            </w:r>
          </w:p>
        </w:tc>
      </w:tr>
      <w:tr w14:paraId="2FFB1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051E8EF9">
            <w:pPr>
              <w:pStyle w:val="5"/>
              <w:spacing w:line="500" w:lineRule="exact"/>
              <w:ind w:left="0" w:firstLine="0"/>
              <w:jc w:val="center"/>
              <w:rPr>
                <w:rFonts w:hint="eastAsia" w:ascii="宋体" w:hAnsi="宋体"/>
                <w:szCs w:val="24"/>
                <w:shd w:val="clear" w:color="auto" w:fill="FFFFFF"/>
              </w:rPr>
            </w:pPr>
            <w:r>
              <w:rPr>
                <w:rFonts w:hint="eastAsia" w:ascii="宋体" w:hAnsi="宋体"/>
                <w:szCs w:val="24"/>
                <w:shd w:val="clear" w:color="auto" w:fill="FFFFFF"/>
              </w:rPr>
              <w:t>1</w:t>
            </w:r>
            <w:r>
              <w:rPr>
                <w:rFonts w:ascii="宋体" w:hAnsi="宋体"/>
                <w:szCs w:val="24"/>
                <w:shd w:val="clear" w:color="auto" w:fill="FFFFFF"/>
              </w:rPr>
              <w:t>1</w:t>
            </w:r>
            <w:r>
              <w:rPr>
                <w:rFonts w:hint="eastAsia" w:ascii="宋体" w:hAnsi="宋体"/>
                <w:szCs w:val="24"/>
                <w:shd w:val="clear" w:color="auto" w:fill="FFFFFF"/>
              </w:rPr>
              <w:t xml:space="preserve"> </w:t>
            </w:r>
          </w:p>
        </w:tc>
        <w:tc>
          <w:tcPr>
            <w:tcW w:w="3329" w:type="dxa"/>
            <w:vAlign w:val="center"/>
          </w:tcPr>
          <w:p w14:paraId="005F9B10">
            <w:pPr>
              <w:pStyle w:val="121"/>
              <w:spacing w:line="500" w:lineRule="exact"/>
              <w:ind w:left="0" w:firstLine="0"/>
              <w:rPr>
                <w:rFonts w:hint="eastAsia" w:ascii="宋体" w:hAnsi="宋体"/>
                <w:sz w:val="24"/>
                <w:szCs w:val="24"/>
                <w:shd w:val="clear" w:color="auto" w:fill="FFFFFF"/>
              </w:rPr>
            </w:pPr>
            <w:r>
              <w:rPr>
                <w:rFonts w:ascii="宋体" w:hAnsi="宋体"/>
                <w:sz w:val="24"/>
                <w:szCs w:val="24"/>
                <w:shd w:val="clear" w:color="auto" w:fill="FFFFFF"/>
              </w:rPr>
              <w:t>质保期</w:t>
            </w:r>
          </w:p>
        </w:tc>
        <w:tc>
          <w:tcPr>
            <w:tcW w:w="5255" w:type="dxa"/>
            <w:vAlign w:val="center"/>
          </w:tcPr>
          <w:p w14:paraId="6ECC558E">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1年</w:t>
            </w:r>
          </w:p>
        </w:tc>
      </w:tr>
      <w:tr w14:paraId="28AF9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3494E9A2">
            <w:pPr>
              <w:pStyle w:val="5"/>
              <w:spacing w:line="500" w:lineRule="exact"/>
              <w:ind w:left="0" w:firstLine="0"/>
              <w:jc w:val="center"/>
              <w:rPr>
                <w:rFonts w:hint="eastAsia" w:ascii="宋体" w:hAnsi="宋体"/>
                <w:szCs w:val="24"/>
                <w:shd w:val="clear" w:color="auto" w:fill="FFFFFF"/>
              </w:rPr>
            </w:pPr>
            <w:r>
              <w:rPr>
                <w:rFonts w:hint="eastAsia" w:ascii="宋体" w:hAnsi="宋体"/>
                <w:szCs w:val="24"/>
                <w:shd w:val="clear" w:color="auto" w:fill="FFFFFF"/>
              </w:rPr>
              <w:t>1</w:t>
            </w:r>
            <w:r>
              <w:rPr>
                <w:rFonts w:ascii="宋体" w:hAnsi="宋体"/>
                <w:szCs w:val="24"/>
                <w:shd w:val="clear" w:color="auto" w:fill="FFFFFF"/>
              </w:rPr>
              <w:t>2</w:t>
            </w:r>
          </w:p>
        </w:tc>
        <w:tc>
          <w:tcPr>
            <w:tcW w:w="3329" w:type="dxa"/>
            <w:vAlign w:val="center"/>
          </w:tcPr>
          <w:p w14:paraId="0D3CA7B2">
            <w:pPr>
              <w:pStyle w:val="121"/>
              <w:spacing w:line="500" w:lineRule="exact"/>
              <w:ind w:left="0" w:firstLine="0"/>
              <w:rPr>
                <w:rFonts w:hint="eastAsia" w:ascii="宋体" w:hAnsi="宋体"/>
                <w:sz w:val="24"/>
                <w:szCs w:val="24"/>
                <w:shd w:val="clear" w:color="auto" w:fill="FFFFFF"/>
              </w:rPr>
            </w:pPr>
            <w:r>
              <w:rPr>
                <w:rFonts w:hint="eastAsia" w:ascii="宋体" w:hAnsi="宋体"/>
                <w:sz w:val="24"/>
                <w:szCs w:val="24"/>
                <w:shd w:val="clear" w:color="auto" w:fill="FFFFFF"/>
              </w:rPr>
              <w:t>备注</w:t>
            </w:r>
          </w:p>
        </w:tc>
        <w:tc>
          <w:tcPr>
            <w:tcW w:w="5255" w:type="dxa"/>
            <w:vAlign w:val="center"/>
          </w:tcPr>
          <w:p w14:paraId="5E6D09CB">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hint="eastAsia" w:ascii="宋体" w:hAnsi="宋体"/>
                <w:sz w:val="24"/>
                <w:szCs w:val="24"/>
                <w:shd w:val="clear" w:color="auto" w:fill="FFFFFF"/>
              </w:rPr>
              <w:t>偏差。</w:t>
            </w:r>
          </w:p>
          <w:p w14:paraId="334758D3">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2、采购标的物需按照国家相关标准、行业标准、地方标准或者其他标准、规范执行。</w:t>
            </w:r>
          </w:p>
        </w:tc>
      </w:tr>
    </w:tbl>
    <w:p w14:paraId="656D99F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cs="宋体"/>
          <w:kern w:val="0"/>
          <w:sz w:val="24"/>
        </w:rPr>
      </w:pPr>
      <w:r>
        <w:rPr>
          <w:rFonts w:hint="eastAsia" w:ascii="宋体" w:hAnsi="宋体"/>
          <w:b/>
          <w:kern w:val="0"/>
          <w:sz w:val="32"/>
        </w:rPr>
        <w:t>采购需求：</w:t>
      </w:r>
    </w:p>
    <w:tbl>
      <w:tblPr>
        <w:tblStyle w:val="3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79"/>
        <w:gridCol w:w="1952"/>
        <w:gridCol w:w="4650"/>
        <w:gridCol w:w="880"/>
        <w:gridCol w:w="882"/>
      </w:tblGrid>
      <w:tr w14:paraId="52E6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0" w:hRule="atLeast"/>
          <w:jc w:val="center"/>
        </w:trPr>
        <w:tc>
          <w:tcPr>
            <w:tcW w:w="879" w:type="dxa"/>
            <w:vMerge w:val="restart"/>
            <w:shd w:val="clear" w:color="auto" w:fill="FFFFFF" w:themeFill="background1"/>
            <w:vAlign w:val="center"/>
          </w:tcPr>
          <w:p w14:paraId="5B801E11">
            <w:pPr>
              <w:widowControl/>
              <w:jc w:val="center"/>
              <w:textAlignment w:val="center"/>
              <w:rPr>
                <w:rFonts w:hint="eastAsia" w:ascii="黑体" w:hAnsi="宋体" w:eastAsia="黑体" w:cs="黑体"/>
                <w:b/>
                <w:bCs/>
                <w:color w:val="000000" w:themeColor="text1"/>
                <w:sz w:val="24"/>
                <w14:textFill>
                  <w14:solidFill>
                    <w14:schemeClr w14:val="tx1"/>
                  </w14:solidFill>
                </w14:textFill>
              </w:rPr>
            </w:pPr>
            <w:r>
              <w:rPr>
                <w:rFonts w:hint="eastAsia" w:ascii="黑体" w:hAnsi="宋体" w:eastAsia="黑体" w:cs="黑体"/>
                <w:b/>
                <w:bCs/>
                <w:color w:val="000000" w:themeColor="text1"/>
                <w:kern w:val="0"/>
                <w:sz w:val="24"/>
                <w:lang w:bidi="ar"/>
                <w14:textFill>
                  <w14:solidFill>
                    <w14:schemeClr w14:val="tx1"/>
                  </w14:solidFill>
                </w14:textFill>
              </w:rPr>
              <w:t>序号</w:t>
            </w:r>
          </w:p>
        </w:tc>
        <w:tc>
          <w:tcPr>
            <w:tcW w:w="1952" w:type="dxa"/>
            <w:vMerge w:val="restart"/>
            <w:shd w:val="clear" w:color="auto" w:fill="FFFFFF" w:themeFill="background1"/>
            <w:vAlign w:val="center"/>
          </w:tcPr>
          <w:p w14:paraId="6FAA52A6">
            <w:pPr>
              <w:widowControl/>
              <w:jc w:val="center"/>
              <w:textAlignment w:val="center"/>
              <w:rPr>
                <w:rFonts w:hint="eastAsia" w:ascii="黑体" w:hAnsi="宋体" w:eastAsia="黑体" w:cs="黑体"/>
                <w:b/>
                <w:bCs/>
                <w:color w:val="000000" w:themeColor="text1"/>
                <w:sz w:val="24"/>
                <w14:textFill>
                  <w14:solidFill>
                    <w14:schemeClr w14:val="tx1"/>
                  </w14:solidFill>
                </w14:textFill>
              </w:rPr>
            </w:pPr>
            <w:r>
              <w:rPr>
                <w:rFonts w:hint="eastAsia" w:ascii="黑体" w:hAnsi="宋体" w:eastAsia="黑体" w:cs="黑体"/>
                <w:b/>
                <w:bCs/>
                <w:color w:val="000000" w:themeColor="text1"/>
                <w:kern w:val="0"/>
                <w:sz w:val="24"/>
                <w:lang w:bidi="ar"/>
                <w14:textFill>
                  <w14:solidFill>
                    <w14:schemeClr w14:val="tx1"/>
                  </w14:solidFill>
                </w14:textFill>
              </w:rPr>
              <w:t>设备名称</w:t>
            </w:r>
          </w:p>
        </w:tc>
        <w:tc>
          <w:tcPr>
            <w:tcW w:w="4650" w:type="dxa"/>
            <w:vMerge w:val="restart"/>
            <w:shd w:val="clear" w:color="auto" w:fill="FFFFFF" w:themeFill="background1"/>
            <w:vAlign w:val="center"/>
          </w:tcPr>
          <w:p w14:paraId="63BB7A2A">
            <w:pPr>
              <w:widowControl/>
              <w:jc w:val="center"/>
              <w:textAlignment w:val="center"/>
              <w:rPr>
                <w:rFonts w:hint="eastAsia" w:ascii="黑体" w:hAnsi="宋体" w:eastAsia="黑体" w:cs="黑体"/>
                <w:b/>
                <w:bCs/>
                <w:color w:val="000000" w:themeColor="text1"/>
                <w:sz w:val="24"/>
                <w14:textFill>
                  <w14:solidFill>
                    <w14:schemeClr w14:val="tx1"/>
                  </w14:solidFill>
                </w14:textFill>
              </w:rPr>
            </w:pPr>
            <w:r>
              <w:rPr>
                <w:rFonts w:hint="eastAsia" w:ascii="黑体" w:hAnsi="宋体" w:eastAsia="黑体" w:cs="黑体"/>
                <w:b/>
                <w:bCs/>
                <w:color w:val="000000" w:themeColor="text1"/>
                <w:kern w:val="0"/>
                <w:sz w:val="24"/>
                <w:lang w:bidi="ar"/>
                <w14:textFill>
                  <w14:solidFill>
                    <w14:schemeClr w14:val="tx1"/>
                  </w14:solidFill>
                </w14:textFill>
              </w:rPr>
              <w:t>参考规格型号、技术参数</w:t>
            </w:r>
          </w:p>
        </w:tc>
        <w:tc>
          <w:tcPr>
            <w:tcW w:w="880" w:type="dxa"/>
            <w:vMerge w:val="restart"/>
            <w:shd w:val="clear" w:color="auto" w:fill="FFFFFF" w:themeFill="background1"/>
            <w:vAlign w:val="center"/>
          </w:tcPr>
          <w:p w14:paraId="12288C8E">
            <w:pPr>
              <w:widowControl/>
              <w:jc w:val="center"/>
              <w:textAlignment w:val="center"/>
              <w:rPr>
                <w:rFonts w:hint="eastAsia" w:ascii="黑体" w:hAnsi="宋体" w:eastAsia="黑体" w:cs="黑体"/>
                <w:b/>
                <w:bCs/>
                <w:color w:val="000000" w:themeColor="text1"/>
                <w:sz w:val="24"/>
                <w14:textFill>
                  <w14:solidFill>
                    <w14:schemeClr w14:val="tx1"/>
                  </w14:solidFill>
                </w14:textFill>
              </w:rPr>
            </w:pPr>
            <w:r>
              <w:rPr>
                <w:rFonts w:hint="eastAsia" w:ascii="黑体" w:hAnsi="宋体" w:eastAsia="黑体" w:cs="黑体"/>
                <w:b/>
                <w:bCs/>
                <w:color w:val="000000" w:themeColor="text1"/>
                <w:kern w:val="0"/>
                <w:sz w:val="24"/>
                <w:lang w:bidi="ar"/>
                <w14:textFill>
                  <w14:solidFill>
                    <w14:schemeClr w14:val="tx1"/>
                  </w14:solidFill>
                </w14:textFill>
              </w:rPr>
              <w:t>单位</w:t>
            </w:r>
          </w:p>
        </w:tc>
        <w:tc>
          <w:tcPr>
            <w:tcW w:w="882" w:type="dxa"/>
            <w:vMerge w:val="restart"/>
            <w:shd w:val="clear" w:color="auto" w:fill="FFFFFF" w:themeFill="background1"/>
            <w:vAlign w:val="center"/>
          </w:tcPr>
          <w:p w14:paraId="0B1DE203">
            <w:pPr>
              <w:widowControl/>
              <w:jc w:val="center"/>
              <w:textAlignment w:val="center"/>
              <w:rPr>
                <w:rFonts w:hint="eastAsia" w:ascii="黑体" w:hAnsi="宋体" w:eastAsia="黑体" w:cs="黑体"/>
                <w:b/>
                <w:bCs/>
                <w:color w:val="000000" w:themeColor="text1"/>
                <w:sz w:val="24"/>
                <w14:textFill>
                  <w14:solidFill>
                    <w14:schemeClr w14:val="tx1"/>
                  </w14:solidFill>
                </w14:textFill>
              </w:rPr>
            </w:pPr>
            <w:r>
              <w:rPr>
                <w:rFonts w:hint="eastAsia" w:ascii="黑体" w:hAnsi="宋体" w:eastAsia="黑体" w:cs="黑体"/>
                <w:b/>
                <w:bCs/>
                <w:color w:val="000000" w:themeColor="text1"/>
                <w:kern w:val="0"/>
                <w:sz w:val="24"/>
                <w:lang w:bidi="ar"/>
                <w14:textFill>
                  <w14:solidFill>
                    <w14:schemeClr w14:val="tx1"/>
                  </w14:solidFill>
                </w14:textFill>
              </w:rPr>
              <w:t>数量</w:t>
            </w:r>
          </w:p>
        </w:tc>
      </w:tr>
      <w:tr w14:paraId="3F8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9" w:type="dxa"/>
            <w:vMerge w:val="continue"/>
            <w:shd w:val="clear" w:color="auto" w:fill="FFFFFF" w:themeFill="background1"/>
            <w:vAlign w:val="center"/>
          </w:tcPr>
          <w:p w14:paraId="504368D0">
            <w:pPr>
              <w:jc w:val="center"/>
              <w:rPr>
                <w:rFonts w:hint="eastAsia" w:ascii="黑体" w:hAnsi="宋体" w:eastAsia="黑体" w:cs="黑体"/>
                <w:b/>
                <w:bCs/>
                <w:color w:val="000000" w:themeColor="text1"/>
                <w:sz w:val="24"/>
                <w14:textFill>
                  <w14:solidFill>
                    <w14:schemeClr w14:val="tx1"/>
                  </w14:solidFill>
                </w14:textFill>
              </w:rPr>
            </w:pPr>
          </w:p>
        </w:tc>
        <w:tc>
          <w:tcPr>
            <w:tcW w:w="1952" w:type="dxa"/>
            <w:vMerge w:val="continue"/>
            <w:shd w:val="clear" w:color="auto" w:fill="FFFFFF" w:themeFill="background1"/>
            <w:vAlign w:val="center"/>
          </w:tcPr>
          <w:p w14:paraId="0D94221E">
            <w:pPr>
              <w:jc w:val="center"/>
              <w:rPr>
                <w:rFonts w:hint="eastAsia" w:ascii="黑体" w:hAnsi="宋体" w:eastAsia="黑体" w:cs="黑体"/>
                <w:b/>
                <w:bCs/>
                <w:color w:val="000000" w:themeColor="text1"/>
                <w:sz w:val="24"/>
                <w14:textFill>
                  <w14:solidFill>
                    <w14:schemeClr w14:val="tx1"/>
                  </w14:solidFill>
                </w14:textFill>
              </w:rPr>
            </w:pPr>
          </w:p>
        </w:tc>
        <w:tc>
          <w:tcPr>
            <w:tcW w:w="4650" w:type="dxa"/>
            <w:vMerge w:val="continue"/>
            <w:shd w:val="clear" w:color="auto" w:fill="FFFFFF" w:themeFill="background1"/>
            <w:vAlign w:val="center"/>
          </w:tcPr>
          <w:p w14:paraId="2BFB82B6">
            <w:pPr>
              <w:jc w:val="center"/>
              <w:rPr>
                <w:rFonts w:hint="eastAsia" w:ascii="黑体" w:hAnsi="宋体" w:eastAsia="黑体" w:cs="黑体"/>
                <w:b/>
                <w:bCs/>
                <w:color w:val="000000" w:themeColor="text1"/>
                <w:sz w:val="24"/>
                <w14:textFill>
                  <w14:solidFill>
                    <w14:schemeClr w14:val="tx1"/>
                  </w14:solidFill>
                </w14:textFill>
              </w:rPr>
            </w:pPr>
          </w:p>
        </w:tc>
        <w:tc>
          <w:tcPr>
            <w:tcW w:w="880" w:type="dxa"/>
            <w:vMerge w:val="continue"/>
            <w:shd w:val="clear" w:color="auto" w:fill="FFFFFF" w:themeFill="background1"/>
            <w:vAlign w:val="center"/>
          </w:tcPr>
          <w:p w14:paraId="17C71273">
            <w:pPr>
              <w:jc w:val="center"/>
              <w:rPr>
                <w:rFonts w:hint="eastAsia" w:ascii="黑体" w:hAnsi="宋体" w:eastAsia="黑体" w:cs="黑体"/>
                <w:b/>
                <w:bCs/>
                <w:color w:val="000000" w:themeColor="text1"/>
                <w:sz w:val="24"/>
                <w14:textFill>
                  <w14:solidFill>
                    <w14:schemeClr w14:val="tx1"/>
                  </w14:solidFill>
                </w14:textFill>
              </w:rPr>
            </w:pPr>
          </w:p>
        </w:tc>
        <w:tc>
          <w:tcPr>
            <w:tcW w:w="882" w:type="dxa"/>
            <w:vMerge w:val="continue"/>
            <w:shd w:val="clear" w:color="auto" w:fill="FFFFFF" w:themeFill="background1"/>
            <w:vAlign w:val="center"/>
          </w:tcPr>
          <w:p w14:paraId="329DB27E">
            <w:pPr>
              <w:jc w:val="center"/>
              <w:rPr>
                <w:rFonts w:hint="eastAsia" w:ascii="黑体" w:hAnsi="宋体" w:eastAsia="黑体" w:cs="黑体"/>
                <w:b/>
                <w:bCs/>
                <w:color w:val="000000" w:themeColor="text1"/>
                <w:sz w:val="24"/>
                <w14:textFill>
                  <w14:solidFill>
                    <w14:schemeClr w14:val="tx1"/>
                  </w14:solidFill>
                </w14:textFill>
              </w:rPr>
            </w:pPr>
          </w:p>
        </w:tc>
      </w:tr>
      <w:tr w14:paraId="7668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shd w:val="clear" w:color="auto" w:fill="FFFFFF" w:themeFill="background1"/>
            <w:vAlign w:val="center"/>
          </w:tcPr>
          <w:p w14:paraId="14E73229">
            <w:pPr>
              <w:widowControl/>
              <w:jc w:val="center"/>
              <w:textAlignment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（一）</w:t>
            </w:r>
          </w:p>
        </w:tc>
        <w:tc>
          <w:tcPr>
            <w:tcW w:w="1952" w:type="dxa"/>
            <w:shd w:val="clear" w:color="auto" w:fill="FFFFFF" w:themeFill="background1"/>
            <w:vAlign w:val="center"/>
          </w:tcPr>
          <w:p w14:paraId="22EBAB36">
            <w:pPr>
              <w:widowControl/>
              <w:jc w:val="left"/>
              <w:textAlignment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保温隔热</w:t>
            </w:r>
          </w:p>
        </w:tc>
        <w:tc>
          <w:tcPr>
            <w:tcW w:w="4650" w:type="dxa"/>
            <w:shd w:val="clear" w:color="auto" w:fill="FFFFFF" w:themeFill="background1"/>
            <w:vAlign w:val="center"/>
          </w:tcPr>
          <w:p w14:paraId="64FE513F">
            <w:pPr>
              <w:jc w:val="left"/>
              <w:rPr>
                <w:rFonts w:hint="eastAsia" w:ascii="宋体" w:hAnsi="宋体" w:cs="宋体"/>
                <w:b/>
                <w:bCs/>
                <w:color w:val="000000" w:themeColor="text1"/>
                <w:sz w:val="22"/>
                <w:szCs w:val="22"/>
                <w14:textFill>
                  <w14:solidFill>
                    <w14:schemeClr w14:val="tx1"/>
                  </w14:solidFill>
                </w14:textFill>
              </w:rPr>
            </w:pPr>
          </w:p>
        </w:tc>
        <w:tc>
          <w:tcPr>
            <w:tcW w:w="880" w:type="dxa"/>
            <w:shd w:val="clear" w:color="auto" w:fill="FFFFFF" w:themeFill="background1"/>
            <w:vAlign w:val="center"/>
          </w:tcPr>
          <w:p w14:paraId="693B4598">
            <w:pPr>
              <w:jc w:val="left"/>
              <w:rPr>
                <w:rFonts w:hint="eastAsia" w:ascii="宋体" w:hAnsi="宋体" w:cs="宋体"/>
                <w:b/>
                <w:bCs/>
                <w:color w:val="000000" w:themeColor="text1"/>
                <w:sz w:val="22"/>
                <w:szCs w:val="22"/>
                <w14:textFill>
                  <w14:solidFill>
                    <w14:schemeClr w14:val="tx1"/>
                  </w14:solidFill>
                </w14:textFill>
              </w:rPr>
            </w:pPr>
          </w:p>
        </w:tc>
        <w:tc>
          <w:tcPr>
            <w:tcW w:w="882" w:type="dxa"/>
            <w:shd w:val="clear" w:color="auto" w:fill="FFFFFF" w:themeFill="background1"/>
            <w:vAlign w:val="center"/>
          </w:tcPr>
          <w:p w14:paraId="2D18CD33">
            <w:pPr>
              <w:jc w:val="left"/>
              <w:rPr>
                <w:rFonts w:hint="eastAsia" w:ascii="宋体" w:hAnsi="宋体" w:cs="宋体"/>
                <w:b/>
                <w:bCs/>
                <w:color w:val="000000" w:themeColor="text1"/>
                <w:sz w:val="22"/>
                <w:szCs w:val="22"/>
                <w14:textFill>
                  <w14:solidFill>
                    <w14:schemeClr w14:val="tx1"/>
                  </w14:solidFill>
                </w14:textFill>
              </w:rPr>
            </w:pPr>
          </w:p>
        </w:tc>
      </w:tr>
      <w:tr w14:paraId="116F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879" w:type="dxa"/>
            <w:shd w:val="clear" w:color="auto" w:fill="FFFFFF" w:themeFill="background1"/>
            <w:vAlign w:val="center"/>
          </w:tcPr>
          <w:p w14:paraId="62F5144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952" w:type="dxa"/>
            <w:shd w:val="clear" w:color="auto" w:fill="FFFFFF" w:themeFill="background1"/>
            <w:vAlign w:val="center"/>
          </w:tcPr>
          <w:p w14:paraId="6A5D9E7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保温密闭窗改造</w:t>
            </w:r>
          </w:p>
        </w:tc>
        <w:tc>
          <w:tcPr>
            <w:tcW w:w="4650" w:type="dxa"/>
            <w:shd w:val="clear" w:color="auto" w:fill="FFFFFF" w:themeFill="background1"/>
            <w:vAlign w:val="center"/>
          </w:tcPr>
          <w:p w14:paraId="3A82A66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尺寸为3300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900mm；气密性保温窗外框采用铝型材与铝R角拼接，窗体内腔填充一次性聚氨酯发泡材料使外框连接处更加密实和隔热保温；面板使用双面不锈钢拉丝面板；窗扇采用镀锌方管为骨架，骨架内侧填充导热系数≤0.0218W/M•K（密度大于40kg/m³）聚氨酯保温材料，保温层厚度50mm；窗框与窗扇之间采用特制304不锈钢气密性可调合页，窗扇表面无铆钉，暗藏内置“O”型密封条；含所有五金配件</w:t>
            </w:r>
          </w:p>
        </w:tc>
        <w:tc>
          <w:tcPr>
            <w:tcW w:w="880" w:type="dxa"/>
            <w:shd w:val="clear" w:color="auto" w:fill="FFFFFF" w:themeFill="background1"/>
            <w:vAlign w:val="center"/>
          </w:tcPr>
          <w:p w14:paraId="0AADEBA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樘</w:t>
            </w:r>
          </w:p>
        </w:tc>
        <w:tc>
          <w:tcPr>
            <w:tcW w:w="882" w:type="dxa"/>
            <w:shd w:val="clear" w:color="auto" w:fill="FFFFFF" w:themeFill="background1"/>
            <w:vAlign w:val="center"/>
          </w:tcPr>
          <w:p w14:paraId="399D4AE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r>
      <w:tr w14:paraId="0A7B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879" w:type="dxa"/>
            <w:shd w:val="clear" w:color="auto" w:fill="FFFFFF" w:themeFill="background1"/>
            <w:vAlign w:val="center"/>
          </w:tcPr>
          <w:p w14:paraId="74FA2B4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952" w:type="dxa"/>
            <w:shd w:val="clear" w:color="auto" w:fill="FFFFFF" w:themeFill="background1"/>
            <w:vAlign w:val="center"/>
          </w:tcPr>
          <w:p w14:paraId="2A7307F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保温密闭门改造</w:t>
            </w:r>
          </w:p>
        </w:tc>
        <w:tc>
          <w:tcPr>
            <w:tcW w:w="4650" w:type="dxa"/>
            <w:shd w:val="clear" w:color="auto" w:fill="FFFFFF" w:themeFill="background1"/>
            <w:vAlign w:val="center"/>
          </w:tcPr>
          <w:p w14:paraId="26A9D87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尺寸为3000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×3000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密闭大门外框采用铝型材，面板双面不锈钢拉丝面板；门扇采用镀锌方管为骨架，骨架内侧填充导热系数≤0.0218W/M•K（密度大于40kg/m³）聚氨酯保温材料，保温层厚度50mm；门框与门扇之间采用特制304不锈钢可调合页，方便现场调试调节气密性，单扇门4合页；保温门自带防风拉钩，门扇四周及中企采用暗藏内置三元乙丙高弹密封条。含所有五金配件</w:t>
            </w:r>
          </w:p>
        </w:tc>
        <w:tc>
          <w:tcPr>
            <w:tcW w:w="880" w:type="dxa"/>
            <w:shd w:val="clear" w:color="auto" w:fill="FFFFFF" w:themeFill="background1"/>
            <w:vAlign w:val="center"/>
          </w:tcPr>
          <w:p w14:paraId="1AA6B1E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樘</w:t>
            </w:r>
          </w:p>
        </w:tc>
        <w:tc>
          <w:tcPr>
            <w:tcW w:w="882" w:type="dxa"/>
            <w:shd w:val="clear" w:color="auto" w:fill="FFFFFF" w:themeFill="background1"/>
            <w:vAlign w:val="center"/>
          </w:tcPr>
          <w:p w14:paraId="5DDFEF0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r>
      <w:tr w14:paraId="392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879" w:type="dxa"/>
            <w:shd w:val="clear" w:color="auto" w:fill="FFFFFF" w:themeFill="background1"/>
            <w:vAlign w:val="center"/>
          </w:tcPr>
          <w:p w14:paraId="7267743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952" w:type="dxa"/>
            <w:shd w:val="clear" w:color="auto" w:fill="FFFFFF" w:themeFill="background1"/>
            <w:vAlign w:val="center"/>
          </w:tcPr>
          <w:p w14:paraId="2BF88F3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保温密闭门改造</w:t>
            </w:r>
          </w:p>
        </w:tc>
        <w:tc>
          <w:tcPr>
            <w:tcW w:w="4650" w:type="dxa"/>
            <w:shd w:val="clear" w:color="auto" w:fill="FFFFFF" w:themeFill="background1"/>
            <w:vAlign w:val="center"/>
          </w:tcPr>
          <w:p w14:paraId="36DBEC4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尺寸为1000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×2100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密闭大门外框采用铝型材，面板双面不锈钢拉丝面板；门扇采用镀锌方管为骨架，骨架内侧填充导热系数≤0.0218W/M•K（密度大于40kg/m³）聚氨酯保温材料，保温层厚度50mm；门框与门扇之间采用特制304不锈钢可调合页，方便现场调试调节气密性，单扇门4合页；保温门自带防风拉钩，门扇四周及中企采用暗藏内置三元乙丙高弹密封条。含所有五金配件</w:t>
            </w:r>
          </w:p>
        </w:tc>
        <w:tc>
          <w:tcPr>
            <w:tcW w:w="880" w:type="dxa"/>
            <w:shd w:val="clear" w:color="auto" w:fill="FFFFFF" w:themeFill="background1"/>
            <w:vAlign w:val="center"/>
          </w:tcPr>
          <w:p w14:paraId="262CCD39">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樘</w:t>
            </w:r>
          </w:p>
        </w:tc>
        <w:tc>
          <w:tcPr>
            <w:tcW w:w="882" w:type="dxa"/>
            <w:shd w:val="clear" w:color="auto" w:fill="FFFFFF" w:themeFill="background1"/>
            <w:vAlign w:val="center"/>
          </w:tcPr>
          <w:p w14:paraId="29D3710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r>
      <w:tr w14:paraId="6D70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0" w:hRule="atLeast"/>
          <w:jc w:val="center"/>
        </w:trPr>
        <w:tc>
          <w:tcPr>
            <w:tcW w:w="879" w:type="dxa"/>
            <w:shd w:val="clear" w:color="auto" w:fill="FFFFFF" w:themeFill="background1"/>
            <w:vAlign w:val="center"/>
          </w:tcPr>
          <w:p w14:paraId="587D7B6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952" w:type="dxa"/>
            <w:shd w:val="clear" w:color="auto" w:fill="FFFFFF" w:themeFill="background1"/>
            <w:vAlign w:val="center"/>
          </w:tcPr>
          <w:p w14:paraId="65ECA4E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内墙保温</w:t>
            </w:r>
          </w:p>
        </w:tc>
        <w:tc>
          <w:tcPr>
            <w:tcW w:w="4650" w:type="dxa"/>
            <w:shd w:val="clear" w:color="auto" w:fill="FFFFFF" w:themeFill="background1"/>
            <w:vAlign w:val="center"/>
          </w:tcPr>
          <w:p w14:paraId="6B08FD7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黏贴100mmB1级XPS板（导热系数≤0.03w/m.k），水泥砂浆，钢丝网，网格布，无毒涂料</w:t>
            </w:r>
          </w:p>
        </w:tc>
        <w:tc>
          <w:tcPr>
            <w:tcW w:w="880" w:type="dxa"/>
            <w:shd w:val="clear" w:color="auto" w:fill="FFFFFF" w:themeFill="background1"/>
            <w:vAlign w:val="center"/>
          </w:tcPr>
          <w:p w14:paraId="7A18109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882" w:type="dxa"/>
            <w:shd w:val="clear" w:color="auto" w:fill="FFFFFF" w:themeFill="background1"/>
            <w:vAlign w:val="center"/>
          </w:tcPr>
          <w:p w14:paraId="3280B00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930</w:t>
            </w:r>
          </w:p>
        </w:tc>
      </w:tr>
      <w:tr w14:paraId="0C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79" w:type="dxa"/>
            <w:shd w:val="clear" w:color="auto" w:fill="FFFFFF" w:themeFill="background1"/>
            <w:vAlign w:val="center"/>
          </w:tcPr>
          <w:p w14:paraId="6969C7F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952" w:type="dxa"/>
            <w:shd w:val="clear" w:color="auto" w:fill="FFFFFF" w:themeFill="background1"/>
            <w:vAlign w:val="center"/>
          </w:tcPr>
          <w:p w14:paraId="36F9187F">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内隔墙保温</w:t>
            </w:r>
          </w:p>
        </w:tc>
        <w:tc>
          <w:tcPr>
            <w:tcW w:w="4650" w:type="dxa"/>
            <w:shd w:val="clear" w:color="auto" w:fill="FFFFFF" w:themeFill="background1"/>
            <w:vAlign w:val="center"/>
          </w:tcPr>
          <w:p w14:paraId="3F231CB3">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黏贴50mmB1级XPS板（导热系数≤0.03w/m.k），水泥砂浆，钢丝网，网格布，无毒涂料</w:t>
            </w:r>
          </w:p>
        </w:tc>
        <w:tc>
          <w:tcPr>
            <w:tcW w:w="880" w:type="dxa"/>
            <w:shd w:val="clear" w:color="auto" w:fill="FFFFFF" w:themeFill="background1"/>
            <w:vAlign w:val="center"/>
          </w:tcPr>
          <w:p w14:paraId="05248E9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882" w:type="dxa"/>
            <w:shd w:val="clear" w:color="auto" w:fill="FFFFFF" w:themeFill="background1"/>
            <w:vAlign w:val="center"/>
          </w:tcPr>
          <w:p w14:paraId="296C761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900</w:t>
            </w:r>
          </w:p>
        </w:tc>
      </w:tr>
      <w:tr w14:paraId="41A4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jc w:val="center"/>
        </w:trPr>
        <w:tc>
          <w:tcPr>
            <w:tcW w:w="879" w:type="dxa"/>
            <w:shd w:val="clear" w:color="auto" w:fill="FFFFFF" w:themeFill="background1"/>
            <w:vAlign w:val="center"/>
          </w:tcPr>
          <w:p w14:paraId="3802F86B">
            <w:pPr>
              <w:widowControl/>
              <w:jc w:val="center"/>
              <w:textAlignment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（二）</w:t>
            </w:r>
          </w:p>
        </w:tc>
        <w:tc>
          <w:tcPr>
            <w:tcW w:w="1952" w:type="dxa"/>
            <w:shd w:val="clear" w:color="auto" w:fill="FFFFFF" w:themeFill="background1"/>
            <w:vAlign w:val="center"/>
          </w:tcPr>
          <w:p w14:paraId="6F5DF0E6">
            <w:pPr>
              <w:widowControl/>
              <w:jc w:val="left"/>
              <w:textAlignment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低温设备</w:t>
            </w:r>
          </w:p>
        </w:tc>
        <w:tc>
          <w:tcPr>
            <w:tcW w:w="4650" w:type="dxa"/>
            <w:shd w:val="clear" w:color="auto" w:fill="FFFFFF" w:themeFill="background1"/>
            <w:vAlign w:val="center"/>
          </w:tcPr>
          <w:p w14:paraId="1AF2B502">
            <w:pPr>
              <w:jc w:val="left"/>
              <w:rPr>
                <w:rFonts w:hint="eastAsia" w:ascii="宋体" w:hAnsi="宋体" w:cs="宋体"/>
                <w:b/>
                <w:bCs/>
                <w:color w:val="000000" w:themeColor="text1"/>
                <w:sz w:val="22"/>
                <w:szCs w:val="22"/>
                <w14:textFill>
                  <w14:solidFill>
                    <w14:schemeClr w14:val="tx1"/>
                  </w14:solidFill>
                </w14:textFill>
              </w:rPr>
            </w:pPr>
          </w:p>
        </w:tc>
        <w:tc>
          <w:tcPr>
            <w:tcW w:w="880" w:type="dxa"/>
            <w:shd w:val="clear" w:color="auto" w:fill="FFFFFF" w:themeFill="background1"/>
            <w:vAlign w:val="center"/>
          </w:tcPr>
          <w:p w14:paraId="6C762B78">
            <w:pPr>
              <w:jc w:val="left"/>
              <w:rPr>
                <w:rFonts w:hint="eastAsia" w:ascii="宋体" w:hAnsi="宋体" w:cs="宋体"/>
                <w:b/>
                <w:bCs/>
                <w:color w:val="000000" w:themeColor="text1"/>
                <w:sz w:val="22"/>
                <w:szCs w:val="22"/>
                <w14:textFill>
                  <w14:solidFill>
                    <w14:schemeClr w14:val="tx1"/>
                  </w14:solidFill>
                </w14:textFill>
              </w:rPr>
            </w:pPr>
          </w:p>
        </w:tc>
        <w:tc>
          <w:tcPr>
            <w:tcW w:w="882" w:type="dxa"/>
            <w:shd w:val="clear" w:color="auto" w:fill="FFFFFF" w:themeFill="background1"/>
            <w:vAlign w:val="center"/>
          </w:tcPr>
          <w:p w14:paraId="2018AA29">
            <w:pPr>
              <w:jc w:val="left"/>
              <w:rPr>
                <w:rFonts w:hint="eastAsia" w:ascii="宋体" w:hAnsi="宋体" w:cs="宋体"/>
                <w:b/>
                <w:bCs/>
                <w:color w:val="000000" w:themeColor="text1"/>
                <w:sz w:val="22"/>
                <w:szCs w:val="22"/>
                <w14:textFill>
                  <w14:solidFill>
                    <w14:schemeClr w14:val="tx1"/>
                  </w14:solidFill>
                </w14:textFill>
              </w:rPr>
            </w:pPr>
          </w:p>
        </w:tc>
      </w:tr>
      <w:tr w14:paraId="10F7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9" w:type="dxa"/>
            <w:shd w:val="clear" w:color="auto" w:fill="FFFFFF" w:themeFill="background1"/>
            <w:vAlign w:val="center"/>
          </w:tcPr>
          <w:p w14:paraId="6B7FCFA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952" w:type="dxa"/>
            <w:shd w:val="clear" w:color="auto" w:fill="FFFFFF" w:themeFill="background1"/>
            <w:vAlign w:val="center"/>
          </w:tcPr>
          <w:p w14:paraId="27462B2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专用控温机组</w:t>
            </w:r>
          </w:p>
        </w:tc>
        <w:tc>
          <w:tcPr>
            <w:tcW w:w="4650" w:type="dxa"/>
            <w:shd w:val="clear" w:color="auto" w:fill="FFFFFF" w:themeFill="background1"/>
            <w:vAlign w:val="center"/>
          </w:tcPr>
          <w:p w14:paraId="50939D8A">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落地式风冷机组，带除湿功能，功能制冷量≥20KW。（仓内区域温控＜15℃）</w:t>
            </w:r>
          </w:p>
        </w:tc>
        <w:tc>
          <w:tcPr>
            <w:tcW w:w="880" w:type="dxa"/>
            <w:shd w:val="clear" w:color="auto" w:fill="FFFFFF" w:themeFill="background1"/>
            <w:vAlign w:val="center"/>
          </w:tcPr>
          <w:p w14:paraId="25A2B27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882" w:type="dxa"/>
            <w:shd w:val="clear" w:color="auto" w:fill="FFFFFF" w:themeFill="background1"/>
            <w:vAlign w:val="center"/>
          </w:tcPr>
          <w:p w14:paraId="725E8C4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r>
      <w:tr w14:paraId="7BCB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79" w:type="dxa"/>
            <w:shd w:val="clear" w:color="auto" w:fill="FFFFFF" w:themeFill="background1"/>
            <w:vAlign w:val="center"/>
          </w:tcPr>
          <w:p w14:paraId="7D54712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952" w:type="dxa"/>
            <w:shd w:val="clear" w:color="auto" w:fill="FFFFFF" w:themeFill="background1"/>
            <w:vAlign w:val="center"/>
          </w:tcPr>
          <w:p w14:paraId="4D36538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专用控温（缓苏）机组</w:t>
            </w:r>
          </w:p>
        </w:tc>
        <w:tc>
          <w:tcPr>
            <w:tcW w:w="4650" w:type="dxa"/>
            <w:shd w:val="clear" w:color="auto" w:fill="FFFFFF" w:themeFill="background1"/>
            <w:vAlign w:val="center"/>
          </w:tcPr>
          <w:p w14:paraId="40A93C7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落地式风冷机组，带除湿功能，功能制冷量≥20KW。（仓内区域温控20-25℃）</w:t>
            </w:r>
          </w:p>
        </w:tc>
        <w:tc>
          <w:tcPr>
            <w:tcW w:w="880" w:type="dxa"/>
            <w:shd w:val="clear" w:color="auto" w:fill="FFFFFF" w:themeFill="background1"/>
            <w:vAlign w:val="center"/>
          </w:tcPr>
          <w:p w14:paraId="5CD939B7">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882" w:type="dxa"/>
            <w:shd w:val="clear" w:color="auto" w:fill="FFFFFF" w:themeFill="background1"/>
            <w:vAlign w:val="center"/>
          </w:tcPr>
          <w:p w14:paraId="79BB10E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r>
      <w:tr w14:paraId="090C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9" w:type="dxa"/>
            <w:shd w:val="clear" w:color="auto" w:fill="FFFFFF" w:themeFill="background1"/>
            <w:vAlign w:val="center"/>
          </w:tcPr>
          <w:p w14:paraId="0E8AF30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952" w:type="dxa"/>
            <w:shd w:val="clear" w:color="auto" w:fill="FFFFFF" w:themeFill="background1"/>
            <w:vAlign w:val="center"/>
          </w:tcPr>
          <w:p w14:paraId="37231FF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低温风管</w:t>
            </w:r>
          </w:p>
        </w:tc>
        <w:tc>
          <w:tcPr>
            <w:tcW w:w="4650" w:type="dxa"/>
            <w:shd w:val="clear" w:color="auto" w:fill="FFFFFF" w:themeFill="background1"/>
            <w:vAlign w:val="center"/>
          </w:tcPr>
          <w:p w14:paraId="6CFC543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1.2mm镀锌钢板，外层30mm橡塑保温，配套支架安装</w:t>
            </w:r>
          </w:p>
        </w:tc>
        <w:tc>
          <w:tcPr>
            <w:tcW w:w="880" w:type="dxa"/>
            <w:shd w:val="clear" w:color="auto" w:fill="FFFFFF" w:themeFill="background1"/>
            <w:vAlign w:val="center"/>
          </w:tcPr>
          <w:p w14:paraId="78DEDBA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m2</w:t>
            </w:r>
          </w:p>
        </w:tc>
        <w:tc>
          <w:tcPr>
            <w:tcW w:w="882" w:type="dxa"/>
            <w:shd w:val="clear" w:color="auto" w:fill="FFFFFF" w:themeFill="background1"/>
            <w:vAlign w:val="center"/>
          </w:tcPr>
          <w:p w14:paraId="6F03B4A7">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550</w:t>
            </w:r>
          </w:p>
        </w:tc>
      </w:tr>
      <w:tr w14:paraId="7BA9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0" w:hRule="atLeast"/>
          <w:jc w:val="center"/>
        </w:trPr>
        <w:tc>
          <w:tcPr>
            <w:tcW w:w="879" w:type="dxa"/>
            <w:shd w:val="clear" w:color="auto" w:fill="FFFFFF" w:themeFill="background1"/>
            <w:vAlign w:val="center"/>
          </w:tcPr>
          <w:p w14:paraId="768E52EF">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952" w:type="dxa"/>
            <w:shd w:val="clear" w:color="auto" w:fill="FFFFFF" w:themeFill="background1"/>
            <w:vAlign w:val="center"/>
          </w:tcPr>
          <w:p w14:paraId="6840A5E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风管配套安装支架</w:t>
            </w:r>
          </w:p>
        </w:tc>
        <w:tc>
          <w:tcPr>
            <w:tcW w:w="4650" w:type="dxa"/>
            <w:shd w:val="clear" w:color="auto" w:fill="FFFFFF" w:themeFill="background1"/>
            <w:vAlign w:val="center"/>
          </w:tcPr>
          <w:p w14:paraId="3BF09BE5">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镀锌角钢，尺寸根据现场情况定制</w:t>
            </w:r>
          </w:p>
        </w:tc>
        <w:tc>
          <w:tcPr>
            <w:tcW w:w="880" w:type="dxa"/>
            <w:shd w:val="clear" w:color="auto" w:fill="FFFFFF" w:themeFill="background1"/>
            <w:vAlign w:val="center"/>
          </w:tcPr>
          <w:p w14:paraId="11E100F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882" w:type="dxa"/>
            <w:shd w:val="clear" w:color="auto" w:fill="FFFFFF" w:themeFill="background1"/>
            <w:vAlign w:val="center"/>
          </w:tcPr>
          <w:p w14:paraId="0B95CFB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160</w:t>
            </w:r>
          </w:p>
        </w:tc>
      </w:tr>
      <w:tr w14:paraId="6AD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9" w:type="dxa"/>
            <w:shd w:val="clear" w:color="auto" w:fill="FFFFFF" w:themeFill="background1"/>
            <w:vAlign w:val="center"/>
          </w:tcPr>
          <w:p w14:paraId="4A53571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952" w:type="dxa"/>
            <w:shd w:val="clear" w:color="auto" w:fill="FFFFFF" w:themeFill="background1"/>
            <w:vAlign w:val="center"/>
          </w:tcPr>
          <w:p w14:paraId="20F2966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风量调节阀</w:t>
            </w:r>
          </w:p>
        </w:tc>
        <w:tc>
          <w:tcPr>
            <w:tcW w:w="4650" w:type="dxa"/>
            <w:shd w:val="clear" w:color="auto" w:fill="FFFFFF" w:themeFill="background1"/>
            <w:vAlign w:val="center"/>
          </w:tcPr>
          <w:p w14:paraId="2183E1B3">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400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×320</w:t>
            </w:r>
            <w:r>
              <w:rPr>
                <w:rFonts w:ascii="宋体" w:hAnsi="宋体" w:cs="宋体"/>
                <w:color w:val="000000" w:themeColor="text1"/>
                <w:kern w:val="0"/>
                <w:sz w:val="22"/>
                <w:szCs w:val="22"/>
                <w:lang w:bidi="ar"/>
                <w14:textFill>
                  <w14:solidFill>
                    <w14:schemeClr w14:val="tx1"/>
                  </w14:solidFill>
                </w14:textFill>
              </w:rPr>
              <w:t>mm</w:t>
            </w:r>
          </w:p>
        </w:tc>
        <w:tc>
          <w:tcPr>
            <w:tcW w:w="880" w:type="dxa"/>
            <w:shd w:val="clear" w:color="auto" w:fill="FFFFFF" w:themeFill="background1"/>
            <w:vAlign w:val="center"/>
          </w:tcPr>
          <w:p w14:paraId="6900A68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882" w:type="dxa"/>
            <w:shd w:val="clear" w:color="auto" w:fill="FFFFFF" w:themeFill="background1"/>
            <w:vAlign w:val="center"/>
          </w:tcPr>
          <w:p w14:paraId="3E96E62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r>
      <w:tr w14:paraId="43CE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9" w:type="dxa"/>
            <w:shd w:val="clear" w:color="auto" w:fill="FFFFFF" w:themeFill="background1"/>
            <w:vAlign w:val="center"/>
          </w:tcPr>
          <w:p w14:paraId="1D3A0DF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952" w:type="dxa"/>
            <w:shd w:val="clear" w:color="auto" w:fill="FFFFFF" w:themeFill="background1"/>
            <w:vAlign w:val="center"/>
          </w:tcPr>
          <w:p w14:paraId="6521EB0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风口</w:t>
            </w:r>
          </w:p>
        </w:tc>
        <w:tc>
          <w:tcPr>
            <w:tcW w:w="4650" w:type="dxa"/>
            <w:shd w:val="clear" w:color="auto" w:fill="FFFFFF" w:themeFill="background1"/>
            <w:vAlign w:val="center"/>
          </w:tcPr>
          <w:p w14:paraId="69EBDCB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×150</w:t>
            </w:r>
            <w:r>
              <w:rPr>
                <w:rFonts w:ascii="宋体" w:hAnsi="宋体" w:cs="宋体"/>
                <w:color w:val="000000" w:themeColor="text1"/>
                <w:kern w:val="0"/>
                <w:sz w:val="22"/>
                <w:szCs w:val="22"/>
                <w:lang w:bidi="ar"/>
                <w14:textFill>
                  <w14:solidFill>
                    <w14:schemeClr w14:val="tx1"/>
                  </w14:solidFill>
                </w14:textFill>
              </w:rPr>
              <w:t>mm</w:t>
            </w:r>
          </w:p>
        </w:tc>
        <w:tc>
          <w:tcPr>
            <w:tcW w:w="880" w:type="dxa"/>
            <w:shd w:val="clear" w:color="auto" w:fill="FFFFFF" w:themeFill="background1"/>
            <w:vAlign w:val="center"/>
          </w:tcPr>
          <w:p w14:paraId="069D4A3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882" w:type="dxa"/>
            <w:shd w:val="clear" w:color="auto" w:fill="FFFFFF" w:themeFill="background1"/>
            <w:vAlign w:val="center"/>
          </w:tcPr>
          <w:p w14:paraId="56D9394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144</w:t>
            </w:r>
          </w:p>
        </w:tc>
      </w:tr>
      <w:tr w14:paraId="2F49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9" w:type="dxa"/>
            <w:shd w:val="clear" w:color="auto" w:fill="FFFFFF" w:themeFill="background1"/>
            <w:vAlign w:val="center"/>
          </w:tcPr>
          <w:p w14:paraId="726376F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952" w:type="dxa"/>
            <w:shd w:val="clear" w:color="auto" w:fill="FFFFFF" w:themeFill="background1"/>
            <w:vAlign w:val="center"/>
          </w:tcPr>
          <w:p w14:paraId="1D028C8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风口</w:t>
            </w:r>
          </w:p>
        </w:tc>
        <w:tc>
          <w:tcPr>
            <w:tcW w:w="4650" w:type="dxa"/>
            <w:shd w:val="clear" w:color="auto" w:fill="FFFFFF" w:themeFill="background1"/>
            <w:vAlign w:val="center"/>
          </w:tcPr>
          <w:p w14:paraId="1059604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150</w:t>
            </w:r>
            <w:r>
              <w:rPr>
                <w:rFonts w:ascii="宋体" w:hAnsi="宋体" w:cs="宋体"/>
                <w:color w:val="000000" w:themeColor="text1"/>
                <w:kern w:val="0"/>
                <w:sz w:val="22"/>
                <w:szCs w:val="22"/>
                <w:lang w:bidi="ar"/>
                <w14:textFill>
                  <w14:solidFill>
                    <w14:schemeClr w14:val="tx1"/>
                  </w14:solidFill>
                </w14:textFill>
              </w:rPr>
              <w:t>mm</w:t>
            </w:r>
            <w:r>
              <w:rPr>
                <w:rFonts w:hint="eastAsia" w:ascii="宋体" w:hAnsi="宋体" w:cs="宋体"/>
                <w:color w:val="000000" w:themeColor="text1"/>
                <w:kern w:val="0"/>
                <w:sz w:val="22"/>
                <w:szCs w:val="22"/>
                <w:lang w:bidi="ar"/>
                <w14:textFill>
                  <w14:solidFill>
                    <w14:schemeClr w14:val="tx1"/>
                  </w14:solidFill>
                </w14:textFill>
              </w:rPr>
              <w:t>×200</w:t>
            </w:r>
            <w:r>
              <w:rPr>
                <w:rFonts w:ascii="宋体" w:hAnsi="宋体" w:cs="宋体"/>
                <w:color w:val="000000" w:themeColor="text1"/>
                <w:kern w:val="0"/>
                <w:sz w:val="22"/>
                <w:szCs w:val="22"/>
                <w:lang w:bidi="ar"/>
                <w14:textFill>
                  <w14:solidFill>
                    <w14:schemeClr w14:val="tx1"/>
                  </w14:solidFill>
                </w14:textFill>
              </w:rPr>
              <w:t>mm</w:t>
            </w:r>
          </w:p>
        </w:tc>
        <w:tc>
          <w:tcPr>
            <w:tcW w:w="880" w:type="dxa"/>
            <w:shd w:val="clear" w:color="auto" w:fill="FFFFFF" w:themeFill="background1"/>
            <w:vAlign w:val="center"/>
          </w:tcPr>
          <w:p w14:paraId="0DFCCF7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882" w:type="dxa"/>
            <w:shd w:val="clear" w:color="auto" w:fill="FFFFFF" w:themeFill="background1"/>
            <w:vAlign w:val="center"/>
          </w:tcPr>
          <w:p w14:paraId="00ADD94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96</w:t>
            </w:r>
          </w:p>
        </w:tc>
      </w:tr>
      <w:tr w14:paraId="31D5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9" w:type="dxa"/>
            <w:shd w:val="clear" w:color="auto" w:fill="FFFFFF" w:themeFill="background1"/>
            <w:vAlign w:val="center"/>
          </w:tcPr>
          <w:p w14:paraId="79DCED17">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952" w:type="dxa"/>
            <w:shd w:val="clear" w:color="auto" w:fill="FFFFFF" w:themeFill="background1"/>
            <w:vAlign w:val="center"/>
          </w:tcPr>
          <w:p w14:paraId="654967F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辅材</w:t>
            </w:r>
          </w:p>
        </w:tc>
        <w:tc>
          <w:tcPr>
            <w:tcW w:w="4650" w:type="dxa"/>
            <w:shd w:val="clear" w:color="auto" w:fill="FFFFFF" w:themeFill="background1"/>
            <w:vAlign w:val="center"/>
          </w:tcPr>
          <w:p w14:paraId="03C2A839">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辅材</w:t>
            </w:r>
          </w:p>
        </w:tc>
        <w:tc>
          <w:tcPr>
            <w:tcW w:w="880" w:type="dxa"/>
            <w:shd w:val="clear" w:color="auto" w:fill="FFFFFF" w:themeFill="background1"/>
            <w:vAlign w:val="center"/>
          </w:tcPr>
          <w:p w14:paraId="35A7BCB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882" w:type="dxa"/>
            <w:shd w:val="clear" w:color="auto" w:fill="FFFFFF" w:themeFill="background1"/>
            <w:vAlign w:val="center"/>
          </w:tcPr>
          <w:p w14:paraId="74ACE21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bl>
    <w:p w14:paraId="76140015">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p>
    <w:p w14:paraId="738581B2">
      <w:pPr>
        <w:adjustRightInd w:val="0"/>
        <w:snapToGrid w:val="0"/>
        <w:spacing w:line="360" w:lineRule="auto"/>
        <w:ind w:firstLine="480" w:firstLineChars="200"/>
        <w:rPr>
          <w:rFonts w:hint="eastAsia" w:ascii="宋体" w:hAnsi="宋体" w:cs="宋体"/>
          <w:color w:val="000000"/>
          <w:kern w:val="0"/>
          <w:sz w:val="24"/>
        </w:rPr>
      </w:pPr>
    </w:p>
    <w:p w14:paraId="338BCC18">
      <w:pPr>
        <w:adjustRightInd w:val="0"/>
        <w:snapToGrid w:val="0"/>
        <w:spacing w:line="360" w:lineRule="auto"/>
        <w:ind w:firstLine="480" w:firstLineChars="200"/>
        <w:rPr>
          <w:rFonts w:hint="eastAsia" w:ascii="宋体" w:hAnsi="宋体" w:cs="宋体"/>
          <w:color w:val="000000"/>
          <w:kern w:val="0"/>
          <w:sz w:val="24"/>
        </w:rPr>
      </w:pPr>
    </w:p>
    <w:p w14:paraId="6CB779A0">
      <w:pPr>
        <w:adjustRightInd w:val="0"/>
        <w:snapToGrid w:val="0"/>
        <w:spacing w:line="360" w:lineRule="auto"/>
        <w:ind w:firstLine="480" w:firstLineChars="200"/>
        <w:rPr>
          <w:rFonts w:hint="eastAsia" w:ascii="宋体" w:hAnsi="宋体" w:cs="宋体"/>
          <w:color w:val="000000"/>
          <w:kern w:val="0"/>
          <w:sz w:val="24"/>
        </w:rPr>
      </w:pPr>
    </w:p>
    <w:p w14:paraId="320F2CC6">
      <w:pPr>
        <w:adjustRightInd w:val="0"/>
        <w:snapToGrid w:val="0"/>
        <w:spacing w:line="360" w:lineRule="auto"/>
        <w:ind w:firstLine="480" w:firstLineChars="200"/>
        <w:rPr>
          <w:rFonts w:hint="eastAsia" w:ascii="宋体" w:hAnsi="宋体" w:cs="宋体"/>
          <w:color w:val="000000"/>
          <w:kern w:val="0"/>
          <w:sz w:val="24"/>
        </w:rPr>
      </w:pPr>
    </w:p>
    <w:p w14:paraId="3DD558BB">
      <w:pPr>
        <w:adjustRightInd w:val="0"/>
        <w:snapToGrid w:val="0"/>
        <w:spacing w:line="360" w:lineRule="auto"/>
        <w:ind w:firstLine="480" w:firstLineChars="200"/>
        <w:rPr>
          <w:rFonts w:hint="eastAsia" w:ascii="宋体" w:hAnsi="宋体" w:cs="宋体"/>
          <w:color w:val="000000"/>
          <w:kern w:val="0"/>
          <w:sz w:val="24"/>
        </w:rPr>
      </w:pPr>
    </w:p>
    <w:p w14:paraId="44C8C7AF">
      <w:pPr>
        <w:pStyle w:val="16"/>
        <w:rPr>
          <w:rFonts w:hint="eastAsia" w:ascii="宋体" w:hAnsi="宋体" w:cs="宋体"/>
          <w:color w:val="000000"/>
          <w:kern w:val="0"/>
          <w:sz w:val="24"/>
        </w:rPr>
      </w:pPr>
    </w:p>
    <w:p w14:paraId="3FBC1333">
      <w:pPr>
        <w:pStyle w:val="16"/>
        <w:rPr>
          <w:rFonts w:hint="eastAsia" w:ascii="宋体" w:hAnsi="宋体" w:cs="宋体"/>
          <w:color w:val="000000"/>
          <w:kern w:val="0"/>
          <w:sz w:val="24"/>
        </w:rPr>
      </w:pPr>
    </w:p>
    <w:p w14:paraId="2211BEF4">
      <w:pPr>
        <w:pStyle w:val="16"/>
        <w:rPr>
          <w:rFonts w:hint="eastAsia" w:ascii="宋体" w:hAnsi="宋体" w:cs="宋体"/>
          <w:color w:val="000000"/>
          <w:kern w:val="0"/>
          <w:sz w:val="24"/>
        </w:rPr>
      </w:pPr>
    </w:p>
    <w:p w14:paraId="19041295">
      <w:pPr>
        <w:pStyle w:val="16"/>
        <w:rPr>
          <w:rFonts w:hint="eastAsia" w:ascii="宋体" w:hAnsi="宋体" w:cs="宋体"/>
          <w:color w:val="000000"/>
          <w:kern w:val="0"/>
          <w:sz w:val="24"/>
        </w:rPr>
      </w:pPr>
    </w:p>
    <w:p w14:paraId="539A86AA">
      <w:pPr>
        <w:pStyle w:val="16"/>
        <w:rPr>
          <w:rFonts w:hint="eastAsia" w:ascii="宋体" w:hAnsi="宋体" w:cs="宋体"/>
          <w:color w:val="000000"/>
          <w:kern w:val="0"/>
          <w:sz w:val="24"/>
        </w:rPr>
      </w:pPr>
    </w:p>
    <w:p w14:paraId="19611E02">
      <w:pPr>
        <w:pStyle w:val="16"/>
        <w:rPr>
          <w:rFonts w:hint="eastAsia" w:ascii="宋体" w:hAnsi="宋体" w:cs="宋体"/>
          <w:color w:val="000000"/>
          <w:kern w:val="0"/>
          <w:sz w:val="24"/>
        </w:rPr>
      </w:pPr>
    </w:p>
    <w:p w14:paraId="77B9C8B5">
      <w:pPr>
        <w:pStyle w:val="16"/>
        <w:rPr>
          <w:rFonts w:hint="eastAsia" w:ascii="宋体" w:hAnsi="宋体" w:cs="宋体"/>
          <w:color w:val="000000"/>
          <w:kern w:val="0"/>
          <w:sz w:val="24"/>
        </w:rPr>
      </w:pPr>
    </w:p>
    <w:p w14:paraId="24C08BF1">
      <w:pPr>
        <w:pStyle w:val="16"/>
        <w:rPr>
          <w:rFonts w:hint="eastAsia" w:ascii="宋体" w:hAnsi="宋体" w:cs="宋体"/>
          <w:color w:val="000000"/>
          <w:kern w:val="0"/>
          <w:sz w:val="24"/>
        </w:rPr>
      </w:pPr>
    </w:p>
    <w:p w14:paraId="74D08DD0">
      <w:pPr>
        <w:pStyle w:val="16"/>
        <w:rPr>
          <w:rFonts w:hint="eastAsia" w:ascii="宋体" w:hAnsi="宋体" w:cs="宋体"/>
          <w:color w:val="000000"/>
          <w:kern w:val="0"/>
          <w:sz w:val="24"/>
        </w:rPr>
      </w:pPr>
    </w:p>
    <w:p w14:paraId="1749988D">
      <w:pPr>
        <w:pStyle w:val="16"/>
        <w:rPr>
          <w:rFonts w:hint="eastAsia" w:ascii="宋体" w:hAnsi="宋体" w:cs="宋体"/>
          <w:color w:val="000000"/>
          <w:kern w:val="0"/>
          <w:sz w:val="24"/>
        </w:rPr>
      </w:pPr>
    </w:p>
    <w:p w14:paraId="47D6CB58">
      <w:pPr>
        <w:pStyle w:val="16"/>
        <w:rPr>
          <w:rFonts w:hint="eastAsia" w:ascii="宋体" w:hAnsi="宋体" w:cs="宋体"/>
          <w:color w:val="000000"/>
          <w:kern w:val="0"/>
          <w:sz w:val="24"/>
        </w:rPr>
      </w:pPr>
    </w:p>
    <w:p w14:paraId="288FD021">
      <w:pPr>
        <w:pStyle w:val="16"/>
        <w:rPr>
          <w:rFonts w:hint="eastAsia" w:ascii="宋体" w:hAnsi="宋体" w:cs="宋体"/>
          <w:color w:val="000000"/>
          <w:kern w:val="0"/>
          <w:sz w:val="24"/>
        </w:rPr>
      </w:pPr>
    </w:p>
    <w:p w14:paraId="46C63E15">
      <w:pPr>
        <w:pStyle w:val="16"/>
        <w:rPr>
          <w:rFonts w:hint="eastAsia" w:ascii="宋体" w:hAnsi="宋体" w:cs="宋体"/>
          <w:color w:val="000000"/>
          <w:kern w:val="0"/>
          <w:sz w:val="24"/>
        </w:rPr>
      </w:pPr>
    </w:p>
    <w:p w14:paraId="6B78992E">
      <w:pPr>
        <w:adjustRightInd w:val="0"/>
        <w:snapToGrid w:val="0"/>
        <w:spacing w:line="360" w:lineRule="auto"/>
        <w:rPr>
          <w:rFonts w:hint="eastAsia" w:ascii="宋体" w:hAnsi="宋体" w:cs="宋体"/>
          <w:color w:val="000000"/>
          <w:kern w:val="0"/>
          <w:sz w:val="24"/>
        </w:rPr>
      </w:pPr>
    </w:p>
    <w:p w14:paraId="08EB3EF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76B86E1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5C5DFD5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r>
        <w:rPr>
          <w:rFonts w:hint="eastAsia" w:ascii="宋体" w:hAnsi="宋体"/>
          <w:b/>
          <w:kern w:val="0"/>
          <w:sz w:val="32"/>
        </w:rPr>
        <w:t>第三部分</w:t>
      </w:r>
      <w:r>
        <w:rPr>
          <w:rFonts w:ascii="宋体" w:hAnsi="宋体"/>
          <w:b/>
          <w:kern w:val="0"/>
          <w:sz w:val="32"/>
        </w:rPr>
        <w:t xml:space="preserve">  </w:t>
      </w:r>
      <w:r>
        <w:rPr>
          <w:rFonts w:hint="eastAsia" w:ascii="宋体" w:hAnsi="宋体"/>
          <w:b/>
          <w:kern w:val="0"/>
          <w:sz w:val="32"/>
        </w:rPr>
        <w:t>投标人须知</w:t>
      </w:r>
    </w:p>
    <w:p w14:paraId="2AE4405D">
      <w:pPr>
        <w:adjustRightInd w:val="0"/>
        <w:snapToGrid w:val="0"/>
        <w:spacing w:line="300" w:lineRule="auto"/>
        <w:ind w:firstLine="482" w:firstLineChars="200"/>
        <w:rPr>
          <w:rFonts w:ascii="宋体"/>
          <w:b/>
          <w:bCs/>
          <w:kern w:val="0"/>
          <w:sz w:val="24"/>
        </w:rPr>
      </w:pPr>
      <w:r>
        <w:rPr>
          <w:rFonts w:hint="eastAsia" w:ascii="宋体"/>
          <w:b/>
          <w:bCs/>
          <w:kern w:val="0"/>
          <w:sz w:val="24"/>
        </w:rPr>
        <w:t>一、说明</w:t>
      </w:r>
    </w:p>
    <w:p w14:paraId="7850CBC5">
      <w:pPr>
        <w:adjustRightInd w:val="0"/>
        <w:snapToGrid w:val="0"/>
        <w:spacing w:line="300" w:lineRule="auto"/>
        <w:ind w:firstLine="588" w:firstLineChars="245"/>
        <w:rPr>
          <w:rFonts w:ascii="宋体"/>
          <w:kern w:val="0"/>
          <w:sz w:val="24"/>
        </w:rPr>
      </w:pPr>
      <w:r>
        <w:rPr>
          <w:rFonts w:hint="eastAsia" w:ascii="宋体"/>
          <w:kern w:val="0"/>
          <w:sz w:val="24"/>
        </w:rPr>
        <w:t>1、本次采购是按照《中华人民共和国政府采购法》和《海南省粮食和物资储备集团有限公司采购管理办法》琼储规〔2024〕17号组织和实施。无论过程中的做法和结果如何，投标人自行承担所有与参加公开比选采购有关的全部费用。</w:t>
      </w:r>
    </w:p>
    <w:p w14:paraId="4AB557CC">
      <w:pPr>
        <w:adjustRightInd w:val="0"/>
        <w:snapToGrid w:val="0"/>
        <w:spacing w:line="300" w:lineRule="auto"/>
        <w:ind w:firstLine="588" w:firstLineChars="245"/>
        <w:rPr>
          <w:rFonts w:ascii="宋体"/>
          <w:kern w:val="0"/>
          <w:sz w:val="24"/>
        </w:rPr>
      </w:pPr>
      <w:r>
        <w:rPr>
          <w:rFonts w:hint="eastAsia" w:ascii="宋体"/>
          <w:kern w:val="0"/>
          <w:sz w:val="24"/>
        </w:rPr>
        <w:t>2、合格的投标人</w:t>
      </w:r>
    </w:p>
    <w:p w14:paraId="043F4F77">
      <w:pPr>
        <w:adjustRightInd w:val="0"/>
        <w:snapToGrid w:val="0"/>
        <w:spacing w:line="300" w:lineRule="auto"/>
        <w:ind w:firstLine="588" w:firstLineChars="245"/>
        <w:rPr>
          <w:rFonts w:ascii="宋体"/>
          <w:kern w:val="0"/>
          <w:sz w:val="24"/>
        </w:rPr>
      </w:pPr>
      <w:r>
        <w:rPr>
          <w:rFonts w:hint="eastAsia" w:ascii="宋体"/>
          <w:kern w:val="0"/>
          <w:sz w:val="24"/>
        </w:rPr>
        <w:t>2.1是响应公开比选采购文件，参加公开比选采购竞争，具备公开比选采购条件的中华人民共和国独立法人或其他组织，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且有能力提供货物及服务，并通过评审委员会审核的制造厂商、供货商或代理商，均为合格的投标人。</w:t>
      </w:r>
    </w:p>
    <w:p w14:paraId="425FD4B2">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25462655">
      <w:pPr>
        <w:adjustRightInd w:val="0"/>
        <w:snapToGrid w:val="0"/>
        <w:spacing w:line="300" w:lineRule="auto"/>
        <w:ind w:firstLine="588" w:firstLineChars="245"/>
        <w:rPr>
          <w:rFonts w:ascii="宋体"/>
          <w:kern w:val="0"/>
          <w:sz w:val="24"/>
        </w:rPr>
      </w:pPr>
      <w:r>
        <w:rPr>
          <w:rFonts w:hint="eastAsia" w:ascii="宋体"/>
          <w:kern w:val="0"/>
          <w:sz w:val="24"/>
        </w:rPr>
        <w:t>2.2公开比选采购投标人应遵守《中华人民共和国政府采购法》有关的法律。</w:t>
      </w:r>
    </w:p>
    <w:p w14:paraId="47A3490C">
      <w:pPr>
        <w:adjustRightInd w:val="0"/>
        <w:snapToGrid w:val="0"/>
        <w:spacing w:line="300" w:lineRule="auto"/>
        <w:ind w:firstLine="588" w:firstLineChars="245"/>
        <w:rPr>
          <w:rFonts w:ascii="宋体"/>
          <w:kern w:val="0"/>
          <w:sz w:val="24"/>
        </w:rPr>
      </w:pPr>
      <w:r>
        <w:rPr>
          <w:rFonts w:hint="eastAsia" w:ascii="宋体"/>
          <w:kern w:val="0"/>
          <w:sz w:val="24"/>
        </w:rPr>
        <w:t>2.3合同中提供的所有货物及其辅助服务，本合同的支付也仅限于这些货物和服务。</w:t>
      </w:r>
    </w:p>
    <w:p w14:paraId="092BEE6F">
      <w:pPr>
        <w:adjustRightInd w:val="0"/>
        <w:snapToGrid w:val="0"/>
        <w:spacing w:line="300" w:lineRule="auto"/>
        <w:ind w:firstLine="590" w:firstLineChars="245"/>
        <w:rPr>
          <w:rFonts w:ascii="宋体"/>
          <w:b/>
          <w:bCs/>
          <w:kern w:val="0"/>
          <w:sz w:val="24"/>
        </w:rPr>
      </w:pPr>
      <w:r>
        <w:rPr>
          <w:rFonts w:hint="eastAsia" w:ascii="宋体"/>
          <w:b/>
          <w:bCs/>
          <w:kern w:val="0"/>
          <w:sz w:val="24"/>
        </w:rPr>
        <w:t>二、公开比选采购文件</w:t>
      </w:r>
    </w:p>
    <w:p w14:paraId="79EE7FAC">
      <w:pPr>
        <w:adjustRightInd w:val="0"/>
        <w:snapToGrid w:val="0"/>
        <w:spacing w:line="300" w:lineRule="auto"/>
        <w:ind w:firstLine="588" w:firstLineChars="245"/>
        <w:rPr>
          <w:rFonts w:ascii="宋体"/>
          <w:kern w:val="0"/>
          <w:sz w:val="24"/>
        </w:rPr>
      </w:pPr>
      <w:r>
        <w:rPr>
          <w:rFonts w:hint="eastAsia" w:ascii="宋体"/>
          <w:kern w:val="0"/>
          <w:sz w:val="24"/>
        </w:rPr>
        <w:t>（一）公开比选采购文件：由公开比选采购文件总目录所列内容组成。</w:t>
      </w:r>
    </w:p>
    <w:p w14:paraId="4100CD33">
      <w:pPr>
        <w:adjustRightInd w:val="0"/>
        <w:snapToGrid w:val="0"/>
        <w:spacing w:line="300" w:lineRule="auto"/>
        <w:ind w:firstLine="588" w:firstLineChars="245"/>
        <w:rPr>
          <w:rFonts w:ascii="宋体"/>
          <w:kern w:val="0"/>
          <w:sz w:val="24"/>
        </w:rPr>
      </w:pPr>
      <w:r>
        <w:rPr>
          <w:rFonts w:hint="eastAsia" w:ascii="宋体"/>
          <w:kern w:val="0"/>
          <w:sz w:val="24"/>
        </w:rPr>
        <w:t>1、公开比选采购文件采购需求中列明标的物的技术要求是采购人基于实际工作需要而提出的基本需求，如果有专利、商标、品牌、型号等信息的，仅起技术说明、参考作用，不具有任何限制型，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参与公开比选采购</w:t>
      </w:r>
      <w:r>
        <w:rPr>
          <w:rFonts w:hint="eastAsia" w:ascii="宋体"/>
          <w:kern w:val="0"/>
          <w:sz w:val="24"/>
        </w:rPr>
        <w:t>产品响应其指标性能要求即可。</w:t>
      </w:r>
    </w:p>
    <w:p w14:paraId="3D105C48">
      <w:pPr>
        <w:adjustRightInd w:val="0"/>
        <w:snapToGrid w:val="0"/>
        <w:spacing w:line="300" w:lineRule="auto"/>
        <w:ind w:firstLine="480" w:firstLineChars="200"/>
        <w:rPr>
          <w:rFonts w:ascii="宋体"/>
          <w:kern w:val="0"/>
          <w:sz w:val="24"/>
        </w:rPr>
      </w:pPr>
      <w:r>
        <w:rPr>
          <w:rFonts w:hint="eastAsia" w:ascii="宋体"/>
          <w:kern w:val="0"/>
          <w:sz w:val="24"/>
        </w:rPr>
        <w:t>2、如果没有特别声明或要求，</w:t>
      </w:r>
      <w:r>
        <w:rPr>
          <w:rFonts w:hint="eastAsia" w:ascii="宋体" w:hAnsi="宋体"/>
          <w:sz w:val="24"/>
          <w:shd w:val="clear" w:color="auto" w:fill="FFFFFF"/>
        </w:rPr>
        <w:t>公开比选采购</w:t>
      </w:r>
      <w:r>
        <w:rPr>
          <w:rFonts w:hint="eastAsia" w:ascii="宋体"/>
          <w:kern w:val="0"/>
          <w:sz w:val="24"/>
        </w:rPr>
        <w:t>投标人被视为充分熟悉本公开比选采购项目所在地与履行合同有关的各种情况，包括自然环境、气候条件、劳动力及公用设施等，本采购文件不再对上述情况进行描述。</w:t>
      </w:r>
    </w:p>
    <w:p w14:paraId="396A158C">
      <w:pPr>
        <w:adjustRightInd w:val="0"/>
        <w:snapToGrid w:val="0"/>
        <w:spacing w:line="300" w:lineRule="auto"/>
        <w:ind w:firstLine="480" w:firstLineChars="200"/>
        <w:rPr>
          <w:rFonts w:ascii="宋体"/>
          <w:kern w:val="0"/>
          <w:sz w:val="24"/>
        </w:rPr>
      </w:pPr>
      <w:r>
        <w:rPr>
          <w:rFonts w:hint="eastAsia" w:ascii="宋体"/>
          <w:kern w:val="0"/>
          <w:sz w:val="24"/>
        </w:rPr>
        <w:t>（二）公开比选采购文件的质疑</w:t>
      </w:r>
    </w:p>
    <w:p w14:paraId="6D4AFF78">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w:t>
      </w:r>
      <w:r>
        <w:rPr>
          <w:rFonts w:hint="eastAsia" w:ascii="宋体"/>
          <w:kern w:val="0"/>
          <w:sz w:val="24"/>
        </w:rPr>
        <w:t>公开比选采购</w:t>
      </w:r>
      <w:r>
        <w:rPr>
          <w:rFonts w:hint="eastAsia" w:ascii="宋体" w:hAnsi="宋体"/>
          <w:sz w:val="24"/>
        </w:rPr>
        <w:t>的</w:t>
      </w:r>
      <w:r>
        <w:rPr>
          <w:rFonts w:hint="eastAsia" w:ascii="宋体"/>
          <w:kern w:val="0"/>
          <w:sz w:val="24"/>
        </w:rPr>
        <w:t>投标人</w:t>
      </w:r>
      <w:r>
        <w:rPr>
          <w:rFonts w:hint="eastAsia" w:ascii="宋体" w:hAnsi="宋体"/>
          <w:sz w:val="24"/>
        </w:rPr>
        <w:t>被视为已充分认识和理解了任何与本项目有关的影响事项和困难、风险等情况。</w:t>
      </w:r>
    </w:p>
    <w:p w14:paraId="41B6D522">
      <w:pPr>
        <w:spacing w:line="360" w:lineRule="exact"/>
        <w:ind w:firstLine="480" w:firstLineChars="200"/>
        <w:rPr>
          <w:rFonts w:hint="eastAsia" w:ascii="宋体" w:hAnsi="宋体"/>
          <w:sz w:val="24"/>
        </w:rPr>
      </w:pPr>
      <w:r>
        <w:rPr>
          <w:rFonts w:hint="eastAsia" w:ascii="宋体" w:hAnsi="宋体"/>
          <w:sz w:val="24"/>
        </w:rPr>
        <w:t>2、潜在投标人如对</w:t>
      </w:r>
      <w:r>
        <w:rPr>
          <w:rFonts w:hint="eastAsia" w:ascii="宋体"/>
          <w:kern w:val="0"/>
          <w:sz w:val="24"/>
        </w:rPr>
        <w:t>公开比选采购</w:t>
      </w:r>
      <w:r>
        <w:rPr>
          <w:rFonts w:hint="eastAsia" w:ascii="宋体" w:hAnsi="宋体"/>
          <w:sz w:val="24"/>
        </w:rPr>
        <w:t>文件有疑问，按照相关法律法规规定，按</w:t>
      </w:r>
      <w:r>
        <w:rPr>
          <w:rFonts w:hint="eastAsia" w:ascii="宋体"/>
          <w:kern w:val="0"/>
          <w:sz w:val="24"/>
        </w:rPr>
        <w:t>公开比选采购</w:t>
      </w:r>
      <w:r>
        <w:rPr>
          <w:rFonts w:hint="eastAsia" w:ascii="宋体" w:hAnsi="宋体"/>
          <w:sz w:val="24"/>
          <w:shd w:val="clear" w:color="auto" w:fill="FFFFFF"/>
        </w:rPr>
        <w:t>文件</w:t>
      </w:r>
      <w:r>
        <w:rPr>
          <w:rFonts w:hint="eastAsia" w:ascii="宋体" w:hAnsi="宋体"/>
          <w:sz w:val="24"/>
        </w:rPr>
        <w:t>邀请中载明的地址，以书面形式，通知到采购代理机构，采购代理机构将按财政部第94号令进行答复。</w:t>
      </w:r>
    </w:p>
    <w:p w14:paraId="7AAA5A3F">
      <w:pPr>
        <w:spacing w:line="360" w:lineRule="exact"/>
        <w:ind w:firstLine="480" w:firstLineChars="200"/>
        <w:rPr>
          <w:rFonts w:hint="eastAsia" w:ascii="宋体" w:hAnsi="宋体"/>
          <w:sz w:val="24"/>
        </w:rPr>
      </w:pPr>
      <w:r>
        <w:rPr>
          <w:rFonts w:hint="eastAsia" w:ascii="宋体" w:hAnsi="宋体"/>
          <w:sz w:val="24"/>
        </w:rPr>
        <w:t>3、投标人提出质疑应当提交质疑函和必要的证明材料。质疑函应当包括下列内容：</w:t>
      </w:r>
    </w:p>
    <w:p w14:paraId="2C6702EA">
      <w:pPr>
        <w:spacing w:line="360" w:lineRule="exact"/>
        <w:ind w:firstLine="480" w:firstLineChars="200"/>
        <w:rPr>
          <w:rFonts w:hint="eastAsia" w:ascii="宋体" w:hAnsi="宋体"/>
          <w:sz w:val="24"/>
        </w:rPr>
      </w:pPr>
      <w:r>
        <w:rPr>
          <w:rFonts w:hint="eastAsia" w:ascii="宋体" w:hAnsi="宋体"/>
          <w:sz w:val="24"/>
        </w:rPr>
        <w:t>　　3.1投标人的姓名或者名称、地址、邮编、联系人及联系电话；</w:t>
      </w:r>
    </w:p>
    <w:p w14:paraId="46818DD2">
      <w:pPr>
        <w:spacing w:line="360" w:lineRule="exact"/>
        <w:ind w:firstLine="480" w:firstLineChars="200"/>
        <w:rPr>
          <w:rFonts w:hint="eastAsia" w:ascii="宋体" w:hAnsi="宋体"/>
          <w:sz w:val="24"/>
        </w:rPr>
      </w:pPr>
      <w:r>
        <w:rPr>
          <w:rFonts w:hint="eastAsia" w:ascii="宋体" w:hAnsi="宋体"/>
          <w:sz w:val="24"/>
        </w:rPr>
        <w:t>　　3.2质疑项目的名称、编号；</w:t>
      </w:r>
    </w:p>
    <w:p w14:paraId="2AFDA4B2">
      <w:pPr>
        <w:spacing w:line="360" w:lineRule="exact"/>
        <w:ind w:firstLine="480" w:firstLineChars="200"/>
        <w:rPr>
          <w:rFonts w:hint="eastAsia" w:ascii="宋体" w:hAnsi="宋体"/>
          <w:sz w:val="24"/>
        </w:rPr>
      </w:pPr>
      <w:r>
        <w:rPr>
          <w:rFonts w:hint="eastAsia" w:ascii="宋体" w:hAnsi="宋体"/>
          <w:sz w:val="24"/>
        </w:rPr>
        <w:t>　　3.3具体、明确的质疑事项和与质疑事项相关的请求；</w:t>
      </w:r>
    </w:p>
    <w:p w14:paraId="732B753B">
      <w:pPr>
        <w:spacing w:line="360" w:lineRule="exact"/>
        <w:ind w:firstLine="480" w:firstLineChars="200"/>
        <w:rPr>
          <w:rFonts w:hint="eastAsia" w:ascii="宋体" w:hAnsi="宋体"/>
          <w:sz w:val="24"/>
        </w:rPr>
      </w:pPr>
      <w:r>
        <w:rPr>
          <w:rFonts w:hint="eastAsia" w:ascii="宋体" w:hAnsi="宋体"/>
          <w:sz w:val="24"/>
        </w:rPr>
        <w:t>　　3.4事实依据；</w:t>
      </w:r>
    </w:p>
    <w:p w14:paraId="7F1C963A">
      <w:pPr>
        <w:spacing w:line="360" w:lineRule="exact"/>
        <w:ind w:firstLine="480" w:firstLineChars="200"/>
        <w:rPr>
          <w:rFonts w:hint="eastAsia" w:ascii="宋体" w:hAnsi="宋体"/>
          <w:sz w:val="24"/>
        </w:rPr>
      </w:pPr>
      <w:r>
        <w:rPr>
          <w:rFonts w:hint="eastAsia" w:ascii="宋体" w:hAnsi="宋体"/>
          <w:sz w:val="24"/>
        </w:rPr>
        <w:t>　　3.5必要的法律依据；</w:t>
      </w:r>
    </w:p>
    <w:p w14:paraId="3BF1400C">
      <w:pPr>
        <w:spacing w:line="360" w:lineRule="exact"/>
        <w:ind w:firstLine="480" w:firstLineChars="200"/>
        <w:rPr>
          <w:rFonts w:hint="eastAsia" w:ascii="宋体" w:hAnsi="宋体"/>
          <w:sz w:val="24"/>
        </w:rPr>
      </w:pPr>
      <w:r>
        <w:rPr>
          <w:rFonts w:hint="eastAsia" w:ascii="宋体" w:hAnsi="宋体"/>
          <w:sz w:val="24"/>
        </w:rPr>
        <w:t>　　3.6提出质疑的日期。</w:t>
      </w:r>
    </w:p>
    <w:p w14:paraId="4B201DA0">
      <w:pPr>
        <w:spacing w:line="360" w:lineRule="exact"/>
        <w:ind w:firstLine="480" w:firstLineChars="200"/>
        <w:rPr>
          <w:rFonts w:hint="eastAsia" w:ascii="宋体" w:hAnsi="宋体"/>
          <w:sz w:val="24"/>
        </w:rPr>
      </w:pPr>
      <w:r>
        <w:rPr>
          <w:rFonts w:hint="eastAsia" w:ascii="宋体" w:hAnsi="宋体"/>
          <w:sz w:val="24"/>
        </w:rPr>
        <w:t>　　投标人为自然人的，应当由本人签字；投标人为法人或者其他组织的，应当由法定代表人、主要负责人，或者其授权代表签字或者盖章，并加盖公章。</w:t>
      </w:r>
    </w:p>
    <w:p w14:paraId="54AA5594">
      <w:pPr>
        <w:spacing w:line="360" w:lineRule="exact"/>
        <w:ind w:firstLine="480" w:firstLineChars="200"/>
        <w:rPr>
          <w:rFonts w:hint="eastAsia" w:ascii="宋体" w:hAnsi="宋体"/>
          <w:sz w:val="24"/>
        </w:rPr>
      </w:pPr>
      <w:r>
        <w:rPr>
          <w:rFonts w:hint="eastAsia" w:ascii="宋体" w:hAnsi="宋体"/>
          <w:sz w:val="24"/>
        </w:rPr>
        <w:t>4、投标人应</w:t>
      </w:r>
      <w:r>
        <w:rPr>
          <w:rFonts w:ascii="宋体" w:hAnsi="宋体"/>
          <w:sz w:val="24"/>
        </w:rPr>
        <w:t>在法定质疑期内一次性提出针对同一采购程序环节的质疑。</w:t>
      </w:r>
    </w:p>
    <w:p w14:paraId="38C0C68D">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AF5A241">
      <w:pPr>
        <w:adjustRightInd w:val="0"/>
        <w:snapToGrid w:val="0"/>
        <w:spacing w:line="300" w:lineRule="auto"/>
        <w:ind w:firstLine="480" w:firstLineChars="200"/>
        <w:rPr>
          <w:rFonts w:ascii="宋体"/>
          <w:kern w:val="0"/>
          <w:sz w:val="24"/>
        </w:rPr>
      </w:pPr>
      <w:r>
        <w:rPr>
          <w:rFonts w:hint="eastAsia" w:ascii="宋体"/>
          <w:kern w:val="0"/>
          <w:sz w:val="24"/>
        </w:rPr>
        <w:t>（三）公开比选采购文件的</w:t>
      </w:r>
      <w:r>
        <w:rPr>
          <w:rFonts w:ascii="宋体"/>
          <w:kern w:val="0"/>
          <w:sz w:val="24"/>
        </w:rPr>
        <w:t>澄清或者修改</w:t>
      </w:r>
    </w:p>
    <w:p w14:paraId="2ACBB51D">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w:t>
      </w:r>
      <w:r>
        <w:rPr>
          <w:rFonts w:hint="eastAsia" w:ascii="宋体"/>
          <w:kern w:val="0"/>
          <w:sz w:val="24"/>
        </w:rPr>
        <w:t>公开比选采购</w:t>
      </w:r>
      <w:r>
        <w:rPr>
          <w:rFonts w:ascii="宋体"/>
          <w:kern w:val="0"/>
          <w:sz w:val="24"/>
        </w:rPr>
        <w:t>小组可以对已发出的</w:t>
      </w:r>
      <w:r>
        <w:rPr>
          <w:rFonts w:hint="eastAsia" w:ascii="宋体"/>
          <w:kern w:val="0"/>
          <w:sz w:val="24"/>
        </w:rPr>
        <w:t>公开比选采购</w:t>
      </w:r>
      <w:r>
        <w:rPr>
          <w:rFonts w:ascii="宋体"/>
          <w:kern w:val="0"/>
          <w:sz w:val="24"/>
        </w:rPr>
        <w:t>文件进行必要的澄清或者修改，澄清或者修改的内容作为</w:t>
      </w:r>
      <w:r>
        <w:rPr>
          <w:rFonts w:hint="eastAsia" w:ascii="宋体"/>
          <w:kern w:val="0"/>
          <w:sz w:val="24"/>
        </w:rPr>
        <w:t>公开比选采购</w:t>
      </w:r>
      <w:r>
        <w:rPr>
          <w:rFonts w:ascii="宋体"/>
          <w:kern w:val="0"/>
          <w:sz w:val="24"/>
        </w:rPr>
        <w:t>文件的组成部分。澄清或者修改的内容可能影响响应文件编制的，采购人、采购代理机构应当在提交首次响应文件截止时间至少5日前，以书面形式通知所有获取</w:t>
      </w:r>
      <w:r>
        <w:rPr>
          <w:rFonts w:hint="eastAsia" w:ascii="宋体"/>
          <w:kern w:val="0"/>
          <w:sz w:val="24"/>
        </w:rPr>
        <w:t>公开比选采购</w:t>
      </w:r>
      <w:r>
        <w:rPr>
          <w:rFonts w:ascii="宋体"/>
          <w:kern w:val="0"/>
          <w:sz w:val="24"/>
        </w:rPr>
        <w:t>文件的</w:t>
      </w:r>
      <w:r>
        <w:rPr>
          <w:rFonts w:hint="eastAsia" w:ascii="宋体"/>
          <w:kern w:val="0"/>
          <w:sz w:val="24"/>
        </w:rPr>
        <w:t>投标人</w:t>
      </w:r>
      <w:r>
        <w:rPr>
          <w:rFonts w:ascii="宋体"/>
          <w:kern w:val="0"/>
          <w:sz w:val="24"/>
        </w:rPr>
        <w:t>；不足5日的，采购人、采购代理机构应当顺延提交首次响应文件截止时间。</w:t>
      </w:r>
    </w:p>
    <w:p w14:paraId="4D8DD7A3">
      <w:pPr>
        <w:adjustRightInd w:val="0"/>
        <w:snapToGrid w:val="0"/>
        <w:spacing w:line="300" w:lineRule="auto"/>
        <w:ind w:firstLine="480" w:firstLineChars="200"/>
        <w:rPr>
          <w:rFonts w:ascii="宋体"/>
          <w:kern w:val="0"/>
          <w:sz w:val="24"/>
        </w:rPr>
      </w:pPr>
      <w:r>
        <w:rPr>
          <w:rFonts w:hint="eastAsia" w:ascii="宋体"/>
          <w:kern w:val="0"/>
          <w:sz w:val="24"/>
        </w:rPr>
        <w:t>2、公开比选采购文件的修改书将构成公开比选采购文件的一部分，对公开比选采购投标人有约束力。</w:t>
      </w:r>
    </w:p>
    <w:p w14:paraId="0C50CE6B">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38C5F203">
      <w:pPr>
        <w:adjustRightInd w:val="0"/>
        <w:snapToGrid w:val="0"/>
        <w:spacing w:line="300" w:lineRule="auto"/>
        <w:ind w:firstLine="480" w:firstLineChars="200"/>
        <w:rPr>
          <w:rFonts w:ascii="宋体"/>
          <w:kern w:val="0"/>
          <w:sz w:val="24"/>
        </w:rPr>
      </w:pPr>
      <w:r>
        <w:rPr>
          <w:rFonts w:hint="eastAsia" w:ascii="宋体"/>
          <w:kern w:val="0"/>
          <w:sz w:val="24"/>
        </w:rPr>
        <w:t>（一）</w:t>
      </w:r>
      <w:r>
        <w:rPr>
          <w:rFonts w:ascii="宋体"/>
          <w:kern w:val="0"/>
          <w:sz w:val="24"/>
        </w:rPr>
        <w:t xml:space="preserve"> </w:t>
      </w:r>
      <w:r>
        <w:rPr>
          <w:rFonts w:hint="eastAsia" w:ascii="宋体" w:hAnsi="宋体"/>
          <w:sz w:val="24"/>
          <w:shd w:val="clear" w:color="auto" w:fill="FFFFFF"/>
        </w:rPr>
        <w:t>响应文件</w:t>
      </w:r>
      <w:r>
        <w:rPr>
          <w:rFonts w:hint="eastAsia" w:ascii="宋体"/>
          <w:kern w:val="0"/>
          <w:sz w:val="24"/>
        </w:rPr>
        <w:t>的要求</w:t>
      </w:r>
    </w:p>
    <w:p w14:paraId="31186E25">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、公开比选采购投标人应仔细阅读公开比选采购文件的所有内容，按公开比选采购文件的要求及采购设备技术规格要求，详细编制响应文件，并保证响应文件的正确性和真实性。</w:t>
      </w:r>
    </w:p>
    <w:p w14:paraId="1536A1CF">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、不按公开比选采购文件的资格要求提供的</w:t>
      </w:r>
      <w:r>
        <w:rPr>
          <w:rFonts w:hint="eastAsia" w:ascii="宋体" w:hAnsi="宋体"/>
          <w:sz w:val="24"/>
          <w:shd w:val="clear" w:color="auto" w:fill="FFFFFF"/>
        </w:rPr>
        <w:t>响应</w:t>
      </w:r>
      <w:r>
        <w:rPr>
          <w:rFonts w:hint="eastAsia" w:ascii="宋体"/>
          <w:kern w:val="0"/>
          <w:sz w:val="24"/>
        </w:rPr>
        <w:t>文件将被拒绝。</w:t>
      </w:r>
    </w:p>
    <w:p w14:paraId="30FC7F6A">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6CAAA7D3">
      <w:pPr>
        <w:adjustRightInd w:val="0"/>
        <w:snapToGrid w:val="0"/>
        <w:spacing w:line="300" w:lineRule="auto"/>
        <w:ind w:firstLine="480" w:firstLineChars="200"/>
        <w:rPr>
          <w:rFonts w:ascii="宋体"/>
          <w:kern w:val="0"/>
          <w:sz w:val="24"/>
        </w:rPr>
      </w:pPr>
      <w:r>
        <w:rPr>
          <w:rFonts w:hint="eastAsia" w:ascii="宋体"/>
          <w:kern w:val="0"/>
          <w:sz w:val="24"/>
        </w:rPr>
        <w:t>公开比选采购投标人接到公开比选采购文件后，按照采购人和响应文件的要求提供公开比选投标文件，</w:t>
      </w:r>
      <w:r>
        <w:rPr>
          <w:rFonts w:ascii="宋体"/>
          <w:kern w:val="0"/>
          <w:sz w:val="24"/>
        </w:rPr>
        <w:t xml:space="preserve"> </w:t>
      </w:r>
    </w:p>
    <w:p w14:paraId="3FA54B89">
      <w:pPr>
        <w:adjustRightInd w:val="0"/>
        <w:snapToGrid w:val="0"/>
        <w:spacing w:line="300" w:lineRule="auto"/>
        <w:ind w:firstLine="480" w:firstLineChars="200"/>
        <w:rPr>
          <w:rFonts w:ascii="宋体"/>
          <w:kern w:val="0"/>
          <w:sz w:val="24"/>
        </w:rPr>
      </w:pPr>
      <w:r>
        <w:rPr>
          <w:rFonts w:hint="eastAsia" w:ascii="宋体"/>
          <w:kern w:val="0"/>
          <w:sz w:val="24"/>
        </w:rPr>
        <w:t>（三）公开比选采购保证金、投标人服务费及履约保证金</w:t>
      </w:r>
    </w:p>
    <w:p w14:paraId="59B442D2">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本项目不收取</w:t>
      </w:r>
      <w:r>
        <w:rPr>
          <w:rFonts w:hint="eastAsia" w:ascii="宋体"/>
          <w:kern w:val="0"/>
          <w:sz w:val="24"/>
        </w:rPr>
        <w:t>保证金。</w:t>
      </w:r>
    </w:p>
    <w:p w14:paraId="1829BE66">
      <w:pPr>
        <w:adjustRightInd w:val="0"/>
        <w:snapToGrid w:val="0"/>
        <w:spacing w:line="300" w:lineRule="auto"/>
        <w:ind w:firstLine="482" w:firstLineChars="200"/>
        <w:rPr>
          <w:rFonts w:ascii="宋体"/>
          <w:b/>
          <w:kern w:val="0"/>
          <w:sz w:val="24"/>
        </w:rPr>
      </w:pPr>
      <w:r>
        <w:rPr>
          <w:rFonts w:hint="eastAsia" w:ascii="宋体"/>
          <w:b/>
          <w:kern w:val="0"/>
          <w:sz w:val="24"/>
        </w:rPr>
        <w:t>2、采购人支付本项目的中标服务费，服务费按照“《海南省物价局关于降低部分招标代理服务收费标准的通知》(琼价费管[2011]225 号)收费标准的68%收取。</w:t>
      </w:r>
    </w:p>
    <w:p w14:paraId="10D78C20">
      <w:pPr>
        <w:pStyle w:val="22"/>
        <w:adjustRightInd w:val="0"/>
        <w:snapToGrid w:val="0"/>
        <w:spacing w:line="300" w:lineRule="auto"/>
        <w:ind w:firstLine="450" w:firstLineChars="200"/>
        <w:rPr>
          <w:rFonts w:hAnsi="Times New Roman"/>
          <w:b/>
          <w:spacing w:val="0"/>
          <w:kern w:val="0"/>
          <w:szCs w:val="24"/>
        </w:rPr>
      </w:pPr>
      <w:r>
        <w:rPr>
          <w:rFonts w:hint="eastAsia"/>
          <w:b/>
          <w:kern w:val="0"/>
        </w:rPr>
        <w:t>3、履约保证金由采购人自行收取。</w:t>
      </w:r>
    </w:p>
    <w:p w14:paraId="55E6627D">
      <w:pPr>
        <w:adjustRightInd w:val="0"/>
        <w:snapToGrid w:val="0"/>
        <w:spacing w:line="300" w:lineRule="auto"/>
        <w:ind w:firstLine="480" w:firstLineChars="200"/>
        <w:rPr>
          <w:rFonts w:ascii="宋体"/>
          <w:kern w:val="0"/>
          <w:sz w:val="24"/>
        </w:rPr>
      </w:pPr>
      <w:r>
        <w:rPr>
          <w:rFonts w:hint="eastAsia" w:ascii="宋体"/>
          <w:kern w:val="0"/>
          <w:sz w:val="24"/>
        </w:rPr>
        <w:t>4、发生下列情况之一，公开比选采购保证金将被没收：</w:t>
      </w:r>
    </w:p>
    <w:p w14:paraId="234A6C42">
      <w:pPr>
        <w:adjustRightInd w:val="0"/>
        <w:snapToGrid w:val="0"/>
        <w:spacing w:line="300" w:lineRule="auto"/>
        <w:ind w:firstLine="480" w:firstLineChars="200"/>
        <w:rPr>
          <w:rFonts w:ascii="宋体"/>
          <w:kern w:val="0"/>
          <w:sz w:val="24"/>
        </w:rPr>
      </w:pPr>
      <w:r>
        <w:rPr>
          <w:rFonts w:hint="eastAsia" w:ascii="宋体"/>
          <w:kern w:val="0"/>
          <w:sz w:val="24"/>
        </w:rPr>
        <w:t>（1）投标人在提交响应文件截止时间后撤回响应文件的；</w:t>
      </w:r>
    </w:p>
    <w:p w14:paraId="33995947">
      <w:pPr>
        <w:adjustRightInd w:val="0"/>
        <w:snapToGrid w:val="0"/>
        <w:spacing w:line="300" w:lineRule="auto"/>
        <w:ind w:firstLine="480" w:firstLineChars="200"/>
        <w:rPr>
          <w:rFonts w:ascii="宋体"/>
          <w:kern w:val="0"/>
          <w:sz w:val="24"/>
        </w:rPr>
      </w:pPr>
      <w:r>
        <w:rPr>
          <w:rFonts w:hint="eastAsia" w:ascii="宋体"/>
          <w:kern w:val="0"/>
          <w:sz w:val="24"/>
        </w:rPr>
        <w:t>（2）投标人在响应文件中提供虚假材料的；</w:t>
      </w:r>
    </w:p>
    <w:p w14:paraId="78F099EE">
      <w:pPr>
        <w:adjustRightInd w:val="0"/>
        <w:snapToGrid w:val="0"/>
        <w:spacing w:line="300" w:lineRule="auto"/>
        <w:ind w:firstLine="480" w:firstLineChars="200"/>
        <w:rPr>
          <w:rFonts w:ascii="宋体"/>
          <w:kern w:val="0"/>
          <w:sz w:val="24"/>
        </w:rPr>
      </w:pPr>
      <w:r>
        <w:rPr>
          <w:rFonts w:hint="eastAsia" w:ascii="宋体"/>
          <w:kern w:val="0"/>
          <w:sz w:val="24"/>
        </w:rPr>
        <w:t>（3）除因不可抗力或公开比选采购文件认可的情形以外，投标人不与采购人签订合同的；</w:t>
      </w:r>
    </w:p>
    <w:p w14:paraId="52D63934">
      <w:pPr>
        <w:adjustRightInd w:val="0"/>
        <w:snapToGrid w:val="0"/>
        <w:spacing w:line="300" w:lineRule="auto"/>
        <w:ind w:firstLine="480" w:firstLineChars="200"/>
        <w:rPr>
          <w:rFonts w:ascii="宋体"/>
          <w:kern w:val="0"/>
          <w:sz w:val="24"/>
        </w:rPr>
      </w:pPr>
      <w:r>
        <w:rPr>
          <w:rFonts w:hint="eastAsia" w:ascii="宋体"/>
          <w:kern w:val="0"/>
          <w:sz w:val="24"/>
        </w:rPr>
        <w:t>（4）投标人与采购人、其他投标人或者采购代理机构恶意串通的；</w:t>
      </w:r>
    </w:p>
    <w:p w14:paraId="5E2647DE">
      <w:pPr>
        <w:adjustRightInd w:val="0"/>
        <w:snapToGrid w:val="0"/>
        <w:spacing w:line="300" w:lineRule="auto"/>
        <w:ind w:firstLine="480" w:firstLineChars="200"/>
        <w:rPr>
          <w:rFonts w:ascii="宋体"/>
          <w:kern w:val="0"/>
          <w:sz w:val="24"/>
        </w:rPr>
      </w:pPr>
      <w:r>
        <w:rPr>
          <w:rFonts w:hint="eastAsia" w:ascii="宋体"/>
          <w:kern w:val="0"/>
          <w:sz w:val="24"/>
        </w:rPr>
        <w:t>（5）公开比选采购文件规定的其他情形。</w:t>
      </w:r>
    </w:p>
    <w:p w14:paraId="76DC0949">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1E6FD6B0">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、自公开比选采购之日起90天内，</w:t>
      </w:r>
      <w:r>
        <w:rPr>
          <w:rFonts w:hint="eastAsia" w:ascii="宋体" w:hAnsi="宋体"/>
          <w:sz w:val="24"/>
          <w:shd w:val="clear" w:color="auto" w:fill="FFFFFF"/>
        </w:rPr>
        <w:t>响应文件</w:t>
      </w:r>
      <w:r>
        <w:rPr>
          <w:rFonts w:hint="eastAsia" w:ascii="宋体"/>
          <w:kern w:val="0"/>
          <w:sz w:val="24"/>
        </w:rPr>
        <w:t>应保持有效。有效期短于这个规定期限的公开比选采购投标人将被拒绝。</w:t>
      </w:r>
    </w:p>
    <w:p w14:paraId="1E8C7CFD">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、在特殊情况下，采购人可与公开比选采购投标人协商延长投标书的有效期，这种要求和答复均应书面形式进行。</w:t>
      </w:r>
    </w:p>
    <w:p w14:paraId="1D63EA84">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、公开比选采购投标人可拒绝接受延期要求而不会导致公开比选采购投标人保证金被没收。同意延长有效期的公开比选采购投标人不能修改响应文件。</w:t>
      </w:r>
    </w:p>
    <w:p w14:paraId="51344BE6">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19C381E3">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25373D93">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3154FB6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）公开比选投标文件密封袋内正本一份、副本三份。封口处有投标人公章。封面上写明项目编号、项目名称、投标人名称，并注明“响应文件”、“开启截止时间前请勿启封”字样。</w:t>
      </w:r>
    </w:p>
    <w:p w14:paraId="55AAF29F">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。如因装订问题而出现漏页或缺页，由此产生的一切后果由投标人自行承担。</w:t>
      </w:r>
    </w:p>
    <w:p w14:paraId="4D7E3DBF">
      <w:pPr>
        <w:adjustRightInd w:val="0"/>
        <w:snapToGrid w:val="0"/>
        <w:spacing w:line="300" w:lineRule="auto"/>
        <w:ind w:firstLine="480" w:firstLineChars="200"/>
        <w:rPr>
          <w:rFonts w:ascii="宋体"/>
          <w:kern w:val="0"/>
          <w:sz w:val="24"/>
        </w:rPr>
      </w:pPr>
      <w:r>
        <w:rPr>
          <w:rFonts w:hint="eastAsia" w:ascii="宋体"/>
          <w:kern w:val="0"/>
          <w:sz w:val="24"/>
        </w:rPr>
        <w:t>（4）投标人的授权代表须携带《法定代表人授权书》及个人身份证原件亲临开标会现场以备查验。其现场所签署确认的文件均代表投标人单位的决定，并作为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35E4E3A5">
      <w:pPr>
        <w:pStyle w:val="31"/>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投标人应当在公开比选采购文件要求的截止时间前，将响应文件密封送达指定地点。在截止时间后送达的响应文件为无效文件，采购人、采购代理机构或者公开比选采购小组应当拒收。</w:t>
      </w:r>
    </w:p>
    <w:p w14:paraId="6E7A3F61">
      <w:pPr>
        <w:pStyle w:val="31"/>
        <w:adjustRightInd w:val="0"/>
        <w:snapToGrid w:val="0"/>
        <w:spacing w:line="300" w:lineRule="auto"/>
        <w:ind w:firstLine="480" w:firstLineChars="200"/>
        <w:rPr>
          <w:rFonts w:ascii="宋体"/>
          <w:kern w:val="0"/>
          <w:sz w:val="24"/>
        </w:rPr>
      </w:pPr>
      <w:r>
        <w:rPr>
          <w:rFonts w:hint="eastAsia" w:ascii="宋体"/>
          <w:kern w:val="0"/>
          <w:sz w:val="24"/>
        </w:rPr>
        <w:t>投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EF03F3">
      <w:pPr>
        <w:adjustRightInd w:val="0"/>
        <w:snapToGrid w:val="0"/>
        <w:spacing w:line="300" w:lineRule="auto"/>
        <w:ind w:firstLine="482" w:firstLineChars="200"/>
        <w:rPr>
          <w:rFonts w:hint="eastAsia" w:ascii="宋体" w:hAnsi="宋体"/>
          <w:b/>
          <w:sz w:val="24"/>
        </w:rPr>
      </w:pPr>
      <w:r>
        <w:rPr>
          <w:rFonts w:hint="eastAsia" w:ascii="宋体"/>
          <w:b/>
          <w:kern w:val="0"/>
          <w:sz w:val="24"/>
        </w:rPr>
        <w:t>五、</w:t>
      </w:r>
      <w:r>
        <w:rPr>
          <w:rFonts w:hint="eastAsia" w:ascii="宋体" w:hAnsi="宋体"/>
          <w:b/>
          <w:sz w:val="24"/>
        </w:rPr>
        <w:t>开标和评标</w:t>
      </w:r>
    </w:p>
    <w:p w14:paraId="41044319">
      <w:pPr>
        <w:spacing w:line="360" w:lineRule="exact"/>
        <w:ind w:firstLine="480" w:firstLineChars="200"/>
        <w:rPr>
          <w:rFonts w:hint="eastAsia" w:ascii="宋体" w:hAnsi="宋体"/>
          <w:sz w:val="24"/>
        </w:rPr>
      </w:pPr>
      <w:r>
        <w:rPr>
          <w:rFonts w:hint="eastAsia" w:ascii="宋体" w:hAnsi="宋体"/>
          <w:sz w:val="24"/>
        </w:rPr>
        <w:t>1、开标</w:t>
      </w:r>
    </w:p>
    <w:p w14:paraId="19796C41">
      <w:pPr>
        <w:spacing w:line="360" w:lineRule="exact"/>
        <w:ind w:firstLine="465"/>
        <w:rPr>
          <w:rFonts w:hint="eastAsia" w:ascii="宋体" w:hAnsi="宋体"/>
          <w:sz w:val="24"/>
        </w:rPr>
      </w:pPr>
      <w:r>
        <w:rPr>
          <w:rFonts w:hint="eastAsia" w:ascii="宋体" w:hAnsi="宋体"/>
          <w:sz w:val="24"/>
        </w:rPr>
        <w:t>1.1采购代理机构在“招标公告”或“投标邀请函”规定的时间和地点公开开标。</w:t>
      </w:r>
    </w:p>
    <w:p w14:paraId="67C21558">
      <w:pPr>
        <w:spacing w:line="360" w:lineRule="exact"/>
        <w:ind w:firstLine="465"/>
        <w:rPr>
          <w:rFonts w:hint="eastAsia" w:ascii="宋体" w:hAnsi="宋体"/>
          <w:sz w:val="24"/>
        </w:rPr>
      </w:pPr>
      <w:r>
        <w:rPr>
          <w:rFonts w:hint="eastAsia" w:ascii="宋体" w:hAnsi="宋体"/>
          <w:sz w:val="24"/>
        </w:rPr>
        <w:t>1.2投标人</w:t>
      </w:r>
      <w:r>
        <w:rPr>
          <w:rFonts w:ascii="宋体" w:hAnsi="宋体"/>
          <w:sz w:val="24"/>
        </w:rPr>
        <w:t>不足3家的，不得开标。</w:t>
      </w:r>
    </w:p>
    <w:p w14:paraId="6348A0CE">
      <w:pPr>
        <w:spacing w:line="360" w:lineRule="exact"/>
        <w:ind w:firstLine="465"/>
        <w:rPr>
          <w:rFonts w:hint="eastAsia" w:ascii="宋体" w:hAnsi="宋体"/>
          <w:sz w:val="24"/>
        </w:rPr>
      </w:pPr>
      <w:r>
        <w:rPr>
          <w:rFonts w:ascii="宋体" w:hAnsi="宋体"/>
          <w:sz w:val="24"/>
        </w:rPr>
        <w:t>开标过程应当由采购人或者采购代理机构负责记录，由参加开标的各</w:t>
      </w:r>
      <w:r>
        <w:rPr>
          <w:rFonts w:hint="eastAsia" w:ascii="宋体" w:hAnsi="宋体"/>
          <w:sz w:val="24"/>
        </w:rPr>
        <w:t>投标人</w:t>
      </w:r>
      <w:r>
        <w:rPr>
          <w:rFonts w:ascii="宋体" w:hAnsi="宋体"/>
          <w:sz w:val="24"/>
        </w:rPr>
        <w:t>代表和相关工作人员签字确认后随采购文件一并存档。</w:t>
      </w:r>
    </w:p>
    <w:p w14:paraId="47942104">
      <w:pPr>
        <w:spacing w:line="360" w:lineRule="exact"/>
        <w:rPr>
          <w:rFonts w:hint="eastAsia" w:ascii="宋体" w:hAnsi="宋体"/>
          <w:sz w:val="24"/>
        </w:rPr>
      </w:pPr>
      <w:r>
        <w:rPr>
          <w:rFonts w:ascii="宋体" w:hAnsi="宋体"/>
          <w:sz w:val="24"/>
        </w:rPr>
        <w:t>　　</w:t>
      </w:r>
      <w:r>
        <w:rPr>
          <w:rFonts w:hint="eastAsia" w:ascii="宋体" w:hAnsi="宋体"/>
          <w:sz w:val="24"/>
        </w:rPr>
        <w:t>投标人</w:t>
      </w:r>
      <w:r>
        <w:rPr>
          <w:rFonts w:ascii="宋体" w:hAnsi="宋体"/>
          <w:sz w:val="24"/>
        </w:rPr>
        <w:t>代表对开标过程和开标记录有疑义，以及认为采购人、采购代理机构相关工作人员有需要回避的情形的，应当场提出询问或者回避申请。采购人、采购代理机构对</w:t>
      </w:r>
      <w:r>
        <w:rPr>
          <w:rFonts w:hint="eastAsia" w:ascii="宋体" w:hAnsi="宋体"/>
          <w:sz w:val="24"/>
        </w:rPr>
        <w:t>投标人</w:t>
      </w:r>
      <w:r>
        <w:rPr>
          <w:rFonts w:ascii="宋体" w:hAnsi="宋体"/>
          <w:sz w:val="24"/>
        </w:rPr>
        <w:t>代表提出的询问或者回避申请应当及时处理。</w:t>
      </w:r>
      <w:r>
        <w:rPr>
          <w:rFonts w:hint="eastAsia" w:ascii="宋体" w:hAnsi="宋体"/>
          <w:sz w:val="24"/>
        </w:rPr>
        <w:t>投标人</w:t>
      </w:r>
      <w:r>
        <w:rPr>
          <w:rFonts w:ascii="宋体" w:hAnsi="宋体"/>
          <w:sz w:val="24"/>
        </w:rPr>
        <w:t>未参加开标的，视同认可开标结果。</w:t>
      </w:r>
    </w:p>
    <w:p w14:paraId="2272F14C">
      <w:pPr>
        <w:spacing w:line="360" w:lineRule="exact"/>
        <w:ind w:firstLine="480" w:firstLineChars="200"/>
        <w:rPr>
          <w:rFonts w:hint="eastAsia" w:ascii="宋体" w:hAnsi="宋体"/>
          <w:sz w:val="24"/>
        </w:rPr>
      </w:pPr>
      <w:r>
        <w:rPr>
          <w:rFonts w:hint="eastAsia" w:ascii="宋体" w:hAnsi="宋体"/>
          <w:sz w:val="24"/>
        </w:rPr>
        <w:t>2、评标委员会</w:t>
      </w:r>
    </w:p>
    <w:p w14:paraId="04502B12">
      <w:pPr>
        <w:spacing w:line="360" w:lineRule="exact"/>
        <w:ind w:firstLine="480" w:firstLineChars="200"/>
        <w:rPr>
          <w:rFonts w:hint="eastAsia" w:ascii="宋体" w:hAnsi="宋体"/>
          <w:sz w:val="24"/>
        </w:rPr>
      </w:pPr>
      <w:r>
        <w:rPr>
          <w:rFonts w:hint="eastAsia" w:ascii="宋体" w:hAnsi="宋体"/>
          <w:sz w:val="24"/>
        </w:rPr>
        <w:t>2.1评标委员会是依据《中华人民共和国政府采购法》、</w:t>
      </w:r>
      <w:r>
        <w:rPr>
          <w:rFonts w:hint="eastAsia" w:ascii="宋体"/>
          <w:kern w:val="0"/>
          <w:sz w:val="24"/>
        </w:rPr>
        <w:t>《海南省粮食和物资储备集团有限公司采购管理办法》琼储规〔2024〕17号</w:t>
      </w:r>
      <w:r>
        <w:rPr>
          <w:rFonts w:hint="eastAsia" w:ascii="宋体" w:hAnsi="宋体"/>
          <w:sz w:val="24"/>
        </w:rPr>
        <w:t>并结合本项目的特点，组建的专门负责本次招标评标工作的临时性机构，其成员由评审专家组成，成员人数应当为</w:t>
      </w:r>
      <w:r>
        <w:rPr>
          <w:rFonts w:hint="eastAsia" w:ascii="宋体" w:hAnsi="宋体"/>
          <w:sz w:val="24"/>
          <w:lang w:val="en-US" w:eastAsia="zh-CN"/>
        </w:rPr>
        <w:t>3</w:t>
      </w:r>
      <w:r>
        <w:rPr>
          <w:rFonts w:hint="eastAsia" w:ascii="宋体" w:hAnsi="宋体"/>
          <w:sz w:val="24"/>
        </w:rPr>
        <w:t>人以上单数。该委员会独立工作，负责评审所有投标文件并推荐中标候选人。评标委员会对“投标文件”进行审查、质疑、评估和比较。</w:t>
      </w:r>
    </w:p>
    <w:p w14:paraId="4F4080DD">
      <w:pPr>
        <w:spacing w:line="360" w:lineRule="exact"/>
        <w:ind w:firstLine="480" w:firstLineChars="200"/>
        <w:rPr>
          <w:rFonts w:hint="eastAsia" w:ascii="宋体" w:hAnsi="宋体"/>
          <w:sz w:val="24"/>
        </w:rPr>
      </w:pPr>
      <w:r>
        <w:rPr>
          <w:rFonts w:hint="eastAsia" w:ascii="宋体" w:hAnsi="宋体"/>
          <w:sz w:val="24"/>
        </w:rPr>
        <w:t>2</w:t>
      </w:r>
      <w:r>
        <w:rPr>
          <w:rFonts w:ascii="宋体" w:hAnsi="宋体"/>
          <w:sz w:val="24"/>
        </w:rPr>
        <w:t xml:space="preserve">.2 </w:t>
      </w:r>
      <w:r>
        <w:rPr>
          <w:rFonts w:hint="eastAsia" w:ascii="宋体" w:hAnsi="宋体"/>
          <w:sz w:val="24"/>
        </w:rPr>
        <w:t>评标期间，投标人应由法人代表或授权委托人应答必须的询标。</w:t>
      </w:r>
    </w:p>
    <w:p w14:paraId="3F52FA2F">
      <w:pPr>
        <w:spacing w:line="360" w:lineRule="exact"/>
        <w:ind w:firstLine="480" w:firstLineChars="200"/>
        <w:rPr>
          <w:rFonts w:hint="eastAsia" w:ascii="宋体" w:hAnsi="宋体"/>
          <w:sz w:val="24"/>
        </w:rPr>
      </w:pPr>
      <w:r>
        <w:rPr>
          <w:rFonts w:hint="eastAsia" w:ascii="宋体" w:hAnsi="宋体"/>
          <w:sz w:val="24"/>
        </w:rPr>
        <w:t>3、对“公开比选投标文件”的审查和响应性的确定</w:t>
      </w:r>
    </w:p>
    <w:p w14:paraId="6768384D">
      <w:pPr>
        <w:spacing w:line="360" w:lineRule="exact"/>
        <w:ind w:firstLine="480" w:firstLineChars="200"/>
        <w:rPr>
          <w:rFonts w:hint="eastAsia" w:ascii="宋体" w:hAnsi="宋体"/>
          <w:sz w:val="24"/>
        </w:rPr>
      </w:pPr>
      <w:r>
        <w:rPr>
          <w:rFonts w:hint="eastAsia" w:ascii="宋体" w:hAnsi="宋体"/>
          <w:sz w:val="24"/>
        </w:rPr>
        <w:t>3.1</w:t>
      </w:r>
      <w:r>
        <w:rPr>
          <w:rFonts w:hint="eastAsia"/>
          <w:sz w:val="24"/>
        </w:rPr>
        <w:t>开标结束后，采购人或者采购代理机构应当依法对投标人的资格进行审查。</w:t>
      </w:r>
      <w:r>
        <w:rPr>
          <w:rFonts w:hint="eastAsia" w:ascii="宋体" w:hAnsi="宋体"/>
          <w:sz w:val="24"/>
        </w:rPr>
        <w:t>合格投标人不足3家的，不得评标。</w:t>
      </w:r>
    </w:p>
    <w:p w14:paraId="51AD8BB0">
      <w:pPr>
        <w:spacing w:line="360" w:lineRule="exact"/>
        <w:ind w:firstLine="480" w:firstLineChars="200"/>
        <w:rPr>
          <w:rFonts w:hint="eastAsia" w:ascii="宋体" w:hAnsi="宋体"/>
          <w:sz w:val="24"/>
        </w:rPr>
      </w:pPr>
      <w:r>
        <w:rPr>
          <w:rFonts w:hint="eastAsia" w:ascii="宋体" w:hAnsi="宋体"/>
          <w:sz w:val="24"/>
        </w:rPr>
        <w:t>公开比选投标文件</w:t>
      </w:r>
      <w:r>
        <w:rPr>
          <w:rFonts w:ascii="宋体" w:hAnsi="宋体"/>
          <w:sz w:val="24"/>
        </w:rPr>
        <w:t>报价出现前后不一致的，按照下列规定修正：（一）</w:t>
      </w:r>
      <w:r>
        <w:rPr>
          <w:rFonts w:hint="eastAsia" w:ascii="宋体" w:hAnsi="宋体"/>
          <w:sz w:val="24"/>
        </w:rPr>
        <w:t>公开比选投标文件</w:t>
      </w:r>
      <w:r>
        <w:rPr>
          <w:rFonts w:ascii="宋体" w:hAnsi="宋体"/>
          <w:sz w:val="24"/>
        </w:rPr>
        <w:t>中开标一览表（报价表）内容与</w:t>
      </w:r>
      <w:r>
        <w:rPr>
          <w:rFonts w:hint="eastAsia" w:ascii="宋体" w:hAnsi="宋体"/>
          <w:sz w:val="24"/>
        </w:rPr>
        <w:t>公开比选投标文件</w:t>
      </w:r>
      <w:r>
        <w:rPr>
          <w:rFonts w:ascii="宋体" w:hAnsi="宋体"/>
          <w:sz w:val="24"/>
        </w:rPr>
        <w:t>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468EB24A">
      <w:pPr>
        <w:spacing w:line="360" w:lineRule="exact"/>
        <w:ind w:firstLine="480" w:firstLineChars="200"/>
        <w:rPr>
          <w:rFonts w:hint="eastAsia" w:ascii="宋体" w:hAnsi="宋体"/>
          <w:sz w:val="24"/>
        </w:rPr>
      </w:pPr>
      <w:r>
        <w:rPr>
          <w:rFonts w:hint="eastAsia" w:ascii="宋体" w:hAnsi="宋体"/>
          <w:sz w:val="24"/>
        </w:rPr>
        <w:t>3.2在对“公开比选投标文件”进行详细评估之前，评标委员会将依据公开比选采购文件规定对投标人进行符合性审查，没有通过审查的，其投标将被拒绝。</w:t>
      </w:r>
    </w:p>
    <w:p w14:paraId="2DD4F4F0">
      <w:pPr>
        <w:spacing w:line="360" w:lineRule="exact"/>
        <w:ind w:firstLine="480" w:firstLineChars="200"/>
        <w:rPr>
          <w:rFonts w:hint="eastAsia" w:ascii="宋体" w:hAnsi="宋体"/>
          <w:sz w:val="24"/>
        </w:rPr>
      </w:pPr>
      <w:r>
        <w:rPr>
          <w:rFonts w:hint="eastAsia" w:ascii="宋体" w:hAnsi="宋体"/>
          <w:sz w:val="24"/>
        </w:rPr>
        <w:t>3.3在评标过程中，评标委员会将确定每份投标是否对“公开比选采购文件”的实质性要求，做出了实质性的响应。实质性响应的投标是指符合“公开比选采购文件”的实质性条款、条件和规定。评标委员会判断“公开比选投标文件”的响应性，仅基于“公开比选投标文件”本身而不靠外部证据。</w:t>
      </w:r>
    </w:p>
    <w:p w14:paraId="76DCBD7B">
      <w:pPr>
        <w:spacing w:line="360" w:lineRule="exact"/>
        <w:ind w:firstLine="480" w:firstLineChars="200"/>
        <w:rPr>
          <w:rFonts w:hint="eastAsia" w:ascii="宋体" w:hAnsi="宋体"/>
          <w:sz w:val="24"/>
        </w:rPr>
      </w:pPr>
      <w:r>
        <w:rPr>
          <w:rFonts w:hint="eastAsia" w:ascii="宋体" w:hAnsi="宋体"/>
          <w:sz w:val="24"/>
        </w:rPr>
        <w:t>3.3.1实质性偏离是指公开比选投标文件未能响应公开比选采购文件的要求。以下情况属于实质性偏离：</w:t>
      </w:r>
    </w:p>
    <w:p w14:paraId="01021C68">
      <w:pPr>
        <w:spacing w:line="360" w:lineRule="exact"/>
        <w:ind w:firstLine="480" w:firstLineChars="200"/>
        <w:rPr>
          <w:rFonts w:hint="eastAsia" w:ascii="宋体" w:hAnsi="宋体"/>
          <w:sz w:val="24"/>
        </w:rPr>
      </w:pPr>
      <w:r>
        <w:rPr>
          <w:rFonts w:hint="eastAsia" w:ascii="宋体" w:hAnsi="宋体"/>
          <w:sz w:val="24"/>
        </w:rPr>
        <w:t>（1）公开比选采购文件载明的招标项目完成期限超过了公开比选采购文件规定的期限；</w:t>
      </w:r>
    </w:p>
    <w:p w14:paraId="46EAE941">
      <w:pPr>
        <w:spacing w:line="360" w:lineRule="exact"/>
        <w:ind w:firstLine="480"/>
        <w:rPr>
          <w:rFonts w:hint="eastAsia" w:ascii="宋体" w:hAnsi="宋体"/>
          <w:sz w:val="24"/>
        </w:rPr>
      </w:pPr>
      <w:r>
        <w:rPr>
          <w:rFonts w:hint="eastAsia" w:ascii="宋体" w:hAnsi="宋体"/>
          <w:sz w:val="24"/>
        </w:rPr>
        <w:t>（2）投标人的投标报价超过了采购人的预算最高限价；</w:t>
      </w:r>
    </w:p>
    <w:p w14:paraId="3A57EDA5">
      <w:pPr>
        <w:spacing w:line="360" w:lineRule="exact"/>
        <w:ind w:firstLine="480"/>
        <w:rPr>
          <w:rFonts w:hint="eastAsia" w:ascii="宋体" w:hAnsi="宋体"/>
          <w:sz w:val="24"/>
        </w:rPr>
      </w:pPr>
      <w:r>
        <w:rPr>
          <w:rFonts w:hint="eastAsia" w:ascii="宋体" w:hAnsi="宋体"/>
          <w:sz w:val="24"/>
        </w:rPr>
        <w:t>（3）公开比选投标文件中附有采购人不能接受的条件；</w:t>
      </w:r>
    </w:p>
    <w:p w14:paraId="6F10E17A">
      <w:pPr>
        <w:spacing w:line="360" w:lineRule="exact"/>
        <w:ind w:firstLine="480"/>
        <w:rPr>
          <w:rFonts w:hint="eastAsia" w:ascii="宋体" w:hAnsi="宋体"/>
          <w:sz w:val="24"/>
        </w:rPr>
      </w:pPr>
      <w:r>
        <w:rPr>
          <w:rFonts w:hint="eastAsia" w:ascii="宋体" w:hAnsi="宋体"/>
          <w:sz w:val="24"/>
        </w:rPr>
        <w:t>公开比选投标文件有上述情形之一的，在评标时视为：对公开比选采购文件要求有实质性偏离处理。</w:t>
      </w:r>
    </w:p>
    <w:p w14:paraId="6B1D4351">
      <w:pPr>
        <w:spacing w:line="360" w:lineRule="exact"/>
        <w:ind w:firstLine="480"/>
        <w:rPr>
          <w:rFonts w:hint="eastAsia" w:ascii="宋体" w:hAnsi="宋体"/>
          <w:sz w:val="24"/>
        </w:rPr>
      </w:pPr>
      <w:r>
        <w:rPr>
          <w:rFonts w:hint="eastAsia" w:ascii="宋体" w:hAnsi="宋体"/>
          <w:sz w:val="24"/>
        </w:rPr>
        <w:t>3.3.2采用最低评标价法的采购项目，提供相同品牌产品的不同投标人参加同一合同项下投标的，以其中通过资格审查、符合性审查且报价最低的参加评标；报价相同的，由采购人或者采购人委托评标委员会按照公开比选采购文件规定的方式确定一个参加评标的投标人，公开比选采购文件未规定的采取随机抽取方式确定，其他投标无效。</w:t>
      </w:r>
    </w:p>
    <w:p w14:paraId="000720C7">
      <w:pPr>
        <w:spacing w:line="360" w:lineRule="exact"/>
        <w:ind w:firstLine="48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公开比选采购文件规定的方式确定一个投标人获得中标人推荐资格，公开比选采购文件未规定的采取随机抽取方式确定，其他同品牌投标人不作为中标候选人。</w:t>
      </w:r>
    </w:p>
    <w:p w14:paraId="5DBB71DF">
      <w:pPr>
        <w:spacing w:line="360" w:lineRule="exact"/>
        <w:ind w:firstLine="480"/>
        <w:rPr>
          <w:rFonts w:hint="eastAsia" w:ascii="宋体" w:hAnsi="宋体"/>
          <w:sz w:val="24"/>
        </w:rPr>
      </w:pPr>
      <w:r>
        <w:rPr>
          <w:rFonts w:hint="eastAsia" w:ascii="宋体" w:hAnsi="宋体"/>
          <w:sz w:val="24"/>
        </w:rPr>
        <w:t>非单一产品采购项目，采购人应当根据采购项目技术构成、产品价格比重等合理确定核心产品，并在公开比选采购文件中载明。多家投标人提供的核心产品品牌相同的，按前两款规定处理。核心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06543AFE">
      <w:pPr>
        <w:spacing w:line="360" w:lineRule="exact"/>
        <w:ind w:firstLine="480"/>
        <w:rPr>
          <w:rFonts w:hint="eastAsia" w:ascii="宋体" w:hAnsi="宋体"/>
          <w:sz w:val="24"/>
        </w:rPr>
      </w:pPr>
      <w:r>
        <w:rPr>
          <w:rFonts w:hint="eastAsia" w:ascii="宋体" w:hAnsi="宋体"/>
          <w:sz w:val="24"/>
        </w:rPr>
        <w:t>3.3.3非实质性偏离是指公开比选投标文件在实质上响应公开比选采购文件的要求，但在个别地方存在一些不规则、不一致、不完整的内容，并且澄清、说明或者补正这些内容不会改变公开比选投标文件的实质性内容。以下情况属于非实质性偏离：</w:t>
      </w:r>
    </w:p>
    <w:p w14:paraId="4BA2E60F">
      <w:pPr>
        <w:spacing w:line="360" w:lineRule="exact"/>
        <w:ind w:firstLine="480"/>
        <w:rPr>
          <w:rFonts w:hint="eastAsia" w:ascii="宋体" w:hAnsi="宋体"/>
          <w:sz w:val="24"/>
        </w:rPr>
      </w:pPr>
      <w:r>
        <w:rPr>
          <w:rFonts w:hint="eastAsia" w:ascii="宋体" w:hAnsi="宋体"/>
          <w:sz w:val="24"/>
        </w:rPr>
        <w:t>（1）文字表述的内容含义不明确；</w:t>
      </w:r>
    </w:p>
    <w:p w14:paraId="5F14D41A">
      <w:pPr>
        <w:spacing w:line="360" w:lineRule="exact"/>
        <w:ind w:firstLine="480"/>
        <w:rPr>
          <w:rFonts w:hint="eastAsia" w:ascii="宋体" w:hAnsi="宋体"/>
          <w:sz w:val="24"/>
        </w:rPr>
      </w:pPr>
      <w:r>
        <w:rPr>
          <w:rFonts w:hint="eastAsia" w:ascii="宋体" w:hAnsi="宋体"/>
          <w:sz w:val="24"/>
        </w:rPr>
        <w:t>（2）同类问题表述不一致；</w:t>
      </w:r>
    </w:p>
    <w:p w14:paraId="41779341">
      <w:pPr>
        <w:spacing w:line="360" w:lineRule="exact"/>
        <w:ind w:firstLine="480"/>
        <w:rPr>
          <w:rFonts w:hint="eastAsia" w:ascii="宋体" w:hAnsi="宋体"/>
          <w:sz w:val="24"/>
        </w:rPr>
      </w:pPr>
      <w:r>
        <w:rPr>
          <w:rFonts w:hint="eastAsia" w:ascii="宋体" w:hAnsi="宋体"/>
          <w:sz w:val="24"/>
        </w:rPr>
        <w:t>（3）有明显文字和计算错误；</w:t>
      </w:r>
    </w:p>
    <w:p w14:paraId="23608834">
      <w:pPr>
        <w:spacing w:line="360" w:lineRule="exact"/>
        <w:ind w:firstLine="480"/>
        <w:rPr>
          <w:rFonts w:hint="eastAsia" w:ascii="宋体" w:hAnsi="宋体"/>
          <w:sz w:val="24"/>
        </w:rPr>
      </w:pPr>
      <w:r>
        <w:rPr>
          <w:rFonts w:hint="eastAsia" w:ascii="宋体" w:hAnsi="宋体"/>
          <w:sz w:val="24"/>
        </w:rPr>
        <w:t>（4）提供的技术信息和数据资料不完整；</w:t>
      </w:r>
    </w:p>
    <w:p w14:paraId="7B48AD76">
      <w:pPr>
        <w:spacing w:line="360" w:lineRule="exact"/>
        <w:ind w:firstLine="480"/>
        <w:rPr>
          <w:rFonts w:hint="eastAsia" w:ascii="宋体" w:hAnsi="宋体"/>
          <w:sz w:val="24"/>
        </w:rPr>
      </w:pPr>
      <w:r>
        <w:rPr>
          <w:rFonts w:hint="eastAsia" w:ascii="宋体" w:hAnsi="宋体"/>
          <w:sz w:val="24"/>
        </w:rPr>
        <w:t>（5）公开比选投标文件未按公开比选采购文件要求进行装订或未编制目录、页码；</w:t>
      </w:r>
    </w:p>
    <w:p w14:paraId="59C6F606">
      <w:pPr>
        <w:spacing w:line="360" w:lineRule="exact"/>
        <w:ind w:firstLine="480"/>
        <w:rPr>
          <w:rFonts w:hint="eastAsia" w:ascii="宋体" w:hAnsi="宋体"/>
          <w:sz w:val="24"/>
        </w:rPr>
      </w:pPr>
      <w:r>
        <w:rPr>
          <w:rFonts w:hint="eastAsia" w:ascii="宋体" w:hAnsi="宋体"/>
          <w:sz w:val="24"/>
        </w:rPr>
        <w:t>（6）评标委员会认定的其他非实质性偏离。</w:t>
      </w:r>
    </w:p>
    <w:p w14:paraId="7DF42912">
      <w:pPr>
        <w:spacing w:line="360" w:lineRule="exact"/>
        <w:ind w:firstLine="480"/>
        <w:rPr>
          <w:rFonts w:hint="eastAsia" w:ascii="宋体" w:hAnsi="宋体"/>
          <w:sz w:val="24"/>
        </w:rPr>
      </w:pPr>
      <w:r>
        <w:rPr>
          <w:rFonts w:hint="eastAsia" w:ascii="宋体" w:hAnsi="宋体"/>
          <w:sz w:val="24"/>
        </w:rPr>
        <w:t>公开比选投标文件有上述（1）--（4）情形之一的，</w:t>
      </w:r>
      <w:r>
        <w:rPr>
          <w:rFonts w:ascii="宋体" w:hAnsi="宋体" w:cs="Arial"/>
          <w:kern w:val="0"/>
          <w:sz w:val="24"/>
        </w:rPr>
        <w:t>评标委员会应当以书面形式要求</w:t>
      </w:r>
      <w:r>
        <w:rPr>
          <w:rFonts w:hint="eastAsia" w:ascii="宋体" w:hAnsi="宋体" w:cs="Arial"/>
          <w:kern w:val="0"/>
          <w:sz w:val="24"/>
        </w:rPr>
        <w:t>投标人</w:t>
      </w:r>
      <w:r>
        <w:rPr>
          <w:rFonts w:ascii="宋体" w:hAnsi="宋体" w:cs="Arial"/>
          <w:kern w:val="0"/>
          <w:sz w:val="24"/>
        </w:rPr>
        <w:t>作出必要的澄清、说明或者补正。</w:t>
      </w:r>
      <w:r>
        <w:rPr>
          <w:rFonts w:hint="eastAsia" w:ascii="宋体" w:hAnsi="宋体" w:cs="Arial"/>
          <w:kern w:val="0"/>
          <w:sz w:val="24"/>
        </w:rPr>
        <w:t>投标人</w:t>
      </w:r>
      <w:r>
        <w:rPr>
          <w:rFonts w:ascii="宋体" w:hAnsi="宋体" w:cs="Arial"/>
          <w:kern w:val="0"/>
          <w:sz w:val="24"/>
        </w:rPr>
        <w:t>的澄清、说明或者补正应当采用书面形式，并加盖公章，或者由法定代表人或其授权的代表签字。</w:t>
      </w:r>
      <w:r>
        <w:rPr>
          <w:rFonts w:hint="eastAsia" w:ascii="宋体" w:hAnsi="宋体" w:cs="Arial"/>
          <w:kern w:val="0"/>
          <w:sz w:val="24"/>
        </w:rPr>
        <w:t>投标人</w:t>
      </w:r>
      <w:r>
        <w:rPr>
          <w:rFonts w:ascii="宋体" w:hAnsi="宋体" w:cs="Arial"/>
          <w:kern w:val="0"/>
          <w:sz w:val="24"/>
        </w:rPr>
        <w:t>的澄清、说明或者补正不得超出</w:t>
      </w:r>
      <w:r>
        <w:rPr>
          <w:rFonts w:hint="eastAsia" w:ascii="宋体" w:hAnsi="宋体" w:cs="Arial"/>
          <w:kern w:val="0"/>
          <w:sz w:val="24"/>
        </w:rPr>
        <w:t>公开比选投标文件</w:t>
      </w:r>
      <w:r>
        <w:rPr>
          <w:rFonts w:ascii="宋体" w:hAnsi="宋体" w:cs="Arial"/>
          <w:kern w:val="0"/>
          <w:sz w:val="24"/>
        </w:rPr>
        <w:t>的范围或者改变</w:t>
      </w:r>
      <w:r>
        <w:rPr>
          <w:rFonts w:hint="eastAsia" w:ascii="宋体" w:hAnsi="宋体" w:cs="Arial"/>
          <w:kern w:val="0"/>
          <w:sz w:val="24"/>
        </w:rPr>
        <w:t>公开比选投标文件</w:t>
      </w:r>
      <w:r>
        <w:rPr>
          <w:rFonts w:ascii="宋体" w:hAnsi="宋体" w:cs="Arial"/>
          <w:kern w:val="0"/>
          <w:sz w:val="24"/>
        </w:rPr>
        <w:t>的实质性内容。</w:t>
      </w:r>
      <w:r>
        <w:rPr>
          <w:rFonts w:hint="eastAsia" w:ascii="宋体" w:hAnsi="宋体"/>
          <w:sz w:val="24"/>
        </w:rPr>
        <w:t>澄清、说明、补正的内容也不能说明问题的，视为公开比选投标文件制作不规范。按每一项非实质性偏离进行扣分处理，直至该项分值扣完为止。评标委员会不接受投标人主动提出的澄清、说明或补正。</w:t>
      </w:r>
    </w:p>
    <w:p w14:paraId="440BB0FF">
      <w:pPr>
        <w:spacing w:line="360" w:lineRule="exact"/>
        <w:ind w:firstLine="480"/>
        <w:rPr>
          <w:rFonts w:hint="eastAsia" w:ascii="宋体" w:hAnsi="宋体"/>
          <w:sz w:val="24"/>
        </w:rPr>
      </w:pPr>
      <w:r>
        <w:rPr>
          <w:rFonts w:hint="eastAsia" w:ascii="宋体" w:hAnsi="宋体"/>
          <w:sz w:val="24"/>
        </w:rPr>
        <w:t>3.3.4 在公开比选投标文件初审过程中，如果出现评标委员会成员意见不一致的情况，按照少数服从多数的原则确定。</w:t>
      </w:r>
    </w:p>
    <w:p w14:paraId="0E8CE783">
      <w:pPr>
        <w:spacing w:line="360" w:lineRule="exact"/>
        <w:ind w:firstLine="482" w:firstLineChars="200"/>
        <w:rPr>
          <w:rFonts w:ascii="宋体"/>
          <w:b/>
          <w:kern w:val="0"/>
          <w:sz w:val="24"/>
        </w:rPr>
      </w:pPr>
      <w:r>
        <w:rPr>
          <w:rFonts w:hint="eastAsia" w:ascii="宋体"/>
          <w:b/>
          <w:kern w:val="0"/>
          <w:sz w:val="24"/>
        </w:rPr>
        <w:t>3</w:t>
      </w:r>
      <w:r>
        <w:rPr>
          <w:rFonts w:ascii="宋体"/>
          <w:b/>
          <w:kern w:val="0"/>
          <w:sz w:val="24"/>
        </w:rPr>
        <w:t>.</w:t>
      </w:r>
      <w:r>
        <w:rPr>
          <w:rFonts w:hint="eastAsia" w:ascii="宋体"/>
          <w:b/>
          <w:kern w:val="0"/>
          <w:sz w:val="24"/>
        </w:rPr>
        <w:t>4如投标人提交的公开比选投标文件为虚假材料的，按无效标处理。</w:t>
      </w:r>
    </w:p>
    <w:p w14:paraId="1F9D3C4C">
      <w:pPr>
        <w:spacing w:line="360" w:lineRule="exact"/>
        <w:ind w:firstLine="480" w:firstLineChars="200"/>
        <w:rPr>
          <w:rFonts w:hint="eastAsia" w:ascii="宋体" w:hAnsi="宋体"/>
          <w:sz w:val="24"/>
        </w:rPr>
      </w:pPr>
      <w:r>
        <w:rPr>
          <w:rFonts w:hint="eastAsia" w:ascii="宋体" w:hAnsi="宋体"/>
          <w:sz w:val="24"/>
        </w:rPr>
        <w:t>4、公开比选采购文件的澄清</w:t>
      </w:r>
    </w:p>
    <w:p w14:paraId="3B6A30C2">
      <w:pPr>
        <w:spacing w:line="360" w:lineRule="exact"/>
        <w:ind w:firstLine="480" w:firstLineChars="200"/>
        <w:rPr>
          <w:rFonts w:hint="eastAsia" w:ascii="宋体" w:hAnsi="宋体"/>
          <w:sz w:val="24"/>
        </w:rPr>
      </w:pPr>
      <w:r>
        <w:rPr>
          <w:rFonts w:hint="eastAsia" w:ascii="宋体" w:hAnsi="宋体"/>
          <w:sz w:val="24"/>
        </w:rPr>
        <w:t>4.1为了有助于对“公开比选投标文件”进行审查、评估和比较，评标委员会有权向投标人提出质疑，并请投标人澄清其投标内容。投标人有责任，按照采购代理机构通知的时间、地点，指派专人进行答疑和澄清。</w:t>
      </w:r>
    </w:p>
    <w:p w14:paraId="4BD6E558">
      <w:pPr>
        <w:jc w:val="center"/>
        <w:rPr>
          <w:rFonts w:hint="eastAsia" w:ascii="宋体" w:hAnsi="宋体"/>
          <w:sz w:val="24"/>
        </w:rPr>
      </w:pPr>
      <w:r>
        <w:rPr>
          <w:rFonts w:hint="eastAsia" w:ascii="宋体" w:hAnsi="宋体"/>
          <w:sz w:val="24"/>
        </w:rPr>
        <w:t>4.2重要的澄清答复应是书面的，但不得对投标内容进行实质性修改。</w:t>
      </w:r>
    </w:p>
    <w:p w14:paraId="750E609F">
      <w:pPr>
        <w:spacing w:line="360" w:lineRule="exact"/>
        <w:ind w:firstLine="482" w:firstLineChars="200"/>
        <w:rPr>
          <w:rFonts w:hint="eastAsia" w:ascii="宋体" w:hAnsi="宋体"/>
          <w:b/>
          <w:sz w:val="24"/>
        </w:rPr>
      </w:pPr>
      <w:r>
        <w:rPr>
          <w:rFonts w:hint="eastAsia" w:ascii="宋体" w:hAnsi="宋体"/>
          <w:b/>
          <w:sz w:val="24"/>
        </w:rPr>
        <w:t>六、授予合同</w:t>
      </w:r>
    </w:p>
    <w:p w14:paraId="7DB0C3BF">
      <w:pPr>
        <w:spacing w:line="360" w:lineRule="exact"/>
        <w:ind w:left="479" w:leftChars="228"/>
        <w:jc w:val="left"/>
        <w:rPr>
          <w:rFonts w:hint="eastAsia" w:ascii="宋体" w:hAnsi="宋体"/>
          <w:b/>
          <w:sz w:val="24"/>
        </w:rPr>
      </w:pPr>
      <w:r>
        <w:rPr>
          <w:rFonts w:hint="eastAsia" w:ascii="宋体" w:hAnsi="宋体"/>
          <w:sz w:val="24"/>
        </w:rPr>
        <w:t>1、定标原则</w:t>
      </w:r>
    </w:p>
    <w:p w14:paraId="08C80B20">
      <w:pPr>
        <w:spacing w:line="360" w:lineRule="exact"/>
        <w:ind w:left="479" w:leftChars="228"/>
        <w:jc w:val="left"/>
        <w:rPr>
          <w:rFonts w:hint="eastAsia" w:ascii="宋体" w:hAnsi="宋体"/>
          <w:b/>
          <w:sz w:val="24"/>
        </w:rPr>
      </w:pPr>
      <w:r>
        <w:rPr>
          <w:rFonts w:hint="eastAsia" w:ascii="宋体" w:hAnsi="宋体"/>
          <w:sz w:val="24"/>
        </w:rPr>
        <w:t>1.1严格按照“公开比选采购文件”的要求和条件进行评标，择优定标。</w:t>
      </w:r>
    </w:p>
    <w:p w14:paraId="535BBE2C">
      <w:pPr>
        <w:pStyle w:val="31"/>
        <w:spacing w:line="360" w:lineRule="exact"/>
        <w:ind w:firstLine="480" w:firstLineChars="200"/>
        <w:rPr>
          <w:rFonts w:hint="eastAsia" w:ascii="宋体" w:hAnsi="宋体"/>
          <w:sz w:val="24"/>
        </w:rPr>
      </w:pPr>
      <w:r>
        <w:rPr>
          <w:rFonts w:hint="eastAsia" w:ascii="宋体" w:hAnsi="宋体"/>
          <w:sz w:val="24"/>
        </w:rPr>
        <w:t>1.2本次招标，合同将授予符合“公开比选采购文件”的要求，并且性价比最合理，能提供最佳服务的投标者。</w:t>
      </w:r>
    </w:p>
    <w:p w14:paraId="50788012">
      <w:pPr>
        <w:spacing w:line="360" w:lineRule="exact"/>
        <w:ind w:firstLine="480" w:firstLineChars="200"/>
        <w:rPr>
          <w:rFonts w:hint="eastAsia" w:ascii="宋体" w:hAnsi="宋体"/>
          <w:sz w:val="24"/>
        </w:rPr>
      </w:pPr>
      <w:r>
        <w:rPr>
          <w:rFonts w:hint="eastAsia" w:ascii="宋体" w:hAnsi="宋体"/>
          <w:sz w:val="24"/>
        </w:rPr>
        <w:t>1.3不能保证最低报价的投标最终中标。</w:t>
      </w:r>
    </w:p>
    <w:p w14:paraId="21DA68F4">
      <w:pPr>
        <w:spacing w:line="360" w:lineRule="exact"/>
        <w:ind w:firstLine="480" w:firstLineChars="200"/>
        <w:rPr>
          <w:rFonts w:hint="eastAsia" w:ascii="宋体" w:hAnsi="宋体"/>
          <w:sz w:val="24"/>
        </w:rPr>
      </w:pPr>
      <w:r>
        <w:rPr>
          <w:rFonts w:hint="eastAsia" w:ascii="宋体" w:hAnsi="宋体"/>
          <w:sz w:val="24"/>
        </w:rPr>
        <w:t>1.4评标结束后，采购代理机构组织编写评标报告，采购人根据评标报告和授标建议书推荐的中标候选投标人确定中标人，并送报采购管理机关备案。</w:t>
      </w:r>
    </w:p>
    <w:p w14:paraId="40F6AE7B">
      <w:pPr>
        <w:widowControl/>
        <w:spacing w:line="360" w:lineRule="exact"/>
        <w:ind w:firstLine="480" w:firstLineChars="200"/>
        <w:rPr>
          <w:rFonts w:hint="eastAsia" w:ascii="宋体" w:hAnsi="宋体" w:cs="宋体"/>
          <w:kern w:val="0"/>
          <w:sz w:val="24"/>
        </w:rPr>
      </w:pPr>
      <w:r>
        <w:rPr>
          <w:rFonts w:hint="eastAsia" w:ascii="宋体" w:hAnsi="宋体"/>
          <w:sz w:val="24"/>
        </w:rPr>
        <w:t>1.5根据评标办法推荐出一至三人为中标候选人，并标明排列顺序。采购人将确定排名第一的中标候选人为中标人并向其授予合同。</w:t>
      </w:r>
      <w:r>
        <w:rPr>
          <w:rFonts w:ascii="宋体" w:hAnsi="宋体"/>
          <w:sz w:val="24"/>
        </w:rPr>
        <w:t>中标或者</w:t>
      </w:r>
      <w:r>
        <w:rPr>
          <w:rFonts w:hint="eastAsia" w:ascii="宋体" w:hAnsi="宋体"/>
          <w:sz w:val="24"/>
        </w:rPr>
        <w:t>投标人</w:t>
      </w:r>
      <w:r>
        <w:rPr>
          <w:rFonts w:ascii="宋体" w:hAnsi="宋体"/>
          <w:sz w:val="24"/>
        </w:rPr>
        <w:t>拒绝与采购人签订合同的，采购人可以按照评审报告推荐的中标或者候选人名单排序，确定下一候选人为中标</w:t>
      </w:r>
      <w:r>
        <w:rPr>
          <w:rFonts w:hint="eastAsia" w:ascii="宋体" w:hAnsi="宋体"/>
          <w:sz w:val="24"/>
        </w:rPr>
        <w:t>人</w:t>
      </w:r>
      <w:r>
        <w:rPr>
          <w:rFonts w:ascii="宋体" w:hAnsi="宋体"/>
          <w:sz w:val="24"/>
        </w:rPr>
        <w:t>，也可以重新开展政府采购活动</w:t>
      </w:r>
      <w:r>
        <w:rPr>
          <w:rFonts w:hint="eastAsia" w:ascii="宋体" w:hAnsi="宋体"/>
          <w:sz w:val="24"/>
        </w:rPr>
        <w:t>。或因投标人对采购过程、中标或者成交结果提出的质疑，合格投标人符合法定数量时，可以从合格的中标或者成交候选人中另行确定中标、成交人的，应当依法另行确定中标、成交成人；否则应当重新开展采购活动。采购人对影响的投标人不承担任何责任。</w:t>
      </w:r>
      <w:r>
        <w:rPr>
          <w:rFonts w:hint="eastAsia" w:ascii="宋体" w:hAnsi="宋体" w:cs="宋体"/>
          <w:kern w:val="0"/>
          <w:sz w:val="24"/>
        </w:rPr>
        <w:t>中标人将在指定的网站上公示。</w:t>
      </w:r>
    </w:p>
    <w:p w14:paraId="0F3730A9">
      <w:pPr>
        <w:spacing w:line="360" w:lineRule="exact"/>
        <w:ind w:firstLine="480" w:firstLineChars="200"/>
        <w:rPr>
          <w:rFonts w:hint="eastAsia" w:ascii="宋体" w:hAnsi="宋体"/>
          <w:sz w:val="24"/>
        </w:rPr>
      </w:pPr>
      <w:r>
        <w:rPr>
          <w:rFonts w:hint="eastAsia" w:ascii="宋体" w:hAnsi="宋体"/>
          <w:sz w:val="24"/>
        </w:rPr>
        <w:t>2、中标通知</w:t>
      </w:r>
    </w:p>
    <w:p w14:paraId="11DF7F8D">
      <w:pPr>
        <w:spacing w:line="360" w:lineRule="exact"/>
        <w:rPr>
          <w:rFonts w:hint="eastAsia" w:ascii="宋体" w:hAnsi="宋体"/>
          <w:sz w:val="24"/>
        </w:rPr>
      </w:pPr>
      <w:r>
        <w:rPr>
          <w:rFonts w:hint="eastAsia" w:ascii="宋体" w:hAnsi="宋体"/>
          <w:sz w:val="24"/>
        </w:rPr>
        <w:t xml:space="preserve">  2.1评标结束后，根据评标委员会裁定的结果，由海南省教学仪器设备招标中心有限公司签发《中标通知书》。</w:t>
      </w:r>
    </w:p>
    <w:p w14:paraId="4FF6DDA3">
      <w:pPr>
        <w:spacing w:line="360" w:lineRule="exact"/>
        <w:ind w:firstLine="480" w:firstLineChars="200"/>
        <w:rPr>
          <w:rFonts w:hint="eastAsia" w:ascii="宋体" w:hAnsi="宋体"/>
          <w:sz w:val="24"/>
        </w:rPr>
      </w:pPr>
      <w:r>
        <w:rPr>
          <w:rFonts w:hint="eastAsia" w:ascii="宋体" w:hAnsi="宋体"/>
          <w:sz w:val="24"/>
        </w:rPr>
        <w:t>2.2《中标通知书》将作为签订合同的重要依据。中标人不与招标人按期订立合同的，其投标保证金不予退还并取消其中标资格，给招标人造成的损失超过投标保证金金额的，应当对超出部分予以赔偿。</w:t>
      </w:r>
    </w:p>
    <w:p w14:paraId="20CB017C">
      <w:pPr>
        <w:spacing w:line="360" w:lineRule="exact"/>
        <w:ind w:firstLine="360" w:firstLineChars="150"/>
        <w:rPr>
          <w:rFonts w:hint="eastAsia" w:ascii="宋体" w:hAnsi="宋体"/>
          <w:sz w:val="24"/>
        </w:rPr>
      </w:pPr>
      <w:r>
        <w:rPr>
          <w:rFonts w:hint="eastAsia" w:ascii="宋体" w:hAnsi="宋体"/>
          <w:sz w:val="24"/>
        </w:rPr>
        <w:t>3、授予合同时变更数量的权力</w:t>
      </w:r>
    </w:p>
    <w:p w14:paraId="2F88DF19">
      <w:pPr>
        <w:spacing w:line="360" w:lineRule="exact"/>
        <w:ind w:firstLine="360"/>
        <w:rPr>
          <w:rFonts w:hint="eastAsia"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5A5A2C3D">
      <w:pPr>
        <w:spacing w:line="360" w:lineRule="exact"/>
        <w:ind w:firstLine="360" w:firstLineChars="150"/>
        <w:rPr>
          <w:rFonts w:hint="eastAsia" w:ascii="宋体" w:hAnsi="宋体"/>
          <w:sz w:val="24"/>
        </w:rPr>
      </w:pPr>
      <w:r>
        <w:rPr>
          <w:rFonts w:hint="eastAsia" w:ascii="宋体" w:hAnsi="宋体"/>
          <w:sz w:val="24"/>
        </w:rPr>
        <w:t>4、签订合同</w:t>
      </w:r>
    </w:p>
    <w:p w14:paraId="4DE41150">
      <w:pPr>
        <w:snapToGrid w:val="0"/>
        <w:spacing w:line="360" w:lineRule="exact"/>
        <w:rPr>
          <w:rFonts w:hint="eastAsia" w:ascii="宋体" w:hAnsi="宋体"/>
          <w:sz w:val="24"/>
        </w:rPr>
      </w:pPr>
      <w:r>
        <w:rPr>
          <w:rFonts w:hint="eastAsia" w:ascii="宋体" w:hAnsi="宋体"/>
          <w:sz w:val="24"/>
        </w:rPr>
        <w:t xml:space="preserve">   4.1中标方应按《中标通知书》指定的时间、地点与采购人签订合同，采购代理机构予以鉴证。</w:t>
      </w:r>
    </w:p>
    <w:p w14:paraId="670E3AA6">
      <w:pPr>
        <w:spacing w:line="360" w:lineRule="exact"/>
        <w:ind w:firstLine="480"/>
        <w:rPr>
          <w:rFonts w:hint="eastAsia" w:ascii="宋体" w:hAnsi="宋体"/>
          <w:sz w:val="24"/>
        </w:rPr>
      </w:pPr>
      <w:r>
        <w:rPr>
          <w:rFonts w:hint="eastAsia" w:ascii="宋体" w:hAnsi="宋体"/>
          <w:sz w:val="24"/>
        </w:rPr>
        <w:t>4.2、《中标通知书》中标方的“公开比选采购文件”及其澄清文件等，均为签订经济合同的依据。</w:t>
      </w:r>
      <w:r>
        <w:rPr>
          <w:rFonts w:hint="eastAsia" w:ascii="宋体" w:hAnsi="宋体" w:cs="宋体"/>
          <w:kern w:val="0"/>
          <w:sz w:val="24"/>
        </w:rPr>
        <w:t>中标投标人不得延误合同签订、仪器设备交付时间（除业主单位施工现场不具备条件外）。</w:t>
      </w:r>
    </w:p>
    <w:p w14:paraId="1CE5B50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w:t>
      </w:r>
      <w:r>
        <w:rPr>
          <w:rFonts w:ascii="宋体"/>
          <w:b/>
          <w:bCs/>
          <w:kern w:val="0"/>
          <w:sz w:val="32"/>
          <w:szCs w:val="32"/>
        </w:rPr>
        <w:t xml:space="preserve"> </w:t>
      </w:r>
      <w:r>
        <w:rPr>
          <w:rFonts w:hint="eastAsia" w:ascii="宋体"/>
          <w:b/>
          <w:bCs/>
          <w:kern w:val="0"/>
          <w:sz w:val="32"/>
          <w:szCs w:val="32"/>
        </w:rPr>
        <w:t>审</w:t>
      </w:r>
      <w:r>
        <w:rPr>
          <w:rFonts w:ascii="宋体"/>
          <w:b/>
          <w:bCs/>
          <w:kern w:val="0"/>
          <w:sz w:val="32"/>
          <w:szCs w:val="32"/>
        </w:rPr>
        <w:t xml:space="preserve"> </w:t>
      </w:r>
      <w:r>
        <w:rPr>
          <w:rFonts w:hint="eastAsia" w:ascii="宋体"/>
          <w:b/>
          <w:bCs/>
          <w:kern w:val="0"/>
          <w:sz w:val="32"/>
          <w:szCs w:val="32"/>
        </w:rPr>
        <w:t>办</w:t>
      </w:r>
      <w:r>
        <w:rPr>
          <w:rFonts w:ascii="宋体"/>
          <w:b/>
          <w:bCs/>
          <w:kern w:val="0"/>
          <w:sz w:val="32"/>
          <w:szCs w:val="32"/>
        </w:rPr>
        <w:t xml:space="preserve"> </w:t>
      </w:r>
      <w:r>
        <w:rPr>
          <w:rFonts w:hint="eastAsia" w:ascii="宋体"/>
          <w:b/>
          <w:bCs/>
          <w:kern w:val="0"/>
          <w:sz w:val="32"/>
          <w:szCs w:val="32"/>
        </w:rPr>
        <w:t>法</w:t>
      </w:r>
    </w:p>
    <w:p w14:paraId="23D02DE4">
      <w:pPr>
        <w:spacing w:line="360" w:lineRule="exact"/>
        <w:ind w:firstLine="480" w:firstLineChars="200"/>
        <w:rPr>
          <w:rFonts w:hint="eastAsia" w:ascii="宋体" w:hAnsi="宋体"/>
          <w:sz w:val="24"/>
        </w:rPr>
      </w:pPr>
      <w:r>
        <w:rPr>
          <w:rFonts w:hint="eastAsia" w:ascii="宋体" w:hAnsi="宋体"/>
          <w:sz w:val="24"/>
        </w:rPr>
        <w:t xml:space="preserve"> 1.1 评标基本原则：评标工作应依据《中华人民共和国政府采购法》、</w:t>
      </w:r>
      <w:r>
        <w:rPr>
          <w:rFonts w:hint="eastAsia" w:ascii="宋体"/>
          <w:kern w:val="0"/>
          <w:sz w:val="24"/>
        </w:rPr>
        <w:t>海南省粮食和物资储备集团有限公司采购管理办法》琼储规〔2024〕17号的规定</w:t>
      </w:r>
      <w:r>
        <w:rPr>
          <w:rFonts w:hint="eastAsia" w:ascii="宋体" w:hAnsi="宋体"/>
          <w:sz w:val="24"/>
        </w:rPr>
        <w:t>以及国家及地方政府有关政府采购的有关规定，按照客观、公正、审慎的原则进行，评委会对所有投标人的投标评估，都采用相同的程序和标准。本次综合评分的主要因素是：价格、技术、信誉、服务、对招标文件的响应程度。</w:t>
      </w:r>
    </w:p>
    <w:p w14:paraId="4532A3C5">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评委会对每个“公开比选投标文件”的投标报价进行比较。</w:t>
      </w:r>
    </w:p>
    <w:p w14:paraId="62AE0B98">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691BC3C9">
      <w:pPr>
        <w:spacing w:line="360" w:lineRule="exact"/>
        <w:ind w:firstLine="480" w:firstLineChars="200"/>
        <w:rPr>
          <w:rFonts w:hint="eastAsia" w:ascii="宋体" w:hAnsi="宋体"/>
          <w:sz w:val="24"/>
        </w:rPr>
      </w:pPr>
      <w:r>
        <w:rPr>
          <w:rFonts w:hint="eastAsia" w:ascii="宋体" w:hAnsi="宋体"/>
          <w:sz w:val="24"/>
        </w:rPr>
        <w:t>1.4对其他内容进行分析比较</w:t>
      </w:r>
    </w:p>
    <w:p w14:paraId="29A33260">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228872C8">
      <w:pPr>
        <w:spacing w:line="360" w:lineRule="exact"/>
        <w:ind w:firstLine="480" w:firstLineChars="200"/>
        <w:rPr>
          <w:rFonts w:hint="eastAsia" w:ascii="宋体" w:hAnsi="宋体"/>
          <w:sz w:val="24"/>
        </w:rPr>
      </w:pPr>
      <w:r>
        <w:rPr>
          <w:rFonts w:hint="eastAsia" w:ascii="宋体" w:hAnsi="宋体"/>
          <w:sz w:val="24"/>
        </w:rPr>
        <w:t>1.6分值权重分配（具体见评分细则）评标委员会按得分高低顺序确定候中标人。</w:t>
      </w:r>
    </w:p>
    <w:p w14:paraId="17FAF7DC">
      <w:pPr>
        <w:spacing w:line="360" w:lineRule="exact"/>
        <w:ind w:firstLine="480" w:firstLineChars="200"/>
        <w:rPr>
          <w:rFonts w:hint="eastAsia" w:ascii="宋体" w:hAnsi="宋体"/>
          <w:sz w:val="24"/>
        </w:rPr>
      </w:pPr>
      <w:r>
        <w:rPr>
          <w:rFonts w:hint="eastAsia" w:ascii="宋体" w:hAnsi="宋体"/>
          <w:sz w:val="24"/>
        </w:rPr>
        <w:t>1.7综合以上分析比较最后做出评标结论。</w:t>
      </w:r>
    </w:p>
    <w:p w14:paraId="7A7CBCFB">
      <w:pPr>
        <w:spacing w:line="360" w:lineRule="exact"/>
        <w:ind w:firstLine="480" w:firstLineChars="200"/>
        <w:rPr>
          <w:rFonts w:hint="eastAsia" w:ascii="宋体" w:hAnsi="宋体"/>
          <w:sz w:val="24"/>
        </w:rPr>
      </w:pPr>
      <w:r>
        <w:rPr>
          <w:rFonts w:hint="eastAsia" w:ascii="宋体" w:hAnsi="宋体"/>
          <w:sz w:val="24"/>
        </w:rPr>
        <w:t>2、保密及其它注意事项</w:t>
      </w:r>
    </w:p>
    <w:p w14:paraId="72E57229">
      <w:pPr>
        <w:spacing w:line="360" w:lineRule="exact"/>
        <w:ind w:firstLine="480" w:firstLineChars="200"/>
        <w:rPr>
          <w:rFonts w:hint="eastAsia" w:ascii="宋体" w:hAnsi="宋体"/>
          <w:sz w:val="24"/>
        </w:rPr>
      </w:pPr>
      <w:r>
        <w:rPr>
          <w:rFonts w:hint="eastAsia" w:ascii="宋体" w:hAnsi="宋体"/>
          <w:sz w:val="24"/>
        </w:rPr>
        <w:t>2.1评标是招标工作的重要环节，评标工作在评委会内独立进行。评委会将遵照评标原则，客观、公正、审慎地对待所有投标人。</w:t>
      </w:r>
    </w:p>
    <w:p w14:paraId="2C3AC27D">
      <w:pPr>
        <w:spacing w:line="360" w:lineRule="exact"/>
        <w:ind w:firstLine="480" w:firstLineChars="200"/>
        <w:rPr>
          <w:rFonts w:hint="eastAsia" w:ascii="宋体" w:hAnsi="宋体"/>
          <w:sz w:val="24"/>
        </w:rPr>
      </w:pPr>
      <w:r>
        <w:rPr>
          <w:rFonts w:hint="eastAsia" w:ascii="宋体" w:hAnsi="宋体"/>
          <w:sz w:val="24"/>
        </w:rPr>
        <w:t>2.2评标后，评委会可能对投标文件中有关问题分别向投标人进行询问。各投标人应予以认真答复。重要或复杂问题的答复需以书面形式，并经法定代表人或授权人签署。澄清文件将作为“投标文件”的组成部份。</w:t>
      </w:r>
    </w:p>
    <w:p w14:paraId="55647066">
      <w:pPr>
        <w:spacing w:line="360" w:lineRule="exact"/>
        <w:ind w:firstLine="480" w:firstLineChars="200"/>
        <w:rPr>
          <w:rFonts w:hint="eastAsia" w:ascii="宋体" w:hAnsi="宋体"/>
          <w:sz w:val="24"/>
        </w:rPr>
      </w:pPr>
      <w:r>
        <w:rPr>
          <w:rFonts w:hint="eastAsia" w:ascii="宋体" w:hAnsi="宋体"/>
          <w:sz w:val="24"/>
        </w:rPr>
        <w:t>2.3在开标、评标期间，投标人不得向评委询问评标情况，不得进行旨在影响评标结果的活动。</w:t>
      </w:r>
    </w:p>
    <w:p w14:paraId="12639354">
      <w:pPr>
        <w:spacing w:line="360" w:lineRule="exact"/>
        <w:ind w:firstLine="480" w:firstLineChars="200"/>
        <w:rPr>
          <w:rFonts w:hint="eastAsia"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02DA4D03">
      <w:pPr>
        <w:spacing w:line="360" w:lineRule="exact"/>
        <w:ind w:firstLine="480" w:firstLineChars="200"/>
        <w:rPr>
          <w:rFonts w:hint="eastAsia"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6C3CA24A">
      <w:pPr>
        <w:spacing w:line="360" w:lineRule="exact"/>
        <w:ind w:firstLine="480" w:firstLineChars="200"/>
        <w:rPr>
          <w:rFonts w:hint="eastAsia" w:ascii="宋体" w:hAnsi="宋体"/>
          <w:sz w:val="24"/>
        </w:rPr>
      </w:pPr>
      <w:r>
        <w:rPr>
          <w:rFonts w:hint="eastAsia" w:ascii="宋体" w:hAnsi="宋体"/>
          <w:sz w:val="24"/>
        </w:rPr>
        <w:t>3、评标步骤及评标方法</w:t>
      </w:r>
    </w:p>
    <w:p w14:paraId="067F1859">
      <w:pPr>
        <w:spacing w:line="360" w:lineRule="exact"/>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1C29EEAD">
      <w:pPr>
        <w:spacing w:line="360" w:lineRule="exact"/>
        <w:ind w:firstLine="480" w:firstLineChars="200"/>
        <w:rPr>
          <w:rFonts w:hint="eastAsia" w:ascii="宋体" w:hAnsi="宋体"/>
          <w:sz w:val="24"/>
        </w:rPr>
      </w:pPr>
      <w:r>
        <w:rPr>
          <w:rFonts w:hint="eastAsia" w:ascii="宋体" w:hAnsi="宋体"/>
          <w:sz w:val="24"/>
        </w:rPr>
        <w:t>3.</w:t>
      </w:r>
      <w:r>
        <w:rPr>
          <w:rFonts w:hint="eastAsia" w:ascii="宋体" w:hAnsi="宋体"/>
          <w:sz w:val="24"/>
        </w:rPr>
        <w:t>2本项目评标采用综合评分法。</w:t>
      </w:r>
    </w:p>
    <w:p w14:paraId="4B9A6AF7">
      <w:pPr>
        <w:spacing w:line="360" w:lineRule="exact"/>
        <w:ind w:firstLine="480" w:firstLineChars="200"/>
        <w:rPr>
          <w:rFonts w:hint="eastAsia"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投标人，综合得分次高的投标人为第二中标候选投标人。本项目仅推荐3名中标候选投标人。</w:t>
      </w:r>
    </w:p>
    <w:p w14:paraId="0B015DF5">
      <w:pPr>
        <w:spacing w:line="360" w:lineRule="exact"/>
        <w:ind w:firstLine="480" w:firstLineChars="200"/>
        <w:rPr>
          <w:rFonts w:hint="eastAsia" w:ascii="宋体" w:hAnsi="宋体"/>
          <w:sz w:val="24"/>
        </w:rPr>
      </w:pPr>
      <w:r>
        <w:rPr>
          <w:rFonts w:hint="eastAsia" w:ascii="宋体" w:hAnsi="宋体"/>
          <w:sz w:val="24"/>
        </w:rPr>
        <w:t>4、初步评审</w:t>
      </w:r>
    </w:p>
    <w:p w14:paraId="520EFA7B">
      <w:pPr>
        <w:spacing w:line="360" w:lineRule="exact"/>
        <w:ind w:firstLine="480" w:firstLineChars="200"/>
        <w:rPr>
          <w:rFonts w:hint="eastAsia" w:ascii="宋体" w:hAnsi="宋体"/>
          <w:sz w:val="24"/>
        </w:rPr>
      </w:pPr>
      <w:r>
        <w:rPr>
          <w:rFonts w:hint="eastAsia" w:ascii="宋体" w:hAnsi="宋体"/>
          <w:sz w:val="24"/>
        </w:rPr>
        <w:t>4.1采购人和代理机构根据资格性审查表对投标人的资格进行审查。</w:t>
      </w:r>
    </w:p>
    <w:p w14:paraId="0F8A9D78">
      <w:pPr>
        <w:spacing w:line="360" w:lineRule="exact"/>
        <w:ind w:firstLine="480" w:firstLineChars="200"/>
        <w:rPr>
          <w:rFonts w:hint="eastAsia" w:ascii="宋体" w:hAnsi="宋体"/>
          <w:sz w:val="24"/>
        </w:rPr>
      </w:pPr>
      <w:r>
        <w:rPr>
          <w:rFonts w:hint="eastAsia" w:ascii="宋体" w:hAnsi="宋体"/>
          <w:sz w:val="24"/>
        </w:rPr>
        <w:t>4.2评标委员会根据符合性审查表对公开比选投标文件符合性进行评审，以确定其是否满足招标文件中的实质性要求。</w:t>
      </w:r>
    </w:p>
    <w:p w14:paraId="048E98F5">
      <w:pPr>
        <w:spacing w:line="50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411794A9">
      <w:pPr>
        <w:spacing w:line="360" w:lineRule="exact"/>
        <w:ind w:left="1" w:firstLine="480" w:firstLineChars="200"/>
        <w:jc w:val="left"/>
        <w:rPr>
          <w:rFonts w:hint="eastAsia" w:ascii="宋体" w:hAnsi="宋体"/>
          <w:sz w:val="24"/>
        </w:rPr>
      </w:pPr>
      <w:r>
        <w:rPr>
          <w:rFonts w:hint="eastAsia" w:ascii="宋体" w:hAnsi="宋体"/>
          <w:sz w:val="24"/>
        </w:rPr>
        <w:t>投标文件出现但不限于下列情况的将被认定为无效投标：</w:t>
      </w:r>
    </w:p>
    <w:p w14:paraId="07CCB4E1">
      <w:pPr>
        <w:spacing w:line="360" w:lineRule="exact"/>
        <w:ind w:firstLine="477" w:firstLineChars="199"/>
        <w:jc w:val="left"/>
        <w:rPr>
          <w:rFonts w:hint="eastAsia" w:ascii="宋体" w:hAnsi="宋体"/>
          <w:sz w:val="24"/>
        </w:rPr>
      </w:pPr>
      <w:r>
        <w:rPr>
          <w:rFonts w:hint="eastAsia" w:ascii="宋体" w:hAnsi="宋体"/>
          <w:sz w:val="24"/>
        </w:rPr>
        <w:t>1）未按照公开比选采购文件要求的规定提交投标保证金的；</w:t>
      </w:r>
    </w:p>
    <w:p w14:paraId="29B7969A">
      <w:pPr>
        <w:spacing w:line="360" w:lineRule="exact"/>
        <w:ind w:firstLine="477" w:firstLineChars="199"/>
        <w:jc w:val="left"/>
        <w:rPr>
          <w:rFonts w:hint="eastAsia" w:ascii="宋体" w:hAnsi="宋体"/>
          <w:sz w:val="24"/>
        </w:rPr>
      </w:pPr>
      <w:r>
        <w:rPr>
          <w:rFonts w:hint="eastAsia" w:ascii="宋体" w:hAnsi="宋体"/>
          <w:sz w:val="24"/>
        </w:rPr>
        <w:t>2）投标文件未按招标文件要求签署、盖章的；</w:t>
      </w:r>
    </w:p>
    <w:p w14:paraId="0F9CFC4A">
      <w:pPr>
        <w:spacing w:line="360" w:lineRule="exact"/>
        <w:ind w:firstLine="477" w:firstLineChars="199"/>
        <w:jc w:val="left"/>
        <w:rPr>
          <w:rFonts w:hint="eastAsia" w:ascii="宋体" w:hAnsi="宋体"/>
          <w:sz w:val="24"/>
        </w:rPr>
      </w:pPr>
      <w:r>
        <w:rPr>
          <w:rFonts w:hint="eastAsia" w:ascii="宋体" w:hAnsi="宋体"/>
          <w:sz w:val="24"/>
        </w:rPr>
        <w:t>3）不具备公开比选采购文件中规定的资格要求的；</w:t>
      </w:r>
    </w:p>
    <w:p w14:paraId="55F9EB2B">
      <w:pPr>
        <w:spacing w:line="360" w:lineRule="exact"/>
        <w:ind w:firstLine="477" w:firstLineChars="199"/>
        <w:jc w:val="left"/>
        <w:rPr>
          <w:rFonts w:hint="eastAsia" w:ascii="宋体" w:hAnsi="宋体"/>
          <w:sz w:val="24"/>
        </w:rPr>
      </w:pPr>
      <w:r>
        <w:rPr>
          <w:rFonts w:hint="eastAsia" w:ascii="宋体" w:hAnsi="宋体"/>
          <w:sz w:val="24"/>
        </w:rPr>
        <w:t>4）报价超过公开比选采购文件中规定的预算金额或者最高限价的；</w:t>
      </w:r>
    </w:p>
    <w:p w14:paraId="36D32967">
      <w:pPr>
        <w:spacing w:line="360" w:lineRule="exact"/>
        <w:ind w:firstLine="477" w:firstLineChars="199"/>
        <w:jc w:val="left"/>
        <w:rPr>
          <w:rFonts w:hint="eastAsia" w:ascii="宋体" w:hAnsi="宋体"/>
          <w:sz w:val="24"/>
        </w:rPr>
      </w:pPr>
      <w:r>
        <w:rPr>
          <w:rFonts w:hint="eastAsia" w:ascii="宋体" w:hAnsi="宋体"/>
          <w:sz w:val="24"/>
        </w:rPr>
        <w:t>5）公开比选投标文件含有采购人不能接受的附加条件的;</w:t>
      </w:r>
    </w:p>
    <w:p w14:paraId="09B57558">
      <w:pPr>
        <w:spacing w:line="360" w:lineRule="exact"/>
        <w:ind w:firstLine="477" w:firstLineChars="199"/>
        <w:jc w:val="left"/>
        <w:rPr>
          <w:rFonts w:hint="eastAsia" w:ascii="宋体" w:hAnsi="宋体"/>
          <w:sz w:val="24"/>
        </w:rPr>
      </w:pPr>
      <w:r>
        <w:rPr>
          <w:rFonts w:hint="eastAsia" w:ascii="宋体" w:hAnsi="宋体"/>
          <w:sz w:val="24"/>
        </w:rPr>
        <w:t>6）法律、法规和招标文件规定的其他无效情形。</w:t>
      </w:r>
    </w:p>
    <w:p w14:paraId="491C044C">
      <w:pPr>
        <w:spacing w:line="360" w:lineRule="exact"/>
        <w:ind w:firstLine="477" w:firstLineChars="199"/>
        <w:jc w:val="left"/>
        <w:rPr>
          <w:rFonts w:hint="eastAsia" w:ascii="宋体" w:hAnsi="宋体"/>
          <w:sz w:val="24"/>
        </w:rPr>
      </w:pPr>
      <w:r>
        <w:rPr>
          <w:rFonts w:hint="eastAsia" w:ascii="宋体" w:hAnsi="宋体"/>
          <w:sz w:val="24"/>
        </w:rPr>
        <w:t>7）投标报价明显低于其他投标报价而投标人不能合理说明的。</w:t>
      </w:r>
    </w:p>
    <w:p w14:paraId="793AC864">
      <w:pPr>
        <w:spacing w:line="360" w:lineRule="exact"/>
        <w:ind w:firstLine="477" w:firstLineChars="199"/>
        <w:jc w:val="left"/>
        <w:rPr>
          <w:rFonts w:hint="eastAsia" w:ascii="宋体" w:hAnsi="宋体"/>
          <w:sz w:val="24"/>
        </w:rPr>
      </w:pPr>
      <w:r>
        <w:rPr>
          <w:rFonts w:hint="eastAsia" w:ascii="宋体" w:hAnsi="宋体"/>
          <w:sz w:val="24"/>
        </w:rPr>
        <w:t>8）不同投标人的公开比选投标文件由同一单位或者个人编制；</w:t>
      </w:r>
    </w:p>
    <w:p w14:paraId="3C2821D9">
      <w:pPr>
        <w:spacing w:line="360" w:lineRule="exact"/>
        <w:ind w:firstLine="477" w:firstLineChars="199"/>
        <w:jc w:val="left"/>
        <w:rPr>
          <w:rFonts w:hint="eastAsia" w:ascii="宋体" w:hAnsi="宋体"/>
          <w:sz w:val="24"/>
        </w:rPr>
      </w:pPr>
      <w:r>
        <w:rPr>
          <w:rFonts w:hint="eastAsia" w:ascii="宋体" w:hAnsi="宋体"/>
          <w:sz w:val="24"/>
        </w:rPr>
        <w:t>9）不同投标人委托同一单位或者个人办理投标事宜；</w:t>
      </w:r>
    </w:p>
    <w:p w14:paraId="2CC53A76">
      <w:pPr>
        <w:spacing w:line="360" w:lineRule="exact"/>
        <w:ind w:firstLine="477" w:firstLineChars="199"/>
        <w:jc w:val="left"/>
        <w:rPr>
          <w:rFonts w:hint="eastAsia" w:ascii="宋体" w:hAnsi="宋体"/>
          <w:sz w:val="24"/>
        </w:rPr>
      </w:pPr>
      <w:r>
        <w:rPr>
          <w:rFonts w:hint="eastAsia" w:ascii="宋体" w:hAnsi="宋体"/>
          <w:sz w:val="24"/>
        </w:rPr>
        <w:t>10）不同投标人的公开比选投标文件载明的项目管理成员或者联系人员为同一人；</w:t>
      </w:r>
    </w:p>
    <w:p w14:paraId="7DFD02EF">
      <w:pPr>
        <w:spacing w:line="360" w:lineRule="exact"/>
        <w:ind w:firstLine="477" w:firstLineChars="199"/>
        <w:jc w:val="left"/>
        <w:rPr>
          <w:rFonts w:hint="eastAsia" w:ascii="宋体" w:hAnsi="宋体"/>
          <w:sz w:val="24"/>
        </w:rPr>
      </w:pPr>
      <w:r>
        <w:rPr>
          <w:rFonts w:hint="eastAsia" w:ascii="宋体" w:hAnsi="宋体"/>
          <w:sz w:val="24"/>
        </w:rPr>
        <w:t>11）不同投标人的公开比选投标文件异常一致或者投标报价呈规律性差异；</w:t>
      </w:r>
    </w:p>
    <w:p w14:paraId="38305288">
      <w:pPr>
        <w:spacing w:line="360" w:lineRule="exact"/>
        <w:ind w:firstLine="477" w:firstLineChars="199"/>
        <w:jc w:val="left"/>
        <w:rPr>
          <w:rFonts w:hint="eastAsia" w:ascii="宋体" w:hAnsi="宋体"/>
          <w:sz w:val="24"/>
        </w:rPr>
      </w:pPr>
      <w:r>
        <w:rPr>
          <w:rFonts w:hint="eastAsia" w:ascii="宋体" w:hAnsi="宋体"/>
          <w:sz w:val="24"/>
        </w:rPr>
        <w:t>12）不同投标人的公开比选投标文件相互混装；</w:t>
      </w:r>
    </w:p>
    <w:p w14:paraId="72EC9E85">
      <w:pPr>
        <w:spacing w:line="500" w:lineRule="exact"/>
        <w:ind w:firstLine="480" w:firstLineChars="200"/>
        <w:rPr>
          <w:rFonts w:hint="eastAsia" w:ascii="宋体" w:hAnsi="宋体"/>
          <w:sz w:val="24"/>
        </w:rPr>
      </w:pPr>
      <w:r>
        <w:rPr>
          <w:rFonts w:hint="eastAsia" w:ascii="宋体" w:hAnsi="宋体"/>
          <w:sz w:val="24"/>
        </w:rPr>
        <w:t>13</w:t>
      </w:r>
      <w:r>
        <w:rPr>
          <w:rFonts w:ascii="宋体" w:hAnsi="宋体"/>
          <w:sz w:val="24"/>
        </w:rPr>
        <w:t>）不同投标人的投标保证金从同一单位或者个人的账户转出。</w:t>
      </w:r>
    </w:p>
    <w:p w14:paraId="13AFF8F5">
      <w:pPr>
        <w:spacing w:line="500" w:lineRule="exact"/>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）如投标人提交的公开比选投标文件为虚假材料的，按无效标处理</w:t>
      </w:r>
    </w:p>
    <w:p w14:paraId="14DFC6E2">
      <w:pPr>
        <w:spacing w:line="360" w:lineRule="exact"/>
        <w:ind w:firstLine="480" w:firstLineChars="200"/>
        <w:rPr>
          <w:rFonts w:hint="eastAsia" w:ascii="宋体" w:hAnsi="宋体"/>
          <w:sz w:val="24"/>
        </w:rPr>
      </w:pPr>
      <w:r>
        <w:rPr>
          <w:rFonts w:hint="eastAsia" w:ascii="宋体" w:hAnsi="宋体"/>
          <w:sz w:val="24"/>
        </w:rPr>
        <w:t>5、详细评审</w:t>
      </w:r>
    </w:p>
    <w:p w14:paraId="36112B45">
      <w:pPr>
        <w:spacing w:line="360" w:lineRule="exact"/>
        <w:ind w:left="1"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1详细评审是对通过初步评审的投标进行技术、商务（授权）、售后服务及信誉、价格的评审。</w:t>
      </w:r>
    </w:p>
    <w:p w14:paraId="7002A1BE">
      <w:pPr>
        <w:spacing w:line="360" w:lineRule="exact"/>
        <w:ind w:firstLine="477" w:firstLineChars="199"/>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0B6C8F19">
      <w:pPr>
        <w:spacing w:line="360" w:lineRule="auto"/>
        <w:jc w:val="left"/>
        <w:outlineLvl w:val="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10CCD990">
      <w:pPr>
        <w:spacing w:line="360" w:lineRule="auto"/>
        <w:ind w:firstLine="470" w:firstLineChars="196"/>
        <w:rPr>
          <w:rFonts w:ascii="宋体" w:eastAsiaTheme="minorEastAsia"/>
          <w:sz w:val="24"/>
        </w:rPr>
      </w:pPr>
      <w:r>
        <w:rPr>
          <w:rFonts w:hint="eastAsia" w:ascii="宋体" w:hAnsi="宋体"/>
          <w:sz w:val="24"/>
        </w:rPr>
        <w:t>5</w:t>
      </w:r>
      <w:r>
        <w:rPr>
          <w:rFonts w:ascii="宋体" w:hAnsi="宋体"/>
          <w:sz w:val="24"/>
        </w:rPr>
        <w:t>.</w:t>
      </w:r>
      <w:r>
        <w:rPr>
          <w:rFonts w:hint="eastAsia" w:ascii="宋体" w:hAnsi="宋体"/>
          <w:sz w:val="24"/>
        </w:rPr>
        <w:t>4</w:t>
      </w:r>
      <w:r>
        <w:rPr>
          <w:rFonts w:hint="eastAsia" w:ascii="宋体"/>
          <w:sz w:val="24"/>
        </w:rPr>
        <w:t>《政府采购货物和服务招标投标管理办法》（财政部令第87号，以下简称“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7C78F1">
      <w:pPr>
        <w:spacing w:line="360" w:lineRule="auto"/>
        <w:ind w:firstLine="470" w:firstLineChars="196"/>
        <w:rPr>
          <w:rFonts w:ascii="宋体"/>
          <w:kern w:val="0"/>
          <w:sz w:val="24"/>
        </w:rPr>
      </w:pPr>
      <w:r>
        <w:rPr>
          <w:rFonts w:hint="eastAsia" w:ascii="宋体" w:hAnsi="宋体"/>
          <w:sz w:val="24"/>
        </w:rPr>
        <w:t>5</w:t>
      </w:r>
      <w:r>
        <w:rPr>
          <w:rFonts w:ascii="宋体" w:hAnsi="宋体"/>
          <w:sz w:val="24"/>
        </w:rPr>
        <w:t>.</w:t>
      </w:r>
      <w:r>
        <w:rPr>
          <w:rFonts w:hint="eastAsia" w:ascii="宋体" w:hAnsi="宋体"/>
          <w:sz w:val="24"/>
        </w:rPr>
        <w:t>5</w:t>
      </w:r>
      <w:r>
        <w:rPr>
          <w:rFonts w:hint="eastAsia" w:ascii="宋体"/>
          <w:kern w:val="0"/>
          <w:sz w:val="24"/>
        </w:rPr>
        <w:t>投标人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投标人的同一评审项，评审专家的评分分值偏离幅度不得超过该评审项平均分值的30%，否则，该项评审意见无效。</w:t>
      </w:r>
    </w:p>
    <w:p w14:paraId="53C2CBA0">
      <w:pPr>
        <w:spacing w:line="480" w:lineRule="exact"/>
        <w:jc w:val="center"/>
        <w:rPr>
          <w:rFonts w:cs="宋体"/>
        </w:rPr>
      </w:pPr>
    </w:p>
    <w:p w14:paraId="0E2987C3">
      <w:pPr>
        <w:spacing w:line="480" w:lineRule="exact"/>
        <w:jc w:val="center"/>
        <w:rPr>
          <w:rFonts w:cs="宋体"/>
        </w:rPr>
      </w:pPr>
    </w:p>
    <w:p w14:paraId="4865F7DC">
      <w:pPr>
        <w:spacing w:line="480" w:lineRule="exact"/>
        <w:jc w:val="center"/>
        <w:rPr>
          <w:rFonts w:cs="宋体"/>
          <w:b/>
          <w:bCs/>
          <w:sz w:val="24"/>
        </w:rPr>
      </w:pPr>
      <w:r>
        <w:rPr>
          <w:rFonts w:hint="eastAsia" w:cs="宋体"/>
          <w:b/>
          <w:bCs/>
          <w:sz w:val="24"/>
        </w:rPr>
        <w:t>资格性审查标准</w:t>
      </w:r>
    </w:p>
    <w:p w14:paraId="6DC4731D">
      <w:pPr>
        <w:spacing w:line="480" w:lineRule="exact"/>
        <w:rPr>
          <w:rFonts w:cs="宋体"/>
        </w:rPr>
      </w:pPr>
    </w:p>
    <w:p w14:paraId="31256200">
      <w:pPr>
        <w:spacing w:line="480" w:lineRule="exact"/>
        <w:rPr>
          <w:rFonts w:cs="宋体"/>
        </w:rPr>
      </w:pPr>
      <w:r>
        <w:rPr>
          <w:rFonts w:hint="eastAsia" w:cs="宋体"/>
        </w:rPr>
        <w:t>项目名称：                      </w:t>
      </w:r>
    </w:p>
    <w:p w14:paraId="66FD0881">
      <w:pPr>
        <w:spacing w:line="480" w:lineRule="exact"/>
        <w:rPr>
          <w:rFonts w:cs="宋体"/>
        </w:rPr>
      </w:pPr>
      <w:r>
        <w:rPr>
          <w:rFonts w:hint="eastAsia" w:cs="宋体"/>
        </w:rPr>
        <w:t>项目编号：</w:t>
      </w:r>
    </w:p>
    <w:tbl>
      <w:tblPr>
        <w:tblStyle w:val="39"/>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7797"/>
      </w:tblGrid>
      <w:tr w14:paraId="20E7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14:paraId="4750AE26">
            <w:pPr>
              <w:spacing w:line="360" w:lineRule="auto"/>
              <w:jc w:val="center"/>
              <w:rPr>
                <w:rFonts w:ascii="宋体"/>
                <w:kern w:val="0"/>
                <w:sz w:val="24"/>
              </w:rPr>
            </w:pPr>
            <w:r>
              <w:rPr>
                <w:rFonts w:hint="eastAsia" w:ascii="宋体"/>
                <w:kern w:val="0"/>
                <w:sz w:val="24"/>
              </w:rPr>
              <w:t>序号</w:t>
            </w:r>
          </w:p>
        </w:tc>
        <w:tc>
          <w:tcPr>
            <w:tcW w:w="1417" w:type="dxa"/>
            <w:vAlign w:val="center"/>
          </w:tcPr>
          <w:p w14:paraId="58F7EE80">
            <w:pPr>
              <w:spacing w:line="360" w:lineRule="auto"/>
              <w:jc w:val="center"/>
              <w:rPr>
                <w:rFonts w:ascii="宋体"/>
                <w:kern w:val="0"/>
                <w:sz w:val="24"/>
              </w:rPr>
            </w:pPr>
            <w:r>
              <w:rPr>
                <w:rFonts w:hint="eastAsia" w:ascii="宋体"/>
                <w:kern w:val="0"/>
                <w:sz w:val="24"/>
              </w:rPr>
              <w:t>审查项目</w:t>
            </w:r>
          </w:p>
        </w:tc>
        <w:tc>
          <w:tcPr>
            <w:tcW w:w="7797" w:type="dxa"/>
            <w:vAlign w:val="center"/>
          </w:tcPr>
          <w:p w14:paraId="17972736">
            <w:pPr>
              <w:spacing w:line="360" w:lineRule="auto"/>
              <w:jc w:val="center"/>
              <w:rPr>
                <w:rFonts w:ascii="宋体"/>
                <w:kern w:val="0"/>
                <w:sz w:val="24"/>
              </w:rPr>
            </w:pPr>
            <w:r>
              <w:rPr>
                <w:rFonts w:hint="eastAsia" w:ascii="宋体"/>
                <w:kern w:val="0"/>
                <w:sz w:val="24"/>
              </w:rPr>
              <w:t>评议内容</w:t>
            </w:r>
          </w:p>
        </w:tc>
      </w:tr>
      <w:tr w14:paraId="0311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75" w:type="dxa"/>
            <w:vMerge w:val="restart"/>
            <w:vAlign w:val="center"/>
          </w:tcPr>
          <w:p w14:paraId="4C00182E">
            <w:pPr>
              <w:spacing w:line="360" w:lineRule="auto"/>
              <w:jc w:val="center"/>
              <w:rPr>
                <w:rFonts w:ascii="宋体"/>
                <w:kern w:val="0"/>
                <w:sz w:val="24"/>
              </w:rPr>
            </w:pPr>
            <w:r>
              <w:rPr>
                <w:rFonts w:hint="eastAsia" w:ascii="宋体"/>
                <w:kern w:val="0"/>
                <w:sz w:val="24"/>
              </w:rPr>
              <w:t>1</w:t>
            </w:r>
          </w:p>
        </w:tc>
        <w:tc>
          <w:tcPr>
            <w:tcW w:w="1417" w:type="dxa"/>
            <w:vMerge w:val="restart"/>
            <w:vAlign w:val="center"/>
          </w:tcPr>
          <w:p w14:paraId="64FEF9D8">
            <w:pPr>
              <w:spacing w:line="360" w:lineRule="auto"/>
              <w:jc w:val="center"/>
              <w:rPr>
                <w:rFonts w:ascii="宋体"/>
                <w:kern w:val="0"/>
                <w:sz w:val="24"/>
              </w:rPr>
            </w:pPr>
            <w:r>
              <w:rPr>
                <w:rFonts w:hint="eastAsia" w:ascii="宋体"/>
                <w:kern w:val="0"/>
                <w:sz w:val="24"/>
              </w:rPr>
              <w:t>相关资格证明文件</w:t>
            </w:r>
          </w:p>
        </w:tc>
        <w:tc>
          <w:tcPr>
            <w:tcW w:w="7797" w:type="dxa"/>
            <w:vAlign w:val="center"/>
          </w:tcPr>
          <w:p w14:paraId="10EB27BA">
            <w:pPr>
              <w:spacing w:line="360" w:lineRule="auto"/>
              <w:jc w:val="left"/>
              <w:rPr>
                <w:rFonts w:ascii="宋体"/>
                <w:kern w:val="0"/>
                <w:sz w:val="24"/>
              </w:rPr>
            </w:pPr>
            <w:r>
              <w:rPr>
                <w:rFonts w:hint="eastAsia" w:ascii="宋体"/>
                <w:kern w:val="0"/>
                <w:sz w:val="24"/>
              </w:rPr>
              <w:t>1.中华人民共和国境内注册、具有独立承担民事责任的能力（提供营业执照或事业单位法人证书）。</w:t>
            </w:r>
          </w:p>
        </w:tc>
      </w:tr>
      <w:tr w14:paraId="53ED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continue"/>
            <w:vAlign w:val="center"/>
          </w:tcPr>
          <w:p w14:paraId="1A9EC68D">
            <w:pPr>
              <w:spacing w:line="360" w:lineRule="auto"/>
              <w:ind w:firstLine="470" w:firstLineChars="196"/>
              <w:jc w:val="left"/>
              <w:rPr>
                <w:rFonts w:ascii="宋体"/>
                <w:kern w:val="0"/>
                <w:sz w:val="24"/>
              </w:rPr>
            </w:pPr>
          </w:p>
        </w:tc>
        <w:tc>
          <w:tcPr>
            <w:tcW w:w="1417" w:type="dxa"/>
            <w:vMerge w:val="continue"/>
            <w:vAlign w:val="center"/>
          </w:tcPr>
          <w:p w14:paraId="1AAC8D83">
            <w:pPr>
              <w:spacing w:line="360" w:lineRule="auto"/>
              <w:ind w:firstLine="470" w:firstLineChars="196"/>
              <w:jc w:val="left"/>
              <w:rPr>
                <w:rFonts w:ascii="宋体"/>
                <w:kern w:val="0"/>
                <w:sz w:val="24"/>
              </w:rPr>
            </w:pPr>
          </w:p>
        </w:tc>
        <w:tc>
          <w:tcPr>
            <w:tcW w:w="7797" w:type="dxa"/>
            <w:vAlign w:val="center"/>
          </w:tcPr>
          <w:p w14:paraId="77F9C445">
            <w:pPr>
              <w:spacing w:line="360" w:lineRule="auto"/>
              <w:jc w:val="left"/>
              <w:rPr>
                <w:rFonts w:ascii="宋体"/>
                <w:kern w:val="0"/>
                <w:sz w:val="24"/>
              </w:rPr>
            </w:pPr>
            <w:r>
              <w:rPr>
                <w:rFonts w:hint="eastAsia" w:ascii="宋体"/>
                <w:kern w:val="0"/>
                <w:sz w:val="24"/>
              </w:rPr>
              <w:t>2.具备《中华人民共和国政府采购法》第二十二条规定条件的承诺书。</w:t>
            </w:r>
          </w:p>
        </w:tc>
      </w:tr>
      <w:tr w14:paraId="3A1B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2DF30C76">
            <w:pPr>
              <w:spacing w:line="360" w:lineRule="auto"/>
              <w:ind w:firstLine="470" w:firstLineChars="196"/>
              <w:jc w:val="left"/>
              <w:rPr>
                <w:rFonts w:ascii="宋体"/>
                <w:kern w:val="0"/>
                <w:sz w:val="24"/>
              </w:rPr>
            </w:pPr>
          </w:p>
        </w:tc>
        <w:tc>
          <w:tcPr>
            <w:tcW w:w="1417" w:type="dxa"/>
            <w:vMerge w:val="continue"/>
            <w:vAlign w:val="center"/>
          </w:tcPr>
          <w:p w14:paraId="1210FE9E">
            <w:pPr>
              <w:spacing w:line="360" w:lineRule="auto"/>
              <w:ind w:firstLine="470" w:firstLineChars="196"/>
              <w:jc w:val="left"/>
              <w:rPr>
                <w:rFonts w:ascii="宋体"/>
                <w:kern w:val="0"/>
                <w:sz w:val="24"/>
              </w:rPr>
            </w:pPr>
          </w:p>
        </w:tc>
        <w:tc>
          <w:tcPr>
            <w:tcW w:w="7797" w:type="dxa"/>
            <w:vAlign w:val="center"/>
          </w:tcPr>
          <w:p w14:paraId="377B8CF5">
            <w:pPr>
              <w:spacing w:line="360" w:lineRule="auto"/>
              <w:jc w:val="left"/>
              <w:rPr>
                <w:rFonts w:ascii="宋体"/>
                <w:kern w:val="0"/>
                <w:sz w:val="24"/>
              </w:rPr>
            </w:pPr>
            <w:r>
              <w:rPr>
                <w:rFonts w:hint="eastAsia" w:ascii="宋体"/>
                <w:kern w:val="0"/>
                <w:sz w:val="24"/>
              </w:rPr>
              <w:t>3.按附件格式提供投标人投标承诺书。</w:t>
            </w:r>
          </w:p>
        </w:tc>
      </w:tr>
      <w:tr w14:paraId="5A0A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78B98ECF">
            <w:pPr>
              <w:spacing w:line="360" w:lineRule="auto"/>
              <w:ind w:firstLine="470" w:firstLineChars="196"/>
              <w:jc w:val="left"/>
              <w:rPr>
                <w:rFonts w:ascii="宋体"/>
                <w:kern w:val="0"/>
                <w:sz w:val="24"/>
              </w:rPr>
            </w:pPr>
          </w:p>
        </w:tc>
        <w:tc>
          <w:tcPr>
            <w:tcW w:w="1417" w:type="dxa"/>
            <w:vMerge w:val="continue"/>
            <w:vAlign w:val="center"/>
          </w:tcPr>
          <w:p w14:paraId="5BEC6B76">
            <w:pPr>
              <w:spacing w:line="360" w:lineRule="auto"/>
              <w:ind w:firstLine="470" w:firstLineChars="196"/>
              <w:jc w:val="left"/>
              <w:rPr>
                <w:rFonts w:ascii="宋体"/>
                <w:kern w:val="0"/>
                <w:sz w:val="24"/>
              </w:rPr>
            </w:pPr>
          </w:p>
        </w:tc>
        <w:tc>
          <w:tcPr>
            <w:tcW w:w="7797" w:type="dxa"/>
            <w:vAlign w:val="center"/>
          </w:tcPr>
          <w:p w14:paraId="18344571">
            <w:pPr>
              <w:spacing w:line="360" w:lineRule="auto"/>
              <w:jc w:val="left"/>
              <w:rPr>
                <w:rFonts w:ascii="宋体"/>
                <w:kern w:val="0"/>
                <w:sz w:val="24"/>
              </w:rPr>
            </w:pPr>
            <w:r>
              <w:rPr>
                <w:rFonts w:hint="eastAsia" w:ascii="宋体"/>
                <w:kern w:val="0"/>
                <w:sz w:val="24"/>
              </w:rPr>
              <w:t>4.投标人承诺遵守国家和军队有关法律法规及保密要求（提供承诺函）</w:t>
            </w:r>
          </w:p>
        </w:tc>
      </w:tr>
      <w:tr w14:paraId="0A96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70DD05DB">
            <w:pPr>
              <w:spacing w:line="360" w:lineRule="auto"/>
              <w:ind w:firstLine="470" w:firstLineChars="196"/>
              <w:jc w:val="left"/>
              <w:rPr>
                <w:rFonts w:ascii="宋体"/>
                <w:kern w:val="0"/>
                <w:sz w:val="24"/>
              </w:rPr>
            </w:pPr>
          </w:p>
        </w:tc>
        <w:tc>
          <w:tcPr>
            <w:tcW w:w="1417" w:type="dxa"/>
            <w:vMerge w:val="continue"/>
            <w:vAlign w:val="center"/>
          </w:tcPr>
          <w:p w14:paraId="5A87D073">
            <w:pPr>
              <w:spacing w:line="360" w:lineRule="auto"/>
              <w:ind w:firstLine="470" w:firstLineChars="196"/>
              <w:jc w:val="left"/>
              <w:rPr>
                <w:rFonts w:ascii="宋体"/>
                <w:kern w:val="0"/>
                <w:sz w:val="24"/>
              </w:rPr>
            </w:pPr>
          </w:p>
        </w:tc>
        <w:tc>
          <w:tcPr>
            <w:tcW w:w="7797" w:type="dxa"/>
            <w:vAlign w:val="center"/>
          </w:tcPr>
          <w:p w14:paraId="21A5892C">
            <w:pPr>
              <w:spacing w:line="360" w:lineRule="auto"/>
              <w:jc w:val="left"/>
              <w:rPr>
                <w:rFonts w:ascii="宋体"/>
                <w:kern w:val="0"/>
                <w:sz w:val="24"/>
              </w:rPr>
            </w:pPr>
            <w:r>
              <w:rPr>
                <w:rFonts w:hint="eastAsia" w:ascii="宋体"/>
                <w:kern w:val="0"/>
                <w:sz w:val="24"/>
              </w:rPr>
              <w:t>5.信用信息查询</w:t>
            </w:r>
          </w:p>
        </w:tc>
      </w:tr>
      <w:tr w14:paraId="730C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23F20E65">
            <w:pPr>
              <w:spacing w:line="360" w:lineRule="auto"/>
              <w:ind w:firstLine="470" w:firstLineChars="196"/>
              <w:jc w:val="left"/>
              <w:rPr>
                <w:rFonts w:ascii="宋体"/>
                <w:kern w:val="0"/>
                <w:sz w:val="24"/>
              </w:rPr>
            </w:pPr>
          </w:p>
        </w:tc>
        <w:tc>
          <w:tcPr>
            <w:tcW w:w="1417" w:type="dxa"/>
            <w:vMerge w:val="continue"/>
            <w:vAlign w:val="center"/>
          </w:tcPr>
          <w:p w14:paraId="00B6DD2A">
            <w:pPr>
              <w:spacing w:line="360" w:lineRule="auto"/>
              <w:ind w:firstLine="470" w:firstLineChars="196"/>
              <w:jc w:val="left"/>
              <w:rPr>
                <w:rFonts w:ascii="宋体"/>
                <w:kern w:val="0"/>
                <w:sz w:val="24"/>
              </w:rPr>
            </w:pPr>
          </w:p>
        </w:tc>
        <w:tc>
          <w:tcPr>
            <w:tcW w:w="7797" w:type="dxa"/>
            <w:vAlign w:val="center"/>
          </w:tcPr>
          <w:p w14:paraId="3C8596B9">
            <w:pPr>
              <w:spacing w:line="360" w:lineRule="auto"/>
              <w:jc w:val="left"/>
              <w:rPr>
                <w:rFonts w:ascii="宋体"/>
                <w:kern w:val="0"/>
                <w:sz w:val="24"/>
              </w:rPr>
            </w:pPr>
            <w:r>
              <w:rPr>
                <w:rFonts w:hint="eastAsia" w:ascii="宋体"/>
                <w:kern w:val="0"/>
                <w:sz w:val="24"/>
              </w:rPr>
              <w:t>6.无其他不符合招标文件资格要求的条件</w:t>
            </w:r>
          </w:p>
        </w:tc>
      </w:tr>
      <w:tr w14:paraId="7808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89" w:type="dxa"/>
            <w:gridSpan w:val="3"/>
            <w:vAlign w:val="center"/>
          </w:tcPr>
          <w:p w14:paraId="5DCA87FD">
            <w:pPr>
              <w:spacing w:line="480" w:lineRule="exact"/>
              <w:rPr>
                <w:rFonts w:cs="宋体"/>
              </w:rPr>
            </w:pPr>
            <w:r>
              <w:rPr>
                <w:rFonts w:hint="eastAsia" w:cs="宋体"/>
              </w:rPr>
              <w:t>结论</w:t>
            </w:r>
          </w:p>
        </w:tc>
      </w:tr>
    </w:tbl>
    <w:p w14:paraId="0DE0A0F1">
      <w:pPr>
        <w:spacing w:line="480" w:lineRule="exact"/>
        <w:rPr>
          <w:rFonts w:cs="宋体"/>
        </w:rPr>
      </w:pPr>
    </w:p>
    <w:p w14:paraId="71BD921E">
      <w:pPr>
        <w:spacing w:line="480" w:lineRule="exact"/>
        <w:jc w:val="center"/>
        <w:rPr>
          <w:rFonts w:cs="宋体"/>
          <w:b/>
          <w:bCs/>
          <w:sz w:val="24"/>
        </w:rPr>
      </w:pPr>
    </w:p>
    <w:p w14:paraId="44B9F4C4">
      <w:pPr>
        <w:spacing w:line="480" w:lineRule="exact"/>
        <w:jc w:val="center"/>
        <w:rPr>
          <w:rFonts w:cs="宋体"/>
          <w:b/>
          <w:bCs/>
          <w:sz w:val="24"/>
        </w:rPr>
      </w:pPr>
    </w:p>
    <w:p w14:paraId="10E53BD9">
      <w:pPr>
        <w:spacing w:line="480" w:lineRule="exact"/>
        <w:jc w:val="center"/>
        <w:rPr>
          <w:rFonts w:cs="宋体"/>
          <w:b/>
          <w:bCs/>
          <w:sz w:val="24"/>
        </w:rPr>
      </w:pPr>
    </w:p>
    <w:p w14:paraId="41EDFDD6">
      <w:pPr>
        <w:spacing w:line="480" w:lineRule="exact"/>
        <w:jc w:val="center"/>
        <w:rPr>
          <w:rFonts w:cs="宋体"/>
          <w:b/>
          <w:bCs/>
          <w:sz w:val="24"/>
        </w:rPr>
      </w:pPr>
    </w:p>
    <w:p w14:paraId="212567B2">
      <w:pPr>
        <w:spacing w:line="480" w:lineRule="exact"/>
        <w:jc w:val="center"/>
        <w:rPr>
          <w:rFonts w:cs="宋体"/>
          <w:b/>
          <w:bCs/>
          <w:sz w:val="24"/>
        </w:rPr>
      </w:pPr>
    </w:p>
    <w:p w14:paraId="75F2EA9B">
      <w:pPr>
        <w:spacing w:line="480" w:lineRule="exact"/>
        <w:jc w:val="center"/>
        <w:rPr>
          <w:rFonts w:cs="宋体"/>
          <w:b/>
          <w:bCs/>
          <w:sz w:val="24"/>
        </w:rPr>
      </w:pPr>
    </w:p>
    <w:p w14:paraId="40092669">
      <w:pPr>
        <w:spacing w:line="480" w:lineRule="exact"/>
        <w:jc w:val="center"/>
        <w:rPr>
          <w:rFonts w:cs="宋体"/>
          <w:b/>
          <w:bCs/>
          <w:sz w:val="24"/>
        </w:rPr>
      </w:pPr>
    </w:p>
    <w:p w14:paraId="66D45EE1">
      <w:pPr>
        <w:spacing w:line="480" w:lineRule="exact"/>
        <w:jc w:val="center"/>
        <w:rPr>
          <w:rFonts w:cs="宋体"/>
          <w:b/>
          <w:bCs/>
          <w:sz w:val="24"/>
        </w:rPr>
      </w:pPr>
    </w:p>
    <w:p w14:paraId="34C8BC33">
      <w:pPr>
        <w:spacing w:line="480" w:lineRule="exact"/>
        <w:jc w:val="center"/>
        <w:rPr>
          <w:rFonts w:cs="宋体"/>
          <w:b/>
          <w:bCs/>
          <w:sz w:val="24"/>
        </w:rPr>
      </w:pPr>
    </w:p>
    <w:p w14:paraId="6B86D084">
      <w:pPr>
        <w:spacing w:line="480" w:lineRule="exact"/>
        <w:jc w:val="center"/>
        <w:rPr>
          <w:rFonts w:cs="宋体"/>
          <w:b/>
          <w:bCs/>
          <w:sz w:val="24"/>
        </w:rPr>
      </w:pPr>
      <w:r>
        <w:rPr>
          <w:rFonts w:hint="eastAsia" w:cs="宋体"/>
          <w:b/>
          <w:bCs/>
          <w:sz w:val="24"/>
        </w:rPr>
        <w:t>符合性审查标准</w:t>
      </w:r>
    </w:p>
    <w:p w14:paraId="6A4F6F26">
      <w:pPr>
        <w:spacing w:line="480" w:lineRule="exact"/>
        <w:rPr>
          <w:rFonts w:cs="宋体"/>
        </w:rPr>
      </w:pPr>
    </w:p>
    <w:p w14:paraId="7AFFC08F">
      <w:pPr>
        <w:spacing w:line="480" w:lineRule="exact"/>
        <w:rPr>
          <w:rFonts w:cs="宋体"/>
        </w:rPr>
      </w:pPr>
      <w:r>
        <w:rPr>
          <w:rFonts w:hint="eastAsia" w:cs="宋体"/>
        </w:rPr>
        <w:t>项目名称：                      </w:t>
      </w:r>
    </w:p>
    <w:p w14:paraId="63B56868">
      <w:pPr>
        <w:spacing w:line="480" w:lineRule="exact"/>
        <w:rPr>
          <w:rFonts w:hint="eastAsia" w:ascii="仿宋" w:hAnsi="仿宋" w:eastAsia="仿宋"/>
          <w:sz w:val="27"/>
          <w:szCs w:val="27"/>
          <w:shd w:val="clear" w:color="auto" w:fill="FFFFFF"/>
        </w:rPr>
      </w:pPr>
      <w:r>
        <w:rPr>
          <w:rFonts w:hint="eastAsia" w:cs="宋体"/>
        </w:rPr>
        <w:t>项目编号：</w:t>
      </w:r>
    </w:p>
    <w:tbl>
      <w:tblPr>
        <w:tblStyle w:val="3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235B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7" w:type="dxa"/>
            <w:vAlign w:val="center"/>
          </w:tcPr>
          <w:p w14:paraId="41E0D8D0">
            <w:pPr>
              <w:spacing w:line="480" w:lineRule="exact"/>
              <w:jc w:val="center"/>
              <w:rPr>
                <w:b/>
                <w:bCs/>
              </w:rPr>
            </w:pPr>
            <w:r>
              <w:rPr>
                <w:rFonts w:hint="eastAsia" w:cs="宋体"/>
                <w:b/>
                <w:bCs/>
              </w:rPr>
              <w:t>序号</w:t>
            </w:r>
          </w:p>
        </w:tc>
        <w:tc>
          <w:tcPr>
            <w:tcW w:w="1491" w:type="dxa"/>
            <w:vAlign w:val="center"/>
          </w:tcPr>
          <w:p w14:paraId="72D89F61">
            <w:pPr>
              <w:spacing w:line="480" w:lineRule="exact"/>
              <w:jc w:val="center"/>
              <w:rPr>
                <w:b/>
                <w:bCs/>
              </w:rPr>
            </w:pPr>
            <w:r>
              <w:rPr>
                <w:rFonts w:hint="eastAsia" w:cs="宋体"/>
                <w:b/>
                <w:bCs/>
              </w:rPr>
              <w:t>审查项目</w:t>
            </w:r>
          </w:p>
        </w:tc>
        <w:tc>
          <w:tcPr>
            <w:tcW w:w="7514" w:type="dxa"/>
            <w:vAlign w:val="center"/>
          </w:tcPr>
          <w:p w14:paraId="22456C56">
            <w:pPr>
              <w:spacing w:line="480" w:lineRule="exact"/>
              <w:jc w:val="center"/>
              <w:rPr>
                <w:b/>
                <w:bCs/>
              </w:rPr>
            </w:pPr>
            <w:r>
              <w:rPr>
                <w:rFonts w:hint="eastAsia" w:cs="宋体"/>
                <w:b/>
                <w:bCs/>
              </w:rPr>
              <w:t>评审内容</w:t>
            </w:r>
          </w:p>
        </w:tc>
      </w:tr>
      <w:tr w14:paraId="3BAF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159018A">
            <w:pPr>
              <w:spacing w:line="320" w:lineRule="exact"/>
              <w:jc w:val="center"/>
              <w:rPr>
                <w:b/>
                <w:bCs/>
              </w:rPr>
            </w:pPr>
            <w:r>
              <w:rPr>
                <w:rFonts w:hint="eastAsia"/>
                <w:b/>
                <w:bCs/>
              </w:rPr>
              <w:t>1</w:t>
            </w:r>
          </w:p>
        </w:tc>
        <w:tc>
          <w:tcPr>
            <w:tcW w:w="1491" w:type="dxa"/>
            <w:vAlign w:val="center"/>
          </w:tcPr>
          <w:p w14:paraId="32221D4F">
            <w:pPr>
              <w:spacing w:line="320" w:lineRule="exact"/>
              <w:jc w:val="center"/>
              <w:rPr>
                <w:b/>
                <w:bCs/>
              </w:rPr>
            </w:pPr>
            <w:r>
              <w:rPr>
                <w:rFonts w:hint="eastAsia" w:cs="宋体"/>
                <w:b/>
                <w:bCs/>
              </w:rPr>
              <w:t>投标文件的有效性</w:t>
            </w:r>
          </w:p>
        </w:tc>
        <w:tc>
          <w:tcPr>
            <w:tcW w:w="7514" w:type="dxa"/>
            <w:vAlign w:val="center"/>
          </w:tcPr>
          <w:p w14:paraId="4CE64FBB">
            <w:pPr>
              <w:spacing w:line="360" w:lineRule="exact"/>
            </w:pPr>
            <w:r>
              <w:rPr>
                <w:rFonts w:hint="eastAsia" w:cs="宋体"/>
              </w:rPr>
              <w:t>是否符合投标文件的式样和签署要求且内容完整无缺漏</w:t>
            </w:r>
          </w:p>
        </w:tc>
      </w:tr>
      <w:tr w14:paraId="21A5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14A7766">
            <w:pPr>
              <w:spacing w:line="320" w:lineRule="exact"/>
              <w:jc w:val="center"/>
              <w:rPr>
                <w:b/>
                <w:bCs/>
              </w:rPr>
            </w:pPr>
            <w:r>
              <w:rPr>
                <w:rFonts w:hint="eastAsia"/>
                <w:b/>
                <w:bCs/>
              </w:rPr>
              <w:t>2</w:t>
            </w:r>
          </w:p>
        </w:tc>
        <w:tc>
          <w:tcPr>
            <w:tcW w:w="1491" w:type="dxa"/>
            <w:vAlign w:val="center"/>
          </w:tcPr>
          <w:p w14:paraId="2CBAE7C6">
            <w:pPr>
              <w:spacing w:line="480" w:lineRule="exact"/>
              <w:jc w:val="center"/>
              <w:rPr>
                <w:b/>
                <w:bCs/>
              </w:rPr>
            </w:pPr>
            <w:r>
              <w:rPr>
                <w:rFonts w:hint="eastAsia" w:cs="宋体"/>
                <w:b/>
                <w:bCs/>
              </w:rPr>
              <w:t>投标有效期</w:t>
            </w:r>
          </w:p>
        </w:tc>
        <w:tc>
          <w:tcPr>
            <w:tcW w:w="7514" w:type="dxa"/>
            <w:vAlign w:val="center"/>
          </w:tcPr>
          <w:p w14:paraId="7577C246">
            <w:pPr>
              <w:spacing w:line="480" w:lineRule="exact"/>
            </w:pPr>
            <w:r>
              <w:rPr>
                <w:rFonts w:hint="eastAsia" w:cs="宋体"/>
              </w:rPr>
              <w:t>投标有效期是否满足90天</w:t>
            </w:r>
          </w:p>
        </w:tc>
      </w:tr>
      <w:tr w14:paraId="4557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47" w:type="dxa"/>
            <w:vAlign w:val="center"/>
          </w:tcPr>
          <w:p w14:paraId="0FCD7581">
            <w:pPr>
              <w:spacing w:line="320" w:lineRule="exact"/>
              <w:jc w:val="center"/>
              <w:rPr>
                <w:b/>
                <w:bCs/>
              </w:rPr>
            </w:pPr>
            <w:r>
              <w:rPr>
                <w:rFonts w:hint="eastAsia"/>
                <w:b/>
                <w:bCs/>
              </w:rPr>
              <w:t>3</w:t>
            </w:r>
          </w:p>
        </w:tc>
        <w:tc>
          <w:tcPr>
            <w:tcW w:w="1491" w:type="dxa"/>
            <w:vAlign w:val="center"/>
          </w:tcPr>
          <w:p w14:paraId="12CAFCC0">
            <w:pPr>
              <w:spacing w:line="360" w:lineRule="exact"/>
              <w:jc w:val="center"/>
              <w:rPr>
                <w:b/>
                <w:bCs/>
              </w:rPr>
            </w:pPr>
            <w:r>
              <w:rPr>
                <w:rFonts w:hint="eastAsia" w:cs="宋体"/>
                <w:b/>
                <w:bCs/>
              </w:rPr>
              <w:t>投标价</w:t>
            </w:r>
          </w:p>
        </w:tc>
        <w:tc>
          <w:tcPr>
            <w:tcW w:w="7514" w:type="dxa"/>
            <w:vAlign w:val="center"/>
          </w:tcPr>
          <w:p w14:paraId="1ED62575">
            <w:pPr>
              <w:spacing w:line="360" w:lineRule="exact"/>
            </w:pPr>
            <w:r>
              <w:rPr>
                <w:rFonts w:hint="eastAsia" w:cs="宋体"/>
              </w:rPr>
              <w:t>投标价是否唯一且不超过采购预算</w:t>
            </w:r>
          </w:p>
        </w:tc>
      </w:tr>
      <w:tr w14:paraId="0CD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ABC61D2">
            <w:pPr>
              <w:spacing w:line="320" w:lineRule="exact"/>
              <w:jc w:val="center"/>
              <w:rPr>
                <w:b/>
                <w:bCs/>
              </w:rPr>
            </w:pPr>
            <w:r>
              <w:rPr>
                <w:rFonts w:hint="eastAsia"/>
                <w:b/>
                <w:bCs/>
              </w:rPr>
              <w:t>4</w:t>
            </w:r>
          </w:p>
        </w:tc>
        <w:tc>
          <w:tcPr>
            <w:tcW w:w="1491" w:type="dxa"/>
            <w:vAlign w:val="center"/>
          </w:tcPr>
          <w:p w14:paraId="43D100E4">
            <w:pPr>
              <w:spacing w:line="360" w:lineRule="exact"/>
              <w:jc w:val="center"/>
              <w:rPr>
                <w:b/>
                <w:bCs/>
              </w:rPr>
            </w:pPr>
            <w:r>
              <w:rPr>
                <w:rFonts w:hint="eastAsia" w:cs="宋体"/>
                <w:b/>
                <w:bCs/>
              </w:rPr>
              <w:t>服务期</w:t>
            </w:r>
          </w:p>
        </w:tc>
        <w:tc>
          <w:tcPr>
            <w:tcW w:w="7514" w:type="dxa"/>
            <w:vAlign w:val="center"/>
          </w:tcPr>
          <w:p w14:paraId="341C5D50">
            <w:pPr>
              <w:spacing w:line="360" w:lineRule="exact"/>
            </w:pPr>
            <w:r>
              <w:rPr>
                <w:rFonts w:hint="eastAsia" w:cs="宋体"/>
              </w:rPr>
              <w:t>是否按照招标文件规定时间</w:t>
            </w:r>
          </w:p>
        </w:tc>
      </w:tr>
      <w:tr w14:paraId="32F8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4061E60">
            <w:pPr>
              <w:spacing w:line="320" w:lineRule="exact"/>
              <w:jc w:val="center"/>
              <w:rPr>
                <w:b/>
                <w:bCs/>
              </w:rPr>
            </w:pPr>
            <w:r>
              <w:rPr>
                <w:rFonts w:hint="eastAsia"/>
                <w:b/>
                <w:bCs/>
              </w:rPr>
              <w:t>5</w:t>
            </w:r>
          </w:p>
        </w:tc>
        <w:tc>
          <w:tcPr>
            <w:tcW w:w="1491" w:type="dxa"/>
            <w:vAlign w:val="center"/>
          </w:tcPr>
          <w:p w14:paraId="71E1254A">
            <w:pPr>
              <w:spacing w:line="360" w:lineRule="exact"/>
              <w:jc w:val="center"/>
              <w:rPr>
                <w:b/>
                <w:bCs/>
              </w:rPr>
            </w:pPr>
            <w:r>
              <w:rPr>
                <w:rFonts w:hint="eastAsia" w:cs="宋体"/>
                <w:b/>
                <w:bCs/>
              </w:rPr>
              <w:t>其它</w:t>
            </w:r>
          </w:p>
        </w:tc>
        <w:tc>
          <w:tcPr>
            <w:tcW w:w="7514" w:type="dxa"/>
            <w:vAlign w:val="center"/>
          </w:tcPr>
          <w:p w14:paraId="438555F0">
            <w:pPr>
              <w:spacing w:line="360" w:lineRule="exact"/>
            </w:pPr>
            <w:r>
              <w:rPr>
                <w:rFonts w:hint="eastAsia" w:cs="宋体"/>
              </w:rPr>
              <w:t>无其它符合招标文件中或相关法律法规规定的无效投标认定条件</w:t>
            </w:r>
          </w:p>
        </w:tc>
      </w:tr>
      <w:tr w14:paraId="70D1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52" w:type="dxa"/>
            <w:gridSpan w:val="3"/>
            <w:vAlign w:val="center"/>
          </w:tcPr>
          <w:p w14:paraId="177DBF12">
            <w:pPr>
              <w:spacing w:line="480" w:lineRule="exact"/>
              <w:jc w:val="center"/>
            </w:pPr>
            <w:r>
              <w:rPr>
                <w:rFonts w:hint="eastAsia" w:cs="宋体"/>
                <w:b/>
                <w:bCs/>
              </w:rPr>
              <w:t>结论</w:t>
            </w:r>
          </w:p>
        </w:tc>
      </w:tr>
    </w:tbl>
    <w:p w14:paraId="5F3F9E54">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576"/>
        <w:gridCol w:w="486"/>
        <w:gridCol w:w="6725"/>
        <w:gridCol w:w="756"/>
      </w:tblGrid>
      <w:tr w14:paraId="0127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0" w:type="auto"/>
            <w:tcBorders>
              <w:top w:val="single" w:color="auto" w:sz="4" w:space="0"/>
              <w:left w:val="single" w:color="auto" w:sz="4" w:space="0"/>
              <w:right w:val="single" w:color="auto" w:sz="4" w:space="0"/>
            </w:tcBorders>
            <w:vAlign w:val="center"/>
          </w:tcPr>
          <w:p w14:paraId="0F9F434C">
            <w:pPr>
              <w:jc w:val="center"/>
              <w:rPr>
                <w:rFonts w:hint="eastAsia" w:ascii="宋体" w:hAnsi="宋体" w:cs="宋体"/>
                <w:bCs/>
                <w:sz w:val="18"/>
                <w:szCs w:val="18"/>
              </w:rPr>
            </w:pPr>
            <w:r>
              <w:rPr>
                <w:rFonts w:hint="eastAsia" w:ascii="宋体" w:hAnsi="宋体" w:cs="宋体"/>
                <w:bCs/>
                <w:sz w:val="18"/>
                <w:szCs w:val="18"/>
              </w:rPr>
              <w:t>序号</w:t>
            </w:r>
          </w:p>
        </w:tc>
        <w:tc>
          <w:tcPr>
            <w:tcW w:w="0" w:type="auto"/>
            <w:tcBorders>
              <w:top w:val="single" w:color="auto" w:sz="4" w:space="0"/>
              <w:left w:val="single" w:color="auto" w:sz="4" w:space="0"/>
              <w:right w:val="single" w:color="auto" w:sz="4" w:space="0"/>
            </w:tcBorders>
            <w:vAlign w:val="center"/>
          </w:tcPr>
          <w:p w14:paraId="7EDE7C0E">
            <w:pPr>
              <w:jc w:val="center"/>
              <w:rPr>
                <w:rFonts w:hint="eastAsia" w:ascii="宋体" w:hAnsi="宋体" w:cs="宋体"/>
                <w:bCs/>
                <w:sz w:val="18"/>
                <w:szCs w:val="18"/>
              </w:rPr>
            </w:pPr>
            <w:r>
              <w:rPr>
                <w:rFonts w:hint="eastAsia" w:ascii="宋体" w:hAnsi="宋体" w:cs="宋体"/>
                <w:bCs/>
                <w:sz w:val="18"/>
                <w:szCs w:val="18"/>
              </w:rPr>
              <w:t>评审项目</w:t>
            </w:r>
          </w:p>
        </w:tc>
        <w:tc>
          <w:tcPr>
            <w:tcW w:w="0" w:type="auto"/>
            <w:tcBorders>
              <w:top w:val="single" w:color="auto" w:sz="4" w:space="0"/>
              <w:left w:val="single" w:color="auto" w:sz="4" w:space="0"/>
              <w:right w:val="single" w:color="auto" w:sz="4" w:space="0"/>
            </w:tcBorders>
            <w:vAlign w:val="center"/>
          </w:tcPr>
          <w:p w14:paraId="4DB106F8">
            <w:pPr>
              <w:jc w:val="center"/>
              <w:rPr>
                <w:rFonts w:hint="eastAsia" w:ascii="宋体" w:hAnsi="宋体" w:cs="宋体"/>
                <w:bCs/>
                <w:sz w:val="18"/>
                <w:szCs w:val="18"/>
              </w:rPr>
            </w:pPr>
            <w:r>
              <w:rPr>
                <w:rFonts w:hint="eastAsia" w:ascii="宋体" w:hAnsi="宋体" w:cs="宋体"/>
                <w:bCs/>
                <w:sz w:val="18"/>
                <w:szCs w:val="18"/>
              </w:rPr>
              <w:t>分配</w:t>
            </w:r>
          </w:p>
          <w:p w14:paraId="0DD9FE47">
            <w:pPr>
              <w:jc w:val="center"/>
              <w:rPr>
                <w:rFonts w:hint="eastAsia" w:ascii="宋体" w:hAnsi="宋体" w:cs="宋体"/>
                <w:bCs/>
                <w:sz w:val="18"/>
                <w:szCs w:val="18"/>
              </w:rPr>
            </w:pPr>
            <w:r>
              <w:rPr>
                <w:rFonts w:hint="eastAsia" w:ascii="宋体" w:hAnsi="宋体" w:cs="宋体"/>
                <w:bCs/>
                <w:sz w:val="18"/>
                <w:szCs w:val="18"/>
              </w:rPr>
              <w:t>分数</w:t>
            </w:r>
          </w:p>
        </w:tc>
        <w:tc>
          <w:tcPr>
            <w:tcW w:w="0" w:type="auto"/>
            <w:tcBorders>
              <w:top w:val="single" w:color="auto" w:sz="4" w:space="0"/>
              <w:left w:val="single" w:color="auto" w:sz="4" w:space="0"/>
              <w:right w:val="single" w:color="auto" w:sz="4" w:space="0"/>
            </w:tcBorders>
            <w:vAlign w:val="center"/>
          </w:tcPr>
          <w:p w14:paraId="6DCA5ABB">
            <w:pPr>
              <w:jc w:val="center"/>
              <w:rPr>
                <w:rFonts w:hint="eastAsia" w:ascii="宋体" w:hAnsi="宋体" w:cs="宋体"/>
                <w:sz w:val="18"/>
                <w:szCs w:val="18"/>
              </w:rPr>
            </w:pPr>
            <w:r>
              <w:rPr>
                <w:rFonts w:hint="eastAsia" w:ascii="宋体" w:hAnsi="宋体" w:cs="宋体"/>
                <w:bCs/>
                <w:sz w:val="18"/>
                <w:szCs w:val="18"/>
              </w:rPr>
              <w:t>评议内容</w:t>
            </w:r>
          </w:p>
        </w:tc>
        <w:tc>
          <w:tcPr>
            <w:tcW w:w="0" w:type="auto"/>
            <w:tcBorders>
              <w:top w:val="single" w:color="auto" w:sz="4" w:space="0"/>
              <w:left w:val="single" w:color="auto" w:sz="4" w:space="0"/>
              <w:bottom w:val="single" w:color="auto" w:sz="4" w:space="0"/>
              <w:right w:val="single" w:color="auto" w:sz="4" w:space="0"/>
            </w:tcBorders>
            <w:vAlign w:val="center"/>
          </w:tcPr>
          <w:p w14:paraId="0B9DFEEB">
            <w:pPr>
              <w:jc w:val="center"/>
              <w:rPr>
                <w:rFonts w:hint="eastAsia" w:ascii="宋体" w:hAnsi="宋体" w:cs="宋体"/>
                <w:sz w:val="18"/>
                <w:szCs w:val="18"/>
              </w:rPr>
            </w:pPr>
            <w:r>
              <w:rPr>
                <w:rFonts w:hint="eastAsia" w:ascii="宋体" w:hAnsi="宋体" w:cs="宋体"/>
                <w:sz w:val="18"/>
                <w:szCs w:val="18"/>
              </w:rPr>
              <w:t>投标人</w:t>
            </w:r>
          </w:p>
        </w:tc>
      </w:tr>
      <w:tr w14:paraId="490B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0" w:type="auto"/>
            <w:tcBorders>
              <w:left w:val="single" w:color="auto" w:sz="4" w:space="0"/>
              <w:bottom w:val="single" w:color="auto" w:sz="4" w:space="0"/>
              <w:right w:val="single" w:color="auto" w:sz="4" w:space="0"/>
            </w:tcBorders>
            <w:vAlign w:val="center"/>
          </w:tcPr>
          <w:p w14:paraId="722D0EDF">
            <w:pPr>
              <w:jc w:val="center"/>
              <w:rPr>
                <w:rFonts w:hint="eastAsia" w:ascii="宋体" w:hAnsi="宋体" w:cs="宋体"/>
                <w:sz w:val="18"/>
                <w:szCs w:val="18"/>
              </w:rPr>
            </w:pPr>
            <w:r>
              <w:rPr>
                <w:rFonts w:hint="eastAsia" w:ascii="宋体" w:hAnsi="宋体" w:cs="宋体"/>
                <w:sz w:val="18"/>
                <w:szCs w:val="18"/>
              </w:rPr>
              <w:t>1</w:t>
            </w:r>
          </w:p>
        </w:tc>
        <w:tc>
          <w:tcPr>
            <w:tcW w:w="0" w:type="auto"/>
            <w:tcBorders>
              <w:left w:val="single" w:color="auto" w:sz="4" w:space="0"/>
              <w:bottom w:val="single" w:color="auto" w:sz="4" w:space="0"/>
              <w:right w:val="single" w:color="auto" w:sz="4" w:space="0"/>
            </w:tcBorders>
            <w:vAlign w:val="center"/>
          </w:tcPr>
          <w:p w14:paraId="09F9817A">
            <w:pPr>
              <w:jc w:val="center"/>
              <w:rPr>
                <w:rFonts w:hint="eastAsia" w:ascii="宋体" w:hAnsi="宋体" w:cs="宋体"/>
                <w:color w:val="FF0000"/>
                <w:sz w:val="18"/>
                <w:szCs w:val="18"/>
                <w:lang w:val="zh-CN"/>
              </w:rPr>
            </w:pPr>
            <w:r>
              <w:rPr>
                <w:rFonts w:hint="eastAsia" w:ascii="宋体" w:hAnsi="宋体" w:cs="宋体"/>
                <w:sz w:val="18"/>
                <w:szCs w:val="18"/>
                <w:lang w:val="zh-CN"/>
              </w:rPr>
              <w:t>项目重点响应程度</w:t>
            </w:r>
          </w:p>
        </w:tc>
        <w:tc>
          <w:tcPr>
            <w:tcW w:w="0" w:type="auto"/>
            <w:tcBorders>
              <w:left w:val="single" w:color="auto" w:sz="4" w:space="0"/>
              <w:bottom w:val="single" w:color="auto" w:sz="4" w:space="0"/>
              <w:right w:val="single" w:color="auto" w:sz="4" w:space="0"/>
            </w:tcBorders>
            <w:vAlign w:val="center"/>
          </w:tcPr>
          <w:p w14:paraId="1CF2B47E">
            <w:pPr>
              <w:jc w:val="center"/>
              <w:rPr>
                <w:rFonts w:hint="eastAsia" w:ascii="宋体" w:hAnsi="宋体" w:cs="宋体"/>
                <w:bCs/>
                <w:color w:val="FF0000"/>
                <w:sz w:val="18"/>
                <w:szCs w:val="18"/>
              </w:rPr>
            </w:pPr>
            <w:r>
              <w:rPr>
                <w:rFonts w:hint="eastAsia" w:ascii="宋体" w:hAnsi="宋体" w:cs="宋体"/>
                <w:bCs/>
                <w:sz w:val="18"/>
                <w:szCs w:val="18"/>
              </w:rPr>
              <w:t>15</w:t>
            </w:r>
          </w:p>
        </w:tc>
        <w:tc>
          <w:tcPr>
            <w:tcW w:w="0" w:type="auto"/>
            <w:tcBorders>
              <w:left w:val="single" w:color="auto" w:sz="4" w:space="0"/>
              <w:bottom w:val="single" w:color="auto" w:sz="4" w:space="0"/>
              <w:right w:val="single" w:color="auto" w:sz="4" w:space="0"/>
            </w:tcBorders>
            <w:vAlign w:val="center"/>
          </w:tcPr>
          <w:p w14:paraId="43D3AA16">
            <w:pPr>
              <w:ind w:left="34" w:leftChars="16"/>
              <w:jc w:val="left"/>
              <w:rPr>
                <w:rFonts w:hint="eastAsia" w:ascii="宋体" w:hAnsi="宋体" w:cs="宋体"/>
                <w:sz w:val="18"/>
                <w:szCs w:val="18"/>
              </w:rPr>
            </w:pPr>
            <w:r>
              <w:rPr>
                <w:rFonts w:hint="eastAsia" w:ascii="宋体" w:hAnsi="宋体" w:cs="宋体"/>
                <w:sz w:val="18"/>
                <w:szCs w:val="18"/>
              </w:rPr>
              <w:t>针对投标人的投标文件内提供实施本项目的安全生产防护方案拟投入特种工作人员名单及其资质证明材料，进行评审：</w:t>
            </w:r>
          </w:p>
          <w:p w14:paraId="7046ABCC">
            <w:pPr>
              <w:rPr>
                <w:rFonts w:hint="eastAsia" w:ascii="宋体" w:hAnsi="宋体"/>
                <w:color w:val="000000"/>
                <w:sz w:val="18"/>
                <w:szCs w:val="18"/>
              </w:rPr>
            </w:pPr>
            <w:r>
              <w:rPr>
                <w:rFonts w:hint="eastAsia" w:ascii="宋体" w:hAnsi="宋体"/>
                <w:sz w:val="18"/>
                <w:szCs w:val="18"/>
              </w:rPr>
              <w:t>优：对本项目的工作重点</w:t>
            </w:r>
            <w:r>
              <w:rPr>
                <w:rFonts w:hint="eastAsia" w:ascii="宋体" w:hAnsi="宋体"/>
                <w:color w:val="000000"/>
                <w:sz w:val="18"/>
                <w:szCs w:val="18"/>
              </w:rPr>
              <w:t>、难点的理解和认识清晰准确，并具有较强系统性和可操作性，得15分；</w:t>
            </w:r>
          </w:p>
          <w:p w14:paraId="2FE3D4BD">
            <w:pPr>
              <w:ind w:left="360" w:hanging="360" w:hangingChars="200"/>
              <w:rPr>
                <w:rFonts w:hint="eastAsia" w:ascii="宋体" w:hAnsi="宋体"/>
                <w:color w:val="000000"/>
                <w:sz w:val="18"/>
                <w:szCs w:val="18"/>
              </w:rPr>
            </w:pPr>
            <w:r>
              <w:rPr>
                <w:rFonts w:hint="eastAsia" w:ascii="宋体" w:hAnsi="宋体"/>
                <w:color w:val="000000"/>
                <w:sz w:val="18"/>
                <w:szCs w:val="18"/>
              </w:rPr>
              <w:t>良：对本项目的工作重点、难点的理解和认识较清晰准确，具有一定的系统性和可操作性，得</w:t>
            </w:r>
            <w:r>
              <w:rPr>
                <w:rFonts w:hint="eastAsia" w:ascii="宋体" w:hAnsi="宋体" w:cs="宋体"/>
                <w:color w:val="000000"/>
                <w:sz w:val="18"/>
                <w:szCs w:val="18"/>
              </w:rPr>
              <w:t>10分</w:t>
            </w:r>
            <w:r>
              <w:rPr>
                <w:rFonts w:hint="eastAsia" w:ascii="宋体" w:hAnsi="宋体"/>
                <w:color w:val="000000"/>
                <w:sz w:val="18"/>
                <w:szCs w:val="18"/>
              </w:rPr>
              <w:t>；</w:t>
            </w:r>
          </w:p>
          <w:p w14:paraId="3A13260B">
            <w:pPr>
              <w:ind w:left="360" w:hanging="360" w:hangingChars="200"/>
              <w:rPr>
                <w:rFonts w:hint="eastAsia" w:ascii="宋体" w:hAnsi="宋体" w:cs="宋体"/>
                <w:b/>
                <w:bCs/>
                <w:color w:val="FF0000"/>
                <w:sz w:val="18"/>
                <w:szCs w:val="18"/>
              </w:rPr>
            </w:pPr>
            <w:r>
              <w:rPr>
                <w:rFonts w:hint="eastAsia" w:ascii="宋体" w:hAnsi="宋体"/>
                <w:color w:val="000000"/>
                <w:sz w:val="18"/>
                <w:szCs w:val="18"/>
              </w:rPr>
              <w:t>中：对本项目的工作重点、难点的理解和认识基本准确，系统性和可操作性一般，</w:t>
            </w:r>
            <w:r>
              <w:rPr>
                <w:rFonts w:hint="eastAsia" w:ascii="宋体" w:hAnsi="宋体" w:cs="宋体"/>
                <w:color w:val="000000"/>
                <w:sz w:val="18"/>
                <w:szCs w:val="18"/>
              </w:rPr>
              <w:t>5分；</w:t>
            </w:r>
          </w:p>
        </w:tc>
        <w:tc>
          <w:tcPr>
            <w:tcW w:w="0" w:type="auto"/>
            <w:tcBorders>
              <w:top w:val="single" w:color="auto" w:sz="4" w:space="0"/>
              <w:left w:val="single" w:color="auto" w:sz="4" w:space="0"/>
              <w:bottom w:val="single" w:color="auto" w:sz="4" w:space="0"/>
              <w:right w:val="single" w:color="auto" w:sz="4" w:space="0"/>
            </w:tcBorders>
            <w:vAlign w:val="center"/>
          </w:tcPr>
          <w:p w14:paraId="31CAC9CA">
            <w:pPr>
              <w:jc w:val="center"/>
              <w:rPr>
                <w:rFonts w:hint="eastAsia" w:ascii="宋体" w:hAnsi="宋体" w:cs="宋体"/>
                <w:sz w:val="18"/>
                <w:szCs w:val="18"/>
                <w:highlight w:val="yellow"/>
              </w:rPr>
            </w:pPr>
          </w:p>
        </w:tc>
      </w:tr>
      <w:tr w14:paraId="0B01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0" w:type="auto"/>
            <w:tcBorders>
              <w:left w:val="single" w:color="auto" w:sz="4" w:space="0"/>
              <w:bottom w:val="single" w:color="auto" w:sz="4" w:space="0"/>
              <w:right w:val="single" w:color="auto" w:sz="4" w:space="0"/>
            </w:tcBorders>
            <w:vAlign w:val="center"/>
          </w:tcPr>
          <w:p w14:paraId="487D9D1E">
            <w:pPr>
              <w:jc w:val="center"/>
              <w:rPr>
                <w:rFonts w:hint="eastAsia" w:ascii="宋体" w:hAnsi="宋体" w:cs="宋体"/>
                <w:sz w:val="18"/>
                <w:szCs w:val="18"/>
              </w:rPr>
            </w:pPr>
            <w:r>
              <w:rPr>
                <w:rFonts w:hint="eastAsia" w:ascii="宋体" w:hAnsi="宋体" w:cs="宋体"/>
                <w:sz w:val="18"/>
                <w:szCs w:val="18"/>
              </w:rPr>
              <w:t>2</w:t>
            </w:r>
          </w:p>
        </w:tc>
        <w:tc>
          <w:tcPr>
            <w:tcW w:w="0" w:type="auto"/>
            <w:tcBorders>
              <w:left w:val="single" w:color="auto" w:sz="4" w:space="0"/>
              <w:bottom w:val="single" w:color="auto" w:sz="4" w:space="0"/>
              <w:right w:val="single" w:color="auto" w:sz="4" w:space="0"/>
            </w:tcBorders>
            <w:vAlign w:val="center"/>
          </w:tcPr>
          <w:p w14:paraId="4FC152B4">
            <w:pPr>
              <w:jc w:val="center"/>
              <w:rPr>
                <w:rFonts w:hint="eastAsia" w:ascii="宋体" w:hAnsi="宋体" w:cs="宋体"/>
                <w:sz w:val="18"/>
                <w:szCs w:val="18"/>
              </w:rPr>
            </w:pPr>
            <w:r>
              <w:rPr>
                <w:rFonts w:hint="eastAsia" w:ascii="宋体" w:hAnsi="宋体" w:cs="宋体"/>
                <w:sz w:val="18"/>
                <w:szCs w:val="18"/>
              </w:rPr>
              <w:t>信用报告</w:t>
            </w:r>
          </w:p>
        </w:tc>
        <w:tc>
          <w:tcPr>
            <w:tcW w:w="0" w:type="auto"/>
            <w:tcBorders>
              <w:left w:val="single" w:color="auto" w:sz="4" w:space="0"/>
              <w:bottom w:val="single" w:color="auto" w:sz="4" w:space="0"/>
              <w:right w:val="single" w:color="auto" w:sz="4" w:space="0"/>
            </w:tcBorders>
            <w:vAlign w:val="center"/>
          </w:tcPr>
          <w:p w14:paraId="39B11720">
            <w:pPr>
              <w:jc w:val="center"/>
              <w:rPr>
                <w:rFonts w:hint="eastAsia" w:ascii="宋体" w:hAnsi="宋体" w:cs="宋体"/>
                <w:bCs/>
                <w:sz w:val="18"/>
                <w:szCs w:val="18"/>
              </w:rPr>
            </w:pPr>
            <w:r>
              <w:rPr>
                <w:rFonts w:hint="eastAsia" w:ascii="宋体" w:hAnsi="宋体" w:cs="宋体"/>
                <w:bCs/>
                <w:sz w:val="18"/>
                <w:szCs w:val="18"/>
              </w:rPr>
              <w:t>5</w:t>
            </w:r>
          </w:p>
        </w:tc>
        <w:tc>
          <w:tcPr>
            <w:tcW w:w="0" w:type="auto"/>
            <w:tcBorders>
              <w:left w:val="single" w:color="auto" w:sz="4" w:space="0"/>
              <w:bottom w:val="single" w:color="auto" w:sz="4" w:space="0"/>
              <w:right w:val="single" w:color="auto" w:sz="4" w:space="0"/>
            </w:tcBorders>
            <w:vAlign w:val="center"/>
          </w:tcPr>
          <w:p w14:paraId="4AE09045">
            <w:pPr>
              <w:ind w:left="34" w:leftChars="16"/>
              <w:jc w:val="left"/>
              <w:rPr>
                <w:rFonts w:hint="eastAsia" w:ascii="宋体" w:hAnsi="宋体" w:cs="宋体"/>
                <w:sz w:val="18"/>
                <w:szCs w:val="18"/>
              </w:rPr>
            </w:pPr>
            <w:r>
              <w:rPr>
                <w:rFonts w:hint="eastAsia" w:ascii="宋体" w:hAnsi="宋体" w:cs="宋体"/>
                <w:sz w:val="18"/>
                <w:szCs w:val="18"/>
              </w:rPr>
              <w:t>提供由中国人民银行征信中心或合法第三方信用服务机构出具的有效的企业信用报告或信用记录的，得5分，没有不得分。【注：以提供中国人民银行征信中心或合法的第三方信用服务机构出具的信用记录或信用报告为准；第三方信用服务机构是指按照相关法律法规的规定的监管部门或行业主管部门（中国人民银行等部门）进行备案的机构，出具信用报告或记录时须附信用服务机构的备案证明（中国人民银行征信中心出具信用报告或记录的，不需要附备案证明），没有备案证明不得分。投标文件中提供相关复印件加盖投标人公章。】</w:t>
            </w:r>
          </w:p>
        </w:tc>
        <w:tc>
          <w:tcPr>
            <w:tcW w:w="0" w:type="auto"/>
            <w:tcBorders>
              <w:top w:val="single" w:color="auto" w:sz="4" w:space="0"/>
              <w:left w:val="single" w:color="auto" w:sz="4" w:space="0"/>
              <w:bottom w:val="single" w:color="auto" w:sz="4" w:space="0"/>
              <w:right w:val="single" w:color="auto" w:sz="4" w:space="0"/>
            </w:tcBorders>
            <w:vAlign w:val="center"/>
          </w:tcPr>
          <w:p w14:paraId="038BC375">
            <w:pPr>
              <w:jc w:val="center"/>
              <w:rPr>
                <w:rFonts w:hint="eastAsia" w:ascii="宋体" w:hAnsi="宋体" w:cs="宋体"/>
                <w:sz w:val="18"/>
                <w:szCs w:val="18"/>
              </w:rPr>
            </w:pPr>
          </w:p>
        </w:tc>
      </w:tr>
      <w:tr w14:paraId="27F5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0" w:type="auto"/>
            <w:tcBorders>
              <w:left w:val="single" w:color="auto" w:sz="4" w:space="0"/>
              <w:bottom w:val="single" w:color="auto" w:sz="4" w:space="0"/>
              <w:right w:val="single" w:color="auto" w:sz="4" w:space="0"/>
            </w:tcBorders>
            <w:vAlign w:val="center"/>
          </w:tcPr>
          <w:p w14:paraId="51CD8A52">
            <w:pPr>
              <w:jc w:val="center"/>
              <w:rPr>
                <w:rFonts w:hint="eastAsia" w:ascii="宋体" w:hAnsi="宋体" w:cs="宋体"/>
                <w:sz w:val="18"/>
                <w:szCs w:val="18"/>
              </w:rPr>
            </w:pPr>
            <w:r>
              <w:rPr>
                <w:rFonts w:hint="eastAsia" w:ascii="宋体" w:hAnsi="宋体" w:cs="宋体"/>
                <w:sz w:val="18"/>
                <w:szCs w:val="18"/>
              </w:rPr>
              <w:t>3</w:t>
            </w:r>
          </w:p>
        </w:tc>
        <w:tc>
          <w:tcPr>
            <w:tcW w:w="0" w:type="auto"/>
            <w:tcBorders>
              <w:left w:val="single" w:color="auto" w:sz="4" w:space="0"/>
              <w:bottom w:val="single" w:color="auto" w:sz="4" w:space="0"/>
              <w:right w:val="single" w:color="auto" w:sz="4" w:space="0"/>
            </w:tcBorders>
            <w:vAlign w:val="center"/>
          </w:tcPr>
          <w:p w14:paraId="6469E6F6">
            <w:pPr>
              <w:jc w:val="center"/>
              <w:rPr>
                <w:rFonts w:hint="eastAsia" w:ascii="宋体" w:hAnsi="宋体" w:cs="宋体"/>
                <w:sz w:val="18"/>
                <w:szCs w:val="18"/>
              </w:rPr>
            </w:pPr>
            <w:r>
              <w:rPr>
                <w:rFonts w:hint="eastAsia" w:ascii="宋体" w:hAnsi="宋体" w:cs="宋体"/>
                <w:sz w:val="18"/>
                <w:szCs w:val="18"/>
              </w:rPr>
              <w:t>技术专利</w:t>
            </w:r>
          </w:p>
        </w:tc>
        <w:tc>
          <w:tcPr>
            <w:tcW w:w="0" w:type="auto"/>
            <w:tcBorders>
              <w:left w:val="single" w:color="auto" w:sz="4" w:space="0"/>
              <w:bottom w:val="single" w:color="auto" w:sz="4" w:space="0"/>
              <w:right w:val="single" w:color="auto" w:sz="4" w:space="0"/>
            </w:tcBorders>
            <w:vAlign w:val="center"/>
          </w:tcPr>
          <w:p w14:paraId="1CED5DBB">
            <w:pPr>
              <w:jc w:val="center"/>
              <w:rPr>
                <w:rFonts w:hint="eastAsia" w:ascii="宋体" w:hAnsi="宋体" w:cs="宋体"/>
                <w:bCs/>
                <w:sz w:val="18"/>
                <w:szCs w:val="18"/>
              </w:rPr>
            </w:pPr>
            <w:r>
              <w:rPr>
                <w:rFonts w:hint="eastAsia" w:ascii="宋体" w:hAnsi="宋体" w:cs="宋体"/>
                <w:bCs/>
                <w:sz w:val="18"/>
                <w:szCs w:val="18"/>
              </w:rPr>
              <w:t>10</w:t>
            </w:r>
          </w:p>
        </w:tc>
        <w:tc>
          <w:tcPr>
            <w:tcW w:w="0" w:type="auto"/>
            <w:tcBorders>
              <w:left w:val="single" w:color="auto" w:sz="4" w:space="0"/>
              <w:bottom w:val="single" w:color="auto" w:sz="4" w:space="0"/>
              <w:right w:val="single" w:color="auto" w:sz="4" w:space="0"/>
            </w:tcBorders>
            <w:vAlign w:val="center"/>
          </w:tcPr>
          <w:p w14:paraId="32015B82">
            <w:pPr>
              <w:jc w:val="left"/>
              <w:rPr>
                <w:rFonts w:hint="eastAsia" w:ascii="宋体" w:hAnsi="宋体" w:cs="宋体"/>
                <w:sz w:val="18"/>
                <w:szCs w:val="18"/>
              </w:rPr>
            </w:pPr>
            <w:r>
              <w:rPr>
                <w:rFonts w:hint="eastAsia" w:ascii="宋体" w:hAnsi="宋体" w:cs="宋体"/>
                <w:sz w:val="18"/>
                <w:szCs w:val="18"/>
              </w:rPr>
              <w:t>投标人具有绿色储粮空调或低温设备等相关发明或实用新型专利证书，每获得一项得2分，最多得10分。</w:t>
            </w:r>
          </w:p>
          <w:p w14:paraId="471BF207">
            <w:pPr>
              <w:jc w:val="left"/>
              <w:rPr>
                <w:rFonts w:hint="eastAsia" w:ascii="宋体" w:hAnsi="宋体" w:cs="宋体"/>
                <w:sz w:val="18"/>
                <w:szCs w:val="18"/>
              </w:rPr>
            </w:pPr>
            <w:r>
              <w:rPr>
                <w:rFonts w:hint="eastAsia" w:ascii="宋体" w:hAnsi="宋体" w:cs="宋体"/>
                <w:b/>
                <w:bCs/>
                <w:sz w:val="18"/>
                <w:szCs w:val="18"/>
              </w:rPr>
              <w:t>注：投标文件中提供相关复印件</w:t>
            </w:r>
            <w:r>
              <w:rPr>
                <w:rFonts w:ascii="宋体" w:hAnsi="宋体" w:cs="宋体"/>
                <w:b/>
                <w:bCs/>
                <w:sz w:val="18"/>
                <w:szCs w:val="18"/>
              </w:rPr>
              <w:t>并</w:t>
            </w:r>
            <w:r>
              <w:rPr>
                <w:rFonts w:hint="eastAsia" w:ascii="宋体" w:hAnsi="宋体" w:cs="宋体"/>
                <w:b/>
                <w:bCs/>
                <w:sz w:val="18"/>
                <w:szCs w:val="18"/>
              </w:rPr>
              <w:t>加盖投标人公章</w:t>
            </w:r>
          </w:p>
        </w:tc>
        <w:tc>
          <w:tcPr>
            <w:tcW w:w="0" w:type="auto"/>
            <w:tcBorders>
              <w:top w:val="single" w:color="auto" w:sz="4" w:space="0"/>
              <w:left w:val="single" w:color="auto" w:sz="4" w:space="0"/>
              <w:bottom w:val="single" w:color="auto" w:sz="4" w:space="0"/>
              <w:right w:val="single" w:color="auto" w:sz="4" w:space="0"/>
            </w:tcBorders>
            <w:vAlign w:val="center"/>
          </w:tcPr>
          <w:p w14:paraId="7B4BD66D">
            <w:pPr>
              <w:jc w:val="center"/>
              <w:rPr>
                <w:rFonts w:hint="eastAsia" w:ascii="宋体" w:hAnsi="宋体" w:cs="宋体"/>
                <w:sz w:val="18"/>
                <w:szCs w:val="18"/>
              </w:rPr>
            </w:pPr>
          </w:p>
        </w:tc>
      </w:tr>
      <w:tr w14:paraId="12D3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0" w:type="auto"/>
            <w:tcBorders>
              <w:left w:val="single" w:color="auto" w:sz="4" w:space="0"/>
              <w:bottom w:val="single" w:color="auto" w:sz="4" w:space="0"/>
              <w:right w:val="single" w:color="auto" w:sz="4" w:space="0"/>
            </w:tcBorders>
            <w:vAlign w:val="center"/>
          </w:tcPr>
          <w:p w14:paraId="6948427D">
            <w:pPr>
              <w:jc w:val="center"/>
              <w:rPr>
                <w:rFonts w:hint="eastAsia" w:ascii="宋体" w:hAnsi="宋体" w:cs="宋体"/>
                <w:sz w:val="18"/>
                <w:szCs w:val="18"/>
              </w:rPr>
            </w:pPr>
            <w:r>
              <w:rPr>
                <w:rFonts w:hint="eastAsia" w:ascii="宋体" w:hAnsi="宋体" w:cs="宋体"/>
                <w:sz w:val="18"/>
                <w:szCs w:val="18"/>
              </w:rPr>
              <w:t>4</w:t>
            </w:r>
          </w:p>
        </w:tc>
        <w:tc>
          <w:tcPr>
            <w:tcW w:w="0" w:type="auto"/>
            <w:tcBorders>
              <w:left w:val="single" w:color="auto" w:sz="4" w:space="0"/>
              <w:bottom w:val="single" w:color="auto" w:sz="4" w:space="0"/>
              <w:right w:val="single" w:color="auto" w:sz="4" w:space="0"/>
            </w:tcBorders>
            <w:vAlign w:val="center"/>
          </w:tcPr>
          <w:p w14:paraId="31A07A1B">
            <w:pPr>
              <w:jc w:val="center"/>
              <w:rPr>
                <w:rFonts w:hint="eastAsia" w:ascii="宋体" w:hAnsi="宋体" w:cs="宋体"/>
                <w:sz w:val="18"/>
                <w:szCs w:val="18"/>
              </w:rPr>
            </w:pPr>
            <w:r>
              <w:rPr>
                <w:rFonts w:hint="eastAsia" w:ascii="宋体" w:hAnsi="宋体" w:cs="宋体"/>
                <w:sz w:val="18"/>
                <w:szCs w:val="18"/>
              </w:rPr>
              <w:t>认证体系</w:t>
            </w:r>
          </w:p>
        </w:tc>
        <w:tc>
          <w:tcPr>
            <w:tcW w:w="0" w:type="auto"/>
            <w:tcBorders>
              <w:left w:val="single" w:color="auto" w:sz="4" w:space="0"/>
              <w:bottom w:val="single" w:color="auto" w:sz="4" w:space="0"/>
              <w:right w:val="single" w:color="auto" w:sz="4" w:space="0"/>
            </w:tcBorders>
            <w:vAlign w:val="center"/>
          </w:tcPr>
          <w:p w14:paraId="73E5F57C">
            <w:pPr>
              <w:jc w:val="center"/>
              <w:rPr>
                <w:rFonts w:hint="eastAsia" w:ascii="宋体" w:hAnsi="宋体" w:cs="宋体"/>
                <w:bCs/>
                <w:sz w:val="18"/>
                <w:szCs w:val="18"/>
              </w:rPr>
            </w:pPr>
            <w:r>
              <w:rPr>
                <w:rFonts w:hint="eastAsia" w:ascii="宋体" w:hAnsi="宋体" w:cs="宋体"/>
                <w:bCs/>
                <w:sz w:val="18"/>
                <w:szCs w:val="18"/>
              </w:rPr>
              <w:t>9</w:t>
            </w:r>
          </w:p>
        </w:tc>
        <w:tc>
          <w:tcPr>
            <w:tcW w:w="0" w:type="auto"/>
            <w:tcBorders>
              <w:left w:val="single" w:color="auto" w:sz="4" w:space="0"/>
              <w:bottom w:val="single" w:color="auto" w:sz="4" w:space="0"/>
              <w:right w:val="single" w:color="auto" w:sz="4" w:space="0"/>
            </w:tcBorders>
            <w:vAlign w:val="center"/>
          </w:tcPr>
          <w:p w14:paraId="5D7780B6">
            <w:pPr>
              <w:jc w:val="left"/>
              <w:rPr>
                <w:rFonts w:hint="eastAsia" w:ascii="宋体" w:hAnsi="宋体" w:cs="宋体"/>
                <w:b/>
                <w:bCs/>
                <w:sz w:val="18"/>
                <w:szCs w:val="18"/>
              </w:rPr>
            </w:pPr>
            <w:r>
              <w:rPr>
                <w:rFonts w:hint="eastAsia" w:ascii="宋体" w:hAnsi="宋体" w:cs="宋体"/>
                <w:sz w:val="18"/>
                <w:szCs w:val="18"/>
              </w:rPr>
              <w:t>供应商具有有效期内的质量管理体系认证、环境管理体系认证、职业健康安全管理体系认证的一个得 3 分，共 9 分。（提供相关认证证书复印件加盖供应商公章，且要求上述认证证书必须能在国家认监委网站(http://www.cnca.gov.cn/）查询，报价文件中必须提供国家认监委网站的查询结果网上截图，未按要求提供的不得分。）</w:t>
            </w:r>
          </w:p>
        </w:tc>
        <w:tc>
          <w:tcPr>
            <w:tcW w:w="0" w:type="auto"/>
            <w:tcBorders>
              <w:top w:val="single" w:color="auto" w:sz="4" w:space="0"/>
              <w:left w:val="single" w:color="auto" w:sz="4" w:space="0"/>
              <w:bottom w:val="single" w:color="auto" w:sz="4" w:space="0"/>
              <w:right w:val="single" w:color="auto" w:sz="4" w:space="0"/>
            </w:tcBorders>
            <w:vAlign w:val="center"/>
          </w:tcPr>
          <w:p w14:paraId="50C84D9E">
            <w:pPr>
              <w:jc w:val="center"/>
              <w:rPr>
                <w:rFonts w:hint="eastAsia" w:ascii="宋体" w:hAnsi="宋体" w:cs="宋体"/>
                <w:sz w:val="18"/>
                <w:szCs w:val="18"/>
              </w:rPr>
            </w:pPr>
          </w:p>
        </w:tc>
      </w:tr>
      <w:tr w14:paraId="1C44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0" w:type="auto"/>
            <w:tcBorders>
              <w:left w:val="single" w:color="auto" w:sz="4" w:space="0"/>
              <w:right w:val="single" w:color="auto" w:sz="4" w:space="0"/>
            </w:tcBorders>
            <w:vAlign w:val="center"/>
          </w:tcPr>
          <w:p w14:paraId="1DC7FFDC">
            <w:pPr>
              <w:jc w:val="center"/>
              <w:rPr>
                <w:rFonts w:hint="eastAsia" w:ascii="宋体" w:hAnsi="宋体" w:cs="宋体"/>
                <w:sz w:val="18"/>
                <w:szCs w:val="18"/>
              </w:rPr>
            </w:pPr>
            <w:r>
              <w:rPr>
                <w:rFonts w:hint="eastAsia" w:ascii="宋体" w:hAnsi="宋体" w:cs="宋体"/>
                <w:sz w:val="18"/>
                <w:szCs w:val="18"/>
              </w:rPr>
              <w:t>5</w:t>
            </w:r>
          </w:p>
        </w:tc>
        <w:tc>
          <w:tcPr>
            <w:tcW w:w="0" w:type="auto"/>
            <w:tcBorders>
              <w:left w:val="single" w:color="auto" w:sz="4" w:space="0"/>
              <w:right w:val="single" w:color="auto" w:sz="4" w:space="0"/>
            </w:tcBorders>
            <w:vAlign w:val="center"/>
          </w:tcPr>
          <w:p w14:paraId="069BF983">
            <w:pPr>
              <w:jc w:val="center"/>
              <w:rPr>
                <w:rFonts w:hint="eastAsia" w:ascii="宋体" w:hAnsi="宋体" w:cs="宋体"/>
                <w:sz w:val="18"/>
                <w:szCs w:val="18"/>
              </w:rPr>
            </w:pPr>
            <w:r>
              <w:rPr>
                <w:rFonts w:hint="eastAsia" w:ascii="宋体" w:hAnsi="宋体" w:cs="宋体"/>
                <w:sz w:val="18"/>
                <w:szCs w:val="18"/>
              </w:rPr>
              <w:t>业绩</w:t>
            </w:r>
          </w:p>
        </w:tc>
        <w:tc>
          <w:tcPr>
            <w:tcW w:w="0" w:type="auto"/>
            <w:tcBorders>
              <w:left w:val="single" w:color="auto" w:sz="4" w:space="0"/>
              <w:right w:val="single" w:color="auto" w:sz="4" w:space="0"/>
            </w:tcBorders>
            <w:vAlign w:val="center"/>
          </w:tcPr>
          <w:p w14:paraId="0318FA18">
            <w:pPr>
              <w:jc w:val="center"/>
              <w:rPr>
                <w:rFonts w:hint="eastAsia" w:ascii="宋体" w:hAnsi="宋体" w:cs="宋体"/>
                <w:bCs/>
                <w:sz w:val="18"/>
                <w:szCs w:val="18"/>
              </w:rPr>
            </w:pPr>
            <w:r>
              <w:rPr>
                <w:rFonts w:ascii="宋体" w:hAnsi="宋体" w:cs="宋体"/>
                <w:bCs/>
                <w:sz w:val="18"/>
                <w:szCs w:val="18"/>
              </w:rPr>
              <w:t>18</w:t>
            </w:r>
          </w:p>
        </w:tc>
        <w:tc>
          <w:tcPr>
            <w:tcW w:w="0" w:type="auto"/>
            <w:tcBorders>
              <w:left w:val="single" w:color="auto" w:sz="4" w:space="0"/>
              <w:right w:val="single" w:color="auto" w:sz="4" w:space="0"/>
            </w:tcBorders>
            <w:vAlign w:val="center"/>
          </w:tcPr>
          <w:p w14:paraId="33841E87">
            <w:pPr>
              <w:jc w:val="left"/>
              <w:rPr>
                <w:rFonts w:hint="eastAsia" w:ascii="宋体" w:hAnsi="宋体" w:cs="宋体"/>
                <w:sz w:val="18"/>
                <w:szCs w:val="18"/>
              </w:rPr>
            </w:pPr>
            <w:r>
              <w:rPr>
                <w:rFonts w:hint="eastAsia" w:ascii="宋体" w:hAnsi="宋体" w:cs="宋体"/>
                <w:sz w:val="18"/>
                <w:szCs w:val="18"/>
              </w:rPr>
              <w:t>20</w:t>
            </w:r>
            <w:r>
              <w:rPr>
                <w:rFonts w:ascii="宋体" w:hAnsi="宋体" w:cs="宋体"/>
                <w:sz w:val="18"/>
                <w:szCs w:val="18"/>
              </w:rPr>
              <w:t>21</w:t>
            </w:r>
            <w:r>
              <w:rPr>
                <w:rFonts w:hint="eastAsia" w:ascii="宋体" w:hAnsi="宋体" w:cs="宋体"/>
                <w:sz w:val="18"/>
                <w:szCs w:val="18"/>
              </w:rPr>
              <w:t>年1月1日以来（以合同签订时间为准）承接过同类项目（如：低温储粮设备类 、绿色储粮空调类等）业绩情况，每提供1个得3分，满分得</w:t>
            </w:r>
            <w:r>
              <w:rPr>
                <w:rFonts w:ascii="宋体" w:hAnsi="宋体" w:cs="宋体"/>
                <w:sz w:val="18"/>
                <w:szCs w:val="18"/>
              </w:rPr>
              <w:t>18</w:t>
            </w:r>
            <w:r>
              <w:rPr>
                <w:rFonts w:hint="eastAsia" w:ascii="宋体" w:hAnsi="宋体" w:cs="宋体"/>
                <w:sz w:val="18"/>
                <w:szCs w:val="18"/>
              </w:rPr>
              <w:t>分，没有不得分。</w:t>
            </w:r>
          </w:p>
          <w:p w14:paraId="7962D5BA">
            <w:pPr>
              <w:ind w:left="-63" w:leftChars="-30" w:right="-88" w:rightChars="-42"/>
              <w:jc w:val="left"/>
              <w:rPr>
                <w:rFonts w:hint="eastAsia" w:ascii="宋体" w:hAnsi="宋体" w:cs="宋体"/>
                <w:sz w:val="18"/>
                <w:szCs w:val="18"/>
              </w:rPr>
            </w:pPr>
            <w:r>
              <w:rPr>
                <w:rFonts w:hint="eastAsia" w:ascii="宋体" w:hAnsi="宋体" w:cs="宋体"/>
                <w:b/>
                <w:sz w:val="18"/>
                <w:szCs w:val="18"/>
              </w:rPr>
              <w:t>（投标文件中提供合同复印件并加盖投标人公章。）</w:t>
            </w:r>
          </w:p>
        </w:tc>
        <w:tc>
          <w:tcPr>
            <w:tcW w:w="0" w:type="auto"/>
            <w:tcBorders>
              <w:top w:val="single" w:color="auto" w:sz="4" w:space="0"/>
              <w:left w:val="single" w:color="auto" w:sz="4" w:space="0"/>
              <w:bottom w:val="single" w:color="auto" w:sz="4" w:space="0"/>
              <w:right w:val="single" w:color="auto" w:sz="4" w:space="0"/>
            </w:tcBorders>
            <w:vAlign w:val="center"/>
          </w:tcPr>
          <w:p w14:paraId="172C67EC">
            <w:pPr>
              <w:jc w:val="center"/>
              <w:rPr>
                <w:rFonts w:hint="eastAsia" w:ascii="宋体" w:hAnsi="宋体" w:cs="宋体"/>
                <w:sz w:val="18"/>
                <w:szCs w:val="18"/>
              </w:rPr>
            </w:pPr>
          </w:p>
        </w:tc>
      </w:tr>
      <w:tr w14:paraId="3589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2" w:type="dxa"/>
            <w:tcBorders>
              <w:left w:val="single" w:color="auto" w:sz="4" w:space="0"/>
              <w:right w:val="single" w:color="auto" w:sz="4" w:space="0"/>
            </w:tcBorders>
            <w:vAlign w:val="center"/>
          </w:tcPr>
          <w:p w14:paraId="745C264D">
            <w:pPr>
              <w:jc w:val="center"/>
              <w:rPr>
                <w:rFonts w:hint="eastAsia" w:ascii="宋体" w:hAnsi="宋体" w:cs="宋体"/>
                <w:sz w:val="18"/>
                <w:szCs w:val="18"/>
              </w:rPr>
            </w:pPr>
            <w:r>
              <w:rPr>
                <w:rFonts w:hint="eastAsia" w:ascii="宋体" w:hAnsi="宋体" w:cs="宋体"/>
                <w:bCs/>
                <w:sz w:val="18"/>
                <w:szCs w:val="18"/>
              </w:rPr>
              <w:t>6</w:t>
            </w:r>
          </w:p>
        </w:tc>
        <w:tc>
          <w:tcPr>
            <w:tcW w:w="576" w:type="dxa"/>
            <w:tcBorders>
              <w:left w:val="single" w:color="auto" w:sz="4" w:space="0"/>
              <w:right w:val="single" w:color="auto" w:sz="4" w:space="0"/>
            </w:tcBorders>
            <w:vAlign w:val="center"/>
          </w:tcPr>
          <w:p w14:paraId="6F54E07E">
            <w:pPr>
              <w:ind w:left="-78" w:leftChars="-37" w:right="-73" w:rightChars="-35"/>
              <w:jc w:val="center"/>
              <w:rPr>
                <w:rFonts w:hint="eastAsia" w:ascii="宋体" w:hAnsi="宋体" w:cs="宋体"/>
                <w:sz w:val="18"/>
                <w:szCs w:val="18"/>
              </w:rPr>
            </w:pPr>
            <w:r>
              <w:rPr>
                <w:rFonts w:hint="eastAsia" w:ascii="宋体" w:hAnsi="宋体"/>
                <w:bCs/>
                <w:szCs w:val="21"/>
              </w:rPr>
              <w:t>拟投入人员</w:t>
            </w:r>
          </w:p>
        </w:tc>
        <w:tc>
          <w:tcPr>
            <w:tcW w:w="422" w:type="dxa"/>
            <w:tcBorders>
              <w:left w:val="single" w:color="auto" w:sz="4" w:space="0"/>
              <w:right w:val="single" w:color="auto" w:sz="4" w:space="0"/>
            </w:tcBorders>
            <w:vAlign w:val="center"/>
          </w:tcPr>
          <w:p w14:paraId="42307234">
            <w:pPr>
              <w:jc w:val="center"/>
              <w:rPr>
                <w:rFonts w:hint="eastAsia" w:ascii="宋体" w:hAnsi="宋体" w:cs="宋体"/>
                <w:bCs/>
                <w:sz w:val="18"/>
                <w:szCs w:val="18"/>
              </w:rPr>
            </w:pPr>
            <w:r>
              <w:rPr>
                <w:rFonts w:hint="eastAsia" w:ascii="宋体" w:hAnsi="宋体" w:cs="宋体"/>
                <w:sz w:val="18"/>
                <w:szCs w:val="18"/>
              </w:rPr>
              <w:t>15</w:t>
            </w:r>
          </w:p>
        </w:tc>
        <w:tc>
          <w:tcPr>
            <w:tcW w:w="6725" w:type="dxa"/>
            <w:tcBorders>
              <w:left w:val="single" w:color="auto" w:sz="4" w:space="0"/>
              <w:right w:val="single" w:color="auto" w:sz="4" w:space="0"/>
            </w:tcBorders>
            <w:vAlign w:val="center"/>
          </w:tcPr>
          <w:p w14:paraId="383B31F2">
            <w:pPr>
              <w:jc w:val="left"/>
              <w:rPr>
                <w:rFonts w:hint="eastAsia" w:ascii="宋体" w:hAnsi="宋体" w:cs="宋体"/>
                <w:sz w:val="18"/>
                <w:szCs w:val="18"/>
              </w:rPr>
            </w:pPr>
            <w:r>
              <w:rPr>
                <w:rFonts w:hint="eastAsia" w:ascii="宋体" w:hAnsi="宋体" w:cs="宋体"/>
                <w:sz w:val="18"/>
                <w:szCs w:val="18"/>
              </w:rPr>
              <w:t>（1）投标人拟配备本项目的项目负责人：具有粮食工程相关专业中级职称得5分；具有粮食工程相关专业高级以及上职称得8分，不提供不得分。</w:t>
            </w:r>
          </w:p>
          <w:p w14:paraId="5281ABF6">
            <w:pPr>
              <w:adjustRightInd w:val="0"/>
              <w:snapToGrid w:val="0"/>
              <w:spacing w:line="400" w:lineRule="exact"/>
              <w:rPr>
                <w:rFonts w:hint="eastAsia" w:ascii="宋体" w:hAnsi="宋体"/>
                <w:kern w:val="0"/>
              </w:rPr>
            </w:pPr>
            <w:r>
              <w:rPr>
                <w:rFonts w:hint="eastAsia" w:ascii="宋体" w:hAnsi="宋体" w:cs="宋体"/>
                <w:sz w:val="18"/>
                <w:szCs w:val="18"/>
              </w:rPr>
              <w:t>（2）投标人拟配备本项目的项目技术负责人：具有粮食工程相关专业中级职称得3分；具有粮食工程相关专业高级以及上职称得 7分，不提供不得分。</w:t>
            </w:r>
            <w:r>
              <w:rPr>
                <w:rFonts w:hint="eastAsia" w:ascii="宋体" w:hAnsi="宋体" w:cs="宋体"/>
                <w:sz w:val="18"/>
                <w:szCs w:val="18"/>
              </w:rPr>
              <w:br w:type="textWrapping"/>
            </w:r>
            <w:r>
              <w:rPr>
                <w:rFonts w:hint="eastAsia" w:ascii="宋体" w:hAnsi="宋体" w:cs="宋体"/>
                <w:b/>
                <w:bCs/>
                <w:sz w:val="18"/>
                <w:szCs w:val="18"/>
              </w:rPr>
              <w:t>注：专业以证书标注专业为准,职称证书无法体现专业的，以学历证书为准</w:t>
            </w:r>
          </w:p>
          <w:p w14:paraId="4055320C">
            <w:pPr>
              <w:jc w:val="left"/>
              <w:rPr>
                <w:rFonts w:hint="eastAsia" w:ascii="宋体" w:hAnsi="宋体" w:cs="宋体"/>
                <w:b/>
                <w:sz w:val="18"/>
                <w:szCs w:val="18"/>
              </w:rPr>
            </w:pPr>
            <w:r>
              <w:rPr>
                <w:rFonts w:hint="eastAsia" w:ascii="宋体" w:hAnsi="宋体" w:cs="宋体"/>
                <w:b/>
                <w:bCs/>
                <w:sz w:val="18"/>
                <w:szCs w:val="18"/>
              </w:rPr>
              <w:t>提供有效的证书复印件和由供应商为其购买的 202</w:t>
            </w:r>
            <w:r>
              <w:rPr>
                <w:rFonts w:ascii="宋体" w:hAnsi="宋体" w:cs="宋体"/>
                <w:b/>
                <w:bCs/>
                <w:sz w:val="18"/>
                <w:szCs w:val="18"/>
              </w:rPr>
              <w:t>4</w:t>
            </w:r>
            <w:r>
              <w:rPr>
                <w:rFonts w:hint="eastAsia" w:ascii="宋体" w:hAnsi="宋体" w:cs="宋体"/>
                <w:b/>
                <w:bCs/>
                <w:sz w:val="18"/>
                <w:szCs w:val="18"/>
              </w:rPr>
              <w:t>年 1月至投标截止日内任意连续3个月的社保证明的复印件，否则不得分。</w:t>
            </w:r>
          </w:p>
        </w:tc>
        <w:tc>
          <w:tcPr>
            <w:tcW w:w="0" w:type="auto"/>
            <w:tcBorders>
              <w:top w:val="single" w:color="auto" w:sz="4" w:space="0"/>
              <w:left w:val="single" w:color="auto" w:sz="4" w:space="0"/>
              <w:bottom w:val="single" w:color="auto" w:sz="4" w:space="0"/>
              <w:right w:val="single" w:color="auto" w:sz="4" w:space="0"/>
            </w:tcBorders>
            <w:vAlign w:val="center"/>
          </w:tcPr>
          <w:p w14:paraId="43FB369D">
            <w:pPr>
              <w:jc w:val="center"/>
              <w:rPr>
                <w:rFonts w:hint="eastAsia" w:ascii="宋体" w:hAnsi="宋体" w:cs="宋体"/>
                <w:sz w:val="18"/>
                <w:szCs w:val="18"/>
              </w:rPr>
            </w:pPr>
          </w:p>
        </w:tc>
      </w:tr>
      <w:tr w14:paraId="18FB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2" w:type="dxa"/>
            <w:tcBorders>
              <w:left w:val="single" w:color="auto" w:sz="4" w:space="0"/>
              <w:right w:val="single" w:color="auto" w:sz="4" w:space="0"/>
            </w:tcBorders>
            <w:vAlign w:val="center"/>
          </w:tcPr>
          <w:p w14:paraId="2FABA7ED">
            <w:pPr>
              <w:jc w:val="center"/>
              <w:rPr>
                <w:rFonts w:hint="eastAsia" w:ascii="宋体" w:hAnsi="宋体" w:cs="宋体"/>
                <w:sz w:val="18"/>
                <w:szCs w:val="18"/>
              </w:rPr>
            </w:pPr>
            <w:r>
              <w:rPr>
                <w:rFonts w:hint="eastAsia" w:ascii="宋体" w:hAnsi="宋体" w:cs="宋体"/>
                <w:bCs/>
                <w:sz w:val="18"/>
                <w:szCs w:val="18"/>
              </w:rPr>
              <w:t>7</w:t>
            </w:r>
          </w:p>
        </w:tc>
        <w:tc>
          <w:tcPr>
            <w:tcW w:w="576" w:type="dxa"/>
            <w:tcBorders>
              <w:left w:val="single" w:color="auto" w:sz="4" w:space="0"/>
              <w:right w:val="single" w:color="auto" w:sz="4" w:space="0"/>
            </w:tcBorders>
            <w:vAlign w:val="center"/>
          </w:tcPr>
          <w:p w14:paraId="44F10289">
            <w:pPr>
              <w:jc w:val="left"/>
              <w:rPr>
                <w:rFonts w:hint="eastAsia" w:ascii="宋体" w:hAnsi="宋体" w:cs="宋体"/>
                <w:sz w:val="18"/>
                <w:szCs w:val="18"/>
              </w:rPr>
            </w:pPr>
            <w:r>
              <w:rPr>
                <w:rStyle w:val="62"/>
                <w:rFonts w:hint="eastAsia" w:ascii="宋体" w:hAnsi="宋体"/>
                <w:szCs w:val="21"/>
              </w:rPr>
              <w:t>设备技术实施方案</w:t>
            </w:r>
          </w:p>
        </w:tc>
        <w:tc>
          <w:tcPr>
            <w:tcW w:w="422" w:type="dxa"/>
            <w:tcBorders>
              <w:left w:val="single" w:color="auto" w:sz="4" w:space="0"/>
              <w:right w:val="single" w:color="auto" w:sz="4" w:space="0"/>
            </w:tcBorders>
            <w:vAlign w:val="center"/>
          </w:tcPr>
          <w:p w14:paraId="064C88ED">
            <w:pPr>
              <w:jc w:val="center"/>
              <w:rPr>
                <w:rFonts w:hint="eastAsia" w:ascii="宋体" w:hAnsi="宋体" w:cs="宋体"/>
                <w:bCs/>
                <w:sz w:val="18"/>
                <w:szCs w:val="18"/>
              </w:rPr>
            </w:pPr>
            <w:r>
              <w:rPr>
                <w:rFonts w:hint="eastAsia" w:ascii="宋体" w:hAnsi="宋体" w:cs="宋体"/>
                <w:sz w:val="18"/>
                <w:szCs w:val="18"/>
              </w:rPr>
              <w:t>18</w:t>
            </w:r>
          </w:p>
        </w:tc>
        <w:tc>
          <w:tcPr>
            <w:tcW w:w="6725" w:type="dxa"/>
            <w:tcBorders>
              <w:left w:val="single" w:color="auto" w:sz="4" w:space="0"/>
              <w:right w:val="single" w:color="auto" w:sz="4" w:space="0"/>
            </w:tcBorders>
            <w:vAlign w:val="center"/>
          </w:tcPr>
          <w:p w14:paraId="501D5BF9">
            <w:pPr>
              <w:ind w:left="-78" w:leftChars="-37" w:right="-73" w:rightChars="-35" w:firstLine="90" w:firstLineChars="50"/>
              <w:jc w:val="left"/>
              <w:rPr>
                <w:sz w:val="18"/>
                <w:szCs w:val="18"/>
              </w:rPr>
            </w:pPr>
            <w:r>
              <w:rPr>
                <w:rFonts w:hint="eastAsia"/>
                <w:sz w:val="18"/>
                <w:szCs w:val="18"/>
              </w:rPr>
              <w:t>针对本项目制定设备技术实施方案，方案内容包含技术措施、作业示意图、施工组织设计、施工计划、质量保证措施等</w:t>
            </w:r>
          </w:p>
          <w:p w14:paraId="5512F7A9">
            <w:pPr>
              <w:jc w:val="left"/>
              <w:rPr>
                <w:sz w:val="18"/>
                <w:szCs w:val="18"/>
              </w:rPr>
            </w:pPr>
            <w:r>
              <w:rPr>
                <w:rFonts w:hint="eastAsia" w:ascii="宋体" w:hAnsi="宋体"/>
                <w:sz w:val="18"/>
                <w:szCs w:val="18"/>
              </w:rPr>
              <w:t>优：</w:t>
            </w:r>
            <w:r>
              <w:rPr>
                <w:rFonts w:hint="eastAsia" w:ascii="宋体" w:hAnsi="宋体" w:cs="宋体"/>
                <w:kern w:val="0"/>
                <w:sz w:val="18"/>
                <w:szCs w:val="18"/>
                <w:lang w:bidi="ar"/>
              </w:rPr>
              <w:t>计划条理清晰，脉络分明，具体全面，项目管理及进度安排合理高效、操作性强，得</w:t>
            </w:r>
            <w:r>
              <w:rPr>
                <w:rFonts w:ascii="宋体" w:hAnsi="宋体" w:cs="宋体"/>
                <w:kern w:val="0"/>
                <w:sz w:val="18"/>
                <w:szCs w:val="18"/>
                <w:lang w:bidi="ar"/>
              </w:rPr>
              <w:t>18</w:t>
            </w:r>
            <w:r>
              <w:rPr>
                <w:rFonts w:hint="eastAsia" w:ascii="宋体" w:hAnsi="宋体" w:cs="宋体"/>
                <w:kern w:val="0"/>
                <w:sz w:val="18"/>
                <w:szCs w:val="18"/>
                <w:lang w:bidi="ar"/>
              </w:rPr>
              <w:t>分；</w:t>
            </w:r>
          </w:p>
          <w:p w14:paraId="21E4E2BA">
            <w:pPr>
              <w:jc w:val="left"/>
              <w:rPr>
                <w:sz w:val="18"/>
                <w:szCs w:val="18"/>
              </w:rPr>
            </w:pPr>
            <w:r>
              <w:rPr>
                <w:rFonts w:hint="eastAsia" w:ascii="宋体" w:hAnsi="宋体" w:cs="宋体"/>
                <w:kern w:val="0"/>
                <w:sz w:val="18"/>
                <w:szCs w:val="18"/>
                <w:lang w:bidi="ar"/>
              </w:rPr>
              <w:t>良：计划条理较清晰，脉络较分明，较具体全面，项目管理及进度安排较合理高效、操作性较强，得</w:t>
            </w:r>
            <w:r>
              <w:rPr>
                <w:rFonts w:ascii="宋体" w:hAnsi="宋体" w:cs="宋体"/>
                <w:kern w:val="0"/>
                <w:sz w:val="18"/>
                <w:szCs w:val="18"/>
                <w:lang w:bidi="ar"/>
              </w:rPr>
              <w:t>12</w:t>
            </w:r>
            <w:r>
              <w:rPr>
                <w:rFonts w:hint="eastAsia" w:ascii="宋体" w:hAnsi="宋体" w:cs="宋体"/>
                <w:kern w:val="0"/>
                <w:sz w:val="18"/>
                <w:szCs w:val="18"/>
                <w:lang w:bidi="ar"/>
              </w:rPr>
              <w:t>分；</w:t>
            </w:r>
          </w:p>
          <w:p w14:paraId="22694BC3">
            <w:pPr>
              <w:jc w:val="left"/>
              <w:rPr>
                <w:rFonts w:hint="eastAsia" w:ascii="宋体" w:hAnsi="宋体" w:cs="宋体"/>
                <w:b/>
                <w:sz w:val="18"/>
                <w:szCs w:val="18"/>
              </w:rPr>
            </w:pPr>
            <w:r>
              <w:rPr>
                <w:rFonts w:hint="eastAsia"/>
                <w:sz w:val="18"/>
                <w:szCs w:val="18"/>
              </w:rPr>
              <w:t>中：</w:t>
            </w:r>
            <w:r>
              <w:rPr>
                <w:rFonts w:hint="eastAsia" w:ascii="宋体" w:hAnsi="宋体" w:cs="宋体"/>
                <w:kern w:val="0"/>
                <w:sz w:val="18"/>
                <w:szCs w:val="18"/>
                <w:lang w:bidi="ar"/>
              </w:rPr>
              <w:t>计划条理一般，脉络一般，较具体全面，项目管理及进度安排一般、操作性一般，得</w:t>
            </w:r>
            <w:r>
              <w:rPr>
                <w:rFonts w:ascii="宋体" w:hAnsi="宋体" w:cs="宋体"/>
                <w:kern w:val="0"/>
                <w:sz w:val="18"/>
                <w:szCs w:val="18"/>
                <w:lang w:bidi="ar"/>
              </w:rPr>
              <w:t>6</w:t>
            </w:r>
            <w:r>
              <w:rPr>
                <w:rFonts w:hint="eastAsia" w:ascii="宋体" w:hAnsi="宋体" w:cs="宋体"/>
                <w:kern w:val="0"/>
                <w:sz w:val="18"/>
                <w:szCs w:val="18"/>
                <w:lang w:bidi="ar"/>
              </w:rPr>
              <w:t>分；</w:t>
            </w:r>
          </w:p>
        </w:tc>
        <w:tc>
          <w:tcPr>
            <w:tcW w:w="0" w:type="auto"/>
            <w:tcBorders>
              <w:top w:val="single" w:color="auto" w:sz="4" w:space="0"/>
              <w:left w:val="single" w:color="auto" w:sz="4" w:space="0"/>
              <w:bottom w:val="single" w:color="auto" w:sz="4" w:space="0"/>
              <w:right w:val="single" w:color="auto" w:sz="4" w:space="0"/>
            </w:tcBorders>
            <w:vAlign w:val="center"/>
          </w:tcPr>
          <w:p w14:paraId="6750E84A">
            <w:pPr>
              <w:jc w:val="center"/>
              <w:rPr>
                <w:rFonts w:hint="eastAsia" w:ascii="宋体" w:hAnsi="宋体" w:cs="宋体"/>
                <w:sz w:val="18"/>
                <w:szCs w:val="18"/>
              </w:rPr>
            </w:pPr>
          </w:p>
        </w:tc>
      </w:tr>
      <w:tr w14:paraId="15F9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2" w:type="dxa"/>
            <w:tcBorders>
              <w:left w:val="single" w:color="auto" w:sz="4" w:space="0"/>
              <w:right w:val="single" w:color="auto" w:sz="4" w:space="0"/>
            </w:tcBorders>
            <w:vAlign w:val="center"/>
          </w:tcPr>
          <w:p w14:paraId="42F6550C">
            <w:pPr>
              <w:jc w:val="center"/>
              <w:rPr>
                <w:rFonts w:hint="eastAsia" w:ascii="宋体" w:hAnsi="宋体" w:cs="宋体"/>
                <w:sz w:val="18"/>
                <w:szCs w:val="18"/>
              </w:rPr>
            </w:pPr>
            <w:r>
              <w:rPr>
                <w:rFonts w:hint="eastAsia" w:ascii="宋体" w:hAnsi="宋体" w:cs="宋体"/>
                <w:bCs/>
                <w:sz w:val="18"/>
                <w:szCs w:val="18"/>
              </w:rPr>
              <w:t>8</w:t>
            </w:r>
          </w:p>
        </w:tc>
        <w:tc>
          <w:tcPr>
            <w:tcW w:w="576" w:type="dxa"/>
            <w:tcBorders>
              <w:left w:val="single" w:color="auto" w:sz="4" w:space="0"/>
              <w:right w:val="single" w:color="auto" w:sz="4" w:space="0"/>
            </w:tcBorders>
            <w:vAlign w:val="center"/>
          </w:tcPr>
          <w:p w14:paraId="6DE6B367">
            <w:pPr>
              <w:ind w:left="-78" w:leftChars="-37" w:right="-73" w:rightChars="-35"/>
              <w:jc w:val="center"/>
              <w:rPr>
                <w:rFonts w:hint="eastAsia" w:ascii="宋体" w:hAnsi="宋体" w:cs="宋体"/>
                <w:sz w:val="18"/>
                <w:szCs w:val="18"/>
              </w:rPr>
            </w:pPr>
            <w:r>
              <w:rPr>
                <w:rStyle w:val="62"/>
                <w:rFonts w:hint="eastAsia" w:ascii="宋体" w:hAnsi="宋体"/>
                <w:szCs w:val="21"/>
              </w:rPr>
              <w:t>售后服务方案</w:t>
            </w:r>
          </w:p>
        </w:tc>
        <w:tc>
          <w:tcPr>
            <w:tcW w:w="422" w:type="dxa"/>
            <w:tcBorders>
              <w:left w:val="single" w:color="auto" w:sz="4" w:space="0"/>
              <w:right w:val="single" w:color="auto" w:sz="4" w:space="0"/>
            </w:tcBorders>
            <w:vAlign w:val="center"/>
          </w:tcPr>
          <w:p w14:paraId="712B545E">
            <w:pPr>
              <w:jc w:val="center"/>
              <w:rPr>
                <w:rFonts w:hint="eastAsia" w:ascii="宋体" w:hAnsi="宋体" w:cs="宋体"/>
                <w:bCs/>
                <w:sz w:val="18"/>
                <w:szCs w:val="18"/>
              </w:rPr>
            </w:pPr>
            <w:r>
              <w:rPr>
                <w:rFonts w:ascii="宋体" w:hAnsi="宋体" w:cs="宋体"/>
                <w:sz w:val="18"/>
                <w:szCs w:val="18"/>
              </w:rPr>
              <w:t>10</w:t>
            </w:r>
          </w:p>
        </w:tc>
        <w:tc>
          <w:tcPr>
            <w:tcW w:w="6725" w:type="dxa"/>
            <w:tcBorders>
              <w:left w:val="single" w:color="auto" w:sz="4" w:space="0"/>
              <w:right w:val="single" w:color="auto" w:sz="4" w:space="0"/>
            </w:tcBorders>
            <w:vAlign w:val="center"/>
          </w:tcPr>
          <w:p w14:paraId="24AF8FD7">
            <w:pPr>
              <w:ind w:left="-78" w:leftChars="-37" w:right="-73" w:rightChars="-35" w:firstLine="90" w:firstLineChars="50"/>
              <w:jc w:val="left"/>
              <w:rPr>
                <w:sz w:val="18"/>
                <w:szCs w:val="18"/>
              </w:rPr>
            </w:pPr>
            <w:r>
              <w:rPr>
                <w:rFonts w:hint="eastAsia"/>
                <w:sz w:val="18"/>
                <w:szCs w:val="18"/>
              </w:rPr>
              <w:t>针对本项目制定设备技术实施方案，方案内容包含服务响应时间，售后服务承诺、质量保证方案等</w:t>
            </w:r>
          </w:p>
          <w:p w14:paraId="0C1951AA">
            <w:pPr>
              <w:ind w:left="-78" w:leftChars="-37" w:right="-73" w:rightChars="-35" w:firstLine="90" w:firstLineChars="50"/>
              <w:jc w:val="left"/>
              <w:rPr>
                <w:sz w:val="18"/>
                <w:szCs w:val="18"/>
              </w:rPr>
            </w:pPr>
            <w:r>
              <w:rPr>
                <w:rFonts w:hint="eastAsia"/>
                <w:sz w:val="18"/>
                <w:szCs w:val="18"/>
              </w:rPr>
              <w:t>优：售后服务点便捷，售后服务能力强，售后服务优于招标文件要求，响应时间快，处理能力强，得</w:t>
            </w:r>
            <w:r>
              <w:rPr>
                <w:sz w:val="18"/>
                <w:szCs w:val="18"/>
              </w:rPr>
              <w:t>10</w:t>
            </w:r>
            <w:r>
              <w:rPr>
                <w:rFonts w:hint="eastAsia"/>
                <w:sz w:val="18"/>
                <w:szCs w:val="18"/>
              </w:rPr>
              <w:t>分；</w:t>
            </w:r>
          </w:p>
          <w:p w14:paraId="2D015AC2">
            <w:pPr>
              <w:ind w:left="-78" w:leftChars="-37" w:right="-73" w:rightChars="-35" w:firstLine="90" w:firstLineChars="50"/>
              <w:jc w:val="left"/>
              <w:rPr>
                <w:sz w:val="18"/>
                <w:szCs w:val="18"/>
              </w:rPr>
            </w:pPr>
            <w:r>
              <w:rPr>
                <w:rFonts w:hint="eastAsia"/>
                <w:sz w:val="18"/>
                <w:szCs w:val="18"/>
              </w:rPr>
              <w:t>良：售后服务点较便捷，售后服务能力一般、售后服务满足招标文件要求，响应时间较快，处理能力较强，得</w:t>
            </w:r>
            <w:r>
              <w:rPr>
                <w:sz w:val="18"/>
                <w:szCs w:val="18"/>
              </w:rPr>
              <w:t>7</w:t>
            </w:r>
            <w:r>
              <w:rPr>
                <w:rFonts w:hint="eastAsia"/>
                <w:sz w:val="18"/>
                <w:szCs w:val="18"/>
              </w:rPr>
              <w:t>分；</w:t>
            </w:r>
          </w:p>
          <w:p w14:paraId="75D4A966">
            <w:pPr>
              <w:ind w:left="-78" w:leftChars="-37" w:right="-73" w:rightChars="-35" w:firstLine="90" w:firstLineChars="50"/>
              <w:jc w:val="left"/>
              <w:rPr>
                <w:rFonts w:hint="eastAsia" w:ascii="宋体" w:hAnsi="宋体" w:cs="宋体"/>
                <w:b/>
                <w:sz w:val="18"/>
                <w:szCs w:val="18"/>
              </w:rPr>
            </w:pPr>
            <w:r>
              <w:rPr>
                <w:rFonts w:hint="eastAsia"/>
                <w:sz w:val="18"/>
                <w:szCs w:val="18"/>
              </w:rPr>
              <w:t>中：售后服务基本满足招标文件要求，响应时间一般，处理能力一般，得</w:t>
            </w:r>
            <w:r>
              <w:rPr>
                <w:sz w:val="18"/>
                <w:szCs w:val="18"/>
              </w:rPr>
              <w:t>4</w:t>
            </w:r>
            <w:r>
              <w:rPr>
                <w:rFonts w:hint="eastAsia"/>
                <w:sz w:val="18"/>
                <w:szCs w:val="18"/>
              </w:rPr>
              <w:t>分；</w:t>
            </w:r>
          </w:p>
        </w:tc>
        <w:tc>
          <w:tcPr>
            <w:tcW w:w="0" w:type="auto"/>
            <w:tcBorders>
              <w:top w:val="single" w:color="auto" w:sz="4" w:space="0"/>
              <w:left w:val="single" w:color="auto" w:sz="4" w:space="0"/>
              <w:bottom w:val="single" w:color="auto" w:sz="4" w:space="0"/>
              <w:right w:val="single" w:color="auto" w:sz="4" w:space="0"/>
            </w:tcBorders>
            <w:vAlign w:val="center"/>
          </w:tcPr>
          <w:p w14:paraId="3F5F4688">
            <w:pPr>
              <w:jc w:val="center"/>
              <w:rPr>
                <w:rFonts w:hint="eastAsia" w:ascii="宋体" w:hAnsi="宋体" w:cs="宋体"/>
                <w:sz w:val="18"/>
                <w:szCs w:val="18"/>
              </w:rPr>
            </w:pPr>
          </w:p>
        </w:tc>
      </w:tr>
      <w:tr w14:paraId="3CF2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998" w:type="dxa"/>
            <w:gridSpan w:val="2"/>
            <w:tcBorders>
              <w:left w:val="single" w:color="auto" w:sz="4" w:space="0"/>
              <w:bottom w:val="single" w:color="auto" w:sz="4" w:space="0"/>
              <w:right w:val="single" w:color="auto" w:sz="4" w:space="0"/>
            </w:tcBorders>
            <w:vAlign w:val="center"/>
          </w:tcPr>
          <w:p w14:paraId="3CA87C0F">
            <w:pPr>
              <w:jc w:val="center"/>
              <w:rPr>
                <w:rFonts w:hint="eastAsia" w:ascii="宋体" w:hAnsi="宋体" w:cs="宋体"/>
                <w:sz w:val="18"/>
                <w:szCs w:val="18"/>
              </w:rPr>
            </w:pPr>
            <w:r>
              <w:rPr>
                <w:rFonts w:hint="eastAsia" w:ascii="宋体" w:hAnsi="宋体" w:cs="宋体"/>
                <w:sz w:val="18"/>
                <w:szCs w:val="18"/>
              </w:rPr>
              <w:t>合计</w:t>
            </w:r>
          </w:p>
        </w:tc>
        <w:tc>
          <w:tcPr>
            <w:tcW w:w="422" w:type="dxa"/>
            <w:tcBorders>
              <w:left w:val="single" w:color="auto" w:sz="4" w:space="0"/>
              <w:bottom w:val="single" w:color="auto" w:sz="4" w:space="0"/>
              <w:right w:val="single" w:color="auto" w:sz="4" w:space="0"/>
            </w:tcBorders>
            <w:vAlign w:val="center"/>
          </w:tcPr>
          <w:p w14:paraId="2BBD831A">
            <w:pPr>
              <w:jc w:val="center"/>
              <w:rPr>
                <w:rFonts w:hint="eastAsia" w:ascii="宋体" w:hAnsi="宋体" w:cs="宋体"/>
                <w:bCs/>
                <w:sz w:val="18"/>
                <w:szCs w:val="18"/>
              </w:rPr>
            </w:pPr>
            <w:r>
              <w:rPr>
                <w:rFonts w:hint="eastAsia" w:ascii="宋体" w:hAnsi="宋体" w:cs="宋体"/>
                <w:sz w:val="18"/>
                <w:szCs w:val="18"/>
              </w:rPr>
              <w:t>100</w:t>
            </w:r>
          </w:p>
        </w:tc>
        <w:tc>
          <w:tcPr>
            <w:tcW w:w="6725" w:type="dxa"/>
            <w:tcBorders>
              <w:left w:val="single" w:color="auto" w:sz="4" w:space="0"/>
              <w:bottom w:val="single" w:color="auto" w:sz="4" w:space="0"/>
              <w:right w:val="single" w:color="auto" w:sz="4" w:space="0"/>
            </w:tcBorders>
            <w:vAlign w:val="center"/>
          </w:tcPr>
          <w:p w14:paraId="16F9D31E">
            <w:pPr>
              <w:jc w:val="center"/>
              <w:rPr>
                <w:rFonts w:hint="eastAsia" w:ascii="宋体" w:hAnsi="宋体" w:cs="宋体"/>
                <w:b/>
                <w:sz w:val="18"/>
                <w:szCs w:val="18"/>
              </w:rPr>
            </w:pPr>
            <w:r>
              <w:rPr>
                <w:rFonts w:hint="eastAsia" w:ascii="宋体" w:hAnsi="宋体" w:cs="宋体"/>
                <w:sz w:val="18"/>
                <w:szCs w:val="18"/>
              </w:rPr>
              <w:t>得分总计</w:t>
            </w:r>
          </w:p>
        </w:tc>
        <w:tc>
          <w:tcPr>
            <w:tcW w:w="0" w:type="auto"/>
            <w:tcBorders>
              <w:top w:val="single" w:color="auto" w:sz="4" w:space="0"/>
              <w:left w:val="single" w:color="auto" w:sz="4" w:space="0"/>
              <w:bottom w:val="single" w:color="auto" w:sz="4" w:space="0"/>
              <w:right w:val="single" w:color="auto" w:sz="4" w:space="0"/>
            </w:tcBorders>
            <w:vAlign w:val="center"/>
          </w:tcPr>
          <w:p w14:paraId="00795D9D">
            <w:pPr>
              <w:jc w:val="center"/>
              <w:rPr>
                <w:rFonts w:hint="eastAsia" w:ascii="宋体" w:hAnsi="宋体" w:cs="宋体"/>
                <w:sz w:val="18"/>
                <w:szCs w:val="18"/>
              </w:rPr>
            </w:pPr>
          </w:p>
        </w:tc>
      </w:tr>
    </w:tbl>
    <w:p w14:paraId="6A2F5F72">
      <w:pPr>
        <w:spacing w:before="156" w:beforeLines="50" w:after="156" w:afterLines="50" w:line="440" w:lineRule="exact"/>
        <w:jc w:val="center"/>
        <w:rPr>
          <w:rFonts w:hint="eastAsia" w:ascii="宋体" w:hAnsi="宋体"/>
          <w:b/>
          <w:sz w:val="32"/>
          <w:szCs w:val="32"/>
        </w:rPr>
      </w:pPr>
    </w:p>
    <w:p w14:paraId="29D0B350">
      <w:pPr>
        <w:spacing w:line="360" w:lineRule="exact"/>
        <w:ind w:firstLine="480" w:firstLineChars="200"/>
        <w:rPr>
          <w:rFonts w:hint="eastAsia" w:ascii="宋体" w:hAnsi="宋体"/>
          <w:sz w:val="24"/>
        </w:rPr>
      </w:pPr>
    </w:p>
    <w:p w14:paraId="30CBFB11">
      <w:pPr>
        <w:spacing w:before="156" w:beforeLines="50" w:after="156" w:afterLines="50" w:line="440" w:lineRule="exact"/>
        <w:jc w:val="center"/>
        <w:rPr>
          <w:rFonts w:hint="eastAsia"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4C9FDBCF">
      <w:pPr>
        <w:spacing w:line="460" w:lineRule="exact"/>
        <w:jc w:val="center"/>
        <w:rPr>
          <w:rFonts w:hint="eastAsia" w:ascii="宋体" w:hAnsi="宋体" w:cs="宋体"/>
          <w:b/>
          <w:sz w:val="28"/>
          <w:szCs w:val="28"/>
        </w:rPr>
      </w:pPr>
      <w:r>
        <w:rPr>
          <w:rFonts w:hint="eastAsia" w:ascii="宋体" w:hAnsi="宋体" w:cs="宋体"/>
          <w:b/>
          <w:sz w:val="28"/>
          <w:szCs w:val="28"/>
        </w:rPr>
        <w:t xml:space="preserve">                                       合同编号：</w:t>
      </w:r>
    </w:p>
    <w:p w14:paraId="1718A22F">
      <w:pPr>
        <w:spacing w:line="460" w:lineRule="exact"/>
        <w:jc w:val="center"/>
        <w:rPr>
          <w:rFonts w:hint="eastAsia" w:ascii="宋体" w:hAnsi="宋体" w:cs="宋体"/>
          <w:b/>
          <w:sz w:val="28"/>
          <w:szCs w:val="28"/>
        </w:rPr>
      </w:pPr>
      <w:r>
        <w:rPr>
          <w:rFonts w:hint="eastAsia" w:ascii="宋体" w:hAnsi="宋体" w:cs="宋体"/>
          <w:b/>
          <w:sz w:val="28"/>
          <w:szCs w:val="28"/>
        </w:rPr>
        <w:t>（本合同为参考合同，正式合同以采购人最终确认为准。）</w:t>
      </w:r>
    </w:p>
    <w:p w14:paraId="6D5C9531">
      <w:pPr>
        <w:spacing w:line="460" w:lineRule="exact"/>
        <w:rPr>
          <w:rFonts w:hint="eastAsia" w:ascii="宋体" w:hAnsi="宋体" w:cs="宋体"/>
          <w:sz w:val="28"/>
          <w:szCs w:val="28"/>
        </w:rPr>
      </w:pPr>
    </w:p>
    <w:p w14:paraId="34367A31">
      <w:pPr>
        <w:pStyle w:val="174"/>
        <w:snapToGrid w:val="0"/>
        <w:spacing w:before="120" w:after="120" w:line="360" w:lineRule="auto"/>
        <w:jc w:val="left"/>
        <w:rPr>
          <w:rStyle w:val="62"/>
          <w:rFonts w:hint="eastAsia" w:hAnsi="宋体"/>
          <w:sz w:val="21"/>
          <w:szCs w:val="21"/>
        </w:rPr>
      </w:pPr>
      <w:r>
        <w:rPr>
          <w:rStyle w:val="62"/>
          <w:rFonts w:hAnsi="宋体"/>
          <w:sz w:val="21"/>
          <w:szCs w:val="21"/>
        </w:rPr>
        <w:t xml:space="preserve">项目名称：                                      </w:t>
      </w:r>
    </w:p>
    <w:p w14:paraId="22C8607A">
      <w:pPr>
        <w:pStyle w:val="174"/>
        <w:snapToGrid w:val="0"/>
        <w:spacing w:before="120" w:after="120" w:line="360" w:lineRule="auto"/>
        <w:rPr>
          <w:rStyle w:val="62"/>
          <w:rFonts w:hint="eastAsia" w:hAnsi="宋体"/>
          <w:sz w:val="21"/>
          <w:szCs w:val="21"/>
        </w:rPr>
      </w:pPr>
      <w:r>
        <w:rPr>
          <w:rStyle w:val="62"/>
          <w:rFonts w:hAnsi="宋体"/>
          <w:sz w:val="21"/>
          <w:szCs w:val="21"/>
        </w:rPr>
        <w:t>甲方：（买方）</w:t>
      </w:r>
    </w:p>
    <w:p w14:paraId="1101FA38">
      <w:pPr>
        <w:pStyle w:val="174"/>
        <w:snapToGrid w:val="0"/>
        <w:spacing w:before="120" w:after="120" w:line="360" w:lineRule="auto"/>
        <w:rPr>
          <w:rStyle w:val="62"/>
          <w:rFonts w:hint="eastAsia" w:hAnsi="宋体"/>
          <w:sz w:val="21"/>
          <w:szCs w:val="21"/>
        </w:rPr>
      </w:pPr>
      <w:r>
        <w:rPr>
          <w:rStyle w:val="62"/>
          <w:rFonts w:hAnsi="宋体"/>
          <w:sz w:val="21"/>
          <w:szCs w:val="21"/>
        </w:rPr>
        <w:t>乙方：（卖方）</w:t>
      </w:r>
    </w:p>
    <w:p w14:paraId="5DA38E4F">
      <w:pPr>
        <w:pStyle w:val="174"/>
        <w:snapToGrid w:val="0"/>
        <w:spacing w:before="120" w:after="120" w:line="360" w:lineRule="auto"/>
        <w:ind w:firstLine="420" w:firstLineChars="200"/>
        <w:rPr>
          <w:rStyle w:val="62"/>
          <w:rFonts w:hint="eastAsia" w:hAnsi="宋体"/>
          <w:b/>
          <w:sz w:val="21"/>
          <w:szCs w:val="21"/>
        </w:rPr>
      </w:pPr>
      <w:r>
        <w:rPr>
          <w:rStyle w:val="62"/>
          <w:rFonts w:hAnsi="宋体"/>
          <w:sz w:val="21"/>
          <w:szCs w:val="21"/>
        </w:rPr>
        <w:t>甲、乙双方根据</w:t>
      </w:r>
      <w:r>
        <w:rPr>
          <w:rStyle w:val="62"/>
          <w:rFonts w:hAnsi="宋体"/>
          <w:sz w:val="21"/>
          <w:szCs w:val="21"/>
          <w:u w:val="single"/>
        </w:rPr>
        <w:t xml:space="preserve">                 </w:t>
      </w:r>
      <w:r>
        <w:rPr>
          <w:rStyle w:val="62"/>
          <w:rFonts w:hAnsi="宋体"/>
          <w:sz w:val="21"/>
          <w:szCs w:val="21"/>
        </w:rPr>
        <w:t>项目公开</w:t>
      </w:r>
      <w:r>
        <w:rPr>
          <w:rStyle w:val="62"/>
          <w:rFonts w:hint="eastAsia" w:hAnsi="宋体"/>
          <w:sz w:val="21"/>
          <w:szCs w:val="21"/>
        </w:rPr>
        <w:t>比选</w:t>
      </w:r>
      <w:r>
        <w:rPr>
          <w:rStyle w:val="62"/>
          <w:rFonts w:hAnsi="宋体"/>
          <w:sz w:val="21"/>
          <w:szCs w:val="21"/>
        </w:rPr>
        <w:t>的中标结果及中标通知书，签署本合同。</w:t>
      </w:r>
    </w:p>
    <w:p w14:paraId="68E68ACA">
      <w:pPr>
        <w:pStyle w:val="174"/>
        <w:snapToGrid w:val="0"/>
        <w:spacing w:before="120" w:after="120" w:line="360" w:lineRule="auto"/>
        <w:rPr>
          <w:rStyle w:val="62"/>
          <w:rFonts w:hint="eastAsia" w:hAnsi="宋体"/>
          <w:b/>
          <w:sz w:val="21"/>
          <w:szCs w:val="21"/>
        </w:rPr>
      </w:pPr>
      <w:r>
        <w:rPr>
          <w:rStyle w:val="62"/>
          <w:rFonts w:hAnsi="宋体"/>
          <w:b/>
          <w:sz w:val="21"/>
          <w:szCs w:val="21"/>
        </w:rPr>
        <w:t>一、货物内容</w:t>
      </w:r>
    </w:p>
    <w:p w14:paraId="6D7CC164">
      <w:pPr>
        <w:pStyle w:val="174"/>
        <w:snapToGrid w:val="0"/>
        <w:spacing w:before="120" w:after="120" w:line="360" w:lineRule="auto"/>
        <w:rPr>
          <w:rStyle w:val="62"/>
          <w:rFonts w:hint="eastAsia" w:hAnsi="宋体"/>
          <w:sz w:val="21"/>
          <w:szCs w:val="21"/>
        </w:rPr>
      </w:pPr>
      <w:r>
        <w:rPr>
          <w:rStyle w:val="62"/>
          <w:rFonts w:hAnsi="宋体"/>
          <w:sz w:val="21"/>
          <w:szCs w:val="21"/>
        </w:rPr>
        <w:t>1. 货物名称：</w:t>
      </w:r>
    </w:p>
    <w:p w14:paraId="5A0958B9">
      <w:pPr>
        <w:pStyle w:val="174"/>
        <w:snapToGrid w:val="0"/>
        <w:spacing w:before="120" w:after="120" w:line="360" w:lineRule="auto"/>
        <w:rPr>
          <w:rStyle w:val="62"/>
          <w:rFonts w:hint="eastAsia" w:hAnsi="宋体"/>
          <w:sz w:val="21"/>
          <w:szCs w:val="21"/>
        </w:rPr>
      </w:pPr>
      <w:r>
        <w:rPr>
          <w:rStyle w:val="62"/>
          <w:rFonts w:hAnsi="宋体"/>
          <w:sz w:val="21"/>
          <w:szCs w:val="21"/>
        </w:rPr>
        <w:t>2. 型号规格：</w:t>
      </w:r>
    </w:p>
    <w:p w14:paraId="1369F367">
      <w:pPr>
        <w:pStyle w:val="174"/>
        <w:snapToGrid w:val="0"/>
        <w:spacing w:before="120" w:after="120" w:line="360" w:lineRule="auto"/>
        <w:rPr>
          <w:rStyle w:val="62"/>
          <w:rFonts w:hint="eastAsia" w:hAnsi="宋体"/>
          <w:sz w:val="21"/>
          <w:szCs w:val="21"/>
        </w:rPr>
      </w:pPr>
      <w:r>
        <w:rPr>
          <w:rStyle w:val="62"/>
          <w:rFonts w:hAnsi="宋体"/>
          <w:sz w:val="21"/>
          <w:szCs w:val="21"/>
        </w:rPr>
        <w:t>3. 技术参数：</w:t>
      </w:r>
    </w:p>
    <w:p w14:paraId="7991A439">
      <w:pPr>
        <w:pStyle w:val="174"/>
        <w:snapToGrid w:val="0"/>
        <w:spacing w:before="120" w:after="120" w:line="360" w:lineRule="auto"/>
        <w:rPr>
          <w:rStyle w:val="62"/>
          <w:rFonts w:hint="eastAsia" w:hAnsi="宋体"/>
          <w:sz w:val="21"/>
          <w:szCs w:val="21"/>
        </w:rPr>
      </w:pPr>
      <w:r>
        <w:rPr>
          <w:rStyle w:val="62"/>
          <w:rFonts w:hAnsi="宋体"/>
          <w:sz w:val="21"/>
          <w:szCs w:val="21"/>
        </w:rPr>
        <w:t>4. 数量（单位）：</w:t>
      </w:r>
    </w:p>
    <w:p w14:paraId="5A73013C">
      <w:pPr>
        <w:pStyle w:val="174"/>
        <w:snapToGrid w:val="0"/>
        <w:spacing w:before="120" w:after="120" w:line="360" w:lineRule="auto"/>
        <w:rPr>
          <w:rStyle w:val="62"/>
          <w:rFonts w:hint="eastAsia" w:hAnsi="宋体"/>
          <w:b/>
          <w:sz w:val="21"/>
          <w:szCs w:val="21"/>
        </w:rPr>
      </w:pPr>
      <w:r>
        <w:rPr>
          <w:rStyle w:val="62"/>
          <w:rFonts w:hAnsi="宋体"/>
          <w:b/>
          <w:sz w:val="21"/>
          <w:szCs w:val="21"/>
        </w:rPr>
        <w:t>二、合同金额</w:t>
      </w:r>
    </w:p>
    <w:p w14:paraId="465AAF74">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 xml:space="preserve"> 本合同金额为（大写）：________________________元（¥___________元）。</w:t>
      </w:r>
    </w:p>
    <w:p w14:paraId="10BF2E8A">
      <w:pPr>
        <w:pStyle w:val="174"/>
        <w:snapToGrid w:val="0"/>
        <w:spacing w:before="120" w:after="120" w:line="360" w:lineRule="auto"/>
        <w:rPr>
          <w:rStyle w:val="62"/>
          <w:rFonts w:hint="eastAsia" w:hAnsi="宋体"/>
          <w:b/>
          <w:sz w:val="21"/>
          <w:szCs w:val="21"/>
        </w:rPr>
      </w:pPr>
      <w:r>
        <w:rPr>
          <w:rStyle w:val="62"/>
          <w:rFonts w:hAnsi="宋体"/>
          <w:b/>
          <w:sz w:val="21"/>
          <w:szCs w:val="21"/>
        </w:rPr>
        <w:t>三、技术资料</w:t>
      </w:r>
    </w:p>
    <w:p w14:paraId="2E3EC734">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1.乙方应按采购文件规定的时间向甲方提供使用货物的有关技术资料。</w:t>
      </w:r>
    </w:p>
    <w:p w14:paraId="345B51A1">
      <w:pPr>
        <w:pStyle w:val="174"/>
        <w:snapToGrid w:val="0"/>
        <w:spacing w:before="120" w:after="120" w:line="360" w:lineRule="auto"/>
        <w:rPr>
          <w:rStyle w:val="62"/>
          <w:rFonts w:hint="eastAsia" w:hAnsi="宋体"/>
          <w:sz w:val="21"/>
          <w:szCs w:val="21"/>
        </w:rPr>
      </w:pPr>
      <w:r>
        <w:rPr>
          <w:rStyle w:val="62"/>
          <w:rFonts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54308C">
      <w:pPr>
        <w:pStyle w:val="174"/>
        <w:snapToGrid w:val="0"/>
        <w:spacing w:before="120" w:after="120" w:line="360" w:lineRule="auto"/>
        <w:ind w:left="360" w:hanging="361"/>
        <w:rPr>
          <w:rStyle w:val="62"/>
          <w:rFonts w:hint="eastAsia" w:hAnsi="宋体"/>
          <w:b/>
          <w:sz w:val="21"/>
          <w:szCs w:val="21"/>
        </w:rPr>
      </w:pPr>
      <w:r>
        <w:rPr>
          <w:rStyle w:val="62"/>
          <w:rFonts w:hAnsi="宋体"/>
          <w:b/>
          <w:sz w:val="21"/>
          <w:szCs w:val="21"/>
        </w:rPr>
        <w:t>四、知识产权、产权担保</w:t>
      </w:r>
    </w:p>
    <w:p w14:paraId="2697EFB5">
      <w:pPr>
        <w:pStyle w:val="174"/>
        <w:snapToGrid w:val="0"/>
        <w:spacing w:before="120" w:after="120" w:line="360" w:lineRule="auto"/>
        <w:rPr>
          <w:rStyle w:val="62"/>
          <w:rFonts w:hint="eastAsia" w:hAnsi="宋体" w:cs="宋体"/>
          <w:bCs/>
          <w:sz w:val="21"/>
          <w:szCs w:val="21"/>
        </w:rPr>
      </w:pPr>
      <w:r>
        <w:rPr>
          <w:rStyle w:val="62"/>
          <w:rFonts w:hAnsi="宋体"/>
          <w:sz w:val="21"/>
          <w:szCs w:val="21"/>
        </w:rPr>
        <w:t>1.乙方应保证所提供的货物或其任何一部分均不会侵犯任何第三方的知识产权</w:t>
      </w:r>
      <w:r>
        <w:rPr>
          <w:rStyle w:val="62"/>
          <w:rFonts w:hAnsi="宋体" w:cs="宋体"/>
          <w:bCs/>
          <w:sz w:val="21"/>
          <w:szCs w:val="21"/>
        </w:rPr>
        <w:t>。</w:t>
      </w:r>
    </w:p>
    <w:p w14:paraId="529E5FAD">
      <w:pPr>
        <w:pStyle w:val="174"/>
        <w:snapToGrid w:val="0"/>
        <w:spacing w:before="120" w:after="120" w:line="360" w:lineRule="auto"/>
        <w:ind w:left="357" w:hanging="357"/>
        <w:rPr>
          <w:rStyle w:val="62"/>
          <w:rFonts w:hint="eastAsia" w:hAnsi="宋体"/>
          <w:sz w:val="21"/>
          <w:szCs w:val="21"/>
          <w:u w:val="single"/>
        </w:rPr>
      </w:pPr>
      <w:r>
        <w:rPr>
          <w:rStyle w:val="62"/>
          <w:rFonts w:hAnsi="宋体" w:cs="宋体"/>
          <w:bCs/>
          <w:sz w:val="21"/>
          <w:szCs w:val="21"/>
        </w:rPr>
        <w:t>2.</w:t>
      </w:r>
      <w:r>
        <w:rPr>
          <w:rStyle w:val="62"/>
          <w:rFonts w:hAnsi="宋体"/>
          <w:sz w:val="21"/>
          <w:szCs w:val="21"/>
        </w:rPr>
        <w:t>乙方保证所交付的货物的所有权完全属于乙方且无任何抵押、查封等产权瑕疵。</w:t>
      </w:r>
    </w:p>
    <w:p w14:paraId="764BA388">
      <w:pPr>
        <w:pStyle w:val="174"/>
        <w:snapToGrid w:val="0"/>
        <w:spacing w:before="120" w:after="120" w:line="360" w:lineRule="auto"/>
        <w:ind w:left="360" w:hanging="361"/>
        <w:rPr>
          <w:rStyle w:val="62"/>
          <w:rFonts w:hint="eastAsia" w:hAnsi="宋体"/>
          <w:b/>
          <w:sz w:val="21"/>
          <w:szCs w:val="21"/>
        </w:rPr>
      </w:pPr>
      <w:r>
        <w:rPr>
          <w:rStyle w:val="62"/>
          <w:rFonts w:hAnsi="宋体"/>
          <w:b/>
          <w:sz w:val="21"/>
          <w:szCs w:val="21"/>
        </w:rPr>
        <w:t>五、乙方承担的义务和责任</w:t>
      </w:r>
    </w:p>
    <w:p w14:paraId="57A58224">
      <w:pPr>
        <w:pStyle w:val="174"/>
        <w:snapToGrid w:val="0"/>
        <w:spacing w:before="120" w:after="120" w:line="360" w:lineRule="auto"/>
        <w:rPr>
          <w:rStyle w:val="62"/>
          <w:rFonts w:hint="eastAsia" w:hAnsi="宋体"/>
          <w:sz w:val="21"/>
          <w:szCs w:val="21"/>
        </w:rPr>
      </w:pPr>
      <w:r>
        <w:rPr>
          <w:rStyle w:val="62"/>
          <w:rFonts w:hAnsi="宋体"/>
          <w:sz w:val="21"/>
          <w:szCs w:val="21"/>
        </w:rPr>
        <w:t>1.乙方保证具备实施本工程的合法资格，且已依法取得国家要求的资格、资质。</w:t>
      </w:r>
    </w:p>
    <w:p w14:paraId="030565CC">
      <w:pPr>
        <w:pStyle w:val="174"/>
        <w:snapToGrid w:val="0"/>
        <w:spacing w:before="120" w:after="120" w:line="360" w:lineRule="auto"/>
        <w:rPr>
          <w:rStyle w:val="62"/>
          <w:rFonts w:hint="eastAsia" w:hAnsi="宋体"/>
          <w:sz w:val="21"/>
          <w:szCs w:val="21"/>
        </w:rPr>
      </w:pPr>
      <w:r>
        <w:rPr>
          <w:rStyle w:val="62"/>
          <w:rFonts w:hAnsi="宋体"/>
          <w:sz w:val="21"/>
          <w:szCs w:val="21"/>
        </w:rPr>
        <w:t>2.根据合同要求按时优质完成维修服务，对维修质量负责。</w:t>
      </w:r>
    </w:p>
    <w:p w14:paraId="7AB1B581">
      <w:pPr>
        <w:pStyle w:val="174"/>
        <w:snapToGrid w:val="0"/>
        <w:spacing w:before="120" w:after="120" w:line="360" w:lineRule="auto"/>
        <w:rPr>
          <w:rStyle w:val="62"/>
          <w:rFonts w:hint="eastAsia" w:hAnsi="宋体"/>
          <w:sz w:val="21"/>
          <w:szCs w:val="21"/>
        </w:rPr>
      </w:pPr>
      <w:r>
        <w:rPr>
          <w:rStyle w:val="62"/>
          <w:rFonts w:hAnsi="宋体"/>
          <w:sz w:val="21"/>
          <w:szCs w:val="21"/>
        </w:rPr>
        <w:t xml:space="preserve">3.完成项目中需要的设备、材料等由乙方负责，所需费用已包含在合同价款中。 </w:t>
      </w:r>
    </w:p>
    <w:p w14:paraId="29BE658E">
      <w:pPr>
        <w:pStyle w:val="174"/>
        <w:snapToGrid w:val="0"/>
        <w:spacing w:before="120" w:after="120" w:line="360" w:lineRule="auto"/>
        <w:rPr>
          <w:rStyle w:val="62"/>
          <w:rFonts w:hint="eastAsia" w:hAnsi="宋体"/>
          <w:sz w:val="21"/>
          <w:szCs w:val="21"/>
        </w:rPr>
      </w:pPr>
      <w:r>
        <w:rPr>
          <w:rStyle w:val="62"/>
          <w:rFonts w:hAnsi="宋体"/>
          <w:sz w:val="21"/>
          <w:szCs w:val="21"/>
        </w:rPr>
        <w:t>4.乙方人员须遵守甲方现场及国家相关安全管理规定，其一切安全（含人身安全）由乙方负责，甲方不负任何责任，</w:t>
      </w:r>
      <w:r>
        <w:rPr>
          <w:rStyle w:val="62"/>
          <w:rFonts w:hint="eastAsia" w:hAnsi="宋体"/>
          <w:sz w:val="21"/>
          <w:szCs w:val="21"/>
        </w:rPr>
        <w:t>其他</w:t>
      </w:r>
      <w:r>
        <w:rPr>
          <w:rStyle w:val="62"/>
          <w:rFonts w:hAnsi="宋体"/>
          <w:sz w:val="21"/>
          <w:szCs w:val="21"/>
        </w:rPr>
        <w:t xml:space="preserve">方造成人身伤亡或安全事故的由责任方承担。如因乙方自身原因发生的事故，所产生的损失及费用由乙方自行承担。 </w:t>
      </w:r>
    </w:p>
    <w:p w14:paraId="699D48EA">
      <w:pPr>
        <w:pStyle w:val="174"/>
        <w:snapToGrid w:val="0"/>
        <w:spacing w:before="120" w:after="120" w:line="360" w:lineRule="auto"/>
        <w:rPr>
          <w:rStyle w:val="62"/>
          <w:rFonts w:hint="eastAsia" w:hAnsi="宋体"/>
          <w:b/>
          <w:sz w:val="21"/>
          <w:szCs w:val="21"/>
        </w:rPr>
      </w:pPr>
      <w:r>
        <w:rPr>
          <w:rStyle w:val="62"/>
          <w:rFonts w:hAnsi="宋体"/>
          <w:b/>
          <w:sz w:val="21"/>
          <w:szCs w:val="21"/>
        </w:rPr>
        <w:t>六、转包或分包</w:t>
      </w:r>
    </w:p>
    <w:p w14:paraId="398F6AB1">
      <w:pPr>
        <w:snapToGrid w:val="0"/>
        <w:spacing w:before="156" w:after="156" w:line="360" w:lineRule="auto"/>
        <w:rPr>
          <w:rStyle w:val="62"/>
          <w:rFonts w:hint="eastAsia" w:ascii="宋体" w:hAnsi="宋体"/>
          <w:szCs w:val="21"/>
        </w:rPr>
      </w:pPr>
      <w:r>
        <w:rPr>
          <w:rStyle w:val="62"/>
          <w:rFonts w:ascii="宋体" w:hAnsi="宋体"/>
          <w:szCs w:val="21"/>
        </w:rPr>
        <w:t>1.本合同范围的货物，应由乙方直接供应，不得转让他人供应；</w:t>
      </w:r>
    </w:p>
    <w:p w14:paraId="106BD953">
      <w:pPr>
        <w:snapToGrid w:val="0"/>
        <w:spacing w:before="156" w:after="156" w:line="360" w:lineRule="auto"/>
        <w:rPr>
          <w:rStyle w:val="62"/>
          <w:rFonts w:hint="eastAsia" w:ascii="宋体" w:hAnsi="宋体"/>
          <w:szCs w:val="21"/>
        </w:rPr>
      </w:pPr>
      <w:r>
        <w:rPr>
          <w:rStyle w:val="62"/>
          <w:rFonts w:ascii="宋体" w:hAnsi="宋体"/>
          <w:szCs w:val="21"/>
        </w:rPr>
        <w:t>2.除非得到甲方的书面同意，乙方不得将本合同范围的货物全部或部分分包给他人供应；</w:t>
      </w:r>
    </w:p>
    <w:p w14:paraId="4E742BF8">
      <w:pPr>
        <w:snapToGrid w:val="0"/>
        <w:spacing w:before="156" w:after="156" w:line="360" w:lineRule="auto"/>
        <w:rPr>
          <w:rStyle w:val="62"/>
          <w:rFonts w:hint="eastAsia" w:ascii="宋体" w:hAnsi="宋体"/>
          <w:szCs w:val="21"/>
        </w:rPr>
      </w:pPr>
      <w:r>
        <w:rPr>
          <w:rStyle w:val="62"/>
          <w:rFonts w:ascii="宋体" w:hAnsi="宋体"/>
          <w:szCs w:val="21"/>
        </w:rPr>
        <w:t>3.如有转让和未经甲方同意的分包行为，甲方有权解除合同，没收履约保证金并追究乙方的违约责任。</w:t>
      </w:r>
    </w:p>
    <w:p w14:paraId="6AD59936">
      <w:pPr>
        <w:pStyle w:val="174"/>
        <w:snapToGrid w:val="0"/>
        <w:spacing w:before="120" w:after="120" w:line="360" w:lineRule="auto"/>
        <w:rPr>
          <w:rStyle w:val="62"/>
          <w:rFonts w:hint="eastAsia" w:hAnsi="宋体"/>
          <w:sz w:val="21"/>
          <w:szCs w:val="21"/>
        </w:rPr>
      </w:pPr>
      <w:r>
        <w:rPr>
          <w:rStyle w:val="62"/>
          <w:rFonts w:hAnsi="宋体"/>
          <w:b/>
          <w:sz w:val="21"/>
          <w:szCs w:val="21"/>
        </w:rPr>
        <w:t>七、质保金</w:t>
      </w:r>
    </w:p>
    <w:p w14:paraId="17526CE5">
      <w:pPr>
        <w:pStyle w:val="174"/>
        <w:snapToGrid w:val="0"/>
        <w:spacing w:before="120" w:after="120" w:line="360" w:lineRule="auto"/>
        <w:ind w:left="359" w:hanging="359"/>
        <w:rPr>
          <w:rStyle w:val="62"/>
          <w:rFonts w:hint="eastAsia" w:hAnsi="宋体"/>
          <w:sz w:val="21"/>
          <w:szCs w:val="21"/>
        </w:rPr>
      </w:pPr>
      <w:r>
        <w:rPr>
          <w:rStyle w:val="62"/>
          <w:rFonts w:hAnsi="宋体"/>
          <w:sz w:val="21"/>
          <w:szCs w:val="21"/>
          <w:u w:val="single"/>
        </w:rPr>
        <w:t>中标价的</w:t>
      </w:r>
      <w:r>
        <w:rPr>
          <w:rStyle w:val="62"/>
          <w:rFonts w:hint="eastAsia" w:hAnsi="宋体"/>
          <w:sz w:val="21"/>
          <w:szCs w:val="21"/>
          <w:u w:val="single"/>
          <w:lang w:val="en-US" w:eastAsia="zh-CN"/>
        </w:rPr>
        <w:t>5</w:t>
      </w:r>
      <w:r>
        <w:rPr>
          <w:rStyle w:val="62"/>
          <w:rFonts w:hAnsi="宋体"/>
          <w:sz w:val="21"/>
          <w:szCs w:val="21"/>
          <w:u w:val="single"/>
        </w:rPr>
        <w:t>%</w:t>
      </w:r>
      <w:r>
        <w:rPr>
          <w:rStyle w:val="62"/>
          <w:rFonts w:hAnsi="宋体"/>
          <w:sz w:val="21"/>
          <w:szCs w:val="21"/>
        </w:rPr>
        <w:t>质保金。</w:t>
      </w:r>
    </w:p>
    <w:p w14:paraId="044D0FA3">
      <w:pPr>
        <w:pStyle w:val="174"/>
        <w:snapToGrid w:val="0"/>
        <w:spacing w:before="120" w:after="120" w:line="360" w:lineRule="auto"/>
        <w:rPr>
          <w:rStyle w:val="62"/>
          <w:rFonts w:hint="eastAsia" w:hAnsi="宋体"/>
          <w:b/>
          <w:sz w:val="21"/>
          <w:szCs w:val="21"/>
        </w:rPr>
      </w:pPr>
      <w:r>
        <w:rPr>
          <w:rStyle w:val="62"/>
          <w:rFonts w:hAnsi="宋体"/>
          <w:b/>
          <w:sz w:val="21"/>
          <w:szCs w:val="21"/>
        </w:rPr>
        <w:t>八、交货期、交货方式及交货地点</w:t>
      </w:r>
    </w:p>
    <w:p w14:paraId="05AA67B5">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1. 交货期：</w:t>
      </w:r>
      <w:r>
        <w:rPr>
          <w:rStyle w:val="62"/>
          <w:rFonts w:hint="eastAsia" w:hAnsi="宋体" w:cs="宋体"/>
          <w:bCs/>
          <w:sz w:val="21"/>
          <w:szCs w:val="21"/>
        </w:rPr>
        <w:t xml:space="preserve">      </w:t>
      </w:r>
    </w:p>
    <w:p w14:paraId="5C6D802A">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2. 交货方式：现场交货。</w:t>
      </w:r>
    </w:p>
    <w:p w14:paraId="366CD6D5">
      <w:pPr>
        <w:pStyle w:val="174"/>
        <w:snapToGrid w:val="0"/>
        <w:spacing w:before="120" w:after="120" w:line="360" w:lineRule="auto"/>
        <w:rPr>
          <w:rStyle w:val="62"/>
          <w:rFonts w:hint="eastAsia" w:hAnsi="宋体"/>
          <w:b/>
          <w:sz w:val="21"/>
          <w:szCs w:val="21"/>
        </w:rPr>
      </w:pPr>
      <w:r>
        <w:rPr>
          <w:rStyle w:val="62"/>
          <w:rFonts w:hAnsi="宋体" w:cs="宋体"/>
          <w:bCs/>
          <w:sz w:val="21"/>
          <w:szCs w:val="21"/>
        </w:rPr>
        <w:t>3. 交货地点：采购人指定地点。</w:t>
      </w:r>
    </w:p>
    <w:p w14:paraId="22FCDC53">
      <w:pPr>
        <w:pStyle w:val="174"/>
        <w:snapToGrid w:val="0"/>
        <w:spacing w:before="120" w:after="120" w:line="360" w:lineRule="auto"/>
        <w:rPr>
          <w:rStyle w:val="62"/>
          <w:rFonts w:hint="eastAsia" w:hAnsi="宋体"/>
          <w:b/>
          <w:sz w:val="21"/>
          <w:szCs w:val="21"/>
        </w:rPr>
      </w:pPr>
      <w:r>
        <w:rPr>
          <w:rStyle w:val="62"/>
          <w:rFonts w:hAnsi="宋体"/>
          <w:b/>
          <w:sz w:val="21"/>
          <w:szCs w:val="21"/>
        </w:rPr>
        <w:t>九、货款支付</w:t>
      </w:r>
    </w:p>
    <w:p w14:paraId="79A75201">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1. 付款方式：</w:t>
      </w:r>
    </w:p>
    <w:p w14:paraId="056DFCD1">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（1）合同签订生效后7个工作日内，甲方支付乙方本合同金额的30%作为预付款；</w:t>
      </w:r>
    </w:p>
    <w:p w14:paraId="6788A3C2">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（2）本项目实施完成，具备进粮条件并通过甲乙双方验收，甲方7个工作日内支付55%的合同款；</w:t>
      </w:r>
    </w:p>
    <w:p w14:paraId="7FFF2E67">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（3）验收完成后6个月，甲方7个工作日内支付10%的合同款；</w:t>
      </w:r>
    </w:p>
    <w:p w14:paraId="7BA418F4">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（4）合同剩余5%款项作为质保金，自项目改造完成甲乙双方验收签字盖章验收之日起计算，质保期满后甲方无息支付尾款。</w:t>
      </w:r>
    </w:p>
    <w:p w14:paraId="76BFE13F">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注：乙方应在甲方支付合同款项前提供等额有效发票。</w:t>
      </w:r>
      <w:r>
        <w:rPr>
          <w:rStyle w:val="62"/>
          <w:rFonts w:hAnsi="宋体" w:cs="宋体"/>
          <w:bCs/>
          <w:sz w:val="21"/>
          <w:szCs w:val="21"/>
        </w:rPr>
        <w:t>。</w:t>
      </w:r>
    </w:p>
    <w:p w14:paraId="347688B7">
      <w:pPr>
        <w:pStyle w:val="174"/>
        <w:snapToGrid w:val="0"/>
        <w:spacing w:before="120" w:after="120" w:line="360" w:lineRule="auto"/>
        <w:ind w:left="420" w:hanging="420"/>
        <w:jc w:val="left"/>
        <w:rPr>
          <w:rStyle w:val="62"/>
          <w:rFonts w:hint="eastAsia" w:hAnsi="宋体" w:cs="宋体"/>
          <w:bCs/>
          <w:sz w:val="21"/>
          <w:szCs w:val="21"/>
        </w:rPr>
      </w:pPr>
      <w:r>
        <w:rPr>
          <w:rStyle w:val="62"/>
          <w:rFonts w:hAnsi="宋体" w:cs="宋体"/>
          <w:bCs/>
          <w:sz w:val="21"/>
          <w:szCs w:val="21"/>
        </w:rPr>
        <w:t xml:space="preserve">2. </w:t>
      </w:r>
      <w:r>
        <w:rPr>
          <w:rStyle w:val="62"/>
          <w:rFonts w:hAnsi="宋体"/>
          <w:sz w:val="21"/>
          <w:szCs w:val="21"/>
        </w:rPr>
        <w:t>乙方应根据实际使用量供货，合同的最终结算金额按实际使用量乘以成交单价进行计算。</w:t>
      </w:r>
    </w:p>
    <w:p w14:paraId="6DA4F3C5">
      <w:pPr>
        <w:snapToGrid w:val="0"/>
        <w:spacing w:before="156" w:after="156" w:line="360" w:lineRule="auto"/>
        <w:rPr>
          <w:rStyle w:val="62"/>
          <w:rFonts w:hint="eastAsia" w:ascii="宋体" w:hAnsi="宋体"/>
          <w:b/>
          <w:szCs w:val="21"/>
        </w:rPr>
      </w:pPr>
      <w:r>
        <w:rPr>
          <w:rStyle w:val="62"/>
          <w:rFonts w:ascii="宋体" w:hAnsi="宋体"/>
          <w:b/>
          <w:szCs w:val="21"/>
        </w:rPr>
        <w:t>十、税费</w:t>
      </w:r>
    </w:p>
    <w:p w14:paraId="5D589BE0">
      <w:pPr>
        <w:snapToGrid w:val="0"/>
        <w:spacing w:before="156" w:after="156" w:line="360" w:lineRule="auto"/>
        <w:rPr>
          <w:rStyle w:val="62"/>
          <w:rFonts w:hint="eastAsia" w:ascii="宋体" w:hAnsi="宋体"/>
          <w:szCs w:val="21"/>
        </w:rPr>
      </w:pPr>
      <w:r>
        <w:rPr>
          <w:rStyle w:val="62"/>
          <w:rFonts w:ascii="宋体" w:hAnsi="宋体"/>
          <w:szCs w:val="21"/>
        </w:rPr>
        <w:t>本合同执行中相关的一切税费均由乙方负担</w:t>
      </w:r>
      <w:r>
        <w:rPr>
          <w:rStyle w:val="62"/>
          <w:rFonts w:hint="eastAsia" w:ascii="宋体" w:hAnsi="宋体"/>
          <w:szCs w:val="21"/>
        </w:rPr>
        <w:t>。</w:t>
      </w:r>
    </w:p>
    <w:p w14:paraId="4111EF54">
      <w:pPr>
        <w:pStyle w:val="174"/>
        <w:snapToGrid w:val="0"/>
        <w:spacing w:before="120" w:after="120" w:line="360" w:lineRule="auto"/>
        <w:ind w:left="360" w:hanging="361"/>
        <w:rPr>
          <w:rStyle w:val="62"/>
          <w:rFonts w:hint="eastAsia" w:hAnsi="宋体"/>
          <w:sz w:val="21"/>
          <w:szCs w:val="21"/>
        </w:rPr>
      </w:pPr>
      <w:r>
        <w:rPr>
          <w:rStyle w:val="62"/>
          <w:rFonts w:hAnsi="宋体"/>
          <w:b/>
          <w:sz w:val="21"/>
          <w:szCs w:val="21"/>
        </w:rPr>
        <w:t>十一、质量保证及售后服务</w:t>
      </w:r>
    </w:p>
    <w:p w14:paraId="164D71E4">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 乙方应按采购文件规定的货物性能、技术要求、质量标准向甲方提供未经使用的全新产品。乙方为客户提供24小时服务电话，保证及时服务。</w:t>
      </w:r>
    </w:p>
    <w:p w14:paraId="64EF6ACB">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2. 乙方提供的货物在质保期内因货物本身的质量问题发生故障，乙方应负责免费更换。对达不到技术要求者，根据实际情况，经双方协商，可按以下办法处理：</w:t>
      </w:r>
    </w:p>
    <w:p w14:paraId="0928C66D">
      <w:pPr>
        <w:pStyle w:val="174"/>
        <w:snapToGrid w:val="0"/>
        <w:spacing w:before="120" w:after="120" w:line="360" w:lineRule="auto"/>
        <w:ind w:firstLine="420"/>
        <w:rPr>
          <w:rStyle w:val="62"/>
          <w:rFonts w:hint="eastAsia" w:hAnsi="宋体"/>
          <w:sz w:val="21"/>
          <w:szCs w:val="21"/>
        </w:rPr>
      </w:pPr>
      <w:r>
        <w:rPr>
          <w:rStyle w:val="62"/>
          <w:rFonts w:hAnsi="宋体"/>
          <w:sz w:val="21"/>
          <w:szCs w:val="21"/>
        </w:rPr>
        <w:t>⑴更换：由乙方承担所发生的全部费用。</w:t>
      </w:r>
    </w:p>
    <w:p w14:paraId="27DB5469">
      <w:pPr>
        <w:pStyle w:val="174"/>
        <w:snapToGrid w:val="0"/>
        <w:spacing w:before="120" w:after="120" w:line="360" w:lineRule="auto"/>
        <w:ind w:firstLine="420"/>
        <w:rPr>
          <w:rStyle w:val="62"/>
          <w:rFonts w:hint="eastAsia" w:hAnsi="宋体"/>
          <w:sz w:val="21"/>
          <w:szCs w:val="21"/>
        </w:rPr>
      </w:pPr>
      <w:r>
        <w:rPr>
          <w:rStyle w:val="62"/>
          <w:rFonts w:hAnsi="宋体"/>
          <w:sz w:val="21"/>
          <w:szCs w:val="21"/>
        </w:rPr>
        <w:t>⑵贬值处理：由甲乙双方合议定价。</w:t>
      </w:r>
    </w:p>
    <w:p w14:paraId="2B3468F5">
      <w:pPr>
        <w:pStyle w:val="174"/>
        <w:snapToGrid w:val="0"/>
        <w:spacing w:before="120" w:after="120" w:line="360" w:lineRule="auto"/>
        <w:ind w:left="420" w:leftChars="200"/>
        <w:rPr>
          <w:rStyle w:val="62"/>
          <w:rFonts w:hint="eastAsia" w:hAnsi="宋体"/>
          <w:sz w:val="21"/>
          <w:szCs w:val="21"/>
        </w:rPr>
      </w:pPr>
      <w:r>
        <w:rPr>
          <w:rStyle w:val="62"/>
          <w:rFonts w:hAnsi="宋体"/>
          <w:sz w:val="21"/>
          <w:szCs w:val="21"/>
        </w:rPr>
        <w:t>⑶退货处理：乙方应退还甲方支付的合同款，同时应承担该货物的直接费用（运输、保险、检验、货款利息及银行手续费等）。</w:t>
      </w:r>
    </w:p>
    <w:p w14:paraId="3A192A59">
      <w:pPr>
        <w:pStyle w:val="174"/>
        <w:snapToGrid w:val="0"/>
        <w:spacing w:before="120" w:after="120" w:line="360" w:lineRule="auto"/>
        <w:rPr>
          <w:rStyle w:val="62"/>
          <w:rFonts w:hint="eastAsia" w:hAnsi="宋体"/>
          <w:sz w:val="21"/>
          <w:szCs w:val="21"/>
        </w:rPr>
      </w:pPr>
      <w:r>
        <w:rPr>
          <w:rStyle w:val="62"/>
          <w:rFonts w:hAnsi="宋体"/>
          <w:sz w:val="21"/>
          <w:szCs w:val="21"/>
        </w:rPr>
        <w:t>3. 如在使用过程中发生质量问题，乙方在接到甲方通知后在6小时内到达甲方现场。</w:t>
      </w:r>
    </w:p>
    <w:p w14:paraId="1700623E">
      <w:pPr>
        <w:pStyle w:val="174"/>
        <w:snapToGrid w:val="0"/>
        <w:spacing w:before="120" w:after="120" w:line="360" w:lineRule="auto"/>
        <w:rPr>
          <w:rStyle w:val="62"/>
          <w:rFonts w:hint="eastAsia" w:hAnsi="宋体"/>
          <w:sz w:val="21"/>
          <w:szCs w:val="21"/>
        </w:rPr>
      </w:pPr>
      <w:r>
        <w:rPr>
          <w:rStyle w:val="62"/>
          <w:rFonts w:hAnsi="宋体"/>
          <w:sz w:val="21"/>
          <w:szCs w:val="21"/>
        </w:rPr>
        <w:t>4. 在质保期内，乙方应对货物出现的质量及安全问题负责处理解决并承担一切费用。</w:t>
      </w:r>
    </w:p>
    <w:p w14:paraId="6BC71200">
      <w:pPr>
        <w:pStyle w:val="174"/>
        <w:snapToGrid w:val="0"/>
        <w:spacing w:before="120" w:after="120" w:line="360" w:lineRule="auto"/>
        <w:rPr>
          <w:rStyle w:val="62"/>
          <w:rFonts w:hint="eastAsia" w:hAnsi="宋体"/>
          <w:sz w:val="21"/>
          <w:szCs w:val="21"/>
        </w:rPr>
      </w:pPr>
      <w:r>
        <w:rPr>
          <w:rStyle w:val="62"/>
          <w:rFonts w:hAnsi="宋体"/>
          <w:sz w:val="21"/>
          <w:szCs w:val="21"/>
        </w:rPr>
        <w:t>5.质保期内出现质量问题的，乙方应当自接到甲方通知后5日内解决，所需费用由乙方承担，因此影响甲方生产的，乙方应赔偿甲方的实际损失。如乙方未在规定期限内解决质量问题，甲方有权自行或委托他人修理，乙方负责所需费用并赔偿由此给甲方造成的损失。</w:t>
      </w:r>
    </w:p>
    <w:p w14:paraId="6116BA4F">
      <w:pPr>
        <w:pStyle w:val="174"/>
        <w:snapToGrid w:val="0"/>
        <w:spacing w:before="120" w:after="120" w:line="360" w:lineRule="auto"/>
        <w:rPr>
          <w:rStyle w:val="62"/>
          <w:rFonts w:hint="eastAsia" w:hAnsi="宋体"/>
          <w:b/>
          <w:sz w:val="21"/>
          <w:szCs w:val="21"/>
        </w:rPr>
      </w:pPr>
      <w:r>
        <w:rPr>
          <w:rStyle w:val="62"/>
          <w:rFonts w:hAnsi="宋体"/>
          <w:b/>
          <w:sz w:val="21"/>
          <w:szCs w:val="21"/>
        </w:rPr>
        <w:t>十二、调试和验收</w:t>
      </w:r>
    </w:p>
    <w:p w14:paraId="2F1B412A">
      <w:pPr>
        <w:pStyle w:val="174"/>
        <w:snapToGrid w:val="0"/>
        <w:spacing w:before="120" w:after="120" w:line="360" w:lineRule="auto"/>
        <w:ind w:right="-312"/>
        <w:jc w:val="left"/>
        <w:rPr>
          <w:rStyle w:val="62"/>
          <w:rFonts w:hint="eastAsia" w:hAnsi="宋体"/>
          <w:sz w:val="21"/>
          <w:szCs w:val="21"/>
        </w:rPr>
      </w:pPr>
      <w:r>
        <w:rPr>
          <w:rStyle w:val="62"/>
          <w:rFonts w:hAnsi="宋体"/>
          <w:sz w:val="21"/>
          <w:szCs w:val="21"/>
        </w:rPr>
        <w:t>1. 甲方对乙方提交的货物依据采购文件上的技术规格要求和国家有关质量标准进行现场初步验收，外观、说明书符合采购文件技术要求的，给予签收，初步验收不合格的不予签收。所有更换的备件在装配前，由甲方人员确认后方可使用，甲方的确认并不免除乙方的质量责任。</w:t>
      </w:r>
    </w:p>
    <w:p w14:paraId="08701728">
      <w:pPr>
        <w:pStyle w:val="174"/>
        <w:snapToGrid w:val="0"/>
        <w:spacing w:before="120" w:after="120" w:line="360" w:lineRule="auto"/>
        <w:ind w:right="-312"/>
        <w:rPr>
          <w:rStyle w:val="62"/>
          <w:rFonts w:hint="eastAsia" w:hAnsi="宋体"/>
          <w:sz w:val="21"/>
          <w:szCs w:val="21"/>
        </w:rPr>
      </w:pPr>
      <w:r>
        <w:rPr>
          <w:rStyle w:val="62"/>
          <w:rFonts w:hAnsi="宋体"/>
          <w:sz w:val="21"/>
          <w:szCs w:val="21"/>
        </w:rPr>
        <w:t>2. 乙方交货前应对产品</w:t>
      </w:r>
      <w:r>
        <w:rPr>
          <w:rStyle w:val="62"/>
          <w:rFonts w:hint="eastAsia" w:hAnsi="宋体"/>
          <w:sz w:val="21"/>
          <w:szCs w:val="21"/>
        </w:rPr>
        <w:t>做出</w:t>
      </w:r>
      <w:r>
        <w:rPr>
          <w:rStyle w:val="62"/>
          <w:rFonts w:hAnsi="宋体"/>
          <w:sz w:val="21"/>
          <w:szCs w:val="21"/>
        </w:rPr>
        <w:t>全面检查和对验收文件进行整理，并列出清单，作为甲方收货验收和使用的技术条件依据，检验的结果应随货物交甲方。</w:t>
      </w:r>
    </w:p>
    <w:p w14:paraId="3085CA27">
      <w:pPr>
        <w:pStyle w:val="174"/>
        <w:snapToGrid w:val="0"/>
        <w:spacing w:before="120" w:after="120" w:line="360" w:lineRule="auto"/>
        <w:ind w:right="-312"/>
        <w:rPr>
          <w:rStyle w:val="62"/>
          <w:rFonts w:hint="eastAsia" w:hAnsi="宋体"/>
          <w:sz w:val="21"/>
          <w:szCs w:val="21"/>
        </w:rPr>
      </w:pPr>
      <w:r>
        <w:rPr>
          <w:rStyle w:val="62"/>
          <w:rFonts w:hAnsi="宋体"/>
          <w:sz w:val="21"/>
          <w:szCs w:val="21"/>
        </w:rPr>
        <w:t>3.货物安装完毕后，设备的精度、性能，达到或恢复维修前使用要求和技术要求。</w:t>
      </w:r>
    </w:p>
    <w:p w14:paraId="591CE131">
      <w:pPr>
        <w:pStyle w:val="174"/>
        <w:snapToGrid w:val="0"/>
        <w:spacing w:before="120" w:after="120" w:line="360" w:lineRule="auto"/>
        <w:ind w:right="-312"/>
        <w:rPr>
          <w:rStyle w:val="62"/>
          <w:rFonts w:hint="eastAsia" w:hAnsi="宋体"/>
          <w:sz w:val="21"/>
          <w:szCs w:val="21"/>
        </w:rPr>
      </w:pPr>
      <w:r>
        <w:rPr>
          <w:rStyle w:val="62"/>
          <w:rFonts w:hAnsi="宋体"/>
          <w:sz w:val="21"/>
          <w:szCs w:val="21"/>
        </w:rPr>
        <w:t>3. 乙方需协助甲方一起调试，直到符合技术要求，甲方才做最终验收。</w:t>
      </w:r>
    </w:p>
    <w:p w14:paraId="02BE3434">
      <w:pPr>
        <w:pStyle w:val="174"/>
        <w:snapToGrid w:val="0"/>
        <w:spacing w:before="120" w:after="120" w:line="360" w:lineRule="auto"/>
        <w:ind w:right="-312"/>
        <w:rPr>
          <w:rStyle w:val="62"/>
          <w:rFonts w:hint="eastAsia" w:hAnsi="宋体"/>
          <w:sz w:val="21"/>
          <w:szCs w:val="21"/>
        </w:rPr>
      </w:pPr>
      <w:r>
        <w:rPr>
          <w:rStyle w:val="62"/>
          <w:rFonts w:hAnsi="宋体"/>
          <w:sz w:val="21"/>
          <w:szCs w:val="21"/>
        </w:rPr>
        <w:t>4. 货物安装完毕，乙方调试正常后，准备验收报告，通知甲方验收，甲填写验收意见，验收合格后，双方签署验收报告，验收合格并不免除乙方的质量责任。 验收时乙方必须在现场，验收完毕后作出验收结果报告；验收费用由乙方负责。</w:t>
      </w:r>
    </w:p>
    <w:p w14:paraId="7656092F">
      <w:pPr>
        <w:pStyle w:val="174"/>
        <w:snapToGrid w:val="0"/>
        <w:spacing w:before="120" w:after="120" w:line="360" w:lineRule="auto"/>
        <w:rPr>
          <w:rStyle w:val="62"/>
          <w:rFonts w:hint="eastAsia" w:hAnsi="宋体"/>
          <w:b/>
          <w:color w:val="FF0000"/>
          <w:sz w:val="21"/>
          <w:szCs w:val="21"/>
          <w:highlight w:val="yellow"/>
        </w:rPr>
      </w:pPr>
      <w:r>
        <w:rPr>
          <w:rStyle w:val="62"/>
          <w:rFonts w:hAnsi="宋体"/>
          <w:b/>
          <w:sz w:val="21"/>
          <w:szCs w:val="21"/>
        </w:rPr>
        <w:t>十三、货物包装、发运及运输</w:t>
      </w:r>
    </w:p>
    <w:p w14:paraId="04A180BA">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1. 乙方应在货物发运前对其进行满足运输距离、防潮、防震、防锈和防破损装卸等要求包装，以保证货物安全运达甲方指定地点。</w:t>
      </w:r>
    </w:p>
    <w:p w14:paraId="09C5F7B9">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2. 使用说明书、质量检验证明书、随配附件和工具以及清单一并附于货物内。</w:t>
      </w:r>
    </w:p>
    <w:p w14:paraId="5C1FBD46">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3. 乙方在货物发运手续办理完毕后24小时内或货到甲方48小时前通知甲方，以准备接货。</w:t>
      </w:r>
    </w:p>
    <w:p w14:paraId="7BA00B7E">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4. 货物在交付甲方前发生的风险均由乙方负责。</w:t>
      </w:r>
    </w:p>
    <w:p w14:paraId="3C53D402">
      <w:pPr>
        <w:pStyle w:val="174"/>
        <w:snapToGrid w:val="0"/>
        <w:spacing w:after="120" w:line="360" w:lineRule="auto"/>
        <w:ind w:left="420" w:right="26" w:hanging="420"/>
        <w:rPr>
          <w:rStyle w:val="62"/>
          <w:rFonts w:hint="eastAsia" w:hAnsi="宋体"/>
          <w:sz w:val="21"/>
          <w:szCs w:val="21"/>
        </w:rPr>
      </w:pPr>
      <w:r>
        <w:rPr>
          <w:rStyle w:val="62"/>
          <w:rFonts w:hAnsi="宋体"/>
          <w:sz w:val="21"/>
          <w:szCs w:val="21"/>
        </w:rPr>
        <w:t>5. 货物在规定的交付期限内由乙方送达甲方指定的地点视为交付，乙方同时需通知甲方货物已送达。</w:t>
      </w:r>
    </w:p>
    <w:p w14:paraId="21CB5A9F">
      <w:pPr>
        <w:pStyle w:val="174"/>
        <w:snapToGrid w:val="0"/>
        <w:spacing w:before="120" w:after="120" w:line="360" w:lineRule="auto"/>
        <w:rPr>
          <w:rStyle w:val="62"/>
          <w:rFonts w:hint="eastAsia" w:hAnsi="宋体"/>
          <w:b/>
          <w:sz w:val="21"/>
          <w:szCs w:val="21"/>
        </w:rPr>
      </w:pPr>
      <w:r>
        <w:rPr>
          <w:rStyle w:val="62"/>
          <w:rFonts w:hAnsi="宋体"/>
          <w:b/>
          <w:sz w:val="21"/>
          <w:szCs w:val="21"/>
        </w:rPr>
        <w:t>十四、违约责任</w:t>
      </w:r>
    </w:p>
    <w:p w14:paraId="36EC6F47">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 甲方无正当理由拒收货物的，甲方向乙方偿付拒收货款总值的百分之五违约金。</w:t>
      </w:r>
    </w:p>
    <w:p w14:paraId="3D518BE0">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2. 甲方无故逾期验收和办理货款支付手续的</w:t>
      </w:r>
      <w:r>
        <w:rPr>
          <w:rStyle w:val="62"/>
          <w:rFonts w:hint="eastAsia" w:hAnsi="宋体"/>
          <w:sz w:val="21"/>
          <w:szCs w:val="21"/>
        </w:rPr>
        <w:t>，</w:t>
      </w:r>
      <w:r>
        <w:rPr>
          <w:rStyle w:val="62"/>
          <w:rFonts w:hAnsi="宋体"/>
          <w:sz w:val="21"/>
          <w:szCs w:val="21"/>
        </w:rPr>
        <w:t>甲方应按逾期付款总额每日万分之五向乙方支付违约金。</w:t>
      </w:r>
    </w:p>
    <w:p w14:paraId="74003570">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7F62DC6">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33BF488">
      <w:pPr>
        <w:pStyle w:val="174"/>
        <w:snapToGrid w:val="0"/>
        <w:spacing w:before="120" w:after="120" w:line="360" w:lineRule="auto"/>
        <w:rPr>
          <w:rStyle w:val="62"/>
          <w:rFonts w:hint="eastAsia" w:hAnsi="宋体"/>
          <w:b/>
          <w:sz w:val="21"/>
          <w:szCs w:val="21"/>
        </w:rPr>
      </w:pPr>
      <w:r>
        <w:rPr>
          <w:rStyle w:val="62"/>
          <w:rFonts w:hAnsi="宋体"/>
          <w:b/>
          <w:sz w:val="21"/>
          <w:szCs w:val="21"/>
        </w:rPr>
        <w:t>十五、不可抗力事件处理</w:t>
      </w:r>
    </w:p>
    <w:p w14:paraId="5E9A4371">
      <w:pPr>
        <w:pStyle w:val="174"/>
        <w:snapToGrid w:val="0"/>
        <w:spacing w:before="120" w:after="120" w:line="360" w:lineRule="auto"/>
        <w:rPr>
          <w:rStyle w:val="62"/>
          <w:rFonts w:hint="eastAsia" w:hAnsi="宋体"/>
          <w:sz w:val="21"/>
          <w:szCs w:val="21"/>
        </w:rPr>
      </w:pPr>
      <w:r>
        <w:rPr>
          <w:rStyle w:val="62"/>
          <w:rFonts w:hAnsi="宋体"/>
          <w:sz w:val="21"/>
          <w:szCs w:val="21"/>
        </w:rPr>
        <w:t>1. 在合同有效期内，任何一方因不可抗力事件导致不能履行合同，则合同履行期可延长，其延长期与不可抗力影响期相同。</w:t>
      </w:r>
    </w:p>
    <w:p w14:paraId="64D52708">
      <w:pPr>
        <w:pStyle w:val="174"/>
        <w:snapToGrid w:val="0"/>
        <w:spacing w:before="120" w:after="120" w:line="360" w:lineRule="auto"/>
        <w:rPr>
          <w:rStyle w:val="62"/>
          <w:rFonts w:hint="eastAsia" w:hAnsi="宋体"/>
          <w:sz w:val="21"/>
          <w:szCs w:val="21"/>
        </w:rPr>
      </w:pPr>
      <w:r>
        <w:rPr>
          <w:rStyle w:val="62"/>
          <w:rFonts w:hAnsi="宋体"/>
          <w:sz w:val="21"/>
          <w:szCs w:val="21"/>
        </w:rPr>
        <w:t>2. 不可抗力事件发生后，应立即通知对方，并寄送有关权威机构出具的证明。</w:t>
      </w:r>
    </w:p>
    <w:p w14:paraId="5A9AF692">
      <w:pPr>
        <w:pStyle w:val="174"/>
        <w:snapToGrid w:val="0"/>
        <w:spacing w:before="120" w:after="120" w:line="360" w:lineRule="auto"/>
        <w:rPr>
          <w:rStyle w:val="62"/>
          <w:rFonts w:hint="eastAsia" w:hAnsi="宋体"/>
          <w:w w:val="90"/>
          <w:sz w:val="21"/>
          <w:szCs w:val="21"/>
        </w:rPr>
      </w:pPr>
      <w:r>
        <w:rPr>
          <w:rStyle w:val="62"/>
          <w:rFonts w:hAnsi="宋体"/>
          <w:sz w:val="21"/>
          <w:szCs w:val="21"/>
        </w:rPr>
        <w:t>3. 不可抗力事件延续120天以上，双方应通过友好协商，确定是否继续履行合同。</w:t>
      </w:r>
    </w:p>
    <w:p w14:paraId="2A1B6521">
      <w:pPr>
        <w:pStyle w:val="174"/>
        <w:snapToGrid w:val="0"/>
        <w:spacing w:before="120" w:after="120" w:line="360" w:lineRule="auto"/>
        <w:rPr>
          <w:rStyle w:val="62"/>
          <w:rFonts w:hint="eastAsia" w:hAnsi="宋体"/>
          <w:b/>
          <w:sz w:val="21"/>
          <w:szCs w:val="21"/>
        </w:rPr>
      </w:pPr>
      <w:r>
        <w:rPr>
          <w:rStyle w:val="62"/>
          <w:rFonts w:hAnsi="宋体"/>
          <w:b/>
          <w:sz w:val="21"/>
          <w:szCs w:val="21"/>
        </w:rPr>
        <w:t>十六、诉讼</w:t>
      </w:r>
    </w:p>
    <w:p w14:paraId="6454FF8C">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 xml:space="preserve"> 双方在执行合同中所发生的一切争议，应通过协商解决。如协商不成，可向甲方所在地法院起诉。</w:t>
      </w:r>
    </w:p>
    <w:p w14:paraId="4F152E26">
      <w:pPr>
        <w:pStyle w:val="174"/>
        <w:snapToGrid w:val="0"/>
        <w:spacing w:before="120" w:after="120" w:line="360" w:lineRule="auto"/>
        <w:rPr>
          <w:rStyle w:val="62"/>
          <w:rFonts w:hint="eastAsia" w:hAnsi="宋体"/>
          <w:b/>
          <w:sz w:val="21"/>
          <w:szCs w:val="21"/>
        </w:rPr>
      </w:pPr>
      <w:r>
        <w:rPr>
          <w:rStyle w:val="62"/>
          <w:rFonts w:hAnsi="宋体"/>
          <w:b/>
          <w:sz w:val="21"/>
          <w:szCs w:val="21"/>
        </w:rPr>
        <w:t>十七、合同生效及其它</w:t>
      </w:r>
    </w:p>
    <w:p w14:paraId="7F1E481E">
      <w:pPr>
        <w:pStyle w:val="174"/>
        <w:snapToGrid w:val="0"/>
        <w:spacing w:before="120" w:after="120" w:line="360" w:lineRule="auto"/>
        <w:rPr>
          <w:rStyle w:val="62"/>
          <w:rFonts w:hint="eastAsia" w:hAnsi="宋体"/>
          <w:sz w:val="21"/>
          <w:szCs w:val="21"/>
        </w:rPr>
      </w:pPr>
      <w:r>
        <w:rPr>
          <w:rStyle w:val="62"/>
          <w:rFonts w:hAnsi="宋体"/>
          <w:sz w:val="21"/>
          <w:szCs w:val="21"/>
        </w:rPr>
        <w:t>1. 合同经双方法定代表人或授权代表签字并加盖单位公章后生效。</w:t>
      </w:r>
    </w:p>
    <w:p w14:paraId="77783B7E">
      <w:pPr>
        <w:pStyle w:val="174"/>
        <w:snapToGrid w:val="0"/>
        <w:spacing w:before="120" w:after="120" w:line="360" w:lineRule="auto"/>
        <w:rPr>
          <w:rStyle w:val="62"/>
          <w:rFonts w:hint="eastAsia" w:hAnsi="宋体"/>
          <w:sz w:val="21"/>
          <w:szCs w:val="21"/>
        </w:rPr>
      </w:pPr>
      <w:r>
        <w:rPr>
          <w:rStyle w:val="62"/>
          <w:rFonts w:hAnsi="宋体"/>
          <w:sz w:val="21"/>
          <w:szCs w:val="21"/>
        </w:rPr>
        <w:t>2.合同执行中涉及采购资金和采购内容修改或补充的，须经有关部门审批，并签书面补充协议报政府采购监督管理部门备案，方可作为主合同不可分割的一部分。</w:t>
      </w:r>
    </w:p>
    <w:p w14:paraId="34449E93">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3.本合同未尽事宜，遵照《合同法》有关条文执行。</w:t>
      </w:r>
    </w:p>
    <w:p w14:paraId="32A84071">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4.本合同一式四份，具有同等法律效力，甲、乙双方各执两份。</w:t>
      </w:r>
    </w:p>
    <w:p w14:paraId="7684197C">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 xml:space="preserve">  甲方：                                   乙方： </w:t>
      </w:r>
    </w:p>
    <w:p w14:paraId="7C4D37A3">
      <w:pPr>
        <w:pStyle w:val="174"/>
        <w:snapToGrid w:val="0"/>
        <w:spacing w:before="120" w:after="120" w:line="360" w:lineRule="auto"/>
        <w:rPr>
          <w:rStyle w:val="62"/>
          <w:rFonts w:hint="eastAsia" w:hAnsi="宋体"/>
          <w:sz w:val="21"/>
          <w:szCs w:val="21"/>
        </w:rPr>
      </w:pPr>
      <w:r>
        <w:rPr>
          <w:rStyle w:val="62"/>
          <w:rFonts w:hAnsi="宋体"/>
          <w:sz w:val="21"/>
          <w:szCs w:val="21"/>
        </w:rPr>
        <w:t xml:space="preserve">  地址：                                   地址： </w:t>
      </w:r>
    </w:p>
    <w:p w14:paraId="69744C05">
      <w:pPr>
        <w:pStyle w:val="174"/>
        <w:snapToGrid w:val="0"/>
        <w:spacing w:before="120" w:after="120" w:line="360" w:lineRule="auto"/>
        <w:rPr>
          <w:rStyle w:val="62"/>
          <w:rFonts w:hint="eastAsia" w:hAnsi="宋体"/>
          <w:sz w:val="21"/>
          <w:szCs w:val="21"/>
        </w:rPr>
      </w:pPr>
      <w:r>
        <w:rPr>
          <w:rStyle w:val="62"/>
          <w:rFonts w:hAnsi="宋体"/>
          <w:sz w:val="21"/>
          <w:szCs w:val="21"/>
        </w:rPr>
        <w:t xml:space="preserve">  法定（授权）代表人：                     法定（授权）代表人：</w:t>
      </w:r>
    </w:p>
    <w:p w14:paraId="6970FDEC">
      <w:pPr>
        <w:pStyle w:val="174"/>
        <w:snapToGrid w:val="0"/>
        <w:spacing w:before="120" w:after="120" w:line="360" w:lineRule="auto"/>
        <w:rPr>
          <w:rStyle w:val="62"/>
          <w:rFonts w:hint="eastAsia" w:hAnsi="宋体"/>
          <w:sz w:val="21"/>
          <w:szCs w:val="21"/>
        </w:rPr>
        <w:sectPr>
          <w:footerReference r:id="rId3" w:type="default"/>
          <w:pgSz w:w="11906" w:h="16838"/>
          <w:pgMar w:top="1134" w:right="1134" w:bottom="1134" w:left="1620" w:header="851" w:footer="992" w:gutter="0"/>
          <w:pgNumType w:fmt="decimal"/>
          <w:cols w:space="425" w:num="1"/>
          <w:docGrid w:type="lines" w:linePitch="312" w:charSpace="0"/>
        </w:sectPr>
      </w:pPr>
      <w:r>
        <w:rPr>
          <w:rStyle w:val="62"/>
          <w:rFonts w:hAnsi="宋体"/>
          <w:sz w:val="21"/>
          <w:szCs w:val="21"/>
        </w:rPr>
        <w:t xml:space="preserve">  签字日期：      年  月  日            签字日期：      年  月  </w:t>
      </w:r>
      <w:r>
        <w:rPr>
          <w:rStyle w:val="62"/>
          <w:rFonts w:hint="eastAsia" w:hAnsi="宋体"/>
          <w:sz w:val="21"/>
          <w:szCs w:val="21"/>
        </w:rPr>
        <w:t>日</w:t>
      </w:r>
    </w:p>
    <w:p w14:paraId="2DDF435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38A1BD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6948681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5F9F0227">
      <w:pPr>
        <w:snapToGrid w:val="0"/>
        <w:spacing w:line="240" w:lineRule="atLeast"/>
        <w:jc w:val="center"/>
        <w:rPr>
          <w:rStyle w:val="62"/>
          <w:rFonts w:hint="eastAsia" w:hAnsi="宋体"/>
          <w:b/>
          <w:kern w:val="0"/>
          <w:sz w:val="32"/>
          <w:szCs w:val="32"/>
        </w:rPr>
      </w:pPr>
      <w:r>
        <w:rPr>
          <w:rStyle w:val="62"/>
          <w:rFonts w:hAnsi="宋体"/>
          <w:b/>
          <w:kern w:val="0"/>
          <w:sz w:val="32"/>
          <w:szCs w:val="32"/>
        </w:rPr>
        <w:t xml:space="preserve">项目名称： </w:t>
      </w:r>
    </w:p>
    <w:p w14:paraId="6FD7A85F">
      <w:pPr>
        <w:snapToGrid w:val="0"/>
        <w:spacing w:line="240" w:lineRule="atLeast"/>
        <w:rPr>
          <w:rStyle w:val="62"/>
          <w:rFonts w:hint="eastAsia" w:hAnsi="宋体"/>
          <w:b/>
          <w:kern w:val="0"/>
          <w:sz w:val="32"/>
          <w:szCs w:val="32"/>
        </w:rPr>
      </w:pPr>
    </w:p>
    <w:p w14:paraId="5D33581A">
      <w:pPr>
        <w:snapToGrid w:val="0"/>
        <w:spacing w:line="240" w:lineRule="atLeast"/>
        <w:jc w:val="center"/>
        <w:rPr>
          <w:rStyle w:val="62"/>
          <w:rFonts w:hint="eastAsia" w:hAnsi="宋体"/>
          <w:b/>
          <w:kern w:val="0"/>
          <w:sz w:val="32"/>
          <w:szCs w:val="32"/>
        </w:rPr>
      </w:pPr>
      <w:r>
        <w:rPr>
          <w:rStyle w:val="62"/>
          <w:rFonts w:hAnsi="宋体"/>
          <w:b/>
          <w:kern w:val="0"/>
          <w:sz w:val="32"/>
          <w:szCs w:val="32"/>
        </w:rPr>
        <w:t>项目编号: HNJY202</w:t>
      </w:r>
      <w:r>
        <w:rPr>
          <w:rStyle w:val="62"/>
          <w:rFonts w:hint="eastAsia" w:hAnsi="宋体"/>
          <w:b/>
          <w:kern w:val="0"/>
          <w:sz w:val="32"/>
          <w:szCs w:val="32"/>
        </w:rPr>
        <w:t>4</w:t>
      </w:r>
      <w:r>
        <w:rPr>
          <w:rStyle w:val="62"/>
          <w:rFonts w:hAnsi="宋体"/>
          <w:b/>
          <w:kern w:val="0"/>
          <w:sz w:val="32"/>
          <w:szCs w:val="32"/>
        </w:rPr>
        <w:t>-</w:t>
      </w:r>
    </w:p>
    <w:p w14:paraId="26D61372">
      <w:pPr>
        <w:pStyle w:val="111"/>
        <w:snapToGrid w:val="0"/>
        <w:rPr>
          <w:rStyle w:val="62"/>
          <w:rFonts w:hint="eastAsia" w:hAnsi="宋体"/>
          <w:b/>
          <w:kern w:val="0"/>
          <w:sz w:val="32"/>
          <w:szCs w:val="32"/>
        </w:rPr>
      </w:pPr>
    </w:p>
    <w:p w14:paraId="77A1C271">
      <w:pPr>
        <w:pStyle w:val="111"/>
        <w:snapToGrid w:val="0"/>
        <w:rPr>
          <w:rStyle w:val="62"/>
          <w:rFonts w:hint="eastAsia" w:hAnsi="宋体"/>
          <w:b/>
          <w:kern w:val="0"/>
          <w:sz w:val="32"/>
          <w:szCs w:val="32"/>
        </w:rPr>
      </w:pPr>
    </w:p>
    <w:p w14:paraId="46518971">
      <w:pPr>
        <w:pStyle w:val="111"/>
        <w:snapToGrid w:val="0"/>
        <w:rPr>
          <w:rStyle w:val="62"/>
          <w:rFonts w:hint="eastAsia" w:hAnsi="宋体"/>
          <w:b/>
          <w:kern w:val="0"/>
          <w:sz w:val="32"/>
          <w:szCs w:val="32"/>
        </w:rPr>
      </w:pPr>
    </w:p>
    <w:p w14:paraId="0DAD531A">
      <w:pPr>
        <w:pStyle w:val="111"/>
        <w:snapToGrid w:val="0"/>
        <w:rPr>
          <w:rStyle w:val="62"/>
          <w:rFonts w:hint="eastAsia" w:hAnsi="宋体"/>
          <w:b/>
          <w:kern w:val="0"/>
          <w:sz w:val="32"/>
          <w:szCs w:val="32"/>
        </w:rPr>
      </w:pPr>
    </w:p>
    <w:p w14:paraId="171C8DE1">
      <w:pPr>
        <w:snapToGrid w:val="0"/>
        <w:spacing w:line="320" w:lineRule="exact"/>
        <w:ind w:right="2278"/>
        <w:rPr>
          <w:rStyle w:val="62"/>
          <w:rFonts w:hint="eastAsia" w:hAnsi="宋体"/>
          <w:b/>
          <w:kern w:val="0"/>
          <w:sz w:val="32"/>
          <w:szCs w:val="32"/>
        </w:rPr>
      </w:pPr>
    </w:p>
    <w:p w14:paraId="69C485C4">
      <w:pPr>
        <w:snapToGrid w:val="0"/>
        <w:ind w:right="2279"/>
        <w:jc w:val="center"/>
        <w:rPr>
          <w:rStyle w:val="62"/>
          <w:rFonts w:hint="eastAsia" w:hAnsi="宋体"/>
          <w:b/>
          <w:kern w:val="0"/>
          <w:sz w:val="32"/>
          <w:szCs w:val="32"/>
        </w:rPr>
      </w:pPr>
      <w:r>
        <w:rPr>
          <w:rStyle w:val="62"/>
          <w:rFonts w:hint="eastAsia" w:hAnsi="宋体"/>
          <w:b/>
          <w:kern w:val="0"/>
          <w:sz w:val="32"/>
          <w:szCs w:val="32"/>
        </w:rPr>
        <w:t xml:space="preserve">             公开比选采购</w:t>
      </w:r>
    </w:p>
    <w:p w14:paraId="16B9CBEC">
      <w:pPr>
        <w:snapToGrid w:val="0"/>
        <w:ind w:right="2279"/>
        <w:jc w:val="center"/>
        <w:rPr>
          <w:rStyle w:val="62"/>
          <w:rFonts w:hint="eastAsia" w:hAnsi="宋体"/>
          <w:b/>
          <w:kern w:val="0"/>
          <w:sz w:val="32"/>
          <w:szCs w:val="32"/>
        </w:rPr>
      </w:pPr>
      <w:r>
        <w:rPr>
          <w:rStyle w:val="62"/>
          <w:rFonts w:hint="eastAsia" w:hAnsi="宋体"/>
          <w:b/>
          <w:kern w:val="0"/>
          <w:sz w:val="32"/>
          <w:szCs w:val="32"/>
        </w:rPr>
        <w:t xml:space="preserve">             投标</w:t>
      </w:r>
      <w:r>
        <w:rPr>
          <w:rStyle w:val="62"/>
          <w:rFonts w:hAnsi="宋体"/>
          <w:b/>
          <w:kern w:val="0"/>
          <w:sz w:val="32"/>
          <w:szCs w:val="32"/>
        </w:rPr>
        <w:t>文件</w:t>
      </w:r>
    </w:p>
    <w:p w14:paraId="0C5F03F7">
      <w:pPr>
        <w:snapToGrid w:val="0"/>
        <w:spacing w:line="320" w:lineRule="exact"/>
        <w:ind w:right="2278"/>
        <w:rPr>
          <w:rStyle w:val="62"/>
          <w:rFonts w:hint="eastAsia" w:hAnsi="宋体"/>
          <w:b/>
          <w:sz w:val="30"/>
          <w:szCs w:val="30"/>
        </w:rPr>
      </w:pPr>
    </w:p>
    <w:p w14:paraId="56D481E3">
      <w:pPr>
        <w:snapToGrid w:val="0"/>
        <w:spacing w:line="320" w:lineRule="exact"/>
        <w:ind w:right="2278"/>
        <w:rPr>
          <w:rStyle w:val="62"/>
          <w:rFonts w:hint="eastAsia" w:hAnsi="宋体"/>
          <w:b/>
          <w:sz w:val="30"/>
          <w:szCs w:val="30"/>
        </w:rPr>
      </w:pPr>
    </w:p>
    <w:p w14:paraId="112379E6">
      <w:pPr>
        <w:snapToGrid w:val="0"/>
        <w:spacing w:line="320" w:lineRule="exact"/>
        <w:ind w:right="2278"/>
        <w:rPr>
          <w:rStyle w:val="62"/>
          <w:rFonts w:hint="eastAsia" w:hAnsi="宋体"/>
          <w:b/>
          <w:sz w:val="30"/>
          <w:szCs w:val="30"/>
        </w:rPr>
      </w:pPr>
    </w:p>
    <w:p w14:paraId="5172D9C0">
      <w:pPr>
        <w:pStyle w:val="111"/>
      </w:pPr>
    </w:p>
    <w:p w14:paraId="2388C481">
      <w:pPr>
        <w:pStyle w:val="111"/>
      </w:pPr>
    </w:p>
    <w:p w14:paraId="3D4D7559">
      <w:pPr>
        <w:pStyle w:val="111"/>
      </w:pPr>
    </w:p>
    <w:p w14:paraId="765F07A2">
      <w:pPr>
        <w:snapToGrid w:val="0"/>
        <w:spacing w:line="320" w:lineRule="exact"/>
        <w:ind w:right="2278"/>
        <w:rPr>
          <w:rStyle w:val="62"/>
          <w:rFonts w:hint="eastAsia" w:hAnsi="宋体"/>
          <w:b/>
          <w:sz w:val="30"/>
          <w:szCs w:val="30"/>
        </w:rPr>
      </w:pPr>
    </w:p>
    <w:p w14:paraId="43D4302D">
      <w:pPr>
        <w:snapToGrid w:val="0"/>
        <w:spacing w:line="320" w:lineRule="exact"/>
        <w:ind w:right="2278"/>
        <w:rPr>
          <w:rStyle w:val="62"/>
          <w:rFonts w:hint="eastAsia" w:hAnsi="宋体"/>
          <w:b/>
          <w:sz w:val="30"/>
          <w:szCs w:val="30"/>
        </w:rPr>
      </w:pPr>
    </w:p>
    <w:p w14:paraId="6C0EAC23">
      <w:pPr>
        <w:snapToGrid w:val="0"/>
        <w:spacing w:line="320" w:lineRule="exact"/>
        <w:ind w:right="2278"/>
        <w:rPr>
          <w:rStyle w:val="62"/>
          <w:rFonts w:hint="eastAsia" w:hAnsi="宋体"/>
          <w:b/>
          <w:sz w:val="30"/>
          <w:szCs w:val="30"/>
        </w:rPr>
      </w:pPr>
    </w:p>
    <w:p w14:paraId="6979691F">
      <w:pPr>
        <w:snapToGrid w:val="0"/>
        <w:spacing w:line="320" w:lineRule="exact"/>
        <w:ind w:right="2278"/>
        <w:rPr>
          <w:rStyle w:val="62"/>
          <w:rFonts w:hint="eastAsia" w:hAnsi="宋体"/>
          <w:b/>
          <w:sz w:val="30"/>
          <w:szCs w:val="30"/>
        </w:rPr>
      </w:pPr>
    </w:p>
    <w:p w14:paraId="13BD5DBB">
      <w:pPr>
        <w:snapToGrid w:val="0"/>
        <w:spacing w:line="320" w:lineRule="exact"/>
        <w:ind w:right="2278"/>
        <w:rPr>
          <w:rStyle w:val="62"/>
          <w:rFonts w:hint="eastAsia" w:hAnsi="宋体"/>
          <w:b/>
          <w:sz w:val="30"/>
          <w:szCs w:val="30"/>
        </w:rPr>
      </w:pPr>
    </w:p>
    <w:p w14:paraId="41295DF7">
      <w:pPr>
        <w:snapToGrid w:val="0"/>
        <w:spacing w:line="320" w:lineRule="exact"/>
        <w:ind w:right="2278"/>
        <w:rPr>
          <w:rStyle w:val="62"/>
          <w:rFonts w:hint="eastAsia" w:hAnsi="宋体"/>
          <w:b/>
          <w:sz w:val="30"/>
          <w:szCs w:val="30"/>
        </w:rPr>
      </w:pPr>
    </w:p>
    <w:p w14:paraId="50387816">
      <w:pPr>
        <w:snapToGrid w:val="0"/>
        <w:spacing w:line="320" w:lineRule="exact"/>
        <w:ind w:right="2278"/>
        <w:rPr>
          <w:rStyle w:val="62"/>
          <w:rFonts w:hint="eastAsia" w:hAnsi="宋体"/>
          <w:b/>
          <w:sz w:val="30"/>
          <w:szCs w:val="30"/>
        </w:rPr>
      </w:pPr>
    </w:p>
    <w:p w14:paraId="06DFC4AF">
      <w:pPr>
        <w:snapToGrid w:val="0"/>
        <w:spacing w:line="320" w:lineRule="exact"/>
        <w:ind w:right="2278"/>
        <w:rPr>
          <w:rStyle w:val="62"/>
          <w:rFonts w:hint="eastAsia" w:hAnsi="宋体"/>
          <w:b/>
          <w:sz w:val="30"/>
          <w:szCs w:val="30"/>
        </w:rPr>
      </w:pPr>
    </w:p>
    <w:p w14:paraId="3A49E403">
      <w:pPr>
        <w:snapToGrid w:val="0"/>
        <w:ind w:right="2279"/>
        <w:rPr>
          <w:rStyle w:val="62"/>
          <w:rFonts w:hint="eastAsia" w:hAnsi="宋体"/>
          <w:b/>
          <w:sz w:val="30"/>
          <w:szCs w:val="30"/>
        </w:rPr>
      </w:pPr>
      <w:r>
        <w:rPr>
          <w:rStyle w:val="62"/>
          <w:rFonts w:hint="eastAsia" w:hAnsi="宋体"/>
          <w:b/>
          <w:sz w:val="30"/>
          <w:szCs w:val="30"/>
        </w:rPr>
        <w:t>投标人</w:t>
      </w:r>
      <w:r>
        <w:rPr>
          <w:rStyle w:val="62"/>
          <w:rFonts w:hAnsi="宋体"/>
          <w:b/>
          <w:sz w:val="30"/>
          <w:szCs w:val="30"/>
        </w:rPr>
        <w:t>名称：               （盖章）</w:t>
      </w:r>
    </w:p>
    <w:p w14:paraId="293074E4">
      <w:pPr>
        <w:snapToGrid w:val="0"/>
        <w:ind w:right="2279"/>
        <w:rPr>
          <w:rStyle w:val="62"/>
          <w:rFonts w:hint="eastAsia" w:hAnsi="宋体"/>
          <w:b/>
          <w:sz w:val="30"/>
          <w:szCs w:val="30"/>
        </w:rPr>
      </w:pPr>
      <w:r>
        <w:rPr>
          <w:rStyle w:val="62"/>
          <w:rFonts w:hAnsi="宋体"/>
          <w:b/>
          <w:sz w:val="30"/>
          <w:szCs w:val="30"/>
        </w:rPr>
        <w:t>公司地址：</w:t>
      </w:r>
    </w:p>
    <w:p w14:paraId="0EE0C80A">
      <w:pPr>
        <w:snapToGrid w:val="0"/>
        <w:ind w:right="2279"/>
        <w:rPr>
          <w:rStyle w:val="62"/>
          <w:rFonts w:hint="eastAsia" w:hAnsi="宋体"/>
          <w:b/>
          <w:sz w:val="30"/>
          <w:szCs w:val="30"/>
        </w:rPr>
      </w:pPr>
      <w:r>
        <w:rPr>
          <w:rStyle w:val="62"/>
          <w:rFonts w:hAnsi="宋体"/>
          <w:b/>
          <w:sz w:val="30"/>
          <w:szCs w:val="30"/>
        </w:rPr>
        <w:t>联系人：</w:t>
      </w:r>
    </w:p>
    <w:p w14:paraId="4EE6C9C2">
      <w:pPr>
        <w:snapToGrid w:val="0"/>
        <w:ind w:right="2279"/>
        <w:rPr>
          <w:rStyle w:val="62"/>
          <w:rFonts w:hint="eastAsia" w:hAnsi="宋体"/>
          <w:b/>
          <w:sz w:val="30"/>
          <w:szCs w:val="30"/>
        </w:rPr>
      </w:pPr>
      <w:r>
        <w:rPr>
          <w:rStyle w:val="62"/>
          <w:rFonts w:hAnsi="宋体"/>
          <w:b/>
          <w:sz w:val="30"/>
          <w:szCs w:val="30"/>
        </w:rPr>
        <w:t>联系电话：</w:t>
      </w:r>
    </w:p>
    <w:p w14:paraId="7C4C849E">
      <w:pPr>
        <w:snapToGrid w:val="0"/>
        <w:spacing w:line="320" w:lineRule="exact"/>
        <w:ind w:right="2278"/>
        <w:rPr>
          <w:rFonts w:ascii="宋体"/>
          <w:b/>
          <w:bCs/>
          <w:kern w:val="0"/>
          <w:sz w:val="32"/>
          <w:szCs w:val="32"/>
        </w:rPr>
      </w:pPr>
      <w:r>
        <w:rPr>
          <w:rStyle w:val="62"/>
          <w:rFonts w:hAnsi="宋体"/>
          <w:b/>
          <w:sz w:val="30"/>
          <w:szCs w:val="30"/>
        </w:rPr>
        <w:t>日期：</w:t>
      </w:r>
    </w:p>
    <w:p w14:paraId="217C4732">
      <w:pPr>
        <w:spacing w:line="360" w:lineRule="exact"/>
        <w:jc w:val="center"/>
        <w:outlineLvl w:val="0"/>
        <w:rPr>
          <w:rFonts w:hint="eastAsia" w:ascii="宋体" w:hAnsi="宋体"/>
          <w:b/>
          <w:sz w:val="24"/>
        </w:rPr>
      </w:pPr>
    </w:p>
    <w:p w14:paraId="2E6D9E41">
      <w:pPr>
        <w:pStyle w:val="16"/>
        <w:rPr>
          <w:rFonts w:hint="eastAsia" w:ascii="宋体" w:hAnsi="宋体"/>
          <w:b/>
          <w:sz w:val="24"/>
        </w:rPr>
      </w:pPr>
    </w:p>
    <w:p w14:paraId="15FD1AE9">
      <w:pPr>
        <w:spacing w:line="360" w:lineRule="exact"/>
        <w:jc w:val="left"/>
        <w:outlineLvl w:val="0"/>
        <w:rPr>
          <w:rFonts w:hint="eastAsia" w:ascii="宋体" w:hAnsi="宋体"/>
          <w:b/>
          <w:sz w:val="24"/>
        </w:rPr>
      </w:pPr>
      <w:r>
        <w:rPr>
          <w:rFonts w:hint="eastAsia" w:ascii="宋体" w:hAnsi="宋体"/>
          <w:b/>
          <w:sz w:val="24"/>
        </w:rPr>
        <w:t xml:space="preserve">附件1                             </w:t>
      </w:r>
    </w:p>
    <w:p w14:paraId="0D675E56">
      <w:pPr>
        <w:spacing w:line="360" w:lineRule="exact"/>
        <w:jc w:val="center"/>
        <w:outlineLvl w:val="0"/>
        <w:rPr>
          <w:rFonts w:hint="eastAsia" w:ascii="宋体" w:hAnsi="宋体"/>
          <w:b/>
          <w:sz w:val="24"/>
        </w:rPr>
      </w:pPr>
      <w:r>
        <w:rPr>
          <w:rFonts w:hint="eastAsia" w:ascii="宋体" w:hAnsi="宋体"/>
          <w:b/>
          <w:sz w:val="24"/>
        </w:rPr>
        <w:t>响应函</w:t>
      </w:r>
    </w:p>
    <w:p w14:paraId="31AC228A">
      <w:pPr>
        <w:spacing w:line="360" w:lineRule="exact"/>
        <w:ind w:firstLine="3510"/>
        <w:outlineLvl w:val="0"/>
        <w:rPr>
          <w:rFonts w:hint="eastAsia" w:ascii="宋体" w:hAnsi="宋体"/>
          <w:b/>
          <w:sz w:val="24"/>
        </w:rPr>
      </w:pPr>
      <w:r>
        <w:rPr>
          <w:rFonts w:hint="eastAsia" w:ascii="宋体" w:hAnsi="宋体"/>
          <w:sz w:val="24"/>
        </w:rPr>
        <w:t xml:space="preserve">               </w:t>
      </w:r>
    </w:p>
    <w:p w14:paraId="698460CE">
      <w:pPr>
        <w:spacing w:line="360" w:lineRule="exact"/>
        <w:outlineLvl w:val="0"/>
        <w:rPr>
          <w:rFonts w:hint="eastAsia" w:ascii="宋体" w:hAnsi="宋体"/>
          <w:sz w:val="24"/>
        </w:rPr>
      </w:pPr>
      <w:r>
        <w:rPr>
          <w:rFonts w:hint="eastAsia" w:ascii="宋体" w:hAnsi="宋体"/>
          <w:sz w:val="24"/>
        </w:rPr>
        <w:t>致：海南省教学仪器设备招标中心有限公司：</w:t>
      </w:r>
    </w:p>
    <w:p w14:paraId="52CEE140">
      <w:pPr>
        <w:spacing w:line="360" w:lineRule="exact"/>
        <w:outlineLvl w:val="0"/>
        <w:rPr>
          <w:rFonts w:hint="eastAsia" w:ascii="宋体" w:hAnsi="宋体"/>
          <w:sz w:val="24"/>
        </w:rPr>
      </w:pPr>
    </w:p>
    <w:p w14:paraId="61A22B13">
      <w:pPr>
        <w:spacing w:line="360" w:lineRule="exact"/>
        <w:ind w:firstLine="480"/>
        <w:rPr>
          <w:rFonts w:hint="eastAsia" w:ascii="宋体" w:hAnsi="宋体"/>
          <w:sz w:val="24"/>
        </w:rPr>
      </w:pPr>
      <w:r>
        <w:rPr>
          <w:rFonts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369pt;margin-top:16.85pt;height:0pt;width:0.05pt;z-index:251660288;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D/fMb84BAADJAwAADgAAAGRycy9lMm9Eb2MueG1srVNNb9sw&#10;DL0P2H8QdF+cZmixGXF6aNZdii3Ath/ASLQtQF8Q1Tj596PkNN26Sw7zQaYo8pHviVrfH50VB0xk&#10;gu/kzWIpBXoVtPFDJ3/9fPzwSQrK4DXY4LGTJyR5v3n/bj3FFldhDFZjEgziqZ1iJ8ecY9s0pEZ0&#10;QIsQ0fNhH5KDzNs0NDrBxOjONqvl8q6ZQtIxBYVE7N3Oh/KMmK4BDH1vFG6Denbo84ya0EJmSjSa&#10;SHJTu+17VPl73xNmYTvJTHNduQjb+7I2mzW0Q4I4GnVuAa5p4Q0nB8Zz0QvUFjKI52T+gXJGpUCh&#10;zwsVXDMTqYowi5vlG21+jBCxcmGpKV5Ep/8Hq74ddkkYzZMghQfHF/5kPIpVUWaK1HLAg9+l847i&#10;LhWaxz658mcC4ljVPF3UxGMWip13H2+lUC/+5jUpJspfMThRjE5arle1g8MTZS7EoS8hpYb1Yurk&#10;59tVgQOeuJ5vmk0XuWvyQ82lYI1+NNaWDErD/sEmcYBy6/UrdBj3r7BSZAs0znH1aJ6HEUF/8Vrk&#10;U2Q9PD8DWVpwqKWwyK+mWAwIbQZjr4nk0tZzB0XRWcNi7YM+VWmrn2+49niexjJCf+5r9usL3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jQ0tdUAAAAJAQAADwAAAAAAAAABACAAAAAiAAAAZHJz&#10;L2Rvd25yZXYueG1sUEsBAhQAFAAAAAgAh07iQA/3zG/OAQAAy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sz w:val="24"/>
        </w:rPr>
        <w:t>根据贵方为“</w:t>
      </w:r>
      <w:r>
        <w:rPr>
          <w:rFonts w:ascii="宋体" w:hAnsi="宋体"/>
          <w:sz w:val="24"/>
          <w:u w:val="single"/>
        </w:rPr>
        <w:t xml:space="preserve">              </w:t>
      </w:r>
      <w:r>
        <w:rPr>
          <w:rFonts w:hint="eastAsia" w:ascii="宋体" w:hAnsi="宋体"/>
          <w:sz w:val="24"/>
        </w:rPr>
        <w:t>”项目的邀请（项目编号：HNJY2024- - ），正式授权下签字代表</w:t>
      </w:r>
      <w:r>
        <w:rPr>
          <w:rFonts w:ascii="宋体" w:hAnsi="宋体"/>
          <w:sz w:val="24"/>
          <w:u w:val="single"/>
        </w:rPr>
        <w:t xml:space="preserve">             </w:t>
      </w:r>
      <w:r>
        <w:rPr>
          <w:rFonts w:ascii="宋体" w:hAnsi="宋体"/>
          <w:sz w:val="24"/>
        </w:rPr>
        <w:t xml:space="preserve"> </w:t>
      </w:r>
      <w:r>
        <w:rPr>
          <w:rFonts w:hint="eastAsia" w:ascii="宋体" w:hAnsi="宋体"/>
          <w:sz w:val="24"/>
        </w:rPr>
        <w:t>（全名、职务）代表响应投标人</w:t>
      </w:r>
      <w:r>
        <w:rPr>
          <w:rFonts w:ascii="宋体" w:hAnsi="宋体"/>
          <w:sz w:val="24"/>
          <w:u w:val="single"/>
        </w:rPr>
        <w:t xml:space="preserve">                  </w:t>
      </w:r>
      <w:r>
        <w:rPr>
          <w:rFonts w:ascii="宋体" w:hAnsi="宋体"/>
          <w:sz w:val="24"/>
        </w:rPr>
        <w:t xml:space="preserve"> </w:t>
      </w:r>
      <w:r>
        <w:rPr>
          <w:rFonts w:hint="eastAsia" w:ascii="宋体" w:hAnsi="宋体"/>
          <w:sz w:val="24"/>
        </w:rPr>
        <w:t>（投标人名称、地址）提交下述文件正本壹份和副本叁份。</w:t>
      </w:r>
    </w:p>
    <w:p w14:paraId="5C4B7960">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0EE5A012">
      <w:pPr>
        <w:snapToGrid w:val="0"/>
        <w:spacing w:line="480" w:lineRule="exact"/>
        <w:rPr>
          <w:rFonts w:hint="eastAsia"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669C1B30">
      <w:pPr>
        <w:snapToGrid w:val="0"/>
        <w:spacing w:line="480" w:lineRule="exact"/>
        <w:ind w:firstLine="480" w:firstLineChars="200"/>
        <w:rPr>
          <w:rFonts w:hint="eastAsia" w:ascii="宋体" w:hAnsi="宋体"/>
          <w:sz w:val="24"/>
        </w:rPr>
      </w:pPr>
      <w:r>
        <w:rPr>
          <w:rFonts w:hint="eastAsia" w:ascii="宋体" w:hAnsi="宋体"/>
          <w:sz w:val="24"/>
        </w:rPr>
        <w:t>2、我方同意按照公开比选采购文件第三部分 “投标人须知”的规定，本响应文件的有效期为自递交响应文件截止日期起计算的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A5E7860">
      <w:pPr>
        <w:snapToGrid w:val="0"/>
        <w:spacing w:line="480" w:lineRule="exact"/>
        <w:ind w:firstLine="48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7B4B53E3">
      <w:pPr>
        <w:snapToGrid w:val="0"/>
        <w:spacing w:line="480" w:lineRule="exact"/>
        <w:ind w:firstLine="480"/>
        <w:rPr>
          <w:rFonts w:hint="eastAsia" w:ascii="宋体" w:hAnsi="宋体"/>
          <w:sz w:val="24"/>
        </w:rPr>
      </w:pPr>
      <w:r>
        <w:rPr>
          <w:rFonts w:hint="eastAsia" w:ascii="宋体" w:hAnsi="宋体"/>
          <w:sz w:val="24"/>
        </w:rPr>
        <w:t>4、如果我方投标人，我们将根据采购文件的规定严格履行自己的责任和义务。</w:t>
      </w:r>
    </w:p>
    <w:p w14:paraId="2AE4BB20">
      <w:pPr>
        <w:snapToGrid w:val="0"/>
        <w:spacing w:line="480" w:lineRule="exact"/>
        <w:ind w:firstLine="570"/>
        <w:rPr>
          <w:rFonts w:hint="eastAsia" w:ascii="宋体" w:hAnsi="宋体"/>
          <w:sz w:val="24"/>
        </w:rPr>
      </w:pPr>
    </w:p>
    <w:p w14:paraId="6413E2EC">
      <w:pPr>
        <w:snapToGrid w:val="0"/>
        <w:spacing w:line="480" w:lineRule="exact"/>
        <w:rPr>
          <w:rFonts w:hint="eastAsia" w:ascii="宋体" w:hAnsi="宋体"/>
          <w:sz w:val="24"/>
        </w:rPr>
      </w:pPr>
      <w:r>
        <w:rPr>
          <w:rFonts w:hint="eastAsia" w:ascii="宋体" w:hAnsi="宋体"/>
          <w:sz w:val="24"/>
        </w:rPr>
        <w:t xml:space="preserve">        投标人名称：</w:t>
      </w:r>
      <w:r>
        <w:rPr>
          <w:rFonts w:hint="eastAsia" w:ascii="宋体" w:hAnsi="宋体"/>
          <w:sz w:val="24"/>
          <w:u w:val="single"/>
        </w:rPr>
        <w:t xml:space="preserve">              （公章）</w:t>
      </w:r>
    </w:p>
    <w:p w14:paraId="0F1EDFB2">
      <w:pPr>
        <w:snapToGrid w:val="0"/>
        <w:spacing w:line="480" w:lineRule="exact"/>
        <w:rPr>
          <w:rFonts w:hint="eastAsia" w:ascii="宋体" w:hAnsi="宋体"/>
          <w:sz w:val="24"/>
          <w:u w:val="single"/>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02A361CB">
      <w:pPr>
        <w:snapToGrid w:val="0"/>
        <w:spacing w:line="480" w:lineRule="exact"/>
        <w:rPr>
          <w:rFonts w:hint="eastAsia" w:ascii="宋体" w:hAnsi="宋体"/>
          <w:sz w:val="24"/>
          <w:u w:val="single"/>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14:paraId="68670586">
      <w:pPr>
        <w:snapToGrid w:val="0"/>
        <w:spacing w:line="480" w:lineRule="exact"/>
        <w:rPr>
          <w:rFonts w:hint="eastAsia" w:ascii="宋体" w:hAnsi="宋体"/>
          <w:sz w:val="24"/>
          <w:u w:val="single"/>
        </w:rPr>
      </w:pPr>
      <w:r>
        <w:rPr>
          <w:rFonts w:hint="eastAsia" w:ascii="宋体" w:hAnsi="宋体"/>
          <w:sz w:val="24"/>
        </w:rPr>
        <w:t xml:space="preserve">        授权代表签字：</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773DB42A">
      <w:pPr>
        <w:snapToGrid w:val="0"/>
        <w:spacing w:line="480" w:lineRule="exact"/>
        <w:rPr>
          <w:rFonts w:hint="eastAsia" w:ascii="宋体" w:hAnsi="宋体"/>
          <w:sz w:val="24"/>
          <w:u w:val="single"/>
        </w:rPr>
      </w:pPr>
      <w:r>
        <w:rPr>
          <w:rFonts w:hint="eastAsia" w:ascii="宋体" w:hAnsi="宋体"/>
          <w:sz w:val="24"/>
        </w:rPr>
        <w:t xml:space="preserve">        日期：</w:t>
      </w:r>
      <w:r>
        <w:rPr>
          <w:rFonts w:hint="eastAsia" w:ascii="宋体" w:hAnsi="宋体"/>
          <w:sz w:val="24"/>
          <w:u w:val="single"/>
        </w:rPr>
        <w:t xml:space="preserve">                  </w:t>
      </w:r>
    </w:p>
    <w:p w14:paraId="7A1E4771">
      <w:pPr>
        <w:spacing w:line="360" w:lineRule="exact"/>
        <w:rPr>
          <w:rFonts w:hint="eastAsia" w:ascii="宋体" w:hAnsi="宋体"/>
          <w:sz w:val="24"/>
        </w:rPr>
      </w:pPr>
    </w:p>
    <w:p w14:paraId="7DC9EEAA">
      <w:pPr>
        <w:spacing w:line="360" w:lineRule="exact"/>
        <w:rPr>
          <w:rFonts w:hint="eastAsia" w:ascii="宋体" w:hAnsi="宋体"/>
          <w:sz w:val="24"/>
        </w:rPr>
      </w:pPr>
    </w:p>
    <w:p w14:paraId="7581E215">
      <w:pPr>
        <w:spacing w:line="360" w:lineRule="exact"/>
        <w:rPr>
          <w:rFonts w:hint="eastAsia" w:ascii="宋体" w:hAnsi="宋体"/>
          <w:sz w:val="24"/>
        </w:rPr>
      </w:pPr>
    </w:p>
    <w:p w14:paraId="7F5B665E">
      <w:pPr>
        <w:pStyle w:val="23"/>
        <w:spacing w:line="360" w:lineRule="exact"/>
        <w:outlineLvl w:val="0"/>
        <w:rPr>
          <w:rFonts w:hint="eastAsia"/>
          <w:kern w:val="2"/>
          <w:szCs w:val="24"/>
        </w:rPr>
      </w:pPr>
    </w:p>
    <w:p w14:paraId="2DBA1EA8"/>
    <w:p w14:paraId="20CD4AAD"/>
    <w:p w14:paraId="5D49C2E2"/>
    <w:p w14:paraId="0DBEE6F4"/>
    <w:p w14:paraId="738C2FFA">
      <w:pPr>
        <w:pStyle w:val="23"/>
        <w:spacing w:line="360" w:lineRule="exact"/>
        <w:ind w:left="480" w:right="508" w:hanging="480"/>
        <w:jc w:val="both"/>
        <w:outlineLvl w:val="0"/>
        <w:rPr>
          <w:rFonts w:hint="eastAsia"/>
          <w:b/>
          <w:kern w:val="2"/>
          <w:szCs w:val="24"/>
        </w:rPr>
      </w:pPr>
    </w:p>
    <w:p w14:paraId="5414B492">
      <w:pPr>
        <w:pStyle w:val="23"/>
        <w:spacing w:line="360" w:lineRule="exact"/>
        <w:ind w:left="480" w:right="508" w:hanging="480"/>
        <w:jc w:val="both"/>
        <w:outlineLvl w:val="0"/>
        <w:rPr>
          <w:rFonts w:hint="eastAsia"/>
          <w:b/>
          <w:kern w:val="2"/>
          <w:szCs w:val="24"/>
        </w:rPr>
      </w:pPr>
      <w:r>
        <w:rPr>
          <w:rFonts w:hint="eastAsia"/>
          <w:b/>
          <w:kern w:val="2"/>
          <w:szCs w:val="24"/>
        </w:rPr>
        <w:t>附件2</w:t>
      </w:r>
    </w:p>
    <w:p w14:paraId="0AFC2477">
      <w:pPr>
        <w:spacing w:line="360" w:lineRule="exact"/>
        <w:ind w:right="2278"/>
        <w:jc w:val="center"/>
        <w:outlineLvl w:val="0"/>
        <w:rPr>
          <w:rFonts w:hint="eastAsia" w:ascii="宋体" w:hAnsi="宋体"/>
          <w:sz w:val="28"/>
          <w:szCs w:val="28"/>
        </w:rPr>
      </w:pPr>
      <w:r>
        <w:rPr>
          <w:rFonts w:hint="eastAsia" w:ascii="宋体" w:hAnsi="宋体"/>
          <w:b/>
          <w:sz w:val="28"/>
          <w:szCs w:val="28"/>
        </w:rPr>
        <w:t xml:space="preserve">                 </w:t>
      </w:r>
      <w:bookmarkStart w:id="57" w:name="_Toc373100990"/>
      <w:r>
        <w:rPr>
          <w:rFonts w:hint="eastAsia" w:ascii="宋体" w:hAnsi="宋体"/>
          <w:b/>
          <w:sz w:val="28"/>
          <w:szCs w:val="28"/>
        </w:rPr>
        <w:t>报价一览表</w:t>
      </w:r>
      <w:bookmarkEnd w:id="57"/>
    </w:p>
    <w:p w14:paraId="2B5739F2">
      <w:pPr>
        <w:spacing w:line="240" w:lineRule="atLeast"/>
        <w:jc w:val="center"/>
        <w:rPr>
          <w:rFonts w:ascii="宋体"/>
          <w:sz w:val="32"/>
          <w:szCs w:val="32"/>
        </w:rPr>
      </w:pPr>
      <w:r>
        <w:rPr>
          <w:rFonts w:hint="eastAsia" w:ascii="宋体" w:hAnsi="宋体"/>
          <w:sz w:val="24"/>
        </w:rPr>
        <w:t xml:space="preserve">      </w:t>
      </w:r>
    </w:p>
    <w:p w14:paraId="40863577">
      <w:pPr>
        <w:spacing w:line="360" w:lineRule="exact"/>
        <w:ind w:right="2278"/>
        <w:jc w:val="center"/>
        <w:outlineLvl w:val="0"/>
        <w:rPr>
          <w:rFonts w:ascii="宋体" w:hAnsi="宋体"/>
          <w:sz w:val="28"/>
          <w:szCs w:val="28"/>
        </w:rPr>
      </w:pPr>
      <w:r>
        <w:rPr>
          <w:rFonts w:hint="eastAsia" w:ascii="宋体" w:hAnsi="宋体"/>
          <w:b/>
          <w:sz w:val="28"/>
          <w:szCs w:val="28"/>
        </w:rPr>
        <w:t xml:space="preserve">    报价一览表</w:t>
      </w:r>
    </w:p>
    <w:p w14:paraId="140490EF">
      <w:pPr>
        <w:spacing w:line="360" w:lineRule="exact"/>
        <w:outlineLvl w:val="0"/>
        <w:rPr>
          <w:rFonts w:hint="eastAsia" w:ascii="宋体" w:hAnsi="宋体"/>
          <w:sz w:val="24"/>
        </w:rPr>
      </w:pPr>
      <w:r>
        <w:rPr>
          <w:rFonts w:hint="eastAsia" w:ascii="宋体" w:hAnsi="宋体"/>
          <w:sz w:val="24"/>
        </w:rPr>
        <w:t>项目名称：</w:t>
      </w:r>
    </w:p>
    <w:p w14:paraId="1899CE64">
      <w:pPr>
        <w:spacing w:line="360" w:lineRule="exact"/>
        <w:rPr>
          <w:rFonts w:hint="eastAsia" w:ascii="宋体" w:hAnsi="宋体"/>
          <w:sz w:val="24"/>
        </w:rPr>
      </w:pPr>
      <w:r>
        <w:rPr>
          <w:rFonts w:hint="eastAsia" w:ascii="宋体" w:hAnsi="宋体"/>
          <w:sz w:val="24"/>
        </w:rPr>
        <w:t xml:space="preserve">供应商名称： （盖章）                           </w:t>
      </w:r>
    </w:p>
    <w:p w14:paraId="25B64B45">
      <w:pPr>
        <w:spacing w:line="360" w:lineRule="exact"/>
        <w:rPr>
          <w:rFonts w:hint="eastAsia" w:ascii="宋体" w:hAnsi="宋体"/>
          <w:sz w:val="24"/>
        </w:rPr>
      </w:pPr>
    </w:p>
    <w:tbl>
      <w:tblPr>
        <w:tblStyle w:val="39"/>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184B1C4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0"/>
            <w:vAlign w:val="center"/>
          </w:tcPr>
          <w:p w14:paraId="4A132132">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noWrap w:val="0"/>
            <w:vAlign w:val="center"/>
          </w:tcPr>
          <w:p w14:paraId="74F45EC1">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noWrap w:val="0"/>
            <w:vAlign w:val="center"/>
          </w:tcPr>
          <w:p w14:paraId="6F26A596">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noWrap w:val="0"/>
            <w:vAlign w:val="center"/>
          </w:tcPr>
          <w:p w14:paraId="6DB478C9">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noWrap w:val="0"/>
            <w:vAlign w:val="center"/>
          </w:tcPr>
          <w:p w14:paraId="2B0CFE1C">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noWrap w:val="0"/>
            <w:vAlign w:val="center"/>
          </w:tcPr>
          <w:p w14:paraId="47804A52">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noWrap w:val="0"/>
            <w:vAlign w:val="center"/>
          </w:tcPr>
          <w:p w14:paraId="5D90DEE0">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noWrap w:val="0"/>
            <w:vAlign w:val="top"/>
          </w:tcPr>
          <w:p w14:paraId="69ABB1DB">
            <w:pPr>
              <w:spacing w:line="360" w:lineRule="exact"/>
              <w:jc w:val="center"/>
              <w:rPr>
                <w:rFonts w:hint="eastAsia"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noWrap w:val="0"/>
            <w:vAlign w:val="center"/>
          </w:tcPr>
          <w:p w14:paraId="0733F968">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noWrap w:val="0"/>
            <w:vAlign w:val="top"/>
          </w:tcPr>
          <w:p w14:paraId="3EA5749F">
            <w:pPr>
              <w:spacing w:line="360" w:lineRule="exact"/>
              <w:jc w:val="center"/>
              <w:rPr>
                <w:rFonts w:hint="eastAsia" w:ascii="宋体" w:hAnsi="宋体"/>
                <w:sz w:val="24"/>
              </w:rPr>
            </w:pPr>
            <w:r>
              <w:rPr>
                <w:rFonts w:hint="eastAsia" w:ascii="宋体" w:hAnsi="宋体"/>
                <w:sz w:val="24"/>
              </w:rPr>
              <w:t>10</w:t>
            </w:r>
          </w:p>
        </w:tc>
      </w:tr>
      <w:tr w14:paraId="2F71689B">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0"/>
            <w:vAlign w:val="center"/>
          </w:tcPr>
          <w:p w14:paraId="36A35CEA">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noWrap w:val="0"/>
            <w:vAlign w:val="center"/>
          </w:tcPr>
          <w:p w14:paraId="3038FC9F">
            <w:pPr>
              <w:spacing w:line="360" w:lineRule="exact"/>
              <w:jc w:val="center"/>
              <w:rPr>
                <w:rFonts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noWrap w:val="0"/>
            <w:vAlign w:val="center"/>
          </w:tcPr>
          <w:p w14:paraId="19792F14">
            <w:pPr>
              <w:spacing w:line="360" w:lineRule="exact"/>
              <w:jc w:val="center"/>
              <w:rPr>
                <w:rFonts w:hint="eastAsia" w:ascii="宋体" w:hAnsi="宋体"/>
                <w:sz w:val="24"/>
              </w:rPr>
            </w:pPr>
            <w:r>
              <w:rPr>
                <w:rFonts w:hint="eastAsia" w:ascii="宋体" w:hAnsi="宋体"/>
                <w:color w:val="000000"/>
                <w:sz w:val="24"/>
              </w:rPr>
              <w:t>品牌型号、</w:t>
            </w:r>
            <w:r>
              <w:rPr>
                <w:rFonts w:hint="eastAsia" w:ascii="宋体" w:hAnsi="宋体"/>
                <w:color w:val="000000"/>
                <w:sz w:val="24"/>
                <w:lang w:val="en-US" w:eastAsia="zh-CN"/>
              </w:rPr>
              <w:t>生产厂家、</w:t>
            </w:r>
            <w:r>
              <w:rPr>
                <w:rFonts w:hint="eastAsia" w:ascii="宋体" w:hAnsi="宋体"/>
                <w:color w:val="000000"/>
                <w:sz w:val="24"/>
              </w:rPr>
              <w:t>产地及技术参</w:t>
            </w:r>
            <w:r>
              <w:rPr>
                <w:rFonts w:hint="eastAsia" w:ascii="宋体" w:hAnsi="宋体"/>
                <w:sz w:val="24"/>
              </w:rPr>
              <w:t>数</w:t>
            </w:r>
          </w:p>
        </w:tc>
        <w:tc>
          <w:tcPr>
            <w:tcW w:w="724" w:type="dxa"/>
            <w:tcBorders>
              <w:top w:val="single" w:color="auto" w:sz="6" w:space="0"/>
              <w:left w:val="single" w:color="auto" w:sz="6" w:space="0"/>
              <w:bottom w:val="single" w:color="auto" w:sz="6" w:space="0"/>
              <w:right w:val="single" w:color="auto" w:sz="4" w:space="0"/>
            </w:tcBorders>
            <w:noWrap w:val="0"/>
            <w:vAlign w:val="center"/>
          </w:tcPr>
          <w:p w14:paraId="3656F079">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noWrap w:val="0"/>
            <w:vAlign w:val="center"/>
          </w:tcPr>
          <w:p w14:paraId="79FC8917">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noWrap w:val="0"/>
            <w:vAlign w:val="center"/>
          </w:tcPr>
          <w:p w14:paraId="5864A9F8">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noWrap w:val="0"/>
            <w:vAlign w:val="center"/>
          </w:tcPr>
          <w:p w14:paraId="0A080048">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noWrap w:val="0"/>
            <w:vAlign w:val="top"/>
          </w:tcPr>
          <w:p w14:paraId="7D2D7179">
            <w:pPr>
              <w:spacing w:line="360" w:lineRule="exact"/>
              <w:jc w:val="center"/>
              <w:rPr>
                <w:rFonts w:hint="eastAsia"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noWrap w:val="0"/>
            <w:vAlign w:val="center"/>
          </w:tcPr>
          <w:p w14:paraId="6F035AB7">
            <w:pPr>
              <w:spacing w:line="360" w:lineRule="exact"/>
              <w:jc w:val="center"/>
              <w:rPr>
                <w:rFonts w:ascii="宋体" w:hAnsi="宋体"/>
                <w:sz w:val="24"/>
              </w:rPr>
            </w:pPr>
            <w:r>
              <w:rPr>
                <w:rFonts w:hint="eastAsia" w:ascii="宋体" w:hAnsi="宋体"/>
                <w:sz w:val="24"/>
              </w:rPr>
              <w:t>交货期</w:t>
            </w:r>
          </w:p>
        </w:tc>
        <w:tc>
          <w:tcPr>
            <w:tcW w:w="851" w:type="dxa"/>
            <w:tcBorders>
              <w:top w:val="single" w:color="auto" w:sz="6" w:space="0"/>
              <w:left w:val="single" w:color="auto" w:sz="4" w:space="0"/>
              <w:bottom w:val="single" w:color="auto" w:sz="6" w:space="0"/>
              <w:right w:val="single" w:color="auto" w:sz="4" w:space="0"/>
            </w:tcBorders>
            <w:noWrap w:val="0"/>
            <w:vAlign w:val="center"/>
          </w:tcPr>
          <w:p w14:paraId="614E2F3D">
            <w:pPr>
              <w:spacing w:line="360" w:lineRule="exact"/>
              <w:jc w:val="center"/>
              <w:rPr>
                <w:rFonts w:hint="eastAsia" w:ascii="宋体" w:hAnsi="宋体"/>
                <w:sz w:val="24"/>
              </w:rPr>
            </w:pPr>
            <w:r>
              <w:rPr>
                <w:rFonts w:hint="eastAsia" w:ascii="宋体" w:hAnsi="宋体"/>
                <w:sz w:val="24"/>
              </w:rPr>
              <w:t>免费质保期</w:t>
            </w:r>
          </w:p>
        </w:tc>
      </w:tr>
      <w:tr w14:paraId="2B46C8BE">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noWrap w:val="0"/>
            <w:vAlign w:val="top"/>
          </w:tcPr>
          <w:p w14:paraId="78E2561B">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noWrap w:val="0"/>
            <w:vAlign w:val="top"/>
          </w:tcPr>
          <w:p w14:paraId="30863DA3">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noWrap w:val="0"/>
            <w:vAlign w:val="top"/>
          </w:tcPr>
          <w:p w14:paraId="2E902973">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noWrap w:val="0"/>
            <w:vAlign w:val="top"/>
          </w:tcPr>
          <w:p w14:paraId="3B88C428">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noWrap w:val="0"/>
            <w:vAlign w:val="top"/>
          </w:tcPr>
          <w:p w14:paraId="52E1A5E8">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noWrap w:val="0"/>
            <w:vAlign w:val="top"/>
          </w:tcPr>
          <w:p w14:paraId="25E921E2">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noWrap w:val="0"/>
            <w:vAlign w:val="top"/>
          </w:tcPr>
          <w:p w14:paraId="01D54620">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noWrap w:val="0"/>
            <w:vAlign w:val="top"/>
          </w:tcPr>
          <w:p w14:paraId="52BDC1D4">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val="0"/>
            <w:vAlign w:val="top"/>
          </w:tcPr>
          <w:p w14:paraId="5FA0044E">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val="0"/>
            <w:vAlign w:val="top"/>
          </w:tcPr>
          <w:p w14:paraId="5257496E">
            <w:pPr>
              <w:spacing w:line="360" w:lineRule="exact"/>
              <w:rPr>
                <w:rFonts w:ascii="宋体" w:hAnsi="宋体"/>
                <w:sz w:val="24"/>
              </w:rPr>
            </w:pPr>
          </w:p>
        </w:tc>
      </w:tr>
      <w:tr w14:paraId="317D051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val="0"/>
            <w:vAlign w:val="top"/>
          </w:tcPr>
          <w:p w14:paraId="21537908">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val="0"/>
            <w:vAlign w:val="top"/>
          </w:tcPr>
          <w:p w14:paraId="0C72747F">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val="0"/>
            <w:vAlign w:val="top"/>
          </w:tcPr>
          <w:p w14:paraId="4197D3D1">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val="0"/>
            <w:vAlign w:val="top"/>
          </w:tcPr>
          <w:p w14:paraId="690C5209">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val="0"/>
            <w:vAlign w:val="top"/>
          </w:tcPr>
          <w:p w14:paraId="32B46FDD">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val="0"/>
            <w:vAlign w:val="top"/>
          </w:tcPr>
          <w:p w14:paraId="78742063">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val="0"/>
            <w:vAlign w:val="top"/>
          </w:tcPr>
          <w:p w14:paraId="56D6AC3E">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val="0"/>
            <w:vAlign w:val="top"/>
          </w:tcPr>
          <w:p w14:paraId="765173CE">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22E48F6">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F7EEA0A">
            <w:pPr>
              <w:spacing w:line="360" w:lineRule="exact"/>
              <w:rPr>
                <w:rFonts w:ascii="宋体" w:hAnsi="宋体"/>
                <w:sz w:val="24"/>
              </w:rPr>
            </w:pPr>
          </w:p>
        </w:tc>
      </w:tr>
      <w:tr w14:paraId="1D71DA50">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val="0"/>
            <w:vAlign w:val="top"/>
          </w:tcPr>
          <w:p w14:paraId="7C475FDE">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val="0"/>
            <w:vAlign w:val="top"/>
          </w:tcPr>
          <w:p w14:paraId="4E193A19">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val="0"/>
            <w:vAlign w:val="top"/>
          </w:tcPr>
          <w:p w14:paraId="4440ADBB">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val="0"/>
            <w:vAlign w:val="top"/>
          </w:tcPr>
          <w:p w14:paraId="5B362F8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val="0"/>
            <w:vAlign w:val="top"/>
          </w:tcPr>
          <w:p w14:paraId="16232978">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val="0"/>
            <w:vAlign w:val="top"/>
          </w:tcPr>
          <w:p w14:paraId="354562F4">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val="0"/>
            <w:vAlign w:val="top"/>
          </w:tcPr>
          <w:p w14:paraId="4019F177">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val="0"/>
            <w:vAlign w:val="top"/>
          </w:tcPr>
          <w:p w14:paraId="40C797BA">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F053881">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AA9AF95">
            <w:pPr>
              <w:spacing w:line="360" w:lineRule="exact"/>
              <w:rPr>
                <w:rFonts w:ascii="宋体" w:hAnsi="宋体"/>
                <w:sz w:val="24"/>
              </w:rPr>
            </w:pPr>
          </w:p>
        </w:tc>
      </w:tr>
      <w:tr w14:paraId="6227C7F1">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noWrap w:val="0"/>
            <w:vAlign w:val="top"/>
          </w:tcPr>
          <w:p w14:paraId="340348DA">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val="0"/>
            <w:vAlign w:val="top"/>
          </w:tcPr>
          <w:p w14:paraId="134AF517">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val="0"/>
            <w:vAlign w:val="top"/>
          </w:tcPr>
          <w:p w14:paraId="32C7F6A6">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val="0"/>
            <w:vAlign w:val="top"/>
          </w:tcPr>
          <w:p w14:paraId="73F5D47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val="0"/>
            <w:vAlign w:val="top"/>
          </w:tcPr>
          <w:p w14:paraId="6A236C2F">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val="0"/>
            <w:vAlign w:val="top"/>
          </w:tcPr>
          <w:p w14:paraId="778DE995">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val="0"/>
            <w:vAlign w:val="top"/>
          </w:tcPr>
          <w:p w14:paraId="2700FBC9">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val="0"/>
            <w:vAlign w:val="top"/>
          </w:tcPr>
          <w:p w14:paraId="637FCCD8">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FDE2675">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1E4F3A9">
            <w:pPr>
              <w:spacing w:line="360" w:lineRule="exact"/>
              <w:rPr>
                <w:rFonts w:ascii="宋体" w:hAnsi="宋体"/>
                <w:sz w:val="24"/>
              </w:rPr>
            </w:pPr>
          </w:p>
        </w:tc>
      </w:tr>
      <w:tr w14:paraId="7672970C">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val="0"/>
            <w:vAlign w:val="top"/>
          </w:tcPr>
          <w:p w14:paraId="7ABC333A">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val="0"/>
            <w:vAlign w:val="top"/>
          </w:tcPr>
          <w:p w14:paraId="0688C9C4">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val="0"/>
            <w:vAlign w:val="top"/>
          </w:tcPr>
          <w:p w14:paraId="4BE1BD6D">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val="0"/>
            <w:vAlign w:val="top"/>
          </w:tcPr>
          <w:p w14:paraId="73F284EB">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val="0"/>
            <w:vAlign w:val="top"/>
          </w:tcPr>
          <w:p w14:paraId="0046716D">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val="0"/>
            <w:vAlign w:val="top"/>
          </w:tcPr>
          <w:p w14:paraId="748CA85A">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val="0"/>
            <w:vAlign w:val="top"/>
          </w:tcPr>
          <w:p w14:paraId="156D3C36">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val="0"/>
            <w:vAlign w:val="top"/>
          </w:tcPr>
          <w:p w14:paraId="75C4FE85">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83CDB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79B6D11">
            <w:pPr>
              <w:spacing w:line="360" w:lineRule="exact"/>
              <w:rPr>
                <w:rFonts w:ascii="宋体" w:hAnsi="宋体"/>
                <w:sz w:val="24"/>
              </w:rPr>
            </w:pPr>
          </w:p>
        </w:tc>
      </w:tr>
      <w:tr w14:paraId="22B2D40D">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val="0"/>
            <w:vAlign w:val="top"/>
          </w:tcPr>
          <w:p w14:paraId="4A85E252">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val="0"/>
            <w:vAlign w:val="top"/>
          </w:tcPr>
          <w:p w14:paraId="21BA2A63">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val="0"/>
            <w:vAlign w:val="top"/>
          </w:tcPr>
          <w:p w14:paraId="5FA4FFF6">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val="0"/>
            <w:vAlign w:val="top"/>
          </w:tcPr>
          <w:p w14:paraId="0C8FF03F">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val="0"/>
            <w:vAlign w:val="top"/>
          </w:tcPr>
          <w:p w14:paraId="6F609E52">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val="0"/>
            <w:vAlign w:val="top"/>
          </w:tcPr>
          <w:p w14:paraId="4268194D">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val="0"/>
            <w:vAlign w:val="top"/>
          </w:tcPr>
          <w:p w14:paraId="4C1E60A6">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val="0"/>
            <w:vAlign w:val="top"/>
          </w:tcPr>
          <w:p w14:paraId="1C8CCA1F">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F859912">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BF12A7">
            <w:pPr>
              <w:spacing w:line="360" w:lineRule="exact"/>
              <w:rPr>
                <w:rFonts w:ascii="宋体" w:hAnsi="宋体"/>
                <w:sz w:val="24"/>
              </w:rPr>
            </w:pPr>
          </w:p>
        </w:tc>
      </w:tr>
    </w:tbl>
    <w:p w14:paraId="463904F3">
      <w:pPr>
        <w:spacing w:line="360" w:lineRule="exact"/>
        <w:rPr>
          <w:rFonts w:hint="eastAsia" w:ascii="宋体" w:hAnsi="宋体"/>
          <w:sz w:val="24"/>
        </w:rPr>
      </w:pPr>
    </w:p>
    <w:p w14:paraId="7FB39174">
      <w:pPr>
        <w:spacing w:line="360" w:lineRule="exact"/>
        <w:rPr>
          <w:rFonts w:hint="eastAsia" w:ascii="宋体" w:hAnsi="宋体"/>
          <w:sz w:val="24"/>
        </w:rPr>
      </w:pPr>
      <w:r>
        <w:rPr>
          <w:rFonts w:hint="eastAsia" w:ascii="宋体" w:hAnsi="宋体"/>
          <w:sz w:val="24"/>
        </w:rPr>
        <w:t>1、供应商是否小微型企业产品:是（   ）；否（   ）。</w:t>
      </w:r>
    </w:p>
    <w:p w14:paraId="68554E91">
      <w:pPr>
        <w:spacing w:line="360" w:lineRule="exact"/>
        <w:rPr>
          <w:rFonts w:hint="eastAsia" w:ascii="宋体" w:hAnsi="宋体"/>
          <w:sz w:val="24"/>
        </w:rPr>
      </w:pPr>
      <w:r>
        <w:rPr>
          <w:rFonts w:hint="eastAsia" w:ascii="宋体" w:hAnsi="宋体"/>
          <w:sz w:val="24"/>
        </w:rPr>
        <w:t>2、供应商是否为监狱企业：是（    ）    否（    ）</w:t>
      </w:r>
    </w:p>
    <w:p w14:paraId="3A44E61F">
      <w:pPr>
        <w:spacing w:line="360" w:lineRule="exact"/>
        <w:rPr>
          <w:rFonts w:hint="eastAsia" w:ascii="宋体" w:hAnsi="宋体"/>
          <w:sz w:val="24"/>
        </w:rPr>
      </w:pPr>
      <w:r>
        <w:rPr>
          <w:rFonts w:hint="eastAsia" w:ascii="宋体" w:hAnsi="宋体"/>
          <w:sz w:val="24"/>
        </w:rPr>
        <w:t>3、供应商是否为残疾人福利性单位：是（    ）    否（    ）</w:t>
      </w:r>
    </w:p>
    <w:p w14:paraId="5427EDEB">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1AE428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4B5A7C7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5B948461">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7D73A0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      </w:t>
      </w:r>
    </w:p>
    <w:p w14:paraId="242A2BFF">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EA1DB4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46766840">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1C253BB">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1AA510B8">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07F036F9">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28AC72E1">
      <w:pPr>
        <w:spacing w:line="360" w:lineRule="exact"/>
        <w:ind w:firstLine="480" w:firstLineChars="200"/>
        <w:rPr>
          <w:rFonts w:hint="eastAsia"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6B67FFDA">
      <w:pPr>
        <w:spacing w:line="320" w:lineRule="exact"/>
        <w:rPr>
          <w:rFonts w:hint="eastAsia" w:ascii="宋体" w:hAnsi="宋体"/>
          <w:b/>
          <w:sz w:val="24"/>
        </w:rPr>
      </w:pPr>
    </w:p>
    <w:p w14:paraId="358CEE05">
      <w:pPr>
        <w:spacing w:line="360" w:lineRule="exact"/>
        <w:rPr>
          <w:rFonts w:hint="eastAsia" w:ascii="宋体" w:hAnsi="宋体"/>
          <w:b/>
          <w:sz w:val="24"/>
        </w:rPr>
      </w:pPr>
    </w:p>
    <w:p w14:paraId="797C4F45">
      <w:pPr>
        <w:spacing w:line="360" w:lineRule="exact"/>
        <w:rPr>
          <w:rFonts w:hint="eastAsia" w:ascii="宋体" w:hAnsi="宋体"/>
          <w:b/>
          <w:sz w:val="24"/>
        </w:rPr>
      </w:pPr>
    </w:p>
    <w:p w14:paraId="1999C204">
      <w:pPr>
        <w:spacing w:line="360" w:lineRule="exact"/>
        <w:rPr>
          <w:rFonts w:hint="eastAsia" w:ascii="宋体" w:hAnsi="宋体"/>
          <w:b/>
          <w:sz w:val="24"/>
        </w:rPr>
      </w:pPr>
    </w:p>
    <w:p w14:paraId="1F41B8D8">
      <w:pPr>
        <w:spacing w:line="360" w:lineRule="exact"/>
        <w:rPr>
          <w:rFonts w:hint="eastAsia" w:ascii="宋体" w:hAnsi="宋体"/>
          <w:b/>
          <w:sz w:val="24"/>
        </w:rPr>
      </w:pPr>
    </w:p>
    <w:p w14:paraId="4351B4EF">
      <w:pPr>
        <w:pStyle w:val="16"/>
        <w:rPr>
          <w:rFonts w:hint="eastAsia" w:ascii="宋体" w:hAnsi="宋体"/>
          <w:b/>
          <w:sz w:val="24"/>
        </w:rPr>
      </w:pPr>
    </w:p>
    <w:p w14:paraId="760ECEB2">
      <w:pPr>
        <w:pStyle w:val="16"/>
        <w:rPr>
          <w:rFonts w:hint="eastAsia" w:ascii="宋体" w:hAnsi="宋体"/>
          <w:b/>
          <w:sz w:val="24"/>
        </w:rPr>
      </w:pPr>
    </w:p>
    <w:p w14:paraId="1B7988DF">
      <w:pPr>
        <w:pStyle w:val="16"/>
        <w:rPr>
          <w:rFonts w:hint="eastAsia" w:ascii="宋体" w:hAnsi="宋体"/>
          <w:b/>
          <w:sz w:val="24"/>
        </w:rPr>
      </w:pPr>
    </w:p>
    <w:p w14:paraId="187082BA">
      <w:pPr>
        <w:pStyle w:val="16"/>
        <w:rPr>
          <w:rFonts w:hint="eastAsia" w:ascii="宋体" w:hAnsi="宋体"/>
          <w:b/>
          <w:sz w:val="24"/>
        </w:rPr>
      </w:pPr>
    </w:p>
    <w:p w14:paraId="566BDF24">
      <w:pPr>
        <w:spacing w:line="360" w:lineRule="exact"/>
        <w:rPr>
          <w:rFonts w:hint="eastAsia" w:ascii="宋体" w:hAnsi="宋体"/>
          <w:b/>
          <w:sz w:val="24"/>
        </w:rPr>
      </w:pPr>
    </w:p>
    <w:p w14:paraId="1741C14A">
      <w:pPr>
        <w:spacing w:line="360" w:lineRule="exact"/>
        <w:rPr>
          <w:rFonts w:hint="eastAsia" w:ascii="宋体" w:hAnsi="宋体"/>
          <w:b/>
          <w:sz w:val="24"/>
        </w:rPr>
      </w:pPr>
    </w:p>
    <w:p w14:paraId="67F5A654">
      <w:pPr>
        <w:spacing w:line="360" w:lineRule="exact"/>
        <w:rPr>
          <w:rFonts w:hint="eastAsia" w:ascii="宋体" w:hAnsi="宋体"/>
          <w:b/>
          <w:sz w:val="24"/>
        </w:rPr>
      </w:pPr>
    </w:p>
    <w:p w14:paraId="12B3AA01">
      <w:pPr>
        <w:spacing w:line="360" w:lineRule="exact"/>
        <w:rPr>
          <w:rFonts w:hint="eastAsia" w:ascii="宋体" w:hAnsi="宋体"/>
          <w:b/>
          <w:sz w:val="24"/>
        </w:rPr>
      </w:pPr>
    </w:p>
    <w:p w14:paraId="10EEAE49">
      <w:pPr>
        <w:spacing w:line="360" w:lineRule="exact"/>
        <w:rPr>
          <w:rFonts w:hint="eastAsia" w:ascii="宋体" w:hAnsi="宋体"/>
          <w:b/>
          <w:sz w:val="24"/>
        </w:rPr>
      </w:pPr>
    </w:p>
    <w:p w14:paraId="63E90C52">
      <w:pPr>
        <w:spacing w:line="360" w:lineRule="exact"/>
        <w:rPr>
          <w:rFonts w:hint="eastAsia" w:ascii="宋体" w:hAnsi="宋体"/>
          <w:b/>
          <w:sz w:val="24"/>
        </w:rPr>
      </w:pPr>
    </w:p>
    <w:p w14:paraId="26987096">
      <w:pPr>
        <w:spacing w:line="360" w:lineRule="exact"/>
        <w:rPr>
          <w:rFonts w:hint="eastAsia" w:ascii="宋体" w:hAnsi="宋体"/>
          <w:b/>
          <w:sz w:val="24"/>
        </w:rPr>
      </w:pPr>
    </w:p>
    <w:p w14:paraId="248A86DE">
      <w:pPr>
        <w:spacing w:line="360" w:lineRule="exact"/>
        <w:rPr>
          <w:rFonts w:hint="eastAsia" w:ascii="宋体" w:hAnsi="宋体"/>
          <w:b/>
          <w:sz w:val="24"/>
        </w:rPr>
      </w:pPr>
    </w:p>
    <w:p w14:paraId="5537F232">
      <w:pPr>
        <w:spacing w:line="360" w:lineRule="exact"/>
        <w:rPr>
          <w:rFonts w:hint="eastAsia" w:ascii="宋体" w:hAnsi="宋体"/>
          <w:b/>
          <w:sz w:val="24"/>
        </w:rPr>
      </w:pPr>
    </w:p>
    <w:p w14:paraId="0B04CB7E">
      <w:pPr>
        <w:spacing w:line="360" w:lineRule="exact"/>
        <w:rPr>
          <w:rFonts w:hint="eastAsia" w:ascii="宋体" w:hAnsi="宋体"/>
          <w:b/>
          <w:sz w:val="24"/>
        </w:rPr>
      </w:pPr>
    </w:p>
    <w:p w14:paraId="2106092B">
      <w:pPr>
        <w:spacing w:line="360" w:lineRule="exact"/>
        <w:rPr>
          <w:rFonts w:hint="eastAsia" w:ascii="宋体" w:hAnsi="宋体"/>
          <w:b/>
          <w:sz w:val="24"/>
        </w:rPr>
      </w:pPr>
    </w:p>
    <w:p w14:paraId="29ED50C7">
      <w:pPr>
        <w:spacing w:line="360" w:lineRule="exact"/>
        <w:rPr>
          <w:rFonts w:hint="eastAsia" w:ascii="宋体" w:hAnsi="宋体"/>
          <w:b/>
          <w:sz w:val="24"/>
        </w:rPr>
      </w:pPr>
    </w:p>
    <w:p w14:paraId="385146E7">
      <w:pPr>
        <w:spacing w:line="360" w:lineRule="exact"/>
        <w:rPr>
          <w:rFonts w:hint="eastAsia" w:ascii="宋体" w:hAnsi="宋体"/>
          <w:b/>
          <w:sz w:val="24"/>
        </w:rPr>
      </w:pPr>
    </w:p>
    <w:p w14:paraId="2435511E">
      <w:pPr>
        <w:spacing w:line="360" w:lineRule="exact"/>
        <w:rPr>
          <w:rFonts w:hint="eastAsia" w:ascii="宋体" w:hAnsi="宋体"/>
          <w:b/>
          <w:sz w:val="24"/>
        </w:rPr>
      </w:pPr>
    </w:p>
    <w:p w14:paraId="674AA725">
      <w:pPr>
        <w:spacing w:line="360" w:lineRule="exact"/>
        <w:rPr>
          <w:rFonts w:hint="eastAsia" w:ascii="宋体" w:hAnsi="宋体"/>
          <w:b/>
          <w:sz w:val="24"/>
        </w:rPr>
      </w:pPr>
    </w:p>
    <w:p w14:paraId="624BDBE9">
      <w:pPr>
        <w:spacing w:line="360" w:lineRule="exact"/>
        <w:rPr>
          <w:rFonts w:hint="eastAsia" w:ascii="宋体" w:hAnsi="宋体"/>
          <w:b/>
          <w:sz w:val="24"/>
        </w:rPr>
      </w:pPr>
    </w:p>
    <w:p w14:paraId="162D4925">
      <w:pPr>
        <w:spacing w:line="360" w:lineRule="exact"/>
        <w:rPr>
          <w:rFonts w:hint="eastAsia" w:ascii="宋体" w:hAnsi="宋体"/>
          <w:b/>
          <w:sz w:val="24"/>
        </w:rPr>
      </w:pPr>
    </w:p>
    <w:p w14:paraId="0E281754">
      <w:pPr>
        <w:spacing w:line="360" w:lineRule="exact"/>
        <w:rPr>
          <w:rFonts w:hint="eastAsia" w:ascii="宋体" w:hAnsi="宋体"/>
          <w:b/>
          <w:sz w:val="24"/>
        </w:rPr>
      </w:pPr>
    </w:p>
    <w:p w14:paraId="45F3EE56">
      <w:pPr>
        <w:spacing w:line="360" w:lineRule="exact"/>
        <w:rPr>
          <w:rFonts w:hint="eastAsia" w:ascii="宋体" w:hAnsi="宋体"/>
          <w:b/>
          <w:sz w:val="24"/>
        </w:rPr>
      </w:pPr>
    </w:p>
    <w:p w14:paraId="32935708">
      <w:pPr>
        <w:spacing w:line="360" w:lineRule="exact"/>
        <w:rPr>
          <w:rFonts w:hint="eastAsia" w:ascii="宋体" w:hAnsi="宋体"/>
          <w:b/>
          <w:sz w:val="24"/>
        </w:rPr>
      </w:pPr>
    </w:p>
    <w:p w14:paraId="7D35EAB4">
      <w:pPr>
        <w:spacing w:line="360" w:lineRule="exact"/>
        <w:rPr>
          <w:rFonts w:hint="eastAsia" w:ascii="宋体" w:hAnsi="宋体"/>
          <w:b/>
          <w:sz w:val="24"/>
        </w:rPr>
      </w:pPr>
    </w:p>
    <w:p w14:paraId="3589B5E1">
      <w:pPr>
        <w:spacing w:line="360" w:lineRule="exact"/>
        <w:rPr>
          <w:rFonts w:hint="eastAsia" w:ascii="宋体" w:hAnsi="宋体"/>
          <w:b/>
          <w:sz w:val="24"/>
        </w:rPr>
      </w:pPr>
    </w:p>
    <w:p w14:paraId="24B8F17C">
      <w:pPr>
        <w:spacing w:line="360" w:lineRule="exact"/>
        <w:rPr>
          <w:rFonts w:hint="eastAsia" w:ascii="宋体" w:hAnsi="宋体"/>
          <w:b/>
          <w:sz w:val="24"/>
        </w:rPr>
      </w:pPr>
    </w:p>
    <w:p w14:paraId="53B2C33B">
      <w:pPr>
        <w:spacing w:line="360" w:lineRule="exact"/>
        <w:rPr>
          <w:rFonts w:hint="eastAsia" w:ascii="宋体" w:hAnsi="宋体"/>
          <w:b/>
          <w:sz w:val="24"/>
        </w:rPr>
      </w:pPr>
    </w:p>
    <w:p w14:paraId="147100FD">
      <w:pPr>
        <w:spacing w:line="360" w:lineRule="exact"/>
        <w:rPr>
          <w:rFonts w:hint="eastAsia" w:ascii="宋体" w:hAnsi="宋体"/>
          <w:b/>
          <w:sz w:val="24"/>
        </w:rPr>
      </w:pPr>
    </w:p>
    <w:p w14:paraId="71A0455D">
      <w:pPr>
        <w:spacing w:line="360" w:lineRule="exact"/>
        <w:rPr>
          <w:rFonts w:hint="eastAsia" w:ascii="宋体" w:hAnsi="宋体"/>
          <w:b/>
          <w:sz w:val="24"/>
        </w:rPr>
      </w:pPr>
      <w:r>
        <w:rPr>
          <w:rFonts w:hint="eastAsia" w:ascii="宋体" w:hAnsi="宋体"/>
          <w:b/>
          <w:sz w:val="24"/>
        </w:rPr>
        <w:t>附件3</w:t>
      </w:r>
      <w:r>
        <w:rPr>
          <w:rFonts w:ascii="宋体" w:hAnsi="宋体"/>
          <w:b/>
          <w:sz w:val="24"/>
        </w:rPr>
        <w:t xml:space="preserve">  </w:t>
      </w:r>
    </w:p>
    <w:p w14:paraId="1B697780">
      <w:pPr>
        <w:pStyle w:val="3"/>
        <w:rPr>
          <w:rFonts w:hint="eastAsia" w:ascii="宋体" w:hAnsi="宋体" w:eastAsia="宋体" w:cs="仿宋"/>
          <w:bCs/>
          <w:spacing w:val="0"/>
          <w:kern w:val="2"/>
          <w:szCs w:val="24"/>
        </w:rPr>
      </w:pPr>
      <w:r>
        <w:rPr>
          <w:rFonts w:hint="eastAsia" w:ascii="宋体" w:hAnsi="宋体" w:eastAsia="宋体" w:cs="仿宋"/>
          <w:bCs/>
          <w:spacing w:val="0"/>
          <w:kern w:val="2"/>
          <w:szCs w:val="24"/>
        </w:rPr>
        <w:t>采购需求响应表</w:t>
      </w:r>
    </w:p>
    <w:p w14:paraId="3294F33B">
      <w:pPr>
        <w:spacing w:line="320" w:lineRule="exact"/>
        <w:jc w:val="center"/>
        <w:rPr>
          <w:rFonts w:hint="eastAsia" w:ascii="宋体" w:hAnsi="宋体"/>
          <w:b/>
          <w:sz w:val="28"/>
          <w:szCs w:val="28"/>
        </w:rPr>
      </w:pPr>
    </w:p>
    <w:p w14:paraId="246A437B">
      <w:pPr>
        <w:spacing w:line="320" w:lineRule="exact"/>
        <w:jc w:val="left"/>
        <w:rPr>
          <w:rFonts w:hint="eastAsia" w:ascii="宋体" w:hAnsi="宋体"/>
          <w:sz w:val="24"/>
        </w:rPr>
      </w:pPr>
      <w:r>
        <w:rPr>
          <w:rFonts w:hint="eastAsia" w:ascii="宋体" w:hAnsi="宋体"/>
          <w:sz w:val="24"/>
        </w:rPr>
        <w:t>说明：响应供应商必须仔细阅读采购文件中所有技术规范条款和相关功能要求，并对所有技术规范和功能偏离的条目列入下表，未列入下表的视作响应供应商不响应。响应供应商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22D8BA2C">
      <w:pPr>
        <w:tabs>
          <w:tab w:val="left" w:pos="9654"/>
        </w:tabs>
        <w:spacing w:line="320" w:lineRule="exact"/>
        <w:rPr>
          <w:rFonts w:hint="eastAsia" w:ascii="宋体" w:hAnsi="宋体"/>
          <w:sz w:val="24"/>
        </w:rPr>
      </w:pPr>
    </w:p>
    <w:p w14:paraId="1592C8E4">
      <w:pPr>
        <w:tabs>
          <w:tab w:val="left" w:pos="635"/>
          <w:tab w:val="left" w:pos="2852"/>
          <w:tab w:val="left" w:pos="5260"/>
          <w:tab w:val="left" w:pos="9654"/>
        </w:tabs>
        <w:spacing w:line="320" w:lineRule="exact"/>
        <w:rPr>
          <w:rFonts w:hint="eastAsia" w:ascii="宋体" w:hAnsi="宋体"/>
          <w:sz w:val="24"/>
        </w:rPr>
      </w:pPr>
    </w:p>
    <w:tbl>
      <w:tblPr>
        <w:tblStyle w:val="39"/>
        <w:tblW w:w="0" w:type="auto"/>
        <w:jc w:val="center"/>
        <w:tblLayout w:type="fixed"/>
        <w:tblCellMar>
          <w:top w:w="0" w:type="dxa"/>
          <w:left w:w="54" w:type="dxa"/>
          <w:bottom w:w="0" w:type="dxa"/>
          <w:right w:w="54" w:type="dxa"/>
        </w:tblCellMar>
      </w:tblPr>
      <w:tblGrid>
        <w:gridCol w:w="660"/>
        <w:gridCol w:w="3300"/>
        <w:gridCol w:w="3300"/>
        <w:gridCol w:w="2552"/>
      </w:tblGrid>
      <w:tr w14:paraId="3B391B96">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noWrap/>
            <w:vAlign w:val="center"/>
          </w:tcPr>
          <w:p w14:paraId="1F9137AD">
            <w:pPr>
              <w:spacing w:line="320" w:lineRule="exact"/>
              <w:jc w:val="center"/>
              <w:rPr>
                <w:rFonts w:hint="eastAsia"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5EDF371F">
            <w:pPr>
              <w:spacing w:line="320" w:lineRule="exact"/>
              <w:jc w:val="center"/>
              <w:rPr>
                <w:rFonts w:hint="eastAsia"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633FE998">
            <w:pPr>
              <w:spacing w:line="320" w:lineRule="exact"/>
              <w:jc w:val="center"/>
              <w:rPr>
                <w:rFonts w:hint="eastAsia"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50B04638">
            <w:pPr>
              <w:spacing w:line="320" w:lineRule="exact"/>
              <w:jc w:val="center"/>
              <w:rPr>
                <w:rFonts w:hint="eastAsia" w:ascii="宋体" w:hAnsi="宋体"/>
                <w:sz w:val="24"/>
              </w:rPr>
            </w:pPr>
            <w:r>
              <w:rPr>
                <w:rFonts w:ascii="宋体" w:hAnsi="宋体"/>
                <w:sz w:val="24"/>
              </w:rPr>
              <w:t>偏离情况</w:t>
            </w:r>
          </w:p>
          <w:p w14:paraId="54870440">
            <w:pPr>
              <w:spacing w:line="320" w:lineRule="exact"/>
              <w:jc w:val="center"/>
              <w:rPr>
                <w:rFonts w:hint="eastAsia" w:ascii="宋体" w:hAnsi="宋体"/>
                <w:sz w:val="24"/>
              </w:rPr>
            </w:pPr>
            <w:r>
              <w:rPr>
                <w:rFonts w:ascii="宋体" w:hAnsi="宋体"/>
                <w:sz w:val="24"/>
              </w:rPr>
              <w:t>（无偏离，正/负偏离）</w:t>
            </w:r>
          </w:p>
          <w:p w14:paraId="4597D046">
            <w:pPr>
              <w:spacing w:line="320" w:lineRule="exact"/>
              <w:jc w:val="center"/>
              <w:rPr>
                <w:rFonts w:hint="eastAsia" w:ascii="宋体" w:hAnsi="宋体"/>
                <w:sz w:val="24"/>
              </w:rPr>
            </w:pPr>
          </w:p>
        </w:tc>
      </w:tr>
      <w:tr w14:paraId="49CD905D">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66B85113">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75EFBD3">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6548A3D3">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5B07FE1E">
            <w:pPr>
              <w:spacing w:line="320" w:lineRule="exact"/>
              <w:rPr>
                <w:rFonts w:hint="eastAsia" w:ascii="宋体" w:hAnsi="宋体"/>
                <w:sz w:val="24"/>
              </w:rPr>
            </w:pPr>
          </w:p>
        </w:tc>
      </w:tr>
      <w:tr w14:paraId="219AEDD4">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7CA41DB6">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D61AEC0">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4FEB43B5">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575BEF32">
            <w:pPr>
              <w:spacing w:line="320" w:lineRule="exact"/>
              <w:rPr>
                <w:rFonts w:hint="eastAsia" w:ascii="宋体" w:hAnsi="宋体"/>
                <w:sz w:val="24"/>
              </w:rPr>
            </w:pPr>
          </w:p>
        </w:tc>
      </w:tr>
      <w:tr w14:paraId="0D2C7508">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noWrap/>
          </w:tcPr>
          <w:p w14:paraId="14D90BD5">
            <w:pPr>
              <w:spacing w:line="320" w:lineRule="exact"/>
              <w:rPr>
                <w:rFonts w:hint="eastAsia"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005DFD7A">
            <w:pPr>
              <w:spacing w:line="320" w:lineRule="exact"/>
              <w:rPr>
                <w:rFonts w:hint="eastAsia"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139C3EAE">
            <w:pPr>
              <w:spacing w:line="320" w:lineRule="exact"/>
              <w:rPr>
                <w:rFonts w:hint="eastAsia"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2F9809CC">
            <w:pPr>
              <w:spacing w:line="320" w:lineRule="exact"/>
              <w:rPr>
                <w:rFonts w:hint="eastAsia" w:ascii="宋体" w:hAnsi="宋体"/>
                <w:sz w:val="24"/>
              </w:rPr>
            </w:pPr>
          </w:p>
        </w:tc>
      </w:tr>
      <w:tr w14:paraId="0A62E8D2">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0D225027">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5BA6D5BA">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37FF85AA">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7DF1603A">
            <w:pPr>
              <w:spacing w:line="320" w:lineRule="exact"/>
              <w:rPr>
                <w:rFonts w:hint="eastAsia" w:ascii="宋体" w:hAnsi="宋体"/>
                <w:sz w:val="24"/>
              </w:rPr>
            </w:pPr>
          </w:p>
        </w:tc>
      </w:tr>
      <w:tr w14:paraId="0EFB7AD8">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31EC1C31">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71D79DC8">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38FC0796">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019652B6">
            <w:pPr>
              <w:spacing w:line="320" w:lineRule="exact"/>
              <w:rPr>
                <w:rFonts w:hint="eastAsia" w:ascii="宋体" w:hAnsi="宋体"/>
                <w:sz w:val="24"/>
              </w:rPr>
            </w:pPr>
          </w:p>
        </w:tc>
      </w:tr>
    </w:tbl>
    <w:p w14:paraId="20F4D25B">
      <w:pPr>
        <w:spacing w:line="320" w:lineRule="exact"/>
        <w:outlineLvl w:val="0"/>
        <w:rPr>
          <w:rFonts w:hint="eastAsia" w:ascii="宋体" w:hAnsi="宋体"/>
          <w:b/>
          <w:sz w:val="24"/>
        </w:rPr>
      </w:pPr>
    </w:p>
    <w:p w14:paraId="4ABB8D7B">
      <w:pPr>
        <w:spacing w:line="320" w:lineRule="exact"/>
        <w:outlineLvl w:val="0"/>
        <w:rPr>
          <w:rFonts w:hint="eastAsia" w:ascii="宋体" w:hAnsi="宋体"/>
          <w:b/>
          <w:sz w:val="24"/>
        </w:rPr>
      </w:pPr>
      <w:r>
        <w:rPr>
          <w:rFonts w:hint="eastAsia" w:ascii="宋体" w:hAnsi="宋体"/>
          <w:b/>
          <w:sz w:val="24"/>
        </w:rPr>
        <w:t>注：1、采购规格按磋商采购文件要求填写。</w:t>
      </w:r>
    </w:p>
    <w:p w14:paraId="4C2C8070">
      <w:pPr>
        <w:spacing w:line="320" w:lineRule="exact"/>
        <w:ind w:firstLine="482" w:firstLineChars="200"/>
        <w:outlineLvl w:val="0"/>
        <w:rPr>
          <w:rFonts w:hint="eastAsia" w:ascii="宋体" w:hAnsi="宋体"/>
          <w:b/>
          <w:sz w:val="24"/>
        </w:rPr>
      </w:pPr>
      <w:r>
        <w:rPr>
          <w:rFonts w:hint="eastAsia" w:ascii="宋体" w:hAnsi="宋体"/>
          <w:b/>
          <w:bCs/>
          <w:sz w:val="24"/>
        </w:rPr>
        <w:t>2、响应规格按所投产品规格填写</w:t>
      </w:r>
      <w:r>
        <w:rPr>
          <w:rFonts w:hint="eastAsia" w:ascii="宋体" w:hAnsi="宋体"/>
          <w:b/>
          <w:sz w:val="24"/>
        </w:rPr>
        <w:t>。不接受有选择性的参数。</w:t>
      </w:r>
    </w:p>
    <w:p w14:paraId="4F381B68">
      <w:pPr>
        <w:spacing w:line="320" w:lineRule="exact"/>
        <w:jc w:val="left"/>
        <w:outlineLvl w:val="0"/>
        <w:rPr>
          <w:rFonts w:hint="eastAsia" w:ascii="宋体" w:hAnsi="宋体"/>
          <w:b/>
          <w:sz w:val="24"/>
        </w:rPr>
      </w:pPr>
    </w:p>
    <w:p w14:paraId="7E103472">
      <w:pPr>
        <w:spacing w:line="320" w:lineRule="exact"/>
        <w:ind w:left="420" w:leftChars="200"/>
        <w:jc w:val="left"/>
        <w:outlineLvl w:val="0"/>
        <w:rPr>
          <w:rFonts w:hint="eastAsia" w:ascii="宋体" w:hAnsi="宋体"/>
          <w:b/>
          <w:sz w:val="24"/>
        </w:rPr>
      </w:pPr>
      <w:r>
        <w:rPr>
          <w:rFonts w:hint="eastAsia" w:ascii="宋体" w:hAnsi="宋体"/>
          <w:b/>
          <w:sz w:val="24"/>
        </w:rPr>
        <w:t xml:space="preserve"> </w:t>
      </w:r>
    </w:p>
    <w:p w14:paraId="5E3E9DD2">
      <w:pPr>
        <w:topLinePunct/>
        <w:snapToGrid w:val="0"/>
        <w:spacing w:line="360" w:lineRule="auto"/>
        <w:rPr>
          <w:rFonts w:hint="eastAsia" w:ascii="宋体" w:hAnsi="宋体" w:cs="仿宋"/>
          <w:b/>
          <w:bCs/>
          <w:sz w:val="24"/>
        </w:rPr>
      </w:pPr>
    </w:p>
    <w:p w14:paraId="3891E427">
      <w:pPr>
        <w:topLinePunct/>
        <w:snapToGrid w:val="0"/>
        <w:spacing w:line="360" w:lineRule="auto"/>
        <w:rPr>
          <w:rFonts w:hint="eastAsia" w:ascii="宋体" w:hAnsi="宋体" w:cs="仿宋"/>
          <w:b/>
          <w:bCs/>
          <w:sz w:val="24"/>
          <w:u w:val="single"/>
        </w:rPr>
      </w:pPr>
      <w:r>
        <w:rPr>
          <w:rFonts w:hint="eastAsia" w:ascii="宋体" w:hAnsi="宋体" w:cs="仿宋"/>
          <w:b/>
          <w:bCs/>
          <w:sz w:val="24"/>
        </w:rPr>
        <w:t>投标人名称（盖章）：</w:t>
      </w:r>
      <w:r>
        <w:rPr>
          <w:rFonts w:hint="eastAsia" w:ascii="宋体" w:hAnsi="宋体" w:cs="仿宋"/>
          <w:b/>
          <w:bCs/>
          <w:sz w:val="24"/>
          <w:u w:val="single"/>
        </w:rPr>
        <w:t xml:space="preserve">            </w:t>
      </w:r>
    </w:p>
    <w:p w14:paraId="33CA9EEE">
      <w:pPr>
        <w:topLinePunct/>
        <w:snapToGrid w:val="0"/>
        <w:spacing w:before="4" w:line="360" w:lineRule="auto"/>
        <w:rPr>
          <w:rFonts w:hint="eastAsia" w:ascii="宋体" w:hAnsi="宋体" w:cs="仿宋"/>
          <w:b/>
          <w:bCs/>
          <w:sz w:val="24"/>
        </w:rPr>
      </w:pPr>
    </w:p>
    <w:p w14:paraId="651B6B92">
      <w:pPr>
        <w:topLinePunct/>
        <w:snapToGrid w:val="0"/>
        <w:spacing w:before="4" w:line="360" w:lineRule="auto"/>
        <w:rPr>
          <w:rFonts w:hint="eastAsia" w:ascii="宋体" w:hAnsi="宋体" w:cs="仿宋"/>
          <w:b/>
          <w:bCs/>
          <w:sz w:val="24"/>
        </w:rPr>
      </w:pPr>
      <w:r>
        <w:rPr>
          <w:rFonts w:hint="eastAsia" w:ascii="宋体" w:hAnsi="宋体" w:cs="仿宋"/>
          <w:b/>
          <w:bCs/>
          <w:sz w:val="24"/>
        </w:rPr>
        <w:t>法定代表人或授权代表（签字或盖章）</w:t>
      </w:r>
      <w:r>
        <w:rPr>
          <w:rFonts w:hint="eastAsia" w:ascii="宋体" w:hAnsi="宋体" w:cs="仿宋"/>
          <w:b/>
          <w:bCs/>
          <w:sz w:val="24"/>
          <w:u w:val="single"/>
        </w:rPr>
        <w:t xml:space="preserve">             </w:t>
      </w:r>
    </w:p>
    <w:p w14:paraId="79CCB4FB">
      <w:pPr>
        <w:pStyle w:val="22"/>
        <w:ind w:firstLine="422"/>
        <w:rPr>
          <w:rFonts w:hint="eastAsia" w:hAnsi="宋体" w:cs="仿宋"/>
          <w:b/>
          <w:szCs w:val="21"/>
        </w:rPr>
      </w:pPr>
    </w:p>
    <w:p w14:paraId="3401C616">
      <w:pPr>
        <w:spacing w:line="360" w:lineRule="exact"/>
        <w:outlineLvl w:val="0"/>
        <w:rPr>
          <w:rFonts w:hint="eastAsia" w:ascii="宋体" w:hAnsi="宋体"/>
          <w:b/>
          <w:sz w:val="24"/>
        </w:rPr>
      </w:pPr>
    </w:p>
    <w:p w14:paraId="7F891339">
      <w:pPr>
        <w:spacing w:line="360" w:lineRule="exact"/>
        <w:outlineLvl w:val="0"/>
        <w:rPr>
          <w:rFonts w:hint="eastAsia" w:ascii="宋体" w:hAnsi="宋体"/>
          <w:b/>
          <w:sz w:val="24"/>
        </w:rPr>
      </w:pPr>
    </w:p>
    <w:p w14:paraId="3D75342E">
      <w:pPr>
        <w:spacing w:line="360" w:lineRule="exact"/>
        <w:outlineLvl w:val="0"/>
        <w:rPr>
          <w:rFonts w:hint="eastAsia" w:ascii="宋体" w:hAnsi="宋体"/>
          <w:b/>
          <w:sz w:val="24"/>
        </w:rPr>
      </w:pPr>
    </w:p>
    <w:p w14:paraId="39E5E17C">
      <w:pPr>
        <w:spacing w:line="360" w:lineRule="exact"/>
        <w:outlineLvl w:val="0"/>
        <w:rPr>
          <w:rFonts w:hint="eastAsia" w:ascii="宋体" w:hAnsi="宋体"/>
          <w:b/>
          <w:sz w:val="24"/>
        </w:rPr>
      </w:pPr>
    </w:p>
    <w:p w14:paraId="68F68AB8">
      <w:pPr>
        <w:spacing w:line="360" w:lineRule="exact"/>
        <w:outlineLvl w:val="0"/>
        <w:rPr>
          <w:rFonts w:hint="eastAsia" w:ascii="宋体" w:hAnsi="宋体"/>
          <w:b/>
          <w:sz w:val="24"/>
        </w:rPr>
      </w:pPr>
    </w:p>
    <w:p w14:paraId="33D0524A">
      <w:pPr>
        <w:spacing w:line="360" w:lineRule="exact"/>
        <w:outlineLvl w:val="0"/>
        <w:rPr>
          <w:rFonts w:hint="eastAsia" w:ascii="宋体" w:hAnsi="宋体"/>
          <w:b/>
          <w:sz w:val="24"/>
        </w:rPr>
      </w:pPr>
    </w:p>
    <w:p w14:paraId="7916DFBB">
      <w:pPr>
        <w:spacing w:line="360" w:lineRule="exact"/>
        <w:outlineLvl w:val="0"/>
        <w:rPr>
          <w:rFonts w:hint="eastAsia" w:ascii="宋体" w:hAnsi="宋体"/>
          <w:b/>
          <w:sz w:val="24"/>
        </w:rPr>
      </w:pPr>
    </w:p>
    <w:p w14:paraId="1B1BE125">
      <w:pPr>
        <w:spacing w:line="360" w:lineRule="exact"/>
        <w:outlineLvl w:val="0"/>
        <w:rPr>
          <w:rFonts w:hint="eastAsia" w:ascii="宋体" w:hAnsi="宋体"/>
          <w:b/>
          <w:sz w:val="24"/>
        </w:rPr>
      </w:pPr>
    </w:p>
    <w:p w14:paraId="14361B36">
      <w:pPr>
        <w:spacing w:line="360" w:lineRule="exact"/>
        <w:outlineLvl w:val="0"/>
        <w:rPr>
          <w:rFonts w:hint="eastAsia" w:ascii="宋体" w:hAnsi="宋体"/>
          <w:b/>
          <w:sz w:val="24"/>
        </w:rPr>
      </w:pPr>
    </w:p>
    <w:p w14:paraId="1D978FDF">
      <w:pPr>
        <w:spacing w:line="360" w:lineRule="exact"/>
        <w:outlineLvl w:val="0"/>
        <w:rPr>
          <w:rFonts w:hint="eastAsia" w:ascii="宋体" w:hAnsi="宋体"/>
          <w:b/>
          <w:sz w:val="24"/>
        </w:rPr>
      </w:pPr>
      <w:r>
        <w:rPr>
          <w:rFonts w:hint="eastAsia" w:ascii="宋体" w:hAnsi="宋体"/>
          <w:b/>
          <w:sz w:val="24"/>
        </w:rPr>
        <w:t>附件4</w:t>
      </w:r>
    </w:p>
    <w:p w14:paraId="2B8FC6C5">
      <w:pPr>
        <w:pStyle w:val="3"/>
        <w:keepNext w:val="0"/>
        <w:keepLines w:val="0"/>
        <w:spacing w:line="415" w:lineRule="auto"/>
        <w:rPr>
          <w:rFonts w:hint="eastAsia" w:ascii="宋体" w:hAnsi="宋体" w:eastAsia="宋体"/>
          <w:szCs w:val="24"/>
        </w:rPr>
      </w:pPr>
      <w:bookmarkStart w:id="58" w:name="_Toc183588706"/>
      <w:r>
        <w:rPr>
          <w:rFonts w:hint="eastAsia" w:ascii="宋体" w:hAnsi="宋体" w:eastAsia="宋体"/>
          <w:szCs w:val="24"/>
        </w:rPr>
        <w:t>法定</w:t>
      </w:r>
      <w:r>
        <w:rPr>
          <w:rFonts w:hint="eastAsia" w:ascii="宋体" w:hAnsi="宋体" w:eastAsia="宋体"/>
          <w:szCs w:val="24"/>
          <w:lang w:val="en-US" w:eastAsia="zh-CN"/>
        </w:rPr>
        <w:t>代</w:t>
      </w:r>
      <w:r>
        <w:rPr>
          <w:rFonts w:hint="eastAsia" w:ascii="宋体" w:hAnsi="宋体" w:eastAsia="宋体"/>
          <w:szCs w:val="24"/>
        </w:rPr>
        <w:t>表人授权书</w:t>
      </w:r>
      <w:bookmarkEnd w:id="58"/>
    </w:p>
    <w:p w14:paraId="07F083DD">
      <w:pPr>
        <w:pStyle w:val="5"/>
        <w:ind w:firstLine="480"/>
        <w:rPr>
          <w:rFonts w:hint="eastAsia" w:hAnsi="宋体"/>
        </w:rPr>
      </w:pPr>
    </w:p>
    <w:p w14:paraId="75183055">
      <w:pPr>
        <w:pStyle w:val="22"/>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751F820F">
      <w:pPr>
        <w:pStyle w:val="22"/>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75E825A8">
      <w:pPr>
        <w:pStyle w:val="22"/>
        <w:tabs>
          <w:tab w:val="left" w:pos="5580"/>
        </w:tabs>
        <w:rPr>
          <w:rFonts w:hint="eastAsia" w:hAnsi="宋体"/>
          <w:szCs w:val="24"/>
        </w:rPr>
      </w:pPr>
      <w:r>
        <w:rPr>
          <w:rFonts w:hint="eastAsia" w:hAnsi="宋体"/>
          <w:szCs w:val="24"/>
        </w:rPr>
        <w:cr/>
      </w:r>
      <w:r>
        <w:rPr>
          <w:rFonts w:hint="eastAsia" w:hAnsi="宋体"/>
          <w:szCs w:val="24"/>
        </w:rPr>
        <w:t>被授权人签字_______________________________</w:t>
      </w:r>
    </w:p>
    <w:p w14:paraId="399F2A6E">
      <w:pPr>
        <w:pStyle w:val="22"/>
        <w:tabs>
          <w:tab w:val="left" w:pos="5580"/>
        </w:tabs>
        <w:rPr>
          <w:rFonts w:hint="eastAsia" w:hAnsi="宋体"/>
          <w:szCs w:val="24"/>
        </w:rPr>
      </w:pPr>
      <w:r>
        <w:rPr>
          <w:rFonts w:hint="eastAsia" w:hAnsi="宋体"/>
          <w:szCs w:val="24"/>
        </w:rPr>
        <w:t xml:space="preserve">公司盖章：                                 </w:t>
      </w:r>
    </w:p>
    <w:p w14:paraId="51A80659">
      <w:pPr>
        <w:pStyle w:val="22"/>
        <w:tabs>
          <w:tab w:val="left" w:pos="5580"/>
        </w:tabs>
        <w:rPr>
          <w:rFonts w:hint="eastAsia" w:hAnsi="宋体"/>
          <w:szCs w:val="24"/>
        </w:rPr>
      </w:pPr>
      <w:r>
        <w:rPr>
          <w:rFonts w:hint="eastAsia" w:hAnsi="宋体"/>
          <w:szCs w:val="24"/>
        </w:rPr>
        <w:t>附：</w:t>
      </w:r>
    </w:p>
    <w:p w14:paraId="7270ECAF">
      <w:pPr>
        <w:pStyle w:val="22"/>
        <w:tabs>
          <w:tab w:val="left" w:pos="5580"/>
        </w:tabs>
        <w:rPr>
          <w:rFonts w:hint="eastAsia" w:hAnsi="宋体"/>
          <w:szCs w:val="24"/>
        </w:rPr>
      </w:pPr>
      <w:r>
        <w:rPr>
          <w:rFonts w:hint="eastAsia" w:hAnsi="宋体"/>
          <w:szCs w:val="24"/>
        </w:rPr>
        <w:t>被授权人姓名：</w:t>
      </w:r>
    </w:p>
    <w:p w14:paraId="05B2FCEA">
      <w:pPr>
        <w:pStyle w:val="22"/>
        <w:tabs>
          <w:tab w:val="left" w:pos="5580"/>
        </w:tabs>
        <w:rPr>
          <w:rFonts w:hint="eastAsia" w:hAnsi="宋体"/>
          <w:szCs w:val="24"/>
        </w:rPr>
      </w:pPr>
      <w:r>
        <w:rPr>
          <w:rFonts w:hint="eastAsia" w:hAnsi="宋体"/>
          <w:szCs w:val="24"/>
        </w:rPr>
        <w:t>职　　　　务：</w:t>
      </w:r>
    </w:p>
    <w:p w14:paraId="37C649EF">
      <w:pPr>
        <w:pStyle w:val="22"/>
        <w:tabs>
          <w:tab w:val="left" w:pos="5580"/>
        </w:tabs>
        <w:rPr>
          <w:rFonts w:hint="eastAsia" w:hAnsi="宋体"/>
          <w:szCs w:val="24"/>
        </w:rPr>
      </w:pPr>
      <w:r>
        <w:rPr>
          <w:rFonts w:hint="eastAsia" w:hAnsi="宋体"/>
          <w:szCs w:val="24"/>
        </w:rPr>
        <w:t>详细通讯地址：</w:t>
      </w:r>
    </w:p>
    <w:p w14:paraId="2771A50A">
      <w:pPr>
        <w:pStyle w:val="22"/>
        <w:tabs>
          <w:tab w:val="left" w:pos="5580"/>
        </w:tabs>
        <w:rPr>
          <w:rFonts w:hint="eastAsia" w:hAnsi="宋体"/>
          <w:szCs w:val="24"/>
        </w:rPr>
      </w:pPr>
      <w:r>
        <w:rPr>
          <w:rFonts w:hint="eastAsia" w:hAnsi="宋体"/>
          <w:szCs w:val="24"/>
        </w:rPr>
        <w:t>邮政编码　　：</w:t>
      </w:r>
    </w:p>
    <w:p w14:paraId="2358B2FB">
      <w:pPr>
        <w:pStyle w:val="22"/>
        <w:tabs>
          <w:tab w:val="left" w:pos="5580"/>
        </w:tabs>
        <w:rPr>
          <w:rFonts w:hint="eastAsia" w:hAnsi="宋体"/>
          <w:szCs w:val="24"/>
        </w:rPr>
      </w:pPr>
      <w:r>
        <w:rPr>
          <w:rFonts w:hint="eastAsia" w:hAnsi="宋体"/>
          <w:szCs w:val="24"/>
        </w:rPr>
        <w:t>传　　　　真：</w:t>
      </w:r>
    </w:p>
    <w:p w14:paraId="49A163B8">
      <w:pPr>
        <w:pStyle w:val="22"/>
        <w:tabs>
          <w:tab w:val="left" w:pos="5580"/>
        </w:tabs>
        <w:rPr>
          <w:rFonts w:hint="eastAsia" w:hAnsi="宋体"/>
          <w:szCs w:val="24"/>
        </w:rPr>
      </w:pPr>
      <w:r>
        <w:rPr>
          <w:rFonts w:hint="eastAsia" w:hAnsi="宋体"/>
          <w:szCs w:val="24"/>
        </w:rPr>
        <w:t>电　　　　话：</w:t>
      </w:r>
    </w:p>
    <w:tbl>
      <w:tblPr>
        <w:tblStyle w:val="39"/>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D36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7045722D">
            <w:pPr>
              <w:spacing w:line="360" w:lineRule="exact"/>
              <w:jc w:val="center"/>
              <w:rPr>
                <w:rFonts w:hint="eastAsia" w:ascii="宋体" w:hAnsi="宋体"/>
                <w:sz w:val="24"/>
              </w:rPr>
            </w:pPr>
            <w:r>
              <w:rPr>
                <w:rFonts w:hint="eastAsia" w:ascii="宋体" w:hAnsi="宋体"/>
                <w:sz w:val="24"/>
              </w:rPr>
              <w:t>粘贴</w:t>
            </w:r>
          </w:p>
          <w:p w14:paraId="49D04F4A">
            <w:pPr>
              <w:spacing w:line="360" w:lineRule="exact"/>
              <w:jc w:val="center"/>
              <w:rPr>
                <w:rFonts w:hint="eastAsia" w:ascii="宋体" w:hAnsi="宋体"/>
                <w:sz w:val="24"/>
              </w:rPr>
            </w:pPr>
            <w:r>
              <w:rPr>
                <w:rFonts w:hint="eastAsia" w:ascii="宋体" w:hAnsi="宋体"/>
                <w:sz w:val="24"/>
              </w:rPr>
              <w:t>法人及投标方代表身份证复印件</w:t>
            </w:r>
          </w:p>
        </w:tc>
      </w:tr>
    </w:tbl>
    <w:p w14:paraId="203CB436">
      <w:pPr>
        <w:spacing w:before="240" w:line="360" w:lineRule="exact"/>
        <w:rPr>
          <w:rFonts w:hint="eastAsia" w:ascii="宋体" w:hAnsi="宋体"/>
          <w:sz w:val="24"/>
        </w:rPr>
      </w:pPr>
    </w:p>
    <w:p w14:paraId="0C2F782E">
      <w:pPr>
        <w:spacing w:before="240" w:line="360" w:lineRule="exact"/>
        <w:rPr>
          <w:rFonts w:hint="eastAsia" w:ascii="宋体" w:hAnsi="宋体"/>
          <w:sz w:val="24"/>
        </w:rPr>
      </w:pPr>
    </w:p>
    <w:p w14:paraId="1C0E356B">
      <w:pPr>
        <w:spacing w:before="240" w:line="360" w:lineRule="exact"/>
        <w:rPr>
          <w:rFonts w:hint="eastAsia" w:ascii="宋体" w:hAnsi="宋体"/>
          <w:sz w:val="24"/>
        </w:rPr>
      </w:pPr>
    </w:p>
    <w:p w14:paraId="5356FEF5">
      <w:pPr>
        <w:spacing w:before="240" w:line="360" w:lineRule="exact"/>
        <w:rPr>
          <w:rFonts w:hint="eastAsia" w:ascii="宋体" w:hAnsi="宋体"/>
          <w:sz w:val="24"/>
        </w:rPr>
      </w:pPr>
    </w:p>
    <w:p w14:paraId="1EAC522F">
      <w:pPr>
        <w:spacing w:line="360" w:lineRule="exact"/>
        <w:rPr>
          <w:rFonts w:hint="eastAsia" w:ascii="宋体" w:hAnsi="宋体"/>
          <w:sz w:val="24"/>
        </w:rPr>
      </w:pPr>
    </w:p>
    <w:p w14:paraId="10EF13A2">
      <w:pPr>
        <w:spacing w:line="360" w:lineRule="exact"/>
        <w:rPr>
          <w:rFonts w:hint="eastAsia" w:ascii="宋体" w:hAnsi="宋体"/>
          <w:sz w:val="24"/>
        </w:rPr>
      </w:pPr>
    </w:p>
    <w:p w14:paraId="514C0C24">
      <w:pPr>
        <w:spacing w:line="360" w:lineRule="exact"/>
        <w:rPr>
          <w:rFonts w:hint="eastAsia" w:ascii="宋体" w:hAnsi="宋体"/>
          <w:sz w:val="24"/>
        </w:rPr>
      </w:pPr>
    </w:p>
    <w:p w14:paraId="73A122FF">
      <w:pPr>
        <w:spacing w:line="360" w:lineRule="exact"/>
        <w:rPr>
          <w:rFonts w:hint="eastAsia" w:ascii="宋体" w:hAnsi="宋体"/>
          <w:sz w:val="24"/>
        </w:rPr>
      </w:pPr>
    </w:p>
    <w:p w14:paraId="172066C2">
      <w:pPr>
        <w:adjustRightInd w:val="0"/>
        <w:snapToGrid w:val="0"/>
        <w:spacing w:line="360" w:lineRule="auto"/>
        <w:ind w:firstLine="422" w:firstLineChars="200"/>
        <w:rPr>
          <w:rFonts w:hint="eastAsia" w:ascii="宋体" w:hAnsi="宋体" w:cs="宋体"/>
          <w:kern w:val="0"/>
          <w:sz w:val="24"/>
        </w:rPr>
      </w:pPr>
      <w:bookmarkStart w:id="59" w:name="_Toc480942355"/>
      <w:bookmarkStart w:id="60" w:name="_Toc520356224"/>
      <w:bookmarkStart w:id="61" w:name="_Ref467988543"/>
      <w:bookmarkStart w:id="62" w:name="_Toc183588702"/>
      <w:r>
        <w:rPr>
          <w:rFonts w:hint="eastAsia" w:ascii="宋体" w:hAnsi="宋体"/>
          <w:b/>
          <w:bCs/>
        </w:rPr>
        <w:t>附件5 资格证明文件（格式</w:t>
      </w:r>
      <w:bookmarkEnd w:id="59"/>
      <w:bookmarkEnd w:id="60"/>
      <w:bookmarkEnd w:id="61"/>
      <w:r>
        <w:rPr>
          <w:rFonts w:hint="eastAsia" w:ascii="宋体" w:hAnsi="宋体"/>
          <w:b/>
          <w:bCs/>
        </w:rPr>
        <w:t>）</w:t>
      </w:r>
      <w:bookmarkEnd w:id="62"/>
      <w:r>
        <w:rPr>
          <w:rFonts w:ascii="宋体" w:hAnsi="宋体"/>
        </w:rPr>
        <w:cr/>
      </w:r>
      <w:r>
        <w:rPr>
          <w:rFonts w:hint="eastAsia" w:ascii="宋体" w:hAnsi="宋体"/>
        </w:rPr>
        <w:t>5.</w:t>
      </w:r>
      <w:r>
        <w:rPr>
          <w:rFonts w:hint="eastAsia" w:ascii="宋体" w:hAnsi="宋体" w:cs="宋体"/>
          <w:kern w:val="0"/>
          <w:sz w:val="24"/>
        </w:rPr>
        <w:t>1中华人民共和国境内注册、具有独立承担民事责任的能力（提供营业执照或事业单位法人证书）。</w:t>
      </w:r>
    </w:p>
    <w:p w14:paraId="546FF804">
      <w:pPr>
        <w:adjustRightInd w:val="0"/>
        <w:snapToGrid w:val="0"/>
        <w:spacing w:line="360" w:lineRule="auto"/>
        <w:rPr>
          <w:rFonts w:hint="eastAsia" w:ascii="宋体" w:hAnsi="宋体" w:cs="宋体"/>
          <w:kern w:val="0"/>
          <w:sz w:val="24"/>
        </w:rPr>
      </w:pPr>
      <w:r>
        <w:rPr>
          <w:rFonts w:hint="eastAsia" w:ascii="宋体" w:hAnsi="宋体" w:cs="宋体"/>
          <w:kern w:val="0"/>
          <w:sz w:val="24"/>
        </w:rPr>
        <w:t>5.2具备《中华人民共和国政府采购法》第二十二条规定条件的承诺书。</w:t>
      </w:r>
    </w:p>
    <w:p w14:paraId="7B0F2BD8">
      <w:pPr>
        <w:adjustRightInd w:val="0"/>
        <w:snapToGrid w:val="0"/>
        <w:spacing w:line="360" w:lineRule="auto"/>
        <w:rPr>
          <w:rFonts w:hint="eastAsia" w:ascii="宋体" w:hAnsi="宋体"/>
          <w:b/>
          <w:bCs/>
          <w:sz w:val="24"/>
        </w:rPr>
      </w:pPr>
    </w:p>
    <w:p w14:paraId="42F02CEA">
      <w:pPr>
        <w:adjustRightInd w:val="0"/>
        <w:snapToGrid w:val="0"/>
        <w:spacing w:line="360" w:lineRule="auto"/>
        <w:rPr>
          <w:rFonts w:hint="eastAsia" w:ascii="宋体" w:hAnsi="宋体"/>
          <w:b/>
          <w:bCs/>
          <w:sz w:val="24"/>
        </w:rPr>
      </w:pPr>
    </w:p>
    <w:p w14:paraId="6D841DBF">
      <w:pPr>
        <w:adjustRightInd w:val="0"/>
        <w:snapToGrid w:val="0"/>
        <w:spacing w:line="360" w:lineRule="auto"/>
        <w:ind w:firstLine="723" w:firstLineChars="300"/>
        <w:rPr>
          <w:rFonts w:hint="eastAsia" w:ascii="宋体" w:hAnsi="宋体"/>
          <w:b/>
          <w:bCs/>
          <w:sz w:val="24"/>
        </w:rPr>
      </w:pPr>
      <w:r>
        <w:rPr>
          <w:rFonts w:hint="eastAsia" w:ascii="宋体" w:hAnsi="宋体"/>
          <w:b/>
          <w:bCs/>
          <w:sz w:val="24"/>
        </w:rPr>
        <w:t>具备《中华人民共和国政府采购法》第二十二条规定条件的承诺书</w:t>
      </w:r>
    </w:p>
    <w:p w14:paraId="0FBE0B3D">
      <w:pPr>
        <w:spacing w:line="480" w:lineRule="auto"/>
        <w:rPr>
          <w:rFonts w:hint="eastAsia" w:ascii="宋体" w:hAnsi="宋体" w:cs="仿宋"/>
          <w:sz w:val="24"/>
        </w:rPr>
      </w:pPr>
      <w:r>
        <w:rPr>
          <w:rFonts w:hint="eastAsia" w:ascii="宋体" w:hAnsi="宋体" w:cs="仿宋"/>
          <w:b/>
          <w:bCs/>
          <w:sz w:val="24"/>
        </w:rPr>
        <w:t>致：海南省教学仪器设备招标中心有限公司</w:t>
      </w:r>
    </w:p>
    <w:p w14:paraId="052873D4">
      <w:pPr>
        <w:spacing w:line="360" w:lineRule="auto"/>
        <w:ind w:firstLine="480" w:firstLineChars="200"/>
        <w:rPr>
          <w:rFonts w:hint="eastAsia" w:ascii="宋体" w:hAnsi="宋体" w:cs="仿宋"/>
          <w:sz w:val="24"/>
        </w:rPr>
      </w:pPr>
      <w:r>
        <w:rPr>
          <w:rFonts w:hint="eastAsia" w:ascii="宋体" w:hAnsi="宋体" w:cs="仿宋"/>
          <w:sz w:val="24"/>
        </w:rPr>
        <w:t>本公司作为参加本次</w:t>
      </w:r>
      <w:r>
        <w:rPr>
          <w:rFonts w:hint="eastAsia" w:ascii="宋体" w:hAnsi="宋体" w:cs="仿宋"/>
          <w:sz w:val="24"/>
          <w:u w:val="single"/>
        </w:rPr>
        <w:t xml:space="preserve">                   </w:t>
      </w:r>
      <w:r>
        <w:rPr>
          <w:rFonts w:hint="eastAsia" w:ascii="宋体" w:hAnsi="宋体" w:cs="仿宋"/>
          <w:sz w:val="24"/>
        </w:rPr>
        <w:t>（项目编号为：</w:t>
      </w:r>
      <w:r>
        <w:rPr>
          <w:rFonts w:hint="eastAsia" w:ascii="宋体" w:hAnsi="宋体" w:cs="仿宋"/>
          <w:sz w:val="24"/>
          <w:u w:val="single"/>
        </w:rPr>
        <w:t xml:space="preserve">            </w:t>
      </w:r>
      <w:r>
        <w:rPr>
          <w:rFonts w:hint="eastAsia" w:ascii="宋体" w:hAnsi="宋体" w:cs="仿宋"/>
          <w:sz w:val="24"/>
        </w:rPr>
        <w:t xml:space="preserve">）的投标人，现郑重承诺具备以下条件（《中华人民共和国政府采购法》第二十二条）： </w:t>
      </w:r>
    </w:p>
    <w:p w14:paraId="34A123EC">
      <w:pPr>
        <w:numPr>
          <w:ilvl w:val="0"/>
          <w:numId w:val="4"/>
        </w:numPr>
        <w:spacing w:line="360" w:lineRule="auto"/>
        <w:ind w:firstLine="480"/>
        <w:rPr>
          <w:rFonts w:hint="eastAsia" w:ascii="宋体" w:hAnsi="宋体" w:cs="仿宋"/>
          <w:sz w:val="24"/>
        </w:rPr>
      </w:pPr>
      <w:r>
        <w:rPr>
          <w:rFonts w:hint="eastAsia" w:ascii="宋体" w:hAnsi="宋体" w:cs="仿宋"/>
          <w:sz w:val="24"/>
        </w:rPr>
        <w:t xml:space="preserve">具有独立承担民事责任的能力； </w:t>
      </w:r>
    </w:p>
    <w:p w14:paraId="57E82D1C">
      <w:pPr>
        <w:numPr>
          <w:ilvl w:val="0"/>
          <w:numId w:val="4"/>
        </w:numPr>
        <w:spacing w:line="360" w:lineRule="auto"/>
        <w:ind w:firstLine="480"/>
        <w:rPr>
          <w:rFonts w:hint="eastAsia" w:ascii="宋体" w:hAnsi="宋体" w:cs="仿宋"/>
          <w:sz w:val="24"/>
        </w:rPr>
      </w:pPr>
      <w:r>
        <w:rPr>
          <w:rFonts w:hint="eastAsia" w:ascii="宋体" w:hAnsi="宋体" w:cs="仿宋"/>
          <w:sz w:val="24"/>
        </w:rPr>
        <w:t xml:space="preserve">具有良好的商业信誉和健全的财务会计制度； </w:t>
      </w:r>
    </w:p>
    <w:p w14:paraId="4FE55603">
      <w:pPr>
        <w:numPr>
          <w:ilvl w:val="0"/>
          <w:numId w:val="4"/>
        </w:numPr>
        <w:spacing w:line="360" w:lineRule="auto"/>
        <w:ind w:firstLine="480"/>
        <w:rPr>
          <w:rFonts w:hint="eastAsia" w:ascii="宋体" w:hAnsi="宋体" w:cs="仿宋"/>
          <w:sz w:val="24"/>
        </w:rPr>
      </w:pPr>
      <w:r>
        <w:rPr>
          <w:rFonts w:hint="eastAsia" w:ascii="宋体" w:hAnsi="宋体" w:cs="仿宋"/>
          <w:sz w:val="24"/>
        </w:rPr>
        <w:t xml:space="preserve">具有履行合同所必需的设备和专业技术能力； </w:t>
      </w:r>
    </w:p>
    <w:p w14:paraId="780BEEBC">
      <w:pPr>
        <w:numPr>
          <w:ilvl w:val="0"/>
          <w:numId w:val="4"/>
        </w:numPr>
        <w:spacing w:line="360" w:lineRule="auto"/>
        <w:ind w:firstLine="480"/>
        <w:rPr>
          <w:rFonts w:hint="eastAsia" w:ascii="宋体" w:hAnsi="宋体" w:cs="仿宋"/>
          <w:sz w:val="24"/>
        </w:rPr>
      </w:pPr>
      <w:r>
        <w:rPr>
          <w:rFonts w:hint="eastAsia" w:ascii="宋体" w:hAnsi="宋体" w:cs="仿宋"/>
          <w:sz w:val="24"/>
        </w:rPr>
        <w:t xml:space="preserve">具有依法缴纳税收和社会保障资金的良好记录； </w:t>
      </w:r>
    </w:p>
    <w:p w14:paraId="36053DCB">
      <w:pPr>
        <w:numPr>
          <w:ilvl w:val="0"/>
          <w:numId w:val="4"/>
        </w:numPr>
        <w:spacing w:line="360" w:lineRule="auto"/>
        <w:ind w:firstLine="480"/>
        <w:rPr>
          <w:rFonts w:hint="eastAsia" w:ascii="宋体" w:hAnsi="宋体" w:cs="仿宋"/>
          <w:sz w:val="24"/>
        </w:rPr>
      </w:pPr>
      <w:r>
        <w:rPr>
          <w:rFonts w:hint="eastAsia" w:ascii="宋体" w:hAnsi="宋体" w:cs="仿宋"/>
          <w:sz w:val="24"/>
        </w:rPr>
        <w:t>参加本次政府采购活动前三年内，在经营活动中没有重大违法违规记录及</w:t>
      </w:r>
      <w:r>
        <w:rPr>
          <w:rFonts w:hint="eastAsia" w:ascii="宋体" w:hAnsi="宋体" w:cs="宋体"/>
          <w:kern w:val="0"/>
          <w:sz w:val="24"/>
        </w:rPr>
        <w:t>环保类行政处罚记录</w:t>
      </w:r>
      <w:r>
        <w:rPr>
          <w:rFonts w:hint="eastAsia" w:ascii="宋体" w:hAnsi="宋体" w:cs="仿宋"/>
          <w:sz w:val="24"/>
        </w:rPr>
        <w:t>；（成立不足三年的从成立之日起计算，提供声明函）</w:t>
      </w:r>
    </w:p>
    <w:p w14:paraId="195BF305">
      <w:pPr>
        <w:numPr>
          <w:ilvl w:val="0"/>
          <w:numId w:val="4"/>
        </w:numPr>
        <w:spacing w:line="360" w:lineRule="auto"/>
        <w:ind w:firstLine="480"/>
        <w:rPr>
          <w:rFonts w:hint="eastAsia" w:ascii="宋体" w:hAnsi="宋体" w:cs="仿宋"/>
          <w:sz w:val="24"/>
        </w:rPr>
      </w:pPr>
      <w:r>
        <w:rPr>
          <w:rFonts w:hint="eastAsia" w:ascii="宋体" w:hAnsi="宋体" w:cs="仿宋"/>
          <w:sz w:val="24"/>
        </w:rPr>
        <w:t xml:space="preserve">法律、行政法规规定的其他条件。 </w:t>
      </w:r>
    </w:p>
    <w:p w14:paraId="14B3B261">
      <w:pPr>
        <w:spacing w:line="360" w:lineRule="auto"/>
        <w:ind w:firstLine="482" w:firstLineChars="200"/>
        <w:rPr>
          <w:rFonts w:hint="eastAsia" w:ascii="宋体" w:hAnsi="宋体" w:cs="仿宋"/>
          <w:b/>
          <w:bCs/>
          <w:sz w:val="24"/>
        </w:rPr>
      </w:pPr>
    </w:p>
    <w:p w14:paraId="5142469C">
      <w:pPr>
        <w:spacing w:line="360" w:lineRule="auto"/>
        <w:ind w:firstLine="482" w:firstLineChars="200"/>
        <w:rPr>
          <w:rFonts w:hint="eastAsia" w:ascii="宋体" w:hAnsi="宋体" w:cs="仿宋"/>
          <w:b/>
          <w:bCs/>
          <w:sz w:val="24"/>
        </w:rPr>
      </w:pPr>
      <w:r>
        <w:rPr>
          <w:rFonts w:hint="eastAsia" w:ascii="宋体" w:hAnsi="宋体" w:cs="仿宋"/>
          <w:b/>
          <w:bCs/>
          <w:sz w:val="24"/>
        </w:rPr>
        <w:t>本公司对上述承诺的真实性负责。如有虚假，将依法承担相应责任。</w:t>
      </w:r>
    </w:p>
    <w:p w14:paraId="19F74F03">
      <w:pPr>
        <w:spacing w:line="360" w:lineRule="auto"/>
        <w:ind w:firstLine="480" w:firstLineChars="200"/>
        <w:rPr>
          <w:rFonts w:hint="eastAsia" w:ascii="宋体" w:hAnsi="宋体" w:cs="仿宋"/>
          <w:sz w:val="24"/>
        </w:rPr>
      </w:pPr>
      <w:r>
        <w:rPr>
          <w:rFonts w:hint="eastAsia" w:ascii="宋体" w:hAnsi="宋体" w:cs="仿宋"/>
          <w:sz w:val="24"/>
        </w:rPr>
        <w:t xml:space="preserve"> </w:t>
      </w:r>
    </w:p>
    <w:p w14:paraId="6DDAA7A9">
      <w:pPr>
        <w:spacing w:line="360" w:lineRule="auto"/>
        <w:ind w:firstLine="480" w:firstLineChars="200"/>
        <w:rPr>
          <w:rFonts w:hint="eastAsia" w:ascii="宋体" w:hAnsi="宋体" w:cs="仿宋"/>
          <w:sz w:val="24"/>
        </w:rPr>
      </w:pPr>
      <w:r>
        <w:rPr>
          <w:rFonts w:hint="eastAsia" w:ascii="宋体" w:hAnsi="宋体" w:cs="仿宋"/>
          <w:sz w:val="24"/>
        </w:rPr>
        <w:t>特此承诺。</w:t>
      </w:r>
    </w:p>
    <w:p w14:paraId="5853ECB9">
      <w:pPr>
        <w:spacing w:line="360" w:lineRule="auto"/>
        <w:rPr>
          <w:rFonts w:hint="eastAsia" w:ascii="宋体" w:hAnsi="宋体" w:cs="仿宋"/>
          <w:sz w:val="24"/>
        </w:rPr>
      </w:pPr>
    </w:p>
    <w:p w14:paraId="0B91B124">
      <w:pPr>
        <w:pStyle w:val="5"/>
        <w:rPr>
          <w:rFonts w:hint="eastAsia" w:ascii="宋体" w:hAnsi="宋体" w:cs="仿宋"/>
        </w:rPr>
      </w:pPr>
    </w:p>
    <w:p w14:paraId="5AD4426D">
      <w:pPr>
        <w:shd w:val="clear" w:color="auto" w:fill="FFFFFF"/>
        <w:snapToGrid w:val="0"/>
        <w:spacing w:line="360" w:lineRule="auto"/>
        <w:ind w:firstLine="480" w:firstLineChars="200"/>
        <w:rPr>
          <w:rFonts w:hint="eastAsia" w:ascii="宋体" w:hAnsi="宋体" w:cs="仿宋"/>
          <w:sz w:val="24"/>
        </w:rPr>
      </w:pPr>
      <w:r>
        <w:rPr>
          <w:rFonts w:hint="eastAsia" w:ascii="宋体" w:hAnsi="宋体" w:cs="仿宋"/>
          <w:sz w:val="24"/>
        </w:rPr>
        <w:t>投标人名称：</w:t>
      </w:r>
      <w:r>
        <w:rPr>
          <w:rFonts w:hint="eastAsia" w:ascii="宋体" w:hAnsi="宋体" w:cs="仿宋"/>
          <w:sz w:val="24"/>
          <w:u w:val="single"/>
        </w:rPr>
        <w:t xml:space="preserve">                 （盖章）</w:t>
      </w:r>
    </w:p>
    <w:p w14:paraId="27DF3350">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24EECF00">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电话：</w:t>
      </w:r>
      <w:r>
        <w:rPr>
          <w:rFonts w:hint="eastAsia" w:ascii="宋体" w:hAnsi="宋体" w:cs="仿宋"/>
          <w:sz w:val="24"/>
          <w:u w:val="single"/>
        </w:rPr>
        <w:t xml:space="preserve">                               </w:t>
      </w:r>
      <w:r>
        <w:rPr>
          <w:rFonts w:hint="eastAsia" w:ascii="宋体" w:hAnsi="宋体" w:cs="仿宋"/>
          <w:sz w:val="24"/>
        </w:rPr>
        <w:t>传真：</w:t>
      </w:r>
      <w:r>
        <w:rPr>
          <w:rFonts w:hint="eastAsia" w:ascii="宋体" w:hAnsi="宋体" w:cs="仿宋"/>
          <w:sz w:val="24"/>
          <w:u w:val="single"/>
        </w:rPr>
        <w:t xml:space="preserve">             </w:t>
      </w:r>
    </w:p>
    <w:p w14:paraId="06B6C802">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授权代表：</w:t>
      </w:r>
      <w:r>
        <w:rPr>
          <w:rFonts w:hint="eastAsia" w:ascii="宋体" w:hAnsi="宋体" w:cs="仿宋"/>
          <w:sz w:val="24"/>
          <w:u w:val="single"/>
        </w:rPr>
        <w:t xml:space="preserve">             （签名或私章）</w:t>
      </w:r>
      <w:r>
        <w:rPr>
          <w:rFonts w:hint="eastAsia" w:ascii="宋体" w:hAnsi="宋体" w:cs="仿宋"/>
          <w:sz w:val="24"/>
        </w:rPr>
        <w:t>职务：</w:t>
      </w:r>
      <w:r>
        <w:rPr>
          <w:rFonts w:hint="eastAsia" w:ascii="宋体" w:hAnsi="宋体" w:cs="仿宋"/>
          <w:sz w:val="24"/>
          <w:u w:val="single"/>
        </w:rPr>
        <w:t xml:space="preserve">             </w:t>
      </w:r>
    </w:p>
    <w:p w14:paraId="2EA98F39">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日期：</w:t>
      </w:r>
      <w:r>
        <w:rPr>
          <w:rFonts w:hint="eastAsia" w:ascii="宋体" w:hAnsi="宋体" w:cs="仿宋"/>
          <w:sz w:val="24"/>
          <w:u w:val="single"/>
        </w:rPr>
        <w:t xml:space="preserve">                               </w:t>
      </w:r>
    </w:p>
    <w:p w14:paraId="3071AF8D">
      <w:pPr>
        <w:rPr>
          <w:rFonts w:hint="eastAsia" w:ascii="宋体" w:hAnsi="宋体"/>
        </w:rPr>
        <w:sectPr>
          <w:footerReference r:id="rId4" w:type="default"/>
          <w:pgSz w:w="11906" w:h="16838"/>
          <w:pgMar w:top="1440" w:right="1701" w:bottom="1440" w:left="1701" w:header="851" w:footer="992" w:gutter="0"/>
          <w:pgNumType w:fmt="decimal"/>
          <w:cols w:space="720" w:num="1"/>
          <w:docGrid w:type="lines" w:linePitch="312" w:charSpace="0"/>
        </w:sectPr>
      </w:pPr>
    </w:p>
    <w:p w14:paraId="1108AC29">
      <w:pPr>
        <w:adjustRightInd w:val="0"/>
        <w:snapToGrid w:val="0"/>
        <w:spacing w:line="360" w:lineRule="auto"/>
        <w:rPr>
          <w:rFonts w:hint="eastAsia" w:ascii="宋体" w:hAnsi="宋体" w:cs="宋体"/>
          <w:kern w:val="0"/>
          <w:sz w:val="24"/>
        </w:rPr>
      </w:pPr>
      <w:r>
        <w:rPr>
          <w:rFonts w:hint="eastAsia" w:ascii="宋体" w:hAnsi="宋体" w:cs="宋体"/>
          <w:kern w:val="0"/>
          <w:sz w:val="24"/>
        </w:rPr>
        <w:t>5.3按附件格式提供投标人投标承诺书。</w:t>
      </w:r>
    </w:p>
    <w:p w14:paraId="0A5DB209">
      <w:pPr>
        <w:adjustRightInd w:val="0"/>
        <w:snapToGrid w:val="0"/>
        <w:jc w:val="center"/>
        <w:rPr>
          <w:rFonts w:hint="eastAsia" w:ascii="宋体" w:hAnsi="宋体"/>
          <w:b/>
          <w:sz w:val="24"/>
        </w:rPr>
      </w:pPr>
      <w:r>
        <w:rPr>
          <w:rFonts w:hint="eastAsia" w:ascii="宋体" w:hAnsi="宋体"/>
          <w:b/>
          <w:bCs/>
          <w:sz w:val="24"/>
          <w:szCs w:val="20"/>
        </w:rPr>
        <w:t>投标人投标承诺书</w:t>
      </w:r>
    </w:p>
    <w:p w14:paraId="4172D7FC">
      <w:pPr>
        <w:adjustRightInd w:val="0"/>
        <w:snapToGrid w:val="0"/>
        <w:rPr>
          <w:rFonts w:hint="eastAsia" w:ascii="宋体" w:hAnsi="宋体"/>
          <w:sz w:val="24"/>
        </w:rPr>
      </w:pPr>
      <w:r>
        <w:rPr>
          <w:rFonts w:hint="eastAsia" w:ascii="宋体" w:hAnsi="宋体"/>
          <w:sz w:val="24"/>
        </w:rPr>
        <w:t>致：海南省教学仪器设备招标中心有限公司：</w:t>
      </w:r>
    </w:p>
    <w:p w14:paraId="0546FF95">
      <w:pPr>
        <w:rPr>
          <w:rFonts w:hint="eastAsia" w:ascii="宋体" w:hAnsi="宋体"/>
          <w:sz w:val="24"/>
        </w:rPr>
      </w:pPr>
      <w:r>
        <w:rPr>
          <w:rFonts w:hint="eastAsia" w:ascii="宋体" w:hAnsi="宋体"/>
          <w:sz w:val="24"/>
        </w:rPr>
        <w:t>我单位在参加</w:t>
      </w:r>
      <w:r>
        <w:rPr>
          <w:rFonts w:hint="eastAsia" w:ascii="宋体" w:hAnsi="宋体"/>
          <w:sz w:val="24"/>
          <w:u w:val="single"/>
        </w:rPr>
        <w:t xml:space="preserve">           </w:t>
      </w:r>
      <w:r>
        <w:rPr>
          <w:rFonts w:hint="eastAsia" w:ascii="宋体" w:hAnsi="宋体"/>
          <w:sz w:val="24"/>
        </w:rPr>
        <w:t>项目的投标活动中，郑重承诺如下：</w:t>
      </w:r>
    </w:p>
    <w:p w14:paraId="026FCA81">
      <w:pPr>
        <w:ind w:firstLine="480" w:firstLineChars="200"/>
        <w:rPr>
          <w:rFonts w:hint="eastAsia"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14:paraId="049E4161">
      <w:pPr>
        <w:ind w:firstLine="480" w:firstLineChars="200"/>
        <w:rPr>
          <w:rFonts w:hint="eastAsia" w:ascii="宋体" w:hAnsi="宋体"/>
          <w:sz w:val="24"/>
        </w:rPr>
      </w:pPr>
      <w:r>
        <w:rPr>
          <w:rFonts w:hint="eastAsia" w:ascii="宋体" w:hAnsi="宋体"/>
          <w:sz w:val="24"/>
        </w:rPr>
        <w:t xml:space="preserve">2、参加本次政府采购活动前三年内，在经营活动中没有重大违法违规记录及环保类行政处罚记录，我方人员针对本项目没有重大违法记录； </w:t>
      </w:r>
    </w:p>
    <w:p w14:paraId="35419E9E">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003234F6">
      <w:pPr>
        <w:ind w:firstLine="480" w:firstLineChars="200"/>
        <w:rPr>
          <w:rFonts w:hint="eastAsia" w:ascii="宋体" w:hAnsi="宋体"/>
          <w:sz w:val="24"/>
        </w:rPr>
      </w:pPr>
      <w:r>
        <w:rPr>
          <w:rFonts w:hint="eastAsia" w:ascii="宋体" w:hAnsi="宋体"/>
          <w:sz w:val="24"/>
        </w:rPr>
        <w:t>4、我方一旦中标，将严格按照公开比选投标文件中所承诺的报价、质量、工期、措施、项目负责人等内容组织实施；</w:t>
      </w:r>
    </w:p>
    <w:p w14:paraId="610E39B5">
      <w:pPr>
        <w:ind w:firstLine="480" w:firstLineChars="200"/>
        <w:rPr>
          <w:rFonts w:hint="eastAsia" w:ascii="宋体" w:hAnsi="宋体"/>
          <w:sz w:val="24"/>
        </w:rPr>
      </w:pPr>
      <w:r>
        <w:rPr>
          <w:rFonts w:hint="eastAsia" w:ascii="宋体" w:hAnsi="宋体"/>
          <w:sz w:val="24"/>
        </w:rPr>
        <w:t>5、我方一旦中标，将按规定及时与采购人签订合同。</w:t>
      </w:r>
    </w:p>
    <w:p w14:paraId="5C33BA97">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14:paraId="7EEE57E7">
      <w:pPr>
        <w:ind w:firstLine="480" w:firstLineChars="200"/>
        <w:rPr>
          <w:rFonts w:hint="eastAsia"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14:paraId="35D6160E">
      <w:pPr>
        <w:ind w:firstLine="480" w:firstLineChars="200"/>
        <w:rPr>
          <w:rFonts w:hint="eastAsia" w:ascii="宋体" w:hAnsi="宋体"/>
          <w:sz w:val="24"/>
        </w:rPr>
      </w:pPr>
      <w:r>
        <w:rPr>
          <w:rFonts w:hint="eastAsia" w:ascii="宋体" w:hAnsi="宋体"/>
          <w:sz w:val="24"/>
        </w:rPr>
        <w:t>（1）不同投标人的公开比选投标文件由同一单位或者个人编制；</w:t>
      </w:r>
    </w:p>
    <w:p w14:paraId="0DA3F921">
      <w:pPr>
        <w:ind w:firstLine="480" w:firstLineChars="200"/>
        <w:rPr>
          <w:rFonts w:hint="eastAsia" w:ascii="宋体" w:hAnsi="宋体"/>
          <w:sz w:val="24"/>
        </w:rPr>
      </w:pPr>
      <w:r>
        <w:rPr>
          <w:rFonts w:hint="eastAsia" w:ascii="宋体" w:hAnsi="宋体"/>
          <w:sz w:val="24"/>
        </w:rPr>
        <w:t>（2）不同投标人委托同一单位或者个人办理投标事宜；</w:t>
      </w:r>
    </w:p>
    <w:p w14:paraId="54141592">
      <w:pPr>
        <w:ind w:firstLine="480" w:firstLineChars="200"/>
        <w:rPr>
          <w:rFonts w:hint="eastAsia" w:ascii="宋体" w:hAnsi="宋体"/>
          <w:sz w:val="24"/>
        </w:rPr>
      </w:pPr>
      <w:r>
        <w:rPr>
          <w:rFonts w:hint="eastAsia" w:ascii="宋体" w:hAnsi="宋体"/>
          <w:sz w:val="24"/>
        </w:rPr>
        <w:t>（3）不同投标人的公开比选投标文件载明的项目管理成员或者联系人员为同一人；</w:t>
      </w:r>
    </w:p>
    <w:p w14:paraId="4254256F">
      <w:pPr>
        <w:ind w:firstLine="480" w:firstLineChars="200"/>
        <w:rPr>
          <w:rFonts w:hint="eastAsia" w:ascii="宋体" w:hAnsi="宋体"/>
          <w:sz w:val="24"/>
        </w:rPr>
      </w:pPr>
      <w:r>
        <w:rPr>
          <w:rFonts w:hint="eastAsia" w:ascii="宋体" w:hAnsi="宋体"/>
          <w:sz w:val="24"/>
        </w:rPr>
        <w:t>（4）不同投标人的公开比选投标文件异常一致或者投标报价呈规律性差异；</w:t>
      </w:r>
    </w:p>
    <w:p w14:paraId="5C735B8F">
      <w:pPr>
        <w:ind w:firstLine="480" w:firstLineChars="200"/>
        <w:rPr>
          <w:rFonts w:hint="eastAsia" w:ascii="宋体" w:hAnsi="宋体"/>
          <w:sz w:val="24"/>
        </w:rPr>
      </w:pPr>
      <w:r>
        <w:rPr>
          <w:rFonts w:hint="eastAsia" w:ascii="宋体" w:hAnsi="宋体"/>
          <w:sz w:val="24"/>
        </w:rPr>
        <w:t>（5）不同投标人的公开比选投标文件相互混装；</w:t>
      </w:r>
    </w:p>
    <w:p w14:paraId="6B698ED5">
      <w:pPr>
        <w:ind w:firstLine="480" w:firstLineChars="200"/>
        <w:rPr>
          <w:rFonts w:hint="eastAsia" w:ascii="宋体" w:hAnsi="宋体"/>
          <w:sz w:val="24"/>
        </w:rPr>
      </w:pPr>
      <w:r>
        <w:rPr>
          <w:rFonts w:hint="eastAsia" w:ascii="宋体" w:hAnsi="宋体"/>
          <w:sz w:val="24"/>
        </w:rPr>
        <w:t>（6）不同投标人的投标保证金从同一单位或者个人的账户转出。</w:t>
      </w:r>
    </w:p>
    <w:p w14:paraId="49247BD3">
      <w:pPr>
        <w:ind w:firstLine="480" w:firstLineChars="200"/>
        <w:rPr>
          <w:rFonts w:hint="eastAsia" w:ascii="宋体" w:hAnsi="宋体"/>
          <w:sz w:val="24"/>
        </w:rPr>
      </w:pPr>
      <w:r>
        <w:rPr>
          <w:rFonts w:hint="eastAsia" w:ascii="宋体" w:hAnsi="宋体"/>
          <w:sz w:val="24"/>
        </w:rPr>
        <w:t>（7）单位负责人为同一人或者存在直接控股、管理关系的不同投标人，同时参加本项目采购活动；</w:t>
      </w:r>
    </w:p>
    <w:p w14:paraId="4F4F1015">
      <w:pPr>
        <w:rPr>
          <w:rFonts w:hint="eastAsia" w:ascii="宋体" w:hAnsi="宋体"/>
          <w:sz w:val="24"/>
        </w:rPr>
      </w:pPr>
    </w:p>
    <w:p w14:paraId="63A96FD7">
      <w:pPr>
        <w:ind w:left="2698" w:leftChars="1285"/>
        <w:rPr>
          <w:rFonts w:hint="eastAsia" w:ascii="宋体" w:hAnsi="宋体"/>
          <w:sz w:val="24"/>
        </w:rPr>
      </w:pPr>
      <w:r>
        <w:rPr>
          <w:rFonts w:hint="eastAsia" w:ascii="宋体" w:hAnsi="宋体"/>
          <w:sz w:val="24"/>
        </w:rPr>
        <w:t>投标人名称： （盖公章）</w:t>
      </w:r>
    </w:p>
    <w:p w14:paraId="45FE5B42">
      <w:pPr>
        <w:ind w:left="2698" w:leftChars="1285"/>
        <w:rPr>
          <w:rFonts w:hint="eastAsia" w:ascii="宋体" w:hAnsi="宋体"/>
          <w:sz w:val="24"/>
        </w:rPr>
      </w:pPr>
      <w:r>
        <w:rPr>
          <w:rFonts w:hint="eastAsia" w:ascii="宋体" w:hAnsi="宋体"/>
          <w:sz w:val="24"/>
        </w:rPr>
        <w:t>法定代表人（或授权代理人）： （签字或盖章）</w:t>
      </w:r>
    </w:p>
    <w:p w14:paraId="618369E9">
      <w:pPr>
        <w:adjustRightInd w:val="0"/>
        <w:snapToGrid w:val="0"/>
        <w:spacing w:line="300" w:lineRule="auto"/>
        <w:ind w:firstLine="2640" w:firstLineChars="1100"/>
        <w:rPr>
          <w:rFonts w:hint="eastAsia" w:ascii="宋体" w:hAnsi="宋体"/>
          <w:sz w:val="24"/>
        </w:rPr>
      </w:pPr>
      <w:r>
        <w:rPr>
          <w:rFonts w:hint="eastAsia" w:ascii="宋体" w:hAnsi="宋体"/>
          <w:sz w:val="24"/>
        </w:rPr>
        <w:t>日期： 年 月 日</w:t>
      </w:r>
    </w:p>
    <w:p w14:paraId="79AA7DE8">
      <w:pPr>
        <w:adjustRightInd w:val="0"/>
        <w:snapToGrid w:val="0"/>
        <w:spacing w:line="360" w:lineRule="auto"/>
        <w:rPr>
          <w:rFonts w:hint="eastAsia" w:ascii="宋体" w:hAnsi="宋体" w:cs="宋体"/>
          <w:kern w:val="0"/>
          <w:sz w:val="24"/>
        </w:rPr>
      </w:pPr>
    </w:p>
    <w:p w14:paraId="661CD9E1">
      <w:pPr>
        <w:adjustRightInd w:val="0"/>
        <w:snapToGrid w:val="0"/>
        <w:spacing w:line="360" w:lineRule="auto"/>
        <w:rPr>
          <w:rFonts w:hint="eastAsia" w:ascii="宋体" w:hAnsi="宋体" w:cs="宋体"/>
          <w:kern w:val="0"/>
          <w:sz w:val="24"/>
        </w:rPr>
      </w:pPr>
    </w:p>
    <w:p w14:paraId="68CADFD2">
      <w:pPr>
        <w:adjustRightInd w:val="0"/>
        <w:snapToGrid w:val="0"/>
        <w:spacing w:line="360" w:lineRule="auto"/>
        <w:rPr>
          <w:rFonts w:hint="eastAsia" w:ascii="宋体" w:hAnsi="宋体" w:cs="宋体"/>
          <w:kern w:val="0"/>
          <w:sz w:val="24"/>
        </w:rPr>
      </w:pPr>
      <w:r>
        <w:rPr>
          <w:rFonts w:hint="eastAsia" w:ascii="宋体" w:hAnsi="宋体" w:cs="宋体"/>
          <w:kern w:val="0"/>
          <w:sz w:val="24"/>
        </w:rPr>
        <w:t>5.4投标人承诺遵守国家和军队有关法律法规及保密要求（提供承诺函）。</w:t>
      </w:r>
    </w:p>
    <w:p w14:paraId="4A914E26">
      <w:pPr>
        <w:adjustRightInd w:val="0"/>
        <w:snapToGrid w:val="0"/>
        <w:spacing w:line="360" w:lineRule="auto"/>
        <w:rPr>
          <w:rFonts w:hint="eastAsia" w:ascii="宋体" w:hAnsi="宋体" w:cs="宋体"/>
          <w:kern w:val="0"/>
          <w:sz w:val="24"/>
        </w:rPr>
      </w:pPr>
    </w:p>
    <w:p w14:paraId="3047F177">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格式自行提供</w:t>
      </w:r>
    </w:p>
    <w:p w14:paraId="44EE80BB">
      <w:pPr>
        <w:adjustRightInd w:val="0"/>
        <w:snapToGrid w:val="0"/>
        <w:spacing w:line="360" w:lineRule="auto"/>
        <w:rPr>
          <w:rFonts w:hint="eastAsia" w:ascii="宋体" w:hAnsi="宋体" w:cs="宋体"/>
          <w:kern w:val="0"/>
          <w:sz w:val="24"/>
        </w:rPr>
      </w:pPr>
    </w:p>
    <w:p w14:paraId="792D129F">
      <w:pPr>
        <w:adjustRightInd w:val="0"/>
        <w:snapToGrid w:val="0"/>
        <w:spacing w:line="360" w:lineRule="auto"/>
        <w:rPr>
          <w:rFonts w:hint="eastAsia" w:ascii="宋体" w:hAnsi="宋体" w:cs="宋体"/>
          <w:kern w:val="0"/>
          <w:sz w:val="24"/>
        </w:rPr>
      </w:pPr>
      <w:r>
        <w:rPr>
          <w:rFonts w:hint="eastAsia" w:ascii="宋体" w:hAnsi="宋体" w:cs="宋体"/>
          <w:kern w:val="0"/>
          <w:sz w:val="24"/>
        </w:rPr>
        <w:t>5.5在“信用中国”网站（www.creditchina.gov.cn）没有列入失信被执行人、重大税收违法失信主体、政府采购严重违法失信行为记录名单的投标人。“中国政府采购网”（www.ccgp.gov.cn）政府采购严重违法失信行为记录名单的投标人。</w:t>
      </w:r>
    </w:p>
    <w:p w14:paraId="4757745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0FAC5881">
      <w:pPr>
        <w:rPr>
          <w:rFonts w:hint="eastAsia" w:ascii="宋体" w:hAnsi="宋体"/>
        </w:rPr>
      </w:pPr>
    </w:p>
    <w:p w14:paraId="76B25D44">
      <w:pPr>
        <w:adjustRightInd w:val="0"/>
        <w:snapToGrid w:val="0"/>
        <w:spacing w:line="360" w:lineRule="auto"/>
        <w:ind w:firstLine="420" w:firstLineChars="200"/>
      </w:pPr>
      <w:bookmarkStart w:id="63" w:name="_Toc183588717"/>
    </w:p>
    <w:bookmarkEnd w:id="63"/>
    <w:p w14:paraId="3AEF1F41">
      <w:pPr>
        <w:pStyle w:val="3"/>
        <w:keepNext w:val="0"/>
        <w:keepLines w:val="0"/>
        <w:spacing w:line="415" w:lineRule="auto"/>
        <w:ind w:firstLine="576" w:firstLineChars="200"/>
        <w:jc w:val="both"/>
        <w:rPr>
          <w:rFonts w:hint="eastAsia" w:ascii="宋体" w:hAnsi="宋体" w:eastAsia="宋体"/>
          <w:bCs/>
          <w:szCs w:val="24"/>
        </w:rPr>
      </w:pPr>
      <w:bookmarkStart w:id="64" w:name="_Toc183588719"/>
      <w:r>
        <w:rPr>
          <w:rFonts w:hint="eastAsia" w:ascii="宋体" w:hAnsi="宋体" w:eastAsia="宋体"/>
          <w:bCs/>
          <w:szCs w:val="24"/>
        </w:rPr>
        <w:t xml:space="preserve">附件6、 </w:t>
      </w:r>
      <w:r>
        <w:rPr>
          <w:rFonts w:hint="eastAsia" w:ascii="宋体" w:hAnsi="宋体" w:eastAsia="宋体"/>
          <w:szCs w:val="24"/>
        </w:rPr>
        <w:t>投标人</w:t>
      </w:r>
      <w:r>
        <w:rPr>
          <w:rFonts w:hint="eastAsia" w:ascii="宋体" w:hAnsi="宋体" w:eastAsia="宋体"/>
          <w:bCs/>
          <w:szCs w:val="24"/>
        </w:rPr>
        <w:t>认为需要提供的用于参与评审其他相关资料</w:t>
      </w:r>
      <w:bookmarkEnd w:id="64"/>
    </w:p>
    <w:p w14:paraId="4EAE15B4">
      <w:pPr>
        <w:adjustRightInd w:val="0"/>
        <w:snapToGrid w:val="0"/>
        <w:spacing w:line="300" w:lineRule="auto"/>
        <w:rPr>
          <w:rFonts w:hint="eastAsia" w:ascii="宋体" w:hAnsi="宋体"/>
          <w:sz w:val="24"/>
        </w:rPr>
      </w:pPr>
    </w:p>
    <w:sectPr>
      <w:headerReference r:id="rId5" w:type="default"/>
      <w:footerReference r:id="rId6" w:type="default"/>
      <w:footerReference r:id="rId7" w:type="even"/>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4F22">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127C1">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8127C1">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535C">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287D1">
                          <w:pPr>
                            <w:pStyle w:val="26"/>
                            <w:jc w:val="cente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D287D1">
                    <w:pPr>
                      <w:pStyle w:val="26"/>
                      <w:jc w:val="cente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48B5EF33">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FBA3">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13FED">
                          <w:pPr>
                            <w:pStyle w:val="26"/>
                            <w:rPr>
                              <w:rStyle w:val="43"/>
                            </w:rPr>
                          </w:pPr>
                          <w:r>
                            <w:rPr>
                              <w:rStyle w:val="43"/>
                            </w:rPr>
                            <w:t xml:space="preserve">第 </w:t>
                          </w:r>
                          <w:r>
                            <w:rPr>
                              <w:rStyle w:val="43"/>
                            </w:rPr>
                            <w:fldChar w:fldCharType="begin"/>
                          </w:r>
                          <w:r>
                            <w:rPr>
                              <w:rStyle w:val="43"/>
                            </w:rPr>
                            <w:instrText xml:space="preserve"> PAGE  \* MERGEFORMAT </w:instrText>
                          </w:r>
                          <w:r>
                            <w:rPr>
                              <w:rStyle w:val="43"/>
                            </w:rPr>
                            <w:fldChar w:fldCharType="separate"/>
                          </w:r>
                          <w:r>
                            <w:rPr>
                              <w:rStyle w:val="43"/>
                            </w:rPr>
                            <w:t>31</w:t>
                          </w:r>
                          <w:r>
                            <w:rPr>
                              <w:rStyle w:val="43"/>
                            </w:rPr>
                            <w:fldChar w:fldCharType="end"/>
                          </w:r>
                          <w:r>
                            <w:rPr>
                              <w:rStyle w:val="43"/>
                            </w:rPr>
                            <w:t xml:space="preserve"> 页 共 </w:t>
                          </w:r>
                          <w:r>
                            <w:rPr>
                              <w:rStyle w:val="43"/>
                            </w:rPr>
                            <w:fldChar w:fldCharType="begin"/>
                          </w:r>
                          <w:r>
                            <w:rPr>
                              <w:rStyle w:val="43"/>
                            </w:rPr>
                            <w:instrText xml:space="preserve"> NUMPAGES  \* MERGEFORMAT </w:instrText>
                          </w:r>
                          <w:r>
                            <w:rPr>
                              <w:rStyle w:val="43"/>
                            </w:rPr>
                            <w:fldChar w:fldCharType="separate"/>
                          </w:r>
                          <w:r>
                            <w:rPr>
                              <w:rStyle w:val="43"/>
                            </w:rPr>
                            <w:t>32</w:t>
                          </w:r>
                          <w:r>
                            <w:rPr>
                              <w:rStyle w:val="43"/>
                            </w:rPr>
                            <w:fldChar w:fldCharType="end"/>
                          </w:r>
                          <w:r>
                            <w:rPr>
                              <w:rStyle w:val="43"/>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D13FED">
                    <w:pPr>
                      <w:pStyle w:val="26"/>
                      <w:rPr>
                        <w:rStyle w:val="43"/>
                      </w:rPr>
                    </w:pPr>
                    <w:r>
                      <w:rPr>
                        <w:rStyle w:val="43"/>
                      </w:rPr>
                      <w:t xml:space="preserve">第 </w:t>
                    </w:r>
                    <w:r>
                      <w:rPr>
                        <w:rStyle w:val="43"/>
                      </w:rPr>
                      <w:fldChar w:fldCharType="begin"/>
                    </w:r>
                    <w:r>
                      <w:rPr>
                        <w:rStyle w:val="43"/>
                      </w:rPr>
                      <w:instrText xml:space="preserve"> PAGE  \* MERGEFORMAT </w:instrText>
                    </w:r>
                    <w:r>
                      <w:rPr>
                        <w:rStyle w:val="43"/>
                      </w:rPr>
                      <w:fldChar w:fldCharType="separate"/>
                    </w:r>
                    <w:r>
                      <w:rPr>
                        <w:rStyle w:val="43"/>
                      </w:rPr>
                      <w:t>31</w:t>
                    </w:r>
                    <w:r>
                      <w:rPr>
                        <w:rStyle w:val="43"/>
                      </w:rPr>
                      <w:fldChar w:fldCharType="end"/>
                    </w:r>
                    <w:r>
                      <w:rPr>
                        <w:rStyle w:val="43"/>
                      </w:rPr>
                      <w:t xml:space="preserve"> 页 共 </w:t>
                    </w:r>
                    <w:r>
                      <w:rPr>
                        <w:rStyle w:val="43"/>
                      </w:rPr>
                      <w:fldChar w:fldCharType="begin"/>
                    </w:r>
                    <w:r>
                      <w:rPr>
                        <w:rStyle w:val="43"/>
                      </w:rPr>
                      <w:instrText xml:space="preserve"> NUMPAGES  \* MERGEFORMAT </w:instrText>
                    </w:r>
                    <w:r>
                      <w:rPr>
                        <w:rStyle w:val="43"/>
                      </w:rPr>
                      <w:fldChar w:fldCharType="separate"/>
                    </w:r>
                    <w:r>
                      <w:rPr>
                        <w:rStyle w:val="43"/>
                      </w:rPr>
                      <w:t>32</w:t>
                    </w:r>
                    <w:r>
                      <w:rPr>
                        <w:rStyle w:val="43"/>
                      </w:rPr>
                      <w:fldChar w:fldCharType="end"/>
                    </w:r>
                    <w:r>
                      <w:rPr>
                        <w:rStyle w:val="43"/>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425D">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4930D1C4">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8A6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BA76F"/>
    <w:multiLevelType w:val="singleLevel"/>
    <w:tmpl w:val="917BA76F"/>
    <w:lvl w:ilvl="0" w:tentative="0">
      <w:start w:val="1"/>
      <w:numFmt w:val="chineseCounting"/>
      <w:suff w:val="nothing"/>
      <w:lvlText w:val="（%1）"/>
      <w:lvlJc w:val="left"/>
      <w:pPr>
        <w:ind w:left="-60"/>
      </w:pPr>
      <w:rPr>
        <w:rFonts w:hint="eastAsia"/>
        <w:color w:val="auto"/>
      </w:rPr>
    </w:lvl>
  </w:abstractNum>
  <w:abstractNum w:abstractNumId="1">
    <w:nsid w:val="AC86A38D"/>
    <w:multiLevelType w:val="singleLevel"/>
    <w:tmpl w:val="AC86A38D"/>
    <w:lvl w:ilvl="0" w:tentative="0">
      <w:start w:val="3"/>
      <w:numFmt w:val="decimal"/>
      <w:suff w:val="space"/>
      <w:lvlText w:val="%1."/>
      <w:lvlJc w:val="left"/>
    </w:lvl>
  </w:abstractNum>
  <w:abstractNum w:abstractNumId="2">
    <w:nsid w:val="F361EA5B"/>
    <w:multiLevelType w:val="singleLevel"/>
    <w:tmpl w:val="F361EA5B"/>
    <w:lvl w:ilvl="0" w:tentative="0">
      <w:start w:val="1"/>
      <w:numFmt w:val="decimal"/>
      <w:lvlText w:val="%1."/>
      <w:lvlJc w:val="left"/>
      <w:pPr>
        <w:tabs>
          <w:tab w:val="left" w:pos="312"/>
        </w:tabs>
      </w:pPr>
    </w:lvl>
  </w:abstractNum>
  <w:abstractNum w:abstractNumId="3">
    <w:nsid w:val="2349638F"/>
    <w:multiLevelType w:val="multilevel"/>
    <w:tmpl w:val="234963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MjZjYmMzNzNhM2YyMzBhYWRkNmYwNDRkYTJhM2MifQ=="/>
  </w:docVars>
  <w:rsids>
    <w:rsidRoot w:val="00172A27"/>
    <w:rsid w:val="000001B8"/>
    <w:rsid w:val="00004197"/>
    <w:rsid w:val="00010D6B"/>
    <w:rsid w:val="00011053"/>
    <w:rsid w:val="00020B83"/>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6904"/>
    <w:rsid w:val="00066AA1"/>
    <w:rsid w:val="00067DCD"/>
    <w:rsid w:val="00071C9C"/>
    <w:rsid w:val="00072322"/>
    <w:rsid w:val="0007676A"/>
    <w:rsid w:val="00077604"/>
    <w:rsid w:val="00080FF1"/>
    <w:rsid w:val="0008152A"/>
    <w:rsid w:val="00082BD9"/>
    <w:rsid w:val="00086C3D"/>
    <w:rsid w:val="00087E36"/>
    <w:rsid w:val="0009167D"/>
    <w:rsid w:val="00093A38"/>
    <w:rsid w:val="000953DE"/>
    <w:rsid w:val="00096F8B"/>
    <w:rsid w:val="000979A0"/>
    <w:rsid w:val="000A297D"/>
    <w:rsid w:val="000A4D2D"/>
    <w:rsid w:val="000A5E73"/>
    <w:rsid w:val="000B01CF"/>
    <w:rsid w:val="000B1D44"/>
    <w:rsid w:val="000B1D87"/>
    <w:rsid w:val="000B26FB"/>
    <w:rsid w:val="000B3BE4"/>
    <w:rsid w:val="000B5331"/>
    <w:rsid w:val="000C1B7F"/>
    <w:rsid w:val="000C46B5"/>
    <w:rsid w:val="000C5A12"/>
    <w:rsid w:val="000D07EC"/>
    <w:rsid w:val="000D205E"/>
    <w:rsid w:val="000D5F87"/>
    <w:rsid w:val="000D67F5"/>
    <w:rsid w:val="000D6CDF"/>
    <w:rsid w:val="000D7801"/>
    <w:rsid w:val="000D7BE8"/>
    <w:rsid w:val="000E0C99"/>
    <w:rsid w:val="000E2E89"/>
    <w:rsid w:val="000F18C4"/>
    <w:rsid w:val="000F33A7"/>
    <w:rsid w:val="00101BCF"/>
    <w:rsid w:val="0010742D"/>
    <w:rsid w:val="0011063D"/>
    <w:rsid w:val="00111EAF"/>
    <w:rsid w:val="00116ECD"/>
    <w:rsid w:val="001207F7"/>
    <w:rsid w:val="00121ED3"/>
    <w:rsid w:val="00124ED9"/>
    <w:rsid w:val="0012740B"/>
    <w:rsid w:val="00134A8B"/>
    <w:rsid w:val="00135448"/>
    <w:rsid w:val="0014253C"/>
    <w:rsid w:val="00142CA1"/>
    <w:rsid w:val="001476AE"/>
    <w:rsid w:val="001546B2"/>
    <w:rsid w:val="001571D2"/>
    <w:rsid w:val="001612FE"/>
    <w:rsid w:val="0016180D"/>
    <w:rsid w:val="0016494A"/>
    <w:rsid w:val="00165C57"/>
    <w:rsid w:val="00165E9E"/>
    <w:rsid w:val="001673F4"/>
    <w:rsid w:val="0017182D"/>
    <w:rsid w:val="00172A27"/>
    <w:rsid w:val="00176565"/>
    <w:rsid w:val="00184D45"/>
    <w:rsid w:val="00186B06"/>
    <w:rsid w:val="00186F54"/>
    <w:rsid w:val="0018749E"/>
    <w:rsid w:val="0019210E"/>
    <w:rsid w:val="00192744"/>
    <w:rsid w:val="00192A9F"/>
    <w:rsid w:val="00196098"/>
    <w:rsid w:val="00196E77"/>
    <w:rsid w:val="001977FD"/>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F40CF"/>
    <w:rsid w:val="001F6512"/>
    <w:rsid w:val="001F6880"/>
    <w:rsid w:val="0020183F"/>
    <w:rsid w:val="00205E3A"/>
    <w:rsid w:val="0020798F"/>
    <w:rsid w:val="00221252"/>
    <w:rsid w:val="00221A03"/>
    <w:rsid w:val="00231B68"/>
    <w:rsid w:val="00235E37"/>
    <w:rsid w:val="002366AF"/>
    <w:rsid w:val="00241CE4"/>
    <w:rsid w:val="00247619"/>
    <w:rsid w:val="00251B8C"/>
    <w:rsid w:val="00252529"/>
    <w:rsid w:val="00254F34"/>
    <w:rsid w:val="0026069A"/>
    <w:rsid w:val="00261526"/>
    <w:rsid w:val="0026269F"/>
    <w:rsid w:val="00263546"/>
    <w:rsid w:val="002643B9"/>
    <w:rsid w:val="0026537D"/>
    <w:rsid w:val="00270839"/>
    <w:rsid w:val="002761E2"/>
    <w:rsid w:val="002767FB"/>
    <w:rsid w:val="00277007"/>
    <w:rsid w:val="00280521"/>
    <w:rsid w:val="00281AEB"/>
    <w:rsid w:val="00283C5F"/>
    <w:rsid w:val="00286C29"/>
    <w:rsid w:val="00290B4F"/>
    <w:rsid w:val="00291928"/>
    <w:rsid w:val="00295115"/>
    <w:rsid w:val="0029617A"/>
    <w:rsid w:val="00297164"/>
    <w:rsid w:val="002A486C"/>
    <w:rsid w:val="002A572D"/>
    <w:rsid w:val="002A6228"/>
    <w:rsid w:val="002A7DD9"/>
    <w:rsid w:val="002A7E1E"/>
    <w:rsid w:val="002B040B"/>
    <w:rsid w:val="002B09A7"/>
    <w:rsid w:val="002B2000"/>
    <w:rsid w:val="002B4FD1"/>
    <w:rsid w:val="002B6FD1"/>
    <w:rsid w:val="002C0896"/>
    <w:rsid w:val="002C43AD"/>
    <w:rsid w:val="002C7C22"/>
    <w:rsid w:val="002D1C63"/>
    <w:rsid w:val="002D3A0E"/>
    <w:rsid w:val="002E0D61"/>
    <w:rsid w:val="002E3301"/>
    <w:rsid w:val="002E4A9F"/>
    <w:rsid w:val="002F45C0"/>
    <w:rsid w:val="003016D4"/>
    <w:rsid w:val="00301895"/>
    <w:rsid w:val="00305FAD"/>
    <w:rsid w:val="00306B15"/>
    <w:rsid w:val="00306D09"/>
    <w:rsid w:val="003127DE"/>
    <w:rsid w:val="00312B08"/>
    <w:rsid w:val="00313645"/>
    <w:rsid w:val="00320D1B"/>
    <w:rsid w:val="00322CBF"/>
    <w:rsid w:val="00323574"/>
    <w:rsid w:val="00332440"/>
    <w:rsid w:val="00333BC8"/>
    <w:rsid w:val="0033452E"/>
    <w:rsid w:val="00336B51"/>
    <w:rsid w:val="00344385"/>
    <w:rsid w:val="00352DFF"/>
    <w:rsid w:val="0035393B"/>
    <w:rsid w:val="00355252"/>
    <w:rsid w:val="00357C42"/>
    <w:rsid w:val="00362B82"/>
    <w:rsid w:val="00366D50"/>
    <w:rsid w:val="00367E22"/>
    <w:rsid w:val="00373DC8"/>
    <w:rsid w:val="0037524A"/>
    <w:rsid w:val="00376C28"/>
    <w:rsid w:val="003774CE"/>
    <w:rsid w:val="003813AE"/>
    <w:rsid w:val="003846BF"/>
    <w:rsid w:val="0038632D"/>
    <w:rsid w:val="003925C1"/>
    <w:rsid w:val="003933ED"/>
    <w:rsid w:val="00393981"/>
    <w:rsid w:val="00395AD9"/>
    <w:rsid w:val="003A0690"/>
    <w:rsid w:val="003A36CA"/>
    <w:rsid w:val="003A4E7F"/>
    <w:rsid w:val="003A6D85"/>
    <w:rsid w:val="003B1E8C"/>
    <w:rsid w:val="003B2FCA"/>
    <w:rsid w:val="003B5806"/>
    <w:rsid w:val="003B7590"/>
    <w:rsid w:val="003C0897"/>
    <w:rsid w:val="003C3024"/>
    <w:rsid w:val="003C5CB8"/>
    <w:rsid w:val="003D23F0"/>
    <w:rsid w:val="003D3DBF"/>
    <w:rsid w:val="003D57E0"/>
    <w:rsid w:val="003D6011"/>
    <w:rsid w:val="003E075B"/>
    <w:rsid w:val="003E529B"/>
    <w:rsid w:val="003F3DB3"/>
    <w:rsid w:val="003F6248"/>
    <w:rsid w:val="003F62FA"/>
    <w:rsid w:val="0040043D"/>
    <w:rsid w:val="004009D3"/>
    <w:rsid w:val="0040629C"/>
    <w:rsid w:val="004062E5"/>
    <w:rsid w:val="00410398"/>
    <w:rsid w:val="00415FC8"/>
    <w:rsid w:val="00416D06"/>
    <w:rsid w:val="0042162E"/>
    <w:rsid w:val="0042529A"/>
    <w:rsid w:val="00430894"/>
    <w:rsid w:val="004356CE"/>
    <w:rsid w:val="00443A85"/>
    <w:rsid w:val="00443D23"/>
    <w:rsid w:val="0044588F"/>
    <w:rsid w:val="004468C0"/>
    <w:rsid w:val="00452595"/>
    <w:rsid w:val="00452E92"/>
    <w:rsid w:val="00453C3B"/>
    <w:rsid w:val="00454A19"/>
    <w:rsid w:val="00455D8D"/>
    <w:rsid w:val="004569EF"/>
    <w:rsid w:val="00456B0C"/>
    <w:rsid w:val="004605E7"/>
    <w:rsid w:val="00470B04"/>
    <w:rsid w:val="0047283A"/>
    <w:rsid w:val="004737E8"/>
    <w:rsid w:val="0048657B"/>
    <w:rsid w:val="00486618"/>
    <w:rsid w:val="0048701C"/>
    <w:rsid w:val="0049383B"/>
    <w:rsid w:val="00494C20"/>
    <w:rsid w:val="004A602D"/>
    <w:rsid w:val="004A7D73"/>
    <w:rsid w:val="004B02A5"/>
    <w:rsid w:val="004B24B6"/>
    <w:rsid w:val="004B2595"/>
    <w:rsid w:val="004B3D1B"/>
    <w:rsid w:val="004B447C"/>
    <w:rsid w:val="004B4C75"/>
    <w:rsid w:val="004C6012"/>
    <w:rsid w:val="004D21A5"/>
    <w:rsid w:val="004D46E0"/>
    <w:rsid w:val="004D6142"/>
    <w:rsid w:val="004E1677"/>
    <w:rsid w:val="004E22DE"/>
    <w:rsid w:val="004E3750"/>
    <w:rsid w:val="004E6E5E"/>
    <w:rsid w:val="004F0166"/>
    <w:rsid w:val="004F0AF3"/>
    <w:rsid w:val="004F3490"/>
    <w:rsid w:val="004F5295"/>
    <w:rsid w:val="004F5CC9"/>
    <w:rsid w:val="005033DE"/>
    <w:rsid w:val="00505977"/>
    <w:rsid w:val="00513D41"/>
    <w:rsid w:val="0051723B"/>
    <w:rsid w:val="005205FD"/>
    <w:rsid w:val="00523504"/>
    <w:rsid w:val="00523B92"/>
    <w:rsid w:val="0052564C"/>
    <w:rsid w:val="00525902"/>
    <w:rsid w:val="00525CEA"/>
    <w:rsid w:val="00530197"/>
    <w:rsid w:val="0054029A"/>
    <w:rsid w:val="005412F8"/>
    <w:rsid w:val="00543E01"/>
    <w:rsid w:val="00552FF8"/>
    <w:rsid w:val="005546C1"/>
    <w:rsid w:val="00561A4F"/>
    <w:rsid w:val="005660E4"/>
    <w:rsid w:val="005661B6"/>
    <w:rsid w:val="00566F8D"/>
    <w:rsid w:val="00567F7C"/>
    <w:rsid w:val="005712BF"/>
    <w:rsid w:val="005713A3"/>
    <w:rsid w:val="005732F9"/>
    <w:rsid w:val="00576F64"/>
    <w:rsid w:val="005812B8"/>
    <w:rsid w:val="00590849"/>
    <w:rsid w:val="00591AC4"/>
    <w:rsid w:val="00596260"/>
    <w:rsid w:val="005A029E"/>
    <w:rsid w:val="005A2372"/>
    <w:rsid w:val="005A2389"/>
    <w:rsid w:val="005A351E"/>
    <w:rsid w:val="005B11C9"/>
    <w:rsid w:val="005B11E5"/>
    <w:rsid w:val="005B176F"/>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4081"/>
    <w:rsid w:val="005E77EC"/>
    <w:rsid w:val="005E7C03"/>
    <w:rsid w:val="005F0807"/>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301F9"/>
    <w:rsid w:val="0063683F"/>
    <w:rsid w:val="00641766"/>
    <w:rsid w:val="00645696"/>
    <w:rsid w:val="006470E8"/>
    <w:rsid w:val="00652F61"/>
    <w:rsid w:val="00652FE5"/>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D0BC1"/>
    <w:rsid w:val="006D21CD"/>
    <w:rsid w:val="006D38A5"/>
    <w:rsid w:val="006D4DAE"/>
    <w:rsid w:val="006E051C"/>
    <w:rsid w:val="006E0CB2"/>
    <w:rsid w:val="006E53B4"/>
    <w:rsid w:val="006F0520"/>
    <w:rsid w:val="006F220C"/>
    <w:rsid w:val="006F40A3"/>
    <w:rsid w:val="00701EA1"/>
    <w:rsid w:val="0070324B"/>
    <w:rsid w:val="007063D1"/>
    <w:rsid w:val="007111C0"/>
    <w:rsid w:val="0072445D"/>
    <w:rsid w:val="00724F1F"/>
    <w:rsid w:val="00730C0E"/>
    <w:rsid w:val="00740798"/>
    <w:rsid w:val="00745490"/>
    <w:rsid w:val="0074682C"/>
    <w:rsid w:val="0075119B"/>
    <w:rsid w:val="0075136B"/>
    <w:rsid w:val="007546E7"/>
    <w:rsid w:val="00760991"/>
    <w:rsid w:val="00761DA2"/>
    <w:rsid w:val="007634C0"/>
    <w:rsid w:val="00767B62"/>
    <w:rsid w:val="00770E66"/>
    <w:rsid w:val="00773CF8"/>
    <w:rsid w:val="00777B93"/>
    <w:rsid w:val="00790B1C"/>
    <w:rsid w:val="0079218D"/>
    <w:rsid w:val="00793675"/>
    <w:rsid w:val="00793BA0"/>
    <w:rsid w:val="00797796"/>
    <w:rsid w:val="007A2B7F"/>
    <w:rsid w:val="007A3381"/>
    <w:rsid w:val="007B0396"/>
    <w:rsid w:val="007B24D9"/>
    <w:rsid w:val="007B4DB7"/>
    <w:rsid w:val="007C4BF7"/>
    <w:rsid w:val="007C4F7B"/>
    <w:rsid w:val="007C6A39"/>
    <w:rsid w:val="007D489E"/>
    <w:rsid w:val="007D6EC4"/>
    <w:rsid w:val="007E281C"/>
    <w:rsid w:val="007E2D61"/>
    <w:rsid w:val="007E6251"/>
    <w:rsid w:val="007E6B9D"/>
    <w:rsid w:val="007E784E"/>
    <w:rsid w:val="007F020D"/>
    <w:rsid w:val="007F1A6E"/>
    <w:rsid w:val="007F2EF5"/>
    <w:rsid w:val="007F4596"/>
    <w:rsid w:val="007F470A"/>
    <w:rsid w:val="007F4F6E"/>
    <w:rsid w:val="007F659E"/>
    <w:rsid w:val="007F6AEE"/>
    <w:rsid w:val="00801970"/>
    <w:rsid w:val="008048D1"/>
    <w:rsid w:val="008055A6"/>
    <w:rsid w:val="00807032"/>
    <w:rsid w:val="0081517D"/>
    <w:rsid w:val="00817D27"/>
    <w:rsid w:val="008204F5"/>
    <w:rsid w:val="00821650"/>
    <w:rsid w:val="00822DF2"/>
    <w:rsid w:val="008230DE"/>
    <w:rsid w:val="008243A4"/>
    <w:rsid w:val="00826ACE"/>
    <w:rsid w:val="00827E77"/>
    <w:rsid w:val="00831360"/>
    <w:rsid w:val="0083332E"/>
    <w:rsid w:val="008343E5"/>
    <w:rsid w:val="00840472"/>
    <w:rsid w:val="008436B5"/>
    <w:rsid w:val="00847C9F"/>
    <w:rsid w:val="008514F6"/>
    <w:rsid w:val="00851A36"/>
    <w:rsid w:val="00852668"/>
    <w:rsid w:val="00852752"/>
    <w:rsid w:val="00854706"/>
    <w:rsid w:val="00855AA8"/>
    <w:rsid w:val="00856BC8"/>
    <w:rsid w:val="008674F7"/>
    <w:rsid w:val="00870A07"/>
    <w:rsid w:val="00872644"/>
    <w:rsid w:val="008744C5"/>
    <w:rsid w:val="00874A20"/>
    <w:rsid w:val="00875615"/>
    <w:rsid w:val="00876AA6"/>
    <w:rsid w:val="0088565D"/>
    <w:rsid w:val="0089338B"/>
    <w:rsid w:val="00893D5E"/>
    <w:rsid w:val="00893F82"/>
    <w:rsid w:val="00895991"/>
    <w:rsid w:val="008A09C8"/>
    <w:rsid w:val="008A3ABE"/>
    <w:rsid w:val="008A41F1"/>
    <w:rsid w:val="008A63A0"/>
    <w:rsid w:val="008A6597"/>
    <w:rsid w:val="008A78CD"/>
    <w:rsid w:val="008B2CDC"/>
    <w:rsid w:val="008B4597"/>
    <w:rsid w:val="008B7729"/>
    <w:rsid w:val="008C00F7"/>
    <w:rsid w:val="008C43CB"/>
    <w:rsid w:val="008C4DB5"/>
    <w:rsid w:val="008D44FA"/>
    <w:rsid w:val="008E2CD4"/>
    <w:rsid w:val="008E395E"/>
    <w:rsid w:val="008E7E02"/>
    <w:rsid w:val="008F099F"/>
    <w:rsid w:val="008F33B6"/>
    <w:rsid w:val="008F4CDB"/>
    <w:rsid w:val="008F5648"/>
    <w:rsid w:val="00900FD9"/>
    <w:rsid w:val="00907716"/>
    <w:rsid w:val="00910EDA"/>
    <w:rsid w:val="00920E79"/>
    <w:rsid w:val="00922F4D"/>
    <w:rsid w:val="0092731A"/>
    <w:rsid w:val="00937742"/>
    <w:rsid w:val="009443AA"/>
    <w:rsid w:val="009508DD"/>
    <w:rsid w:val="009545C5"/>
    <w:rsid w:val="00956887"/>
    <w:rsid w:val="00966225"/>
    <w:rsid w:val="00966256"/>
    <w:rsid w:val="00971C0D"/>
    <w:rsid w:val="00971DB2"/>
    <w:rsid w:val="00976B5C"/>
    <w:rsid w:val="00982510"/>
    <w:rsid w:val="0098566A"/>
    <w:rsid w:val="009859E0"/>
    <w:rsid w:val="00986B6B"/>
    <w:rsid w:val="00986D37"/>
    <w:rsid w:val="00993400"/>
    <w:rsid w:val="00993AA0"/>
    <w:rsid w:val="009A0085"/>
    <w:rsid w:val="009B0782"/>
    <w:rsid w:val="009B24FB"/>
    <w:rsid w:val="009B2D0E"/>
    <w:rsid w:val="009B6360"/>
    <w:rsid w:val="009C7425"/>
    <w:rsid w:val="009D10B7"/>
    <w:rsid w:val="009D11CB"/>
    <w:rsid w:val="009D2C2B"/>
    <w:rsid w:val="009D38AB"/>
    <w:rsid w:val="009F289E"/>
    <w:rsid w:val="009F2E0D"/>
    <w:rsid w:val="009F3FD6"/>
    <w:rsid w:val="00A01F77"/>
    <w:rsid w:val="00A021BD"/>
    <w:rsid w:val="00A02242"/>
    <w:rsid w:val="00A07E35"/>
    <w:rsid w:val="00A206FB"/>
    <w:rsid w:val="00A32F1C"/>
    <w:rsid w:val="00A42373"/>
    <w:rsid w:val="00A425A4"/>
    <w:rsid w:val="00A43BA9"/>
    <w:rsid w:val="00A5274D"/>
    <w:rsid w:val="00A5515C"/>
    <w:rsid w:val="00A56C72"/>
    <w:rsid w:val="00A60DB7"/>
    <w:rsid w:val="00A62016"/>
    <w:rsid w:val="00A62AEB"/>
    <w:rsid w:val="00A64D5E"/>
    <w:rsid w:val="00A65525"/>
    <w:rsid w:val="00A6638D"/>
    <w:rsid w:val="00A676FE"/>
    <w:rsid w:val="00A67DB6"/>
    <w:rsid w:val="00A827AE"/>
    <w:rsid w:val="00A90CFE"/>
    <w:rsid w:val="00A914EF"/>
    <w:rsid w:val="00A921B7"/>
    <w:rsid w:val="00A9348D"/>
    <w:rsid w:val="00A97137"/>
    <w:rsid w:val="00A975DC"/>
    <w:rsid w:val="00AB04DC"/>
    <w:rsid w:val="00AB1D38"/>
    <w:rsid w:val="00AB1FF7"/>
    <w:rsid w:val="00AB3447"/>
    <w:rsid w:val="00AB3A69"/>
    <w:rsid w:val="00AC38FF"/>
    <w:rsid w:val="00AC5805"/>
    <w:rsid w:val="00AD124C"/>
    <w:rsid w:val="00AD1B15"/>
    <w:rsid w:val="00AD529C"/>
    <w:rsid w:val="00AD7A7D"/>
    <w:rsid w:val="00AE344B"/>
    <w:rsid w:val="00AE46EA"/>
    <w:rsid w:val="00AE6F1C"/>
    <w:rsid w:val="00AF15F6"/>
    <w:rsid w:val="00AF4A7A"/>
    <w:rsid w:val="00AF581E"/>
    <w:rsid w:val="00AF6B9F"/>
    <w:rsid w:val="00AF7255"/>
    <w:rsid w:val="00B009BD"/>
    <w:rsid w:val="00B00A61"/>
    <w:rsid w:val="00B06B99"/>
    <w:rsid w:val="00B102E3"/>
    <w:rsid w:val="00B11F24"/>
    <w:rsid w:val="00B12224"/>
    <w:rsid w:val="00B14B7F"/>
    <w:rsid w:val="00B1638F"/>
    <w:rsid w:val="00B170A6"/>
    <w:rsid w:val="00B17616"/>
    <w:rsid w:val="00B21296"/>
    <w:rsid w:val="00B21A22"/>
    <w:rsid w:val="00B229CA"/>
    <w:rsid w:val="00B30863"/>
    <w:rsid w:val="00B358B4"/>
    <w:rsid w:val="00B364EB"/>
    <w:rsid w:val="00B43A03"/>
    <w:rsid w:val="00B44185"/>
    <w:rsid w:val="00B444F6"/>
    <w:rsid w:val="00B46AA3"/>
    <w:rsid w:val="00B47E41"/>
    <w:rsid w:val="00B50C95"/>
    <w:rsid w:val="00B525BC"/>
    <w:rsid w:val="00B64EF9"/>
    <w:rsid w:val="00B666EC"/>
    <w:rsid w:val="00B669B5"/>
    <w:rsid w:val="00B71F44"/>
    <w:rsid w:val="00B73420"/>
    <w:rsid w:val="00B73A03"/>
    <w:rsid w:val="00B7507C"/>
    <w:rsid w:val="00B750DD"/>
    <w:rsid w:val="00B80694"/>
    <w:rsid w:val="00B8108A"/>
    <w:rsid w:val="00B816FB"/>
    <w:rsid w:val="00B85286"/>
    <w:rsid w:val="00B86334"/>
    <w:rsid w:val="00B86816"/>
    <w:rsid w:val="00BA23ED"/>
    <w:rsid w:val="00BA7A40"/>
    <w:rsid w:val="00BB2F1F"/>
    <w:rsid w:val="00BC2D2D"/>
    <w:rsid w:val="00BC4A59"/>
    <w:rsid w:val="00BC582E"/>
    <w:rsid w:val="00BC6BF6"/>
    <w:rsid w:val="00BD0786"/>
    <w:rsid w:val="00BD0D65"/>
    <w:rsid w:val="00BE3E9E"/>
    <w:rsid w:val="00BE6714"/>
    <w:rsid w:val="00BF1D33"/>
    <w:rsid w:val="00BF4F2E"/>
    <w:rsid w:val="00BF5A79"/>
    <w:rsid w:val="00BF60D1"/>
    <w:rsid w:val="00BF736E"/>
    <w:rsid w:val="00C011AE"/>
    <w:rsid w:val="00C0127A"/>
    <w:rsid w:val="00C11B7B"/>
    <w:rsid w:val="00C15848"/>
    <w:rsid w:val="00C15C91"/>
    <w:rsid w:val="00C21F29"/>
    <w:rsid w:val="00C222D2"/>
    <w:rsid w:val="00C240E4"/>
    <w:rsid w:val="00C2499F"/>
    <w:rsid w:val="00C271A6"/>
    <w:rsid w:val="00C338FC"/>
    <w:rsid w:val="00C33C13"/>
    <w:rsid w:val="00C341FA"/>
    <w:rsid w:val="00C374FA"/>
    <w:rsid w:val="00C376EA"/>
    <w:rsid w:val="00C47AB3"/>
    <w:rsid w:val="00C51427"/>
    <w:rsid w:val="00C524CB"/>
    <w:rsid w:val="00C52F2A"/>
    <w:rsid w:val="00C559AB"/>
    <w:rsid w:val="00C61955"/>
    <w:rsid w:val="00C65450"/>
    <w:rsid w:val="00C716A9"/>
    <w:rsid w:val="00C74505"/>
    <w:rsid w:val="00C75802"/>
    <w:rsid w:val="00C7690F"/>
    <w:rsid w:val="00C80E72"/>
    <w:rsid w:val="00C83DF6"/>
    <w:rsid w:val="00C849DE"/>
    <w:rsid w:val="00C8594F"/>
    <w:rsid w:val="00C85B6D"/>
    <w:rsid w:val="00C9631B"/>
    <w:rsid w:val="00CA0DFA"/>
    <w:rsid w:val="00CB4335"/>
    <w:rsid w:val="00CB4DCC"/>
    <w:rsid w:val="00CC01ED"/>
    <w:rsid w:val="00CC6B91"/>
    <w:rsid w:val="00CD002D"/>
    <w:rsid w:val="00CD150C"/>
    <w:rsid w:val="00CD428D"/>
    <w:rsid w:val="00CD5C09"/>
    <w:rsid w:val="00CE06DC"/>
    <w:rsid w:val="00CE5136"/>
    <w:rsid w:val="00CE6EBD"/>
    <w:rsid w:val="00CE701B"/>
    <w:rsid w:val="00CE725D"/>
    <w:rsid w:val="00CF0CB4"/>
    <w:rsid w:val="00CF0ED5"/>
    <w:rsid w:val="00CF3E33"/>
    <w:rsid w:val="00CF7E73"/>
    <w:rsid w:val="00D016F7"/>
    <w:rsid w:val="00D019F0"/>
    <w:rsid w:val="00D10353"/>
    <w:rsid w:val="00D10F20"/>
    <w:rsid w:val="00D125BB"/>
    <w:rsid w:val="00D12B1A"/>
    <w:rsid w:val="00D17023"/>
    <w:rsid w:val="00D27705"/>
    <w:rsid w:val="00D320BD"/>
    <w:rsid w:val="00D366B7"/>
    <w:rsid w:val="00D41771"/>
    <w:rsid w:val="00D42942"/>
    <w:rsid w:val="00D42B93"/>
    <w:rsid w:val="00D42E99"/>
    <w:rsid w:val="00D433E8"/>
    <w:rsid w:val="00D44FC3"/>
    <w:rsid w:val="00D51A0B"/>
    <w:rsid w:val="00D52190"/>
    <w:rsid w:val="00D5502F"/>
    <w:rsid w:val="00D6319B"/>
    <w:rsid w:val="00D65BA9"/>
    <w:rsid w:val="00D66087"/>
    <w:rsid w:val="00D679C7"/>
    <w:rsid w:val="00D67C81"/>
    <w:rsid w:val="00D7143E"/>
    <w:rsid w:val="00D72F71"/>
    <w:rsid w:val="00D74FA1"/>
    <w:rsid w:val="00D77615"/>
    <w:rsid w:val="00D82B9B"/>
    <w:rsid w:val="00D83691"/>
    <w:rsid w:val="00D85BC7"/>
    <w:rsid w:val="00D86857"/>
    <w:rsid w:val="00D87350"/>
    <w:rsid w:val="00D9025F"/>
    <w:rsid w:val="00D93135"/>
    <w:rsid w:val="00D94FCC"/>
    <w:rsid w:val="00D963B6"/>
    <w:rsid w:val="00DA20F0"/>
    <w:rsid w:val="00DA2FBC"/>
    <w:rsid w:val="00DA3C7B"/>
    <w:rsid w:val="00DA4BC9"/>
    <w:rsid w:val="00DA6CF8"/>
    <w:rsid w:val="00DB01B7"/>
    <w:rsid w:val="00DB15F7"/>
    <w:rsid w:val="00DB1613"/>
    <w:rsid w:val="00DB30B2"/>
    <w:rsid w:val="00DB43A5"/>
    <w:rsid w:val="00DB6345"/>
    <w:rsid w:val="00DB6688"/>
    <w:rsid w:val="00DB7EB0"/>
    <w:rsid w:val="00DC4677"/>
    <w:rsid w:val="00DC73E7"/>
    <w:rsid w:val="00DC79BE"/>
    <w:rsid w:val="00DD1F27"/>
    <w:rsid w:val="00DD4188"/>
    <w:rsid w:val="00DD7658"/>
    <w:rsid w:val="00DE06D6"/>
    <w:rsid w:val="00DE0755"/>
    <w:rsid w:val="00DE27F8"/>
    <w:rsid w:val="00DE3FCA"/>
    <w:rsid w:val="00E03DC5"/>
    <w:rsid w:val="00E13B6D"/>
    <w:rsid w:val="00E13EF2"/>
    <w:rsid w:val="00E15079"/>
    <w:rsid w:val="00E164E7"/>
    <w:rsid w:val="00E248A8"/>
    <w:rsid w:val="00E24DE9"/>
    <w:rsid w:val="00E269BA"/>
    <w:rsid w:val="00E27BF2"/>
    <w:rsid w:val="00E31D32"/>
    <w:rsid w:val="00E37B8A"/>
    <w:rsid w:val="00E41763"/>
    <w:rsid w:val="00E41E24"/>
    <w:rsid w:val="00E43B72"/>
    <w:rsid w:val="00E47FD6"/>
    <w:rsid w:val="00E50443"/>
    <w:rsid w:val="00E51368"/>
    <w:rsid w:val="00E514E0"/>
    <w:rsid w:val="00E5433B"/>
    <w:rsid w:val="00E560A7"/>
    <w:rsid w:val="00E61592"/>
    <w:rsid w:val="00E6422C"/>
    <w:rsid w:val="00E672F5"/>
    <w:rsid w:val="00E673CD"/>
    <w:rsid w:val="00E67880"/>
    <w:rsid w:val="00E735BC"/>
    <w:rsid w:val="00E73BFC"/>
    <w:rsid w:val="00E754AE"/>
    <w:rsid w:val="00E8551B"/>
    <w:rsid w:val="00E90033"/>
    <w:rsid w:val="00E95437"/>
    <w:rsid w:val="00E96406"/>
    <w:rsid w:val="00E9706E"/>
    <w:rsid w:val="00EA1DC2"/>
    <w:rsid w:val="00EA43B7"/>
    <w:rsid w:val="00EA7004"/>
    <w:rsid w:val="00EB00E1"/>
    <w:rsid w:val="00EB17DE"/>
    <w:rsid w:val="00EB1AD7"/>
    <w:rsid w:val="00EB2155"/>
    <w:rsid w:val="00EB3C38"/>
    <w:rsid w:val="00EB4DBD"/>
    <w:rsid w:val="00EC1359"/>
    <w:rsid w:val="00EC31A6"/>
    <w:rsid w:val="00EC6294"/>
    <w:rsid w:val="00EC7A22"/>
    <w:rsid w:val="00ED0F1E"/>
    <w:rsid w:val="00EE059F"/>
    <w:rsid w:val="00EE4E1E"/>
    <w:rsid w:val="00EE6236"/>
    <w:rsid w:val="00EF1499"/>
    <w:rsid w:val="00EF35B2"/>
    <w:rsid w:val="00EF36DA"/>
    <w:rsid w:val="00EF4841"/>
    <w:rsid w:val="00EF49FB"/>
    <w:rsid w:val="00EF61C9"/>
    <w:rsid w:val="00F03BE8"/>
    <w:rsid w:val="00F044EF"/>
    <w:rsid w:val="00F050E9"/>
    <w:rsid w:val="00F0719B"/>
    <w:rsid w:val="00F1405D"/>
    <w:rsid w:val="00F144D8"/>
    <w:rsid w:val="00F173C1"/>
    <w:rsid w:val="00F17537"/>
    <w:rsid w:val="00F2544E"/>
    <w:rsid w:val="00F27A9E"/>
    <w:rsid w:val="00F31012"/>
    <w:rsid w:val="00F32DCA"/>
    <w:rsid w:val="00F33A51"/>
    <w:rsid w:val="00F33BCB"/>
    <w:rsid w:val="00F35386"/>
    <w:rsid w:val="00F361F7"/>
    <w:rsid w:val="00F37DAB"/>
    <w:rsid w:val="00F45784"/>
    <w:rsid w:val="00F54435"/>
    <w:rsid w:val="00F54721"/>
    <w:rsid w:val="00F56C18"/>
    <w:rsid w:val="00F579E6"/>
    <w:rsid w:val="00F606B4"/>
    <w:rsid w:val="00F60A8C"/>
    <w:rsid w:val="00F652A0"/>
    <w:rsid w:val="00F71333"/>
    <w:rsid w:val="00F72B8A"/>
    <w:rsid w:val="00F733D1"/>
    <w:rsid w:val="00F76898"/>
    <w:rsid w:val="00F854A2"/>
    <w:rsid w:val="00F90638"/>
    <w:rsid w:val="00F9603C"/>
    <w:rsid w:val="00F96644"/>
    <w:rsid w:val="00FA0787"/>
    <w:rsid w:val="00FA3790"/>
    <w:rsid w:val="00FB141D"/>
    <w:rsid w:val="00FB4FED"/>
    <w:rsid w:val="00FB7444"/>
    <w:rsid w:val="00FC0D5F"/>
    <w:rsid w:val="00FC3285"/>
    <w:rsid w:val="00FC6EC0"/>
    <w:rsid w:val="00FD388D"/>
    <w:rsid w:val="00FE4D79"/>
    <w:rsid w:val="00FE50C9"/>
    <w:rsid w:val="00FE6713"/>
    <w:rsid w:val="00FE6A5A"/>
    <w:rsid w:val="00FE7554"/>
    <w:rsid w:val="00FF11B0"/>
    <w:rsid w:val="00FF1624"/>
    <w:rsid w:val="00FF1966"/>
    <w:rsid w:val="00FF3FEB"/>
    <w:rsid w:val="00FF67AE"/>
    <w:rsid w:val="00FF715E"/>
    <w:rsid w:val="039B46FF"/>
    <w:rsid w:val="04073203"/>
    <w:rsid w:val="046C31A4"/>
    <w:rsid w:val="06B16ADD"/>
    <w:rsid w:val="082C723D"/>
    <w:rsid w:val="087B1631"/>
    <w:rsid w:val="0941554B"/>
    <w:rsid w:val="0A133E84"/>
    <w:rsid w:val="0BF41AF2"/>
    <w:rsid w:val="0C40215D"/>
    <w:rsid w:val="0CFD4E74"/>
    <w:rsid w:val="0D821B4C"/>
    <w:rsid w:val="0E857111"/>
    <w:rsid w:val="0EEC2FFB"/>
    <w:rsid w:val="0F1023F8"/>
    <w:rsid w:val="0F2D097A"/>
    <w:rsid w:val="10C57233"/>
    <w:rsid w:val="127039FD"/>
    <w:rsid w:val="184957D7"/>
    <w:rsid w:val="18ED4FD8"/>
    <w:rsid w:val="1B625407"/>
    <w:rsid w:val="1BCD22A3"/>
    <w:rsid w:val="1CC449EE"/>
    <w:rsid w:val="1D293D92"/>
    <w:rsid w:val="1D695934"/>
    <w:rsid w:val="1E0572E4"/>
    <w:rsid w:val="1E2A0371"/>
    <w:rsid w:val="1F38206B"/>
    <w:rsid w:val="1F39532A"/>
    <w:rsid w:val="1F932500"/>
    <w:rsid w:val="209F52B9"/>
    <w:rsid w:val="21953B19"/>
    <w:rsid w:val="21A13378"/>
    <w:rsid w:val="2232017D"/>
    <w:rsid w:val="228C50A0"/>
    <w:rsid w:val="253604E7"/>
    <w:rsid w:val="253D00AD"/>
    <w:rsid w:val="2619693E"/>
    <w:rsid w:val="27DB2255"/>
    <w:rsid w:val="2A692A82"/>
    <w:rsid w:val="2A6B6334"/>
    <w:rsid w:val="2B253F3C"/>
    <w:rsid w:val="2E1A242E"/>
    <w:rsid w:val="2E294A91"/>
    <w:rsid w:val="2E386967"/>
    <w:rsid w:val="2E902D4D"/>
    <w:rsid w:val="2EC00C3A"/>
    <w:rsid w:val="30E27286"/>
    <w:rsid w:val="317C672F"/>
    <w:rsid w:val="33543E57"/>
    <w:rsid w:val="34FA0097"/>
    <w:rsid w:val="35380BBF"/>
    <w:rsid w:val="358B6F41"/>
    <w:rsid w:val="35CC4711"/>
    <w:rsid w:val="36112941"/>
    <w:rsid w:val="36F9612C"/>
    <w:rsid w:val="36FB264A"/>
    <w:rsid w:val="37FC608E"/>
    <w:rsid w:val="380356E1"/>
    <w:rsid w:val="38A32C62"/>
    <w:rsid w:val="38C41EFC"/>
    <w:rsid w:val="3A6A181A"/>
    <w:rsid w:val="3CD61426"/>
    <w:rsid w:val="3E7C195D"/>
    <w:rsid w:val="3F0B5B5B"/>
    <w:rsid w:val="3FD12AA3"/>
    <w:rsid w:val="40245174"/>
    <w:rsid w:val="43A21908"/>
    <w:rsid w:val="447F5EC2"/>
    <w:rsid w:val="44895F78"/>
    <w:rsid w:val="45116316"/>
    <w:rsid w:val="45D814A9"/>
    <w:rsid w:val="46D63FB4"/>
    <w:rsid w:val="47273282"/>
    <w:rsid w:val="47BF153E"/>
    <w:rsid w:val="47D31486"/>
    <w:rsid w:val="489F2E1F"/>
    <w:rsid w:val="48C60564"/>
    <w:rsid w:val="4B5E0C31"/>
    <w:rsid w:val="4B7B626D"/>
    <w:rsid w:val="4C0E789E"/>
    <w:rsid w:val="4C4A08D0"/>
    <w:rsid w:val="4C6807BE"/>
    <w:rsid w:val="4DFA3B8B"/>
    <w:rsid w:val="4FC04FA2"/>
    <w:rsid w:val="50716C98"/>
    <w:rsid w:val="50D457E8"/>
    <w:rsid w:val="50FD1198"/>
    <w:rsid w:val="51187F34"/>
    <w:rsid w:val="513D4EA5"/>
    <w:rsid w:val="52B66476"/>
    <w:rsid w:val="541D74A6"/>
    <w:rsid w:val="54DA7A86"/>
    <w:rsid w:val="555420C8"/>
    <w:rsid w:val="555F46EB"/>
    <w:rsid w:val="56CE2D52"/>
    <w:rsid w:val="5B7333DE"/>
    <w:rsid w:val="5B8F0C89"/>
    <w:rsid w:val="5BB44C81"/>
    <w:rsid w:val="5CA47B63"/>
    <w:rsid w:val="5CEF3915"/>
    <w:rsid w:val="5D0266BB"/>
    <w:rsid w:val="5D0C3EE4"/>
    <w:rsid w:val="5E6C74CA"/>
    <w:rsid w:val="5FC20C8C"/>
    <w:rsid w:val="60BC655E"/>
    <w:rsid w:val="627866F2"/>
    <w:rsid w:val="637C38A9"/>
    <w:rsid w:val="63D274BB"/>
    <w:rsid w:val="648D7855"/>
    <w:rsid w:val="64E70858"/>
    <w:rsid w:val="65E6756F"/>
    <w:rsid w:val="67BE7815"/>
    <w:rsid w:val="682A513E"/>
    <w:rsid w:val="683F16C8"/>
    <w:rsid w:val="68452F01"/>
    <w:rsid w:val="68DE109F"/>
    <w:rsid w:val="69304602"/>
    <w:rsid w:val="69E67492"/>
    <w:rsid w:val="6A875C5B"/>
    <w:rsid w:val="6BD149A6"/>
    <w:rsid w:val="6D5663ED"/>
    <w:rsid w:val="6D942FA1"/>
    <w:rsid w:val="70BB1961"/>
    <w:rsid w:val="70D17B7A"/>
    <w:rsid w:val="724B4E84"/>
    <w:rsid w:val="72544ED6"/>
    <w:rsid w:val="72903472"/>
    <w:rsid w:val="745148D6"/>
    <w:rsid w:val="74912E09"/>
    <w:rsid w:val="74B70B38"/>
    <w:rsid w:val="7616320C"/>
    <w:rsid w:val="763C2C36"/>
    <w:rsid w:val="77393B4E"/>
    <w:rsid w:val="78C171F1"/>
    <w:rsid w:val="78D27468"/>
    <w:rsid w:val="79B50E56"/>
    <w:rsid w:val="79F674FE"/>
    <w:rsid w:val="79FC3536"/>
    <w:rsid w:val="7A806F5C"/>
    <w:rsid w:val="7C065A34"/>
    <w:rsid w:val="7DA72FBA"/>
    <w:rsid w:val="7E89554E"/>
    <w:rsid w:val="7EF9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60" w:after="360"/>
      <w:jc w:val="center"/>
      <w:textAlignment w:val="baseline"/>
      <w:outlineLvl w:val="0"/>
    </w:pPr>
    <w:rPr>
      <w:rFonts w:ascii="宋体" w:hAnsi="宋体"/>
      <w:b/>
      <w:kern w:val="44"/>
      <w:sz w:val="44"/>
      <w:szCs w:val="44"/>
    </w:rPr>
  </w:style>
  <w:style w:type="paragraph" w:styleId="3">
    <w:name w:val="heading 2"/>
    <w:basedOn w:val="1"/>
    <w:next w:val="1"/>
    <w:link w:val="47"/>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100" w:beforeAutospacing="1" w:after="100"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numPr>
        <w:ilvl w:val="4"/>
        <w:numId w:val="1"/>
      </w:numPr>
      <w:tabs>
        <w:tab w:val="left" w:pos="312"/>
      </w:tabs>
      <w:spacing w:before="280" w:after="290" w:line="372" w:lineRule="auto"/>
      <w:outlineLvl w:val="4"/>
    </w:pPr>
    <w:rPr>
      <w:b/>
      <w:sz w:val="28"/>
      <w:szCs w:val="20"/>
    </w:rPr>
  </w:style>
  <w:style w:type="paragraph" w:styleId="8">
    <w:name w:val="heading 6"/>
    <w:basedOn w:val="1"/>
    <w:next w:val="5"/>
    <w:qFormat/>
    <w:uiPriority w:val="0"/>
    <w:pPr>
      <w:keepNext/>
      <w:keepLines/>
      <w:numPr>
        <w:ilvl w:val="5"/>
        <w:numId w:val="1"/>
      </w:numPr>
      <w:tabs>
        <w:tab w:val="left" w:pos="312"/>
      </w:tabs>
      <w:spacing w:before="240" w:after="64" w:line="317" w:lineRule="auto"/>
      <w:outlineLvl w:val="5"/>
    </w:pPr>
    <w:rPr>
      <w:rFonts w:ascii="Arial" w:hAnsi="Arial" w:eastAsia="黑体"/>
      <w:b/>
      <w:sz w:val="24"/>
      <w:szCs w:val="20"/>
    </w:rPr>
  </w:style>
  <w:style w:type="paragraph" w:styleId="9">
    <w:name w:val="heading 7"/>
    <w:basedOn w:val="1"/>
    <w:next w:val="5"/>
    <w:qFormat/>
    <w:uiPriority w:val="0"/>
    <w:pPr>
      <w:keepNext/>
      <w:keepLines/>
      <w:numPr>
        <w:ilvl w:val="6"/>
        <w:numId w:val="1"/>
      </w:numPr>
      <w:tabs>
        <w:tab w:val="left" w:pos="312"/>
      </w:tabs>
      <w:spacing w:before="240" w:after="64" w:line="317" w:lineRule="auto"/>
      <w:outlineLvl w:val="6"/>
    </w:pPr>
    <w:rPr>
      <w:b/>
      <w:sz w:val="24"/>
      <w:szCs w:val="20"/>
    </w:rPr>
  </w:style>
  <w:style w:type="paragraph" w:styleId="10">
    <w:name w:val="heading 8"/>
    <w:basedOn w:val="1"/>
    <w:next w:val="5"/>
    <w:qFormat/>
    <w:uiPriority w:val="0"/>
    <w:pPr>
      <w:keepNext/>
      <w:keepLines/>
      <w:numPr>
        <w:ilvl w:val="7"/>
        <w:numId w:val="1"/>
      </w:numPr>
      <w:tabs>
        <w:tab w:val="left" w:pos="312"/>
      </w:tabs>
      <w:spacing w:before="240" w:after="64" w:line="317" w:lineRule="auto"/>
      <w:outlineLvl w:val="7"/>
    </w:pPr>
    <w:rPr>
      <w:rFonts w:ascii="Arial" w:hAnsi="Arial" w:eastAsia="黑体"/>
      <w:sz w:val="24"/>
      <w:szCs w:val="20"/>
    </w:rPr>
  </w:style>
  <w:style w:type="paragraph" w:styleId="11">
    <w:name w:val="heading 9"/>
    <w:basedOn w:val="1"/>
    <w:next w:val="5"/>
    <w:qFormat/>
    <w:uiPriority w:val="0"/>
    <w:pPr>
      <w:keepNext/>
      <w:keepLines/>
      <w:numPr>
        <w:ilvl w:val="8"/>
        <w:numId w:val="1"/>
      </w:numPr>
      <w:tabs>
        <w:tab w:val="left" w:pos="312"/>
      </w:tabs>
      <w:spacing w:before="240" w:after="64" w:line="317"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before="240" w:after="240" w:line="360" w:lineRule="auto"/>
      <w:jc w:val="center"/>
    </w:pPr>
    <w:rPr>
      <w:rFonts w:ascii="Arial" w:hAnsi="Arial" w:eastAsia="黑体"/>
      <w:sz w:val="24"/>
      <w:szCs w:val="20"/>
    </w:rPr>
  </w:style>
  <w:style w:type="paragraph" w:styleId="13">
    <w:name w:val="Document Map"/>
    <w:basedOn w:val="1"/>
    <w:qFormat/>
    <w:uiPriority w:val="0"/>
    <w:pPr>
      <w:shd w:val="clear" w:color="auto" w:fill="000080"/>
    </w:pPr>
  </w:style>
  <w:style w:type="paragraph" w:styleId="14">
    <w:name w:val="annotation text"/>
    <w:basedOn w:val="1"/>
    <w:link w:val="49"/>
    <w:qFormat/>
    <w:uiPriority w:val="99"/>
    <w:pPr>
      <w:jc w:val="left"/>
    </w:pPr>
  </w:style>
  <w:style w:type="paragraph" w:styleId="15">
    <w:name w:val="Body Text 3"/>
    <w:basedOn w:val="1"/>
    <w:qFormat/>
    <w:uiPriority w:val="0"/>
    <w:pPr>
      <w:spacing w:line="240" w:lineRule="exact"/>
    </w:pPr>
    <w:rPr>
      <w:rFonts w:ascii="宋体" w:hAnsi="宋体"/>
      <w:sz w:val="18"/>
    </w:rPr>
  </w:style>
  <w:style w:type="paragraph" w:styleId="16">
    <w:name w:val="Body Text"/>
    <w:basedOn w:val="1"/>
    <w:next w:val="17"/>
    <w:qFormat/>
    <w:uiPriority w:val="0"/>
    <w:pPr>
      <w:spacing w:after="120"/>
    </w:pPr>
  </w:style>
  <w:style w:type="paragraph" w:styleId="17">
    <w:name w:val="toc 5"/>
    <w:basedOn w:val="1"/>
    <w:next w:val="1"/>
    <w:unhideWhenUsed/>
    <w:qFormat/>
    <w:uiPriority w:val="0"/>
    <w:pPr>
      <w:ind w:left="840"/>
    </w:pPr>
    <w:rPr>
      <w:sz w:val="18"/>
      <w:szCs w:val="18"/>
    </w:rPr>
  </w:style>
  <w:style w:type="paragraph" w:styleId="18">
    <w:name w:val="Body Text Indent"/>
    <w:basedOn w:val="1"/>
    <w:next w:val="19"/>
    <w:link w:val="50"/>
    <w:qFormat/>
    <w:uiPriority w:val="0"/>
    <w:pPr>
      <w:autoSpaceDE w:val="0"/>
      <w:autoSpaceDN w:val="0"/>
      <w:spacing w:line="360" w:lineRule="auto"/>
      <w:ind w:left="181" w:firstLine="539"/>
    </w:pPr>
    <w:rPr>
      <w:sz w:val="24"/>
      <w:szCs w:val="20"/>
    </w:rPr>
  </w:style>
  <w:style w:type="paragraph" w:styleId="1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0">
    <w:name w:val="Block Text"/>
    <w:basedOn w:val="1"/>
    <w:qFormat/>
    <w:uiPriority w:val="0"/>
    <w:pPr>
      <w:spacing w:after="120"/>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link w:val="51"/>
    <w:qFormat/>
    <w:uiPriority w:val="99"/>
    <w:pPr>
      <w:spacing w:line="360" w:lineRule="auto"/>
    </w:pPr>
    <w:rPr>
      <w:rFonts w:ascii="宋体" w:hAnsi="Courier New"/>
      <w:spacing w:val="-8"/>
      <w:sz w:val="24"/>
      <w:szCs w:val="20"/>
    </w:rPr>
  </w:style>
  <w:style w:type="paragraph" w:styleId="23">
    <w:name w:val="Date"/>
    <w:basedOn w:val="1"/>
    <w:next w:val="1"/>
    <w:link w:val="52"/>
    <w:qFormat/>
    <w:uiPriority w:val="9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3"/>
    <w:qFormat/>
    <w:uiPriority w:val="0"/>
    <w:rPr>
      <w:sz w:val="18"/>
      <w:szCs w:val="18"/>
    </w:rPr>
  </w:style>
  <w:style w:type="paragraph" w:styleId="26">
    <w:name w:val="footer"/>
    <w:basedOn w:val="1"/>
    <w:link w:val="54"/>
    <w:qFormat/>
    <w:uiPriority w:val="99"/>
    <w:pPr>
      <w:tabs>
        <w:tab w:val="center" w:pos="4153"/>
        <w:tab w:val="right" w:pos="8306"/>
      </w:tabs>
      <w:snapToGrid w:val="0"/>
      <w:jc w:val="left"/>
    </w:pPr>
    <w:rPr>
      <w:sz w:val="18"/>
      <w:szCs w:val="20"/>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spacing w:before="120" w:after="120"/>
      <w:jc w:val="left"/>
    </w:pPr>
    <w:rPr>
      <w:b/>
      <w:bCs/>
      <w:caps/>
    </w:rPr>
  </w:style>
  <w:style w:type="paragraph" w:styleId="30">
    <w:name w:val="Body Text Indent 3"/>
    <w:basedOn w:val="1"/>
    <w:qFormat/>
    <w:uiPriority w:val="0"/>
    <w:pPr>
      <w:ind w:firstLine="426"/>
    </w:pPr>
    <w:rPr>
      <w:szCs w:val="20"/>
    </w:rPr>
  </w:style>
  <w:style w:type="paragraph" w:styleId="31">
    <w:name w:val="Body Text 2"/>
    <w:basedOn w:val="1"/>
    <w:qFormat/>
    <w:uiPriority w:val="0"/>
    <w:rPr>
      <w:sz w:val="28"/>
      <w:szCs w:val="20"/>
    </w:rPr>
  </w:style>
  <w:style w:type="paragraph" w:styleId="3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36">
    <w:name w:val="annotation subject"/>
    <w:basedOn w:val="14"/>
    <w:next w:val="14"/>
    <w:link w:val="56"/>
    <w:qFormat/>
    <w:uiPriority w:val="0"/>
    <w:rPr>
      <w:b/>
      <w:bCs/>
    </w:rPr>
  </w:style>
  <w:style w:type="paragraph" w:styleId="37">
    <w:name w:val="Body Text First Indent"/>
    <w:basedOn w:val="16"/>
    <w:qFormat/>
    <w:uiPriority w:val="0"/>
    <w:pPr>
      <w:ind w:firstLine="420"/>
    </w:pPr>
    <w:rPr>
      <w:szCs w:val="20"/>
    </w:rPr>
  </w:style>
  <w:style w:type="paragraph" w:styleId="38">
    <w:name w:val="Body Text First Indent 2"/>
    <w:basedOn w:val="18"/>
    <w:link w:val="57"/>
    <w:qFormat/>
    <w:uiPriority w:val="0"/>
    <w:pPr>
      <w:autoSpaceDE/>
      <w:autoSpaceDN/>
      <w:spacing w:after="120" w:line="240" w:lineRule="auto"/>
      <w:ind w:left="420" w:leftChars="200" w:firstLine="420" w:firstLineChars="200"/>
    </w:pPr>
    <w:rPr>
      <w:sz w:val="21"/>
      <w:szCs w:val="24"/>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bCs/>
    </w:rPr>
  </w:style>
  <w:style w:type="character" w:styleId="43">
    <w:name w:val="page number"/>
    <w:qFormat/>
    <w:uiPriority w:val="0"/>
  </w:style>
  <w:style w:type="character" w:styleId="44">
    <w:name w:val="Emphasis"/>
    <w:qFormat/>
    <w:uiPriority w:val="20"/>
    <w:rPr>
      <w:i/>
      <w:iCs/>
    </w:rPr>
  </w:style>
  <w:style w:type="character" w:styleId="45">
    <w:name w:val="Hyperlink"/>
    <w:qFormat/>
    <w:uiPriority w:val="99"/>
    <w:rPr>
      <w:rFonts w:eastAsia="宋体"/>
      <w:color w:val="0000FF"/>
      <w:kern w:val="2"/>
      <w:sz w:val="24"/>
      <w:szCs w:val="24"/>
      <w:u w:val="single"/>
      <w:lang w:val="en-US" w:eastAsia="zh-CN" w:bidi="ar-SA"/>
    </w:rPr>
  </w:style>
  <w:style w:type="character" w:styleId="46">
    <w:name w:val="annotation reference"/>
    <w:qFormat/>
    <w:uiPriority w:val="0"/>
    <w:rPr>
      <w:sz w:val="21"/>
      <w:szCs w:val="21"/>
    </w:rPr>
  </w:style>
  <w:style w:type="character" w:customStyle="1" w:styleId="47">
    <w:name w:val="标题 2 字符"/>
    <w:link w:val="3"/>
    <w:qFormat/>
    <w:uiPriority w:val="0"/>
    <w:rPr>
      <w:rFonts w:ascii="Arial" w:hAnsi="Arial" w:eastAsia="黑体"/>
      <w:b/>
      <w:spacing w:val="24"/>
      <w:sz w:val="24"/>
      <w:lang w:val="en-US" w:eastAsia="zh-CN" w:bidi="ar-SA"/>
    </w:rPr>
  </w:style>
  <w:style w:type="character" w:customStyle="1" w:styleId="48">
    <w:name w:val="正文缩进 字符"/>
    <w:link w:val="5"/>
    <w:qFormat/>
    <w:uiPriority w:val="0"/>
    <w:rPr>
      <w:kern w:val="2"/>
      <w:sz w:val="24"/>
    </w:rPr>
  </w:style>
  <w:style w:type="character" w:customStyle="1" w:styleId="49">
    <w:name w:val="批注文字 字符"/>
    <w:link w:val="14"/>
    <w:qFormat/>
    <w:uiPriority w:val="99"/>
    <w:rPr>
      <w:rFonts w:eastAsia="宋体"/>
      <w:kern w:val="2"/>
      <w:sz w:val="21"/>
      <w:szCs w:val="24"/>
      <w:lang w:val="en-US" w:eastAsia="zh-CN" w:bidi="ar-SA"/>
    </w:rPr>
  </w:style>
  <w:style w:type="character" w:customStyle="1" w:styleId="50">
    <w:name w:val="正文文本缩进 字符"/>
    <w:link w:val="18"/>
    <w:qFormat/>
    <w:uiPriority w:val="0"/>
    <w:rPr>
      <w:kern w:val="2"/>
      <w:sz w:val="24"/>
    </w:rPr>
  </w:style>
  <w:style w:type="character" w:customStyle="1" w:styleId="51">
    <w:name w:val="纯文本 字符"/>
    <w:link w:val="22"/>
    <w:qFormat/>
    <w:uiPriority w:val="99"/>
    <w:rPr>
      <w:rFonts w:ascii="宋体" w:hAnsi="Courier New"/>
      <w:spacing w:val="-8"/>
      <w:kern w:val="2"/>
      <w:sz w:val="24"/>
    </w:rPr>
  </w:style>
  <w:style w:type="character" w:customStyle="1" w:styleId="52">
    <w:name w:val="日期 字符"/>
    <w:link w:val="23"/>
    <w:qFormat/>
    <w:uiPriority w:val="99"/>
    <w:rPr>
      <w:rFonts w:ascii="宋体" w:hAnsi="宋体"/>
      <w:sz w:val="24"/>
    </w:rPr>
  </w:style>
  <w:style w:type="character" w:customStyle="1" w:styleId="53">
    <w:name w:val="批注框文本 字符"/>
    <w:link w:val="25"/>
    <w:qFormat/>
    <w:uiPriority w:val="0"/>
    <w:rPr>
      <w:kern w:val="2"/>
      <w:sz w:val="18"/>
      <w:szCs w:val="18"/>
    </w:rPr>
  </w:style>
  <w:style w:type="character" w:customStyle="1" w:styleId="54">
    <w:name w:val="页脚 字符"/>
    <w:link w:val="26"/>
    <w:qFormat/>
    <w:uiPriority w:val="99"/>
    <w:rPr>
      <w:kern w:val="2"/>
      <w:sz w:val="18"/>
    </w:rPr>
  </w:style>
  <w:style w:type="character" w:customStyle="1" w:styleId="55">
    <w:name w:val="页眉 字符"/>
    <w:link w:val="27"/>
    <w:qFormat/>
    <w:uiPriority w:val="0"/>
    <w:rPr>
      <w:kern w:val="2"/>
      <w:sz w:val="18"/>
      <w:szCs w:val="18"/>
    </w:rPr>
  </w:style>
  <w:style w:type="character" w:customStyle="1" w:styleId="56">
    <w:name w:val="批注主题 字符"/>
    <w:link w:val="36"/>
    <w:qFormat/>
    <w:uiPriority w:val="0"/>
    <w:rPr>
      <w:rFonts w:eastAsia="宋体"/>
      <w:b/>
      <w:bCs/>
      <w:kern w:val="2"/>
      <w:sz w:val="21"/>
      <w:szCs w:val="24"/>
      <w:lang w:val="en-US" w:eastAsia="zh-CN" w:bidi="ar-SA"/>
    </w:rPr>
  </w:style>
  <w:style w:type="character" w:customStyle="1" w:styleId="57">
    <w:name w:val="正文文本首行缩进 2 字符"/>
    <w:basedOn w:val="50"/>
    <w:link w:val="38"/>
    <w:qFormat/>
    <w:uiPriority w:val="0"/>
    <w:rPr>
      <w:kern w:val="2"/>
      <w:sz w:val="21"/>
      <w:szCs w:val="24"/>
    </w:rPr>
  </w:style>
  <w:style w:type="paragraph" w:customStyle="1" w:styleId="58">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59">
    <w:name w:val="my正文 Char"/>
    <w:link w:val="60"/>
    <w:qFormat/>
    <w:uiPriority w:val="0"/>
    <w:rPr>
      <w:sz w:val="24"/>
      <w:szCs w:val="24"/>
    </w:rPr>
  </w:style>
  <w:style w:type="paragraph" w:customStyle="1" w:styleId="60">
    <w:name w:val="my正文"/>
    <w:basedOn w:val="1"/>
    <w:link w:val="59"/>
    <w:qFormat/>
    <w:uiPriority w:val="0"/>
    <w:pPr>
      <w:spacing w:line="360" w:lineRule="auto"/>
      <w:ind w:firstLine="200" w:firstLineChars="200"/>
    </w:pPr>
    <w:rPr>
      <w:kern w:val="0"/>
      <w:sz w:val="24"/>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NormalCharacter"/>
    <w:qFormat/>
    <w:uiPriority w:val="0"/>
  </w:style>
  <w:style w:type="character" w:customStyle="1" w:styleId="63">
    <w:name w:val="CSS1级正文 Char"/>
    <w:link w:val="64"/>
    <w:qFormat/>
    <w:uiPriority w:val="0"/>
    <w:rPr>
      <w:kern w:val="2"/>
      <w:sz w:val="21"/>
      <w:lang w:val="zh-CN"/>
    </w:rPr>
  </w:style>
  <w:style w:type="paragraph" w:customStyle="1" w:styleId="64">
    <w:name w:val="CSS1级正文"/>
    <w:basedOn w:val="16"/>
    <w:link w:val="63"/>
    <w:qFormat/>
    <w:uiPriority w:val="0"/>
    <w:pPr>
      <w:widowControl/>
      <w:spacing w:after="312" w:afterLines="100" w:line="360" w:lineRule="auto"/>
      <w:ind w:firstLine="480" w:firstLineChars="200"/>
      <w:jc w:val="left"/>
    </w:pPr>
    <w:rPr>
      <w:szCs w:val="20"/>
      <w:lang w:val="zh-CN"/>
    </w:rPr>
  </w:style>
  <w:style w:type="character" w:customStyle="1" w:styleId="65">
    <w:name w:val="普通文字 Char Char Char"/>
    <w:qFormat/>
    <w:uiPriority w:val="0"/>
    <w:rPr>
      <w:rFonts w:ascii="宋体" w:hAnsi="Courier New" w:eastAsia="宋体"/>
      <w:kern w:val="2"/>
      <w:sz w:val="21"/>
      <w:lang w:val="en-US" w:eastAsia="zh-CN" w:bidi="ar-SA"/>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列表段落 字符"/>
    <w:link w:val="69"/>
    <w:qFormat/>
    <w:uiPriority w:val="34"/>
    <w:rPr>
      <w:rFonts w:ascii="Calibri" w:hAnsi="Calibri"/>
      <w:kern w:val="2"/>
      <w:sz w:val="21"/>
      <w:szCs w:val="22"/>
    </w:rPr>
  </w:style>
  <w:style w:type="paragraph" w:styleId="69">
    <w:name w:val="List Paragraph"/>
    <w:basedOn w:val="1"/>
    <w:link w:val="68"/>
    <w:qFormat/>
    <w:uiPriority w:val="34"/>
    <w:pPr>
      <w:ind w:firstLine="420" w:firstLineChars="200"/>
    </w:pPr>
    <w:rPr>
      <w:szCs w:val="22"/>
    </w:rPr>
  </w:style>
  <w:style w:type="character" w:customStyle="1" w:styleId="70">
    <w:name w:val="列出段落 Char"/>
    <w:link w:val="71"/>
    <w:qFormat/>
    <w:locked/>
    <w:uiPriority w:val="34"/>
    <w:rPr>
      <w:kern w:val="2"/>
      <w:sz w:val="21"/>
      <w:szCs w:val="21"/>
    </w:rPr>
  </w:style>
  <w:style w:type="paragraph" w:customStyle="1" w:styleId="71">
    <w:name w:val="列出段落1"/>
    <w:basedOn w:val="1"/>
    <w:link w:val="70"/>
    <w:qFormat/>
    <w:uiPriority w:val="34"/>
    <w:pPr>
      <w:ind w:firstLine="420" w:firstLineChars="200"/>
    </w:pPr>
    <w:rPr>
      <w:szCs w:val="21"/>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qFormat/>
    <w:uiPriority w:val="0"/>
    <w:pPr>
      <w:spacing w:line="360" w:lineRule="auto"/>
      <w:ind w:firstLine="200" w:firstLineChars="200"/>
    </w:pPr>
    <w:rPr>
      <w:rFonts w:ascii="宋体" w:hAnsi="宋体"/>
      <w:sz w:val="24"/>
      <w:szCs w:val="20"/>
    </w:rPr>
  </w:style>
  <w:style w:type="character" w:customStyle="1" w:styleId="74">
    <w:name w:val="style1"/>
    <w:qFormat/>
    <w:uiPriority w:val="0"/>
  </w:style>
  <w:style w:type="character" w:customStyle="1" w:styleId="75">
    <w:name w:val="apple-converted-space"/>
    <w:qFormat/>
    <w:uiPriority w:val="0"/>
  </w:style>
  <w:style w:type="character" w:customStyle="1" w:styleId="76">
    <w:name w:val="纯文本 Char"/>
    <w:qFormat/>
    <w:uiPriority w:val="99"/>
    <w:rPr>
      <w:rFonts w:ascii="宋体" w:hAnsi="Courier New" w:eastAsia="宋体"/>
      <w:kern w:val="2"/>
      <w:sz w:val="21"/>
      <w:szCs w:val="24"/>
      <w:lang w:val="en-US" w:eastAsia="zh-CN" w:bidi="ar-SA"/>
    </w:rPr>
  </w:style>
  <w:style w:type="character" w:customStyle="1" w:styleId="77">
    <w:name w:val="Char Char"/>
    <w:qFormat/>
    <w:uiPriority w:val="0"/>
    <w:rPr>
      <w:rFonts w:ascii="宋体" w:hAnsi="Courier New" w:eastAsia="宋体"/>
      <w:kern w:val="2"/>
      <w:sz w:val="21"/>
      <w:lang w:val="en-US" w:eastAsia="zh-CN" w:bidi="ar-SA"/>
    </w:rPr>
  </w:style>
  <w:style w:type="character" w:customStyle="1" w:styleId="78">
    <w:name w:val="纯文本 Char Char"/>
    <w:qFormat/>
    <w:uiPriority w:val="0"/>
    <w:rPr>
      <w:rFonts w:ascii="宋体" w:hAnsi="Courier New" w:eastAsia="宋体"/>
      <w:kern w:val="2"/>
      <w:sz w:val="21"/>
      <w:lang w:val="en-US" w:eastAsia="zh-CN" w:bidi="ar-SA"/>
    </w:rPr>
  </w:style>
  <w:style w:type="character" w:customStyle="1" w:styleId="79">
    <w:name w:val="￥正文 Char"/>
    <w:link w:val="80"/>
    <w:qFormat/>
    <w:uiPriority w:val="0"/>
    <w:rPr>
      <w:kern w:val="2"/>
      <w:sz w:val="24"/>
      <w:szCs w:val="22"/>
    </w:rPr>
  </w:style>
  <w:style w:type="paragraph" w:customStyle="1" w:styleId="80">
    <w:name w:val="￥正文"/>
    <w:basedOn w:val="1"/>
    <w:link w:val="79"/>
    <w:qFormat/>
    <w:uiPriority w:val="0"/>
    <w:pPr>
      <w:spacing w:line="360" w:lineRule="auto"/>
      <w:ind w:firstLine="200" w:firstLineChars="200"/>
    </w:pPr>
    <w:rPr>
      <w:sz w:val="24"/>
      <w:szCs w:val="22"/>
    </w:rPr>
  </w:style>
  <w:style w:type="character" w:customStyle="1" w:styleId="81">
    <w:name w:val="表正文 Char"/>
    <w:qFormat/>
    <w:uiPriority w:val="0"/>
    <w:rPr>
      <w:rFonts w:eastAsia="宋体"/>
      <w:kern w:val="2"/>
      <w:sz w:val="21"/>
      <w:szCs w:val="24"/>
      <w:lang w:val="en-US" w:eastAsia="zh-CN" w:bidi="ar-SA"/>
    </w:rPr>
  </w:style>
  <w:style w:type="paragraph" w:customStyle="1" w:styleId="82">
    <w:name w:val="正文内容"/>
    <w:basedOn w:val="1"/>
    <w:qFormat/>
    <w:uiPriority w:val="0"/>
    <w:rPr>
      <w:rFonts w:ascii="Arial" w:hAnsi="Arial"/>
      <w:spacing w:val="-12"/>
      <w:szCs w:val="20"/>
    </w:rPr>
  </w:style>
  <w:style w:type="paragraph" w:customStyle="1" w:styleId="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84">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5">
    <w:name w:val="文档正文"/>
    <w:basedOn w:val="1"/>
    <w:qFormat/>
    <w:uiPriority w:val="0"/>
    <w:rPr>
      <w:rFonts w:ascii="Arial" w:hAnsi="Arial" w:cs="Arial"/>
      <w:bCs/>
      <w:sz w:val="24"/>
    </w:rPr>
  </w:style>
  <w:style w:type="paragraph" w:customStyle="1" w:styleId="8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8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88">
    <w:name w:val="样式2"/>
    <w:basedOn w:val="21"/>
    <w:qFormat/>
    <w:uiPriority w:val="0"/>
    <w:pPr>
      <w:tabs>
        <w:tab w:val="right" w:leader="dot" w:pos="9458"/>
      </w:tabs>
    </w:pPr>
    <w:rPr>
      <w:rFonts w:ascii="Arial" w:cs="Arial"/>
      <w:i w:val="0"/>
    </w:rPr>
  </w:style>
  <w:style w:type="paragraph" w:customStyle="1" w:styleId="8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9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2">
    <w:name w:val="表格文字"/>
    <w:basedOn w:val="1"/>
    <w:qFormat/>
    <w:uiPriority w:val="0"/>
    <w:pPr>
      <w:spacing w:before="25" w:after="25"/>
      <w:jc w:val="left"/>
    </w:pPr>
    <w:rPr>
      <w:spacing w:val="10"/>
      <w:kern w:val="0"/>
      <w:sz w:val="24"/>
    </w:rPr>
  </w:style>
  <w:style w:type="paragraph" w:customStyle="1" w:styleId="93">
    <w:name w:val="Char Char Char Char Char Char Char Char"/>
    <w:basedOn w:val="1"/>
    <w:qFormat/>
    <w:uiPriority w:val="0"/>
    <w:pPr>
      <w:tabs>
        <w:tab w:val="left" w:pos="360"/>
      </w:tabs>
    </w:pPr>
    <w:rPr>
      <w:sz w:val="24"/>
    </w:rPr>
  </w:style>
  <w:style w:type="paragraph" w:customStyle="1" w:styleId="94">
    <w:name w:val="Char1 Char Char Char Char Char Char"/>
    <w:basedOn w:val="1"/>
    <w:qFormat/>
    <w:uiPriority w:val="0"/>
    <w:pPr>
      <w:tabs>
        <w:tab w:val="left" w:pos="425"/>
      </w:tabs>
      <w:ind w:left="425" w:hanging="425"/>
    </w:pPr>
    <w:rPr>
      <w:sz w:val="24"/>
    </w:rPr>
  </w:style>
  <w:style w:type="paragraph" w:customStyle="1" w:styleId="95">
    <w:name w:val="签名 - 公司"/>
    <w:basedOn w:val="28"/>
    <w:next w:val="86"/>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9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97">
    <w:name w:val="Char Char Char Char Char Char Char Char Char Char Char Char Char Char Char Char"/>
    <w:basedOn w:val="1"/>
    <w:qFormat/>
    <w:uiPriority w:val="0"/>
    <w:pPr>
      <w:tabs>
        <w:tab w:val="left" w:pos="360"/>
      </w:tabs>
    </w:pPr>
    <w:rPr>
      <w:sz w:val="24"/>
    </w:rPr>
  </w:style>
  <w:style w:type="paragraph" w:customStyle="1" w:styleId="98">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1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1">
    <w:name w:val="样式3"/>
    <w:basedOn w:val="21"/>
    <w:qFormat/>
    <w:uiPriority w:val="0"/>
    <w:pPr>
      <w:tabs>
        <w:tab w:val="right" w:leader="dot" w:pos="9458"/>
      </w:tabs>
    </w:pPr>
    <w:rPr>
      <w:i w:val="0"/>
    </w:rPr>
  </w:style>
  <w:style w:type="paragraph" w:customStyle="1" w:styleId="102">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rPr>
      <w:sz w:val="24"/>
    </w:rPr>
  </w:style>
  <w:style w:type="paragraph" w:customStyle="1" w:styleId="10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04">
    <w:name w:val="_Style 101"/>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l2"/>
    <w:basedOn w:val="1"/>
    <w:qFormat/>
    <w:uiPriority w:val="0"/>
    <w:pPr>
      <w:keepLines/>
      <w:widowControl/>
      <w:spacing w:before="156" w:beforeLines="50" w:after="156" w:afterLines="50" w:line="300" w:lineRule="auto"/>
    </w:pPr>
    <w:rPr>
      <w:rFonts w:ascii="Arial" w:hAnsi="Arial"/>
      <w:bCs/>
    </w:rPr>
  </w:style>
  <w:style w:type="paragraph" w:customStyle="1" w:styleId="1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07">
    <w:name w:val="样式4"/>
    <w:basedOn w:val="29"/>
    <w:qFormat/>
    <w:uiPriority w:val="0"/>
    <w:pPr>
      <w:tabs>
        <w:tab w:val="right" w:leader="dot" w:pos="9458"/>
      </w:tabs>
    </w:pPr>
    <w:rPr>
      <w:b w:val="0"/>
    </w:rPr>
  </w:style>
  <w:style w:type="paragraph" w:customStyle="1" w:styleId="10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09">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110">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111">
    <w:name w:val="BodyText"/>
    <w:basedOn w:val="1"/>
    <w:qFormat/>
    <w:uiPriority w:val="0"/>
    <w:pPr>
      <w:widowControl/>
      <w:spacing w:after="120"/>
      <w:textAlignment w:val="baseline"/>
    </w:pPr>
    <w:rPr>
      <w:rFonts w:ascii="Calibri" w:hAnsi="Calibri"/>
    </w:rPr>
  </w:style>
  <w:style w:type="paragraph" w:customStyle="1" w:styleId="11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1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4">
    <w:name w:val="4"/>
    <w:basedOn w:val="1"/>
    <w:next w:val="1"/>
    <w:qFormat/>
    <w:uiPriority w:val="0"/>
  </w:style>
  <w:style w:type="paragraph" w:customStyle="1" w:styleId="115">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Table Body"/>
    <w:basedOn w:val="1"/>
    <w:qFormat/>
    <w:uiPriority w:val="0"/>
    <w:pPr>
      <w:widowControl/>
      <w:jc w:val="center"/>
    </w:pPr>
    <w:rPr>
      <w:rFonts w:ascii="Arial" w:hAnsi="Arial"/>
      <w:snapToGrid w:val="0"/>
      <w:kern w:val="0"/>
      <w:sz w:val="18"/>
      <w:szCs w:val="20"/>
    </w:rPr>
  </w:style>
  <w:style w:type="paragraph" w:customStyle="1" w:styleId="11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20">
    <w:name w:val="Char"/>
    <w:basedOn w:val="1"/>
    <w:qFormat/>
    <w:uiPriority w:val="0"/>
    <w:pPr>
      <w:tabs>
        <w:tab w:val="left" w:pos="425"/>
      </w:tabs>
      <w:ind w:left="425" w:hanging="425"/>
    </w:pPr>
    <w:rPr>
      <w:sz w:val="24"/>
    </w:rPr>
  </w:style>
  <w:style w:type="paragraph" w:customStyle="1" w:styleId="121">
    <w:name w:val="样式"/>
    <w:basedOn w:val="1"/>
    <w:next w:val="20"/>
    <w:qFormat/>
    <w:uiPriority w:val="0"/>
    <w:pPr>
      <w:ind w:left="572" w:right="32" w:firstLine="478"/>
    </w:pPr>
    <w:rPr>
      <w:szCs w:val="21"/>
    </w:rPr>
  </w:style>
  <w:style w:type="paragraph" w:customStyle="1" w:styleId="122">
    <w:name w:val="标题5"/>
    <w:basedOn w:val="1"/>
    <w:qFormat/>
    <w:uiPriority w:val="0"/>
    <w:pPr>
      <w:spacing w:before="120" w:after="120"/>
    </w:pPr>
    <w:rPr>
      <w:rFonts w:ascii="宋体"/>
      <w:b/>
      <w:sz w:val="28"/>
    </w:rPr>
  </w:style>
  <w:style w:type="paragraph" w:customStyle="1" w:styleId="123">
    <w:name w:val="列表2"/>
    <w:basedOn w:val="1"/>
    <w:next w:val="1"/>
    <w:qFormat/>
    <w:uiPriority w:val="0"/>
    <w:pPr>
      <w:numPr>
        <w:ilvl w:val="1"/>
        <w:numId w:val="1"/>
      </w:numPr>
      <w:tabs>
        <w:tab w:val="left" w:pos="312"/>
        <w:tab w:val="left" w:pos="1547"/>
      </w:tabs>
      <w:spacing w:line="200" w:lineRule="atLeast"/>
      <w:ind w:left="1547" w:hanging="507"/>
    </w:pPr>
    <w:rPr>
      <w:sz w:val="28"/>
    </w:rPr>
  </w:style>
  <w:style w:type="paragraph" w:customStyle="1" w:styleId="124">
    <w:name w:val="Char Char Char Char"/>
    <w:basedOn w:val="1"/>
    <w:qFormat/>
    <w:uiPriority w:val="0"/>
    <w:pPr>
      <w:widowControl/>
      <w:spacing w:after="160" w:line="240" w:lineRule="exact"/>
      <w:jc w:val="left"/>
    </w:pPr>
  </w:style>
  <w:style w:type="paragraph" w:customStyle="1" w:styleId="12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26">
    <w:name w:val="Char11"/>
    <w:basedOn w:val="1"/>
    <w:qFormat/>
    <w:uiPriority w:val="0"/>
    <w:pPr>
      <w:tabs>
        <w:tab w:val="left" w:pos="825"/>
      </w:tabs>
      <w:ind w:left="825" w:hanging="360"/>
    </w:pPr>
    <w:rPr>
      <w:sz w:val="24"/>
    </w:rPr>
  </w:style>
  <w:style w:type="paragraph" w:customStyle="1" w:styleId="1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8">
    <w:name w:val="正文文本缩进 21"/>
    <w:basedOn w:val="1"/>
    <w:qFormat/>
    <w:uiPriority w:val="0"/>
    <w:pPr>
      <w:adjustRightInd w:val="0"/>
      <w:spacing w:before="120"/>
      <w:ind w:firstLine="420"/>
      <w:textAlignment w:val="baseline"/>
    </w:pPr>
    <w:rPr>
      <w:sz w:val="24"/>
      <w:szCs w:val="20"/>
    </w:rPr>
  </w:style>
  <w:style w:type="paragraph" w:customStyle="1" w:styleId="12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2">
    <w:name w:val="List Paragraph1"/>
    <w:basedOn w:val="1"/>
    <w:qFormat/>
    <w:uiPriority w:val="0"/>
    <w:pPr>
      <w:widowControl/>
      <w:ind w:firstLine="420" w:firstLineChars="200"/>
      <w:jc w:val="left"/>
    </w:pPr>
    <w:rPr>
      <w:kern w:val="0"/>
      <w:szCs w:val="20"/>
    </w:rPr>
  </w:style>
  <w:style w:type="paragraph" w:customStyle="1" w:styleId="133">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8">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39">
    <w:name w:val="font7"/>
    <w:basedOn w:val="1"/>
    <w:qFormat/>
    <w:uiPriority w:val="0"/>
    <w:pPr>
      <w:widowControl/>
      <w:spacing w:before="100" w:beforeAutospacing="1" w:after="100" w:afterAutospacing="1"/>
      <w:jc w:val="left"/>
    </w:pPr>
    <w:rPr>
      <w:kern w:val="0"/>
      <w:sz w:val="22"/>
      <w:szCs w:val="22"/>
    </w:rPr>
  </w:style>
  <w:style w:type="paragraph" w:customStyle="1" w:styleId="140">
    <w:name w:val="p0"/>
    <w:basedOn w:val="1"/>
    <w:qFormat/>
    <w:uiPriority w:val="0"/>
    <w:pPr>
      <w:widowControl/>
    </w:pPr>
    <w:rPr>
      <w:rFonts w:ascii="Calibri" w:hAnsi="Calibri" w:cs="Calibri"/>
      <w:kern w:val="0"/>
      <w:szCs w:val="21"/>
    </w:rPr>
  </w:style>
  <w:style w:type="paragraph" w:customStyle="1" w:styleId="141">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42">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43">
    <w:name w:val="Char Char Char Char Char Char Char Char1"/>
    <w:basedOn w:val="1"/>
    <w:qFormat/>
    <w:uiPriority w:val="0"/>
    <w:pPr>
      <w:tabs>
        <w:tab w:val="left" w:pos="360"/>
      </w:tabs>
    </w:pPr>
    <w:rPr>
      <w:sz w:val="24"/>
    </w:rPr>
  </w:style>
  <w:style w:type="paragraph" w:customStyle="1" w:styleId="14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45">
    <w:name w:val="Char Char11"/>
    <w:basedOn w:val="1"/>
    <w:qFormat/>
    <w:uiPriority w:val="0"/>
    <w:pPr>
      <w:widowControl/>
      <w:spacing w:after="160" w:line="240" w:lineRule="exact"/>
      <w:jc w:val="left"/>
    </w:pPr>
    <w:rPr>
      <w:rFonts w:ascii="宋体" w:hAnsi="宋体"/>
      <w:kern w:val="0"/>
      <w:sz w:val="20"/>
      <w:szCs w:val="20"/>
      <w:lang w:eastAsia="en-US"/>
    </w:rPr>
  </w:style>
  <w:style w:type="paragraph" w:customStyle="1" w:styleId="146">
    <w:name w:val="GP正文(首行缩进)"/>
    <w:basedOn w:val="1"/>
    <w:qFormat/>
    <w:uiPriority w:val="0"/>
    <w:pPr>
      <w:spacing w:line="360" w:lineRule="auto"/>
      <w:ind w:firstLine="200" w:firstLineChars="200"/>
      <w:jc w:val="left"/>
    </w:pPr>
    <w:rPr>
      <w:sz w:val="24"/>
      <w:szCs w:val="21"/>
    </w:rPr>
  </w:style>
  <w:style w:type="paragraph" w:customStyle="1" w:styleId="14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49">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Char Char Char Char Char Char Char Char Char Char Char Char Char"/>
    <w:basedOn w:val="1"/>
    <w:qFormat/>
    <w:uiPriority w:val="0"/>
    <w:pPr>
      <w:widowControl/>
      <w:spacing w:after="160" w:line="240" w:lineRule="exact"/>
      <w:jc w:val="left"/>
    </w:pPr>
    <w:rPr>
      <w:szCs w:val="20"/>
    </w:rPr>
  </w:style>
  <w:style w:type="paragraph" w:customStyle="1" w:styleId="152">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53">
    <w:name w:val="Char Char Char Char Char Char Char"/>
    <w:basedOn w:val="1"/>
    <w:qFormat/>
    <w:uiPriority w:val="0"/>
  </w:style>
  <w:style w:type="paragraph" w:customStyle="1" w:styleId="154">
    <w:name w:val="正文缩进1"/>
    <w:basedOn w:val="1"/>
    <w:qFormat/>
    <w:uiPriority w:val="0"/>
    <w:pPr>
      <w:ind w:firstLine="567"/>
    </w:pPr>
    <w:rPr>
      <w:spacing w:val="20"/>
      <w:sz w:val="24"/>
      <w:szCs w:val="20"/>
    </w:rPr>
  </w:style>
  <w:style w:type="paragraph" w:customStyle="1" w:styleId="15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56">
    <w:name w:val="样式5"/>
    <w:basedOn w:val="107"/>
    <w:next w:val="107"/>
    <w:qFormat/>
    <w:uiPriority w:val="0"/>
  </w:style>
  <w:style w:type="paragraph" w:customStyle="1" w:styleId="157">
    <w:name w:val="Char Char Char Char1"/>
    <w:basedOn w:val="13"/>
    <w:qFormat/>
    <w:uiPriority w:val="0"/>
    <w:rPr>
      <w:rFonts w:ascii="Tahoma" w:hAnsi="Tahoma"/>
      <w:sz w:val="24"/>
    </w:rPr>
  </w:style>
  <w:style w:type="paragraph" w:customStyle="1" w:styleId="158">
    <w:name w:val="Table Heading"/>
    <w:basedOn w:val="1"/>
    <w:qFormat/>
    <w:uiPriority w:val="0"/>
    <w:pPr>
      <w:widowControl/>
      <w:jc w:val="center"/>
    </w:pPr>
    <w:rPr>
      <w:rFonts w:ascii="Arial" w:hAnsi="Arial"/>
      <w:b/>
      <w:kern w:val="0"/>
      <w:sz w:val="18"/>
      <w:szCs w:val="20"/>
    </w:rPr>
  </w:style>
  <w:style w:type="paragraph" w:customStyle="1" w:styleId="159">
    <w:name w:val="表格内容"/>
    <w:basedOn w:val="1"/>
    <w:qFormat/>
    <w:uiPriority w:val="0"/>
    <w:pPr>
      <w:tabs>
        <w:tab w:val="left" w:pos="312"/>
      </w:tabs>
      <w:spacing w:line="312" w:lineRule="auto"/>
    </w:pPr>
    <w:rPr>
      <w:rFonts w:ascii="宋体"/>
      <w:sz w:val="24"/>
      <w:szCs w:val="20"/>
    </w:rPr>
  </w:style>
  <w:style w:type="paragraph" w:customStyle="1" w:styleId="16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2">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6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9">
    <w:name w:val="Char1"/>
    <w:basedOn w:val="1"/>
    <w:qFormat/>
    <w:uiPriority w:val="0"/>
    <w:rPr>
      <w:rFonts w:ascii="Tahoma" w:hAnsi="Tahoma"/>
      <w:sz w:val="24"/>
      <w:szCs w:val="20"/>
    </w:rPr>
  </w:style>
  <w:style w:type="paragraph" w:customStyle="1" w:styleId="170">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71">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table" w:customStyle="1" w:styleId="172">
    <w:name w:val="TableGrid"/>
    <w:qFormat/>
    <w:uiPriority w:val="0"/>
    <w:rPr>
      <w:kern w:val="2"/>
      <w:sz w:val="21"/>
      <w:szCs w:val="22"/>
    </w:rPr>
    <w:tblPr>
      <w:tblCellMar>
        <w:top w:w="0" w:type="dxa"/>
        <w:left w:w="0" w:type="dxa"/>
        <w:bottom w:w="0" w:type="dxa"/>
        <w:right w:w="0" w:type="dxa"/>
      </w:tblCellMar>
    </w:tblPr>
  </w:style>
  <w:style w:type="character" w:customStyle="1" w:styleId="173">
    <w:name w:val="font21"/>
    <w:basedOn w:val="41"/>
    <w:qFormat/>
    <w:uiPriority w:val="0"/>
    <w:rPr>
      <w:rFonts w:hint="eastAsia" w:ascii="黑体" w:hAnsi="宋体" w:eastAsia="黑体" w:cs="黑体"/>
      <w:color w:val="000000"/>
      <w:sz w:val="36"/>
      <w:szCs w:val="36"/>
      <w:u w:val="none"/>
    </w:rPr>
  </w:style>
  <w:style w:type="paragraph" w:customStyle="1" w:styleId="174">
    <w:name w:val="PlainText"/>
    <w:basedOn w:val="1"/>
    <w:qFormat/>
    <w:uiPriority w:val="0"/>
    <w:rPr>
      <w:rFonts w:ascii="宋体" w:hAnsi="Courier New"/>
      <w:sz w:val="28"/>
      <w:szCs w:val="20"/>
    </w:rPr>
  </w:style>
  <w:style w:type="paragraph" w:customStyle="1" w:styleId="17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10988</Words>
  <Characters>11549</Characters>
  <Lines>144</Lines>
  <Paragraphs>40</Paragraphs>
  <TotalTime>42</TotalTime>
  <ScaleCrop>false</ScaleCrop>
  <LinksUpToDate>false</LinksUpToDate>
  <CharactersWithSpaces>11779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2024-12-05T08:36:00Z</dcterms:created>
  <dc:creator>Lenovo User</dc:creator>
  <cp:lastModifiedBy>招标中心</cp:lastModifiedBy>
  <cp:lastPrinted>2023-07-27T03:29:00Z</cp:lastPrinted>
  <dcterms:modified xsi:type="dcterms:W3CDTF">2024-12-19T08:52:39Z</dcterms:modified>
  <dc:title>2017省本级政府设备采购招标项目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142598E916474AD39B9E2392BECD5E59_13</vt:lpwstr>
  </property>
</Properties>
</file>