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9A2544">
      <w:pPr>
        <w:adjustRightInd w:val="0"/>
        <w:snapToGrid w:val="0"/>
        <w:spacing w:after="0" w:line="578" w:lineRule="exact"/>
        <w:ind w:firstLine="640" w:firstLineChars="200"/>
        <w:jc w:val="center"/>
        <w:rPr>
          <w:rFonts w:hint="eastAsia" w:ascii="仿宋_GB2312" w:hAnsi="仿宋_GB2312" w:eastAsia="仿宋_GB2312" w:cs="宋体"/>
          <w:sz w:val="32"/>
          <w:szCs w:val="32"/>
          <w:lang w:val="en-US" w:eastAsia="zh-CN"/>
          <w14:ligatures w14:val="standardContextual"/>
        </w:rPr>
      </w:pPr>
      <w:r>
        <w:rPr>
          <w:rFonts w:hint="eastAsia" w:ascii="仿宋_GB2312" w:hAnsi="仿宋_GB2312" w:eastAsia="仿宋_GB2312" w:cs="宋体"/>
          <w:sz w:val="32"/>
          <w:szCs w:val="32"/>
          <w:lang w:val="en-US" w:eastAsia="zh-CN"/>
          <w14:ligatures w14:val="standardContextual"/>
        </w:rPr>
        <w:t>三亚市第二人民医医院污水处理项目</w:t>
      </w:r>
    </w:p>
    <w:p w14:paraId="5E74CB61">
      <w:pPr>
        <w:adjustRightInd w:val="0"/>
        <w:snapToGrid w:val="0"/>
        <w:spacing w:after="0" w:line="578" w:lineRule="exact"/>
        <w:ind w:firstLine="640" w:firstLineChars="200"/>
        <w:jc w:val="left"/>
        <w:rPr>
          <w:rFonts w:hint="eastAsia" w:ascii="仿宋_GB2312" w:hAnsi="仿宋_GB2312" w:eastAsia="仿宋_GB2312" w:cs="宋体"/>
          <w:sz w:val="32"/>
          <w:szCs w:val="32"/>
          <w:lang w:eastAsia="zh-CN"/>
          <w14:ligatures w14:val="standardContextual"/>
        </w:rPr>
      </w:pPr>
      <w:r>
        <w:rPr>
          <w:rFonts w:hint="eastAsia" w:ascii="仿宋_GB2312" w:hAnsi="仿宋_GB2312" w:eastAsia="仿宋_GB2312" w:cs="宋体"/>
          <w:sz w:val="32"/>
          <w:szCs w:val="32"/>
          <w:lang w:eastAsia="zh-CN"/>
          <w14:ligatures w14:val="standardContextual"/>
        </w:rPr>
        <w:t>一、项目内容</w:t>
      </w:r>
      <w:bookmarkStart w:id="0" w:name="_GoBack"/>
      <w:bookmarkEnd w:id="0"/>
    </w:p>
    <w:p w14:paraId="4CA8B517">
      <w:pPr>
        <w:adjustRightInd w:val="0"/>
        <w:snapToGrid w:val="0"/>
        <w:spacing w:after="0" w:line="578" w:lineRule="exact"/>
        <w:ind w:firstLine="640" w:firstLineChars="200"/>
        <w:jc w:val="left"/>
        <w:rPr>
          <w:rFonts w:hint="eastAsia" w:ascii="仿宋_GB2312" w:hAnsi="仿宋_GB2312" w:eastAsia="仿宋_GB2312" w:cs="宋体"/>
          <w:sz w:val="32"/>
          <w:szCs w:val="32"/>
          <w:lang w:eastAsia="zh-CN"/>
          <w14:ligatures w14:val="standardContextual"/>
        </w:rPr>
      </w:pPr>
      <w:r>
        <w:rPr>
          <w:rFonts w:hint="eastAsia" w:ascii="仿宋_GB2312" w:hAnsi="仿宋_GB2312" w:eastAsia="仿宋_GB2312" w:cs="宋体"/>
          <w:sz w:val="32"/>
          <w:szCs w:val="32"/>
          <w:lang w:eastAsia="zh-CN"/>
          <w14:ligatures w14:val="standardContextual"/>
        </w:rPr>
        <w:t>（一）服务范围</w:t>
      </w:r>
    </w:p>
    <w:p w14:paraId="5611FCD1">
      <w:pPr>
        <w:adjustRightInd w:val="0"/>
        <w:snapToGrid w:val="0"/>
        <w:spacing w:after="0" w:line="578" w:lineRule="exact"/>
        <w:ind w:firstLine="640" w:firstLineChars="200"/>
        <w:jc w:val="left"/>
        <w:rPr>
          <w:rFonts w:hint="eastAsia" w:ascii="仿宋_GB2312" w:hAnsi="仿宋_GB2312" w:eastAsia="仿宋_GB2312" w:cs="宋体"/>
          <w:sz w:val="32"/>
          <w:szCs w:val="32"/>
          <w:lang w:eastAsia="zh-CN"/>
          <w14:ligatures w14:val="standardContextual"/>
        </w:rPr>
      </w:pPr>
      <w:r>
        <w:rPr>
          <w:rFonts w:hint="eastAsia" w:ascii="仿宋_GB2312" w:hAnsi="仿宋_GB2312" w:eastAsia="仿宋_GB2312" w:cs="宋体"/>
          <w:sz w:val="32"/>
          <w:szCs w:val="32"/>
          <w:lang w:eastAsia="zh-CN"/>
          <w14:ligatures w14:val="standardContextual"/>
        </w:rPr>
        <w:t>负责我院污水处理站（处理规模为 500m³/d）及相关配套设施的日常运维托管工作，涵盖污水处理站设备、在线监测设备的运行维护，污水处理过程管理，以及相关环境管理工作等。</w:t>
      </w:r>
    </w:p>
    <w:p w14:paraId="771712A4">
      <w:pPr>
        <w:adjustRightInd w:val="0"/>
        <w:snapToGrid w:val="0"/>
        <w:spacing w:after="0" w:line="578" w:lineRule="exact"/>
        <w:ind w:firstLine="640" w:firstLineChars="200"/>
        <w:jc w:val="left"/>
        <w:rPr>
          <w:rFonts w:hint="eastAsia" w:ascii="仿宋_GB2312" w:hAnsi="仿宋_GB2312" w:eastAsia="仿宋_GB2312" w:cs="宋体"/>
          <w:sz w:val="32"/>
          <w:szCs w:val="32"/>
          <w:lang w:eastAsia="zh-CN"/>
          <w14:ligatures w14:val="standardContextual"/>
        </w:rPr>
      </w:pPr>
      <w:r>
        <w:rPr>
          <w:rFonts w:hint="eastAsia" w:ascii="仿宋_GB2312" w:hAnsi="仿宋_GB2312" w:eastAsia="仿宋_GB2312" w:cs="宋体"/>
          <w:sz w:val="32"/>
          <w:szCs w:val="32"/>
          <w:lang w:eastAsia="zh-CN"/>
          <w14:ligatures w14:val="standardContextual"/>
        </w:rPr>
        <w:t>（二）具体服务要求</w:t>
      </w:r>
    </w:p>
    <w:p w14:paraId="03502725">
      <w:pPr>
        <w:adjustRightInd w:val="0"/>
        <w:snapToGrid w:val="0"/>
        <w:spacing w:after="0" w:line="578" w:lineRule="exact"/>
        <w:ind w:firstLine="640" w:firstLineChars="200"/>
        <w:jc w:val="left"/>
        <w:rPr>
          <w:rFonts w:hint="default" w:ascii="仿宋_GB2312" w:hAnsi="仿宋_GB2312" w:eastAsia="仿宋_GB2312" w:cs="宋体"/>
          <w:sz w:val="32"/>
          <w:szCs w:val="32"/>
          <w:lang w:val="en-US" w:eastAsia="zh-CN"/>
          <w14:ligatures w14:val="standardContextual"/>
        </w:rPr>
      </w:pPr>
      <w:r>
        <w:rPr>
          <w:rFonts w:hint="eastAsia" w:ascii="仿宋_GB2312" w:hAnsi="仿宋_GB2312" w:eastAsia="仿宋_GB2312" w:cs="宋体"/>
          <w:sz w:val="32"/>
          <w:szCs w:val="32"/>
          <w:lang w:val="en-US" w:eastAsia="zh-CN"/>
          <w14:ligatures w14:val="standardContextual"/>
        </w:rPr>
        <w:t>1.设备运维管理</w:t>
      </w:r>
    </w:p>
    <w:p w14:paraId="032465D8">
      <w:pPr>
        <w:adjustRightInd w:val="0"/>
        <w:snapToGrid w:val="0"/>
        <w:spacing w:after="0" w:line="578" w:lineRule="exact"/>
        <w:ind w:firstLine="640" w:firstLineChars="200"/>
        <w:jc w:val="left"/>
        <w:rPr>
          <w:rFonts w:hint="eastAsia" w:ascii="仿宋_GB2312" w:hAnsi="仿宋_GB2312" w:eastAsia="仿宋_GB2312" w:cs="宋体"/>
          <w:sz w:val="32"/>
          <w:szCs w:val="32"/>
          <w:lang w:eastAsia="zh-CN"/>
          <w14:ligatures w14:val="standardContextual"/>
        </w:rPr>
      </w:pPr>
      <w:r>
        <w:rPr>
          <w:rFonts w:hint="eastAsia" w:ascii="仿宋_GB2312" w:hAnsi="仿宋_GB2312" w:eastAsia="仿宋_GB2312" w:cs="宋体"/>
          <w:sz w:val="32"/>
          <w:szCs w:val="32"/>
          <w:lang w:eastAsia="zh-CN"/>
          <w14:ligatures w14:val="standardContextual"/>
        </w:rPr>
        <w:t>设备运维管理对污水处理站各类设备（如水泵、风机、消毒设备、加药装置等）进行日常巡检、维护、保养和维修，确保设备正常运行。定期对设备进行全面检查，及时更换易损件（3000元以下设备材料费由托管方承担），制定详细的设备维护计划和保养记录，运营期满后完整提交给医院。</w:t>
      </w:r>
    </w:p>
    <w:p w14:paraId="48ABF6C9">
      <w:pPr>
        <w:adjustRightInd w:val="0"/>
        <w:snapToGrid w:val="0"/>
        <w:spacing w:after="0" w:line="578" w:lineRule="exact"/>
        <w:ind w:firstLine="640" w:firstLineChars="200"/>
        <w:jc w:val="left"/>
        <w:rPr>
          <w:rFonts w:hint="eastAsia" w:ascii="仿宋_GB2312" w:hAnsi="仿宋_GB2312" w:eastAsia="仿宋_GB2312" w:cs="宋体"/>
          <w:sz w:val="32"/>
          <w:szCs w:val="32"/>
          <w:lang w:eastAsia="zh-CN"/>
          <w14:ligatures w14:val="standardContextual"/>
        </w:rPr>
      </w:pPr>
      <w:r>
        <w:rPr>
          <w:rFonts w:hint="eastAsia" w:ascii="仿宋_GB2312" w:hAnsi="仿宋_GB2312" w:eastAsia="仿宋_GB2312" w:cs="宋体"/>
          <w:sz w:val="32"/>
          <w:szCs w:val="32"/>
          <w:lang w:eastAsia="zh-CN"/>
          <w14:ligatures w14:val="standardContextual"/>
        </w:rPr>
        <w:t>负责污水处理站站内管路的定期清洗和维护，保障污水输送和药剂投加等管路的畅通。对在线监测设备进行维护运行管理、日常校核、检测试剂购买、废液处理以及数据采集传输，确保数据准确上传，建立设备运行台账。</w:t>
      </w:r>
    </w:p>
    <w:p w14:paraId="201FE8A2">
      <w:pPr>
        <w:adjustRightInd w:val="0"/>
        <w:snapToGrid w:val="0"/>
        <w:spacing w:after="0" w:line="578" w:lineRule="exact"/>
        <w:ind w:firstLine="640" w:firstLineChars="200"/>
        <w:jc w:val="left"/>
        <w:rPr>
          <w:rFonts w:hint="default" w:ascii="仿宋_GB2312" w:hAnsi="仿宋_GB2312" w:eastAsia="仿宋_GB2312" w:cs="宋体"/>
          <w:sz w:val="32"/>
          <w:szCs w:val="32"/>
          <w:lang w:val="en-US" w:eastAsia="zh-CN"/>
          <w14:ligatures w14:val="standardContextual"/>
        </w:rPr>
      </w:pPr>
      <w:r>
        <w:rPr>
          <w:rFonts w:hint="eastAsia" w:ascii="仿宋_GB2312" w:hAnsi="仿宋_GB2312" w:eastAsia="仿宋_GB2312" w:cs="宋体"/>
          <w:sz w:val="32"/>
          <w:szCs w:val="32"/>
          <w:lang w:val="en-US" w:eastAsia="zh-CN"/>
          <w14:ligatures w14:val="standardContextual"/>
        </w:rPr>
        <w:t>2.污水处理过程管理</w:t>
      </w:r>
    </w:p>
    <w:p w14:paraId="5FA6ADDB">
      <w:pPr>
        <w:adjustRightInd w:val="0"/>
        <w:snapToGrid w:val="0"/>
        <w:spacing w:after="0" w:line="578" w:lineRule="exact"/>
        <w:ind w:firstLine="640" w:firstLineChars="200"/>
        <w:jc w:val="left"/>
        <w:rPr>
          <w:rFonts w:hint="eastAsia" w:ascii="仿宋_GB2312" w:hAnsi="仿宋_GB2312" w:eastAsia="仿宋_GB2312" w:cs="宋体"/>
          <w:sz w:val="32"/>
          <w:szCs w:val="32"/>
          <w:lang w:eastAsia="zh-CN"/>
          <w14:ligatures w14:val="standardContextual"/>
        </w:rPr>
      </w:pPr>
      <w:r>
        <w:rPr>
          <w:rFonts w:hint="eastAsia" w:ascii="仿宋_GB2312" w:hAnsi="仿宋_GB2312" w:eastAsia="仿宋_GB2312" w:cs="宋体"/>
          <w:sz w:val="32"/>
          <w:szCs w:val="32"/>
          <w:lang w:eastAsia="zh-CN"/>
          <w14:ligatures w14:val="standardContextual"/>
        </w:rPr>
        <w:t>污水处理过程管理安排专业人员 24 小时值守，按照相关规范和标准操作污水处理设施，确保污水处理站24小时不间断运行。根据污水水质变化及时调整运行参数，保证出水水质符合《医疗机构水污染物排放标准》（GB18466 - 2005）及地方环保部门的要求。在整个委托运营期间</w:t>
      </w:r>
      <w:r>
        <w:rPr>
          <w:rFonts w:hint="default" w:ascii="仿宋_GB2312" w:hAnsi="仿宋_GB2312" w:eastAsia="仿宋_GB2312" w:cs="宋体"/>
          <w:sz w:val="32"/>
          <w:szCs w:val="32"/>
          <w:lang w:eastAsia="zh-CN"/>
          <w14:ligatures w14:val="standardContextual"/>
        </w:rPr>
        <w:t>,因</w:t>
      </w:r>
      <w:r>
        <w:rPr>
          <w:rFonts w:hint="eastAsia" w:ascii="仿宋_GB2312" w:hAnsi="仿宋_GB2312" w:eastAsia="仿宋_GB2312" w:cs="宋体"/>
          <w:sz w:val="32"/>
          <w:szCs w:val="32"/>
          <w:lang w:val="en-US" w:eastAsia="zh-CN"/>
          <w14:ligatures w14:val="standardContextual"/>
        </w:rPr>
        <w:t>承包方</w:t>
      </w:r>
      <w:r>
        <w:rPr>
          <w:rFonts w:hint="default" w:ascii="仿宋_GB2312" w:hAnsi="仿宋_GB2312" w:eastAsia="仿宋_GB2312" w:cs="宋体"/>
          <w:sz w:val="32"/>
          <w:szCs w:val="32"/>
          <w:lang w:eastAsia="zh-CN"/>
          <w14:ligatures w14:val="standardContextual"/>
        </w:rPr>
        <w:t>原因发生排放超标情况或管理方面不到位导致的罚款，由</w:t>
      </w:r>
      <w:r>
        <w:rPr>
          <w:rFonts w:hint="eastAsia" w:ascii="仿宋_GB2312" w:hAnsi="仿宋_GB2312" w:eastAsia="仿宋_GB2312" w:cs="宋体"/>
          <w:sz w:val="32"/>
          <w:szCs w:val="32"/>
          <w:lang w:val="en-US" w:eastAsia="zh-CN"/>
          <w14:ligatures w14:val="standardContextual"/>
        </w:rPr>
        <w:t>承包方</w:t>
      </w:r>
      <w:r>
        <w:rPr>
          <w:rFonts w:hint="default" w:ascii="仿宋_GB2312" w:hAnsi="仿宋_GB2312" w:eastAsia="仿宋_GB2312" w:cs="宋体"/>
          <w:sz w:val="32"/>
          <w:szCs w:val="32"/>
          <w:lang w:eastAsia="zh-CN"/>
          <w14:ligatures w14:val="standardContextual"/>
        </w:rPr>
        <w:t>全额承担</w:t>
      </w:r>
      <w:r>
        <w:rPr>
          <w:rFonts w:hint="eastAsia" w:ascii="仿宋_GB2312" w:hAnsi="仿宋_GB2312" w:eastAsia="仿宋_GB2312" w:cs="宋体"/>
          <w:sz w:val="32"/>
          <w:szCs w:val="32"/>
          <w:lang w:eastAsia="zh-CN"/>
          <w14:ligatures w14:val="standardContextual"/>
        </w:rPr>
        <w:t>。</w:t>
      </w:r>
    </w:p>
    <w:p w14:paraId="2241E5F1">
      <w:pPr>
        <w:adjustRightInd w:val="0"/>
        <w:snapToGrid w:val="0"/>
        <w:spacing w:after="0" w:line="578" w:lineRule="exact"/>
        <w:ind w:firstLine="640" w:firstLineChars="200"/>
        <w:jc w:val="left"/>
        <w:rPr>
          <w:rFonts w:hint="eastAsia" w:ascii="仿宋_GB2312" w:hAnsi="仿宋_GB2312" w:eastAsia="仿宋_GB2312" w:cs="宋体"/>
          <w:sz w:val="32"/>
          <w:szCs w:val="32"/>
          <w:lang w:eastAsia="zh-CN"/>
          <w14:ligatures w14:val="standardContextual"/>
        </w:rPr>
      </w:pPr>
      <w:r>
        <w:rPr>
          <w:rFonts w:hint="eastAsia" w:ascii="仿宋_GB2312" w:hAnsi="仿宋_GB2312" w:eastAsia="仿宋_GB2312" w:cs="宋体"/>
          <w:sz w:val="32"/>
          <w:szCs w:val="32"/>
          <w:lang w:eastAsia="zh-CN"/>
          <w14:ligatures w14:val="standardContextual"/>
        </w:rPr>
        <w:t>负责污水处理所需药剂（如消毒剂、中和剂等）的采购、储存、投加和管理，建立药剂使用台账，确保药剂使用安全、合理、有效。</w:t>
      </w:r>
    </w:p>
    <w:p w14:paraId="5D1460B9">
      <w:pPr>
        <w:adjustRightInd w:val="0"/>
        <w:snapToGrid w:val="0"/>
        <w:spacing w:after="0" w:line="578" w:lineRule="exact"/>
        <w:ind w:firstLine="640" w:firstLineChars="200"/>
        <w:jc w:val="left"/>
        <w:rPr>
          <w:rFonts w:hint="default" w:ascii="仿宋_GB2312" w:hAnsi="仿宋_GB2312" w:eastAsia="仿宋_GB2312" w:cs="宋体"/>
          <w:sz w:val="32"/>
          <w:szCs w:val="32"/>
          <w:lang w:val="en-US" w:eastAsia="zh-CN"/>
          <w14:ligatures w14:val="standardContextual"/>
        </w:rPr>
      </w:pPr>
      <w:r>
        <w:rPr>
          <w:rFonts w:hint="eastAsia" w:ascii="仿宋_GB2312" w:hAnsi="仿宋_GB2312" w:eastAsia="仿宋_GB2312" w:cs="宋体"/>
          <w:sz w:val="32"/>
          <w:szCs w:val="32"/>
          <w:lang w:val="en-US" w:eastAsia="zh-CN"/>
          <w14:ligatures w14:val="standardContextual"/>
        </w:rPr>
        <w:t>3.水质检测与报告</w:t>
      </w:r>
    </w:p>
    <w:p w14:paraId="4EFD9F98">
      <w:pPr>
        <w:adjustRightInd w:val="0"/>
        <w:snapToGrid w:val="0"/>
        <w:spacing w:after="0" w:line="578" w:lineRule="exact"/>
        <w:ind w:firstLine="640" w:firstLineChars="200"/>
        <w:jc w:val="left"/>
        <w:rPr>
          <w:rFonts w:hint="eastAsia" w:ascii="仿宋_GB2312" w:hAnsi="仿宋_GB2312" w:eastAsia="仿宋_GB2312" w:cs="宋体"/>
          <w:sz w:val="32"/>
          <w:szCs w:val="32"/>
          <w:lang w:eastAsia="zh-CN"/>
          <w14:ligatures w14:val="standardContextual"/>
        </w:rPr>
      </w:pPr>
      <w:r>
        <w:rPr>
          <w:rFonts w:hint="eastAsia" w:ascii="仿宋_GB2312" w:hAnsi="仿宋_GB2312" w:eastAsia="仿宋_GB2312" w:cs="宋体"/>
          <w:sz w:val="32"/>
          <w:szCs w:val="32"/>
          <w:lang w:eastAsia="zh-CN"/>
          <w14:ligatures w14:val="standardContextual"/>
        </w:rPr>
        <w:t>水质检测与报告按照排污许可证监测方案及环保部门要求，定期对污水处理站出水水质进行全面检测。检测工作必须委托具有检测资质的单位进行，并出具正规检测报告（一式两份提交给医院），报告内容应包含检测项目、检测结果、检测方法、检测时间等详细信息。</w:t>
      </w:r>
    </w:p>
    <w:p w14:paraId="3388CF5C">
      <w:pPr>
        <w:adjustRightInd w:val="0"/>
        <w:snapToGrid w:val="0"/>
        <w:spacing w:after="0" w:line="578" w:lineRule="exact"/>
        <w:ind w:firstLine="640" w:firstLineChars="200"/>
        <w:jc w:val="left"/>
        <w:rPr>
          <w:rFonts w:hint="eastAsia" w:ascii="仿宋_GB2312" w:hAnsi="仿宋_GB2312" w:eastAsia="仿宋_GB2312" w:cs="宋体"/>
          <w:sz w:val="32"/>
          <w:szCs w:val="32"/>
          <w:lang w:eastAsia="zh-CN"/>
          <w14:ligatures w14:val="standardContextual"/>
        </w:rPr>
      </w:pPr>
      <w:r>
        <w:rPr>
          <w:rFonts w:hint="eastAsia" w:ascii="仿宋_GB2312" w:hAnsi="仿宋_GB2312" w:eastAsia="仿宋_GB2312" w:cs="宋体"/>
          <w:sz w:val="32"/>
          <w:szCs w:val="32"/>
          <w:lang w:eastAsia="zh-CN"/>
          <w14:ligatures w14:val="standardContextual"/>
        </w:rPr>
        <w:t>对检测数据进行分析和总结，如发现水质异常情况，应及时采取措施进行处理，并向医院报告。</w:t>
      </w:r>
    </w:p>
    <w:p w14:paraId="6DC4EDF0">
      <w:pPr>
        <w:adjustRightInd w:val="0"/>
        <w:snapToGrid w:val="0"/>
        <w:spacing w:after="0" w:line="578" w:lineRule="exact"/>
        <w:ind w:firstLine="640" w:firstLineChars="200"/>
        <w:jc w:val="left"/>
        <w:rPr>
          <w:rFonts w:hint="default" w:ascii="仿宋_GB2312" w:hAnsi="仿宋_GB2312" w:eastAsia="仿宋_GB2312" w:cs="宋体"/>
          <w:sz w:val="32"/>
          <w:szCs w:val="32"/>
          <w:lang w:val="en-US" w:eastAsia="zh-CN"/>
          <w14:ligatures w14:val="standardContextual"/>
        </w:rPr>
      </w:pPr>
      <w:r>
        <w:rPr>
          <w:rFonts w:hint="eastAsia" w:ascii="仿宋_GB2312" w:hAnsi="仿宋_GB2312" w:eastAsia="仿宋_GB2312" w:cs="宋体"/>
          <w:sz w:val="32"/>
          <w:szCs w:val="32"/>
          <w:lang w:val="en-US" w:eastAsia="zh-CN"/>
          <w14:ligatures w14:val="standardContextual"/>
        </w:rPr>
        <w:t>4.人员配置与培训</w:t>
      </w:r>
    </w:p>
    <w:p w14:paraId="221B2305">
      <w:pPr>
        <w:adjustRightInd w:val="0"/>
        <w:snapToGrid w:val="0"/>
        <w:spacing w:after="0" w:line="578" w:lineRule="exact"/>
        <w:ind w:firstLine="640" w:firstLineChars="200"/>
        <w:jc w:val="left"/>
        <w:rPr>
          <w:rFonts w:hint="eastAsia" w:ascii="仿宋_GB2312" w:hAnsi="仿宋_GB2312" w:eastAsia="仿宋_GB2312" w:cs="宋体"/>
          <w:sz w:val="32"/>
          <w:szCs w:val="32"/>
          <w:lang w:eastAsia="zh-CN"/>
          <w14:ligatures w14:val="standardContextual"/>
        </w:rPr>
      </w:pPr>
      <w:r>
        <w:rPr>
          <w:rFonts w:hint="eastAsia" w:ascii="仿宋_GB2312" w:hAnsi="仿宋_GB2312" w:eastAsia="仿宋_GB2312" w:cs="宋体"/>
          <w:sz w:val="32"/>
          <w:szCs w:val="32"/>
          <w:lang w:eastAsia="zh-CN"/>
          <w14:ligatures w14:val="standardContextual"/>
        </w:rPr>
        <w:t>人员配置与培训配备至少3名常驻污水处理站管理及技术人员，其中管理人员至少具备中级技术职称，负责整体运营管理和技术指导；必须配备一名持有相应职业资格证的在线设备运行维护专业技术人员，专门负责在线监测设备的维护和管理。所有人员必须持培训合格证上岗操作。并制定相关的运营管理制度、操作规程、应急预案、设备保养计划等并贯彻落实。</w:t>
      </w:r>
    </w:p>
    <w:p w14:paraId="669F212D">
      <w:pPr>
        <w:adjustRightInd w:val="0"/>
        <w:snapToGrid w:val="0"/>
        <w:spacing w:after="0" w:line="578" w:lineRule="exact"/>
        <w:ind w:firstLine="640" w:firstLineChars="200"/>
        <w:jc w:val="left"/>
        <w:rPr>
          <w:rFonts w:hint="default" w:ascii="仿宋_GB2312" w:hAnsi="仿宋_GB2312" w:eastAsia="仿宋_GB2312" w:cs="宋体"/>
          <w:sz w:val="32"/>
          <w:szCs w:val="32"/>
          <w:lang w:val="en-US" w:eastAsia="zh-CN"/>
          <w14:ligatures w14:val="standardContextual"/>
        </w:rPr>
      </w:pPr>
      <w:r>
        <w:rPr>
          <w:rFonts w:hint="eastAsia" w:ascii="仿宋_GB2312" w:hAnsi="仿宋_GB2312" w:eastAsia="仿宋_GB2312" w:cs="宋体"/>
          <w:sz w:val="32"/>
          <w:szCs w:val="32"/>
          <w:lang w:val="en-US" w:eastAsia="zh-CN"/>
          <w14:ligatures w14:val="standardContextual"/>
        </w:rPr>
        <w:t>5.环境管理与应急处理</w:t>
      </w:r>
    </w:p>
    <w:p w14:paraId="2B6EBB10">
      <w:pPr>
        <w:adjustRightInd w:val="0"/>
        <w:snapToGrid w:val="0"/>
        <w:spacing w:after="0" w:line="578" w:lineRule="exact"/>
        <w:ind w:firstLine="640" w:firstLineChars="200"/>
        <w:jc w:val="left"/>
        <w:rPr>
          <w:rFonts w:hint="eastAsia" w:ascii="仿宋_GB2312" w:hAnsi="仿宋_GB2312" w:eastAsia="仿宋_GB2312" w:cs="宋体"/>
          <w:sz w:val="32"/>
          <w:szCs w:val="32"/>
          <w:lang w:eastAsia="zh-CN"/>
          <w14:ligatures w14:val="standardContextual"/>
        </w:rPr>
      </w:pPr>
      <w:r>
        <w:rPr>
          <w:rFonts w:hint="eastAsia" w:ascii="仿宋_GB2312" w:hAnsi="仿宋_GB2312" w:eastAsia="仿宋_GB2312" w:cs="宋体"/>
          <w:sz w:val="32"/>
          <w:szCs w:val="32"/>
          <w:lang w:eastAsia="zh-CN"/>
          <w14:ligatures w14:val="standardContextual"/>
        </w:rPr>
        <w:t>环境管理与应急处理制定污水处理设施运行管理计划及完善的应急预案，定期对应急预案进行演练，提高应对突发环境事件的能力。在发生突发情况时，能够迅速启动应急预案，采取有效措施进行处理，降低环境污染风险。</w:t>
      </w:r>
    </w:p>
    <w:p w14:paraId="7642B030">
      <w:pPr>
        <w:adjustRightInd w:val="0"/>
        <w:snapToGrid w:val="0"/>
        <w:spacing w:after="0" w:line="578" w:lineRule="exact"/>
        <w:ind w:firstLine="640" w:firstLineChars="200"/>
        <w:jc w:val="left"/>
        <w:rPr>
          <w:rFonts w:hint="eastAsia" w:ascii="仿宋_GB2312" w:hAnsi="仿宋_GB2312" w:eastAsia="仿宋_GB2312" w:cs="宋体"/>
          <w:sz w:val="32"/>
          <w:szCs w:val="32"/>
          <w:lang w:eastAsia="zh-CN"/>
          <w14:ligatures w14:val="standardContextual"/>
        </w:rPr>
      </w:pPr>
      <w:r>
        <w:rPr>
          <w:rFonts w:hint="eastAsia" w:ascii="仿宋_GB2312" w:hAnsi="仿宋_GB2312" w:eastAsia="仿宋_GB2312" w:cs="宋体"/>
          <w:sz w:val="32"/>
          <w:szCs w:val="32"/>
          <w:lang w:eastAsia="zh-CN"/>
          <w14:ligatures w14:val="standardContextual"/>
        </w:rPr>
        <w:t>负责污水处理站范围内的环境卫生清洁和绿化养护工作，保持站内整洁、美观。妥善处理污水处理过程中产生的污泥和其他废弃物，确保符合环保要求。</w:t>
      </w:r>
    </w:p>
    <w:p w14:paraId="5305F664">
      <w:pPr>
        <w:adjustRightInd w:val="0"/>
        <w:snapToGrid w:val="0"/>
        <w:spacing w:after="0" w:line="578" w:lineRule="exact"/>
        <w:ind w:firstLine="640" w:firstLineChars="200"/>
        <w:jc w:val="left"/>
        <w:rPr>
          <w:rFonts w:hint="eastAsia" w:ascii="仿宋_GB2312" w:hAnsi="仿宋_GB2312" w:eastAsia="仿宋_GB2312" w:cs="宋体"/>
          <w:sz w:val="32"/>
          <w:szCs w:val="32"/>
          <w:lang w:eastAsia="zh-CN"/>
          <w14:ligatures w14:val="standardContextual"/>
        </w:rPr>
      </w:pPr>
      <w:r>
        <w:rPr>
          <w:rFonts w:hint="eastAsia" w:ascii="仿宋_GB2312" w:hAnsi="仿宋_GB2312" w:eastAsia="仿宋_GB2312" w:cs="宋体"/>
          <w:sz w:val="32"/>
          <w:szCs w:val="32"/>
          <w:lang w:eastAsia="zh-CN"/>
          <w14:ligatures w14:val="standardContextual"/>
        </w:rPr>
        <w:t>负责排污许可证证后管理工作，按照相关规定完成证后执行的季度报告、年度报告编制工作，并及时完成网上填报工作。接受医院委托，办理《城镇污水排入排水管网许可证》。</w:t>
      </w:r>
    </w:p>
    <w:p w14:paraId="3503433D">
      <w:pPr>
        <w:adjustRightInd w:val="0"/>
        <w:snapToGrid w:val="0"/>
        <w:spacing w:after="0" w:line="578" w:lineRule="exact"/>
        <w:ind w:firstLine="640" w:firstLineChars="200"/>
        <w:jc w:val="left"/>
        <w:rPr>
          <w:rFonts w:hint="eastAsia" w:ascii="仿宋_GB2312" w:hAnsi="仿宋_GB2312" w:eastAsia="仿宋_GB2312" w:cs="宋体"/>
          <w:sz w:val="32"/>
          <w:szCs w:val="32"/>
          <w:lang w:eastAsia="zh-CN"/>
          <w14:ligatures w14:val="standardContextual"/>
        </w:rPr>
      </w:pPr>
      <w:r>
        <w:rPr>
          <w:rFonts w:hint="eastAsia" w:ascii="仿宋_GB2312" w:hAnsi="仿宋_GB2312" w:eastAsia="仿宋_GB2312" w:cs="宋体"/>
          <w:sz w:val="32"/>
          <w:szCs w:val="32"/>
          <w:lang w:eastAsia="zh-CN"/>
          <w14:ligatures w14:val="standardContextual"/>
        </w:rPr>
        <w:t>二、厂商报名资料（加盖公司公章）</w:t>
      </w:r>
    </w:p>
    <w:p w14:paraId="6034BE62">
      <w:pPr>
        <w:adjustRightInd w:val="0"/>
        <w:snapToGrid w:val="0"/>
        <w:spacing w:after="0" w:line="578" w:lineRule="exact"/>
        <w:ind w:firstLine="640" w:firstLineChars="200"/>
        <w:jc w:val="left"/>
        <w:rPr>
          <w:rFonts w:hint="eastAsia" w:ascii="仿宋_GB2312" w:hAnsi="仿宋_GB2312" w:eastAsia="仿宋_GB2312" w:cs="宋体"/>
          <w:sz w:val="32"/>
          <w:szCs w:val="32"/>
          <w:lang w:eastAsia="zh-CN"/>
          <w14:ligatures w14:val="standardContextual"/>
        </w:rPr>
      </w:pPr>
      <w:r>
        <w:rPr>
          <w:rFonts w:hint="eastAsia" w:ascii="仿宋_GB2312" w:hAnsi="仿宋_GB2312" w:eastAsia="仿宋_GB2312" w:cs="宋体"/>
          <w:sz w:val="32"/>
          <w:szCs w:val="32"/>
          <w:lang w:eastAsia="zh-CN"/>
          <w14:ligatures w14:val="standardContextual"/>
        </w:rPr>
        <w:t>封面：注明联系人及电话、邮箱。</w:t>
      </w:r>
    </w:p>
    <w:p w14:paraId="79A21ABF">
      <w:pPr>
        <w:adjustRightInd w:val="0"/>
        <w:snapToGrid w:val="0"/>
        <w:spacing w:after="0" w:line="578" w:lineRule="exact"/>
        <w:ind w:firstLine="640" w:firstLineChars="200"/>
        <w:jc w:val="left"/>
        <w:rPr>
          <w:rFonts w:hint="eastAsia" w:ascii="仿宋_GB2312" w:hAnsi="仿宋_GB2312" w:eastAsia="仿宋_GB2312" w:cs="宋体"/>
          <w:sz w:val="32"/>
          <w:szCs w:val="32"/>
          <w:lang w:eastAsia="zh-CN"/>
          <w14:ligatures w14:val="standardContextual"/>
        </w:rPr>
      </w:pPr>
      <w:r>
        <w:rPr>
          <w:rFonts w:hint="eastAsia" w:ascii="仿宋_GB2312" w:hAnsi="仿宋_GB2312" w:eastAsia="仿宋_GB2312" w:cs="宋体"/>
          <w:sz w:val="32"/>
          <w:szCs w:val="32"/>
          <w:lang w:eastAsia="zh-CN"/>
          <w14:ligatures w14:val="standardContextual"/>
        </w:rPr>
        <w:t>供应商资质：提供营业执照、相关运营资质证明文件，需在有效期内。</w:t>
      </w:r>
    </w:p>
    <w:p w14:paraId="44D4C19D">
      <w:pPr>
        <w:adjustRightInd w:val="0"/>
        <w:snapToGrid w:val="0"/>
        <w:spacing w:after="0" w:line="578" w:lineRule="exact"/>
        <w:ind w:firstLine="640" w:firstLineChars="200"/>
        <w:jc w:val="left"/>
        <w:rPr>
          <w:rFonts w:hint="eastAsia" w:ascii="仿宋_GB2312" w:hAnsi="仿宋_GB2312" w:eastAsia="仿宋_GB2312" w:cs="宋体"/>
          <w:sz w:val="32"/>
          <w:szCs w:val="32"/>
          <w:lang w:eastAsia="zh-CN"/>
          <w14:ligatures w14:val="standardContextual"/>
        </w:rPr>
      </w:pPr>
      <w:r>
        <w:rPr>
          <w:rFonts w:hint="eastAsia" w:ascii="仿宋_GB2312" w:hAnsi="仿宋_GB2312" w:eastAsia="仿宋_GB2312" w:cs="宋体"/>
          <w:sz w:val="32"/>
          <w:szCs w:val="32"/>
          <w:lang w:eastAsia="zh-CN"/>
          <w14:ligatures w14:val="standardContextual"/>
        </w:rPr>
        <w:t>服务案例证明：提供过往污水处理站运维托管服务案例清单及相关证明材料（如合同复印件等）。</w:t>
      </w:r>
    </w:p>
    <w:p w14:paraId="39428EAC">
      <w:pPr>
        <w:adjustRightInd w:val="0"/>
        <w:snapToGrid w:val="0"/>
        <w:spacing w:after="0" w:line="578" w:lineRule="exact"/>
        <w:ind w:firstLine="640" w:firstLineChars="200"/>
        <w:jc w:val="left"/>
        <w:rPr>
          <w:rFonts w:hint="eastAsia" w:ascii="仿宋_GB2312" w:hAnsi="仿宋_GB2312" w:eastAsia="仿宋_GB2312" w:cs="宋体"/>
          <w:sz w:val="32"/>
          <w:szCs w:val="32"/>
          <w:lang w:eastAsia="zh-CN"/>
          <w14:ligatures w14:val="standardContextual"/>
        </w:rPr>
      </w:pPr>
      <w:r>
        <w:rPr>
          <w:rFonts w:hint="eastAsia" w:ascii="仿宋_GB2312" w:hAnsi="仿宋_GB2312" w:eastAsia="仿宋_GB2312" w:cs="宋体"/>
          <w:sz w:val="32"/>
          <w:szCs w:val="32"/>
          <w:lang w:eastAsia="zh-CN"/>
          <w14:ligatures w14:val="standardContextual"/>
        </w:rPr>
        <w:t>服务方案：详细阐述针对我院污水处理站运维托管的服务计划、人员安排、设备维护方案、水质检测计划、应急处理措施等内容。</w:t>
      </w:r>
    </w:p>
    <w:p w14:paraId="0BED777B">
      <w:pPr>
        <w:adjustRightInd w:val="0"/>
        <w:snapToGrid w:val="0"/>
        <w:spacing w:after="0" w:line="578" w:lineRule="exact"/>
        <w:ind w:firstLine="640" w:firstLineChars="200"/>
        <w:jc w:val="left"/>
        <w:rPr>
          <w:rFonts w:hint="eastAsia" w:ascii="仿宋_GB2312" w:hAnsi="仿宋_GB2312" w:eastAsia="仿宋_GB2312" w:cs="宋体"/>
          <w:sz w:val="32"/>
          <w:szCs w:val="32"/>
          <w:lang w:eastAsia="zh-CN"/>
          <w14:ligatures w14:val="standardContextual"/>
        </w:rPr>
      </w:pPr>
      <w:r>
        <w:rPr>
          <w:rFonts w:hint="eastAsia" w:ascii="仿宋_GB2312" w:hAnsi="仿宋_GB2312" w:eastAsia="仿宋_GB2312" w:cs="宋体"/>
          <w:sz w:val="32"/>
          <w:szCs w:val="32"/>
          <w:lang w:eastAsia="zh-CN"/>
          <w14:ligatures w14:val="standardContextual"/>
        </w:rPr>
        <w:t>报价清单：明确列出各项运维托管服务费用明细，包括每年的运维服务费、设备维修费用（如有超出</w:t>
      </w:r>
      <w:r>
        <w:rPr>
          <w:rFonts w:hint="eastAsia" w:ascii="仿宋_GB2312" w:hAnsi="仿宋_GB2312" w:eastAsia="仿宋_GB2312" w:cs="宋体"/>
          <w:sz w:val="32"/>
          <w:szCs w:val="32"/>
          <w:lang w:val="en-US" w:eastAsia="zh-CN"/>
          <w14:ligatures w14:val="standardContextual"/>
        </w:rPr>
        <w:t>3000</w:t>
      </w:r>
      <w:r>
        <w:rPr>
          <w:rFonts w:hint="eastAsia" w:ascii="仿宋_GB2312" w:hAnsi="仿宋_GB2312" w:eastAsia="仿宋_GB2312" w:cs="宋体"/>
          <w:sz w:val="32"/>
          <w:szCs w:val="32"/>
          <w:lang w:eastAsia="zh-CN"/>
          <w14:ligatures w14:val="standardContextual"/>
        </w:rPr>
        <w:t>元部分的说明）、药剂费用、水质检测费用等，注明是否含税。</w:t>
      </w:r>
    </w:p>
    <w:p w14:paraId="66721311">
      <w:pPr>
        <w:adjustRightInd w:val="0"/>
        <w:snapToGrid w:val="0"/>
        <w:spacing w:after="0" w:line="578" w:lineRule="exact"/>
        <w:ind w:firstLine="640" w:firstLineChars="200"/>
        <w:jc w:val="left"/>
        <w:rPr>
          <w:rFonts w:hint="eastAsia" w:ascii="仿宋_GB2312" w:hAnsi="仿宋_GB2312" w:eastAsia="仿宋_GB2312" w:cs="宋体"/>
          <w:sz w:val="32"/>
          <w:szCs w:val="32"/>
          <w:lang w:eastAsia="zh-CN"/>
          <w14:ligatures w14:val="standardContextua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001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embedRegular r:id="rId1" w:fontKey="{BF1ED5F1-3B51-4B5C-8A21-AD545B061391}"/>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7D4704"/>
    <w:rsid w:val="06863B44"/>
    <w:rsid w:val="265C6727"/>
    <w:rsid w:val="2B7D4704"/>
    <w:rsid w:val="2EC25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1793</Words>
  <Characters>1835</Characters>
  <Lines>0</Lines>
  <Paragraphs>0</Paragraphs>
  <TotalTime>106</TotalTime>
  <ScaleCrop>false</ScaleCrop>
  <LinksUpToDate>false</LinksUpToDate>
  <CharactersWithSpaces>1840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2025-04-11T02:45:00Z</dcterms:created>
  <dc:creator>涂钰</dc:creator>
  <cp:lastModifiedBy>招标中心</cp:lastModifiedBy>
  <cp:lastPrinted>2025-04-11T08:52:00Z</cp:lastPrinted>
  <dcterms:modified xsi:type="dcterms:W3CDTF">2025-04-17T07:31:29Z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B035A74CF61641F89E9FDC53997C3D5F_11</vt:lpwstr>
  </property>
  <property fmtid="{D5CDD505-2E9C-101B-9397-08002B2CF9AE}" pid="4" name="KSOTemplateDocerSaveRecord">
    <vt:lpwstr>eyJoZGlkIjoiZjBjZDIyMDY4MjhhMWYyZDBkNGFkNTQ4NjAzMWJmNWYiLCJ1c2VySWQiOiIxNTk1MDQ5MjkwIn0=</vt:lpwstr>
  </property>
</Properties>
</file>