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702F6">
      <w:pPr>
        <w:jc w:val="center"/>
        <w:outlineLvl w:val="0"/>
        <w:rPr>
          <w:b/>
          <w:sz w:val="44"/>
        </w:rPr>
      </w:pPr>
    </w:p>
    <w:p w14:paraId="43EFF094">
      <w:pPr>
        <w:jc w:val="center"/>
        <w:rPr>
          <w:rFonts w:asciiTheme="minorEastAsia" w:hAnsiTheme="minorEastAsia" w:eastAsiaTheme="minorEastAsia"/>
          <w:b/>
          <w:sz w:val="48"/>
        </w:rPr>
      </w:pPr>
      <w:r>
        <w:rPr>
          <w:rFonts w:hint="eastAsia" w:asciiTheme="minorEastAsia" w:hAnsiTheme="minorEastAsia" w:eastAsiaTheme="minorEastAsia"/>
          <w:b/>
          <w:sz w:val="48"/>
        </w:rPr>
        <w:t>2025年采购项目</w:t>
      </w:r>
    </w:p>
    <w:p w14:paraId="46CC0C6C">
      <w:pPr>
        <w:jc w:val="center"/>
        <w:outlineLvl w:val="0"/>
        <w:rPr>
          <w:rFonts w:ascii="宋体" w:hAnsi="宋体"/>
          <w:b/>
          <w:sz w:val="30"/>
          <w:szCs w:val="30"/>
        </w:rPr>
      </w:pPr>
    </w:p>
    <w:p w14:paraId="7E396F66">
      <w:pPr>
        <w:spacing w:line="240" w:lineRule="atLeast"/>
        <w:jc w:val="center"/>
        <w:rPr>
          <w:rFonts w:ascii="宋体" w:hAnsi="宋体"/>
          <w:b/>
          <w:sz w:val="30"/>
          <w:szCs w:val="30"/>
        </w:rPr>
      </w:pPr>
    </w:p>
    <w:p w14:paraId="0278E719">
      <w:pPr>
        <w:spacing w:line="240" w:lineRule="atLeast"/>
        <w:jc w:val="center"/>
        <w:rPr>
          <w:rFonts w:ascii="宋体" w:hAnsi="宋体"/>
          <w:b/>
          <w:sz w:val="30"/>
          <w:szCs w:val="30"/>
        </w:rPr>
      </w:pPr>
    </w:p>
    <w:p w14:paraId="374936E4">
      <w:pPr>
        <w:spacing w:line="480" w:lineRule="auto"/>
        <w:jc w:val="center"/>
        <w:rPr>
          <w:rFonts w:hint="eastAsia" w:ascii="宋体" w:hAnsi="宋体" w:eastAsia="宋体"/>
          <w:b/>
          <w:sz w:val="30"/>
          <w:szCs w:val="30"/>
          <w:lang w:eastAsia="zh-CN"/>
        </w:rPr>
      </w:pPr>
      <w:r>
        <w:rPr>
          <w:rFonts w:hint="eastAsia" w:ascii="宋体" w:hAnsi="宋体"/>
          <w:b/>
          <w:sz w:val="30"/>
          <w:szCs w:val="30"/>
          <w:lang w:eastAsia="zh-CN"/>
        </w:rPr>
        <w:t>海南省军粮统筹配送中心有限公司2025年度物流配送项目（二次招标）</w:t>
      </w:r>
    </w:p>
    <w:p w14:paraId="671A2B91">
      <w:pPr>
        <w:spacing w:line="480" w:lineRule="auto"/>
        <w:jc w:val="center"/>
        <w:rPr>
          <w:rFonts w:hint="eastAsia" w:ascii="宋体" w:hAnsi="宋体" w:eastAsia="宋体"/>
          <w:b/>
          <w:sz w:val="30"/>
          <w:szCs w:val="30"/>
          <w:lang w:eastAsia="zh-CN"/>
        </w:rPr>
      </w:pPr>
      <w:r>
        <w:rPr>
          <w:rFonts w:hint="eastAsia" w:ascii="宋体" w:hAnsi="宋体"/>
          <w:b/>
          <w:sz w:val="30"/>
          <w:szCs w:val="30"/>
        </w:rPr>
        <w:t xml:space="preserve">招标编号: </w:t>
      </w:r>
      <w:r>
        <w:rPr>
          <w:rFonts w:hint="eastAsia" w:ascii="宋体" w:hAnsi="宋体"/>
          <w:b/>
          <w:sz w:val="30"/>
          <w:szCs w:val="30"/>
          <w:lang w:eastAsia="zh-CN"/>
        </w:rPr>
        <w:t>HNJY2025-88-7R</w:t>
      </w:r>
    </w:p>
    <w:p w14:paraId="546D038D">
      <w:pPr>
        <w:spacing w:line="240" w:lineRule="atLeast"/>
        <w:jc w:val="center"/>
        <w:rPr>
          <w:rFonts w:ascii="宋体" w:hAnsi="宋体"/>
          <w:sz w:val="32"/>
          <w:szCs w:val="32"/>
        </w:rPr>
      </w:pPr>
    </w:p>
    <w:p w14:paraId="78675113">
      <w:pPr>
        <w:rPr>
          <w:b/>
          <w:sz w:val="72"/>
        </w:rPr>
      </w:pPr>
    </w:p>
    <w:p w14:paraId="0D655955">
      <w:pPr>
        <w:jc w:val="center"/>
        <w:rPr>
          <w:b/>
          <w:sz w:val="72"/>
        </w:rPr>
      </w:pPr>
      <w:r>
        <w:rPr>
          <w:rFonts w:hint="eastAsia"/>
          <w:b/>
          <w:sz w:val="72"/>
        </w:rPr>
        <w:t>招</w:t>
      </w:r>
    </w:p>
    <w:p w14:paraId="63910E0A">
      <w:pPr>
        <w:jc w:val="center"/>
        <w:rPr>
          <w:b/>
          <w:sz w:val="72"/>
        </w:rPr>
      </w:pPr>
      <w:r>
        <w:rPr>
          <w:rFonts w:hint="eastAsia"/>
          <w:b/>
          <w:sz w:val="72"/>
        </w:rPr>
        <w:t>标</w:t>
      </w:r>
    </w:p>
    <w:p w14:paraId="01BA6934">
      <w:pPr>
        <w:jc w:val="center"/>
        <w:rPr>
          <w:b/>
          <w:sz w:val="72"/>
        </w:rPr>
      </w:pPr>
      <w:r>
        <w:rPr>
          <w:rFonts w:hint="eastAsia"/>
          <w:b/>
          <w:sz w:val="72"/>
        </w:rPr>
        <w:t>文</w:t>
      </w:r>
    </w:p>
    <w:p w14:paraId="440EA8F1">
      <w:pPr>
        <w:jc w:val="center"/>
        <w:rPr>
          <w:sz w:val="22"/>
        </w:rPr>
      </w:pPr>
      <w:r>
        <w:rPr>
          <w:rFonts w:hint="eastAsia"/>
          <w:b/>
          <w:sz w:val="72"/>
        </w:rPr>
        <w:t>件</w:t>
      </w:r>
    </w:p>
    <w:p w14:paraId="130720A6">
      <w:pPr>
        <w:spacing w:line="240" w:lineRule="atLeast"/>
        <w:rPr>
          <w:rFonts w:ascii="宋体"/>
          <w:b/>
          <w:sz w:val="32"/>
        </w:rPr>
      </w:pPr>
    </w:p>
    <w:p w14:paraId="1B3C9D7C">
      <w:pPr>
        <w:pStyle w:val="2"/>
      </w:pPr>
    </w:p>
    <w:p w14:paraId="264AE511">
      <w:pPr>
        <w:jc w:val="center"/>
        <w:rPr>
          <w:rFonts w:ascii="宋体" w:hAnsi="宋体"/>
          <w:sz w:val="30"/>
          <w:szCs w:val="30"/>
        </w:rPr>
      </w:pPr>
      <w:r>
        <w:rPr>
          <w:rFonts w:hint="eastAsia" w:ascii="宋体" w:hAnsi="宋体"/>
          <w:sz w:val="30"/>
          <w:szCs w:val="30"/>
        </w:rPr>
        <w:t>采购人：海南省军粮统筹配送中心有限公司</w:t>
      </w:r>
    </w:p>
    <w:p w14:paraId="6D143901">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233A8B03">
      <w:pPr>
        <w:spacing w:line="360" w:lineRule="auto"/>
        <w:jc w:val="center"/>
        <w:rPr>
          <w:rFonts w:ascii="宋体" w:hAnsi="宋体"/>
          <w:sz w:val="30"/>
          <w:szCs w:val="30"/>
        </w:rPr>
      </w:pPr>
      <w:r>
        <w:rPr>
          <w:rFonts w:hint="eastAsia" w:ascii="宋体" w:hAnsi="宋体"/>
          <w:sz w:val="30"/>
          <w:szCs w:val="30"/>
        </w:rPr>
        <w:t>2025年3月</w:t>
      </w:r>
    </w:p>
    <w:p w14:paraId="638598B9">
      <w:pPr>
        <w:spacing w:line="440" w:lineRule="exact"/>
        <w:ind w:right="42" w:rightChars="20"/>
        <w:rPr>
          <w:rFonts w:ascii="宋体" w:hAnsi="宋体"/>
          <w:b/>
          <w:sz w:val="44"/>
          <w:szCs w:val="44"/>
        </w:rPr>
      </w:pPr>
    </w:p>
    <w:sdt>
      <w:sdtPr>
        <w:rPr>
          <w:rFonts w:ascii="Times New Roman" w:hAnsi="Times New Roman" w:eastAsia="宋体" w:cs="Times New Roman"/>
          <w:b w:val="0"/>
          <w:bCs w:val="0"/>
          <w:color w:val="auto"/>
          <w:kern w:val="2"/>
          <w:sz w:val="21"/>
          <w:szCs w:val="24"/>
          <w:lang w:val="zh-CN"/>
        </w:rPr>
        <w:id w:val="835498862"/>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14:paraId="70B5FDB5">
          <w:pPr>
            <w:pStyle w:val="222"/>
            <w:jc w:val="center"/>
            <w:rPr>
              <w:color w:val="auto"/>
              <w:sz w:val="32"/>
            </w:rPr>
          </w:pPr>
          <w:r>
            <w:rPr>
              <w:color w:val="auto"/>
              <w:sz w:val="32"/>
              <w:lang w:val="zh-CN"/>
            </w:rPr>
            <w:t>目录</w:t>
          </w:r>
        </w:p>
        <w:p w14:paraId="2893AE67">
          <w:pPr>
            <w:pStyle w:val="22"/>
            <w:tabs>
              <w:tab w:val="right" w:leader="dot" w:pos="8997"/>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"_Toc30467" </w:instrText>
          </w:r>
          <w:r>
            <w:fldChar w:fldCharType="separate"/>
          </w:r>
          <w:r>
            <w:rPr>
              <w:rFonts w:hint="eastAsia" w:ascii="宋体" w:hAnsi="宋体" w:eastAsia="宋体" w:cs="宋体"/>
              <w:kern w:val="0"/>
            </w:rPr>
            <w:t>第一章</w:t>
          </w:r>
          <w:r>
            <w:rPr>
              <w:rFonts w:hint="eastAsia" w:ascii="宋体" w:hAnsi="宋体" w:eastAsia="宋体" w:cs="宋体"/>
            </w:rPr>
            <w:t>投标邀请函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_Toc30467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19630306">
          <w:pPr>
            <w:pStyle w:val="22"/>
            <w:tabs>
              <w:tab w:val="right" w:leader="dot" w:pos="8997"/>
            </w:tabs>
            <w:rPr>
              <w:rFonts w:ascii="宋体" w:hAnsi="宋体" w:eastAsia="宋体" w:cs="宋体"/>
            </w:rPr>
          </w:pPr>
          <w:r>
            <w:fldChar w:fldCharType="begin"/>
          </w:r>
          <w:r>
            <w:instrText xml:space="preserve"> HYPERLINK \l "_Toc29738" </w:instrText>
          </w:r>
          <w:r>
            <w:fldChar w:fldCharType="separate"/>
          </w:r>
          <w:r>
            <w:rPr>
              <w:rFonts w:hint="eastAsia" w:ascii="宋体" w:hAnsi="宋体" w:eastAsia="宋体" w:cs="宋体"/>
            </w:rPr>
            <w:t>第二章投标人须知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_Toc29738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72127628">
          <w:pPr>
            <w:pStyle w:val="22"/>
            <w:tabs>
              <w:tab w:val="right" w:leader="dot" w:pos="8997"/>
            </w:tabs>
            <w:rPr>
              <w:rFonts w:ascii="宋体" w:hAnsi="宋体" w:eastAsia="宋体" w:cs="宋体"/>
            </w:rPr>
          </w:pPr>
          <w:r>
            <w:fldChar w:fldCharType="begin"/>
          </w:r>
          <w:r>
            <w:instrText xml:space="preserve"> HYPERLINK \l "_Toc19506" </w:instrText>
          </w:r>
          <w:r>
            <w:fldChar w:fldCharType="separate"/>
          </w:r>
          <w:r>
            <w:rPr>
              <w:rFonts w:hint="eastAsia" w:ascii="宋体" w:hAnsi="宋体" w:eastAsia="宋体" w:cs="宋体"/>
            </w:rPr>
            <w:t>第三章采购需求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_Toc19506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4409A54C">
          <w:pPr>
            <w:pStyle w:val="22"/>
            <w:tabs>
              <w:tab w:val="right" w:leader="dot" w:pos="8997"/>
            </w:tabs>
            <w:rPr>
              <w:rFonts w:ascii="宋体" w:hAnsi="宋体" w:eastAsia="宋体" w:cs="宋体"/>
            </w:rPr>
          </w:pPr>
          <w:r>
            <w:fldChar w:fldCharType="begin"/>
          </w:r>
          <w:r>
            <w:instrText xml:space="preserve"> HYPERLINK \l "_Toc7447" </w:instrText>
          </w:r>
          <w:r>
            <w:fldChar w:fldCharType="separate"/>
          </w:r>
          <w:r>
            <w:rPr>
              <w:rFonts w:hint="eastAsia" w:ascii="宋体" w:hAnsi="宋体" w:eastAsia="宋体" w:cs="宋体"/>
            </w:rPr>
            <w:t>第四章评标办法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_Toc7447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338036B0">
          <w:pPr>
            <w:pStyle w:val="22"/>
            <w:tabs>
              <w:tab w:val="right" w:leader="dot" w:pos="8997"/>
            </w:tabs>
            <w:rPr>
              <w:rFonts w:ascii="宋体" w:hAnsi="宋体" w:eastAsia="宋体" w:cs="宋体"/>
            </w:rPr>
          </w:pPr>
          <w:r>
            <w:fldChar w:fldCharType="begin"/>
          </w:r>
          <w:r>
            <w:instrText xml:space="preserve"> HYPERLINK \l "_Toc32516" </w:instrText>
          </w:r>
          <w:r>
            <w:fldChar w:fldCharType="separate"/>
          </w:r>
          <w:r>
            <w:rPr>
              <w:rFonts w:hint="eastAsia" w:ascii="宋体" w:hAnsi="宋体" w:eastAsia="宋体" w:cs="宋体"/>
            </w:rPr>
            <w:t>第五章合同文本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_Toc32516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7AB2BAD1">
          <w:pPr>
            <w:pStyle w:val="22"/>
            <w:tabs>
              <w:tab w:val="right" w:leader="dot" w:pos="8997"/>
            </w:tabs>
            <w:rPr>
              <w:rFonts w:ascii="宋体" w:hAnsi="宋体" w:eastAsia="宋体" w:cs="宋体"/>
            </w:rPr>
          </w:pPr>
          <w:r>
            <w:fldChar w:fldCharType="begin"/>
          </w:r>
          <w:r>
            <w:instrText xml:space="preserve"> HYPERLINK \l "_Toc31613" </w:instrText>
          </w:r>
          <w:r>
            <w:fldChar w:fldCharType="separate"/>
          </w:r>
          <w:r>
            <w:rPr>
              <w:rFonts w:hint="eastAsia" w:ascii="宋体" w:hAnsi="宋体" w:eastAsia="宋体" w:cs="宋体"/>
            </w:rPr>
            <w:t>第六章投标文件格式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_Toc31613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2018C52D">
          <w:r>
            <w:rPr>
              <w:rFonts w:hint="eastAsia" w:ascii="宋体" w:hAnsi="宋体" w:cs="宋体"/>
              <w:bCs/>
              <w:lang w:val="zh-CN"/>
            </w:rPr>
            <w:fldChar w:fldCharType="end"/>
          </w:r>
        </w:p>
      </w:sdtContent>
    </w:sdt>
    <w:p w14:paraId="1DD7CB0D">
      <w:pPr>
        <w:spacing w:line="440" w:lineRule="exact"/>
        <w:ind w:right="42" w:rightChars="20"/>
        <w:jc w:val="center"/>
        <w:rPr>
          <w:rFonts w:ascii="Arial" w:hAnsi="Arial" w:eastAsia="黑体" w:cs="Arial"/>
          <w:b/>
          <w:sz w:val="36"/>
        </w:rPr>
      </w:pPr>
    </w:p>
    <w:p w14:paraId="235EBA78">
      <w:pPr>
        <w:spacing w:line="200" w:lineRule="exact"/>
        <w:outlineLvl w:val="0"/>
        <w:rPr>
          <w:rFonts w:ascii="宋体" w:hAnsi="宋体"/>
          <w:b/>
          <w:kern w:val="0"/>
          <w:sz w:val="32"/>
          <w:szCs w:val="32"/>
        </w:rPr>
      </w:pPr>
    </w:p>
    <w:p w14:paraId="263DCC25">
      <w:pPr>
        <w:pStyle w:val="3"/>
        <w:rPr>
          <w:kern w:val="0"/>
        </w:rPr>
      </w:pPr>
      <w:bookmarkStart w:id="0" w:name="_Toc30467"/>
    </w:p>
    <w:p w14:paraId="32EC14C5"/>
    <w:p w14:paraId="14FBC5E0"/>
    <w:p w14:paraId="3251DD44"/>
    <w:p w14:paraId="33FED359"/>
    <w:p w14:paraId="7A658FB4">
      <w:pPr>
        <w:pStyle w:val="2"/>
      </w:pPr>
    </w:p>
    <w:p w14:paraId="0BB9C296"/>
    <w:p w14:paraId="2BE91157">
      <w:pPr>
        <w:pStyle w:val="2"/>
      </w:pPr>
    </w:p>
    <w:p w14:paraId="1DA37CFE"/>
    <w:p w14:paraId="7DE5155C">
      <w:pPr>
        <w:pStyle w:val="2"/>
      </w:pPr>
    </w:p>
    <w:p w14:paraId="46C86A3C"/>
    <w:p w14:paraId="3627C30A"/>
    <w:p w14:paraId="18B43C25">
      <w:pPr>
        <w:pStyle w:val="3"/>
        <w:jc w:val="center"/>
      </w:pPr>
      <w:bookmarkStart w:id="1" w:name="OLE_LINK1"/>
      <w:r>
        <w:rPr>
          <w:rFonts w:hint="eastAsia"/>
          <w:kern w:val="0"/>
        </w:rPr>
        <w:t>第一章</w:t>
      </w:r>
      <w:r>
        <w:rPr>
          <w:rFonts w:hint="eastAsia"/>
        </w:rPr>
        <w:t>投标邀请函</w:t>
      </w:r>
      <w:bookmarkEnd w:id="0"/>
    </w:p>
    <w:p w14:paraId="0C0D122E">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项目概况</w:t>
      </w:r>
    </w:p>
    <w:p w14:paraId="0CB2DABB">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u w:val="single"/>
          <w:lang w:eastAsia="zh-CN"/>
        </w:rPr>
        <w:t>海南省军粮统筹配送中心有限公司2025年度物流配送项目（二次招标）</w:t>
      </w:r>
      <w:r>
        <w:rPr>
          <w:rFonts w:hint="eastAsia" w:ascii="宋体" w:hAnsi="宋体" w:cs="宋体"/>
          <w:kern w:val="0"/>
          <w:sz w:val="24"/>
          <w:u w:val="single"/>
        </w:rPr>
        <w:t>的潜在供应商应在（海南阳光招标采购平台https://hnsygszh.etrading.cn/）获取招标文件，并于2025年</w:t>
      </w:r>
      <w:r>
        <w:rPr>
          <w:rFonts w:hint="eastAsia" w:ascii="宋体" w:hAnsi="宋体" w:cs="宋体"/>
          <w:kern w:val="0"/>
          <w:sz w:val="24"/>
          <w:u w:val="single"/>
          <w:lang w:val="en-US" w:eastAsia="zh-CN"/>
        </w:rPr>
        <w:t>4</w:t>
      </w:r>
      <w:r>
        <w:rPr>
          <w:rFonts w:hint="eastAsia" w:ascii="宋体" w:hAnsi="宋体" w:cs="宋体"/>
          <w:kern w:val="0"/>
          <w:sz w:val="24"/>
          <w:u w:val="single"/>
        </w:rPr>
        <w:t>月</w:t>
      </w:r>
      <w:r>
        <w:rPr>
          <w:rFonts w:hint="eastAsia" w:ascii="宋体" w:hAnsi="宋体" w:cs="宋体"/>
          <w:kern w:val="0"/>
          <w:sz w:val="24"/>
          <w:u w:val="single"/>
          <w:lang w:val="en-US" w:eastAsia="zh-CN"/>
        </w:rPr>
        <w:t>16</w:t>
      </w:r>
      <w:r>
        <w:rPr>
          <w:rFonts w:hint="eastAsia" w:ascii="宋体" w:hAnsi="宋体" w:cs="宋体"/>
          <w:kern w:val="0"/>
          <w:sz w:val="24"/>
          <w:u w:val="single"/>
        </w:rPr>
        <w:t>日09点00分（北京时间）前提交响应文件。</w:t>
      </w:r>
    </w:p>
    <w:p w14:paraId="6576EDC7">
      <w:pPr>
        <w:adjustRightInd w:val="0"/>
        <w:snapToGrid w:val="0"/>
        <w:spacing w:line="360" w:lineRule="auto"/>
        <w:ind w:firstLine="482" w:firstLineChars="200"/>
        <w:rPr>
          <w:b/>
          <w:sz w:val="24"/>
        </w:rPr>
      </w:pPr>
      <w:bookmarkStart w:id="2" w:name="_Toc28359012"/>
      <w:bookmarkStart w:id="3" w:name="_Toc35393798"/>
      <w:bookmarkStart w:id="4" w:name="_Toc35393629"/>
      <w:bookmarkStart w:id="5" w:name="_Toc28359089"/>
    </w:p>
    <w:p w14:paraId="30F6FA3F">
      <w:pPr>
        <w:adjustRightInd w:val="0"/>
        <w:snapToGrid w:val="0"/>
        <w:spacing w:line="360" w:lineRule="auto"/>
        <w:ind w:firstLine="482" w:firstLineChars="200"/>
        <w:rPr>
          <w:b/>
          <w:sz w:val="24"/>
        </w:rPr>
      </w:pPr>
      <w:r>
        <w:rPr>
          <w:rFonts w:hint="eastAsia"/>
          <w:b/>
          <w:sz w:val="24"/>
        </w:rPr>
        <w:t>一、项目基本情况</w:t>
      </w:r>
      <w:bookmarkEnd w:id="2"/>
      <w:bookmarkEnd w:id="3"/>
      <w:bookmarkEnd w:id="4"/>
      <w:bookmarkEnd w:id="5"/>
    </w:p>
    <w:p w14:paraId="0F4E738E">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HNJY2025-88-7R</w:t>
      </w:r>
    </w:p>
    <w:p w14:paraId="4FA33BD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海南省军粮统筹配送中心有限公司2025年度物流配送项目（二次招标）</w:t>
      </w:r>
    </w:p>
    <w:p w14:paraId="79FF8A4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采购方式：公开招标</w:t>
      </w:r>
    </w:p>
    <w:p w14:paraId="41BECF1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预算金额：130万元（</w:t>
      </w:r>
      <w:r>
        <w:rPr>
          <w:rFonts w:hint="eastAsia" w:ascii="宋体" w:hAnsi="宋体" w:cs="宋体"/>
          <w:bCs/>
          <w:sz w:val="24"/>
        </w:rPr>
        <w:t>最终以实际采购数量作为结算依据</w:t>
      </w:r>
      <w:r>
        <w:rPr>
          <w:rFonts w:hint="eastAsia" w:ascii="宋体" w:hAnsi="宋体" w:cs="宋体"/>
          <w:kern w:val="0"/>
          <w:sz w:val="24"/>
        </w:rPr>
        <w:t>）</w:t>
      </w:r>
    </w:p>
    <w:p w14:paraId="40640E8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最高限价：130万元（详见限价表，以折扣报价）</w:t>
      </w:r>
    </w:p>
    <w:p w14:paraId="5C1A39A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采购需求：详见招标文件采购需求清单</w:t>
      </w:r>
    </w:p>
    <w:p w14:paraId="5A4E6DF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合同履行期限：合同签订后一年内，在接到采购人通知后在指定时间内到达指定地点。</w:t>
      </w:r>
    </w:p>
    <w:p w14:paraId="7B7CF56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42493B3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资金来源：自有资金</w:t>
      </w:r>
    </w:p>
    <w:p w14:paraId="03D18832">
      <w:pPr>
        <w:adjustRightInd w:val="0"/>
        <w:snapToGrid w:val="0"/>
        <w:spacing w:line="360" w:lineRule="auto"/>
        <w:ind w:firstLine="482" w:firstLineChars="200"/>
        <w:rPr>
          <w:b/>
          <w:sz w:val="24"/>
        </w:rPr>
      </w:pPr>
      <w:bookmarkStart w:id="6" w:name="_Toc28359013"/>
      <w:bookmarkStart w:id="7" w:name="_Toc35393799"/>
      <w:bookmarkStart w:id="8" w:name="_Toc28359090"/>
      <w:bookmarkStart w:id="9" w:name="_Toc35393630"/>
      <w:r>
        <w:rPr>
          <w:rFonts w:hint="eastAsia"/>
          <w:b/>
          <w:sz w:val="24"/>
        </w:rPr>
        <w:t>二、申请人的资格要求：</w:t>
      </w:r>
      <w:bookmarkEnd w:id="6"/>
      <w:bookmarkEnd w:id="7"/>
      <w:bookmarkEnd w:id="8"/>
      <w:bookmarkEnd w:id="9"/>
    </w:p>
    <w:p w14:paraId="0F750DE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1.满足《中华人民共和国政府采购法》第二十二条规定；</w:t>
      </w:r>
    </w:p>
    <w:p w14:paraId="46DF49A3">
      <w:pPr>
        <w:adjustRightInd w:val="0"/>
        <w:snapToGrid w:val="0"/>
        <w:spacing w:line="360" w:lineRule="auto"/>
        <w:ind w:firstLine="480" w:firstLineChars="200"/>
        <w:rPr>
          <w:rFonts w:ascii="宋体" w:hAnsi="宋体" w:cs="宋体"/>
          <w:kern w:val="0"/>
          <w:sz w:val="24"/>
        </w:rPr>
      </w:pPr>
      <w:bookmarkStart w:id="10" w:name="_Toc28359091"/>
      <w:bookmarkStart w:id="11" w:name="_Toc28359014"/>
      <w:r>
        <w:rPr>
          <w:rFonts w:ascii="宋体" w:hAnsi="宋体" w:cs="宋体"/>
          <w:kern w:val="0"/>
          <w:sz w:val="24"/>
        </w:rPr>
        <w:t>2</w:t>
      </w:r>
      <w:r>
        <w:rPr>
          <w:rFonts w:hint="eastAsia" w:ascii="宋体" w:hAnsi="宋体" w:cs="宋体"/>
          <w:kern w:val="0"/>
          <w:sz w:val="24"/>
        </w:rPr>
        <w:t>.落实政府采购政策需满足的资格要求：无。</w:t>
      </w:r>
    </w:p>
    <w:p w14:paraId="39AA6D7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w:t>
      </w:r>
      <w:r>
        <w:rPr>
          <w:rFonts w:hint="eastAsia" w:ascii="宋体" w:hAnsi="宋体" w:cs="宋体"/>
          <w:b/>
          <w:bCs/>
          <w:kern w:val="0"/>
          <w:sz w:val="24"/>
        </w:rPr>
        <w:t>供应商具有合格的“道路运输经营许可证”提供证书复印件加盖公章。</w:t>
      </w:r>
    </w:p>
    <w:p w14:paraId="302D34C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2FDC3C2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5.具备《中华人民共和国政府采购法》第二十二条规定条件及其他相关承诺书。（按格式提供）</w:t>
      </w:r>
    </w:p>
    <w:p w14:paraId="1FD9848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304F4D68">
      <w:pPr>
        <w:adjustRightInd w:val="0"/>
        <w:snapToGrid w:val="0"/>
        <w:spacing w:line="360" w:lineRule="auto"/>
        <w:ind w:firstLine="482" w:firstLineChars="200"/>
        <w:rPr>
          <w:b/>
          <w:sz w:val="24"/>
        </w:rPr>
      </w:pPr>
      <w:bookmarkStart w:id="12" w:name="_Toc35393631"/>
      <w:bookmarkStart w:id="13" w:name="_Toc35393800"/>
      <w:r>
        <w:rPr>
          <w:rFonts w:hint="eastAsia"/>
          <w:b/>
          <w:sz w:val="24"/>
        </w:rPr>
        <w:t>三、获取采购文件</w:t>
      </w:r>
      <w:bookmarkEnd w:id="10"/>
      <w:bookmarkEnd w:id="11"/>
      <w:bookmarkEnd w:id="12"/>
      <w:bookmarkEnd w:id="13"/>
    </w:p>
    <w:p w14:paraId="7353C311">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时间：2025年3月</w:t>
      </w:r>
      <w:r>
        <w:rPr>
          <w:rFonts w:hint="eastAsia" w:ascii="宋体" w:hAnsi="宋体" w:cs="宋体"/>
          <w:kern w:val="0"/>
          <w:sz w:val="24"/>
          <w:lang w:val="en-US" w:eastAsia="zh-CN"/>
        </w:rPr>
        <w:t>26</w:t>
      </w:r>
      <w:r>
        <w:rPr>
          <w:rFonts w:hint="eastAsia" w:ascii="宋体" w:hAnsi="宋体" w:cs="宋体"/>
          <w:kern w:val="0"/>
          <w:sz w:val="24"/>
        </w:rPr>
        <w:t>日至2025年</w:t>
      </w:r>
      <w:r>
        <w:rPr>
          <w:rFonts w:hint="eastAsia" w:ascii="宋体" w:hAnsi="宋体" w:cs="宋体"/>
          <w:kern w:val="0"/>
          <w:sz w:val="24"/>
          <w:lang w:val="en-US" w:eastAsia="zh-CN"/>
        </w:rPr>
        <w:t>4</w:t>
      </w:r>
      <w:r>
        <w:rPr>
          <w:rFonts w:hint="eastAsia" w:ascii="宋体" w:hAnsi="宋体" w:cs="宋体"/>
          <w:kern w:val="0"/>
          <w:sz w:val="24"/>
        </w:rPr>
        <w:t>月2日，每天上午00:00至12:00，下午12:01至17:30（北京时间，法定节假日除外 ）</w:t>
      </w:r>
    </w:p>
    <w:p w14:paraId="72822FA7">
      <w:pPr>
        <w:adjustRightInd w:val="0"/>
        <w:snapToGrid w:val="0"/>
        <w:spacing w:line="360" w:lineRule="auto"/>
        <w:ind w:firstLine="480" w:firstLineChars="200"/>
        <w:rPr>
          <w:rFonts w:ascii="宋体" w:hAnsi="宋体" w:cs="宋体"/>
          <w:kern w:val="0"/>
          <w:sz w:val="24"/>
        </w:rPr>
      </w:pPr>
      <w:bookmarkStart w:id="14" w:name="_Toc28359092"/>
      <w:bookmarkStart w:id="15" w:name="_Toc28359015"/>
      <w:bookmarkStart w:id="16" w:name="_Toc35393632"/>
      <w:bookmarkStart w:id="17" w:name="_Toc35393801"/>
      <w:r>
        <w:rPr>
          <w:rFonts w:ascii="宋体" w:hAnsi="宋体" w:cs="宋体"/>
          <w:kern w:val="0"/>
          <w:sz w:val="24"/>
        </w:rPr>
        <w:t>地点：</w:t>
      </w:r>
      <w:r>
        <w:rPr>
          <w:rFonts w:hint="eastAsia" w:ascii="宋体" w:hAnsi="宋体" w:cs="宋体"/>
          <w:kern w:val="0"/>
          <w:sz w:val="24"/>
        </w:rPr>
        <w:t>海南阳光招标采购平台https://hnsygszh.etrading.cn/</w:t>
      </w:r>
    </w:p>
    <w:p w14:paraId="4A1F9D2C">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方式</w:t>
      </w:r>
      <w:r>
        <w:rPr>
          <w:rFonts w:hint="eastAsia" w:ascii="宋体" w:hAnsi="宋体" w:cs="宋体"/>
          <w:kern w:val="0"/>
          <w:sz w:val="24"/>
        </w:rPr>
        <w:t>：网上下载</w:t>
      </w:r>
    </w:p>
    <w:p w14:paraId="47A1514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平台服务费：350元</w:t>
      </w:r>
    </w:p>
    <w:bookmarkEnd w:id="14"/>
    <w:bookmarkEnd w:id="15"/>
    <w:bookmarkEnd w:id="16"/>
    <w:bookmarkEnd w:id="17"/>
    <w:p w14:paraId="2F2C07CD">
      <w:pPr>
        <w:pStyle w:val="231"/>
        <w:keepNext/>
        <w:keepLines/>
        <w:autoSpaceDE w:val="0"/>
        <w:autoSpaceDN w:val="0"/>
        <w:adjustRightInd w:val="0"/>
        <w:snapToGrid w:val="0"/>
        <w:spacing w:line="360" w:lineRule="auto"/>
        <w:ind w:firstLine="482"/>
        <w:textAlignment w:val="baseline"/>
        <w:outlineLvl w:val="1"/>
        <w:rPr>
          <w:rFonts w:ascii="宋体" w:hAnsi="宋体" w:cs="宋体"/>
          <w:b/>
          <w:kern w:val="0"/>
          <w:sz w:val="24"/>
        </w:rPr>
      </w:pPr>
      <w:r>
        <w:rPr>
          <w:rFonts w:ascii="宋体" w:hAnsi="宋体" w:cs="宋体"/>
          <w:b/>
          <w:kern w:val="0"/>
          <w:sz w:val="24"/>
        </w:rPr>
        <w:t>四、提交</w:t>
      </w:r>
      <w:r>
        <w:rPr>
          <w:rFonts w:hint="eastAsia" w:ascii="宋体" w:hAnsi="宋体" w:cs="宋体"/>
          <w:b/>
          <w:kern w:val="0"/>
          <w:sz w:val="24"/>
        </w:rPr>
        <w:t>投标文件截止时间、开标时间和地点</w:t>
      </w:r>
    </w:p>
    <w:p w14:paraId="519ECE9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16</w:t>
      </w:r>
      <w:r>
        <w:rPr>
          <w:rFonts w:hint="eastAsia" w:ascii="宋体" w:hAnsi="宋体" w:cs="宋体"/>
          <w:kern w:val="0"/>
          <w:sz w:val="24"/>
        </w:rPr>
        <w:t>日09点00分（北京时间）</w:t>
      </w:r>
    </w:p>
    <w:p w14:paraId="6BFBFDB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w:t>
      </w:r>
      <w:bookmarkStart w:id="18" w:name="_Toc35393634"/>
      <w:bookmarkStart w:id="19" w:name="_Toc35393803"/>
      <w:bookmarkStart w:id="20" w:name="_Toc28359017"/>
      <w:bookmarkStart w:id="21" w:name="_Toc28359094"/>
      <w:r>
        <w:rPr>
          <w:rFonts w:hint="eastAsia" w:ascii="宋体" w:hAnsi="宋体" w:cs="宋体"/>
          <w:kern w:val="0"/>
          <w:sz w:val="24"/>
        </w:rPr>
        <w:t>海口市蓝天路西2-8号海南省教学仪器设备招标中心有限公司开标室</w:t>
      </w:r>
    </w:p>
    <w:p w14:paraId="6C8D62DD">
      <w:pPr>
        <w:adjustRightInd w:val="0"/>
        <w:snapToGrid w:val="0"/>
        <w:spacing w:line="360" w:lineRule="auto"/>
        <w:ind w:firstLine="482" w:firstLineChars="200"/>
        <w:rPr>
          <w:b/>
          <w:sz w:val="24"/>
        </w:rPr>
      </w:pPr>
      <w:r>
        <w:rPr>
          <w:rFonts w:hint="eastAsia"/>
          <w:b/>
          <w:sz w:val="24"/>
        </w:rPr>
        <w:t>五、</w:t>
      </w:r>
      <w:bookmarkEnd w:id="18"/>
      <w:bookmarkEnd w:id="19"/>
      <w:bookmarkEnd w:id="20"/>
      <w:bookmarkEnd w:id="21"/>
      <w:bookmarkStart w:id="22" w:name="_Toc35393635"/>
      <w:bookmarkStart w:id="23" w:name="_Toc35393804"/>
      <w:r>
        <w:rPr>
          <w:rFonts w:hint="eastAsia"/>
          <w:b/>
          <w:sz w:val="24"/>
        </w:rPr>
        <w:t>公告期限</w:t>
      </w:r>
      <w:r>
        <w:rPr>
          <w:rFonts w:hint="eastAsia" w:ascii="宋体" w:hAnsi="宋体" w:cs="宋体"/>
          <w:kern w:val="0"/>
          <w:sz w:val="24"/>
        </w:rPr>
        <w:t>：自本公告发布之日起5个工作日</w:t>
      </w:r>
    </w:p>
    <w:p w14:paraId="64AD0EF6">
      <w:pPr>
        <w:adjustRightInd w:val="0"/>
        <w:snapToGrid w:val="0"/>
        <w:spacing w:line="360" w:lineRule="auto"/>
        <w:ind w:firstLine="482" w:firstLineChars="200"/>
        <w:rPr>
          <w:b/>
          <w:sz w:val="24"/>
        </w:rPr>
      </w:pPr>
      <w:r>
        <w:rPr>
          <w:rFonts w:hint="eastAsia"/>
          <w:b/>
          <w:sz w:val="24"/>
        </w:rPr>
        <w:t>六、其他补充事宜</w:t>
      </w:r>
      <w:bookmarkEnd w:id="22"/>
      <w:bookmarkEnd w:id="23"/>
    </w:p>
    <w:p w14:paraId="35AF880F">
      <w:pPr>
        <w:adjustRightInd w:val="0"/>
        <w:snapToGrid w:val="0"/>
        <w:spacing w:line="360" w:lineRule="auto"/>
        <w:ind w:firstLine="480" w:firstLineChars="200"/>
        <w:rPr>
          <w:rFonts w:ascii="宋体" w:hAnsi="宋体" w:cs="宋体"/>
          <w:kern w:val="0"/>
          <w:sz w:val="24"/>
        </w:rPr>
      </w:pPr>
      <w:bookmarkStart w:id="24" w:name="_Toc35393636"/>
      <w:bookmarkStart w:id="25" w:name="_Toc28359095"/>
      <w:bookmarkStart w:id="26" w:name="_Toc35393805"/>
      <w:bookmarkStart w:id="27" w:name="_Toc28359018"/>
      <w:r>
        <w:rPr>
          <w:rFonts w:hint="eastAsia" w:ascii="宋体" w:hAnsi="宋体" w:cs="宋体"/>
          <w:kern w:val="0"/>
          <w:sz w:val="24"/>
        </w:rPr>
        <w:t>1.供应商须登录海南阳光招标采购平台（https://hnsygszh.etrading.cn/）查询、获取采购文件。并按照招标采购平台的要求办理注册、资料核验及在线下载采购文件。已办理过海南</w:t>
      </w:r>
      <w:r>
        <w:rPr>
          <w:rFonts w:hint="eastAsia" w:ascii="宋体" w:hAnsi="宋体" w:cs="宋体"/>
          <w:color w:val="FF0000"/>
          <w:kern w:val="0"/>
          <w:sz w:val="24"/>
        </w:rPr>
        <w:t>蓝色</w:t>
      </w:r>
      <w:r>
        <w:rPr>
          <w:rFonts w:hint="eastAsia" w:ascii="宋体" w:hAnsi="宋体" w:cs="宋体"/>
          <w:kern w:val="0"/>
          <w:sz w:val="24"/>
        </w:rPr>
        <w:t>CA锁的供应商，无需再次办理</w:t>
      </w:r>
      <w:r>
        <w:rPr>
          <w:rFonts w:hint="eastAsia" w:ascii="宋体" w:hAnsi="宋体" w:cs="宋体"/>
          <w:color w:val="000000" w:themeColor="text1"/>
          <w:kern w:val="0"/>
          <w:sz w:val="24"/>
        </w:rPr>
        <w:t>CA锁</w:t>
      </w:r>
      <w:r>
        <w:rPr>
          <w:rFonts w:hint="eastAsia" w:ascii="宋体" w:hAnsi="宋体" w:cs="宋体"/>
          <w:kern w:val="0"/>
          <w:sz w:val="24"/>
        </w:rPr>
        <w:t>，账号注册完成后，登录平台内并进行CA锁绑定激活。</w:t>
      </w:r>
    </w:p>
    <w:p w14:paraId="7889C65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技术咨询：4009280095-5；</w:t>
      </w:r>
    </w:p>
    <w:p w14:paraId="44AEC78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2.投标人（供应商）操作教程：</w:t>
      </w:r>
      <w:r>
        <w:fldChar w:fldCharType="begin"/>
      </w:r>
      <w:r>
        <w:instrText xml:space="preserve"> HYPERLINK "https://www.etrading.cn/bszn/015005/video_guide.html" </w:instrText>
      </w:r>
      <w:r>
        <w:fldChar w:fldCharType="separate"/>
      </w:r>
      <w:r>
        <w:rPr>
          <w:rFonts w:hint="eastAsia" w:ascii="宋体" w:hAnsi="宋体" w:cs="宋体"/>
          <w:kern w:val="0"/>
          <w:sz w:val="24"/>
        </w:rPr>
        <w:t>https://www.etrading.cn/bszn /015005/video _guide.html</w:t>
      </w:r>
      <w:r>
        <w:rPr>
          <w:rFonts w:hint="eastAsia" w:ascii="宋体" w:hAnsi="宋体" w:cs="宋体"/>
          <w:kern w:val="0"/>
          <w:sz w:val="24"/>
        </w:rPr>
        <w:fldChar w:fldCharType="end"/>
      </w:r>
      <w:r>
        <w:rPr>
          <w:rFonts w:hint="eastAsia" w:ascii="宋体" w:hAnsi="宋体" w:cs="宋体"/>
          <w:kern w:val="0"/>
          <w:sz w:val="24"/>
        </w:rPr>
        <w:t> </w:t>
      </w:r>
    </w:p>
    <w:p w14:paraId="326A61E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本项目为非电子标项目，需投标现场提交纸质版响应文件。</w:t>
      </w:r>
    </w:p>
    <w:p w14:paraId="63D4CF0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开启前供应商应登录海南阳光招标采购平台（https://hnsygszh.etrading.cn/）上传PDF格式响应文件正本文件。 （适用于网络递交）</w:t>
      </w:r>
    </w:p>
    <w:p w14:paraId="6DAB88C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财务联系电话：0898-66737260</w:t>
      </w:r>
    </w:p>
    <w:p w14:paraId="5100FFB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3、投标人应准备一份正本和四份副本，并在每一份“投标文件”上要明确注明“正本”或“副本”字样。</w:t>
      </w:r>
    </w:p>
    <w:p w14:paraId="0AB8771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4、投标人应将“投标文件”胶装成册。为了方便开标、评标，投标人应将“投标文件”正本的 “开标一览表和采购需求响应表多备一份（以包为单位）”单独密封于一小信封内，并在该信封上标明“开标一览表”字样，然后再装入“投标文件”正本的密封袋中。（</w:t>
      </w:r>
      <w:r>
        <w:rPr>
          <w:rFonts w:hint="eastAsia" w:ascii="宋体" w:hAnsi="宋体" w:cs="宋体"/>
          <w:b/>
          <w:bCs/>
          <w:kern w:val="0"/>
          <w:sz w:val="24"/>
        </w:rPr>
        <w:t>开标时递交U盘拷贝的PDF格式正本的投标文件。</w:t>
      </w:r>
      <w:r>
        <w:rPr>
          <w:rFonts w:hint="eastAsia" w:ascii="宋体" w:hAnsi="宋体" w:cs="宋体"/>
          <w:kern w:val="0"/>
          <w:sz w:val="24"/>
        </w:rPr>
        <w:t>）</w:t>
      </w:r>
    </w:p>
    <w:p w14:paraId="2A1AA2D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5、采购人不接受有任何选择的报价。</w:t>
      </w:r>
    </w:p>
    <w:p w14:paraId="007FB63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6、项目不收保证金。</w:t>
      </w:r>
    </w:p>
    <w:p w14:paraId="29BC857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采购信息查询：http://www.hainjy.com/</w:t>
      </w:r>
    </w:p>
    <w:p w14:paraId="7346FCCE">
      <w:pPr>
        <w:adjustRightInd w:val="0"/>
        <w:snapToGrid w:val="0"/>
        <w:spacing w:line="360" w:lineRule="auto"/>
        <w:ind w:firstLine="482" w:firstLineChars="200"/>
        <w:rPr>
          <w:b/>
          <w:sz w:val="24"/>
        </w:rPr>
      </w:pPr>
      <w:r>
        <w:rPr>
          <w:rFonts w:hint="eastAsia"/>
          <w:b/>
          <w:sz w:val="24"/>
        </w:rPr>
        <w:t>七、凡对本次采购提出询问，请按</w:t>
      </w:r>
      <w:r>
        <w:rPr>
          <w:b/>
          <w:sz w:val="24"/>
        </w:rPr>
        <w:t>以下方式</w:t>
      </w:r>
      <w:r>
        <w:rPr>
          <w:rFonts w:hint="eastAsia"/>
          <w:b/>
          <w:sz w:val="24"/>
        </w:rPr>
        <w:t>联系。</w:t>
      </w:r>
      <w:bookmarkEnd w:id="24"/>
      <w:bookmarkEnd w:id="25"/>
      <w:bookmarkEnd w:id="26"/>
      <w:bookmarkEnd w:id="27"/>
    </w:p>
    <w:p w14:paraId="04735FD7">
      <w:pPr>
        <w:adjustRightInd w:val="0"/>
        <w:snapToGrid w:val="0"/>
        <w:spacing w:line="360" w:lineRule="auto"/>
        <w:ind w:firstLine="480" w:firstLineChars="200"/>
        <w:rPr>
          <w:rFonts w:ascii="宋体" w:hAnsi="宋体" w:cs="宋体"/>
          <w:kern w:val="0"/>
          <w:sz w:val="24"/>
        </w:rPr>
      </w:pPr>
      <w:bookmarkStart w:id="28" w:name="_Toc28359096"/>
      <w:bookmarkStart w:id="29" w:name="_Toc28359019"/>
      <w:bookmarkStart w:id="30" w:name="_Toc35393806"/>
      <w:bookmarkStart w:id="31" w:name="_Toc35393637"/>
      <w:r>
        <w:rPr>
          <w:rFonts w:hint="eastAsia" w:ascii="宋体" w:hAnsi="宋体" w:cs="宋体"/>
          <w:kern w:val="0"/>
          <w:sz w:val="24"/>
        </w:rPr>
        <w:t>1.采购人信息</w:t>
      </w:r>
      <w:bookmarkEnd w:id="28"/>
      <w:bookmarkEnd w:id="29"/>
      <w:bookmarkEnd w:id="30"/>
      <w:bookmarkEnd w:id="31"/>
    </w:p>
    <w:p w14:paraId="3C3890F1">
      <w:pPr>
        <w:adjustRightInd w:val="0"/>
        <w:snapToGrid w:val="0"/>
        <w:spacing w:line="360" w:lineRule="auto"/>
        <w:ind w:firstLine="480" w:firstLineChars="200"/>
        <w:rPr>
          <w:rFonts w:ascii="宋体" w:hAnsi="宋体" w:cs="宋体"/>
          <w:kern w:val="0"/>
          <w:sz w:val="24"/>
        </w:rPr>
      </w:pPr>
      <w:bookmarkStart w:id="32" w:name="_Toc35393638"/>
      <w:bookmarkStart w:id="33" w:name="_Toc35393807"/>
      <w:bookmarkStart w:id="34" w:name="_Toc28359020"/>
      <w:bookmarkStart w:id="35" w:name="_Toc28359097"/>
      <w:r>
        <w:rPr>
          <w:rFonts w:hint="eastAsia" w:ascii="宋体" w:hAnsi="宋体" w:cs="宋体"/>
          <w:kern w:val="0"/>
          <w:sz w:val="24"/>
        </w:rPr>
        <w:t>名    称：　海南省军粮统筹配送中心有限公司</w:t>
      </w:r>
    </w:p>
    <w:p w14:paraId="012C4AC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海南省海口市丘海大道52号</w:t>
      </w:r>
    </w:p>
    <w:p w14:paraId="1DE5030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林先生13006087076</w:t>
      </w:r>
    </w:p>
    <w:p w14:paraId="3E09CC8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32"/>
      <w:bookmarkEnd w:id="33"/>
      <w:bookmarkEnd w:id="34"/>
      <w:bookmarkEnd w:id="35"/>
    </w:p>
    <w:p w14:paraId="7902D8A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17BEFD8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海南省海口市蓝天路2-8号　　</w:t>
      </w:r>
    </w:p>
    <w:p w14:paraId="1D0E7A0F">
      <w:pPr>
        <w:adjustRightInd w:val="0"/>
        <w:snapToGrid w:val="0"/>
        <w:spacing w:line="360" w:lineRule="auto"/>
        <w:ind w:firstLine="480" w:firstLineChars="200"/>
        <w:rPr>
          <w:rFonts w:ascii="宋体" w:hAnsi="宋体"/>
          <w:kern w:val="0"/>
          <w:sz w:val="28"/>
          <w:szCs w:val="28"/>
        </w:rPr>
      </w:pPr>
      <w:r>
        <w:rPr>
          <w:rFonts w:hint="eastAsia" w:ascii="宋体" w:hAnsi="宋体" w:cs="宋体"/>
          <w:kern w:val="0"/>
          <w:sz w:val="24"/>
        </w:rPr>
        <w:t>联系方式：　0898-66779294</w:t>
      </w:r>
    </w:p>
    <w:p w14:paraId="70ACF29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2F8570A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项目联系人：李先生</w:t>
      </w:r>
    </w:p>
    <w:p w14:paraId="65585ADA">
      <w:pPr>
        <w:adjustRightInd w:val="0"/>
        <w:snapToGrid w:val="0"/>
        <w:spacing w:line="360" w:lineRule="auto"/>
        <w:ind w:firstLine="480" w:firstLineChars="200"/>
      </w:pPr>
      <w:r>
        <w:rPr>
          <w:rFonts w:hint="eastAsia" w:ascii="宋体" w:hAnsi="宋体" w:cs="宋体"/>
          <w:kern w:val="0"/>
          <w:sz w:val="24"/>
        </w:rPr>
        <w:t>联系方式： 0898-66779294</w:t>
      </w:r>
    </w:p>
    <w:bookmarkEnd w:id="1"/>
    <w:p w14:paraId="51D03DF9">
      <w:pPr>
        <w:pStyle w:val="3"/>
        <w:jc w:val="center"/>
      </w:pPr>
      <w:bookmarkStart w:id="36" w:name="_Toc29738"/>
      <w:r>
        <w:rPr>
          <w:rFonts w:hint="eastAsia"/>
        </w:rPr>
        <w:t>第二章投标人</w:t>
      </w:r>
      <w:r>
        <w:t>须知</w:t>
      </w:r>
      <w:bookmarkEnd w:id="36"/>
    </w:p>
    <w:p w14:paraId="122C4261">
      <w:pPr>
        <w:pStyle w:val="2"/>
        <w:jc w:val="center"/>
      </w:pPr>
      <w:bookmarkStart w:id="37" w:name="_Toc21690"/>
      <w:r>
        <w:rPr>
          <w:rFonts w:hint="eastAsia"/>
        </w:rPr>
        <w:t>投标人须知前附表</w:t>
      </w:r>
      <w:bookmarkEnd w:id="37"/>
    </w:p>
    <w:tbl>
      <w:tblPr>
        <w:tblStyle w:val="33"/>
        <w:tblW w:w="9511"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1"/>
        <w:gridCol w:w="2545"/>
        <w:gridCol w:w="6295"/>
      </w:tblGrid>
      <w:tr w14:paraId="213AC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671" w:type="dxa"/>
            <w:vAlign w:val="center"/>
          </w:tcPr>
          <w:p w14:paraId="6B13B0E0">
            <w:pPr>
              <w:jc w:val="center"/>
              <w:rPr>
                <w:sz w:val="24"/>
              </w:rPr>
            </w:pPr>
            <w:r>
              <w:rPr>
                <w:rFonts w:hint="eastAsia"/>
                <w:sz w:val="24"/>
              </w:rPr>
              <w:t>序号</w:t>
            </w:r>
          </w:p>
        </w:tc>
        <w:tc>
          <w:tcPr>
            <w:tcW w:w="2545" w:type="dxa"/>
            <w:vAlign w:val="center"/>
          </w:tcPr>
          <w:p w14:paraId="12ACB565">
            <w:pPr>
              <w:jc w:val="center"/>
              <w:rPr>
                <w:sz w:val="24"/>
              </w:rPr>
            </w:pPr>
            <w:r>
              <w:rPr>
                <w:rFonts w:hint="eastAsia"/>
                <w:sz w:val="24"/>
              </w:rPr>
              <w:t>条款名称</w:t>
            </w:r>
          </w:p>
        </w:tc>
        <w:tc>
          <w:tcPr>
            <w:tcW w:w="6295" w:type="dxa"/>
            <w:vAlign w:val="center"/>
          </w:tcPr>
          <w:p w14:paraId="043BF56C">
            <w:pPr>
              <w:jc w:val="center"/>
              <w:rPr>
                <w:sz w:val="24"/>
              </w:rPr>
            </w:pPr>
            <w:r>
              <w:rPr>
                <w:rFonts w:hint="eastAsia"/>
                <w:sz w:val="24"/>
              </w:rPr>
              <w:t>说明和要求</w:t>
            </w:r>
          </w:p>
        </w:tc>
      </w:tr>
      <w:tr w14:paraId="63C19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 w:hRule="atLeast"/>
        </w:trPr>
        <w:tc>
          <w:tcPr>
            <w:tcW w:w="671" w:type="dxa"/>
            <w:vAlign w:val="center"/>
          </w:tcPr>
          <w:p w14:paraId="79E95AA0">
            <w:pPr>
              <w:jc w:val="center"/>
              <w:rPr>
                <w:color w:val="000000" w:themeColor="text1"/>
                <w:sz w:val="24"/>
              </w:rPr>
            </w:pPr>
            <w:r>
              <w:rPr>
                <w:color w:val="000000" w:themeColor="text1"/>
                <w:sz w:val="24"/>
              </w:rPr>
              <w:t>1</w:t>
            </w:r>
          </w:p>
        </w:tc>
        <w:tc>
          <w:tcPr>
            <w:tcW w:w="2545" w:type="dxa"/>
            <w:vAlign w:val="center"/>
          </w:tcPr>
          <w:p w14:paraId="30D5E539">
            <w:pPr>
              <w:rPr>
                <w:color w:val="000000" w:themeColor="text1"/>
                <w:sz w:val="24"/>
              </w:rPr>
            </w:pPr>
            <w:r>
              <w:rPr>
                <w:rFonts w:hint="eastAsia"/>
                <w:color w:val="000000" w:themeColor="text1"/>
                <w:sz w:val="24"/>
              </w:rPr>
              <w:t>项目预算</w:t>
            </w:r>
          </w:p>
        </w:tc>
        <w:tc>
          <w:tcPr>
            <w:tcW w:w="6295" w:type="dxa"/>
          </w:tcPr>
          <w:p w14:paraId="537615B8">
            <w:pPr>
              <w:rPr>
                <w:color w:val="000000" w:themeColor="text1"/>
                <w:sz w:val="24"/>
              </w:rPr>
            </w:pPr>
            <w:r>
              <w:rPr>
                <w:rFonts w:hint="eastAsia" w:ascii="宋体" w:hAnsi="宋体" w:cs="宋体"/>
                <w:kern w:val="0"/>
                <w:sz w:val="24"/>
              </w:rPr>
              <w:t>130万元</w:t>
            </w:r>
            <w:r>
              <w:rPr>
                <w:rFonts w:hint="eastAsia"/>
                <w:color w:val="000000" w:themeColor="text1"/>
                <w:sz w:val="24"/>
              </w:rPr>
              <w:t>。投标人总报价、各单价报价不能超过采购预算，超过视为无效投标。</w:t>
            </w:r>
          </w:p>
        </w:tc>
      </w:tr>
      <w:tr w14:paraId="0CACC9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atLeast"/>
        </w:trPr>
        <w:tc>
          <w:tcPr>
            <w:tcW w:w="671" w:type="dxa"/>
            <w:vAlign w:val="center"/>
          </w:tcPr>
          <w:p w14:paraId="69C7C9C3">
            <w:pPr>
              <w:jc w:val="center"/>
              <w:rPr>
                <w:color w:val="000000" w:themeColor="text1"/>
                <w:sz w:val="24"/>
              </w:rPr>
            </w:pPr>
            <w:r>
              <w:rPr>
                <w:color w:val="000000" w:themeColor="text1"/>
                <w:sz w:val="24"/>
              </w:rPr>
              <w:t>2</w:t>
            </w:r>
          </w:p>
        </w:tc>
        <w:tc>
          <w:tcPr>
            <w:tcW w:w="2545" w:type="dxa"/>
            <w:vAlign w:val="center"/>
          </w:tcPr>
          <w:p w14:paraId="1A6E7A5A">
            <w:pPr>
              <w:rPr>
                <w:color w:val="000000" w:themeColor="text1"/>
                <w:sz w:val="24"/>
              </w:rPr>
            </w:pPr>
            <w:r>
              <w:rPr>
                <w:rFonts w:hint="eastAsia"/>
                <w:color w:val="000000" w:themeColor="text1"/>
                <w:sz w:val="24"/>
              </w:rPr>
              <w:t>是否接受进口产品投标</w:t>
            </w:r>
          </w:p>
        </w:tc>
        <w:tc>
          <w:tcPr>
            <w:tcW w:w="6295" w:type="dxa"/>
            <w:vAlign w:val="center"/>
          </w:tcPr>
          <w:p w14:paraId="5DC1B899">
            <w:pPr>
              <w:rPr>
                <w:color w:val="000000" w:themeColor="text1"/>
                <w:sz w:val="24"/>
              </w:rPr>
            </w:pPr>
            <w:r>
              <w:rPr>
                <w:rFonts w:hint="eastAsia"/>
                <w:color w:val="000000" w:themeColor="text1"/>
                <w:sz w:val="24"/>
              </w:rPr>
              <w:t>接受（）不接受（√）</w:t>
            </w:r>
          </w:p>
        </w:tc>
      </w:tr>
      <w:tr w14:paraId="65431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43167433">
            <w:pPr>
              <w:jc w:val="center"/>
              <w:rPr>
                <w:sz w:val="24"/>
              </w:rPr>
            </w:pPr>
            <w:r>
              <w:rPr>
                <w:sz w:val="24"/>
              </w:rPr>
              <w:t>3</w:t>
            </w:r>
          </w:p>
        </w:tc>
        <w:tc>
          <w:tcPr>
            <w:tcW w:w="2545" w:type="dxa"/>
            <w:vAlign w:val="center"/>
          </w:tcPr>
          <w:p w14:paraId="5210D72F">
            <w:pPr>
              <w:rPr>
                <w:sz w:val="24"/>
              </w:rPr>
            </w:pPr>
            <w:r>
              <w:rPr>
                <w:rFonts w:hint="eastAsia"/>
                <w:sz w:val="24"/>
              </w:rPr>
              <w:t>标前踏勘现场或</w:t>
            </w:r>
            <w:r>
              <w:rPr>
                <w:sz w:val="24"/>
              </w:rPr>
              <w:t>/</w:t>
            </w:r>
            <w:r>
              <w:rPr>
                <w:rFonts w:hint="eastAsia"/>
                <w:sz w:val="24"/>
              </w:rPr>
              <w:t>和标前答疑会</w:t>
            </w:r>
          </w:p>
        </w:tc>
        <w:tc>
          <w:tcPr>
            <w:tcW w:w="6295" w:type="dxa"/>
            <w:vAlign w:val="center"/>
          </w:tcPr>
          <w:p w14:paraId="52C7D6B7">
            <w:pPr>
              <w:rPr>
                <w:sz w:val="24"/>
              </w:rPr>
            </w:pPr>
            <w:r>
              <w:rPr>
                <w:rFonts w:hint="eastAsia"/>
                <w:sz w:val="24"/>
              </w:rPr>
              <w:t>组织（）不组织（√）</w:t>
            </w:r>
          </w:p>
        </w:tc>
      </w:tr>
      <w:tr w14:paraId="52887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1E160E9A">
            <w:pPr>
              <w:jc w:val="center"/>
              <w:rPr>
                <w:sz w:val="24"/>
              </w:rPr>
            </w:pPr>
            <w:r>
              <w:rPr>
                <w:sz w:val="24"/>
              </w:rPr>
              <w:t>4</w:t>
            </w:r>
          </w:p>
        </w:tc>
        <w:tc>
          <w:tcPr>
            <w:tcW w:w="2545" w:type="dxa"/>
            <w:vAlign w:val="center"/>
          </w:tcPr>
          <w:p w14:paraId="6829584A">
            <w:pPr>
              <w:rPr>
                <w:sz w:val="24"/>
              </w:rPr>
            </w:pPr>
            <w:r>
              <w:rPr>
                <w:rFonts w:hint="eastAsia"/>
                <w:sz w:val="24"/>
              </w:rPr>
              <w:t>述标和</w:t>
            </w:r>
            <w:r>
              <w:rPr>
                <w:sz w:val="24"/>
              </w:rPr>
              <w:t>/</w:t>
            </w:r>
            <w:r>
              <w:rPr>
                <w:rFonts w:hint="eastAsia"/>
                <w:sz w:val="24"/>
              </w:rPr>
              <w:t>或产（样）品演（展）示</w:t>
            </w:r>
          </w:p>
        </w:tc>
        <w:tc>
          <w:tcPr>
            <w:tcW w:w="6295" w:type="dxa"/>
            <w:vAlign w:val="center"/>
          </w:tcPr>
          <w:p w14:paraId="0FA29DF9">
            <w:pPr>
              <w:rPr>
                <w:sz w:val="24"/>
              </w:rPr>
            </w:pPr>
            <w:r>
              <w:rPr>
                <w:rFonts w:hint="eastAsia"/>
                <w:sz w:val="24"/>
              </w:rPr>
              <w:t>有（）无（√）</w:t>
            </w:r>
          </w:p>
        </w:tc>
      </w:tr>
      <w:tr w14:paraId="5406F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671" w:type="dxa"/>
            <w:vAlign w:val="center"/>
          </w:tcPr>
          <w:p w14:paraId="429CA1AA">
            <w:pPr>
              <w:jc w:val="center"/>
              <w:rPr>
                <w:sz w:val="24"/>
              </w:rPr>
            </w:pPr>
            <w:r>
              <w:rPr>
                <w:sz w:val="24"/>
              </w:rPr>
              <w:t>5</w:t>
            </w:r>
          </w:p>
        </w:tc>
        <w:tc>
          <w:tcPr>
            <w:tcW w:w="2545" w:type="dxa"/>
            <w:vAlign w:val="center"/>
          </w:tcPr>
          <w:p w14:paraId="6EBCFE0E">
            <w:pPr>
              <w:rPr>
                <w:sz w:val="24"/>
              </w:rPr>
            </w:pPr>
            <w:r>
              <w:rPr>
                <w:rFonts w:hint="eastAsia"/>
                <w:sz w:val="24"/>
              </w:rPr>
              <w:t>投标有效期</w:t>
            </w:r>
          </w:p>
        </w:tc>
        <w:tc>
          <w:tcPr>
            <w:tcW w:w="6295" w:type="dxa"/>
            <w:vAlign w:val="center"/>
          </w:tcPr>
          <w:p w14:paraId="74B7AD5C">
            <w:pPr>
              <w:rPr>
                <w:sz w:val="24"/>
              </w:rPr>
            </w:pPr>
            <w:r>
              <w:rPr>
                <w:rFonts w:hint="eastAsia"/>
                <w:sz w:val="24"/>
              </w:rPr>
              <w:t>从提交投标文件的截止之日起算的90天内有效。</w:t>
            </w:r>
          </w:p>
        </w:tc>
      </w:tr>
      <w:tr w14:paraId="20F88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671" w:type="dxa"/>
            <w:vAlign w:val="center"/>
          </w:tcPr>
          <w:p w14:paraId="726A745D">
            <w:pPr>
              <w:shd w:val="clear" w:color="auto" w:fill="FFFFFF" w:themeFill="background1"/>
              <w:jc w:val="center"/>
              <w:rPr>
                <w:sz w:val="24"/>
              </w:rPr>
            </w:pPr>
            <w:r>
              <w:rPr>
                <w:color w:val="000000" w:themeColor="text1"/>
                <w:sz w:val="24"/>
              </w:rPr>
              <w:t>6</w:t>
            </w:r>
          </w:p>
        </w:tc>
        <w:tc>
          <w:tcPr>
            <w:tcW w:w="2545" w:type="dxa"/>
            <w:vAlign w:val="center"/>
          </w:tcPr>
          <w:p w14:paraId="6DA33EA8">
            <w:pPr>
              <w:shd w:val="clear" w:color="auto" w:fill="FFFFFF" w:themeFill="background1"/>
              <w:rPr>
                <w:sz w:val="24"/>
              </w:rPr>
            </w:pPr>
            <w:r>
              <w:rPr>
                <w:rFonts w:hint="eastAsia"/>
                <w:color w:val="000000" w:themeColor="text1"/>
                <w:sz w:val="24"/>
              </w:rPr>
              <w:t>投标文件要求</w:t>
            </w:r>
          </w:p>
        </w:tc>
        <w:tc>
          <w:tcPr>
            <w:tcW w:w="6295" w:type="dxa"/>
            <w:vAlign w:val="center"/>
          </w:tcPr>
          <w:p w14:paraId="720A467B">
            <w:pPr>
              <w:pStyle w:val="92"/>
              <w:shd w:val="clear" w:color="auto" w:fill="FFFFFF" w:themeFill="background1"/>
              <w:spacing w:line="440" w:lineRule="exact"/>
              <w:ind w:firstLine="240" w:firstLineChars="100"/>
              <w:rPr>
                <w:color w:val="000000" w:themeColor="text1"/>
                <w:lang w:val="zh-CN"/>
              </w:rPr>
            </w:pPr>
            <w:r>
              <w:rPr>
                <w:rFonts w:hint="eastAsia"/>
                <w:color w:val="000000" w:themeColor="text1"/>
                <w:lang w:val="zh-CN"/>
              </w:rPr>
              <w:t>正本</w:t>
            </w:r>
            <w:r>
              <w:rPr>
                <w:rFonts w:hint="eastAsia"/>
                <w:color w:val="000000" w:themeColor="text1"/>
                <w:u w:val="single"/>
                <w:lang w:val="zh-CN"/>
              </w:rPr>
              <w:t xml:space="preserve">  壹 </w:t>
            </w:r>
            <w:r>
              <w:rPr>
                <w:rFonts w:hint="eastAsia"/>
                <w:color w:val="000000" w:themeColor="text1"/>
                <w:lang w:val="zh-CN"/>
              </w:rPr>
              <w:t>份    副本</w:t>
            </w:r>
            <w:r>
              <w:rPr>
                <w:rFonts w:hint="eastAsia"/>
                <w:color w:val="000000" w:themeColor="text1"/>
                <w:u w:val="single"/>
                <w:lang w:val="zh-CN"/>
              </w:rPr>
              <w:t>肆</w:t>
            </w:r>
            <w:r>
              <w:rPr>
                <w:rFonts w:hint="eastAsia"/>
                <w:color w:val="000000" w:themeColor="text1"/>
                <w:lang w:val="zh-CN"/>
              </w:rPr>
              <w:t>份</w:t>
            </w:r>
          </w:p>
          <w:p w14:paraId="4DA8A656">
            <w:pPr>
              <w:shd w:val="clear" w:color="auto" w:fill="FFFFFF" w:themeFill="background1"/>
              <w:rPr>
                <w:color w:val="000000" w:themeColor="text1"/>
                <w:sz w:val="24"/>
              </w:rPr>
            </w:pPr>
            <w:r>
              <w:rPr>
                <w:rFonts w:hint="eastAsia"/>
                <w:color w:val="000000" w:themeColor="text1"/>
                <w:sz w:val="24"/>
              </w:rPr>
              <w:t>电子版投标文件为U盘拷贝PDF格式，开标时递交。</w:t>
            </w:r>
          </w:p>
          <w:p w14:paraId="5F9F19F8">
            <w:pPr>
              <w:shd w:val="clear" w:color="auto" w:fill="FFFFFF" w:themeFill="background1"/>
              <w:ind w:firstLine="360"/>
              <w:rPr>
                <w:sz w:val="24"/>
              </w:rPr>
            </w:pPr>
            <w:r>
              <w:rPr>
                <w:rFonts w:hint="eastAsia" w:ascii="宋体" w:hAnsi="宋体"/>
                <w:color w:val="000000" w:themeColor="text1"/>
                <w:kern w:val="0"/>
                <w:sz w:val="18"/>
                <w:szCs w:val="18"/>
              </w:rPr>
              <w:t>温馨提示：为了节约能源保护环境，制作投标文件时请双面打印</w:t>
            </w:r>
          </w:p>
        </w:tc>
      </w:tr>
      <w:tr w14:paraId="7043A3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671" w:type="dxa"/>
            <w:vAlign w:val="center"/>
          </w:tcPr>
          <w:p w14:paraId="7BF50D59">
            <w:pPr>
              <w:jc w:val="center"/>
              <w:rPr>
                <w:sz w:val="24"/>
              </w:rPr>
            </w:pPr>
            <w:r>
              <w:rPr>
                <w:rFonts w:hint="eastAsia"/>
                <w:sz w:val="24"/>
              </w:rPr>
              <w:t>7</w:t>
            </w:r>
          </w:p>
        </w:tc>
        <w:tc>
          <w:tcPr>
            <w:tcW w:w="2545" w:type="dxa"/>
            <w:vAlign w:val="center"/>
          </w:tcPr>
          <w:p w14:paraId="6B3812F4">
            <w:pPr>
              <w:rPr>
                <w:sz w:val="24"/>
              </w:rPr>
            </w:pPr>
            <w:r>
              <w:rPr>
                <w:rFonts w:hint="eastAsia"/>
                <w:sz w:val="24"/>
              </w:rPr>
              <w:t>评标方法</w:t>
            </w:r>
          </w:p>
        </w:tc>
        <w:tc>
          <w:tcPr>
            <w:tcW w:w="6295" w:type="dxa"/>
            <w:vAlign w:val="center"/>
          </w:tcPr>
          <w:p w14:paraId="4678600F">
            <w:pPr>
              <w:rPr>
                <w:sz w:val="24"/>
              </w:rPr>
            </w:pPr>
            <w:r>
              <w:rPr>
                <w:rFonts w:hint="eastAsia"/>
                <w:sz w:val="24"/>
              </w:rPr>
              <w:t>最低评标价法（）综合评分法（√）</w:t>
            </w:r>
          </w:p>
        </w:tc>
      </w:tr>
      <w:tr w14:paraId="5E0444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trPr>
        <w:tc>
          <w:tcPr>
            <w:tcW w:w="671" w:type="dxa"/>
            <w:vAlign w:val="center"/>
          </w:tcPr>
          <w:p w14:paraId="3FE4B2CC">
            <w:pPr>
              <w:jc w:val="center"/>
              <w:rPr>
                <w:sz w:val="24"/>
              </w:rPr>
            </w:pPr>
            <w:r>
              <w:rPr>
                <w:rFonts w:hint="eastAsia"/>
                <w:sz w:val="24"/>
              </w:rPr>
              <w:t>8</w:t>
            </w:r>
          </w:p>
        </w:tc>
        <w:tc>
          <w:tcPr>
            <w:tcW w:w="2545" w:type="dxa"/>
            <w:vAlign w:val="center"/>
          </w:tcPr>
          <w:p w14:paraId="79CC8298">
            <w:pPr>
              <w:rPr>
                <w:sz w:val="24"/>
              </w:rPr>
            </w:pPr>
            <w:r>
              <w:rPr>
                <w:rFonts w:hint="eastAsia"/>
                <w:sz w:val="24"/>
              </w:rPr>
              <w:t>采购需求</w:t>
            </w:r>
          </w:p>
        </w:tc>
        <w:tc>
          <w:tcPr>
            <w:tcW w:w="6295" w:type="dxa"/>
            <w:vAlign w:val="center"/>
          </w:tcPr>
          <w:p w14:paraId="5E0E95EF">
            <w:pPr>
              <w:rPr>
                <w:sz w:val="24"/>
              </w:rPr>
            </w:pPr>
            <w:r>
              <w:rPr>
                <w:rFonts w:hint="eastAsia"/>
                <w:sz w:val="24"/>
              </w:rPr>
              <w:t>详见采购清单</w:t>
            </w:r>
          </w:p>
        </w:tc>
      </w:tr>
      <w:tr w14:paraId="0B110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1C3BAEA7">
            <w:pPr>
              <w:jc w:val="center"/>
              <w:rPr>
                <w:sz w:val="24"/>
              </w:rPr>
            </w:pPr>
            <w:r>
              <w:rPr>
                <w:rFonts w:hint="eastAsia"/>
                <w:sz w:val="24"/>
              </w:rPr>
              <w:t>9</w:t>
            </w:r>
          </w:p>
        </w:tc>
        <w:tc>
          <w:tcPr>
            <w:tcW w:w="2545" w:type="dxa"/>
            <w:vAlign w:val="center"/>
          </w:tcPr>
          <w:p w14:paraId="240CF36B">
            <w:pPr>
              <w:rPr>
                <w:sz w:val="24"/>
              </w:rPr>
            </w:pPr>
            <w:r>
              <w:rPr>
                <w:rFonts w:hint="eastAsia"/>
                <w:sz w:val="24"/>
              </w:rPr>
              <w:t>服务时间</w:t>
            </w:r>
          </w:p>
        </w:tc>
        <w:tc>
          <w:tcPr>
            <w:tcW w:w="6295" w:type="dxa"/>
            <w:vAlign w:val="center"/>
          </w:tcPr>
          <w:p w14:paraId="55D73303">
            <w:pPr>
              <w:rPr>
                <w:sz w:val="24"/>
              </w:rPr>
            </w:pPr>
            <w:r>
              <w:rPr>
                <w:rFonts w:ascii="宋体" w:hAnsi="宋体"/>
                <w:sz w:val="24"/>
                <w:shd w:val="clear" w:color="auto" w:fill="FFFFFF"/>
              </w:rPr>
              <w:t>合同签订后一年内，</w:t>
            </w:r>
            <w:r>
              <w:rPr>
                <w:rFonts w:hint="eastAsia" w:ascii="宋体" w:hAnsi="宋体" w:cs="宋体"/>
                <w:kern w:val="0"/>
                <w:sz w:val="24"/>
              </w:rPr>
              <w:t>在接到采购人通知后在指定时间内到达指定地点。</w:t>
            </w:r>
            <w:r>
              <w:rPr>
                <w:rFonts w:hint="eastAsia"/>
                <w:sz w:val="24"/>
              </w:rPr>
              <w:t>。</w:t>
            </w:r>
          </w:p>
        </w:tc>
      </w:tr>
      <w:tr w14:paraId="291C14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65D6893D">
            <w:pPr>
              <w:jc w:val="center"/>
              <w:rPr>
                <w:sz w:val="24"/>
              </w:rPr>
            </w:pPr>
            <w:r>
              <w:rPr>
                <w:rFonts w:hint="eastAsia"/>
                <w:sz w:val="24"/>
              </w:rPr>
              <w:t>10</w:t>
            </w:r>
          </w:p>
        </w:tc>
        <w:tc>
          <w:tcPr>
            <w:tcW w:w="2545" w:type="dxa"/>
            <w:vAlign w:val="center"/>
          </w:tcPr>
          <w:p w14:paraId="78E4302A">
            <w:pPr>
              <w:rPr>
                <w:sz w:val="24"/>
              </w:rPr>
            </w:pPr>
            <w:r>
              <w:rPr>
                <w:rFonts w:hint="eastAsia"/>
                <w:sz w:val="24"/>
              </w:rPr>
              <w:t>交货地点</w:t>
            </w:r>
          </w:p>
        </w:tc>
        <w:tc>
          <w:tcPr>
            <w:tcW w:w="6295" w:type="dxa"/>
            <w:vAlign w:val="center"/>
          </w:tcPr>
          <w:p w14:paraId="58E1F5B8">
            <w:pPr>
              <w:rPr>
                <w:sz w:val="24"/>
              </w:rPr>
            </w:pPr>
            <w:r>
              <w:rPr>
                <w:rFonts w:hint="eastAsia"/>
                <w:sz w:val="24"/>
              </w:rPr>
              <w:t>用户指定地点</w:t>
            </w:r>
          </w:p>
        </w:tc>
      </w:tr>
      <w:tr w14:paraId="27F56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2C1168DC">
            <w:pPr>
              <w:jc w:val="center"/>
              <w:rPr>
                <w:sz w:val="24"/>
              </w:rPr>
            </w:pPr>
            <w:r>
              <w:rPr>
                <w:rFonts w:hint="eastAsia"/>
                <w:sz w:val="24"/>
              </w:rPr>
              <w:t>11</w:t>
            </w:r>
          </w:p>
        </w:tc>
        <w:tc>
          <w:tcPr>
            <w:tcW w:w="2545" w:type="dxa"/>
            <w:vAlign w:val="center"/>
          </w:tcPr>
          <w:p w14:paraId="1CE14A91">
            <w:pPr>
              <w:rPr>
                <w:sz w:val="24"/>
              </w:rPr>
            </w:pPr>
            <w:r>
              <w:rPr>
                <w:rFonts w:hint="eastAsia"/>
                <w:sz w:val="24"/>
              </w:rPr>
              <w:t>备注</w:t>
            </w:r>
          </w:p>
        </w:tc>
        <w:tc>
          <w:tcPr>
            <w:tcW w:w="6295" w:type="dxa"/>
            <w:vAlign w:val="center"/>
          </w:tcPr>
          <w:p w14:paraId="19F49554">
            <w:pPr>
              <w:rPr>
                <w:sz w:val="24"/>
              </w:rPr>
            </w:pPr>
            <w:r>
              <w:rPr>
                <w:rFonts w:hint="eastAsia"/>
                <w:sz w:val="24"/>
              </w:rPr>
              <w:t>1、采购标的物需按照国家相关标准、行业标准、地方标准或者其他标准、规范执行。</w:t>
            </w:r>
          </w:p>
        </w:tc>
      </w:tr>
    </w:tbl>
    <w:p w14:paraId="04EF634D">
      <w:pPr>
        <w:pStyle w:val="2"/>
      </w:pPr>
    </w:p>
    <w:p w14:paraId="29BA0F5A"/>
    <w:p w14:paraId="33E33A59">
      <w:pPr>
        <w:spacing w:line="360" w:lineRule="exact"/>
        <w:ind w:firstLine="472" w:firstLineChars="196"/>
        <w:rPr>
          <w:rFonts w:ascii="宋体" w:hAnsi="宋体"/>
          <w:b/>
          <w:bCs/>
          <w:sz w:val="24"/>
          <w:u w:val="single"/>
        </w:rPr>
      </w:pPr>
      <w:r>
        <w:rPr>
          <w:rFonts w:hint="eastAsia" w:ascii="宋体" w:hAnsi="宋体"/>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14:paraId="6D493AEE">
      <w:pPr>
        <w:pStyle w:val="2"/>
      </w:pPr>
      <w:bookmarkStart w:id="38" w:name="_Toc25755"/>
      <w:r>
        <w:rPr>
          <w:rFonts w:hint="eastAsia"/>
        </w:rPr>
        <w:t>1、说明</w:t>
      </w:r>
      <w:bookmarkEnd w:id="38"/>
    </w:p>
    <w:p w14:paraId="69F012B5">
      <w:pPr>
        <w:spacing w:line="360" w:lineRule="exact"/>
        <w:ind w:firstLine="480" w:firstLineChars="200"/>
        <w:rPr>
          <w:rFonts w:ascii="宋体" w:hAnsi="宋体"/>
          <w:sz w:val="24"/>
        </w:rPr>
      </w:pPr>
      <w:r>
        <w:rPr>
          <w:rFonts w:hint="eastAsia" w:ascii="宋体" w:hAnsi="宋体"/>
          <w:sz w:val="24"/>
        </w:rPr>
        <w:t>1适用范围</w:t>
      </w:r>
    </w:p>
    <w:p w14:paraId="54AD8462">
      <w:pPr>
        <w:spacing w:line="360" w:lineRule="exact"/>
        <w:ind w:firstLine="480" w:firstLineChars="200"/>
        <w:rPr>
          <w:rFonts w:ascii="宋体" w:hAnsi="宋体"/>
          <w:sz w:val="24"/>
        </w:rPr>
      </w:pPr>
      <w:r>
        <w:rPr>
          <w:rFonts w:hint="eastAsia" w:ascii="宋体" w:hAnsi="宋体"/>
          <w:sz w:val="24"/>
        </w:rPr>
        <w:t>1.1本招标文件仅适用于本次招标采购中所叙述项目的产品及服务采购。</w:t>
      </w:r>
    </w:p>
    <w:p w14:paraId="498686A4">
      <w:pPr>
        <w:spacing w:line="360" w:lineRule="exact"/>
        <w:ind w:firstLine="480" w:firstLineChars="200"/>
        <w:rPr>
          <w:rFonts w:ascii="宋体" w:hAnsi="宋体"/>
          <w:sz w:val="24"/>
        </w:rPr>
      </w:pPr>
      <w:r>
        <w:rPr>
          <w:rFonts w:hint="eastAsia" w:ascii="宋体" w:hAnsi="宋体"/>
          <w:sz w:val="24"/>
        </w:rPr>
        <w:t>1.2资金来源系自有资金</w:t>
      </w:r>
    </w:p>
    <w:p w14:paraId="3A48CFBE">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18310464">
      <w:pPr>
        <w:spacing w:line="360" w:lineRule="exact"/>
        <w:ind w:firstLine="465"/>
        <w:rPr>
          <w:rFonts w:ascii="宋体" w:hAnsi="宋体"/>
          <w:sz w:val="24"/>
        </w:rPr>
      </w:pPr>
      <w:r>
        <w:rPr>
          <w:rFonts w:ascii="宋体" w:hAnsi="宋体"/>
          <w:sz w:val="24"/>
        </w:rPr>
        <w:t>2.1</w:t>
      </w:r>
      <w:r>
        <w:rPr>
          <w:rFonts w:hint="eastAsia" w:ascii="宋体" w:hAnsi="宋体"/>
          <w:sz w:val="24"/>
        </w:rPr>
        <w:t>“采购人”系指业主</w:t>
      </w:r>
    </w:p>
    <w:p w14:paraId="22D7304D">
      <w:pPr>
        <w:spacing w:line="360" w:lineRule="exact"/>
        <w:ind w:firstLine="465"/>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5D1378B4">
      <w:pPr>
        <w:pStyle w:val="28"/>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071927EA">
      <w:pPr>
        <w:pStyle w:val="28"/>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430BCD54">
      <w:pPr>
        <w:spacing w:line="360" w:lineRule="exact"/>
        <w:ind w:firstLine="480" w:firstLineChars="200"/>
        <w:rPr>
          <w:rFonts w:ascii="宋体" w:hAnsi="宋体"/>
          <w:sz w:val="24"/>
        </w:rPr>
      </w:pPr>
      <w:r>
        <w:rPr>
          <w:rFonts w:hint="eastAsia" w:ascii="宋体" w:hAnsi="宋体"/>
          <w:sz w:val="24"/>
        </w:rPr>
        <w:t>2.5“评标委员会”系指组建专门负责本次招标及其评标工作的临时性机构。</w:t>
      </w:r>
    </w:p>
    <w:p w14:paraId="21F19000">
      <w:pPr>
        <w:pStyle w:val="28"/>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2.6“货物”系指所有的由投标人为满足招标文件要求而向招标方提供的货物、方案以其它有关技术资料和材料。</w:t>
      </w:r>
    </w:p>
    <w:p w14:paraId="78070236">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10F2FB16">
      <w:pPr>
        <w:spacing w:line="360" w:lineRule="exact"/>
        <w:ind w:firstLine="480" w:firstLineChars="200"/>
        <w:jc w:val="left"/>
        <w:rPr>
          <w:rFonts w:ascii="宋体" w:hAnsi="宋体"/>
          <w:sz w:val="24"/>
        </w:rPr>
      </w:pPr>
      <w:r>
        <w:rPr>
          <w:rFonts w:hint="eastAsia" w:ascii="宋体" w:hAnsi="宋体"/>
          <w:sz w:val="24"/>
        </w:rPr>
        <w:t>2.8“日期、时间”系指公历日、北京时间。</w:t>
      </w:r>
    </w:p>
    <w:p w14:paraId="4825E657">
      <w:pPr>
        <w:spacing w:line="360" w:lineRule="exact"/>
        <w:ind w:firstLine="480" w:firstLineChars="200"/>
        <w:jc w:val="left"/>
        <w:rPr>
          <w:rFonts w:ascii="宋体" w:hAnsi="宋体"/>
          <w:sz w:val="24"/>
        </w:rPr>
      </w:pPr>
      <w:r>
        <w:rPr>
          <w:rFonts w:hint="eastAsia" w:ascii="宋体" w:hAnsi="宋体"/>
          <w:sz w:val="24"/>
        </w:rPr>
        <w:t>2.9招标文件中所规定的“书面形式”，是指任何手写、打印或印刷通讯，包括传真发送。</w:t>
      </w:r>
    </w:p>
    <w:p w14:paraId="0351E889">
      <w:pPr>
        <w:spacing w:line="360" w:lineRule="exact"/>
        <w:ind w:firstLine="480" w:firstLineChars="200"/>
        <w:jc w:val="left"/>
        <w:rPr>
          <w:rFonts w:ascii="宋体" w:hAnsi="宋体"/>
          <w:sz w:val="24"/>
        </w:rPr>
      </w:pPr>
      <w:r>
        <w:rPr>
          <w:rFonts w:hint="eastAsia" w:ascii="宋体" w:hAnsi="宋体"/>
          <w:sz w:val="24"/>
        </w:rPr>
        <w:t>2.10“合同”系指由本次招标所产生的合同或合约文件。</w:t>
      </w:r>
    </w:p>
    <w:p w14:paraId="132ED1CF">
      <w:pPr>
        <w:spacing w:line="360" w:lineRule="exact"/>
        <w:ind w:firstLine="480" w:firstLineChars="200"/>
        <w:jc w:val="left"/>
        <w:rPr>
          <w:rFonts w:ascii="宋体" w:hAnsi="宋体"/>
          <w:sz w:val="24"/>
        </w:rPr>
      </w:pPr>
      <w:r>
        <w:rPr>
          <w:rFonts w:hint="eastAsia" w:ascii="宋体" w:hAnsi="宋体"/>
          <w:sz w:val="24"/>
        </w:rPr>
        <w:t>2．11招标文件中的标题或题名仅起引导作用，而不应视为对招标文件内容的理解和解释。</w:t>
      </w:r>
    </w:p>
    <w:p w14:paraId="75192A5C">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24F6A29A">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27DC9A31">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hint="eastAsia" w:ascii="宋体" w:hAnsi="宋体"/>
          <w:sz w:val="24"/>
        </w:rPr>
        <w:t>投标，也不得组成新的联合体参加同一合同项</w:t>
      </w:r>
      <w:r>
        <w:rPr>
          <w:rFonts w:ascii="宋体" w:hAnsi="宋体"/>
          <w:sz w:val="24"/>
        </w:rPr>
        <w:t>下</w:t>
      </w:r>
      <w:r>
        <w:rPr>
          <w:rFonts w:hint="eastAsia" w:ascii="宋体" w:hAnsi="宋体"/>
          <w:sz w:val="24"/>
        </w:rPr>
        <w:t>投标。</w:t>
      </w:r>
      <w:r>
        <w:rPr>
          <w:rFonts w:ascii="宋体" w:hAnsi="宋体"/>
          <w:sz w:val="24"/>
        </w:rPr>
        <w:t>联合体各方应当共同与采购人签订采购合同，就采购合同约定的事项对采购人承担连带责任。</w:t>
      </w:r>
    </w:p>
    <w:p w14:paraId="593AC8CD">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604A825E">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14AAC359">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17841E93">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765B6CEE">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2B3C3BA3">
      <w:pPr>
        <w:spacing w:line="360" w:lineRule="exact"/>
        <w:ind w:firstLine="480" w:firstLineChars="200"/>
        <w:rPr>
          <w:rFonts w:ascii="宋体" w:hAnsi="宋体"/>
          <w:sz w:val="24"/>
        </w:rPr>
      </w:pPr>
      <w:r>
        <w:rPr>
          <w:rFonts w:hint="eastAsia" w:ascii="宋体" w:hAnsi="宋体"/>
          <w:sz w:val="24"/>
        </w:rPr>
        <w:t>4纪律</w:t>
      </w:r>
    </w:p>
    <w:p w14:paraId="5D562482">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6E7FD2F0">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6B1B9219">
      <w:pPr>
        <w:spacing w:line="360" w:lineRule="exact"/>
        <w:ind w:firstLine="480" w:firstLineChars="200"/>
        <w:rPr>
          <w:rFonts w:ascii="宋体" w:hAnsi="宋体"/>
          <w:sz w:val="24"/>
        </w:rPr>
      </w:pPr>
      <w:r>
        <w:rPr>
          <w:rFonts w:hint="eastAsia" w:ascii="宋体" w:hAnsi="宋体"/>
          <w:sz w:val="24"/>
        </w:rPr>
        <w:t>5投标费用的承担</w:t>
      </w:r>
    </w:p>
    <w:p w14:paraId="7E6BE9F7">
      <w:pPr>
        <w:spacing w:line="360" w:lineRule="exact"/>
        <w:ind w:firstLine="480" w:firstLineChars="200"/>
        <w:rPr>
          <w:rFonts w:ascii="宋体" w:hAnsi="宋体"/>
          <w:sz w:val="24"/>
        </w:rPr>
      </w:pPr>
      <w:r>
        <w:rPr>
          <w:rFonts w:hint="eastAsia" w:ascii="宋体" w:hAnsi="宋体"/>
          <w:sz w:val="24"/>
        </w:rPr>
        <w:t>投标人应自行承担所有与参加投标有关的全部费用，无论投标过程中的结果如何，采购代理机构和采购人在任何情况下均无义务和责任承担这些费用。</w:t>
      </w:r>
    </w:p>
    <w:p w14:paraId="592307CA">
      <w:pPr>
        <w:pStyle w:val="2"/>
      </w:pPr>
      <w:bookmarkStart w:id="39" w:name="_Toc20231"/>
      <w:r>
        <w:rPr>
          <w:rFonts w:hint="eastAsia"/>
        </w:rPr>
        <w:t>2、招标文件说明</w:t>
      </w:r>
      <w:bookmarkEnd w:id="39"/>
    </w:p>
    <w:p w14:paraId="3507C398">
      <w:pPr>
        <w:spacing w:line="360" w:lineRule="exact"/>
        <w:ind w:firstLine="480" w:firstLineChars="200"/>
        <w:rPr>
          <w:rFonts w:ascii="宋体" w:hAnsi="宋体"/>
          <w:sz w:val="24"/>
        </w:rPr>
      </w:pPr>
      <w:r>
        <w:rPr>
          <w:rFonts w:hint="eastAsia" w:ascii="宋体" w:hAnsi="宋体"/>
          <w:sz w:val="24"/>
        </w:rPr>
        <w:t>6“招标文件”的构成</w:t>
      </w:r>
    </w:p>
    <w:p w14:paraId="28312621">
      <w:pPr>
        <w:spacing w:line="360" w:lineRule="exact"/>
        <w:ind w:firstLine="480" w:firstLineChars="200"/>
        <w:rPr>
          <w:rFonts w:ascii="宋体" w:hAnsi="宋体"/>
          <w:sz w:val="24"/>
        </w:rPr>
      </w:pPr>
      <w:r>
        <w:rPr>
          <w:rFonts w:hint="eastAsia" w:ascii="宋体" w:hAnsi="宋体"/>
          <w:sz w:val="24"/>
        </w:rPr>
        <w:t>6.1“招标文件”是用以阐明所需仪器设备及服务的情况，以及招标、投标程序和相应的合同条款。“招标文件”由下述部份组成：</w:t>
      </w:r>
    </w:p>
    <w:p w14:paraId="7F3DD691">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投标邀请函；</w:t>
      </w:r>
    </w:p>
    <w:p w14:paraId="02919DF2">
      <w:pPr>
        <w:spacing w:line="360" w:lineRule="exact"/>
        <w:ind w:firstLine="720" w:firstLineChars="300"/>
        <w:rPr>
          <w:rFonts w:ascii="宋体" w:hAnsi="宋体"/>
          <w:sz w:val="24"/>
        </w:rPr>
      </w:pPr>
      <w:r>
        <w:rPr>
          <w:rFonts w:ascii="宋体" w:hAnsi="宋体"/>
          <w:sz w:val="24"/>
        </w:rPr>
        <w:t>(2)</w:t>
      </w:r>
      <w:r>
        <w:rPr>
          <w:rFonts w:hint="eastAsia" w:ascii="宋体" w:hAnsi="宋体"/>
          <w:sz w:val="24"/>
        </w:rPr>
        <w:t>投标项目要求；</w:t>
      </w:r>
    </w:p>
    <w:p w14:paraId="484F0736">
      <w:pPr>
        <w:spacing w:line="360" w:lineRule="exact"/>
        <w:ind w:firstLine="720" w:firstLineChars="300"/>
        <w:rPr>
          <w:rFonts w:ascii="宋体" w:hAnsi="宋体"/>
          <w:sz w:val="24"/>
        </w:rPr>
      </w:pPr>
      <w:r>
        <w:rPr>
          <w:rFonts w:ascii="宋体" w:hAnsi="宋体"/>
          <w:sz w:val="24"/>
        </w:rPr>
        <w:t>(3)</w:t>
      </w:r>
      <w:r>
        <w:rPr>
          <w:rFonts w:hint="eastAsia" w:ascii="宋体" w:hAnsi="宋体"/>
          <w:sz w:val="24"/>
        </w:rPr>
        <w:t>投标人须知；</w:t>
      </w:r>
    </w:p>
    <w:p w14:paraId="57EEA397">
      <w:pPr>
        <w:spacing w:line="360" w:lineRule="exact"/>
        <w:ind w:firstLine="720" w:firstLineChars="300"/>
        <w:rPr>
          <w:rFonts w:ascii="宋体" w:hAnsi="宋体"/>
          <w:sz w:val="24"/>
        </w:rPr>
      </w:pPr>
      <w:r>
        <w:rPr>
          <w:rFonts w:ascii="宋体" w:hAnsi="宋体"/>
          <w:sz w:val="24"/>
        </w:rPr>
        <w:t>(4)</w:t>
      </w:r>
      <w:r>
        <w:rPr>
          <w:rFonts w:hint="eastAsia" w:ascii="宋体" w:hAnsi="宋体"/>
          <w:sz w:val="24"/>
        </w:rPr>
        <w:t>招标采购合同格式；</w:t>
      </w:r>
    </w:p>
    <w:p w14:paraId="7A605DCC">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附件（投标文件格式、</w:t>
      </w:r>
      <w:r>
        <w:rPr>
          <w:rFonts w:hint="eastAsia" w:ascii="宋体" w:hAnsi="宋体"/>
          <w:kern w:val="0"/>
          <w:sz w:val="24"/>
        </w:rPr>
        <w:t>设备采购清单</w:t>
      </w:r>
      <w:r>
        <w:rPr>
          <w:rFonts w:hint="eastAsia" w:ascii="宋体" w:hAnsi="宋体"/>
          <w:sz w:val="24"/>
        </w:rPr>
        <w:t>）。</w:t>
      </w:r>
    </w:p>
    <w:p w14:paraId="5AF4DB97">
      <w:pPr>
        <w:spacing w:line="360" w:lineRule="exact"/>
        <w:ind w:firstLine="480" w:firstLineChars="200"/>
        <w:rPr>
          <w:rFonts w:ascii="宋体" w:hAnsi="宋体"/>
          <w:sz w:val="24"/>
        </w:rPr>
      </w:pPr>
      <w:r>
        <w:rPr>
          <w:rFonts w:hint="eastAsia" w:ascii="宋体" w:hAnsi="宋体"/>
          <w:sz w:val="24"/>
        </w:rPr>
        <w:t>7招标文件的澄清及质疑</w:t>
      </w:r>
    </w:p>
    <w:p w14:paraId="0C8A657D">
      <w:pPr>
        <w:tabs>
          <w:tab w:val="left" w:pos="540"/>
        </w:tabs>
        <w:spacing w:line="360" w:lineRule="exact"/>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4D3E3559">
      <w:pPr>
        <w:spacing w:line="360" w:lineRule="exact"/>
        <w:ind w:firstLine="480" w:firstLineChars="200"/>
        <w:rPr>
          <w:rFonts w:ascii="宋体" w:hAnsi="宋体"/>
          <w:sz w:val="24"/>
        </w:rPr>
      </w:pPr>
      <w:r>
        <w:rPr>
          <w:rFonts w:hint="eastAsia" w:ascii="宋体" w:hAnsi="宋体"/>
          <w:sz w:val="24"/>
        </w:rPr>
        <w:t>7.2 投标人对招标采购文件如有疑点，应按投标邀请中载明的地址，以书面形式（包括信函或传真，下同）通知到采购代理机构。采购代理机构将视情况确定采用适当方式予以澄清或在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形式予以答复，并在其认为必要时，将不标明查询来源的答复告知已购买招标文件的每一投标人。</w:t>
      </w:r>
    </w:p>
    <w:p w14:paraId="618603BA">
      <w:pPr>
        <w:spacing w:line="360" w:lineRule="exact"/>
        <w:ind w:firstLine="480" w:firstLineChars="200"/>
        <w:rPr>
          <w:rFonts w:ascii="宋体" w:hAnsi="宋体"/>
          <w:sz w:val="24"/>
        </w:rPr>
      </w:pPr>
      <w:r>
        <w:rPr>
          <w:rFonts w:hint="eastAsia" w:ascii="宋体" w:hAnsi="宋体"/>
          <w:sz w:val="24"/>
        </w:rPr>
        <w:t>7.3</w:t>
      </w:r>
      <w:r>
        <w:rPr>
          <w:rFonts w:ascii="宋体" w:hAnsi="宋体"/>
          <w:sz w:val="24"/>
        </w:rPr>
        <w:t>对采购过程提出质疑的，为各采购程序环节结束之日</w:t>
      </w:r>
      <w:r>
        <w:rPr>
          <w:rFonts w:hint="eastAsia" w:ascii="宋体" w:hAnsi="宋体"/>
          <w:sz w:val="24"/>
        </w:rPr>
        <w:t>。</w:t>
      </w:r>
      <w:r>
        <w:rPr>
          <w:rFonts w:ascii="宋体" w:hAnsi="宋体"/>
          <w:sz w:val="24"/>
        </w:rPr>
        <w:t>超过七个工作日、非书面形式以及匿名的质疑将不予受理。</w:t>
      </w:r>
    </w:p>
    <w:p w14:paraId="769AB4A5">
      <w:pPr>
        <w:spacing w:line="360" w:lineRule="exact"/>
        <w:ind w:firstLine="480" w:firstLineChars="200"/>
        <w:rPr>
          <w:rFonts w:ascii="宋体" w:hAnsi="宋体"/>
          <w:sz w:val="24"/>
        </w:rPr>
      </w:pPr>
      <w:r>
        <w:rPr>
          <w:rFonts w:hint="eastAsia" w:ascii="宋体" w:hAnsi="宋体"/>
          <w:sz w:val="24"/>
        </w:rPr>
        <w:t>7.4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D2DF480">
      <w:pPr>
        <w:spacing w:line="360" w:lineRule="exact"/>
        <w:ind w:firstLine="480" w:firstLineChars="200"/>
        <w:rPr>
          <w:rFonts w:ascii="宋体" w:hAnsi="宋体"/>
          <w:sz w:val="24"/>
        </w:rPr>
      </w:pPr>
      <w:r>
        <w:rPr>
          <w:rFonts w:hint="eastAsia" w:ascii="宋体" w:hAnsi="宋体"/>
          <w:sz w:val="24"/>
        </w:rPr>
        <w:t>7.5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41B0DCD6">
      <w:pPr>
        <w:spacing w:line="360" w:lineRule="exact"/>
        <w:ind w:firstLine="480" w:firstLineChars="200"/>
        <w:rPr>
          <w:rFonts w:ascii="宋体" w:hAnsi="宋体"/>
          <w:sz w:val="24"/>
        </w:rPr>
      </w:pPr>
      <w:r>
        <w:rPr>
          <w:rFonts w:hint="eastAsia" w:ascii="宋体" w:hAnsi="宋体"/>
          <w:sz w:val="24"/>
        </w:rPr>
        <w:t>8招标文件的修改</w:t>
      </w:r>
    </w:p>
    <w:p w14:paraId="0F4E89C1">
      <w:pPr>
        <w:spacing w:line="36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5F2A667">
      <w:pPr>
        <w:spacing w:line="360" w:lineRule="exact"/>
        <w:ind w:firstLine="480" w:firstLineChars="200"/>
        <w:rPr>
          <w:rFonts w:ascii="宋体" w:hAnsi="宋体"/>
          <w:sz w:val="24"/>
        </w:rPr>
      </w:pPr>
      <w:r>
        <w:rPr>
          <w:rFonts w:hint="eastAsia" w:ascii="宋体" w:hAnsi="宋体"/>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BA1519C">
      <w:pPr>
        <w:spacing w:line="360" w:lineRule="exact"/>
        <w:ind w:firstLine="480" w:firstLineChars="200"/>
        <w:rPr>
          <w:rFonts w:ascii="宋体" w:hAnsi="宋体"/>
          <w:sz w:val="24"/>
        </w:rPr>
      </w:pPr>
      <w:r>
        <w:rPr>
          <w:rFonts w:hint="eastAsia" w:ascii="宋体" w:hAnsi="宋体"/>
          <w:sz w:val="24"/>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4CC400DB">
      <w:pPr>
        <w:spacing w:line="360" w:lineRule="exact"/>
        <w:ind w:firstLine="480" w:firstLineChars="200"/>
        <w:jc w:val="left"/>
        <w:rPr>
          <w:rFonts w:ascii="宋体" w:hAnsi="宋体"/>
          <w:sz w:val="24"/>
        </w:rPr>
      </w:pPr>
      <w:r>
        <w:rPr>
          <w:rFonts w:hint="eastAsia" w:ascii="宋体" w:hAnsi="宋体"/>
          <w:sz w:val="24"/>
        </w:rPr>
        <w:t>8.4招标文件的修改书将构成招标文件的一部分，并对投标人具有约束力。</w:t>
      </w:r>
    </w:p>
    <w:p w14:paraId="5A799A4F">
      <w:pPr>
        <w:pStyle w:val="2"/>
      </w:pPr>
      <w:bookmarkStart w:id="40" w:name="_Toc16954"/>
      <w:r>
        <w:rPr>
          <w:rFonts w:hint="eastAsia"/>
        </w:rPr>
        <w:t>3、投标文件的编写</w:t>
      </w:r>
      <w:bookmarkEnd w:id="40"/>
    </w:p>
    <w:p w14:paraId="04E44C23">
      <w:pPr>
        <w:spacing w:line="360" w:lineRule="exact"/>
        <w:ind w:firstLine="480" w:firstLineChars="200"/>
        <w:rPr>
          <w:rFonts w:ascii="宋体" w:hAnsi="宋体"/>
          <w:sz w:val="24"/>
        </w:rPr>
      </w:pPr>
      <w:r>
        <w:rPr>
          <w:rFonts w:hint="eastAsia" w:ascii="宋体" w:hAnsi="宋体"/>
          <w:sz w:val="24"/>
        </w:rPr>
        <w:t>9要求</w:t>
      </w:r>
    </w:p>
    <w:p w14:paraId="6725B1E6">
      <w:pPr>
        <w:spacing w:line="360" w:lineRule="exact"/>
        <w:ind w:firstLine="480" w:firstLineChars="200"/>
        <w:rPr>
          <w:rFonts w:ascii="宋体" w:hAnsi="宋体"/>
          <w:bCs/>
          <w:snapToGrid w:val="0"/>
          <w:kern w:val="0"/>
          <w:sz w:val="24"/>
        </w:rPr>
      </w:pPr>
      <w:r>
        <w:rPr>
          <w:rFonts w:hint="eastAsia" w:ascii="宋体" w:hAnsi="宋体"/>
          <w:sz w:val="24"/>
        </w:rPr>
        <w:t>9.1投标人应仔细阅读“招标文件”的所有内容，按“招标文件”的要求提供“投标文件”，并保证所提供的全部资料的真实性，以确保其投标对“招标文件”做出实质性响应。</w:t>
      </w:r>
      <w:r>
        <w:rPr>
          <w:rFonts w:hint="eastAsia" w:ascii="宋体" w:hAnsi="宋体"/>
          <w:bCs/>
          <w:sz w:val="24"/>
        </w:rPr>
        <w:t>若投标方不能按招标文件要求提供与本标相关的文件、图片资料、证明材料，</w:t>
      </w:r>
      <w:r>
        <w:rPr>
          <w:rFonts w:hint="eastAsia" w:ascii="宋体" w:hAnsi="宋体"/>
          <w:bCs/>
          <w:snapToGrid w:val="0"/>
          <w:kern w:val="0"/>
          <w:sz w:val="24"/>
        </w:rPr>
        <w:t>或者投标文件没有对招标文件各方面都作出实质性响应是投标人的风险，因为没有实质性响应招标文件要求的投标将可能被拒绝。</w:t>
      </w:r>
    </w:p>
    <w:p w14:paraId="5AA899B1">
      <w:pPr>
        <w:spacing w:line="360" w:lineRule="exact"/>
        <w:ind w:firstLine="480" w:firstLineChars="200"/>
        <w:rPr>
          <w:rFonts w:ascii="宋体" w:hAnsi="宋体"/>
          <w:sz w:val="24"/>
        </w:rPr>
      </w:pPr>
      <w:r>
        <w:rPr>
          <w:rFonts w:hint="eastAsia" w:ascii="宋体" w:hAnsi="宋体"/>
          <w:sz w:val="24"/>
        </w:rPr>
        <w:t>9.2投标文件的语言为中文。</w:t>
      </w:r>
    </w:p>
    <w:p w14:paraId="51D917DC">
      <w:pPr>
        <w:spacing w:line="360" w:lineRule="exact"/>
        <w:ind w:firstLine="480" w:firstLineChars="200"/>
        <w:rPr>
          <w:rFonts w:ascii="宋体" w:hAnsi="宋体"/>
          <w:sz w:val="24"/>
        </w:rPr>
      </w:pPr>
      <w:r>
        <w:rPr>
          <w:rFonts w:hint="eastAsia" w:ascii="宋体" w:hAnsi="宋体"/>
          <w:sz w:val="24"/>
        </w:rPr>
        <w:t>9.3投标文件的所有计量单位执行中华人民共和国的计量单位。</w:t>
      </w:r>
    </w:p>
    <w:p w14:paraId="12A1B122">
      <w:pPr>
        <w:spacing w:line="360" w:lineRule="exact"/>
        <w:ind w:firstLine="480" w:firstLineChars="200"/>
        <w:rPr>
          <w:rFonts w:ascii="宋体" w:hAnsi="宋体"/>
          <w:sz w:val="24"/>
        </w:rPr>
      </w:pPr>
      <w:r>
        <w:rPr>
          <w:rFonts w:hint="eastAsia" w:ascii="宋体" w:hAnsi="宋体"/>
          <w:sz w:val="24"/>
        </w:rPr>
        <w:t>10“投标文件”的组成</w:t>
      </w:r>
    </w:p>
    <w:p w14:paraId="0D5D91CB">
      <w:pPr>
        <w:spacing w:line="360" w:lineRule="exact"/>
        <w:ind w:firstLine="480" w:firstLineChars="200"/>
        <w:rPr>
          <w:rFonts w:ascii="宋体" w:hAnsi="宋体"/>
          <w:sz w:val="24"/>
        </w:rPr>
      </w:pPr>
      <w:r>
        <w:rPr>
          <w:rFonts w:hint="eastAsia" w:ascii="宋体" w:hAnsi="宋体"/>
          <w:sz w:val="24"/>
        </w:rPr>
        <w:t>“投标文件”（按附件格式制作）</w:t>
      </w:r>
    </w:p>
    <w:p w14:paraId="16B0DF73">
      <w:pPr>
        <w:spacing w:line="360" w:lineRule="exact"/>
        <w:ind w:firstLine="480" w:firstLineChars="200"/>
        <w:rPr>
          <w:rFonts w:ascii="宋体" w:hAnsi="宋体"/>
          <w:sz w:val="24"/>
        </w:rPr>
      </w:pPr>
      <w:r>
        <w:rPr>
          <w:rFonts w:ascii="宋体" w:hAnsi="宋体"/>
          <w:sz w:val="24"/>
        </w:rPr>
        <w:t>投标人</w:t>
      </w:r>
      <w:r>
        <w:rPr>
          <w:rFonts w:hint="eastAsia" w:ascii="宋体" w:hAnsi="宋体"/>
          <w:sz w:val="24"/>
        </w:rPr>
        <w:t>需</w:t>
      </w:r>
      <w:r>
        <w:rPr>
          <w:rFonts w:ascii="宋体" w:hAnsi="宋体"/>
          <w:sz w:val="24"/>
        </w:rPr>
        <w:t>编制完整的投标文件，按上述顺序编制目录及页码。投标人代表可由法定代表人或其委托代理人担任。由委托代理人签署的投标文件中，须同时提交由法定代表人签署的有效的授权委托书。</w:t>
      </w:r>
    </w:p>
    <w:p w14:paraId="73F80284">
      <w:pPr>
        <w:spacing w:line="360" w:lineRule="exact"/>
        <w:ind w:firstLine="360" w:firstLineChars="150"/>
        <w:rPr>
          <w:rFonts w:ascii="宋体" w:hAnsi="宋体"/>
          <w:sz w:val="24"/>
        </w:rPr>
      </w:pPr>
      <w:r>
        <w:rPr>
          <w:rFonts w:ascii="宋体" w:hAnsi="宋体"/>
          <w:sz w:val="24"/>
        </w:rPr>
        <w:t>1</w:t>
      </w:r>
      <w:r>
        <w:rPr>
          <w:rFonts w:hint="eastAsia" w:ascii="宋体" w:hAnsi="宋体"/>
          <w:sz w:val="24"/>
        </w:rPr>
        <w:t>1“投标文件”格式</w:t>
      </w:r>
    </w:p>
    <w:p w14:paraId="4D4BEF77">
      <w:pPr>
        <w:spacing w:line="360" w:lineRule="exact"/>
        <w:ind w:firstLine="360"/>
        <w:rPr>
          <w:rFonts w:ascii="宋体" w:hAnsi="宋体"/>
          <w:sz w:val="24"/>
        </w:rPr>
      </w:pPr>
      <w:r>
        <w:rPr>
          <w:rFonts w:hint="eastAsia" w:ascii="宋体" w:hAnsi="宋体"/>
          <w:sz w:val="24"/>
        </w:rPr>
        <w:t>11.1投标人应按“招标文件”中提供的“投标文件格式”填写投标书、“开标一览表”、“规格响应表”及“售后服务计划”。投标人应分别在以上表格中注明提供的货物名称、型号规格、技术配置及参数、原产地（</w:t>
      </w:r>
      <w:r>
        <w:rPr>
          <w:rFonts w:hint="eastAsia" w:ascii="宋体" w:hAnsi="宋体"/>
          <w:bCs/>
          <w:sz w:val="24"/>
        </w:rPr>
        <w:t>生产厂名</w:t>
      </w:r>
      <w:r>
        <w:rPr>
          <w:rFonts w:hint="eastAsia" w:ascii="宋体" w:hAnsi="宋体"/>
          <w:sz w:val="24"/>
        </w:rPr>
        <w:t>）、数量和价格等（见附件格式）。</w:t>
      </w:r>
    </w:p>
    <w:p w14:paraId="47E399E8">
      <w:pPr>
        <w:spacing w:line="360" w:lineRule="exact"/>
        <w:ind w:firstLine="444" w:firstLineChars="185"/>
        <w:rPr>
          <w:rFonts w:ascii="宋体" w:hAnsi="宋体"/>
          <w:bCs/>
          <w:sz w:val="24"/>
        </w:rPr>
      </w:pPr>
      <w:r>
        <w:rPr>
          <w:rFonts w:hint="eastAsia" w:ascii="宋体" w:hAnsi="宋体"/>
          <w:sz w:val="24"/>
        </w:rPr>
        <w:t>11.2投标人可对本“招标文件”中“招标采购项目设备清单及范围”所列的所有货物进行以包为单位投标，投标人可以全部投标，亦可选择其中一包投标。但不得将一包中的内容拆开投标。</w:t>
      </w:r>
    </w:p>
    <w:p w14:paraId="5BFD0BBA">
      <w:pPr>
        <w:spacing w:line="360" w:lineRule="exact"/>
        <w:ind w:firstLine="480" w:firstLineChars="200"/>
        <w:jc w:val="left"/>
        <w:rPr>
          <w:rFonts w:ascii="宋体" w:hAnsi="宋体"/>
          <w:sz w:val="24"/>
        </w:rPr>
      </w:pPr>
      <w:r>
        <w:rPr>
          <w:rFonts w:ascii="宋体" w:hAnsi="宋体"/>
          <w:sz w:val="24"/>
        </w:rPr>
        <w:t>1</w:t>
      </w:r>
      <w:r>
        <w:rPr>
          <w:rFonts w:hint="eastAsia" w:ascii="宋体" w:hAnsi="宋体"/>
          <w:sz w:val="24"/>
        </w:rPr>
        <w:t>2投标报价</w:t>
      </w:r>
    </w:p>
    <w:p w14:paraId="2F8B8910">
      <w:pPr>
        <w:spacing w:line="360" w:lineRule="exact"/>
        <w:ind w:firstLine="480" w:firstLineChars="200"/>
        <w:rPr>
          <w:rFonts w:ascii="宋体" w:hAnsi="宋体"/>
          <w:sz w:val="24"/>
        </w:rPr>
      </w:pPr>
      <w:r>
        <w:rPr>
          <w:rFonts w:hint="eastAsia" w:ascii="宋体" w:hAnsi="宋体"/>
          <w:sz w:val="24"/>
        </w:rPr>
        <w:t>12.1投标人应在“招标文件”所附的“开标一览表”（附件格式）上写明投标货物的单价[单价=（货价+运抵用户指定地点运、保、税）]和投标总价。</w:t>
      </w:r>
    </w:p>
    <w:p w14:paraId="7EDD9E07">
      <w:pPr>
        <w:spacing w:line="360" w:lineRule="exact"/>
        <w:ind w:firstLine="480" w:firstLineChars="200"/>
        <w:rPr>
          <w:rFonts w:ascii="宋体" w:hAnsi="宋体"/>
          <w:sz w:val="24"/>
        </w:rPr>
      </w:pPr>
      <w:r>
        <w:rPr>
          <w:rFonts w:hint="eastAsia" w:ascii="宋体" w:hAnsi="宋体"/>
          <w:sz w:val="24"/>
        </w:rPr>
        <w:t>投标文件报价出现前后不一致的，按照下列规定修正：</w:t>
      </w:r>
    </w:p>
    <w:p w14:paraId="40CB2ECD">
      <w:pPr>
        <w:spacing w:line="36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14:paraId="1707C0DB">
      <w:pPr>
        <w:spacing w:line="360" w:lineRule="exact"/>
        <w:ind w:firstLine="480" w:firstLineChars="200"/>
        <w:rPr>
          <w:rFonts w:ascii="宋体" w:hAnsi="宋体"/>
          <w:sz w:val="24"/>
        </w:rPr>
      </w:pPr>
      <w:r>
        <w:rPr>
          <w:rFonts w:hint="eastAsia" w:ascii="宋体" w:hAnsi="宋体"/>
          <w:sz w:val="24"/>
        </w:rPr>
        <w:t>（二）大写金额和小写金额不一致的，以大写金额为准；</w:t>
      </w:r>
    </w:p>
    <w:p w14:paraId="086C9136">
      <w:pPr>
        <w:spacing w:line="36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14:paraId="3FA3083F">
      <w:pPr>
        <w:spacing w:line="36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14:paraId="5F967A81">
      <w:pPr>
        <w:spacing w:line="36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同时出现两种以上不一致的，按照前款规定的顺序修正。修正后的报价按照《政府采购货物和服务招标投标管理办法》第五十一条第二款的规定经投标人确认后产生约束力，投标人不确认的，其投标无效。</w:t>
      </w:r>
    </w:p>
    <w:p w14:paraId="1ECCD41A">
      <w:pPr>
        <w:spacing w:line="360" w:lineRule="exact"/>
        <w:ind w:firstLine="480" w:firstLineChars="200"/>
        <w:rPr>
          <w:rFonts w:ascii="宋体" w:hAnsi="宋体"/>
          <w:sz w:val="24"/>
        </w:rPr>
      </w:pPr>
      <w:r>
        <w:rPr>
          <w:rFonts w:hint="eastAsia" w:ascii="宋体" w:hAnsi="宋体"/>
          <w:sz w:val="24"/>
        </w:rPr>
        <w:t>12.2投标人应按上述条款的要求填写仪器设备报价。此报价作为招标方评标标准，但不能限制买方以其它方式签订合同的权力。</w:t>
      </w:r>
    </w:p>
    <w:p w14:paraId="59B5ACED">
      <w:pPr>
        <w:spacing w:line="360" w:lineRule="exact"/>
        <w:ind w:firstLine="480" w:firstLineChars="200"/>
        <w:rPr>
          <w:rFonts w:ascii="宋体" w:hAnsi="宋体"/>
          <w:sz w:val="24"/>
        </w:rPr>
      </w:pPr>
      <w:r>
        <w:rPr>
          <w:rFonts w:hint="eastAsia" w:ascii="宋体" w:hAnsi="宋体"/>
          <w:sz w:val="24"/>
        </w:rPr>
        <w:t>12.3投标人所报的投标价在合同执行期间是固定不变的，不得以任何理由予以变更。投标价不是固定价的投标文件将作为非响应性投标而予以拒绝。</w:t>
      </w:r>
    </w:p>
    <w:p w14:paraId="6D7C0FD7">
      <w:pPr>
        <w:spacing w:line="360" w:lineRule="exact"/>
        <w:ind w:firstLine="480" w:firstLineChars="200"/>
        <w:rPr>
          <w:rFonts w:ascii="宋体" w:hAnsi="宋体"/>
          <w:sz w:val="24"/>
        </w:rPr>
      </w:pPr>
      <w:r>
        <w:rPr>
          <w:rFonts w:hint="eastAsia" w:ascii="宋体" w:hAnsi="宋体"/>
          <w:sz w:val="24"/>
        </w:rPr>
        <w:t>12.4投标总报价表及投标分项报价表应包括：</w:t>
      </w:r>
    </w:p>
    <w:p w14:paraId="70B5A214">
      <w:pPr>
        <w:tabs>
          <w:tab w:val="left" w:pos="420"/>
        </w:tabs>
        <w:spacing w:line="360" w:lineRule="exact"/>
        <w:ind w:firstLine="480" w:firstLineChars="200"/>
        <w:rPr>
          <w:rFonts w:ascii="宋体" w:hAnsi="宋体"/>
          <w:sz w:val="24"/>
        </w:rPr>
      </w:pPr>
      <w:r>
        <w:rPr>
          <w:rFonts w:hint="eastAsia" w:ascii="宋体" w:hAnsi="宋体"/>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14:paraId="56E6888A">
      <w:pPr>
        <w:spacing w:line="360" w:lineRule="exact"/>
        <w:ind w:firstLine="480" w:firstLineChars="200"/>
        <w:rPr>
          <w:rFonts w:ascii="宋体" w:hAnsi="宋体"/>
          <w:sz w:val="24"/>
        </w:rPr>
      </w:pPr>
      <w:r>
        <w:rPr>
          <w:rFonts w:ascii="宋体" w:hAnsi="宋体"/>
          <w:sz w:val="24"/>
        </w:rPr>
        <w:t>1</w:t>
      </w:r>
      <w:r>
        <w:rPr>
          <w:rFonts w:hint="eastAsia" w:ascii="宋体" w:hAnsi="宋体"/>
          <w:sz w:val="24"/>
        </w:rPr>
        <w:t>3投标人资格的证明文件</w:t>
      </w:r>
    </w:p>
    <w:p w14:paraId="5531742C">
      <w:pPr>
        <w:spacing w:line="360" w:lineRule="exact"/>
        <w:ind w:left="567"/>
        <w:rPr>
          <w:rFonts w:ascii="宋体" w:hAnsi="宋体"/>
          <w:sz w:val="24"/>
        </w:rPr>
      </w:pPr>
      <w:r>
        <w:rPr>
          <w:rFonts w:hint="eastAsia" w:ascii="宋体" w:hAnsi="宋体"/>
          <w:sz w:val="24"/>
        </w:rPr>
        <w:t>投标人应填写并提交招标文件上所附的“资格证明文件”。</w:t>
      </w:r>
    </w:p>
    <w:p w14:paraId="0A2FB42C">
      <w:pPr>
        <w:widowControl/>
        <w:spacing w:line="320" w:lineRule="atLeast"/>
        <w:ind w:firstLine="480"/>
        <w:rPr>
          <w:rFonts w:ascii="宋体" w:hAnsi="宋体"/>
          <w:kern w:val="0"/>
          <w:sz w:val="24"/>
        </w:rPr>
      </w:pPr>
      <w:r>
        <w:rPr>
          <w:rFonts w:ascii="宋体" w:hAnsi="宋体"/>
          <w:kern w:val="0"/>
          <w:sz w:val="24"/>
        </w:rPr>
        <w:t>1</w:t>
      </w:r>
      <w:r>
        <w:rPr>
          <w:rFonts w:hint="eastAsia" w:ascii="宋体" w:hAnsi="宋体"/>
          <w:kern w:val="0"/>
          <w:sz w:val="24"/>
        </w:rPr>
        <w:t>4投标有效期</w:t>
      </w:r>
    </w:p>
    <w:p w14:paraId="40D3B25B">
      <w:pPr>
        <w:widowControl/>
        <w:spacing w:line="320" w:lineRule="atLeast"/>
        <w:ind w:firstLine="480"/>
        <w:rPr>
          <w:rFonts w:ascii="宋体" w:hAnsi="宋体"/>
          <w:kern w:val="0"/>
          <w:sz w:val="24"/>
        </w:rPr>
      </w:pPr>
      <w:r>
        <w:rPr>
          <w:rFonts w:hint="eastAsia" w:ascii="宋体" w:hAnsi="宋体"/>
          <w:kern w:val="0"/>
          <w:sz w:val="24"/>
        </w:rPr>
        <w:t>14</w:t>
      </w:r>
      <w:r>
        <w:rPr>
          <w:rFonts w:ascii="宋体" w:hAnsi="宋体"/>
          <w:kern w:val="0"/>
          <w:sz w:val="24"/>
        </w:rPr>
        <w:t>.1</w:t>
      </w:r>
      <w:r>
        <w:rPr>
          <w:rFonts w:hint="eastAsia" w:ascii="宋体" w:hAnsi="宋体"/>
          <w:kern w:val="0"/>
          <w:sz w:val="24"/>
        </w:rPr>
        <w:t>“投标文件”从开标之日起，投标有效期为90天。</w:t>
      </w:r>
    </w:p>
    <w:p w14:paraId="35CD258F">
      <w:pPr>
        <w:widowControl/>
        <w:spacing w:line="320" w:lineRule="atLeast"/>
        <w:ind w:firstLine="480"/>
        <w:rPr>
          <w:rFonts w:ascii="宋体" w:hAnsi="宋体"/>
          <w:sz w:val="24"/>
        </w:rPr>
      </w:pPr>
      <w:r>
        <w:rPr>
          <w:rFonts w:hint="eastAsia" w:ascii="宋体" w:hAnsi="宋体"/>
          <w:kern w:val="0"/>
          <w:sz w:val="24"/>
        </w:rPr>
        <w:t>14.2特殊情况下，采购代理机构可于投标有效期期满之前</w:t>
      </w:r>
      <w:r>
        <w:rPr>
          <w:rFonts w:hint="eastAsia" w:ascii="宋体" w:hAnsi="宋体"/>
          <w:sz w:val="24"/>
        </w:rPr>
        <w:t>，要求投标人同意延长投标有效期。投标人可以拒绝或同意上述要求，但要求与答复均须是书面文件。对于同意该要求的投标人，招标人既不要求也不允许其修改“投标文件”。</w:t>
      </w:r>
    </w:p>
    <w:p w14:paraId="5B8556BC">
      <w:pPr>
        <w:spacing w:line="360" w:lineRule="exact"/>
        <w:ind w:firstLine="480" w:firstLineChars="200"/>
        <w:rPr>
          <w:rFonts w:ascii="宋体" w:hAnsi="宋体"/>
          <w:sz w:val="24"/>
        </w:rPr>
      </w:pPr>
      <w:r>
        <w:rPr>
          <w:rFonts w:ascii="宋体" w:hAnsi="宋体"/>
          <w:sz w:val="24"/>
        </w:rPr>
        <w:t>1</w:t>
      </w:r>
      <w:r>
        <w:rPr>
          <w:rFonts w:hint="eastAsia" w:ascii="宋体" w:hAnsi="宋体"/>
          <w:sz w:val="24"/>
        </w:rPr>
        <w:t>5“投标文件”的签署及修改</w:t>
      </w:r>
    </w:p>
    <w:p w14:paraId="1156704E">
      <w:pPr>
        <w:spacing w:line="360" w:lineRule="exact"/>
        <w:ind w:firstLine="480"/>
        <w:rPr>
          <w:rFonts w:ascii="宋体" w:hAnsi="宋体"/>
          <w:sz w:val="24"/>
        </w:rPr>
      </w:pPr>
      <w:r>
        <w:rPr>
          <w:rFonts w:hint="eastAsia" w:ascii="宋体" w:hAnsi="宋体"/>
          <w:sz w:val="24"/>
        </w:rPr>
        <w:t>15.1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0FB97FB6">
      <w:pPr>
        <w:spacing w:line="360" w:lineRule="exact"/>
        <w:ind w:firstLine="480"/>
        <w:rPr>
          <w:rFonts w:ascii="宋体" w:hAnsi="宋体"/>
          <w:sz w:val="24"/>
        </w:rPr>
      </w:pPr>
      <w:r>
        <w:rPr>
          <w:rFonts w:hint="eastAsia" w:ascii="宋体" w:hAnsi="宋体"/>
          <w:sz w:val="24"/>
        </w:rPr>
        <w:t>15.2</w:t>
      </w:r>
      <w:r>
        <w:rPr>
          <w:rFonts w:hint="eastAsia" w:ascii="宋体" w:hAnsi="宋体"/>
          <w:bCs/>
          <w:snapToGrid w:val="0"/>
          <w:kern w:val="0"/>
          <w:sz w:val="24"/>
        </w:rPr>
        <w:t>招标文件中已明示需要盖章签名处，投标文件均须由投标人法定代表人或其授权代表签名和盖章；</w:t>
      </w:r>
      <w:r>
        <w:rPr>
          <w:rFonts w:hint="eastAsia" w:ascii="宋体" w:hAnsi="宋体"/>
          <w:snapToGrid w:val="0"/>
          <w:kern w:val="0"/>
          <w:sz w:val="24"/>
        </w:rPr>
        <w:t>投标文件的任何行间插字、涂改和增删，必须有投标文件签字人在旁边签名才生效，其修改必须清晰。</w:t>
      </w:r>
    </w:p>
    <w:p w14:paraId="2BD034F2">
      <w:pPr>
        <w:spacing w:line="360" w:lineRule="exact"/>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3电报、电话、传真形式的投标概不接受。</w:t>
      </w:r>
    </w:p>
    <w:p w14:paraId="111CA7DD">
      <w:pPr>
        <w:pStyle w:val="2"/>
      </w:pPr>
      <w:bookmarkStart w:id="41" w:name="_Toc24619"/>
      <w:r>
        <w:rPr>
          <w:rFonts w:hint="eastAsia"/>
        </w:rPr>
        <w:t>4、投标文件的递交</w:t>
      </w:r>
      <w:bookmarkEnd w:id="41"/>
    </w:p>
    <w:p w14:paraId="4FEEE326">
      <w:pPr>
        <w:shd w:val="clear" w:color="auto" w:fill="FFFFFF" w:themeFill="background1"/>
        <w:spacing w:line="360" w:lineRule="exact"/>
        <w:ind w:firstLine="480" w:firstLineChars="200"/>
        <w:rPr>
          <w:rFonts w:ascii="宋体" w:hAnsi="宋体"/>
          <w:color w:val="000000" w:themeColor="text1"/>
          <w:sz w:val="24"/>
        </w:rPr>
      </w:pPr>
      <w:bookmarkStart w:id="42" w:name="_Toc13032"/>
      <w:r>
        <w:rPr>
          <w:rFonts w:ascii="宋体" w:hAnsi="宋体"/>
          <w:color w:val="000000" w:themeColor="text1"/>
          <w:sz w:val="24"/>
        </w:rPr>
        <w:t>1</w:t>
      </w:r>
      <w:r>
        <w:rPr>
          <w:rFonts w:hint="eastAsia" w:ascii="宋体" w:hAnsi="宋体"/>
          <w:color w:val="000000" w:themeColor="text1"/>
          <w:sz w:val="24"/>
        </w:rPr>
        <w:t>6“投标文件”的标记（不作为实质性要求）</w:t>
      </w:r>
    </w:p>
    <w:p w14:paraId="552C164A">
      <w:pPr>
        <w:shd w:val="clear" w:color="auto" w:fill="FFFFFF" w:themeFill="background1"/>
        <w:spacing w:line="360" w:lineRule="exact"/>
        <w:rPr>
          <w:rFonts w:ascii="宋体" w:hAnsi="宋体"/>
          <w:color w:val="000000" w:themeColor="text1"/>
          <w:sz w:val="24"/>
        </w:rPr>
      </w:pPr>
      <w:r>
        <w:rPr>
          <w:rFonts w:hint="eastAsia" w:ascii="宋体" w:hAnsi="宋体"/>
          <w:color w:val="000000" w:themeColor="text1"/>
          <w:sz w:val="24"/>
        </w:rPr>
        <w:t xml:space="preserve">    不能按“招标文件”提出的要求制作的标书，被视为不完整的投标书，势必影响评标工作进行，</w:t>
      </w:r>
      <w:r>
        <w:rPr>
          <w:rFonts w:hint="eastAsia" w:ascii="宋体" w:hAnsi="宋体"/>
          <w:bCs/>
          <w:color w:val="000000" w:themeColor="text1"/>
          <w:sz w:val="24"/>
        </w:rPr>
        <w:t>是投标人潜在的风险</w:t>
      </w:r>
      <w:r>
        <w:rPr>
          <w:rFonts w:hint="eastAsia" w:ascii="宋体" w:hAnsi="宋体"/>
          <w:color w:val="000000" w:themeColor="text1"/>
          <w:sz w:val="24"/>
        </w:rPr>
        <w:t>。</w:t>
      </w:r>
    </w:p>
    <w:p w14:paraId="76C91323">
      <w:pPr>
        <w:shd w:val="clear" w:color="auto" w:fill="FFFFFF" w:themeFill="background1"/>
        <w:spacing w:line="36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7“投标文件”的时间以及截止时间</w:t>
      </w:r>
    </w:p>
    <w:p w14:paraId="5DBCA96F">
      <w:pPr>
        <w:shd w:val="clear" w:color="auto" w:fill="FFFFFF" w:themeFill="background1"/>
        <w:spacing w:line="360" w:lineRule="exact"/>
        <w:ind w:firstLine="480"/>
        <w:rPr>
          <w:rFonts w:ascii="宋体" w:hAnsi="宋体"/>
          <w:color w:val="000000" w:themeColor="text1"/>
          <w:sz w:val="24"/>
        </w:rPr>
      </w:pPr>
      <w:r>
        <w:rPr>
          <w:rFonts w:hint="eastAsia" w:ascii="宋体" w:hAnsi="宋体"/>
          <w:color w:val="000000" w:themeColor="text1"/>
          <w:sz w:val="24"/>
        </w:rPr>
        <w:t>17.1所有“投标文件”都必须按采购代理机构在“投标邀请函”中规定的投标截止时间之前送达指定地点。</w:t>
      </w:r>
    </w:p>
    <w:p w14:paraId="5B811FF1">
      <w:pPr>
        <w:shd w:val="clear" w:color="auto" w:fill="FFFFFF" w:themeFill="background1"/>
        <w:spacing w:line="360" w:lineRule="exact"/>
        <w:ind w:firstLine="480"/>
        <w:rPr>
          <w:rFonts w:ascii="宋体" w:hAnsi="宋体"/>
          <w:color w:val="000000" w:themeColor="text1"/>
          <w:sz w:val="24"/>
        </w:rPr>
      </w:pPr>
      <w:r>
        <w:rPr>
          <w:rFonts w:hint="eastAsia" w:ascii="宋体" w:hAnsi="宋体"/>
          <w:color w:val="000000" w:themeColor="text1"/>
          <w:sz w:val="24"/>
        </w:rPr>
        <w:t>17.2投标人在投标截止时间前，可以对所递交的投标文件进行补充、修改或者撤回，并书面通知采购人或者采购代理机构。补充、修改的内容应当按照招标文件要求签署、盖章、密封后，作为投标文件的组成部分。</w:t>
      </w:r>
    </w:p>
    <w:p w14:paraId="3FAD7A6D">
      <w:pPr>
        <w:shd w:val="clear" w:color="auto" w:fill="FFFFFF" w:themeFill="background1"/>
        <w:spacing w:line="360" w:lineRule="exact"/>
        <w:ind w:firstLine="48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8迟交的“投标文件”</w:t>
      </w:r>
    </w:p>
    <w:p w14:paraId="1E0B6207">
      <w:pPr>
        <w:shd w:val="clear" w:color="auto" w:fill="FFFFFF" w:themeFill="background1"/>
        <w:spacing w:line="360" w:lineRule="exact"/>
        <w:ind w:firstLine="480"/>
        <w:rPr>
          <w:rFonts w:ascii="宋体" w:hAnsi="宋体"/>
          <w:color w:val="000000" w:themeColor="text1"/>
          <w:sz w:val="24"/>
        </w:rPr>
      </w:pPr>
      <w:r>
        <w:rPr>
          <w:rFonts w:hint="eastAsia" w:ascii="宋体" w:hAnsi="宋体"/>
          <w:color w:val="000000" w:themeColor="text1"/>
          <w:sz w:val="24"/>
        </w:rPr>
        <w:t>18.1采购代理机构拒绝接收在投标截止时间后递交的“投标文件”。</w:t>
      </w:r>
    </w:p>
    <w:p w14:paraId="7F3CCDB2">
      <w:pPr>
        <w:shd w:val="clear" w:color="auto" w:fill="FFFFFF" w:themeFill="background1"/>
        <w:spacing w:line="360" w:lineRule="exact"/>
        <w:ind w:firstLine="480"/>
        <w:rPr>
          <w:rFonts w:ascii="宋体" w:hAnsi="宋体"/>
          <w:color w:val="000000" w:themeColor="text1"/>
          <w:sz w:val="24"/>
        </w:rPr>
      </w:pPr>
      <w:r>
        <w:rPr>
          <w:rFonts w:hint="eastAsia" w:ascii="宋体" w:hAnsi="宋体"/>
          <w:color w:val="000000" w:themeColor="text1"/>
          <w:sz w:val="24"/>
        </w:rPr>
        <w:t>18.2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46F540FC">
      <w:pPr>
        <w:pStyle w:val="2"/>
      </w:pPr>
      <w:r>
        <w:rPr>
          <w:rFonts w:hint="eastAsia"/>
        </w:rPr>
        <w:t>5、开标和评标</w:t>
      </w:r>
      <w:bookmarkEnd w:id="42"/>
    </w:p>
    <w:p w14:paraId="4F4A44A9">
      <w:pPr>
        <w:spacing w:line="360" w:lineRule="exact"/>
        <w:ind w:firstLine="480" w:firstLineChars="200"/>
        <w:rPr>
          <w:rFonts w:ascii="宋体" w:hAnsi="宋体"/>
          <w:sz w:val="24"/>
        </w:rPr>
      </w:pPr>
      <w:r>
        <w:rPr>
          <w:rFonts w:hint="eastAsia" w:ascii="宋体" w:hAnsi="宋体"/>
          <w:sz w:val="24"/>
        </w:rPr>
        <w:t>19开标</w:t>
      </w:r>
    </w:p>
    <w:p w14:paraId="1C5F381F">
      <w:pPr>
        <w:spacing w:line="360" w:lineRule="exact"/>
        <w:ind w:firstLine="465"/>
        <w:rPr>
          <w:rFonts w:ascii="宋体" w:hAnsi="宋体"/>
          <w:sz w:val="24"/>
        </w:rPr>
      </w:pPr>
      <w:r>
        <w:rPr>
          <w:rFonts w:hint="eastAsia" w:ascii="宋体" w:hAnsi="宋体"/>
          <w:sz w:val="24"/>
        </w:rPr>
        <w:t>19.1采购代理机构在“招标公告”或“投标邀请函”规定的时间和地点公开开标。</w:t>
      </w:r>
    </w:p>
    <w:p w14:paraId="60EEEF5D">
      <w:pPr>
        <w:spacing w:line="360" w:lineRule="exact"/>
        <w:ind w:firstLine="465"/>
        <w:rPr>
          <w:rFonts w:ascii="宋体" w:hAnsi="宋体"/>
          <w:sz w:val="24"/>
        </w:rPr>
      </w:pPr>
      <w:r>
        <w:rPr>
          <w:rFonts w:hint="eastAsia" w:ascii="宋体" w:hAnsi="宋体"/>
          <w:sz w:val="24"/>
        </w:rPr>
        <w:t>19.2投标截止后投标人不足3家或者通过资格审查或符合性审查的投标人不足3家的，本项目作废标处理</w:t>
      </w:r>
      <w:r>
        <w:rPr>
          <w:rFonts w:ascii="宋体" w:hAnsi="宋体"/>
          <w:sz w:val="24"/>
        </w:rPr>
        <w:t>。</w:t>
      </w:r>
    </w:p>
    <w:p w14:paraId="2BE258AF">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开标过程应当由采购人或者采购代理机构负责记录，由参加开标的各投标人代表和相关工作人员签字确认后随采购文件一并存档。</w:t>
      </w:r>
    </w:p>
    <w:p w14:paraId="2A045E43">
      <w:pPr>
        <w:spacing w:line="360" w:lineRule="exact"/>
        <w:rPr>
          <w:rFonts w:ascii="宋体" w:hAnsi="宋体"/>
          <w:sz w:val="24"/>
        </w:rPr>
      </w:pPr>
      <w:r>
        <w:rPr>
          <w:rFonts w:ascii="宋体" w:hAnsi="宋体"/>
          <w:sz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79BFC636">
      <w:pPr>
        <w:spacing w:line="360" w:lineRule="exact"/>
        <w:ind w:firstLine="480" w:firstLineChars="200"/>
        <w:rPr>
          <w:rFonts w:ascii="宋体" w:hAnsi="宋体"/>
          <w:sz w:val="24"/>
        </w:rPr>
      </w:pPr>
      <w:r>
        <w:rPr>
          <w:rFonts w:hint="eastAsia" w:ascii="宋体" w:hAnsi="宋体"/>
          <w:sz w:val="24"/>
        </w:rPr>
        <w:t>20、评标委员会</w:t>
      </w:r>
    </w:p>
    <w:p w14:paraId="1CCA3C64">
      <w:pPr>
        <w:spacing w:line="360" w:lineRule="exact"/>
        <w:ind w:firstLine="480" w:firstLineChars="200"/>
        <w:rPr>
          <w:rFonts w:ascii="宋体" w:hAnsi="宋体"/>
          <w:sz w:val="24"/>
        </w:rPr>
      </w:pPr>
      <w:r>
        <w:rPr>
          <w:rFonts w:hint="eastAsia" w:ascii="宋体" w:hAnsi="宋体"/>
          <w:sz w:val="24"/>
        </w:rPr>
        <w:t>20.1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6789659C">
      <w:pPr>
        <w:spacing w:line="360" w:lineRule="exact"/>
        <w:ind w:firstLine="480" w:firstLineChars="200"/>
        <w:rPr>
          <w:rFonts w:ascii="宋体" w:hAnsi="宋体"/>
          <w:sz w:val="24"/>
        </w:rPr>
      </w:pPr>
      <w:r>
        <w:rPr>
          <w:rFonts w:hint="eastAsia" w:ascii="宋体" w:hAnsi="宋体"/>
          <w:sz w:val="24"/>
        </w:rPr>
        <w:t>20</w:t>
      </w:r>
      <w:r>
        <w:rPr>
          <w:rFonts w:ascii="宋体" w:hAnsi="宋体"/>
          <w:sz w:val="24"/>
        </w:rPr>
        <w:t xml:space="preserve">.2 </w:t>
      </w:r>
      <w:r>
        <w:rPr>
          <w:rFonts w:hint="eastAsia" w:ascii="宋体" w:hAnsi="宋体"/>
          <w:sz w:val="24"/>
        </w:rPr>
        <w:t>评标期间，投标人应由法人代表或授权委托人应答必须的询标。</w:t>
      </w:r>
    </w:p>
    <w:p w14:paraId="4AAD0982">
      <w:pPr>
        <w:spacing w:line="360" w:lineRule="exact"/>
        <w:ind w:firstLine="480" w:firstLineChars="200"/>
        <w:rPr>
          <w:rFonts w:ascii="宋体" w:hAnsi="宋体"/>
          <w:sz w:val="24"/>
        </w:rPr>
      </w:pPr>
      <w:r>
        <w:rPr>
          <w:rFonts w:ascii="宋体" w:hAnsi="宋体"/>
          <w:sz w:val="24"/>
        </w:rPr>
        <w:t>2</w:t>
      </w:r>
      <w:r>
        <w:rPr>
          <w:rFonts w:hint="eastAsia" w:ascii="宋体" w:hAnsi="宋体"/>
          <w:sz w:val="24"/>
        </w:rPr>
        <w:t>1对“投标文件”的审查和响应性的确定</w:t>
      </w:r>
    </w:p>
    <w:p w14:paraId="14449500">
      <w:pPr>
        <w:spacing w:line="360" w:lineRule="exact"/>
        <w:ind w:firstLine="480" w:firstLineChars="200"/>
        <w:rPr>
          <w:rFonts w:ascii="宋体" w:hAnsi="宋体"/>
          <w:sz w:val="24"/>
        </w:rPr>
      </w:pPr>
      <w:r>
        <w:rPr>
          <w:rFonts w:hint="eastAsia" w:ascii="宋体" w:hAnsi="宋体"/>
          <w:sz w:val="24"/>
        </w:rPr>
        <w:t>21.1开标后，</w:t>
      </w: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3A999B37">
      <w:pPr>
        <w:spacing w:line="360" w:lineRule="exact"/>
        <w:ind w:firstLine="480" w:firstLineChars="200"/>
        <w:rPr>
          <w:rFonts w:ascii="宋体" w:hAnsi="宋体"/>
          <w:sz w:val="24"/>
        </w:rPr>
      </w:pPr>
      <w:r>
        <w:rPr>
          <w:rFonts w:hint="eastAsia" w:ascii="宋体" w:hAnsi="宋体"/>
          <w:sz w:val="24"/>
        </w:rPr>
        <w:t>21.2在对“投标文件”进行详细评估之前，评标委员会将依据招标文件规定对投标人进行符合性审查，没有通过审查的，其投标将被拒绝。</w:t>
      </w:r>
    </w:p>
    <w:p w14:paraId="42162DEB">
      <w:pPr>
        <w:spacing w:line="360" w:lineRule="exact"/>
        <w:ind w:firstLine="480" w:firstLineChars="200"/>
        <w:rPr>
          <w:rFonts w:ascii="宋体" w:hAnsi="宋体"/>
          <w:sz w:val="24"/>
        </w:rPr>
      </w:pPr>
      <w:r>
        <w:rPr>
          <w:rFonts w:hint="eastAsia" w:ascii="宋体" w:hAnsi="宋体"/>
          <w:sz w:val="24"/>
        </w:rPr>
        <w:t>21.3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650A40DA">
      <w:pPr>
        <w:spacing w:line="360" w:lineRule="exact"/>
        <w:ind w:firstLine="480" w:firstLineChars="200"/>
        <w:rPr>
          <w:rFonts w:ascii="宋体" w:hAnsi="宋体"/>
          <w:sz w:val="24"/>
        </w:rPr>
      </w:pPr>
      <w:r>
        <w:rPr>
          <w:rFonts w:hint="eastAsia" w:ascii="宋体" w:hAnsi="宋体"/>
          <w:sz w:val="24"/>
        </w:rPr>
        <w:t>21.3.1实质性偏离是指投标文件未能响应招标文件的要求。以下情况属于实质性偏离：</w:t>
      </w:r>
    </w:p>
    <w:p w14:paraId="26802668">
      <w:pPr>
        <w:spacing w:line="360" w:lineRule="exact"/>
        <w:ind w:firstLine="480" w:firstLineChars="200"/>
        <w:rPr>
          <w:rFonts w:ascii="宋体" w:hAnsi="宋体"/>
          <w:sz w:val="24"/>
        </w:rPr>
      </w:pPr>
      <w:r>
        <w:rPr>
          <w:rFonts w:hint="eastAsia" w:ascii="宋体" w:hAnsi="宋体"/>
          <w:sz w:val="24"/>
        </w:rPr>
        <w:t>（1）投标文件载明的招标项目完成期限超过了招标文件规定的期限；</w:t>
      </w:r>
    </w:p>
    <w:p w14:paraId="36578376">
      <w:pPr>
        <w:spacing w:line="360" w:lineRule="exact"/>
        <w:ind w:firstLine="480"/>
        <w:rPr>
          <w:rFonts w:ascii="宋体" w:hAnsi="宋体"/>
          <w:sz w:val="24"/>
        </w:rPr>
      </w:pPr>
      <w:r>
        <w:rPr>
          <w:rFonts w:hint="eastAsia" w:ascii="宋体" w:hAnsi="宋体"/>
          <w:sz w:val="24"/>
        </w:rPr>
        <w:t>（2）投标人的投标报价超过了采购人的预算控制价；</w:t>
      </w:r>
    </w:p>
    <w:p w14:paraId="54F29653">
      <w:pPr>
        <w:spacing w:line="360" w:lineRule="exact"/>
        <w:ind w:firstLine="480"/>
        <w:rPr>
          <w:rFonts w:ascii="宋体" w:hAnsi="宋体"/>
          <w:sz w:val="24"/>
        </w:rPr>
      </w:pPr>
      <w:r>
        <w:rPr>
          <w:rFonts w:hint="eastAsia" w:ascii="宋体" w:hAnsi="宋体"/>
          <w:sz w:val="24"/>
        </w:rPr>
        <w:t>（3）投标文件中附有采购人不能接受的条件。</w:t>
      </w:r>
    </w:p>
    <w:p w14:paraId="3183B987">
      <w:pPr>
        <w:spacing w:line="360" w:lineRule="exact"/>
        <w:ind w:firstLine="480"/>
        <w:rPr>
          <w:rFonts w:ascii="宋体" w:hAnsi="宋体"/>
          <w:sz w:val="24"/>
        </w:rPr>
      </w:pPr>
      <w:r>
        <w:rPr>
          <w:rFonts w:hint="eastAsia" w:ascii="宋体" w:hAnsi="宋体"/>
          <w:sz w:val="24"/>
        </w:rPr>
        <w:t>投标文件有上述情形之一的，在评标时视为：对招标文件要求有实质性偏离处理。</w:t>
      </w:r>
    </w:p>
    <w:p w14:paraId="5374C07E">
      <w:pPr>
        <w:spacing w:line="360" w:lineRule="exact"/>
        <w:ind w:firstLine="480"/>
        <w:rPr>
          <w:rFonts w:ascii="宋体" w:hAnsi="宋体"/>
          <w:sz w:val="24"/>
        </w:rPr>
      </w:pPr>
      <w:r>
        <w:rPr>
          <w:rFonts w:hint="eastAsia" w:ascii="宋体" w:hAnsi="宋体"/>
          <w:sz w:val="24"/>
        </w:rPr>
        <w:t>投标人不能通过修正或撤销不符之处，而使其投标成为实质性响应的投标。</w:t>
      </w:r>
    </w:p>
    <w:p w14:paraId="6E02C089">
      <w:pPr>
        <w:spacing w:line="360" w:lineRule="exact"/>
        <w:ind w:firstLine="480"/>
        <w:rPr>
          <w:rFonts w:ascii="宋体" w:hAnsi="宋体"/>
          <w:sz w:val="24"/>
        </w:rPr>
      </w:pPr>
      <w:r>
        <w:rPr>
          <w:rFonts w:hint="eastAsia" w:ascii="宋体" w:hAnsi="宋体"/>
          <w:sz w:val="24"/>
        </w:rPr>
        <w:t>21.3.2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440EAC8">
      <w:pPr>
        <w:spacing w:line="360" w:lineRule="exact"/>
        <w:ind w:firstLine="480"/>
        <w:rPr>
          <w:rFonts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63018C">
      <w:pPr>
        <w:spacing w:line="360" w:lineRule="exact"/>
        <w:ind w:firstLine="480"/>
        <w:rPr>
          <w:rFonts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40771726">
      <w:pPr>
        <w:spacing w:line="360" w:lineRule="exact"/>
        <w:ind w:firstLine="480"/>
        <w:rPr>
          <w:rFonts w:ascii="宋体" w:hAnsi="宋体"/>
          <w:sz w:val="24"/>
        </w:rPr>
      </w:pPr>
      <w:r>
        <w:rPr>
          <w:rFonts w:hint="eastAsia" w:ascii="宋体" w:hAnsi="宋体"/>
          <w:sz w:val="24"/>
        </w:rPr>
        <w:t>21.3.3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70746134">
      <w:pPr>
        <w:spacing w:line="360" w:lineRule="exact"/>
        <w:ind w:firstLine="480"/>
        <w:rPr>
          <w:rFonts w:ascii="宋体" w:hAnsi="宋体"/>
          <w:sz w:val="24"/>
        </w:rPr>
      </w:pPr>
      <w:r>
        <w:rPr>
          <w:rFonts w:hint="eastAsia" w:ascii="宋体" w:hAnsi="宋体"/>
          <w:sz w:val="24"/>
        </w:rPr>
        <w:t>（1）文字表述的内容含义不明确；</w:t>
      </w:r>
    </w:p>
    <w:p w14:paraId="49EE7E1B">
      <w:pPr>
        <w:spacing w:line="360" w:lineRule="exact"/>
        <w:ind w:firstLine="480"/>
        <w:rPr>
          <w:rFonts w:ascii="宋体" w:hAnsi="宋体"/>
          <w:sz w:val="24"/>
        </w:rPr>
      </w:pPr>
      <w:r>
        <w:rPr>
          <w:rFonts w:hint="eastAsia" w:ascii="宋体" w:hAnsi="宋体"/>
          <w:sz w:val="24"/>
        </w:rPr>
        <w:t>（2）同类问题表述不一致；</w:t>
      </w:r>
    </w:p>
    <w:p w14:paraId="388CEBA6">
      <w:pPr>
        <w:spacing w:line="360" w:lineRule="exact"/>
        <w:ind w:firstLine="480"/>
        <w:rPr>
          <w:rFonts w:ascii="宋体" w:hAnsi="宋体"/>
          <w:sz w:val="24"/>
        </w:rPr>
      </w:pPr>
      <w:r>
        <w:rPr>
          <w:rFonts w:hint="eastAsia" w:ascii="宋体" w:hAnsi="宋体"/>
          <w:sz w:val="24"/>
        </w:rPr>
        <w:t>（3）有明显文字和计算错误；</w:t>
      </w:r>
    </w:p>
    <w:p w14:paraId="6B430BF9">
      <w:pPr>
        <w:spacing w:line="360" w:lineRule="exact"/>
        <w:ind w:firstLine="480"/>
        <w:rPr>
          <w:rFonts w:ascii="宋体" w:hAnsi="宋体"/>
          <w:sz w:val="24"/>
        </w:rPr>
      </w:pPr>
      <w:r>
        <w:rPr>
          <w:rFonts w:hint="eastAsia" w:ascii="宋体" w:hAnsi="宋体"/>
          <w:sz w:val="24"/>
        </w:rPr>
        <w:t>（4）提供的技术信息和数据资料不完整；</w:t>
      </w:r>
    </w:p>
    <w:p w14:paraId="27CB1568">
      <w:pPr>
        <w:spacing w:line="360" w:lineRule="exact"/>
        <w:ind w:firstLine="480"/>
        <w:rPr>
          <w:rFonts w:ascii="宋体" w:hAnsi="宋体"/>
          <w:sz w:val="24"/>
        </w:rPr>
      </w:pPr>
      <w:r>
        <w:rPr>
          <w:rFonts w:hint="eastAsia" w:ascii="宋体" w:hAnsi="宋体"/>
          <w:sz w:val="24"/>
        </w:rPr>
        <w:t>（5）投标文件未按招标文件要求进行编制目录或页码；</w:t>
      </w:r>
    </w:p>
    <w:p w14:paraId="22AAE7D0">
      <w:pPr>
        <w:spacing w:line="360" w:lineRule="exact"/>
        <w:ind w:firstLine="480"/>
        <w:rPr>
          <w:rFonts w:ascii="宋体" w:hAnsi="宋体"/>
          <w:sz w:val="24"/>
        </w:rPr>
      </w:pPr>
      <w:r>
        <w:rPr>
          <w:rFonts w:hint="eastAsia" w:ascii="宋体" w:hAnsi="宋体"/>
          <w:sz w:val="24"/>
        </w:rPr>
        <w:t>（6）评标委员会认定的其他非实质性偏离。</w:t>
      </w:r>
    </w:p>
    <w:p w14:paraId="707BBA7E">
      <w:pPr>
        <w:spacing w:line="360" w:lineRule="exact"/>
        <w:ind w:firstLine="480"/>
        <w:rPr>
          <w:rFonts w:ascii="宋体" w:hAnsi="宋体"/>
          <w:sz w:val="24"/>
        </w:rPr>
      </w:pPr>
      <w:r>
        <w:rPr>
          <w:rFonts w:hint="eastAsia" w:ascii="宋体" w:hAnsi="宋体"/>
          <w:sz w:val="24"/>
        </w:rPr>
        <w:t>投标文件有上述（1）--（4）情形之一的，</w:t>
      </w:r>
      <w:r>
        <w:rPr>
          <w:rFonts w:ascii="宋体" w:hAnsi="宋体" w:cs="Arial"/>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sz w:val="24"/>
        </w:rPr>
        <w:t>澄清、说明、补正的内容也不能说明问题的，视为投标文件制作不规范。按每一项非实质性偏离进行扣分处理，直至该项分值扣完为止。评标委员会不接受投标人主动提出的澄清、说明或补正。</w:t>
      </w:r>
    </w:p>
    <w:p w14:paraId="41CFF6D3">
      <w:pPr>
        <w:spacing w:line="360" w:lineRule="exact"/>
        <w:ind w:firstLine="480"/>
        <w:rPr>
          <w:rFonts w:ascii="宋体" w:hAnsi="宋体"/>
          <w:sz w:val="24"/>
        </w:rPr>
      </w:pPr>
      <w:r>
        <w:rPr>
          <w:rFonts w:hint="eastAsia" w:ascii="宋体" w:hAnsi="宋体"/>
          <w:sz w:val="24"/>
        </w:rPr>
        <w:t>21.3.4 在投标文件初审过程中，如果出现评标委员会成员意见不一致的情况，按照少数服从多数的原则确定。</w:t>
      </w:r>
    </w:p>
    <w:p w14:paraId="1964355C">
      <w:pPr>
        <w:spacing w:line="360" w:lineRule="exact"/>
        <w:ind w:firstLine="480"/>
        <w:rPr>
          <w:rFonts w:ascii="宋体" w:hAnsi="宋体" w:cs="Arial"/>
          <w:kern w:val="0"/>
          <w:sz w:val="24"/>
        </w:rPr>
      </w:pPr>
      <w:r>
        <w:rPr>
          <w:rFonts w:hint="eastAsia" w:ascii="宋体" w:hAnsi="宋体"/>
          <w:sz w:val="24"/>
        </w:rPr>
        <w:t>21</w:t>
      </w:r>
      <w:r>
        <w:rPr>
          <w:rFonts w:ascii="宋体" w:hAnsi="宋体" w:cs="Arial"/>
          <w:kern w:val="0"/>
          <w:sz w:val="24"/>
        </w:rPr>
        <w:t>.</w:t>
      </w:r>
      <w:r>
        <w:rPr>
          <w:rFonts w:hint="eastAsia" w:ascii="宋体" w:hAnsi="宋体" w:cs="Arial"/>
          <w:kern w:val="0"/>
          <w:sz w:val="24"/>
        </w:rPr>
        <w:t>4如投标人提交的投标文件为虚假材料的，按无效标处理。</w:t>
      </w:r>
    </w:p>
    <w:p w14:paraId="425E0E34">
      <w:pPr>
        <w:spacing w:line="360" w:lineRule="exact"/>
        <w:ind w:firstLine="480" w:firstLineChars="200"/>
        <w:rPr>
          <w:rFonts w:ascii="宋体" w:hAnsi="宋体"/>
          <w:sz w:val="24"/>
        </w:rPr>
      </w:pPr>
      <w:r>
        <w:rPr>
          <w:rFonts w:ascii="宋体" w:hAnsi="宋体"/>
          <w:sz w:val="24"/>
        </w:rPr>
        <w:t>2</w:t>
      </w:r>
      <w:r>
        <w:rPr>
          <w:rFonts w:hint="eastAsia" w:ascii="宋体" w:hAnsi="宋体"/>
          <w:sz w:val="24"/>
        </w:rPr>
        <w:t>2投标文件的澄清</w:t>
      </w:r>
    </w:p>
    <w:p w14:paraId="47E8E72A">
      <w:pPr>
        <w:spacing w:line="360" w:lineRule="exact"/>
        <w:ind w:firstLine="480" w:firstLineChars="200"/>
        <w:rPr>
          <w:rFonts w:ascii="宋体" w:hAnsi="宋体"/>
          <w:sz w:val="24"/>
        </w:rPr>
      </w:pPr>
      <w:r>
        <w:rPr>
          <w:rFonts w:hint="eastAsia" w:ascii="宋体" w:hAnsi="宋体"/>
          <w:sz w:val="24"/>
        </w:rPr>
        <w:t>22.1为了有助于对“投标文件”进行审查、评估和比较，评标委员会有权向投标人提出质疑，并请投标人澄清其投标内容。投标人有责任，按照采购代理机构通知的时间、地点，指派专人进行答疑和澄清。</w:t>
      </w:r>
    </w:p>
    <w:p w14:paraId="7B6DBAEA">
      <w:pPr>
        <w:ind w:firstLine="480" w:firstLineChars="200"/>
        <w:rPr>
          <w:rFonts w:ascii="宋体" w:hAnsi="宋体"/>
          <w:sz w:val="24"/>
        </w:rPr>
      </w:pPr>
      <w:r>
        <w:rPr>
          <w:rFonts w:hint="eastAsia" w:ascii="宋体" w:hAnsi="宋体"/>
          <w:sz w:val="24"/>
        </w:rPr>
        <w:t>22.2重要的澄清答复应是书面的，但不得对投标内容进行实质性修改。</w:t>
      </w:r>
    </w:p>
    <w:p w14:paraId="235538CF">
      <w:pPr>
        <w:pStyle w:val="2"/>
      </w:pPr>
      <w:bookmarkStart w:id="43" w:name="_Toc15221"/>
      <w:r>
        <w:rPr>
          <w:rFonts w:hint="eastAsia"/>
        </w:rPr>
        <w:t>6、授予合同</w:t>
      </w:r>
      <w:bookmarkEnd w:id="43"/>
    </w:p>
    <w:p w14:paraId="52430055">
      <w:pPr>
        <w:spacing w:line="360" w:lineRule="exact"/>
        <w:ind w:left="479" w:leftChars="228"/>
        <w:jc w:val="left"/>
        <w:rPr>
          <w:rFonts w:ascii="宋体" w:hAnsi="宋体"/>
          <w:b/>
          <w:sz w:val="24"/>
        </w:rPr>
      </w:pPr>
      <w:r>
        <w:rPr>
          <w:rFonts w:hint="eastAsia" w:ascii="宋体" w:hAnsi="宋体"/>
          <w:sz w:val="24"/>
        </w:rPr>
        <w:t>23定标原则</w:t>
      </w:r>
    </w:p>
    <w:p w14:paraId="1572ED67">
      <w:pPr>
        <w:spacing w:line="360" w:lineRule="exact"/>
        <w:ind w:left="479" w:leftChars="228"/>
        <w:jc w:val="left"/>
        <w:rPr>
          <w:rFonts w:ascii="宋体" w:hAnsi="宋体"/>
          <w:b/>
          <w:sz w:val="24"/>
        </w:rPr>
      </w:pPr>
      <w:r>
        <w:rPr>
          <w:rFonts w:hint="eastAsia" w:ascii="宋体" w:hAnsi="宋体"/>
          <w:sz w:val="24"/>
        </w:rPr>
        <w:t>23.1严格按照“招标文件”的要求和条件进行评标，择优定标。</w:t>
      </w:r>
    </w:p>
    <w:p w14:paraId="77C71C1E">
      <w:pPr>
        <w:pStyle w:val="28"/>
        <w:spacing w:line="360" w:lineRule="exact"/>
        <w:ind w:firstLine="480" w:firstLineChars="200"/>
        <w:rPr>
          <w:rFonts w:ascii="宋体" w:hAnsi="宋体"/>
          <w:sz w:val="24"/>
        </w:rPr>
      </w:pPr>
      <w:r>
        <w:rPr>
          <w:rFonts w:hint="eastAsia" w:ascii="宋体" w:hAnsi="宋体"/>
          <w:sz w:val="24"/>
        </w:rPr>
        <w:t>23.2本次招标，合同将授予符合“招标文件”的要求，并且性价比最合理，能提供最佳服务的投标者。</w:t>
      </w:r>
    </w:p>
    <w:p w14:paraId="1643ABC0">
      <w:pPr>
        <w:pStyle w:val="28"/>
        <w:spacing w:line="360" w:lineRule="exact"/>
        <w:ind w:firstLine="480" w:firstLineChars="200"/>
        <w:rPr>
          <w:rFonts w:ascii="宋体" w:hAnsi="宋体"/>
          <w:sz w:val="24"/>
        </w:rPr>
      </w:pPr>
      <w:r>
        <w:rPr>
          <w:rFonts w:hint="eastAsia" w:ascii="宋体" w:hAnsi="宋体"/>
          <w:sz w:val="24"/>
        </w:rPr>
        <w:t>23.3不能保证最低报价的投标最终中标。</w:t>
      </w:r>
    </w:p>
    <w:p w14:paraId="613EC205">
      <w:pPr>
        <w:spacing w:line="360" w:lineRule="exact"/>
        <w:ind w:firstLine="480" w:firstLineChars="200"/>
        <w:rPr>
          <w:rFonts w:ascii="宋体" w:hAnsi="宋体"/>
          <w:sz w:val="24"/>
        </w:rPr>
      </w:pPr>
      <w:r>
        <w:rPr>
          <w:rFonts w:hint="eastAsia" w:ascii="宋体" w:hAnsi="宋体"/>
          <w:sz w:val="24"/>
        </w:rPr>
        <w:t>23.4评标结束后，采购代理机构组织编写评标报告，采购人根据评标报告和授标建议书推荐的中标候选供应商确定中标人，并送报采购管理机关备案。</w:t>
      </w:r>
    </w:p>
    <w:p w14:paraId="6DB08816">
      <w:pPr>
        <w:widowControl/>
        <w:spacing w:line="360" w:lineRule="exact"/>
        <w:ind w:firstLine="480" w:firstLineChars="200"/>
        <w:rPr>
          <w:rFonts w:ascii="宋体" w:hAnsi="宋体" w:cs="宋体"/>
          <w:kern w:val="0"/>
          <w:sz w:val="24"/>
        </w:rPr>
      </w:pPr>
      <w:r>
        <w:rPr>
          <w:rFonts w:hint="eastAsia" w:ascii="宋体" w:hAnsi="宋体"/>
          <w:sz w:val="24"/>
        </w:rPr>
        <w:t>23.5根据评标办法推荐出一至三人为中标候选人，并标明排列顺序。采购人将确定排名第一的中标候选人为中标人并向其授予合同。</w:t>
      </w:r>
      <w:r>
        <w:rPr>
          <w:rFonts w:ascii="宋体" w:hAnsi="宋体"/>
          <w:sz w:val="24"/>
        </w:rPr>
        <w:t>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sz w:val="24"/>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rFonts w:hint="eastAsia" w:ascii="宋体" w:hAnsi="宋体" w:cs="宋体"/>
          <w:kern w:val="0"/>
          <w:sz w:val="24"/>
        </w:rPr>
        <w:t>中标人将在指定的网站上公示。</w:t>
      </w:r>
    </w:p>
    <w:p w14:paraId="45072D3A">
      <w:pPr>
        <w:spacing w:line="360" w:lineRule="exact"/>
        <w:ind w:firstLine="480" w:firstLineChars="200"/>
        <w:rPr>
          <w:rFonts w:ascii="宋体" w:hAnsi="宋体"/>
          <w:sz w:val="24"/>
        </w:rPr>
      </w:pPr>
      <w:r>
        <w:rPr>
          <w:rFonts w:hint="eastAsia" w:ascii="宋体" w:hAnsi="宋体"/>
          <w:sz w:val="24"/>
        </w:rPr>
        <w:t>24中标通知</w:t>
      </w:r>
    </w:p>
    <w:p w14:paraId="4B6BB8BD">
      <w:pPr>
        <w:spacing w:line="360" w:lineRule="exact"/>
        <w:rPr>
          <w:rFonts w:ascii="宋体" w:hAnsi="宋体"/>
          <w:sz w:val="24"/>
        </w:rPr>
      </w:pPr>
      <w:r>
        <w:rPr>
          <w:rFonts w:hint="eastAsia" w:ascii="宋体" w:hAnsi="宋体"/>
          <w:sz w:val="24"/>
        </w:rPr>
        <w:t xml:space="preserve">    24.1评标结束后，根据评标委员会裁定的结果，由海南省教学仪器设备招标中心有限公司签发《中标通知书》。</w:t>
      </w:r>
    </w:p>
    <w:p w14:paraId="3A991170">
      <w:pPr>
        <w:spacing w:line="360" w:lineRule="exact"/>
        <w:ind w:firstLine="480" w:firstLineChars="200"/>
        <w:rPr>
          <w:rFonts w:ascii="宋体" w:hAnsi="宋体"/>
          <w:sz w:val="24"/>
        </w:rPr>
      </w:pPr>
      <w:r>
        <w:rPr>
          <w:rFonts w:hint="eastAsia" w:ascii="宋体" w:hAnsi="宋体"/>
          <w:sz w:val="24"/>
        </w:rPr>
        <w:t>24.2《中标通知书》将作为签订合同的重要依据。中标人不与招标人按期订立合同的，取消其中标资格，给招标人造成的损失的，应当对予以赔偿。</w:t>
      </w:r>
    </w:p>
    <w:p w14:paraId="71F89DC5">
      <w:pPr>
        <w:spacing w:line="360" w:lineRule="exact"/>
        <w:ind w:firstLine="480" w:firstLineChars="200"/>
        <w:rPr>
          <w:rFonts w:ascii="宋体" w:hAnsi="宋体"/>
          <w:sz w:val="24"/>
        </w:rPr>
      </w:pPr>
      <w:r>
        <w:rPr>
          <w:rFonts w:hint="eastAsia" w:ascii="宋体" w:hAnsi="宋体"/>
          <w:sz w:val="24"/>
        </w:rPr>
        <w:t>25授予合同时变更数量的权力</w:t>
      </w:r>
    </w:p>
    <w:p w14:paraId="452E365F">
      <w:pPr>
        <w:spacing w:line="360" w:lineRule="exact"/>
        <w:ind w:firstLine="360"/>
        <w:rPr>
          <w:rFonts w:ascii="宋体" w:hAnsi="宋体"/>
          <w:sz w:val="24"/>
        </w:rPr>
      </w:pPr>
      <w:r>
        <w:rPr>
          <w:rFonts w:hint="eastAsia" w:ascii="宋体" w:hAnsi="宋体"/>
          <w:sz w:val="24"/>
        </w:rPr>
        <w:t>采购代理机构在授予合同时，可根据采购人的需求的情况，对“招标货物一览表”中列明的货物的数量和服务予以增加或减少，额度不大于10%。</w:t>
      </w:r>
    </w:p>
    <w:p w14:paraId="1B3F5D51">
      <w:pPr>
        <w:spacing w:line="360" w:lineRule="exact"/>
        <w:ind w:firstLine="480" w:firstLineChars="200"/>
        <w:rPr>
          <w:rFonts w:ascii="宋体" w:hAnsi="宋体"/>
          <w:sz w:val="24"/>
        </w:rPr>
      </w:pPr>
      <w:r>
        <w:rPr>
          <w:rFonts w:hint="eastAsia" w:ascii="宋体" w:hAnsi="宋体"/>
          <w:sz w:val="24"/>
        </w:rPr>
        <w:t>26签订合同</w:t>
      </w:r>
    </w:p>
    <w:p w14:paraId="53EB8585">
      <w:pPr>
        <w:snapToGrid w:val="0"/>
        <w:spacing w:line="360" w:lineRule="exact"/>
        <w:rPr>
          <w:rFonts w:ascii="宋体" w:hAnsi="宋体"/>
          <w:sz w:val="24"/>
        </w:rPr>
      </w:pPr>
      <w:r>
        <w:rPr>
          <w:rFonts w:hint="eastAsia" w:ascii="宋体" w:hAnsi="宋体"/>
          <w:sz w:val="24"/>
        </w:rPr>
        <w:t xml:space="preserve">    26.1中标方应按《中标通知书》指定的时间、地点与采购人签订合同，采购代理机构予以鉴证。</w:t>
      </w:r>
    </w:p>
    <w:p w14:paraId="743F18C7">
      <w:pPr>
        <w:spacing w:line="360" w:lineRule="exact"/>
        <w:ind w:firstLine="480"/>
        <w:rPr>
          <w:rFonts w:ascii="宋体" w:hAnsi="宋体"/>
          <w:sz w:val="24"/>
        </w:rPr>
      </w:pPr>
      <w:r>
        <w:rPr>
          <w:rFonts w:hint="eastAsia" w:ascii="宋体" w:hAnsi="宋体"/>
          <w:sz w:val="24"/>
        </w:rPr>
        <w:t>26.2《中标通知书》中标方的“投标文件”及其澄清文件等，均为签订经济合同的依据。</w:t>
      </w:r>
    </w:p>
    <w:p w14:paraId="67C546F2">
      <w:pPr>
        <w:spacing w:line="360" w:lineRule="exact"/>
        <w:ind w:firstLine="360" w:firstLineChars="150"/>
        <w:rPr>
          <w:rFonts w:ascii="宋体" w:hAnsi="宋体"/>
          <w:sz w:val="24"/>
        </w:rPr>
      </w:pPr>
      <w:r>
        <w:rPr>
          <w:rFonts w:hint="eastAsia" w:ascii="宋体" w:hAnsi="宋体"/>
          <w:sz w:val="24"/>
        </w:rPr>
        <w:t>27中标服务费</w:t>
      </w:r>
    </w:p>
    <w:p w14:paraId="0F1E6DD3">
      <w:pPr>
        <w:spacing w:line="360" w:lineRule="exact"/>
        <w:rPr>
          <w:rFonts w:ascii="宋体" w:hAnsi="宋体"/>
          <w:sz w:val="24"/>
        </w:rPr>
      </w:pPr>
      <w:r>
        <w:rPr>
          <w:rFonts w:hint="eastAsia" w:ascii="宋体" w:hAnsi="宋体"/>
          <w:sz w:val="24"/>
        </w:rPr>
        <w:t xml:space="preserve">   27.1中标方应向海南省教学仪器设备招标中心有限公司支付的中标服务费。</w:t>
      </w:r>
    </w:p>
    <w:p w14:paraId="6F64D8F0">
      <w:pPr>
        <w:spacing w:line="360" w:lineRule="exact"/>
        <w:ind w:firstLine="360" w:firstLineChars="150"/>
        <w:rPr>
          <w:rFonts w:ascii="宋体" w:hAnsi="宋体"/>
          <w:sz w:val="24"/>
        </w:rPr>
      </w:pPr>
      <w:r>
        <w:rPr>
          <w:rFonts w:hint="eastAsia" w:ascii="宋体" w:hAnsi="宋体"/>
          <w:sz w:val="24"/>
        </w:rPr>
        <w:t>27.2中标服务费参照中华人民共和国国家计划委员会（计价格</w:t>
      </w:r>
      <w:r>
        <w:rPr>
          <w:rFonts w:hint="eastAsia" w:ascii="微软雅黑" w:hAnsi="微软雅黑" w:eastAsia="微软雅黑" w:cs="微软雅黑"/>
          <w:sz w:val="24"/>
        </w:rPr>
        <w:t>〔</w:t>
      </w:r>
      <w:r>
        <w:rPr>
          <w:rFonts w:hint="eastAsia" w:ascii="宋体" w:hAnsi="宋体"/>
          <w:sz w:val="24"/>
        </w:rPr>
        <w:t>2002</w:t>
      </w:r>
      <w:r>
        <w:rPr>
          <w:rFonts w:hint="eastAsia" w:ascii="微软雅黑" w:hAnsi="微软雅黑" w:eastAsia="微软雅黑" w:cs="微软雅黑"/>
          <w:sz w:val="24"/>
        </w:rPr>
        <w:t>〕</w:t>
      </w:r>
      <w:r>
        <w:rPr>
          <w:rFonts w:hint="eastAsia" w:ascii="宋体" w:hAnsi="宋体"/>
          <w:sz w:val="24"/>
        </w:rPr>
        <w:t>1980号）收费标准68%收取。</w:t>
      </w:r>
    </w:p>
    <w:p w14:paraId="04D9A2F3">
      <w:pPr>
        <w:spacing w:line="360" w:lineRule="exact"/>
        <w:ind w:firstLine="360" w:firstLineChars="150"/>
        <w:rPr>
          <w:rFonts w:ascii="宋体" w:hAnsi="宋体"/>
          <w:sz w:val="24"/>
        </w:rPr>
      </w:pPr>
      <w:r>
        <w:rPr>
          <w:rFonts w:hint="eastAsia" w:ascii="宋体" w:hAnsi="宋体"/>
          <w:sz w:val="24"/>
        </w:rPr>
        <w:t>28履约保证金(根据合同约定)</w:t>
      </w:r>
    </w:p>
    <w:p w14:paraId="571EA503">
      <w:pPr>
        <w:spacing w:line="360" w:lineRule="exact"/>
        <w:ind w:firstLine="480" w:firstLineChars="200"/>
        <w:rPr>
          <w:rFonts w:ascii="宋体" w:hAnsi="宋体"/>
          <w:sz w:val="24"/>
        </w:rPr>
      </w:pPr>
      <w:r>
        <w:rPr>
          <w:rFonts w:hint="eastAsia" w:ascii="宋体" w:hAnsi="宋体"/>
          <w:sz w:val="24"/>
        </w:rPr>
        <w:t>28.1中标人在收到《中标通知书》后5个工作日内，应按照合同规定向采购人提交金额为合同总价3%的履约保证金函，以银行转账、支票、汇票、本票或者金融机构、担保机构出具的保函等非现金形式提交。</w:t>
      </w:r>
    </w:p>
    <w:p w14:paraId="1ADE433C">
      <w:pPr>
        <w:ind w:firstLine="480" w:firstLineChars="200"/>
        <w:rPr>
          <w:sz w:val="24"/>
        </w:rPr>
      </w:pPr>
      <w:r>
        <w:rPr>
          <w:rFonts w:hint="eastAsia" w:ascii="宋体" w:hAnsi="宋体"/>
          <w:sz w:val="24"/>
        </w:rPr>
        <w:t>28.2</w:t>
      </w:r>
      <w:r>
        <w:rPr>
          <w:rFonts w:hint="eastAsia"/>
          <w:sz w:val="24"/>
        </w:rPr>
        <w:t>如果中标人拒绝按时提交履约保证金，视为放弃中标项目，应承担违约责任。</w:t>
      </w:r>
    </w:p>
    <w:p w14:paraId="2F0D45FD">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.3 </w:t>
      </w:r>
      <w:r>
        <w:rPr>
          <w:rFonts w:hint="eastAsia" w:ascii="宋体" w:hAnsi="宋体"/>
          <w:sz w:val="24"/>
        </w:rPr>
        <w:t>发生以下情况之一，履约保证金将不予退还：</w:t>
      </w:r>
    </w:p>
    <w:p w14:paraId="6D21A3A3">
      <w:pPr>
        <w:spacing w:line="360" w:lineRule="auto"/>
        <w:ind w:firstLine="480" w:firstLineChars="200"/>
        <w:rPr>
          <w:rFonts w:ascii="宋体" w:hAnsi="宋体"/>
          <w:sz w:val="24"/>
        </w:rPr>
      </w:pPr>
      <w:r>
        <w:rPr>
          <w:rFonts w:hint="eastAsia" w:ascii="宋体" w:hAnsi="宋体"/>
          <w:sz w:val="24"/>
        </w:rPr>
        <w:t>（1）中标人擅自转包、转让的；</w:t>
      </w:r>
    </w:p>
    <w:p w14:paraId="2E8425AB">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）中标人在投标活动中有违反法律、违反政策规定行为的；</w:t>
      </w:r>
    </w:p>
    <w:p w14:paraId="6C709186">
      <w:pPr>
        <w:spacing w:line="360" w:lineRule="auto"/>
        <w:ind w:firstLine="480" w:firstLineChars="200"/>
        <w:rPr>
          <w:rFonts w:ascii="宋体" w:hAnsi="宋体"/>
          <w:sz w:val="24"/>
        </w:rPr>
      </w:pPr>
      <w:r>
        <w:rPr>
          <w:rFonts w:hint="eastAsia" w:ascii="宋体" w:hAnsi="宋体"/>
          <w:sz w:val="24"/>
        </w:rPr>
        <w:t>（3）采购合同规定的其他情形。</w:t>
      </w:r>
    </w:p>
    <w:p w14:paraId="38662FD3">
      <w:pPr>
        <w:pStyle w:val="3"/>
        <w:jc w:val="center"/>
      </w:pPr>
      <w:bookmarkStart w:id="44" w:name="_Toc19506"/>
      <w:r>
        <w:rPr>
          <w:rFonts w:hint="eastAsia"/>
        </w:rPr>
        <w:t>第三章采购</w:t>
      </w:r>
      <w:r>
        <w:t>需求</w:t>
      </w:r>
      <w:bookmarkEnd w:id="44"/>
    </w:p>
    <w:p w14:paraId="3C1306A2">
      <w:pPr>
        <w:adjustRightInd w:val="0"/>
        <w:snapToGrid w:val="0"/>
        <w:spacing w:line="46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1、服务内容</w:t>
      </w:r>
    </w:p>
    <w:p w14:paraId="20ED4898">
      <w:pPr>
        <w:adjustRightInd w:val="0"/>
        <w:snapToGrid w:val="0"/>
        <w:spacing w:line="46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1.1合同有效期内，中标人根据采购人的要求，完成采购人配送物从采购人仓库到采购人客户的配送工作，具体包括配送物的运输、收货环节中的配送物交接作业。</w:t>
      </w:r>
    </w:p>
    <w:p w14:paraId="560FDDAA">
      <w:pPr>
        <w:adjustRightInd w:val="0"/>
        <w:snapToGrid w:val="0"/>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1.2 采购人委托中标人车辆到采购人指定的发货仓库，运输发往全省的采购人配送物的公路运输业务。</w:t>
      </w:r>
    </w:p>
    <w:p w14:paraId="790A690B">
      <w:pPr>
        <w:adjustRightInd w:val="0"/>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1.3 中标人对于负责采购人配送物运输环节发生的货品损坏、丢失要按照采购人公司系统成本价（进货价）进行赔偿。</w:t>
      </w:r>
    </w:p>
    <w:p w14:paraId="090B1DE3">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color w:val="000000"/>
          <w:sz w:val="24"/>
          <w:szCs w:val="24"/>
        </w:rPr>
        <w:t>1.4</w:t>
      </w:r>
      <w:r>
        <w:rPr>
          <w:rFonts w:hint="eastAsia" w:ascii="宋体" w:hAnsi="宋体" w:cs="宋体"/>
          <w:sz w:val="24"/>
          <w:szCs w:val="24"/>
        </w:rPr>
        <w:t>送货过程中因串货造成的损失由中标人承担。</w:t>
      </w:r>
    </w:p>
    <w:p w14:paraId="6776E32C">
      <w:pPr>
        <w:adjustRightInd w:val="0"/>
        <w:snapToGrid w:val="0"/>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1.5 中标人须保证专车专用，不得与其他物品混装。</w:t>
      </w:r>
    </w:p>
    <w:p w14:paraId="024BDCC1">
      <w:pPr>
        <w:adjustRightInd w:val="0"/>
        <w:snapToGrid w:val="0"/>
        <w:spacing w:line="46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二、采购人责任</w:t>
      </w:r>
    </w:p>
    <w:p w14:paraId="7B7B7130">
      <w:pPr>
        <w:spacing w:line="460" w:lineRule="exact"/>
        <w:ind w:firstLine="480" w:firstLineChars="200"/>
        <w:rPr>
          <w:rFonts w:ascii="宋体" w:hAnsi="宋体" w:cs="宋体"/>
          <w:sz w:val="24"/>
          <w:szCs w:val="24"/>
        </w:rPr>
      </w:pPr>
      <w:r>
        <w:rPr>
          <w:rFonts w:hint="eastAsia" w:ascii="宋体" w:hAnsi="宋体" w:cs="宋体"/>
          <w:sz w:val="24"/>
          <w:szCs w:val="24"/>
        </w:rPr>
        <w:t>2.1采购人应保证交付与中标人运输的货物及包装符合国家有关规定，满足货物运输的包装要求，如因采购人违反规定所造成的后果由采购人承担。</w:t>
      </w:r>
    </w:p>
    <w:p w14:paraId="04E2B99A">
      <w:pPr>
        <w:spacing w:line="460" w:lineRule="exact"/>
        <w:ind w:firstLine="480" w:firstLineChars="200"/>
        <w:rPr>
          <w:rFonts w:ascii="宋体" w:hAnsi="宋体" w:cs="宋体"/>
          <w:sz w:val="24"/>
          <w:szCs w:val="24"/>
        </w:rPr>
      </w:pPr>
      <w:r>
        <w:rPr>
          <w:rFonts w:hint="eastAsia" w:ascii="宋体" w:hAnsi="宋体" w:cs="宋体"/>
          <w:sz w:val="24"/>
          <w:szCs w:val="24"/>
        </w:rPr>
        <w:t>2.2采购人与中标人交接货物时应提供交接清单，以便交、运、接三方进行确认。</w:t>
      </w:r>
    </w:p>
    <w:p w14:paraId="032CAEC4">
      <w:pPr>
        <w:spacing w:line="460" w:lineRule="exact"/>
        <w:ind w:firstLine="480" w:firstLineChars="200"/>
        <w:rPr>
          <w:rFonts w:ascii="宋体" w:hAnsi="宋体" w:cs="宋体"/>
          <w:sz w:val="24"/>
          <w:szCs w:val="24"/>
        </w:rPr>
      </w:pPr>
      <w:r>
        <w:rPr>
          <w:rFonts w:hint="eastAsia" w:ascii="宋体" w:hAnsi="宋体" w:cs="宋体"/>
          <w:sz w:val="24"/>
          <w:szCs w:val="24"/>
        </w:rPr>
        <w:t>2.3在货物中夹带易燃易爆品、毒品、走私品等国家规定违禁品，采购人应承担经济、法律赔偿责任。</w:t>
      </w:r>
    </w:p>
    <w:p w14:paraId="5B360627">
      <w:pPr>
        <w:adjustRightInd w:val="0"/>
        <w:snapToGrid w:val="0"/>
        <w:spacing w:line="46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三、投标人工作要求</w:t>
      </w:r>
    </w:p>
    <w:p w14:paraId="59848814">
      <w:pPr>
        <w:adjustRightInd w:val="0"/>
        <w:snapToGrid w:val="0"/>
        <w:spacing w:line="46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3.1 中标人负责配送物的验收、配送等工作，同时遵守有关法律法规。</w:t>
      </w:r>
    </w:p>
    <w:p w14:paraId="4441642C">
      <w:pPr>
        <w:adjustRightInd w:val="0"/>
        <w:snapToGrid w:val="0"/>
        <w:spacing w:line="46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3.2 中标人应接受工作时间内采购人随时对工作内容进行检查。</w:t>
      </w:r>
    </w:p>
    <w:p w14:paraId="59E1AC87">
      <w:pPr>
        <w:adjustRightInd w:val="0"/>
        <w:snapToGrid w:val="0"/>
        <w:spacing w:line="460" w:lineRule="exact"/>
        <w:ind w:right="-11" w:firstLine="480" w:firstLineChars="200"/>
        <w:rPr>
          <w:rFonts w:ascii="宋体" w:hAnsi="宋体" w:cs="宋体"/>
          <w:snapToGrid w:val="0"/>
          <w:kern w:val="0"/>
          <w:sz w:val="24"/>
          <w:szCs w:val="24"/>
        </w:rPr>
      </w:pPr>
      <w:r>
        <w:rPr>
          <w:rFonts w:hint="eastAsia" w:ascii="宋体" w:hAnsi="宋体" w:cs="宋体"/>
          <w:snapToGrid w:val="0"/>
          <w:kern w:val="0"/>
          <w:sz w:val="24"/>
          <w:szCs w:val="24"/>
        </w:rPr>
        <w:t>3.3中标人应确保自己及其雇员或代理人了解和遵守采购人就工作有关的所有安全要求。</w:t>
      </w:r>
    </w:p>
    <w:p w14:paraId="2F7BBC8F">
      <w:pPr>
        <w:adjustRightInd w:val="0"/>
        <w:snapToGrid w:val="0"/>
        <w:spacing w:line="460" w:lineRule="exact"/>
        <w:ind w:right="-11" w:firstLine="480" w:firstLineChars="200"/>
        <w:rPr>
          <w:rFonts w:ascii="宋体" w:hAnsi="宋体" w:cs="宋体"/>
          <w:snapToGrid w:val="0"/>
          <w:kern w:val="0"/>
          <w:sz w:val="24"/>
          <w:szCs w:val="24"/>
        </w:rPr>
      </w:pPr>
      <w:r>
        <w:rPr>
          <w:rFonts w:hint="eastAsia" w:ascii="宋体" w:hAnsi="宋体" w:cs="宋体"/>
          <w:snapToGrid w:val="0"/>
          <w:kern w:val="0"/>
          <w:sz w:val="24"/>
          <w:szCs w:val="24"/>
        </w:rPr>
        <w:t>3.4 没有得到采购人书面同意的前提下，中标人不得直接或间接地、部分或全部地分包工作或转让合同。</w:t>
      </w:r>
    </w:p>
    <w:p w14:paraId="6F507853">
      <w:pPr>
        <w:adjustRightInd w:val="0"/>
        <w:snapToGrid w:val="0"/>
        <w:spacing w:line="460" w:lineRule="exact"/>
        <w:ind w:firstLine="480" w:firstLineChars="200"/>
        <w:rPr>
          <w:rFonts w:ascii="宋体" w:hAnsi="宋体" w:cs="宋体"/>
          <w:snapToGrid w:val="0"/>
          <w:color w:val="000000"/>
          <w:kern w:val="0"/>
          <w:sz w:val="24"/>
          <w:szCs w:val="24"/>
        </w:rPr>
      </w:pPr>
      <w:r>
        <w:rPr>
          <w:rFonts w:hint="eastAsia" w:ascii="宋体" w:hAnsi="宋体" w:cs="宋体"/>
          <w:color w:val="000000"/>
          <w:sz w:val="24"/>
          <w:szCs w:val="24"/>
        </w:rPr>
        <w:t>3.5中标人负责协调解决合同约定配送区域的道路运输问题，运输过程中发生违反交管规定和路政要求所发生的费用支出和商品损失由中标人负责。</w:t>
      </w:r>
    </w:p>
    <w:p w14:paraId="74770ACD">
      <w:pPr>
        <w:adjustRightInd w:val="0"/>
        <w:snapToGrid w:val="0"/>
        <w:spacing w:line="46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四、配送要求及内容</w:t>
      </w:r>
    </w:p>
    <w:p w14:paraId="11B16A61">
      <w:pPr>
        <w:adjustRightInd w:val="0"/>
        <w:snapToGrid w:val="0"/>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4.1 中标人需取得合法的商品运输资质，并向采购人提供营业执照、税务登记证、相关行政许可证等自身主体资格的相关资质证明。</w:t>
      </w:r>
    </w:p>
    <w:p w14:paraId="18C4AA8B">
      <w:pPr>
        <w:adjustRightInd w:val="0"/>
        <w:snapToGrid w:val="0"/>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4.2 中标人的车辆需经过清洗、消毒后的整洁、干燥、无异味可直接用于食品运输。</w:t>
      </w:r>
    </w:p>
    <w:p w14:paraId="06064D63">
      <w:pPr>
        <w:adjustRightInd w:val="0"/>
        <w:snapToGrid w:val="0"/>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4.3 中标人配送员必须与采购人仓管员进行交接，采购人客户配送物分拣及仓库的装货由采购人负责，货品在客户的交接由中标人负责,装车完毕后甲乙双方在出库单上签字。</w:t>
      </w:r>
    </w:p>
    <w:p w14:paraId="574AA38F">
      <w:pPr>
        <w:adjustRightInd w:val="0"/>
        <w:snapToGrid w:val="0"/>
        <w:spacing w:line="460" w:lineRule="exact"/>
        <w:ind w:firstLine="480" w:firstLineChars="200"/>
        <w:rPr>
          <w:rFonts w:ascii="宋体" w:hAnsi="宋体" w:cs="宋体"/>
          <w:sz w:val="24"/>
          <w:szCs w:val="24"/>
        </w:rPr>
      </w:pPr>
      <w:r>
        <w:rPr>
          <w:rFonts w:hint="eastAsia" w:ascii="宋体" w:hAnsi="宋体" w:cs="宋体"/>
          <w:bCs/>
          <w:color w:val="000000"/>
          <w:sz w:val="24"/>
          <w:szCs w:val="24"/>
        </w:rPr>
        <w:t>4.4</w:t>
      </w:r>
      <w:r>
        <w:rPr>
          <w:rFonts w:hint="eastAsia" w:ascii="宋体" w:hAnsi="宋体" w:cs="宋体"/>
          <w:color w:val="000000"/>
          <w:sz w:val="24"/>
          <w:szCs w:val="24"/>
        </w:rPr>
        <w:t>中标人根据采购人发货出库单在规定时间派遣配送车辆到采购人仓库装货，仓库装货交接和站点卸货交接的时间原则上需在每天8：30到18：00之间完成。</w:t>
      </w:r>
    </w:p>
    <w:p w14:paraId="733D8957">
      <w:pPr>
        <w:adjustRightInd w:val="0"/>
        <w:snapToGrid w:val="0"/>
        <w:spacing w:line="46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五、其他服务要求</w:t>
      </w:r>
    </w:p>
    <w:p w14:paraId="5685DFF5">
      <w:pPr>
        <w:adjustRightInd w:val="0"/>
        <w:snapToGrid w:val="0"/>
        <w:spacing w:line="460" w:lineRule="exact"/>
        <w:ind w:right="-143" w:rightChars="-68" w:firstLine="480" w:firstLineChars="200"/>
        <w:rPr>
          <w:rFonts w:ascii="宋体" w:hAnsi="宋体" w:cs="宋体"/>
          <w:snapToGrid w:val="0"/>
          <w:kern w:val="0"/>
          <w:sz w:val="24"/>
          <w:szCs w:val="24"/>
        </w:rPr>
      </w:pPr>
      <w:r>
        <w:rPr>
          <w:rFonts w:hint="eastAsia" w:ascii="宋体" w:hAnsi="宋体" w:cs="宋体"/>
          <w:snapToGrid w:val="0"/>
          <w:kern w:val="0"/>
          <w:sz w:val="24"/>
          <w:szCs w:val="24"/>
        </w:rPr>
        <w:t xml:space="preserve">5.1 </w:t>
      </w:r>
      <w:r>
        <w:rPr>
          <w:rFonts w:hint="eastAsia" w:ascii="宋体" w:hAnsi="宋体" w:cs="宋体"/>
          <w:snapToGrid w:val="0"/>
          <w:spacing w:val="-6"/>
          <w:kern w:val="0"/>
          <w:sz w:val="24"/>
          <w:szCs w:val="24"/>
        </w:rPr>
        <w:t>中标人配送人员不得与客户争吵，如有争议，应友好协商解决。</w:t>
      </w:r>
    </w:p>
    <w:p w14:paraId="1B5E0DBC">
      <w:pPr>
        <w:adjustRightInd w:val="0"/>
        <w:snapToGrid w:val="0"/>
        <w:spacing w:line="460" w:lineRule="exact"/>
        <w:ind w:right="-143" w:rightChars="-68" w:firstLine="480" w:firstLineChars="200"/>
        <w:rPr>
          <w:rFonts w:ascii="宋体" w:hAnsi="宋体" w:cs="宋体"/>
          <w:snapToGrid w:val="0"/>
          <w:kern w:val="0"/>
          <w:sz w:val="24"/>
          <w:szCs w:val="24"/>
        </w:rPr>
      </w:pPr>
      <w:r>
        <w:rPr>
          <w:rFonts w:hint="eastAsia" w:ascii="宋体" w:hAnsi="宋体" w:cs="宋体"/>
          <w:snapToGrid w:val="0"/>
          <w:kern w:val="0"/>
          <w:sz w:val="24"/>
          <w:szCs w:val="24"/>
        </w:rPr>
        <w:t>5.2 服务相关的其他要求：</w:t>
      </w:r>
    </w:p>
    <w:p w14:paraId="0243D59C">
      <w:pPr>
        <w:adjustRightInd w:val="0"/>
        <w:snapToGrid w:val="0"/>
        <w:spacing w:line="460" w:lineRule="exact"/>
        <w:ind w:right="-1" w:firstLine="480" w:firstLineChars="200"/>
        <w:rPr>
          <w:rFonts w:ascii="宋体" w:hAnsi="宋体" w:cs="宋体"/>
          <w:snapToGrid w:val="0"/>
          <w:kern w:val="0"/>
          <w:sz w:val="24"/>
          <w:szCs w:val="24"/>
        </w:rPr>
      </w:pPr>
      <w:r>
        <w:rPr>
          <w:rFonts w:hint="eastAsia" w:ascii="宋体" w:hAnsi="宋体" w:cs="宋体"/>
          <w:snapToGrid w:val="0"/>
          <w:kern w:val="0"/>
          <w:sz w:val="24"/>
          <w:szCs w:val="24"/>
        </w:rPr>
        <w:t>5.2.1 中标人须指定专人负责与采购人的沟通和协调工作，并能够随时提供文件的传递、配送物查询等。</w:t>
      </w:r>
    </w:p>
    <w:p w14:paraId="39BB0C49">
      <w:pPr>
        <w:adjustRightInd w:val="0"/>
        <w:snapToGrid w:val="0"/>
        <w:spacing w:line="460" w:lineRule="exact"/>
        <w:ind w:right="-11" w:firstLine="480" w:firstLineChars="200"/>
        <w:rPr>
          <w:rFonts w:ascii="宋体" w:hAnsi="宋体" w:cs="宋体"/>
          <w:snapToGrid w:val="0"/>
          <w:kern w:val="0"/>
          <w:sz w:val="24"/>
          <w:szCs w:val="24"/>
        </w:rPr>
      </w:pPr>
      <w:r>
        <w:rPr>
          <w:rFonts w:hint="eastAsia" w:ascii="宋体" w:hAnsi="宋体" w:cs="宋体"/>
          <w:snapToGrid w:val="0"/>
          <w:kern w:val="0"/>
          <w:sz w:val="24"/>
          <w:szCs w:val="24"/>
        </w:rPr>
        <w:t>5.2.2中标人同意接受采购人对配送车辆和相关运作设施的健康、安全、环保检查，并须按期完成经双方确认同意的整改项目。</w:t>
      </w:r>
    </w:p>
    <w:p w14:paraId="5DD1431A">
      <w:pPr>
        <w:adjustRightInd w:val="0"/>
        <w:snapToGrid w:val="0"/>
        <w:spacing w:line="460" w:lineRule="exact"/>
        <w:ind w:right="-11" w:firstLine="480" w:firstLineChars="200"/>
        <w:rPr>
          <w:rFonts w:ascii="宋体" w:hAnsi="宋体" w:cs="宋体"/>
          <w:snapToGrid w:val="0"/>
          <w:kern w:val="0"/>
          <w:sz w:val="24"/>
          <w:szCs w:val="24"/>
        </w:rPr>
      </w:pPr>
      <w:r>
        <w:rPr>
          <w:rFonts w:hint="eastAsia" w:ascii="宋体" w:hAnsi="宋体" w:cs="宋体"/>
          <w:snapToGrid w:val="0"/>
          <w:kern w:val="0"/>
          <w:sz w:val="24"/>
          <w:szCs w:val="24"/>
        </w:rPr>
        <w:t xml:space="preserve">5.2.3 如有健康、安全、环保整改项目时，中标人须根据进度提供整改完成报告。       </w:t>
      </w:r>
    </w:p>
    <w:p w14:paraId="53728934">
      <w:pPr>
        <w:adjustRightInd w:val="0"/>
        <w:snapToGrid w:val="0"/>
        <w:spacing w:line="460" w:lineRule="exact"/>
        <w:ind w:right="-11" w:firstLine="480" w:firstLineChars="200"/>
        <w:rPr>
          <w:rFonts w:ascii="宋体" w:hAnsi="宋体" w:cs="宋体"/>
          <w:snapToGrid w:val="0"/>
          <w:color w:val="000000"/>
          <w:kern w:val="0"/>
          <w:sz w:val="24"/>
          <w:szCs w:val="24"/>
        </w:rPr>
      </w:pPr>
      <w:r>
        <w:rPr>
          <w:rFonts w:hint="eastAsia" w:ascii="宋体" w:hAnsi="宋体" w:cs="宋体"/>
          <w:snapToGrid w:val="0"/>
          <w:color w:val="000000"/>
          <w:kern w:val="0"/>
          <w:sz w:val="24"/>
          <w:szCs w:val="24"/>
        </w:rPr>
        <w:t>5.3即使本合同未予以约定，中标人亦应根据良好的行业惯例和相关法规要求，做好与提供服务相关的工作。</w:t>
      </w:r>
    </w:p>
    <w:p w14:paraId="467904D3">
      <w:pPr>
        <w:adjustRightInd w:val="0"/>
        <w:snapToGrid w:val="0"/>
        <w:spacing w:line="46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六、履约保证金</w:t>
      </w:r>
    </w:p>
    <w:p w14:paraId="77146D8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中标方在合同签订后需向采购人缴纳履约保证金</w:t>
      </w:r>
      <w:r>
        <w:rPr>
          <w:rFonts w:hint="eastAsia" w:ascii="宋体" w:hAnsi="宋体" w:cs="宋体"/>
          <w:kern w:val="0"/>
          <w:sz w:val="24"/>
          <w:szCs w:val="24"/>
          <w:u w:val="single"/>
        </w:rPr>
        <w:t xml:space="preserve"> 3 </w:t>
      </w:r>
      <w:r>
        <w:rPr>
          <w:rFonts w:hint="eastAsia" w:ascii="宋体" w:hAnsi="宋体" w:cs="宋体"/>
          <w:kern w:val="0"/>
          <w:sz w:val="24"/>
          <w:szCs w:val="24"/>
        </w:rPr>
        <w:t>万元，服务合同到期后十个工作日内免息退还。</w:t>
      </w:r>
    </w:p>
    <w:p w14:paraId="52EFFC42">
      <w:pPr>
        <w:adjustRightInd w:val="0"/>
        <w:snapToGrid w:val="0"/>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七、服务考核约定</w:t>
      </w:r>
    </w:p>
    <w:p w14:paraId="7FAB0CB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供应商中标后与采购人签订服务考核制约定，年度扣除分数累积达41分后，则视为中标人自愿放弃物流配送合作，自愿解除合同。</w:t>
      </w:r>
    </w:p>
    <w:p w14:paraId="6EAC025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服务考核制约定详见合同格式附件。</w:t>
      </w:r>
    </w:p>
    <w:tbl>
      <w:tblPr>
        <w:tblStyle w:val="33"/>
        <w:tblW w:w="0" w:type="auto"/>
        <w:tblInd w:w="93" w:type="dxa"/>
        <w:tblLayout w:type="fixed"/>
        <w:tblCellMar>
          <w:top w:w="0" w:type="dxa"/>
          <w:left w:w="108" w:type="dxa"/>
          <w:bottom w:w="0" w:type="dxa"/>
          <w:right w:w="108" w:type="dxa"/>
        </w:tblCellMar>
      </w:tblPr>
      <w:tblGrid>
        <w:gridCol w:w="1576"/>
        <w:gridCol w:w="1405"/>
        <w:gridCol w:w="1622"/>
        <w:gridCol w:w="1596"/>
        <w:gridCol w:w="1650"/>
        <w:gridCol w:w="1271"/>
      </w:tblGrid>
      <w:tr w14:paraId="727B9B7B">
        <w:tblPrEx>
          <w:tblCellMar>
            <w:top w:w="0" w:type="dxa"/>
            <w:left w:w="108" w:type="dxa"/>
            <w:bottom w:w="0" w:type="dxa"/>
            <w:right w:w="108" w:type="dxa"/>
          </w:tblCellMar>
        </w:tblPrEx>
        <w:trPr>
          <w:trHeight w:val="679" w:hRule="atLeast"/>
        </w:trPr>
        <w:tc>
          <w:tcPr>
            <w:tcW w:w="9120" w:type="dxa"/>
            <w:gridSpan w:val="6"/>
            <w:tcBorders>
              <w:top w:val="nil"/>
              <w:left w:val="nil"/>
              <w:bottom w:val="nil"/>
              <w:right w:val="nil"/>
            </w:tcBorders>
            <w:noWrap/>
            <w:vAlign w:val="center"/>
          </w:tcPr>
          <w:p w14:paraId="4A648D4A">
            <w:pPr>
              <w:widowControl/>
              <w:jc w:val="center"/>
              <w:textAlignment w:val="center"/>
              <w:rPr>
                <w:rFonts w:hint="eastAsia" w:ascii="黑体" w:hAnsi="宋体" w:eastAsia="黑体" w:cs="黑体"/>
                <w:color w:val="000000"/>
                <w:kern w:val="0"/>
                <w:sz w:val="36"/>
                <w:szCs w:val="36"/>
                <w:u w:val="single"/>
              </w:rPr>
            </w:pPr>
          </w:p>
          <w:p w14:paraId="36D3D4D2">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2025年度物流配送限价表</w:t>
            </w:r>
          </w:p>
        </w:tc>
      </w:tr>
      <w:tr w14:paraId="68641158">
        <w:tblPrEx>
          <w:tblCellMar>
            <w:top w:w="0" w:type="dxa"/>
            <w:left w:w="108" w:type="dxa"/>
            <w:bottom w:w="0" w:type="dxa"/>
            <w:right w:w="108" w:type="dxa"/>
          </w:tblCellMar>
        </w:tblPrEx>
        <w:trPr>
          <w:trHeight w:val="1250" w:hRule="atLeast"/>
        </w:trPr>
        <w:tc>
          <w:tcPr>
            <w:tcW w:w="1576" w:type="dxa"/>
            <w:tcBorders>
              <w:top w:val="single" w:color="000000" w:sz="8" w:space="0"/>
              <w:left w:val="single" w:color="000000" w:sz="8" w:space="0"/>
              <w:bottom w:val="nil"/>
              <w:right w:val="single" w:color="000000" w:sz="8" w:space="0"/>
              <w:tl2br w:val="single" w:color="000000" w:sz="8" w:space="0"/>
            </w:tcBorders>
            <w:noWrap/>
          </w:tcPr>
          <w:p w14:paraId="6F86B592">
            <w:pPr>
              <w:widowControl/>
              <w:jc w:val="left"/>
              <w:textAlignment w:val="top"/>
            </w:pPr>
            <w:r>
              <w:rPr>
                <w:rFonts w:hint="eastAsia" w:ascii="宋体" w:hAnsi="宋体" w:cs="宋体"/>
                <w:color w:val="000000"/>
                <w:kern w:val="0"/>
                <w:szCs w:val="21"/>
              </w:rPr>
              <w:br w:type="textWrapping"/>
            </w:r>
            <w:r>
              <w:rPr>
                <w:rFonts w:hint="eastAsia" w:ascii="宋体" w:hAnsi="宋体" w:cs="宋体"/>
                <w:color w:val="000000"/>
                <w:kern w:val="0"/>
                <w:szCs w:val="21"/>
              </w:rPr>
              <w:t xml:space="preserve">         载重</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配送地区</w:t>
            </w:r>
          </w:p>
        </w:tc>
        <w:tc>
          <w:tcPr>
            <w:tcW w:w="1405" w:type="dxa"/>
            <w:tcBorders>
              <w:top w:val="single" w:color="000000" w:sz="8" w:space="0"/>
              <w:left w:val="nil"/>
              <w:bottom w:val="nil"/>
              <w:right w:val="single" w:color="000000" w:sz="8" w:space="0"/>
            </w:tcBorders>
            <w:noWrap/>
            <w:vAlign w:val="center"/>
          </w:tcPr>
          <w:p w14:paraId="4A880A4D">
            <w:pPr>
              <w:widowControl/>
              <w:jc w:val="center"/>
              <w:textAlignment w:val="center"/>
            </w:pPr>
            <w:r>
              <w:rPr>
                <w:rFonts w:hint="eastAsia" w:ascii="宋体" w:hAnsi="宋体" w:cs="宋体"/>
                <w:color w:val="000000"/>
                <w:kern w:val="0"/>
                <w:szCs w:val="21"/>
              </w:rPr>
              <w:t>6吨（含）以下（元）</w:t>
            </w:r>
          </w:p>
        </w:tc>
        <w:tc>
          <w:tcPr>
            <w:tcW w:w="1622" w:type="dxa"/>
            <w:tcBorders>
              <w:top w:val="single" w:color="000000" w:sz="8" w:space="0"/>
              <w:left w:val="nil"/>
              <w:bottom w:val="nil"/>
              <w:right w:val="single" w:color="000000" w:sz="8" w:space="0"/>
            </w:tcBorders>
            <w:noWrap/>
            <w:vAlign w:val="center"/>
          </w:tcPr>
          <w:p w14:paraId="3A751865">
            <w:pPr>
              <w:widowControl/>
              <w:jc w:val="center"/>
              <w:textAlignment w:val="center"/>
              <w:rPr>
                <w:rFonts w:ascii="黑体" w:hAnsi="宋体" w:eastAsia="黑体" w:cs="黑体"/>
                <w:color w:val="000000"/>
                <w:sz w:val="22"/>
                <w:szCs w:val="22"/>
              </w:rPr>
            </w:pPr>
            <w:r>
              <w:rPr>
                <w:rFonts w:hint="eastAsia" w:ascii="宋体" w:hAnsi="宋体" w:cs="宋体"/>
                <w:color w:val="000000"/>
                <w:kern w:val="0"/>
                <w:szCs w:val="21"/>
              </w:rPr>
              <w:t>25吨（含）以下（元）</w:t>
            </w:r>
          </w:p>
        </w:tc>
        <w:tc>
          <w:tcPr>
            <w:tcW w:w="1596" w:type="dxa"/>
            <w:tcBorders>
              <w:top w:val="single" w:color="000000" w:sz="8" w:space="0"/>
              <w:left w:val="nil"/>
              <w:bottom w:val="nil"/>
              <w:right w:val="single" w:color="000000" w:sz="8" w:space="0"/>
            </w:tcBorders>
            <w:noWrap/>
            <w:vAlign w:val="center"/>
          </w:tcPr>
          <w:p w14:paraId="2EFB7688">
            <w:pPr>
              <w:widowControl/>
              <w:jc w:val="center"/>
              <w:textAlignment w:val="center"/>
              <w:rPr>
                <w:rFonts w:ascii="黑体" w:hAnsi="宋体" w:eastAsia="黑体" w:cs="黑体"/>
                <w:color w:val="000000"/>
                <w:sz w:val="22"/>
                <w:szCs w:val="22"/>
              </w:rPr>
            </w:pPr>
            <w:r>
              <w:rPr>
                <w:rFonts w:hint="eastAsia" w:ascii="宋体" w:hAnsi="宋体" w:cs="宋体"/>
                <w:color w:val="000000"/>
                <w:kern w:val="0"/>
                <w:szCs w:val="21"/>
              </w:rPr>
              <w:t>50吨（含）以下（元）</w:t>
            </w:r>
          </w:p>
        </w:tc>
        <w:tc>
          <w:tcPr>
            <w:tcW w:w="1650" w:type="dxa"/>
            <w:tcBorders>
              <w:top w:val="single" w:color="000000" w:sz="8" w:space="0"/>
              <w:left w:val="nil"/>
              <w:bottom w:val="nil"/>
              <w:right w:val="single" w:color="000000" w:sz="8" w:space="0"/>
            </w:tcBorders>
            <w:noWrap/>
            <w:vAlign w:val="center"/>
          </w:tcPr>
          <w:p w14:paraId="126F4482">
            <w:pPr>
              <w:widowControl/>
              <w:jc w:val="center"/>
              <w:textAlignment w:val="center"/>
              <w:rPr>
                <w:rFonts w:ascii="黑体" w:hAnsi="宋体" w:eastAsia="黑体" w:cs="黑体"/>
                <w:color w:val="000000"/>
                <w:sz w:val="22"/>
                <w:szCs w:val="22"/>
              </w:rPr>
            </w:pPr>
            <w:r>
              <w:rPr>
                <w:rFonts w:hint="eastAsia" w:ascii="宋体" w:hAnsi="宋体" w:cs="宋体"/>
                <w:color w:val="000000"/>
                <w:kern w:val="0"/>
                <w:sz w:val="22"/>
                <w:szCs w:val="22"/>
              </w:rPr>
              <w:t>固定卸车费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（元/吨）</w:t>
            </w:r>
          </w:p>
        </w:tc>
        <w:tc>
          <w:tcPr>
            <w:tcW w:w="1271" w:type="dxa"/>
            <w:tcBorders>
              <w:top w:val="single" w:color="000000" w:sz="8" w:space="0"/>
              <w:left w:val="nil"/>
              <w:bottom w:val="nil"/>
              <w:right w:val="single" w:color="000000" w:sz="8" w:space="0"/>
            </w:tcBorders>
            <w:noWrap/>
          </w:tcPr>
          <w:p w14:paraId="1B699228">
            <w:pPr>
              <w:widowControl/>
              <w:jc w:val="left"/>
              <w:textAlignment w:val="top"/>
              <w:rPr>
                <w:rFonts w:ascii="黑体" w:hAnsi="宋体" w:eastAsia="黑体" w:cs="黑体"/>
                <w:color w:val="000000"/>
                <w:sz w:val="22"/>
                <w:szCs w:val="22"/>
              </w:rPr>
            </w:pPr>
            <w:r>
              <w:rPr>
                <w:rFonts w:hint="eastAsia" w:ascii="宋体" w:hAnsi="宋体" w:cs="宋体"/>
                <w:color w:val="000000"/>
                <w:kern w:val="0"/>
                <w:szCs w:val="21"/>
              </w:rPr>
              <w:br w:type="textWrapping"/>
            </w:r>
            <w:r>
              <w:rPr>
                <w:rFonts w:hint="eastAsia" w:ascii="宋体" w:hAnsi="宋体" w:cs="宋体"/>
                <w:color w:val="000000"/>
                <w:kern w:val="0"/>
                <w:szCs w:val="21"/>
              </w:rPr>
              <w:t xml:space="preserve">         载重</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配送地区</w:t>
            </w:r>
          </w:p>
        </w:tc>
      </w:tr>
      <w:tr w14:paraId="533DEA18">
        <w:tblPrEx>
          <w:tblCellMar>
            <w:top w:w="0" w:type="dxa"/>
            <w:left w:w="108" w:type="dxa"/>
            <w:bottom w:w="0" w:type="dxa"/>
            <w:right w:w="108" w:type="dxa"/>
          </w:tblCellMar>
        </w:tblPrEx>
        <w:trPr>
          <w:trHeight w:val="840"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68A302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海口</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7E517881">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430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6E6BC758">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1034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16F69285">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1550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63C22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224954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海口</w:t>
            </w:r>
          </w:p>
        </w:tc>
      </w:tr>
      <w:tr w14:paraId="382D225B">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5E42B8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三亚</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63306EF">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1400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CBC1CEB">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1F1C881C">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3772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74385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22CE13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三亚</w:t>
            </w:r>
          </w:p>
        </w:tc>
      </w:tr>
      <w:tr w14:paraId="6B53F581">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0BED11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儋州</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7B0DCB6C">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1050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F66ECAA">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1680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2CD6E88C">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336B2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5C231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儋州</w:t>
            </w:r>
          </w:p>
        </w:tc>
      </w:tr>
      <w:tr w14:paraId="1563041F">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1F04CC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五指山</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C44E7D8">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1293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15834705">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1341867E">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0ABB4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72A773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五指山</w:t>
            </w:r>
          </w:p>
        </w:tc>
      </w:tr>
      <w:tr w14:paraId="6939EBA5">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37A37B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文昌</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DF77346">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950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4D5BAA8">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1400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0ED1B5A3">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1680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4F076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1CAA2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文昌</w:t>
            </w:r>
          </w:p>
        </w:tc>
      </w:tr>
      <w:tr w14:paraId="79CABE7E">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69696F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琼海</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C149FEA">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1077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28B23ED1">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1400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38CCCC0C">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1680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F5AB6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574166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琼海</w:t>
            </w:r>
          </w:p>
        </w:tc>
      </w:tr>
      <w:tr w14:paraId="5EF5A860">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6B6B55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万宁</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7C17F79">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1293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22C25805">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1600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7CFF2FD8">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66FCA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4AB7E3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万宁</w:t>
            </w:r>
          </w:p>
        </w:tc>
      </w:tr>
      <w:tr w14:paraId="2BB7CF1F">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4FBE0E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定安</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6C078518">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750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29D492A6">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950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7E988139">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1500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18FCE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59214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定安</w:t>
            </w:r>
          </w:p>
        </w:tc>
      </w:tr>
      <w:tr w14:paraId="036283BD">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57A859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屯昌</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D9F7655">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950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09EE936C">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1400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35C0DFE7">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1680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D6F0F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B2126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屯昌</w:t>
            </w:r>
          </w:p>
        </w:tc>
      </w:tr>
      <w:tr w14:paraId="1DCEDB19">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443888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澄迈</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EAE0ED2">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776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6755866">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1034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02C05F01">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1550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B0074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7DD58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澄迈</w:t>
            </w:r>
          </w:p>
        </w:tc>
      </w:tr>
      <w:tr w14:paraId="4B279EA6">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5133CF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临高</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01718F40">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950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5FA7F361">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1422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105AA3D3">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1680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6EC4A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33B0A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临高</w:t>
            </w:r>
          </w:p>
        </w:tc>
      </w:tr>
      <w:tr w14:paraId="7621572C">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3885A0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东方</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D9CBB18">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1400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18650D93">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3D7E25B9">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8D361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452861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东方</w:t>
            </w:r>
          </w:p>
        </w:tc>
      </w:tr>
      <w:tr w14:paraId="79E5AA3F">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332874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乐东三平</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B0E9F9D">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1400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16CC3A94">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7974A8E6">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2845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22918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E37D8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乐东三平</w:t>
            </w:r>
          </w:p>
        </w:tc>
      </w:tr>
      <w:tr w14:paraId="299CDD8F">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67D8B6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乐东黄流</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6B5C44E">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1500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1BCD555">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136B9BA6">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2845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6C77D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887B1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乐东黄流</w:t>
            </w:r>
          </w:p>
        </w:tc>
      </w:tr>
      <w:tr w14:paraId="27A8AB4D">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196E04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琼中</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EC999EA">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1050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3039FBF">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1600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2407B649">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B29B4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5B0032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琼中</w:t>
            </w:r>
          </w:p>
        </w:tc>
      </w:tr>
      <w:tr w14:paraId="75A82B87">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206AEC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保亭</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48FA661">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1400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A79D170">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3E97B0A0">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7DBF7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8DE2C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保亭</w:t>
            </w:r>
          </w:p>
        </w:tc>
      </w:tr>
      <w:tr w14:paraId="501496D9">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3DB7CE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陵水</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D3CAC8F">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1347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6E357D03">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097A1427">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5E03A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1F56A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陵水</w:t>
            </w:r>
          </w:p>
        </w:tc>
      </w:tr>
      <w:tr w14:paraId="7FC018D1">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3653D6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白沙</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C7B50CD">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1293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4FCFCE4">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1680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0FA99353">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2198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67EEF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2BE8F3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白沙</w:t>
            </w:r>
          </w:p>
        </w:tc>
      </w:tr>
      <w:tr w14:paraId="2BEBC007">
        <w:tblPrEx>
          <w:tblCellMar>
            <w:top w:w="0" w:type="dxa"/>
            <w:left w:w="108" w:type="dxa"/>
            <w:bottom w:w="0" w:type="dxa"/>
            <w:right w:w="108" w:type="dxa"/>
          </w:tblCellMar>
        </w:tblPrEx>
        <w:trPr>
          <w:trHeight w:val="679"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1D720D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昌江</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E16D960">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1347 </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1CD6C0AB">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1380 </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6DBEB134">
            <w:pPr>
              <w:widowControl/>
              <w:jc w:val="center"/>
              <w:textAlignment w:val="center"/>
              <w:rPr>
                <w:rFonts w:ascii="宋体" w:hAnsi="宋体" w:cs="宋体"/>
                <w:sz w:val="22"/>
                <w:szCs w:val="22"/>
              </w:rPr>
            </w:pPr>
            <w:r>
              <w:rPr>
                <w:rFonts w:hint="eastAsia" w:ascii="宋体" w:hAnsi="宋体" w:cs="宋体"/>
                <w:color w:val="000000"/>
                <w:kern w:val="0"/>
                <w:sz w:val="22"/>
                <w:szCs w:val="22"/>
              </w:rPr>
              <w:t xml:space="preserve">1940 </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1570B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04E2D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昌江</w:t>
            </w:r>
          </w:p>
        </w:tc>
      </w:tr>
      <w:tr w14:paraId="512C07B8">
        <w:tblPrEx>
          <w:tblCellMar>
            <w:top w:w="0" w:type="dxa"/>
            <w:left w:w="108" w:type="dxa"/>
            <w:bottom w:w="0" w:type="dxa"/>
            <w:right w:w="108" w:type="dxa"/>
          </w:tblCellMar>
        </w:tblPrEx>
        <w:trPr>
          <w:trHeight w:val="1080" w:hRule="atLeast"/>
        </w:trPr>
        <w:tc>
          <w:tcPr>
            <w:tcW w:w="1576" w:type="dxa"/>
            <w:tcBorders>
              <w:top w:val="single" w:color="000000" w:sz="4" w:space="0"/>
              <w:left w:val="single" w:color="000000" w:sz="4" w:space="0"/>
              <w:bottom w:val="single" w:color="000000" w:sz="4" w:space="0"/>
              <w:right w:val="single" w:color="000000" w:sz="4" w:space="0"/>
            </w:tcBorders>
            <w:noWrap/>
            <w:vAlign w:val="center"/>
          </w:tcPr>
          <w:p w14:paraId="08BD02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三沙</w:t>
            </w:r>
          </w:p>
        </w:tc>
        <w:tc>
          <w:tcPr>
            <w:tcW w:w="4623" w:type="dxa"/>
            <w:gridSpan w:val="3"/>
            <w:tcBorders>
              <w:top w:val="single" w:color="000000" w:sz="4" w:space="0"/>
              <w:left w:val="single" w:color="000000" w:sz="4" w:space="0"/>
              <w:bottom w:val="single" w:color="000000" w:sz="4" w:space="0"/>
              <w:right w:val="single" w:color="000000" w:sz="4" w:space="0"/>
            </w:tcBorders>
            <w:noWrap/>
            <w:vAlign w:val="center"/>
          </w:tcPr>
          <w:p w14:paraId="7E2636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5600元/4天，超过4天的按每天800元，2000 元/车</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96A08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三沙市站点要求货物随车上船进行配送，运费以实际使用天数计算</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14B9BF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三沙</w:t>
            </w:r>
          </w:p>
        </w:tc>
      </w:tr>
    </w:tbl>
    <w:p w14:paraId="7B91FAA0"/>
    <w:p w14:paraId="245C21FD">
      <w:r>
        <w:rPr>
          <w:rFonts w:hint="eastAsia"/>
        </w:rPr>
        <w:t>备注：1、若多个地点凑车发货，取各地点中配送价最高的配送价为基数，上浮后价格为最终结算价。配送两个地点上浮10%，配送三个地点上浮12%，配送四个地点上浮14%；6吨以下的零星货物退货及返程固定费用以1.5元/袋、1.5元/箱计算。</w:t>
      </w:r>
    </w:p>
    <w:p w14:paraId="06385AC5">
      <w:r>
        <w:rPr>
          <w:rFonts w:hint="eastAsia"/>
        </w:rPr>
        <w:t>2、甲方发货按趟次结算，如将50吨货物从甲方仓库发往三亚，乙方可使用一辆车或两辆车（以上）运输。原则上，甲方不进行干涉，但甲方也可向乙方提出运输要求。</w:t>
      </w:r>
    </w:p>
    <w:p w14:paraId="3BAD1362"/>
    <w:p w14:paraId="277EAEF1"/>
    <w:p w14:paraId="37D1362C"/>
    <w:p w14:paraId="38284F2C"/>
    <w:p w14:paraId="0702AA92"/>
    <w:p w14:paraId="0F840341"/>
    <w:p w14:paraId="6778E623"/>
    <w:p w14:paraId="07535D21"/>
    <w:p w14:paraId="6153C937"/>
    <w:p w14:paraId="564318D9"/>
    <w:p w14:paraId="57938729"/>
    <w:p w14:paraId="1709ADBE"/>
    <w:p w14:paraId="535F2A26"/>
    <w:p w14:paraId="69001D1D"/>
    <w:p w14:paraId="5CCF86D9"/>
    <w:p w14:paraId="3F2646D7"/>
    <w:p w14:paraId="4B62FEA3"/>
    <w:p w14:paraId="3130266F"/>
    <w:p w14:paraId="7408BBF2"/>
    <w:p w14:paraId="55522846"/>
    <w:p w14:paraId="1A0DA2DD"/>
    <w:p w14:paraId="7FE20AA0">
      <w:pPr>
        <w:pStyle w:val="3"/>
        <w:jc w:val="center"/>
      </w:pPr>
      <w:bookmarkStart w:id="45" w:name="_Toc7447"/>
      <w:r>
        <w:rPr>
          <w:rFonts w:hint="eastAsia"/>
        </w:rPr>
        <w:t>第四章评标办法</w:t>
      </w:r>
      <w:bookmarkEnd w:id="45"/>
    </w:p>
    <w:p w14:paraId="246845A5">
      <w:pPr>
        <w:pStyle w:val="2"/>
      </w:pPr>
      <w:bookmarkStart w:id="46" w:name="_Toc10132"/>
      <w:r>
        <w:rPr>
          <w:rFonts w:hint="eastAsia"/>
        </w:rPr>
        <w:t>1、资格性审查标准</w:t>
      </w:r>
      <w:bookmarkEnd w:id="46"/>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6947"/>
      </w:tblGrid>
      <w:tr w14:paraId="1D85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263EE7E0">
            <w:pPr>
              <w:spacing w:line="480" w:lineRule="exact"/>
              <w:jc w:val="center"/>
              <w:rPr>
                <w:b/>
                <w:bCs/>
              </w:rPr>
            </w:pPr>
            <w:r>
              <w:rPr>
                <w:rFonts w:hint="eastAsia" w:cs="宋体"/>
                <w:b/>
                <w:bCs/>
              </w:rPr>
              <w:t>序号</w:t>
            </w:r>
          </w:p>
        </w:tc>
        <w:tc>
          <w:tcPr>
            <w:tcW w:w="1417" w:type="dxa"/>
            <w:vAlign w:val="center"/>
          </w:tcPr>
          <w:p w14:paraId="26587AAC">
            <w:pPr>
              <w:spacing w:line="480" w:lineRule="exact"/>
              <w:jc w:val="center"/>
              <w:rPr>
                <w:b/>
                <w:bCs/>
              </w:rPr>
            </w:pPr>
            <w:r>
              <w:rPr>
                <w:rFonts w:hint="eastAsia" w:cs="宋体"/>
                <w:b/>
                <w:bCs/>
              </w:rPr>
              <w:t>审查项目</w:t>
            </w:r>
          </w:p>
        </w:tc>
        <w:tc>
          <w:tcPr>
            <w:tcW w:w="6947" w:type="dxa"/>
            <w:vAlign w:val="center"/>
          </w:tcPr>
          <w:p w14:paraId="7416C000">
            <w:pPr>
              <w:spacing w:line="480" w:lineRule="exact"/>
              <w:jc w:val="center"/>
              <w:rPr>
                <w:b/>
                <w:bCs/>
              </w:rPr>
            </w:pPr>
            <w:r>
              <w:rPr>
                <w:rFonts w:hint="eastAsia" w:cs="宋体"/>
                <w:b/>
                <w:bCs/>
              </w:rPr>
              <w:t>评议内容</w:t>
            </w:r>
          </w:p>
        </w:tc>
      </w:tr>
      <w:tr w14:paraId="5177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vMerge w:val="restart"/>
            <w:vAlign w:val="center"/>
          </w:tcPr>
          <w:p w14:paraId="57EBCF18">
            <w:pPr>
              <w:spacing w:line="320" w:lineRule="exact"/>
              <w:jc w:val="center"/>
              <w:rPr>
                <w:b/>
                <w:bCs/>
              </w:rPr>
            </w:pPr>
            <w:r>
              <w:rPr>
                <w:b/>
                <w:bCs/>
              </w:rPr>
              <w:t>1</w:t>
            </w:r>
          </w:p>
        </w:tc>
        <w:tc>
          <w:tcPr>
            <w:tcW w:w="1417" w:type="dxa"/>
            <w:vMerge w:val="restart"/>
            <w:vAlign w:val="center"/>
          </w:tcPr>
          <w:p w14:paraId="123ED325">
            <w:pPr>
              <w:spacing w:line="320" w:lineRule="exact"/>
              <w:jc w:val="center"/>
              <w:rPr>
                <w:b/>
                <w:bCs/>
              </w:rPr>
            </w:pPr>
            <w:r>
              <w:rPr>
                <w:rFonts w:hint="eastAsia" w:cs="宋体"/>
                <w:b/>
                <w:bCs/>
              </w:rPr>
              <w:t>相关资格证明文件</w:t>
            </w:r>
          </w:p>
        </w:tc>
        <w:tc>
          <w:tcPr>
            <w:tcW w:w="6947" w:type="dxa"/>
            <w:vAlign w:val="center"/>
          </w:tcPr>
          <w:p w14:paraId="563ED44C">
            <w:pPr>
              <w:rPr>
                <w:rFonts w:cs="宋体"/>
              </w:rPr>
            </w:pPr>
            <w:r>
              <w:rPr>
                <w:rFonts w:hint="eastAsia" w:cs="宋体"/>
              </w:rPr>
              <w:t>在中华人民共和国注册的、具有独立承担民事责任能力的；需提供营业执照副本复印件</w:t>
            </w:r>
          </w:p>
        </w:tc>
      </w:tr>
      <w:tr w14:paraId="706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vMerge w:val="continue"/>
            <w:vAlign w:val="center"/>
          </w:tcPr>
          <w:p w14:paraId="0E4BF634">
            <w:pPr>
              <w:spacing w:line="320" w:lineRule="exact"/>
              <w:jc w:val="center"/>
              <w:rPr>
                <w:b/>
                <w:bCs/>
              </w:rPr>
            </w:pPr>
          </w:p>
        </w:tc>
        <w:tc>
          <w:tcPr>
            <w:tcW w:w="1417" w:type="dxa"/>
            <w:vMerge w:val="continue"/>
            <w:vAlign w:val="center"/>
          </w:tcPr>
          <w:p w14:paraId="7C9E6291">
            <w:pPr>
              <w:spacing w:line="320" w:lineRule="exact"/>
              <w:jc w:val="center"/>
              <w:rPr>
                <w:rFonts w:cs="宋体"/>
                <w:b/>
                <w:bCs/>
              </w:rPr>
            </w:pPr>
          </w:p>
        </w:tc>
        <w:tc>
          <w:tcPr>
            <w:tcW w:w="6947" w:type="dxa"/>
            <w:vAlign w:val="center"/>
          </w:tcPr>
          <w:p w14:paraId="6BAD78A0">
            <w:pPr>
              <w:rPr>
                <w:rFonts w:cs="宋体"/>
              </w:rPr>
            </w:pPr>
            <w:r>
              <w:rPr>
                <w:rFonts w:hint="eastAsia" w:cs="宋体"/>
              </w:rPr>
              <w:t>供应商具有合格的“道路运输经营许可证”提供证书复印件加盖公章。</w:t>
            </w:r>
          </w:p>
        </w:tc>
      </w:tr>
      <w:tr w14:paraId="6E49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vMerge w:val="continue"/>
            <w:vAlign w:val="center"/>
          </w:tcPr>
          <w:p w14:paraId="243CD19B">
            <w:pPr>
              <w:spacing w:line="320" w:lineRule="exact"/>
              <w:jc w:val="center"/>
              <w:rPr>
                <w:b/>
                <w:bCs/>
              </w:rPr>
            </w:pPr>
          </w:p>
        </w:tc>
        <w:tc>
          <w:tcPr>
            <w:tcW w:w="1417" w:type="dxa"/>
            <w:vMerge w:val="continue"/>
            <w:vAlign w:val="center"/>
          </w:tcPr>
          <w:p w14:paraId="67510FE0">
            <w:pPr>
              <w:spacing w:line="320" w:lineRule="exact"/>
              <w:jc w:val="center"/>
              <w:rPr>
                <w:rFonts w:cs="宋体"/>
                <w:b/>
                <w:bCs/>
              </w:rPr>
            </w:pPr>
          </w:p>
        </w:tc>
        <w:tc>
          <w:tcPr>
            <w:tcW w:w="6947" w:type="dxa"/>
            <w:vAlign w:val="center"/>
          </w:tcPr>
          <w:p w14:paraId="041F7AA0">
            <w:pPr>
              <w:rPr>
                <w:rFonts w:cs="宋体"/>
              </w:rPr>
            </w:pPr>
            <w:r>
              <w:rPr>
                <w:rFonts w:hint="eastAsia" w:ascii="宋体" w:hAnsi="宋体" w:cs="宋体"/>
                <w:kern w:val="0"/>
                <w:sz w:val="24"/>
              </w:rPr>
              <w:t>具备《中华人民共和国政府采购法》第二十二条规定条件及其他相关承诺书。（按格式提供）</w:t>
            </w:r>
          </w:p>
        </w:tc>
      </w:tr>
      <w:tr w14:paraId="195C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17AC9E3F">
            <w:pPr>
              <w:spacing w:line="320" w:lineRule="exact"/>
              <w:jc w:val="center"/>
              <w:rPr>
                <w:b/>
                <w:bCs/>
              </w:rPr>
            </w:pPr>
          </w:p>
        </w:tc>
        <w:tc>
          <w:tcPr>
            <w:tcW w:w="1417" w:type="dxa"/>
            <w:vMerge w:val="continue"/>
            <w:vAlign w:val="center"/>
          </w:tcPr>
          <w:p w14:paraId="6D2750D4">
            <w:pPr>
              <w:spacing w:line="320" w:lineRule="exact"/>
              <w:jc w:val="center"/>
              <w:rPr>
                <w:rFonts w:cs="宋体"/>
                <w:b/>
                <w:bCs/>
              </w:rPr>
            </w:pPr>
          </w:p>
        </w:tc>
        <w:tc>
          <w:tcPr>
            <w:tcW w:w="6947" w:type="dxa"/>
            <w:vAlign w:val="center"/>
          </w:tcPr>
          <w:p w14:paraId="67335FBA">
            <w:r>
              <w:rPr>
                <w:rFonts w:hint="eastAsia"/>
              </w:rPr>
              <w:t>信用信息查询</w:t>
            </w:r>
          </w:p>
        </w:tc>
      </w:tr>
      <w:tr w14:paraId="0A04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1DBA7FC0">
            <w:pPr>
              <w:spacing w:line="320" w:lineRule="exact"/>
              <w:jc w:val="center"/>
              <w:rPr>
                <w:b/>
                <w:bCs/>
              </w:rPr>
            </w:pPr>
          </w:p>
        </w:tc>
        <w:tc>
          <w:tcPr>
            <w:tcW w:w="1417" w:type="dxa"/>
            <w:vMerge w:val="continue"/>
            <w:vAlign w:val="center"/>
          </w:tcPr>
          <w:p w14:paraId="5EB2D983">
            <w:pPr>
              <w:spacing w:line="320" w:lineRule="exact"/>
              <w:jc w:val="center"/>
              <w:rPr>
                <w:rFonts w:cs="宋体"/>
                <w:b/>
                <w:bCs/>
              </w:rPr>
            </w:pPr>
          </w:p>
        </w:tc>
        <w:tc>
          <w:tcPr>
            <w:tcW w:w="6947" w:type="dxa"/>
            <w:vAlign w:val="center"/>
          </w:tcPr>
          <w:p w14:paraId="2672E28D">
            <w:r>
              <w:rPr>
                <w:rFonts w:hint="eastAsia"/>
              </w:rPr>
              <w:t>无其他不符合招标文件资格要求的条件</w:t>
            </w:r>
          </w:p>
        </w:tc>
      </w:tr>
      <w:tr w14:paraId="155B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39" w:type="dxa"/>
            <w:gridSpan w:val="3"/>
            <w:vAlign w:val="center"/>
          </w:tcPr>
          <w:p w14:paraId="2D31F1C8">
            <w:pPr>
              <w:spacing w:line="480" w:lineRule="exact"/>
              <w:jc w:val="center"/>
            </w:pPr>
            <w:r>
              <w:rPr>
                <w:rFonts w:hint="eastAsia" w:cs="宋体"/>
                <w:b/>
                <w:bCs/>
              </w:rPr>
              <w:t>结论</w:t>
            </w:r>
          </w:p>
        </w:tc>
      </w:tr>
    </w:tbl>
    <w:p w14:paraId="00398FE5">
      <w:pPr>
        <w:pStyle w:val="2"/>
      </w:pPr>
      <w:bookmarkStart w:id="47" w:name="_Toc272"/>
      <w:r>
        <w:rPr>
          <w:rFonts w:hint="eastAsia"/>
        </w:rPr>
        <w:t>2、符合性审查标准</w:t>
      </w:r>
      <w:bookmarkEnd w:id="47"/>
    </w:p>
    <w:tbl>
      <w:tblPr>
        <w:tblStyle w:val="33"/>
        <w:tblW w:w="985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1CA4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dxa"/>
            <w:vAlign w:val="center"/>
          </w:tcPr>
          <w:p w14:paraId="75A07B6C">
            <w:pPr>
              <w:spacing w:line="480" w:lineRule="exact"/>
              <w:jc w:val="center"/>
              <w:rPr>
                <w:b/>
                <w:bCs/>
              </w:rPr>
            </w:pPr>
            <w:r>
              <w:rPr>
                <w:rFonts w:hint="eastAsia" w:cs="宋体"/>
                <w:b/>
                <w:bCs/>
              </w:rPr>
              <w:t>序号</w:t>
            </w:r>
          </w:p>
        </w:tc>
        <w:tc>
          <w:tcPr>
            <w:tcW w:w="1491" w:type="dxa"/>
            <w:vAlign w:val="center"/>
          </w:tcPr>
          <w:p w14:paraId="1ED5B1B4">
            <w:pPr>
              <w:spacing w:line="480" w:lineRule="exact"/>
              <w:jc w:val="center"/>
              <w:rPr>
                <w:b/>
                <w:bCs/>
              </w:rPr>
            </w:pPr>
            <w:r>
              <w:rPr>
                <w:rFonts w:hint="eastAsia" w:cs="宋体"/>
                <w:b/>
                <w:bCs/>
              </w:rPr>
              <w:t>审查项目</w:t>
            </w:r>
          </w:p>
        </w:tc>
        <w:tc>
          <w:tcPr>
            <w:tcW w:w="7514" w:type="dxa"/>
            <w:vAlign w:val="center"/>
          </w:tcPr>
          <w:p w14:paraId="5B2F697F">
            <w:pPr>
              <w:spacing w:line="480" w:lineRule="exact"/>
              <w:jc w:val="center"/>
              <w:rPr>
                <w:b/>
                <w:bCs/>
              </w:rPr>
            </w:pPr>
            <w:r>
              <w:rPr>
                <w:rFonts w:hint="eastAsia" w:cs="宋体"/>
                <w:b/>
                <w:bCs/>
              </w:rPr>
              <w:t>评议内容</w:t>
            </w:r>
          </w:p>
        </w:tc>
      </w:tr>
      <w:tr w14:paraId="759C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BBF54D9">
            <w:pPr>
              <w:spacing w:line="320" w:lineRule="exact"/>
              <w:jc w:val="center"/>
              <w:rPr>
                <w:b/>
                <w:bCs/>
              </w:rPr>
            </w:pPr>
            <w:r>
              <w:rPr>
                <w:rFonts w:hint="eastAsia"/>
                <w:b/>
                <w:bCs/>
              </w:rPr>
              <w:t>1</w:t>
            </w:r>
          </w:p>
        </w:tc>
        <w:tc>
          <w:tcPr>
            <w:tcW w:w="1491" w:type="dxa"/>
            <w:vAlign w:val="center"/>
          </w:tcPr>
          <w:p w14:paraId="7C89A86F">
            <w:pPr>
              <w:spacing w:line="320" w:lineRule="exact"/>
              <w:jc w:val="center"/>
              <w:rPr>
                <w:b/>
                <w:bCs/>
              </w:rPr>
            </w:pPr>
            <w:r>
              <w:rPr>
                <w:rFonts w:hint="eastAsia" w:cs="宋体"/>
                <w:b/>
                <w:bCs/>
              </w:rPr>
              <w:t>投标文件的有效性</w:t>
            </w:r>
          </w:p>
        </w:tc>
        <w:tc>
          <w:tcPr>
            <w:tcW w:w="7514" w:type="dxa"/>
            <w:vAlign w:val="center"/>
          </w:tcPr>
          <w:p w14:paraId="6DA7221C">
            <w:pPr>
              <w:spacing w:line="360" w:lineRule="exact"/>
            </w:pPr>
            <w:r>
              <w:rPr>
                <w:rFonts w:hint="eastAsia" w:cs="宋体"/>
              </w:rPr>
              <w:t>是否符合投标文件的式样和签署要求且内容完整无缺漏</w:t>
            </w:r>
          </w:p>
        </w:tc>
      </w:tr>
      <w:tr w14:paraId="15F3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89961D7">
            <w:pPr>
              <w:spacing w:line="320" w:lineRule="exact"/>
              <w:jc w:val="center"/>
              <w:rPr>
                <w:b/>
                <w:bCs/>
              </w:rPr>
            </w:pPr>
            <w:r>
              <w:rPr>
                <w:rFonts w:hint="eastAsia"/>
                <w:b/>
                <w:bCs/>
              </w:rPr>
              <w:t>2</w:t>
            </w:r>
          </w:p>
        </w:tc>
        <w:tc>
          <w:tcPr>
            <w:tcW w:w="1491" w:type="dxa"/>
            <w:vAlign w:val="center"/>
          </w:tcPr>
          <w:p w14:paraId="59A12E65">
            <w:pPr>
              <w:spacing w:line="480" w:lineRule="exact"/>
              <w:jc w:val="center"/>
              <w:rPr>
                <w:b/>
                <w:bCs/>
              </w:rPr>
            </w:pPr>
            <w:r>
              <w:rPr>
                <w:rFonts w:hint="eastAsia" w:cs="宋体"/>
                <w:b/>
                <w:bCs/>
              </w:rPr>
              <w:t>投标有效期</w:t>
            </w:r>
          </w:p>
        </w:tc>
        <w:tc>
          <w:tcPr>
            <w:tcW w:w="7514" w:type="dxa"/>
            <w:vAlign w:val="center"/>
          </w:tcPr>
          <w:p w14:paraId="77D742D5">
            <w:pPr>
              <w:spacing w:line="480" w:lineRule="exact"/>
            </w:pPr>
            <w:r>
              <w:rPr>
                <w:rFonts w:hint="eastAsia" w:cs="宋体"/>
              </w:rPr>
              <w:t>投标有效期是否满足90天</w:t>
            </w:r>
          </w:p>
        </w:tc>
      </w:tr>
      <w:tr w14:paraId="6DC5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5B78737">
            <w:pPr>
              <w:spacing w:line="320" w:lineRule="exact"/>
              <w:jc w:val="center"/>
              <w:rPr>
                <w:b/>
                <w:bCs/>
              </w:rPr>
            </w:pPr>
            <w:r>
              <w:rPr>
                <w:rFonts w:hint="eastAsia"/>
                <w:b/>
                <w:bCs/>
              </w:rPr>
              <w:t>3</w:t>
            </w:r>
          </w:p>
        </w:tc>
        <w:tc>
          <w:tcPr>
            <w:tcW w:w="1491" w:type="dxa"/>
            <w:vAlign w:val="center"/>
          </w:tcPr>
          <w:p w14:paraId="2129C8A3">
            <w:pPr>
              <w:spacing w:line="360" w:lineRule="exact"/>
              <w:jc w:val="center"/>
              <w:rPr>
                <w:b/>
                <w:bCs/>
              </w:rPr>
            </w:pPr>
            <w:r>
              <w:rPr>
                <w:rFonts w:hint="eastAsia" w:cs="宋体"/>
                <w:b/>
                <w:bCs/>
              </w:rPr>
              <w:t>投标价</w:t>
            </w:r>
          </w:p>
        </w:tc>
        <w:tc>
          <w:tcPr>
            <w:tcW w:w="7514" w:type="dxa"/>
            <w:vAlign w:val="center"/>
          </w:tcPr>
          <w:p w14:paraId="1D9C8581">
            <w:pPr>
              <w:spacing w:line="360" w:lineRule="exact"/>
            </w:pPr>
            <w:r>
              <w:rPr>
                <w:rFonts w:hint="eastAsia" w:cs="宋体"/>
              </w:rPr>
              <w:t>投标价是否唯一且不超过采购预算</w:t>
            </w:r>
          </w:p>
        </w:tc>
      </w:tr>
      <w:tr w14:paraId="532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D3522CB">
            <w:pPr>
              <w:spacing w:line="320" w:lineRule="exact"/>
              <w:jc w:val="center"/>
              <w:rPr>
                <w:b/>
                <w:bCs/>
              </w:rPr>
            </w:pPr>
            <w:r>
              <w:rPr>
                <w:rFonts w:hint="eastAsia"/>
                <w:b/>
                <w:bCs/>
              </w:rPr>
              <w:t>4</w:t>
            </w:r>
          </w:p>
        </w:tc>
        <w:tc>
          <w:tcPr>
            <w:tcW w:w="1491" w:type="dxa"/>
            <w:vAlign w:val="center"/>
          </w:tcPr>
          <w:p w14:paraId="178EDB25">
            <w:pPr>
              <w:spacing w:line="360" w:lineRule="exact"/>
              <w:jc w:val="center"/>
              <w:rPr>
                <w:b/>
                <w:bCs/>
              </w:rPr>
            </w:pPr>
            <w:r>
              <w:rPr>
                <w:rFonts w:hint="eastAsia" w:cs="宋体"/>
                <w:b/>
                <w:bCs/>
              </w:rPr>
              <w:t>交货期</w:t>
            </w:r>
          </w:p>
        </w:tc>
        <w:tc>
          <w:tcPr>
            <w:tcW w:w="7514" w:type="dxa"/>
            <w:vAlign w:val="center"/>
          </w:tcPr>
          <w:p w14:paraId="35989276">
            <w:pPr>
              <w:spacing w:line="360" w:lineRule="exact"/>
            </w:pPr>
            <w:r>
              <w:rPr>
                <w:rFonts w:hint="eastAsia" w:cs="宋体"/>
              </w:rPr>
              <w:t>是否按照招标文件规定时间</w:t>
            </w:r>
          </w:p>
        </w:tc>
      </w:tr>
      <w:tr w14:paraId="2C8E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1E53569">
            <w:pPr>
              <w:spacing w:line="320" w:lineRule="exact"/>
              <w:jc w:val="center"/>
              <w:rPr>
                <w:b/>
                <w:bCs/>
              </w:rPr>
            </w:pPr>
            <w:r>
              <w:rPr>
                <w:rFonts w:hint="eastAsia"/>
                <w:b/>
                <w:bCs/>
              </w:rPr>
              <w:t>5</w:t>
            </w:r>
          </w:p>
        </w:tc>
        <w:tc>
          <w:tcPr>
            <w:tcW w:w="1491" w:type="dxa"/>
            <w:vAlign w:val="center"/>
          </w:tcPr>
          <w:p w14:paraId="4CD80364">
            <w:pPr>
              <w:spacing w:line="360" w:lineRule="exact"/>
              <w:jc w:val="center"/>
              <w:rPr>
                <w:rFonts w:cs="宋体"/>
                <w:b/>
                <w:bCs/>
              </w:rPr>
            </w:pPr>
            <w:r>
              <w:rPr>
                <w:rFonts w:hint="eastAsia" w:cs="宋体"/>
                <w:b/>
                <w:bCs/>
              </w:rPr>
              <w:t>无围标串标行为</w:t>
            </w:r>
          </w:p>
        </w:tc>
        <w:tc>
          <w:tcPr>
            <w:tcW w:w="7514" w:type="dxa"/>
            <w:vAlign w:val="center"/>
          </w:tcPr>
          <w:p w14:paraId="442EBCC8">
            <w:pPr>
              <w:pStyle w:val="10"/>
              <w:rPr>
                <w:rFonts w:ascii="宋体" w:hAnsi="宋体" w:cs="宋体"/>
              </w:rPr>
            </w:pPr>
            <w:r>
              <w:rPr>
                <w:rFonts w:hint="eastAsia" w:ascii="宋体" w:hAnsi="宋体" w:cs="宋体"/>
              </w:rPr>
              <w:t>（一）不同投标人的投标文件由同一单位或者个人编制；</w:t>
            </w:r>
          </w:p>
          <w:p w14:paraId="31D5E571">
            <w:pPr>
              <w:pStyle w:val="10"/>
              <w:rPr>
                <w:rFonts w:ascii="宋体" w:hAnsi="宋体" w:cs="宋体"/>
              </w:rPr>
            </w:pPr>
            <w:r>
              <w:rPr>
                <w:rFonts w:hint="eastAsia" w:ascii="宋体" w:hAnsi="宋体" w:cs="宋体"/>
              </w:rPr>
              <w:t>（二）不同投标人委托同一单位或者个人办理投标事宜；</w:t>
            </w:r>
          </w:p>
          <w:p w14:paraId="3DBBD92D">
            <w:pPr>
              <w:pStyle w:val="10"/>
              <w:rPr>
                <w:rFonts w:ascii="宋体" w:hAnsi="宋体" w:cs="宋体"/>
              </w:rPr>
            </w:pPr>
            <w:r>
              <w:rPr>
                <w:rFonts w:hint="eastAsia" w:ascii="宋体" w:hAnsi="宋体" w:cs="宋体"/>
              </w:rPr>
              <w:t>（三）不同投标人的投标文件载明的项目管理成员或者联系人员为同一人；</w:t>
            </w:r>
          </w:p>
          <w:p w14:paraId="34E5D0BC">
            <w:pPr>
              <w:pStyle w:val="10"/>
              <w:rPr>
                <w:rFonts w:ascii="宋体" w:hAnsi="宋体" w:cs="宋体"/>
              </w:rPr>
            </w:pPr>
            <w:r>
              <w:rPr>
                <w:rFonts w:hint="eastAsia" w:ascii="宋体" w:hAnsi="宋体" w:cs="宋体"/>
              </w:rPr>
              <w:t>（四）不同投标人的投标文件异常一致或者投标报价呈规律性差异；</w:t>
            </w:r>
          </w:p>
          <w:p w14:paraId="1261B07E">
            <w:pPr>
              <w:pStyle w:val="10"/>
              <w:rPr>
                <w:rFonts w:ascii="宋体" w:hAnsi="宋体" w:cs="宋体"/>
              </w:rPr>
            </w:pPr>
            <w:r>
              <w:rPr>
                <w:rFonts w:hint="eastAsia" w:ascii="宋体" w:hAnsi="宋体" w:cs="宋体"/>
              </w:rPr>
              <w:t>（五）不同投标人的投标文件相互混装；</w:t>
            </w:r>
          </w:p>
        </w:tc>
      </w:tr>
      <w:tr w14:paraId="4BA4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FB41C65">
            <w:pPr>
              <w:spacing w:line="320" w:lineRule="exact"/>
              <w:jc w:val="center"/>
              <w:rPr>
                <w:b/>
                <w:bCs/>
              </w:rPr>
            </w:pPr>
            <w:r>
              <w:rPr>
                <w:rFonts w:hint="eastAsia"/>
                <w:b/>
                <w:bCs/>
              </w:rPr>
              <w:t>6</w:t>
            </w:r>
          </w:p>
        </w:tc>
        <w:tc>
          <w:tcPr>
            <w:tcW w:w="1491" w:type="dxa"/>
            <w:vAlign w:val="center"/>
          </w:tcPr>
          <w:p w14:paraId="751A06BA">
            <w:pPr>
              <w:spacing w:line="360" w:lineRule="exact"/>
              <w:jc w:val="center"/>
              <w:rPr>
                <w:rFonts w:cs="宋体"/>
                <w:b/>
                <w:bCs/>
              </w:rPr>
            </w:pPr>
            <w:r>
              <w:rPr>
                <w:rFonts w:hint="eastAsia" w:cs="宋体"/>
                <w:b/>
                <w:bCs/>
              </w:rPr>
              <w:t>投标函</w:t>
            </w:r>
          </w:p>
        </w:tc>
        <w:tc>
          <w:tcPr>
            <w:tcW w:w="7514" w:type="dxa"/>
            <w:vAlign w:val="center"/>
          </w:tcPr>
          <w:p w14:paraId="279BE0DD">
            <w:pPr>
              <w:spacing w:line="360" w:lineRule="exact"/>
              <w:rPr>
                <w:rFonts w:cs="宋体"/>
              </w:rPr>
            </w:pPr>
            <w:r>
              <w:rPr>
                <w:rFonts w:hint="eastAsia" w:ascii="宋体" w:hAnsi="宋体" w:cs="宋体"/>
              </w:rPr>
              <w:t>投标函内容完整无缺漏</w:t>
            </w:r>
          </w:p>
        </w:tc>
      </w:tr>
      <w:tr w14:paraId="3937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ED8C7C5">
            <w:pPr>
              <w:spacing w:line="320" w:lineRule="exact"/>
              <w:jc w:val="center"/>
              <w:rPr>
                <w:b/>
                <w:bCs/>
              </w:rPr>
            </w:pPr>
            <w:r>
              <w:rPr>
                <w:rFonts w:hint="eastAsia"/>
                <w:b/>
                <w:bCs/>
              </w:rPr>
              <w:t>7</w:t>
            </w:r>
          </w:p>
        </w:tc>
        <w:tc>
          <w:tcPr>
            <w:tcW w:w="1491" w:type="dxa"/>
            <w:vAlign w:val="center"/>
          </w:tcPr>
          <w:p w14:paraId="70C643A9">
            <w:pPr>
              <w:spacing w:line="360" w:lineRule="exact"/>
              <w:jc w:val="center"/>
              <w:rPr>
                <w:b/>
                <w:bCs/>
              </w:rPr>
            </w:pPr>
            <w:r>
              <w:rPr>
                <w:rFonts w:hint="eastAsia" w:cs="宋体"/>
                <w:b/>
                <w:bCs/>
              </w:rPr>
              <w:t>其它</w:t>
            </w:r>
          </w:p>
        </w:tc>
        <w:tc>
          <w:tcPr>
            <w:tcW w:w="7514" w:type="dxa"/>
            <w:vAlign w:val="center"/>
          </w:tcPr>
          <w:p w14:paraId="571F9197">
            <w:pPr>
              <w:spacing w:line="360" w:lineRule="exact"/>
            </w:pPr>
            <w:r>
              <w:rPr>
                <w:rFonts w:hint="eastAsia" w:cs="宋体"/>
              </w:rPr>
              <w:t>无其它符合招标文件中或相关法律法规规定的无效投标认定条件</w:t>
            </w:r>
          </w:p>
        </w:tc>
      </w:tr>
      <w:tr w14:paraId="0A21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52" w:type="dxa"/>
            <w:gridSpan w:val="3"/>
            <w:vAlign w:val="center"/>
          </w:tcPr>
          <w:p w14:paraId="1DFB088B">
            <w:pPr>
              <w:spacing w:line="480" w:lineRule="exact"/>
              <w:jc w:val="center"/>
            </w:pPr>
            <w:r>
              <w:rPr>
                <w:rFonts w:hint="eastAsia" w:cs="宋体"/>
                <w:b/>
                <w:bCs/>
              </w:rPr>
              <w:t>结论</w:t>
            </w:r>
          </w:p>
        </w:tc>
      </w:tr>
    </w:tbl>
    <w:p w14:paraId="69D28CDA">
      <w:pPr>
        <w:pStyle w:val="2"/>
        <w:numPr>
          <w:ilvl w:val="0"/>
          <w:numId w:val="1"/>
        </w:numPr>
      </w:pPr>
      <w:bookmarkStart w:id="48" w:name="_Toc24250"/>
      <w:r>
        <w:rPr>
          <w:rFonts w:hint="eastAsia"/>
        </w:rPr>
        <w:t>详细评审标准</w:t>
      </w:r>
      <w:bookmarkEnd w:id="48"/>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52"/>
        <w:gridCol w:w="6188"/>
        <w:gridCol w:w="959"/>
      </w:tblGrid>
      <w:tr w14:paraId="7603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0DC1C0C5">
            <w:pPr>
              <w:widowControl/>
              <w:jc w:val="center"/>
              <w:textAlignment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252" w:type="dxa"/>
            <w:noWrap/>
            <w:vAlign w:val="center"/>
          </w:tcPr>
          <w:p w14:paraId="6907CF0A">
            <w:pPr>
              <w:widowControl/>
              <w:jc w:val="center"/>
              <w:textAlignment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评审因素</w:t>
            </w:r>
          </w:p>
        </w:tc>
        <w:tc>
          <w:tcPr>
            <w:tcW w:w="6188" w:type="dxa"/>
            <w:noWrap/>
            <w:vAlign w:val="center"/>
          </w:tcPr>
          <w:p w14:paraId="062AFB4D">
            <w:pPr>
              <w:widowControl/>
              <w:jc w:val="center"/>
              <w:textAlignment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评分标准</w:t>
            </w:r>
          </w:p>
        </w:tc>
        <w:tc>
          <w:tcPr>
            <w:tcW w:w="959" w:type="dxa"/>
            <w:noWrap/>
            <w:vAlign w:val="center"/>
          </w:tcPr>
          <w:p w14:paraId="107B0072">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满分</w:t>
            </w:r>
          </w:p>
        </w:tc>
      </w:tr>
      <w:tr w14:paraId="2BA3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2748F7D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52" w:type="dxa"/>
            <w:noWrap/>
            <w:vAlign w:val="center"/>
          </w:tcPr>
          <w:p w14:paraId="7B893D1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类似业绩</w:t>
            </w:r>
          </w:p>
        </w:tc>
        <w:tc>
          <w:tcPr>
            <w:tcW w:w="6188" w:type="dxa"/>
            <w:noWrap/>
            <w:vAlign w:val="center"/>
          </w:tcPr>
          <w:p w14:paraId="3BC2A118">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供应商提供2022年1月1日至今类似项目业绩，每提供一份得1分，满分10分，不提供不得分（提供业绩合同复印件，加盖公章，同一用户只能算一次业绩，不得重复算分）。</w:t>
            </w:r>
          </w:p>
        </w:tc>
        <w:tc>
          <w:tcPr>
            <w:tcW w:w="959" w:type="dxa"/>
            <w:noWrap/>
            <w:vAlign w:val="center"/>
          </w:tcPr>
          <w:p w14:paraId="066C1A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6395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ign w:val="center"/>
          </w:tcPr>
          <w:p w14:paraId="3217DB0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52" w:type="dxa"/>
            <w:vMerge w:val="restart"/>
            <w:noWrap/>
            <w:vAlign w:val="center"/>
          </w:tcPr>
          <w:p w14:paraId="65A00F3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服务能力</w:t>
            </w:r>
          </w:p>
        </w:tc>
        <w:tc>
          <w:tcPr>
            <w:tcW w:w="6188" w:type="dxa"/>
            <w:noWrap/>
            <w:vAlign w:val="center"/>
          </w:tcPr>
          <w:p w14:paraId="1A387D1B">
            <w:pPr>
              <w:widowControl/>
              <w:textAlignment w:val="center"/>
              <w:rPr>
                <w:rFonts w:ascii="宋体" w:hAnsi="宋体" w:cs="宋体"/>
                <w:sz w:val="20"/>
                <w:szCs w:val="20"/>
              </w:rPr>
            </w:pPr>
            <w:r>
              <w:rPr>
                <w:rFonts w:hint="eastAsia" w:ascii="宋体" w:hAnsi="宋体" w:cs="宋体"/>
                <w:sz w:val="20"/>
                <w:szCs w:val="20"/>
              </w:rPr>
              <w:t>在运力紧张时能及时补充运力，具备调拨冷藏车或9米6高栏车/厢式车的能力。提供合作协议复印件及车辆行驶证、车辆照片。（不提供或资料提供不全不得分）</w:t>
            </w:r>
          </w:p>
          <w:p w14:paraId="49AB0CAC">
            <w:pPr>
              <w:widowControl/>
              <w:textAlignment w:val="center"/>
              <w:rPr>
                <w:rFonts w:ascii="宋体" w:hAnsi="宋体" w:cs="宋体"/>
                <w:sz w:val="20"/>
                <w:szCs w:val="20"/>
              </w:rPr>
            </w:pPr>
            <w:r>
              <w:rPr>
                <w:rFonts w:hint="eastAsia" w:ascii="宋体" w:hAnsi="宋体" w:cs="宋体"/>
                <w:sz w:val="20"/>
                <w:szCs w:val="20"/>
              </w:rPr>
              <w:t>每提供一辆冷藏车得1分，满分4分；</w:t>
            </w:r>
          </w:p>
          <w:p w14:paraId="5C8691A2">
            <w:pPr>
              <w:widowControl/>
              <w:textAlignment w:val="center"/>
              <w:rPr>
                <w:rFonts w:ascii="宋体" w:hAnsi="宋体" w:cs="宋体"/>
                <w:sz w:val="20"/>
                <w:szCs w:val="20"/>
              </w:rPr>
            </w:pPr>
            <w:r>
              <w:rPr>
                <w:rFonts w:hint="eastAsia" w:ascii="宋体" w:hAnsi="宋体" w:cs="宋体"/>
                <w:sz w:val="20"/>
                <w:szCs w:val="20"/>
              </w:rPr>
              <w:t>每提供一辆9米6高栏车/厢式车得0.5分，满分5分。</w:t>
            </w:r>
          </w:p>
          <w:p w14:paraId="694F75E5">
            <w:pPr>
              <w:widowControl/>
              <w:textAlignment w:val="center"/>
              <w:rPr>
                <w:rFonts w:ascii="宋体" w:hAnsi="宋体" w:cs="宋体"/>
                <w:sz w:val="20"/>
                <w:szCs w:val="20"/>
              </w:rPr>
            </w:pPr>
            <w:r>
              <w:rPr>
                <w:rFonts w:hint="eastAsia" w:ascii="宋体" w:hAnsi="宋体" w:cs="宋体"/>
                <w:sz w:val="20"/>
                <w:szCs w:val="20"/>
              </w:rPr>
              <w:t>（租赁车辆须提供出租人购买发票复印件、在年审有效期内的《机动车行驶证》复印件和《机动车登记证》复印件，以及提供能体现车牌号码的车辆照片，不提供不得分，以及车辆租赁合同（合同期须覆盖本项目供货期）复印件，不提供不得分。）</w:t>
            </w:r>
          </w:p>
          <w:p w14:paraId="02D96861">
            <w:pPr>
              <w:widowControl/>
              <w:textAlignment w:val="center"/>
              <w:rPr>
                <w:rFonts w:ascii="宋体" w:hAnsi="宋体" w:cs="宋体"/>
                <w:sz w:val="20"/>
                <w:szCs w:val="20"/>
              </w:rPr>
            </w:pPr>
            <w:r>
              <w:rPr>
                <w:rFonts w:hint="eastAsia" w:ascii="宋体" w:hAnsi="宋体" w:cs="宋体"/>
                <w:sz w:val="20"/>
                <w:szCs w:val="20"/>
              </w:rPr>
              <w:t>（备注：投标人承诺中标后上述车辆保障本项目，无承诺不得分）</w:t>
            </w:r>
          </w:p>
        </w:tc>
        <w:tc>
          <w:tcPr>
            <w:tcW w:w="959" w:type="dxa"/>
            <w:vMerge w:val="restart"/>
            <w:noWrap/>
            <w:vAlign w:val="center"/>
          </w:tcPr>
          <w:p w14:paraId="1950DA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2925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ign w:val="center"/>
          </w:tcPr>
          <w:p w14:paraId="61E36369">
            <w:pPr>
              <w:jc w:val="center"/>
              <w:rPr>
                <w:rFonts w:ascii="宋体" w:hAnsi="宋体" w:cs="宋体"/>
                <w:color w:val="000000"/>
                <w:kern w:val="0"/>
                <w:sz w:val="20"/>
                <w:szCs w:val="20"/>
              </w:rPr>
            </w:pPr>
          </w:p>
        </w:tc>
        <w:tc>
          <w:tcPr>
            <w:tcW w:w="1252" w:type="dxa"/>
            <w:vMerge w:val="continue"/>
            <w:noWrap/>
            <w:vAlign w:val="center"/>
          </w:tcPr>
          <w:p w14:paraId="3CCA9C61">
            <w:pPr>
              <w:widowControl/>
              <w:jc w:val="center"/>
              <w:textAlignment w:val="center"/>
              <w:rPr>
                <w:rFonts w:ascii="宋体" w:hAnsi="宋体" w:cs="宋体"/>
                <w:color w:val="000000"/>
                <w:kern w:val="0"/>
                <w:sz w:val="20"/>
                <w:szCs w:val="20"/>
              </w:rPr>
            </w:pPr>
          </w:p>
        </w:tc>
        <w:tc>
          <w:tcPr>
            <w:tcW w:w="6188" w:type="dxa"/>
            <w:noWrap/>
            <w:vAlign w:val="center"/>
          </w:tcPr>
          <w:p w14:paraId="120793B2">
            <w:pPr>
              <w:widowControl/>
              <w:numPr>
                <w:ilvl w:val="0"/>
                <w:numId w:val="2"/>
              </w:numPr>
              <w:textAlignment w:val="center"/>
              <w:rPr>
                <w:rFonts w:ascii="宋体" w:hAnsi="宋体" w:cs="宋体"/>
                <w:color w:val="000000"/>
                <w:kern w:val="0"/>
                <w:sz w:val="20"/>
                <w:szCs w:val="20"/>
              </w:rPr>
            </w:pPr>
            <w:r>
              <w:rPr>
                <w:rFonts w:hint="eastAsia" w:ascii="宋体" w:hAnsi="宋体" w:cs="宋体"/>
                <w:color w:val="000000"/>
                <w:kern w:val="0"/>
                <w:sz w:val="20"/>
                <w:szCs w:val="20"/>
              </w:rPr>
              <w:t>营业办公面积在100平方米以上的，得1分。</w:t>
            </w:r>
          </w:p>
          <w:p w14:paraId="4410D606">
            <w:pPr>
              <w:widowControl/>
              <w:numPr>
                <w:ilvl w:val="0"/>
                <w:numId w:val="2"/>
              </w:numPr>
              <w:textAlignment w:val="center"/>
              <w:rPr>
                <w:rFonts w:ascii="宋体" w:hAnsi="宋体" w:cs="宋体"/>
                <w:color w:val="000000"/>
                <w:kern w:val="0"/>
                <w:sz w:val="20"/>
                <w:szCs w:val="20"/>
              </w:rPr>
            </w:pPr>
            <w:r>
              <w:rPr>
                <w:rFonts w:hint="eastAsia" w:ascii="宋体" w:hAnsi="宋体" w:cs="宋体"/>
                <w:color w:val="000000"/>
                <w:kern w:val="0"/>
                <w:sz w:val="20"/>
                <w:szCs w:val="20"/>
              </w:rPr>
              <w:t>营业办公面积在100平方米以下的，得0.5分。</w:t>
            </w:r>
          </w:p>
          <w:p w14:paraId="6E681548">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需提供营业办公场所的证明材料，不提供不得分。营业办公场所归投标人自有的需提供产权证明复印件，产权所有人为投标人或法定代表人的，视为投标人自有；营业场所为租赁的，需要提供租赁合同复印件及营业场所的产权证明复印件，租赁合同的出租人须为产权所有人或其授权代理人。</w:t>
            </w:r>
          </w:p>
        </w:tc>
        <w:tc>
          <w:tcPr>
            <w:tcW w:w="959" w:type="dxa"/>
            <w:vMerge w:val="continue"/>
            <w:noWrap/>
            <w:vAlign w:val="center"/>
          </w:tcPr>
          <w:p w14:paraId="6BCDE5F0">
            <w:pPr>
              <w:jc w:val="center"/>
              <w:rPr>
                <w:rFonts w:ascii="宋体" w:hAnsi="宋体" w:cs="宋体"/>
                <w:color w:val="000000"/>
                <w:sz w:val="20"/>
                <w:szCs w:val="20"/>
              </w:rPr>
            </w:pPr>
          </w:p>
        </w:tc>
      </w:tr>
      <w:tr w14:paraId="46A1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4AA1A7D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52" w:type="dxa"/>
            <w:noWrap/>
            <w:vAlign w:val="center"/>
          </w:tcPr>
          <w:p w14:paraId="1257B84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车辆配备</w:t>
            </w:r>
          </w:p>
        </w:tc>
        <w:tc>
          <w:tcPr>
            <w:tcW w:w="6188" w:type="dxa"/>
            <w:noWrap/>
            <w:vAlign w:val="center"/>
          </w:tcPr>
          <w:p w14:paraId="28A75126">
            <w:pPr>
              <w:widowControl/>
              <w:numPr>
                <w:ilvl w:val="0"/>
                <w:numId w:val="3"/>
              </w:numPr>
              <w:textAlignment w:val="center"/>
              <w:rPr>
                <w:rFonts w:ascii="宋体" w:hAnsi="宋体" w:cs="宋体"/>
                <w:sz w:val="20"/>
                <w:szCs w:val="20"/>
              </w:rPr>
            </w:pPr>
            <w:r>
              <w:rPr>
                <w:rFonts w:hint="eastAsia" w:ascii="宋体" w:hAnsi="宋体" w:cs="宋体"/>
                <w:sz w:val="20"/>
                <w:szCs w:val="20"/>
              </w:rPr>
              <w:t>自有（含集团子公司、分公司、全资子公司）4.2米以上的货车不少于3辆，且货物运输车辆使用年限 8年（含）以内，满分6 分。（自有货车3辆及以下不得分）</w:t>
            </w:r>
          </w:p>
          <w:p w14:paraId="53A712F8">
            <w:pPr>
              <w:widowControl/>
              <w:numPr>
                <w:ilvl w:val="0"/>
                <w:numId w:val="3"/>
              </w:numPr>
              <w:textAlignment w:val="center"/>
              <w:rPr>
                <w:rFonts w:ascii="宋体" w:hAnsi="宋体" w:cs="宋体"/>
                <w:sz w:val="20"/>
                <w:szCs w:val="20"/>
              </w:rPr>
            </w:pPr>
            <w:r>
              <w:rPr>
                <w:rFonts w:hint="eastAsia" w:ascii="宋体" w:hAnsi="宋体" w:cs="宋体"/>
                <w:sz w:val="20"/>
                <w:szCs w:val="20"/>
              </w:rPr>
              <w:t>自有（含集团子公司、分公司、全资子公司）9米6高栏车或厢式车的每辆得1分，满分4分。</w:t>
            </w:r>
          </w:p>
          <w:p w14:paraId="135F26A7">
            <w:pPr>
              <w:widowControl/>
              <w:textAlignment w:val="center"/>
              <w:rPr>
                <w:rFonts w:ascii="宋体" w:hAnsi="宋体" w:cs="宋体"/>
                <w:sz w:val="20"/>
                <w:szCs w:val="20"/>
              </w:rPr>
            </w:pPr>
            <w:r>
              <w:rPr>
                <w:rFonts w:hint="eastAsia" w:ascii="宋体" w:hAnsi="宋体" w:cs="宋体"/>
                <w:sz w:val="20"/>
                <w:szCs w:val="20"/>
              </w:rPr>
              <w:t>（自有车辆须提供以投标人购买发票复印件、在年审有效期内的《机动车行驶证》复印件和《机动车登记证》复印件，以及提供能体现车牌号码的车辆照片。不提供不得分）</w:t>
            </w:r>
          </w:p>
          <w:p w14:paraId="48D0689D">
            <w:pPr>
              <w:widowControl/>
              <w:textAlignment w:val="center"/>
              <w:rPr>
                <w:rFonts w:ascii="宋体" w:hAnsi="宋体" w:cs="宋体"/>
                <w:sz w:val="20"/>
                <w:szCs w:val="20"/>
              </w:rPr>
            </w:pPr>
            <w:r>
              <w:rPr>
                <w:rFonts w:hint="eastAsia" w:ascii="宋体" w:hAnsi="宋体" w:cs="宋体"/>
                <w:sz w:val="20"/>
                <w:szCs w:val="20"/>
              </w:rPr>
              <w:t>（备注：投标人承诺中标后上述车辆保障本项目，无承诺不得分）</w:t>
            </w:r>
          </w:p>
        </w:tc>
        <w:tc>
          <w:tcPr>
            <w:tcW w:w="959" w:type="dxa"/>
            <w:noWrap/>
            <w:vAlign w:val="center"/>
          </w:tcPr>
          <w:p w14:paraId="1093AE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639C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0186C7E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52" w:type="dxa"/>
            <w:noWrap/>
            <w:vAlign w:val="center"/>
          </w:tcPr>
          <w:p w14:paraId="16F42A7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服务团队</w:t>
            </w:r>
          </w:p>
        </w:tc>
        <w:tc>
          <w:tcPr>
            <w:tcW w:w="6188" w:type="dxa"/>
            <w:noWrap/>
            <w:vAlign w:val="center"/>
          </w:tcPr>
          <w:p w14:paraId="49BFF77B">
            <w:pPr>
              <w:widowControl/>
              <w:textAlignment w:val="center"/>
              <w:rPr>
                <w:rFonts w:ascii="宋体" w:hAnsi="宋体" w:cs="宋体"/>
                <w:kern w:val="0"/>
                <w:sz w:val="20"/>
                <w:szCs w:val="20"/>
              </w:rPr>
            </w:pPr>
            <w:r>
              <w:rPr>
                <w:rFonts w:hint="eastAsia" w:ascii="宋体" w:hAnsi="宋体" w:cs="宋体"/>
                <w:kern w:val="0"/>
                <w:sz w:val="20"/>
                <w:szCs w:val="20"/>
              </w:rPr>
              <w:t>1.驾驶员必须持证上岗（道路运输从业资格证），提供无犯罪证明，并且无重大运输违法记录；提供驾驶员驾驶证在供应商处或供应商海南所在地缴纳社会保险记录证明，人数按 1分/人计算，最多记 8分。</w:t>
            </w:r>
          </w:p>
          <w:p w14:paraId="6D7AD3D4">
            <w:pPr>
              <w:widowControl/>
              <w:textAlignment w:val="center"/>
              <w:rPr>
                <w:rFonts w:ascii="宋体" w:hAnsi="宋体" w:cs="宋体"/>
                <w:color w:val="000000"/>
                <w:kern w:val="0"/>
                <w:sz w:val="20"/>
                <w:szCs w:val="20"/>
              </w:rPr>
            </w:pPr>
            <w:r>
              <w:rPr>
                <w:rFonts w:hint="eastAsia" w:ascii="宋体" w:hAnsi="宋体" w:cs="宋体"/>
                <w:kern w:val="0"/>
                <w:sz w:val="20"/>
                <w:szCs w:val="20"/>
              </w:rPr>
              <w:t>2.供应商党组织健全，提供服务的专职人员中至少有1名3年以上党龄的党员，提供党组织成立及党员情况证明材料得标准分，其他得0分。该项分值：2分</w:t>
            </w:r>
          </w:p>
        </w:tc>
        <w:tc>
          <w:tcPr>
            <w:tcW w:w="959" w:type="dxa"/>
            <w:noWrap/>
            <w:vAlign w:val="center"/>
          </w:tcPr>
          <w:p w14:paraId="6CF8D4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7C0F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04082D3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252" w:type="dxa"/>
            <w:noWrap/>
            <w:vAlign w:val="center"/>
          </w:tcPr>
          <w:p w14:paraId="504A2E1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保密制度及措施</w:t>
            </w:r>
          </w:p>
        </w:tc>
        <w:tc>
          <w:tcPr>
            <w:tcW w:w="6188" w:type="dxa"/>
            <w:noWrap/>
            <w:vAlign w:val="center"/>
          </w:tcPr>
          <w:p w14:paraId="49D33857">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供应商建立项目安全保密制度，以及根据招标文件的要求制定相关保密措施。</w:t>
            </w:r>
          </w:p>
          <w:p w14:paraId="0078513A">
            <w:pPr>
              <w:widowControl/>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保密制度和措施情况进行评分，横向比较保密制度内容（例如涉密人员、涉密场所、涉密载体、涉密项目、涉密会议、宣传报道、涉密信息系统、信息设备管理等），优秀记8-10分，良好记 5-7分，一般记 1-4分，未提供方案的不记分。</w:t>
            </w:r>
          </w:p>
        </w:tc>
        <w:tc>
          <w:tcPr>
            <w:tcW w:w="959" w:type="dxa"/>
            <w:noWrap/>
            <w:vAlign w:val="center"/>
          </w:tcPr>
          <w:p w14:paraId="0A57CD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5E81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4CC7832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52" w:type="dxa"/>
            <w:noWrap/>
            <w:vAlign w:val="center"/>
          </w:tcPr>
          <w:p w14:paraId="171E3F6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服务及安全保障方案</w:t>
            </w:r>
          </w:p>
        </w:tc>
        <w:tc>
          <w:tcPr>
            <w:tcW w:w="6188" w:type="dxa"/>
            <w:noWrap/>
            <w:vAlign w:val="center"/>
          </w:tcPr>
          <w:p w14:paraId="60BCB061">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供应商应根据招标文件的要求和运输区域（线路）制定切实可行的服务保障方案、运输安全保障方案，服务方案应包括但不限于运输线路规划、服务措施、服务承诺等，安全保障方案应包括但不限于安全管理机构设立、安全运行机制及措施、线路安全规划、应急预案、安全承诺等。</w:t>
            </w:r>
          </w:p>
          <w:p w14:paraId="1DF5260E">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方案优秀记 4-5 分，良好记 2-3分，一般记 1分，未提供方案的不记分。</w:t>
            </w:r>
          </w:p>
        </w:tc>
        <w:tc>
          <w:tcPr>
            <w:tcW w:w="959" w:type="dxa"/>
            <w:noWrap/>
            <w:vAlign w:val="center"/>
          </w:tcPr>
          <w:p w14:paraId="660FCD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14:paraId="33BE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1D905F8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252" w:type="dxa"/>
            <w:noWrap/>
            <w:vAlign w:val="center"/>
          </w:tcPr>
          <w:p w14:paraId="2DAF768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项目重点难点分析、应对措施及相关的合理化建议</w:t>
            </w:r>
          </w:p>
        </w:tc>
        <w:tc>
          <w:tcPr>
            <w:tcW w:w="6188" w:type="dxa"/>
            <w:noWrap/>
            <w:vAlign w:val="center"/>
          </w:tcPr>
          <w:p w14:paraId="217F3107">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供应商应根据招标文件的要求和遇采购人临时紧急情况需增加配送份额或临时配送需求、响应时间及配送时效解决方案、遇台风、暴雨等恶劣天气配送解决方案、项目实施提出的相关合理化建议。</w:t>
            </w:r>
          </w:p>
          <w:p w14:paraId="6B839D64">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方案优秀记 4-5 分，良好记 2-3分，一般记 1分，未提供方案的不记分。</w:t>
            </w:r>
          </w:p>
        </w:tc>
        <w:tc>
          <w:tcPr>
            <w:tcW w:w="959" w:type="dxa"/>
            <w:noWrap/>
            <w:vAlign w:val="center"/>
          </w:tcPr>
          <w:p w14:paraId="7BA3FA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14:paraId="0370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ign w:val="center"/>
          </w:tcPr>
          <w:p w14:paraId="089A509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52" w:type="dxa"/>
            <w:noWrap/>
            <w:vAlign w:val="center"/>
          </w:tcPr>
          <w:p w14:paraId="17152A6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价格评分</w:t>
            </w:r>
          </w:p>
        </w:tc>
        <w:tc>
          <w:tcPr>
            <w:tcW w:w="6188" w:type="dxa"/>
            <w:noWrap/>
            <w:vAlign w:val="center"/>
          </w:tcPr>
          <w:p w14:paraId="4BA5A11F">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在所有的有效</w:t>
            </w:r>
            <w:r>
              <w:rPr>
                <w:rFonts w:hint="eastAsia" w:ascii="宋体" w:hAnsi="宋体" w:cs="宋体"/>
                <w:color w:val="000000"/>
                <w:kern w:val="0"/>
                <w:sz w:val="20"/>
                <w:szCs w:val="20"/>
                <w:lang w:val="en-US" w:eastAsia="zh-CN"/>
              </w:rPr>
              <w:t>投标</w:t>
            </w:r>
            <w:r>
              <w:rPr>
                <w:rFonts w:hint="eastAsia" w:ascii="宋体" w:hAnsi="宋体" w:cs="宋体"/>
                <w:color w:val="000000"/>
                <w:kern w:val="0"/>
                <w:sz w:val="20"/>
                <w:szCs w:val="20"/>
              </w:rPr>
              <w:t>报价中，以</w:t>
            </w:r>
            <w:r>
              <w:rPr>
                <w:rFonts w:hint="eastAsia" w:ascii="宋体" w:hAnsi="宋体" w:cs="宋体"/>
                <w:color w:val="000000"/>
                <w:kern w:val="0"/>
                <w:sz w:val="20"/>
                <w:szCs w:val="20"/>
                <w:lang w:val="en-US" w:eastAsia="zh-CN"/>
              </w:rPr>
              <w:t>投标</w:t>
            </w:r>
            <w:r>
              <w:rPr>
                <w:rFonts w:hint="eastAsia" w:ascii="宋体" w:hAnsi="宋体" w:cs="宋体"/>
                <w:color w:val="000000"/>
                <w:kern w:val="0"/>
                <w:sz w:val="20"/>
                <w:szCs w:val="20"/>
              </w:rPr>
              <w:t>报价折扣最低的为基准价，其价格分为满分。其他</w:t>
            </w:r>
            <w:r>
              <w:rPr>
                <w:rFonts w:hint="eastAsia" w:ascii="宋体" w:hAnsi="宋体" w:cs="宋体"/>
                <w:color w:val="000000"/>
                <w:kern w:val="0"/>
                <w:sz w:val="20"/>
                <w:szCs w:val="20"/>
                <w:lang w:val="en-US" w:eastAsia="zh-CN"/>
              </w:rPr>
              <w:t>投标人</w:t>
            </w:r>
            <w:r>
              <w:rPr>
                <w:rFonts w:hint="eastAsia" w:ascii="宋体" w:hAnsi="宋体" w:cs="宋体"/>
                <w:color w:val="000000"/>
                <w:kern w:val="0"/>
                <w:sz w:val="20"/>
                <w:szCs w:val="20"/>
              </w:rPr>
              <w:t>的报价统一按下列公式计算：</w:t>
            </w:r>
            <w:r>
              <w:rPr>
                <w:rFonts w:hint="eastAsia" w:ascii="宋体" w:hAnsi="宋体" w:cs="宋体"/>
                <w:color w:val="000000"/>
                <w:kern w:val="0"/>
                <w:sz w:val="20"/>
                <w:szCs w:val="20"/>
                <w:lang w:val="en-US" w:eastAsia="zh-CN"/>
              </w:rPr>
              <w:t>投标</w:t>
            </w:r>
            <w:r>
              <w:rPr>
                <w:rFonts w:hint="eastAsia" w:ascii="宋体" w:hAnsi="宋体" w:cs="宋体"/>
                <w:color w:val="000000"/>
                <w:kern w:val="0"/>
                <w:sz w:val="20"/>
                <w:szCs w:val="20"/>
              </w:rPr>
              <w:t>报价得分=(基准价／其他</w:t>
            </w:r>
            <w:r>
              <w:rPr>
                <w:rFonts w:hint="eastAsia" w:ascii="宋体" w:hAnsi="宋体" w:cs="宋体"/>
                <w:color w:val="000000"/>
                <w:kern w:val="0"/>
                <w:sz w:val="20"/>
                <w:szCs w:val="20"/>
                <w:lang w:val="en-US" w:eastAsia="zh-CN"/>
              </w:rPr>
              <w:t>投标人的</w:t>
            </w:r>
            <w:r>
              <w:rPr>
                <w:rFonts w:hint="eastAsia" w:ascii="宋体" w:hAnsi="宋体" w:cs="宋体"/>
                <w:color w:val="000000"/>
                <w:kern w:val="0"/>
                <w:sz w:val="20"/>
                <w:szCs w:val="20"/>
              </w:rPr>
              <w:t>报价)×价格权值×100（四舍五入后保留小数点后两位）。</w:t>
            </w:r>
          </w:p>
        </w:tc>
        <w:tc>
          <w:tcPr>
            <w:tcW w:w="959" w:type="dxa"/>
            <w:noWrap/>
            <w:vAlign w:val="center"/>
          </w:tcPr>
          <w:p w14:paraId="541CEF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r>
      <w:tr w14:paraId="2F9E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5" w:type="dxa"/>
            <w:gridSpan w:val="3"/>
            <w:noWrap/>
            <w:vAlign w:val="center"/>
          </w:tcPr>
          <w:p w14:paraId="669226F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评比总得分（100分）</w:t>
            </w:r>
          </w:p>
        </w:tc>
        <w:tc>
          <w:tcPr>
            <w:tcW w:w="959" w:type="dxa"/>
            <w:noWrap/>
            <w:vAlign w:val="center"/>
          </w:tcPr>
          <w:p w14:paraId="1EECC9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r>
    </w:tbl>
    <w:p w14:paraId="753800BE"/>
    <w:p w14:paraId="3244E95E">
      <w:pPr>
        <w:pStyle w:val="2"/>
        <w:jc w:val="left"/>
      </w:pPr>
      <w:bookmarkStart w:id="49" w:name="_Toc18575"/>
      <w:r>
        <w:rPr>
          <w:rFonts w:hint="eastAsia"/>
        </w:rPr>
        <w:t>4、正文部分</w:t>
      </w:r>
      <w:bookmarkEnd w:id="49"/>
    </w:p>
    <w:p w14:paraId="4E0EC1F9">
      <w:pPr>
        <w:spacing w:line="360" w:lineRule="exact"/>
        <w:ind w:firstLine="480" w:firstLineChars="200"/>
        <w:rPr>
          <w:rFonts w:ascii="宋体" w:hAnsi="宋体"/>
          <w:sz w:val="24"/>
        </w:rPr>
      </w:pPr>
      <w:r>
        <w:rPr>
          <w:rFonts w:hint="eastAsia" w:ascii="宋体" w:hAnsi="宋体"/>
          <w:sz w:val="24"/>
        </w:rPr>
        <w:t>1、评标原则和方法</w:t>
      </w:r>
    </w:p>
    <w:p w14:paraId="72FAE3D0">
      <w:pPr>
        <w:spacing w:line="360" w:lineRule="exact"/>
        <w:rPr>
          <w:rFonts w:ascii="宋体" w:hAnsi="宋体"/>
          <w:sz w:val="24"/>
        </w:rPr>
      </w:pPr>
      <w:r>
        <w:rPr>
          <w:rFonts w:hint="eastAsia" w:ascii="宋体" w:hAnsi="宋体"/>
          <w:sz w:val="24"/>
        </w:rPr>
        <w:t xml:space="preserve">    1.1 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14:paraId="6830477C">
      <w:pPr>
        <w:spacing w:line="360" w:lineRule="exact"/>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评委会对每个“投标文件”的投标报价进行比较。</w:t>
      </w:r>
    </w:p>
    <w:p w14:paraId="1142453B">
      <w:pPr>
        <w:spacing w:line="360" w:lineRule="exact"/>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对各投标者所报技术性能进行比较。</w:t>
      </w:r>
    </w:p>
    <w:p w14:paraId="165CE25C">
      <w:pPr>
        <w:spacing w:line="360" w:lineRule="exact"/>
        <w:ind w:firstLine="480" w:firstLineChars="200"/>
        <w:rPr>
          <w:rFonts w:ascii="宋体" w:hAnsi="宋体"/>
          <w:sz w:val="24"/>
        </w:rPr>
      </w:pPr>
      <w:r>
        <w:rPr>
          <w:rFonts w:hint="eastAsia" w:ascii="宋体" w:hAnsi="宋体"/>
          <w:sz w:val="24"/>
        </w:rPr>
        <w:t>1.4对其他内容进行分析比较</w:t>
      </w:r>
    </w:p>
    <w:p w14:paraId="3449B07E">
      <w:pPr>
        <w:spacing w:line="360" w:lineRule="exact"/>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37DFE55E">
      <w:pPr>
        <w:spacing w:line="360" w:lineRule="exact"/>
        <w:ind w:left="-50" w:leftChars="-24" w:firstLine="540" w:firstLineChars="225"/>
        <w:rPr>
          <w:rFonts w:ascii="宋体" w:hAnsi="宋体"/>
          <w:sz w:val="24"/>
        </w:rPr>
      </w:pPr>
      <w:r>
        <w:rPr>
          <w:rFonts w:hint="eastAsia" w:ascii="宋体" w:hAnsi="宋体"/>
          <w:sz w:val="24"/>
        </w:rPr>
        <w:t>1.6分值权重分配（具体见评分细则）评标委员会按得分高低顺序确定候中标人。</w:t>
      </w:r>
    </w:p>
    <w:p w14:paraId="513F8E31">
      <w:pPr>
        <w:spacing w:line="360" w:lineRule="exact"/>
        <w:ind w:firstLine="480" w:firstLineChars="200"/>
        <w:jc w:val="left"/>
        <w:rPr>
          <w:rFonts w:ascii="宋体" w:hAnsi="宋体"/>
          <w:sz w:val="24"/>
        </w:rPr>
      </w:pPr>
      <w:r>
        <w:rPr>
          <w:rFonts w:hint="eastAsia" w:ascii="宋体" w:hAnsi="宋体"/>
          <w:sz w:val="24"/>
        </w:rPr>
        <w:t>1.7综合以上分析比较最后做出评标结论。</w:t>
      </w:r>
    </w:p>
    <w:p w14:paraId="20356B12">
      <w:pPr>
        <w:spacing w:before="120" w:line="360" w:lineRule="exact"/>
        <w:ind w:firstLine="480" w:firstLineChars="200"/>
        <w:rPr>
          <w:rFonts w:ascii="宋体" w:hAnsi="宋体"/>
          <w:sz w:val="24"/>
        </w:rPr>
      </w:pPr>
      <w:r>
        <w:rPr>
          <w:rFonts w:hint="eastAsia" w:ascii="宋体" w:hAnsi="宋体"/>
          <w:sz w:val="24"/>
        </w:rPr>
        <w:t>2、保密及其它注意事项</w:t>
      </w:r>
    </w:p>
    <w:p w14:paraId="152047C5">
      <w:pPr>
        <w:pStyle w:val="28"/>
        <w:spacing w:line="360" w:lineRule="exact"/>
        <w:ind w:firstLine="420"/>
        <w:rPr>
          <w:rFonts w:ascii="宋体" w:hAnsi="宋体"/>
          <w:sz w:val="24"/>
        </w:rPr>
      </w:pPr>
      <w:r>
        <w:rPr>
          <w:rFonts w:hint="eastAsia" w:ascii="宋体" w:hAnsi="宋体"/>
          <w:sz w:val="24"/>
        </w:rPr>
        <w:t>2.1评标是招标工作的重要环节，评标工作在评委会内独立进行。评委会将遵照评标原则，公正、公平、择优地对待所有投标人。</w:t>
      </w:r>
    </w:p>
    <w:p w14:paraId="1BB06951">
      <w:pPr>
        <w:pStyle w:val="28"/>
        <w:spacing w:line="360" w:lineRule="exact"/>
        <w:ind w:firstLine="420"/>
        <w:rPr>
          <w:rFonts w:ascii="宋体" w:hAnsi="宋体"/>
          <w:sz w:val="24"/>
        </w:rPr>
      </w:pPr>
      <w:r>
        <w:rPr>
          <w:rFonts w:hint="eastAsia" w:ascii="宋体" w:hAnsi="宋体"/>
          <w:sz w:val="24"/>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份。</w:t>
      </w:r>
    </w:p>
    <w:p w14:paraId="725BE1EC">
      <w:pPr>
        <w:pStyle w:val="28"/>
        <w:spacing w:line="360" w:lineRule="exact"/>
        <w:ind w:firstLine="480" w:firstLineChars="200"/>
        <w:rPr>
          <w:rFonts w:ascii="宋体" w:hAnsi="宋体"/>
          <w:sz w:val="24"/>
        </w:rPr>
      </w:pPr>
      <w:r>
        <w:rPr>
          <w:rFonts w:hint="eastAsia" w:ascii="宋体" w:hAnsi="宋体"/>
          <w:sz w:val="24"/>
        </w:rPr>
        <w:t>2.3在开标、评标期间，投标人不得向评委询问评标情况，不得进行旨在影响评标结果的活动。</w:t>
      </w:r>
    </w:p>
    <w:p w14:paraId="5C511BA7">
      <w:pPr>
        <w:spacing w:line="360" w:lineRule="exact"/>
        <w:ind w:firstLine="480" w:firstLineChars="200"/>
        <w:rPr>
          <w:rFonts w:ascii="宋体" w:hAnsi="宋体"/>
          <w:sz w:val="24"/>
        </w:rPr>
      </w:pPr>
      <w:r>
        <w:rPr>
          <w:rFonts w:hint="eastAsia" w:ascii="宋体" w:hAnsi="宋体"/>
          <w:sz w:val="24"/>
        </w:rPr>
        <w:t>2.4为保证定标的公正性，在评标过程中，评委不得与投标人私下交换意见。在招标工作结束后，凡与评标情况有接触的任何人，不得也不应将评标情况扩散出评委人员之外。</w:t>
      </w:r>
    </w:p>
    <w:p w14:paraId="324BCF30">
      <w:pPr>
        <w:spacing w:line="360" w:lineRule="exact"/>
        <w:ind w:firstLine="480" w:firstLineChars="200"/>
        <w:rPr>
          <w:rFonts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评委会不向落标方解释落标原因，不退还投标文件。</w:t>
      </w:r>
    </w:p>
    <w:p w14:paraId="59DB72C2">
      <w:pPr>
        <w:spacing w:line="360" w:lineRule="exact"/>
        <w:ind w:firstLine="480" w:firstLineChars="200"/>
        <w:rPr>
          <w:rFonts w:ascii="宋体" w:hAnsi="宋体"/>
          <w:sz w:val="24"/>
        </w:rPr>
      </w:pPr>
      <w:r>
        <w:rPr>
          <w:rFonts w:hint="eastAsia" w:ascii="宋体" w:hAnsi="宋体"/>
          <w:sz w:val="24"/>
        </w:rPr>
        <w:t>3、评标步骤及评标方法</w:t>
      </w:r>
    </w:p>
    <w:p w14:paraId="6A067C27">
      <w:pPr>
        <w:spacing w:line="3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1评标步骤：先进行投标人初步评审，再进行技术、商务及价格的详细评审。只有通过初步评审的投标人才能进入详细的评审。</w:t>
      </w:r>
    </w:p>
    <w:p w14:paraId="38A14019">
      <w:pPr>
        <w:spacing w:line="360" w:lineRule="exact"/>
        <w:ind w:left="1"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2本项目评标采用综合评分法。</w:t>
      </w:r>
    </w:p>
    <w:p w14:paraId="1A2D48D0">
      <w:pPr>
        <w:spacing w:line="360" w:lineRule="exact"/>
        <w:ind w:left="1" w:firstLine="480" w:firstLineChars="200"/>
        <w:rPr>
          <w:rFonts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人，综合得分次高的投标人为第二中标候选人。本项目仅推荐3名中标候选人。</w:t>
      </w:r>
    </w:p>
    <w:p w14:paraId="623ED216">
      <w:pPr>
        <w:spacing w:line="360" w:lineRule="exact"/>
        <w:ind w:firstLine="480" w:firstLineChars="200"/>
        <w:rPr>
          <w:rFonts w:ascii="宋体" w:hAnsi="宋体"/>
          <w:b/>
          <w:sz w:val="24"/>
        </w:rPr>
      </w:pPr>
      <w:r>
        <w:rPr>
          <w:rFonts w:hint="eastAsia" w:ascii="宋体" w:hAnsi="宋体"/>
          <w:sz w:val="24"/>
        </w:rPr>
        <w:t>4、初步评审</w:t>
      </w:r>
    </w:p>
    <w:p w14:paraId="6E2427EF">
      <w:pPr>
        <w:spacing w:line="360" w:lineRule="exact"/>
        <w:ind w:left="1"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1采购人或代理机构根据资格性审查表对投标人的资格进行审查。</w:t>
      </w:r>
    </w:p>
    <w:p w14:paraId="151649D8">
      <w:pPr>
        <w:spacing w:line="360" w:lineRule="exact"/>
        <w:ind w:left="1" w:firstLine="480" w:firstLineChars="200"/>
        <w:jc w:val="left"/>
        <w:rPr>
          <w:rFonts w:ascii="宋体" w:hAnsi="宋体"/>
          <w:sz w:val="24"/>
        </w:rPr>
      </w:pPr>
      <w:r>
        <w:rPr>
          <w:rFonts w:hint="eastAsia" w:ascii="宋体" w:hAnsi="宋体"/>
          <w:sz w:val="24"/>
        </w:rPr>
        <w:t>4.2评标委员会根据符合性审查表对投标文件符合性进行评审，以确定其是否满足招标文件中的实质性要求。</w:t>
      </w:r>
    </w:p>
    <w:p w14:paraId="539FDDD6">
      <w:pPr>
        <w:spacing w:line="3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3无效投标的认定</w:t>
      </w:r>
    </w:p>
    <w:p w14:paraId="2615CF73">
      <w:pPr>
        <w:spacing w:line="360" w:lineRule="exact"/>
        <w:ind w:firstLine="480" w:firstLineChars="200"/>
        <w:jc w:val="left"/>
        <w:rPr>
          <w:rFonts w:ascii="宋体" w:hAnsi="宋体"/>
          <w:sz w:val="24"/>
        </w:rPr>
      </w:pPr>
      <w:r>
        <w:rPr>
          <w:rFonts w:hint="eastAsia" w:ascii="宋体" w:hAnsi="宋体"/>
          <w:sz w:val="24"/>
        </w:rPr>
        <w:t>投标文件出现但不限于下列情况的将被认定为无效投标：</w:t>
      </w:r>
    </w:p>
    <w:p w14:paraId="683285A0">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1</w:t>
      </w:r>
      <w:r>
        <w:rPr>
          <w:rFonts w:ascii="宋体" w:hAnsi="宋体"/>
          <w:sz w:val="24"/>
        </w:rPr>
        <w:t>）投标文件未按招标文件要求签署、盖章的；</w:t>
      </w:r>
    </w:p>
    <w:p w14:paraId="3F843B13">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2</w:t>
      </w:r>
      <w:r>
        <w:rPr>
          <w:rFonts w:ascii="宋体" w:hAnsi="宋体"/>
          <w:sz w:val="24"/>
        </w:rPr>
        <w:t>）不具备招标文件中规定的资格要求的；</w:t>
      </w:r>
    </w:p>
    <w:p w14:paraId="15EECCDC">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3</w:t>
      </w:r>
      <w:r>
        <w:rPr>
          <w:rFonts w:ascii="宋体" w:hAnsi="宋体"/>
          <w:sz w:val="24"/>
        </w:rPr>
        <w:t>）报价超过招标文件中规定的预算金额或者最高限价的；</w:t>
      </w:r>
    </w:p>
    <w:p w14:paraId="59CA261F">
      <w:pPr>
        <w:widowControl/>
        <w:spacing w:before="100" w:beforeAutospacing="1" w:after="240" w:line="360" w:lineRule="exact"/>
        <w:ind w:firstLine="465"/>
        <w:jc w:val="left"/>
        <w:rPr>
          <w:rFonts w:ascii="宋体" w:hAnsi="宋体"/>
          <w:sz w:val="24"/>
        </w:rPr>
      </w:pPr>
      <w:r>
        <w:rPr>
          <w:rFonts w:hint="eastAsia" w:ascii="宋体" w:hAnsi="宋体"/>
          <w:sz w:val="24"/>
        </w:rPr>
        <w:t>4</w:t>
      </w:r>
      <w:r>
        <w:rPr>
          <w:rFonts w:ascii="宋体" w:hAnsi="宋体"/>
          <w:sz w:val="24"/>
        </w:rPr>
        <w:t>）投标文件含有采购人不能接受的附加条件的;</w:t>
      </w:r>
    </w:p>
    <w:p w14:paraId="7DB3BE6A">
      <w:pPr>
        <w:widowControl/>
        <w:spacing w:before="100" w:beforeAutospacing="1" w:after="240" w:line="360" w:lineRule="exact"/>
        <w:ind w:firstLine="465"/>
        <w:jc w:val="left"/>
        <w:rPr>
          <w:rFonts w:ascii="宋体" w:hAnsi="宋体"/>
          <w:sz w:val="24"/>
        </w:rPr>
      </w:pPr>
      <w:r>
        <w:rPr>
          <w:rFonts w:hint="eastAsia" w:ascii="宋体" w:hAnsi="宋体"/>
          <w:sz w:val="24"/>
        </w:rPr>
        <w:t>5</w:t>
      </w:r>
      <w:r>
        <w:rPr>
          <w:rFonts w:ascii="宋体" w:hAnsi="宋体"/>
          <w:sz w:val="24"/>
        </w:rPr>
        <w:t>）法律、法规和招标文件规定的其他无效情形。</w:t>
      </w:r>
    </w:p>
    <w:p w14:paraId="69864522">
      <w:pPr>
        <w:spacing w:line="360" w:lineRule="exact"/>
        <w:ind w:firstLine="480" w:firstLineChars="200"/>
        <w:rPr>
          <w:rFonts w:ascii="宋体" w:hAnsi="宋体"/>
          <w:sz w:val="24"/>
        </w:rPr>
      </w:pPr>
      <w:r>
        <w:rPr>
          <w:rFonts w:hint="eastAsia" w:ascii="宋体" w:hAnsi="宋体"/>
          <w:sz w:val="24"/>
        </w:rPr>
        <w:t>6）投标报价明显低于其他投标报价而投标人不能合理说明的。</w:t>
      </w:r>
    </w:p>
    <w:p w14:paraId="0415AD7A">
      <w:pPr>
        <w:spacing w:line="360" w:lineRule="exact"/>
        <w:ind w:firstLine="480" w:firstLineChars="200"/>
        <w:rPr>
          <w:rFonts w:ascii="宋体" w:hAnsi="宋体"/>
          <w:sz w:val="24"/>
        </w:rPr>
      </w:pPr>
      <w:r>
        <w:rPr>
          <w:rFonts w:hint="eastAsia" w:ascii="宋体" w:hAnsi="宋体"/>
          <w:sz w:val="24"/>
        </w:rPr>
        <w:t>7</w:t>
      </w:r>
      <w:r>
        <w:rPr>
          <w:rFonts w:ascii="宋体" w:hAnsi="宋体"/>
          <w:sz w:val="24"/>
        </w:rPr>
        <w:t>）不同投标人的投标文件由同一单位或者个人编制；</w:t>
      </w:r>
    </w:p>
    <w:p w14:paraId="4DF1A276">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8</w:t>
      </w:r>
      <w:r>
        <w:rPr>
          <w:rFonts w:ascii="宋体" w:hAnsi="宋体"/>
          <w:sz w:val="24"/>
        </w:rPr>
        <w:t>）不同投标人委托同一单位或者个人办理投标事宜；</w:t>
      </w:r>
    </w:p>
    <w:p w14:paraId="349DAF8E">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9</w:t>
      </w:r>
      <w:r>
        <w:rPr>
          <w:rFonts w:ascii="宋体" w:hAnsi="宋体"/>
          <w:sz w:val="24"/>
        </w:rPr>
        <w:t>）不同投标人的投标文件载明的项目管理成员或者联系人员为同一人；</w:t>
      </w:r>
    </w:p>
    <w:p w14:paraId="40140E1F">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10</w:t>
      </w:r>
      <w:r>
        <w:rPr>
          <w:rFonts w:ascii="宋体" w:hAnsi="宋体"/>
          <w:sz w:val="24"/>
        </w:rPr>
        <w:t>）不同投标人的投标文件异常一致或者投标报价呈规律性差异；</w:t>
      </w:r>
    </w:p>
    <w:p w14:paraId="0B77C3D7">
      <w:pPr>
        <w:widowControl/>
        <w:spacing w:before="100" w:beforeAutospacing="1" w:after="240" w:line="360" w:lineRule="exact"/>
        <w:ind w:firstLine="465"/>
        <w:jc w:val="left"/>
        <w:rPr>
          <w:rFonts w:ascii="宋体" w:hAnsi="宋体"/>
          <w:sz w:val="24"/>
        </w:rPr>
      </w:pPr>
      <w:r>
        <w:rPr>
          <w:rFonts w:hint="eastAsia" w:ascii="宋体" w:hAnsi="宋体"/>
          <w:sz w:val="24"/>
        </w:rPr>
        <w:t>11</w:t>
      </w:r>
      <w:r>
        <w:rPr>
          <w:rFonts w:ascii="宋体" w:hAnsi="宋体"/>
          <w:sz w:val="24"/>
        </w:rPr>
        <w:t>）不同投标人的投标文件相互混装；</w:t>
      </w:r>
    </w:p>
    <w:p w14:paraId="3A229ABE">
      <w:pPr>
        <w:widowControl/>
        <w:spacing w:before="100" w:beforeAutospacing="1" w:after="240" w:line="360" w:lineRule="exact"/>
        <w:ind w:firstLine="465"/>
        <w:jc w:val="left"/>
        <w:rPr>
          <w:rFonts w:ascii="宋体" w:hAnsi="宋体"/>
          <w:sz w:val="24"/>
        </w:rPr>
      </w:pPr>
      <w:r>
        <w:rPr>
          <w:rFonts w:hint="eastAsia" w:ascii="宋体" w:hAnsi="宋体"/>
          <w:sz w:val="24"/>
        </w:rPr>
        <w:t>12）如投标人提交的投标文件为虚假材料的，按无效标处理。</w:t>
      </w:r>
    </w:p>
    <w:p w14:paraId="76D5B8C5">
      <w:pPr>
        <w:spacing w:line="360" w:lineRule="auto"/>
        <w:rPr>
          <w:sz w:val="24"/>
        </w:rPr>
      </w:pPr>
      <w:r>
        <w:rPr>
          <w:rFonts w:hint="eastAsia"/>
          <w:sz w:val="24"/>
        </w:rPr>
        <w:t>5、详细评审</w:t>
      </w:r>
    </w:p>
    <w:p w14:paraId="203909C9">
      <w:pPr>
        <w:spacing w:line="360" w:lineRule="auto"/>
        <w:ind w:firstLine="120" w:firstLineChars="50"/>
        <w:rPr>
          <w:sz w:val="24"/>
        </w:rPr>
      </w:pPr>
      <w:r>
        <w:rPr>
          <w:rFonts w:hint="eastAsia"/>
          <w:sz w:val="24"/>
        </w:rPr>
        <w:t>5</w:t>
      </w:r>
      <w:r>
        <w:rPr>
          <w:sz w:val="24"/>
        </w:rPr>
        <w:t>.</w:t>
      </w:r>
      <w:r>
        <w:rPr>
          <w:rFonts w:hint="eastAsia"/>
          <w:sz w:val="24"/>
        </w:rPr>
        <w:t>1详细评审是对通过初步评审的投标进行技术、商务（授权）、售后服务及信誉、价格的评审。</w:t>
      </w:r>
    </w:p>
    <w:p w14:paraId="720D0699">
      <w:pPr>
        <w:spacing w:line="360" w:lineRule="auto"/>
        <w:ind w:firstLine="120" w:firstLineChars="50"/>
        <w:rPr>
          <w:sz w:val="24"/>
        </w:rPr>
      </w:pPr>
      <w:r>
        <w:rPr>
          <w:rFonts w:hint="eastAsia"/>
          <w:sz w:val="24"/>
        </w:rPr>
        <w:t>5</w:t>
      </w:r>
      <w:r>
        <w:rPr>
          <w:sz w:val="24"/>
        </w:rPr>
        <w:t>.</w:t>
      </w:r>
      <w:r>
        <w:rPr>
          <w:rFonts w:hint="eastAsia"/>
          <w:sz w:val="24"/>
        </w:rPr>
        <w:t>2价格评分标准：价格分采用低价优先法计算，评标基准价等于有效投标单位中价格扣除后报价的最小值，其价格分为满分。其他投标人的价格分统一按：报价得分=(评标基准价／价格扣除后的投标报价)×100×报价分值权重。小数点后保留两位。</w:t>
      </w:r>
    </w:p>
    <w:p w14:paraId="6E8109BC">
      <w:pPr>
        <w:spacing w:line="360" w:lineRule="auto"/>
        <w:ind w:firstLine="120" w:firstLineChars="50"/>
        <w:rPr>
          <w:sz w:val="24"/>
        </w:rPr>
      </w:pPr>
      <w:r>
        <w:rPr>
          <w:rFonts w:hint="eastAsia"/>
          <w:sz w:val="24"/>
        </w:rPr>
        <w:t>5</w:t>
      </w:r>
      <w:r>
        <w:rPr>
          <w:sz w:val="24"/>
        </w:rPr>
        <w:t>.</w:t>
      </w:r>
      <w:r>
        <w:rPr>
          <w:rFonts w:hint="eastAsia"/>
          <w:sz w:val="24"/>
        </w:rPr>
        <w:t>3根据评审方法计算进入详细评审的各投</w:t>
      </w:r>
      <w:bookmarkStart w:id="64" w:name="_GoBack"/>
      <w:bookmarkEnd w:id="64"/>
      <w:r>
        <w:rPr>
          <w:rFonts w:hint="eastAsia"/>
          <w:sz w:val="24"/>
        </w:rPr>
        <w:t>标人的综合得分，计算得分保留小数点后两位（两位后四舍五入）并按得分从高到低排名。综合得分相同的，按投标报价由低到高顺序排列。综合得分且投标报价相同的，按技术指标优劣顺序排列。</w:t>
      </w:r>
    </w:p>
    <w:p w14:paraId="6A07CD08"/>
    <w:p w14:paraId="1230457B">
      <w:pPr>
        <w:pStyle w:val="2"/>
      </w:pPr>
    </w:p>
    <w:p w14:paraId="7462A14B"/>
    <w:p w14:paraId="07468E48">
      <w:pPr>
        <w:pStyle w:val="2"/>
      </w:pPr>
    </w:p>
    <w:p w14:paraId="08494E42"/>
    <w:p w14:paraId="41BC2097">
      <w:pPr>
        <w:pStyle w:val="2"/>
      </w:pPr>
    </w:p>
    <w:p w14:paraId="5B87E278"/>
    <w:p w14:paraId="12CF3A2B">
      <w:pPr>
        <w:pStyle w:val="3"/>
        <w:jc w:val="center"/>
      </w:pPr>
      <w:bookmarkStart w:id="50" w:name="_Toc32516"/>
      <w:r>
        <w:rPr>
          <w:rFonts w:hint="eastAsia"/>
        </w:rPr>
        <w:t>第五章合同</w:t>
      </w:r>
      <w:r>
        <w:t>文本</w:t>
      </w:r>
      <w:bookmarkEnd w:id="50"/>
    </w:p>
    <w:p w14:paraId="3CBC5196">
      <w:pPr>
        <w:spacing w:line="540" w:lineRule="exact"/>
        <w:jc w:val="center"/>
        <w:rPr>
          <w:rFonts w:ascii="宋体" w:hAnsi="宋体" w:cs="宋体"/>
          <w:b/>
          <w:sz w:val="44"/>
          <w:szCs w:val="44"/>
        </w:rPr>
      </w:pPr>
    </w:p>
    <w:p w14:paraId="11551440">
      <w:pPr>
        <w:spacing w:line="540" w:lineRule="exact"/>
        <w:jc w:val="center"/>
        <w:rPr>
          <w:rFonts w:ascii="宋体" w:hAnsi="宋体" w:cs="宋体"/>
          <w:b/>
          <w:sz w:val="44"/>
          <w:szCs w:val="44"/>
        </w:rPr>
      </w:pPr>
    </w:p>
    <w:p w14:paraId="23EFAFE4">
      <w:pPr>
        <w:spacing w:line="540" w:lineRule="exact"/>
        <w:jc w:val="center"/>
        <w:rPr>
          <w:rFonts w:ascii="宋体" w:hAnsi="宋体" w:cs="宋体"/>
          <w:b/>
          <w:sz w:val="44"/>
          <w:szCs w:val="44"/>
        </w:rPr>
      </w:pPr>
    </w:p>
    <w:p w14:paraId="4CC6595F">
      <w:pPr>
        <w:spacing w:line="540" w:lineRule="exact"/>
        <w:jc w:val="center"/>
        <w:rPr>
          <w:rFonts w:ascii="宋体" w:hAnsi="宋体" w:cs="宋体"/>
          <w:b/>
          <w:sz w:val="44"/>
          <w:szCs w:val="44"/>
        </w:rPr>
      </w:pPr>
    </w:p>
    <w:p w14:paraId="24785816">
      <w:pPr>
        <w:spacing w:line="540" w:lineRule="exact"/>
        <w:jc w:val="center"/>
        <w:rPr>
          <w:rFonts w:ascii="宋体" w:hAnsi="宋体" w:cs="宋体"/>
          <w:b/>
          <w:sz w:val="44"/>
          <w:szCs w:val="44"/>
        </w:rPr>
      </w:pPr>
    </w:p>
    <w:p w14:paraId="2399E22C">
      <w:pPr>
        <w:spacing w:line="540" w:lineRule="exact"/>
        <w:jc w:val="center"/>
        <w:rPr>
          <w:rFonts w:ascii="宋体" w:hAnsi="宋体" w:cs="宋体"/>
          <w:b/>
          <w:sz w:val="44"/>
          <w:szCs w:val="44"/>
        </w:rPr>
      </w:pPr>
    </w:p>
    <w:p w14:paraId="72E4685D">
      <w:pPr>
        <w:spacing w:line="540" w:lineRule="exact"/>
        <w:jc w:val="center"/>
        <w:rPr>
          <w:rFonts w:ascii="宋体" w:hAnsi="宋体" w:cs="宋体"/>
          <w:b/>
          <w:sz w:val="44"/>
          <w:szCs w:val="44"/>
        </w:rPr>
      </w:pPr>
    </w:p>
    <w:p w14:paraId="63D0A62C">
      <w:pPr>
        <w:spacing w:line="540" w:lineRule="exact"/>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海南省军粮统筹配送中心有限公司</w:t>
      </w:r>
    </w:p>
    <w:p w14:paraId="72D20951">
      <w:pPr>
        <w:spacing w:line="5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44"/>
          <w:szCs w:val="44"/>
        </w:rPr>
        <w:t>粮油</w:t>
      </w:r>
      <w:r>
        <w:rPr>
          <w:rFonts w:hint="eastAsia" w:asciiTheme="minorEastAsia" w:hAnsiTheme="minorEastAsia" w:eastAsiaTheme="minorEastAsia" w:cstheme="minorEastAsia"/>
          <w:b/>
          <w:sz w:val="44"/>
          <w:szCs w:val="52"/>
        </w:rPr>
        <w:t>配送合同</w:t>
      </w:r>
    </w:p>
    <w:p w14:paraId="5C84ECFE">
      <w:pPr>
        <w:spacing w:line="540" w:lineRule="exact"/>
        <w:jc w:val="center"/>
        <w:rPr>
          <w:rFonts w:asciiTheme="minorEastAsia" w:hAnsiTheme="minorEastAsia" w:eastAsiaTheme="minorEastAsia" w:cstheme="minorEastAsia"/>
          <w:sz w:val="96"/>
          <w:szCs w:val="96"/>
        </w:rPr>
      </w:pPr>
    </w:p>
    <w:p w14:paraId="45309AEA">
      <w:pPr>
        <w:spacing w:line="540" w:lineRule="exact"/>
        <w:jc w:val="center"/>
        <w:rPr>
          <w:rFonts w:asciiTheme="minorEastAsia" w:hAnsiTheme="minorEastAsia" w:eastAsiaTheme="minorEastAsia" w:cstheme="minorEastAsia"/>
          <w:sz w:val="28"/>
          <w:szCs w:val="28"/>
        </w:rPr>
      </w:pPr>
    </w:p>
    <w:p w14:paraId="126B93B6">
      <w:pPr>
        <w:spacing w:line="540" w:lineRule="exact"/>
        <w:jc w:val="center"/>
        <w:rPr>
          <w:rFonts w:asciiTheme="minorEastAsia" w:hAnsiTheme="minorEastAsia" w:eastAsiaTheme="minorEastAsia" w:cstheme="minorEastAsia"/>
          <w:sz w:val="28"/>
          <w:szCs w:val="28"/>
        </w:rPr>
      </w:pPr>
    </w:p>
    <w:p w14:paraId="51C225E8">
      <w:pPr>
        <w:spacing w:line="540" w:lineRule="exact"/>
        <w:jc w:val="center"/>
        <w:rPr>
          <w:rFonts w:asciiTheme="minorEastAsia" w:hAnsiTheme="minorEastAsia" w:eastAsiaTheme="minorEastAsia" w:cstheme="minorEastAsia"/>
          <w:sz w:val="28"/>
          <w:szCs w:val="28"/>
        </w:rPr>
      </w:pPr>
    </w:p>
    <w:p w14:paraId="7E36E7B6">
      <w:pPr>
        <w:spacing w:line="540" w:lineRule="exact"/>
        <w:jc w:val="center"/>
        <w:rPr>
          <w:rFonts w:asciiTheme="minorEastAsia" w:hAnsiTheme="minorEastAsia" w:eastAsiaTheme="minorEastAsia" w:cstheme="minorEastAsia"/>
          <w:sz w:val="28"/>
          <w:szCs w:val="28"/>
        </w:rPr>
      </w:pPr>
    </w:p>
    <w:p w14:paraId="361F852F">
      <w:pPr>
        <w:spacing w:line="540" w:lineRule="exact"/>
        <w:jc w:val="center"/>
        <w:rPr>
          <w:rFonts w:asciiTheme="minorEastAsia" w:hAnsiTheme="minorEastAsia" w:eastAsiaTheme="minorEastAsia" w:cstheme="minorEastAsia"/>
        </w:rPr>
      </w:pPr>
    </w:p>
    <w:p w14:paraId="429AFA58">
      <w:pPr>
        <w:spacing w:line="540" w:lineRule="exact"/>
        <w:rPr>
          <w:rFonts w:asciiTheme="minorEastAsia" w:hAnsiTheme="minorEastAsia" w:eastAsiaTheme="minorEastAsia" w:cstheme="minorEastAsia"/>
        </w:rPr>
      </w:pPr>
    </w:p>
    <w:p w14:paraId="6E8B7A09">
      <w:pPr>
        <w:pStyle w:val="2"/>
        <w:rPr>
          <w:rFonts w:asciiTheme="minorEastAsia" w:hAnsiTheme="minorEastAsia" w:eastAsiaTheme="minorEastAsia" w:cstheme="minorEastAsia"/>
        </w:rPr>
      </w:pPr>
    </w:p>
    <w:p w14:paraId="7D65B6B6">
      <w:pPr>
        <w:spacing w:line="540" w:lineRule="exact"/>
        <w:jc w:val="center"/>
        <w:rPr>
          <w:rFonts w:asciiTheme="minorEastAsia" w:hAnsiTheme="minorEastAsia" w:eastAsiaTheme="minorEastAsia" w:cstheme="minorEastAsia"/>
        </w:rPr>
      </w:pPr>
    </w:p>
    <w:p w14:paraId="1C29E6A7">
      <w:pPr>
        <w:spacing w:line="540" w:lineRule="exact"/>
        <w:ind w:firstLine="1760" w:firstLineChars="5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甲方：</w:t>
      </w:r>
      <w:r>
        <w:rPr>
          <w:rFonts w:hint="eastAsia" w:asciiTheme="minorEastAsia" w:hAnsiTheme="minorEastAsia" w:eastAsiaTheme="minorEastAsia" w:cstheme="minorEastAsia"/>
          <w:snapToGrid w:val="0"/>
          <w:color w:val="000000"/>
          <w:kern w:val="0"/>
          <w:sz w:val="32"/>
          <w:szCs w:val="32"/>
        </w:rPr>
        <w:t>海南省军粮统筹配送中心有限公司</w:t>
      </w:r>
    </w:p>
    <w:p w14:paraId="3F1CCF0B">
      <w:pPr>
        <w:spacing w:line="540" w:lineRule="exact"/>
        <w:ind w:firstLine="1760" w:firstLineChars="5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乙方：</w:t>
      </w:r>
    </w:p>
    <w:p w14:paraId="1219DE27">
      <w:pPr>
        <w:spacing w:line="540" w:lineRule="exact"/>
        <w:rPr>
          <w:rFonts w:asciiTheme="minorEastAsia" w:hAnsiTheme="minorEastAsia" w:eastAsiaTheme="minorEastAsia" w:cstheme="minorEastAsia"/>
          <w:sz w:val="28"/>
          <w:szCs w:val="28"/>
        </w:rPr>
      </w:pPr>
    </w:p>
    <w:p w14:paraId="458FF4CB">
      <w:pPr>
        <w:spacing w:line="540" w:lineRule="exact"/>
        <w:jc w:val="center"/>
        <w:rPr>
          <w:rFonts w:asciiTheme="minorEastAsia" w:hAnsiTheme="minorEastAsia" w:eastAsiaTheme="minorEastAsia" w:cstheme="minorEastAsia"/>
          <w:b/>
          <w:sz w:val="36"/>
          <w:szCs w:val="44"/>
        </w:rPr>
      </w:pPr>
      <w:r>
        <w:rPr>
          <w:rFonts w:hint="eastAsia" w:asciiTheme="minorEastAsia" w:hAnsiTheme="minorEastAsia" w:eastAsiaTheme="minorEastAsia" w:cstheme="minorEastAsia"/>
          <w:sz w:val="32"/>
          <w:szCs w:val="32"/>
        </w:rPr>
        <w:t>本合同于</w:t>
      </w:r>
      <w:r>
        <w:rPr>
          <w:rFonts w:hint="eastAsia" w:asciiTheme="minorEastAsia" w:hAnsiTheme="minorEastAsia" w:eastAsiaTheme="minorEastAsia" w:cstheme="minorEastAsia"/>
          <w:sz w:val="32"/>
          <w:szCs w:val="32"/>
          <w:u w:val="single"/>
        </w:rPr>
        <w:t>2025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sz w:val="32"/>
          <w:szCs w:val="32"/>
        </w:rPr>
        <w:t>日签订</w:t>
      </w:r>
    </w:p>
    <w:p w14:paraId="52EABCB7">
      <w:pPr>
        <w:adjustRightInd w:val="0"/>
        <w:snapToGrid w:val="0"/>
        <w:spacing w:line="460" w:lineRule="exact"/>
        <w:ind w:firstLine="562"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甲方：海南省军粮统筹配送中心有限公司</w:t>
      </w:r>
    </w:p>
    <w:p w14:paraId="44CF7E60">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负责人：</w:t>
      </w:r>
    </w:p>
    <w:p w14:paraId="1E76C6E0">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 xml:space="preserve">地址：海南省海口市丘海大道52号 </w:t>
      </w:r>
    </w:p>
    <w:p w14:paraId="544FEC93">
      <w:pPr>
        <w:adjustRightInd w:val="0"/>
        <w:snapToGrid w:val="0"/>
        <w:spacing w:line="460" w:lineRule="exact"/>
        <w:ind w:firstLine="560"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联系电话：</w:t>
      </w:r>
    </w:p>
    <w:p w14:paraId="3F19BBCB">
      <w:pPr>
        <w:adjustRightInd w:val="0"/>
        <w:snapToGrid w:val="0"/>
        <w:spacing w:line="460" w:lineRule="exact"/>
        <w:ind w:firstLine="562"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 xml:space="preserve">乙方： </w:t>
      </w:r>
    </w:p>
    <w:p w14:paraId="597E757D">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负责人：</w:t>
      </w:r>
    </w:p>
    <w:p w14:paraId="255E4DBC">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地址：</w:t>
      </w:r>
    </w:p>
    <w:p w14:paraId="2892CE19">
      <w:pPr>
        <w:adjustRightInd w:val="0"/>
        <w:snapToGrid w:val="0"/>
        <w:spacing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联系电话：</w:t>
      </w:r>
    </w:p>
    <w:p w14:paraId="621E6547">
      <w:pPr>
        <w:adjustRightInd w:val="0"/>
        <w:snapToGrid w:val="0"/>
        <w:spacing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甲乙双方根据《</w:t>
      </w:r>
      <w:r>
        <w:rPr>
          <w:rFonts w:hint="eastAsia" w:asciiTheme="minorEastAsia" w:hAnsiTheme="minorEastAsia" w:eastAsiaTheme="minorEastAsia" w:cstheme="minorEastAsia"/>
          <w:bCs/>
          <w:sz w:val="28"/>
          <w:szCs w:val="28"/>
        </w:rPr>
        <w:t>中华人民共和国民法典</w:t>
      </w:r>
      <w:r>
        <w:rPr>
          <w:rFonts w:hint="eastAsia" w:asciiTheme="minorEastAsia" w:hAnsiTheme="minorEastAsia" w:eastAsiaTheme="minorEastAsia" w:cstheme="minorEastAsia"/>
          <w:snapToGrid w:val="0"/>
          <w:kern w:val="0"/>
          <w:sz w:val="28"/>
          <w:szCs w:val="28"/>
        </w:rPr>
        <w:t>》及其他相关法律的规定，双方本着平等自愿的原则，经友好协商，同意签署本合同，用以明确双方的权利和义务。</w:t>
      </w:r>
    </w:p>
    <w:p w14:paraId="4CABA221">
      <w:pPr>
        <w:adjustRightInd w:val="0"/>
        <w:snapToGrid w:val="0"/>
        <w:spacing w:line="460" w:lineRule="exact"/>
        <w:ind w:firstLine="562" w:firstLineChars="200"/>
        <w:rPr>
          <w:rFonts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一、术语定义</w:t>
      </w:r>
    </w:p>
    <w:p w14:paraId="19F89319">
      <w:pPr>
        <w:adjustRightInd w:val="0"/>
        <w:snapToGrid w:val="0"/>
        <w:spacing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下列词语在本合同中作如下含义：</w:t>
      </w:r>
    </w:p>
    <w:p w14:paraId="4E09BECD">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1</w:t>
      </w:r>
      <w:r>
        <w:rPr>
          <w:rFonts w:hint="eastAsia" w:asciiTheme="minorEastAsia" w:hAnsiTheme="minorEastAsia" w:eastAsiaTheme="minorEastAsia" w:cstheme="minorEastAsia"/>
          <w:snapToGrid w:val="0"/>
          <w:spacing w:val="-30"/>
          <w:kern w:val="0"/>
          <w:sz w:val="28"/>
          <w:szCs w:val="28"/>
        </w:rPr>
        <w:t xml:space="preserve">.1  </w:t>
      </w:r>
      <w:r>
        <w:rPr>
          <w:rFonts w:hint="eastAsia" w:asciiTheme="minorEastAsia" w:hAnsiTheme="minorEastAsia" w:eastAsiaTheme="minorEastAsia" w:cstheme="minorEastAsia"/>
          <w:snapToGrid w:val="0"/>
          <w:kern w:val="0"/>
          <w:sz w:val="28"/>
          <w:szCs w:val="28"/>
        </w:rPr>
        <w:t>客户：任何由甲方指定配送的单位或个人</w:t>
      </w:r>
    </w:p>
    <w:p w14:paraId="32D6DC82">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1.2 配送物：乙方按照甲方要求运送至客户的粮油商品</w:t>
      </w:r>
    </w:p>
    <w:p w14:paraId="6A0A8F56">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1.3 仓库：</w:t>
      </w:r>
      <w:r>
        <w:rPr>
          <w:rFonts w:hint="eastAsia" w:asciiTheme="minorEastAsia" w:hAnsiTheme="minorEastAsia" w:eastAsiaTheme="minorEastAsia" w:cstheme="minorEastAsia"/>
          <w:snapToGrid w:val="0"/>
          <w:color w:val="000000"/>
          <w:kern w:val="0"/>
          <w:sz w:val="28"/>
          <w:szCs w:val="28"/>
        </w:rPr>
        <w:t>甲</w:t>
      </w:r>
      <w:r>
        <w:rPr>
          <w:rFonts w:hint="eastAsia" w:asciiTheme="minorEastAsia" w:hAnsiTheme="minorEastAsia" w:eastAsiaTheme="minorEastAsia" w:cstheme="minorEastAsia"/>
          <w:snapToGrid w:val="0"/>
          <w:kern w:val="0"/>
          <w:sz w:val="28"/>
          <w:szCs w:val="28"/>
        </w:rPr>
        <w:t>方提供的，用于储存甲方配送物的固定场所。</w:t>
      </w:r>
    </w:p>
    <w:p w14:paraId="416BEE5B">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1</w:t>
      </w:r>
      <w:r>
        <w:rPr>
          <w:rFonts w:hint="eastAsia" w:asciiTheme="minorEastAsia" w:hAnsiTheme="minorEastAsia" w:eastAsiaTheme="minorEastAsia" w:cstheme="minorEastAsia"/>
          <w:snapToGrid w:val="0"/>
          <w:spacing w:val="-34"/>
          <w:kern w:val="0"/>
          <w:sz w:val="28"/>
          <w:szCs w:val="28"/>
        </w:rPr>
        <w:t xml:space="preserve">.4   </w:t>
      </w:r>
      <w:r>
        <w:rPr>
          <w:rFonts w:hint="eastAsia" w:asciiTheme="minorEastAsia" w:hAnsiTheme="minorEastAsia" w:eastAsiaTheme="minorEastAsia" w:cstheme="minorEastAsia"/>
          <w:snapToGrid w:val="0"/>
          <w:kern w:val="0"/>
          <w:sz w:val="28"/>
          <w:szCs w:val="28"/>
        </w:rPr>
        <w:t>配送：乙方根据本合同约定的方式及流程，将甲方配送物从仓库运输至客户的全部过程。</w:t>
      </w:r>
    </w:p>
    <w:p w14:paraId="2F9AB553">
      <w:pPr>
        <w:adjustRightInd w:val="0"/>
        <w:snapToGrid w:val="0"/>
        <w:spacing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1.5 </w:t>
      </w:r>
      <w:r>
        <w:rPr>
          <w:rFonts w:hint="eastAsia" w:asciiTheme="minorEastAsia" w:hAnsiTheme="minorEastAsia" w:eastAsiaTheme="minorEastAsia" w:cstheme="minorEastAsia"/>
          <w:snapToGrid w:val="0"/>
          <w:spacing w:val="-6"/>
          <w:kern w:val="0"/>
          <w:sz w:val="28"/>
          <w:szCs w:val="28"/>
        </w:rPr>
        <w:t>物流费:指甲方委托乙方提供配送服务所应支付的费用。</w:t>
      </w:r>
    </w:p>
    <w:p w14:paraId="522A4A56">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1.6 服务：乙方根据本合同约定应向甲方提供的所有工作。具体包括配送物运输、收货环节中的配送物交接、点数等一系列作业。</w:t>
      </w:r>
    </w:p>
    <w:p w14:paraId="11A36252">
      <w:pPr>
        <w:adjustRightInd w:val="0"/>
        <w:snapToGrid w:val="0"/>
        <w:spacing w:line="460" w:lineRule="exact"/>
        <w:ind w:right="-11"/>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    1.7 本合同中，“以上”、“以下”、“以内”均包含本数，“不足”、“超过”均不包含本数；所有涉及日期的表述，均包含当天。</w:t>
      </w:r>
    </w:p>
    <w:p w14:paraId="4E8CC8E3">
      <w:pPr>
        <w:adjustRightInd w:val="0"/>
        <w:snapToGrid w:val="0"/>
        <w:spacing w:line="460" w:lineRule="exact"/>
        <w:ind w:firstLine="562" w:firstLineChars="200"/>
        <w:rPr>
          <w:rFonts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二、合同有效期</w:t>
      </w:r>
    </w:p>
    <w:p w14:paraId="04C425C9">
      <w:pPr>
        <w:adjustRightInd w:val="0"/>
        <w:snapToGrid w:val="0"/>
        <w:spacing w:line="460" w:lineRule="exact"/>
        <w:ind w:firstLine="560" w:firstLineChars="200"/>
        <w:rPr>
          <w:rFonts w:asciiTheme="minorEastAsia" w:hAnsiTheme="minorEastAsia" w:eastAsiaTheme="minorEastAsia" w:cstheme="minorEastAsia"/>
          <w:snapToGrid w:val="0"/>
          <w:color w:val="FF0000"/>
          <w:kern w:val="0"/>
          <w:sz w:val="28"/>
          <w:szCs w:val="28"/>
        </w:rPr>
      </w:pPr>
      <w:r>
        <w:rPr>
          <w:rFonts w:hint="eastAsia" w:asciiTheme="minorEastAsia" w:hAnsiTheme="minorEastAsia" w:eastAsiaTheme="minorEastAsia" w:cstheme="minorEastAsia"/>
          <w:snapToGrid w:val="0"/>
          <w:kern w:val="0"/>
          <w:sz w:val="28"/>
          <w:szCs w:val="28"/>
        </w:rPr>
        <w:t>本合同期限为</w:t>
      </w:r>
      <w:r>
        <w:rPr>
          <w:rFonts w:hint="eastAsia" w:asciiTheme="minorEastAsia" w:hAnsiTheme="minorEastAsia" w:eastAsiaTheme="minorEastAsia" w:cstheme="minorEastAsia"/>
          <w:sz w:val="28"/>
          <w:szCs w:val="28"/>
          <w:u w:val="single"/>
        </w:rPr>
        <w:t>壹</w:t>
      </w:r>
      <w:r>
        <w:rPr>
          <w:rFonts w:hint="eastAsia" w:asciiTheme="minorEastAsia" w:hAnsiTheme="minorEastAsia" w:eastAsiaTheme="minorEastAsia" w:cstheme="minorEastAsia"/>
          <w:snapToGrid w:val="0"/>
          <w:kern w:val="0"/>
          <w:sz w:val="28"/>
          <w:szCs w:val="28"/>
        </w:rPr>
        <w:t>年。自</w:t>
      </w:r>
      <w:r>
        <w:rPr>
          <w:rFonts w:hint="eastAsia" w:asciiTheme="minorEastAsia" w:hAnsiTheme="minorEastAsia" w:eastAsiaTheme="minorEastAsia" w:cstheme="minorEastAsia"/>
          <w:sz w:val="28"/>
          <w:szCs w:val="28"/>
          <w:u w:val="single"/>
        </w:rPr>
        <w:t>2025</w:t>
      </w:r>
      <w:r>
        <w:rPr>
          <w:rFonts w:hint="eastAsia" w:asciiTheme="minorEastAsia" w:hAnsiTheme="minorEastAsia" w:eastAsiaTheme="minorEastAsia" w:cstheme="minorEastAsia"/>
          <w:snapToGrid w:val="0"/>
          <w:kern w:val="0"/>
          <w:sz w:val="28"/>
          <w:szCs w:val="28"/>
        </w:rPr>
        <w:t>年3月日至</w:t>
      </w:r>
      <w:r>
        <w:rPr>
          <w:rFonts w:hint="eastAsia" w:asciiTheme="minorEastAsia" w:hAnsiTheme="minorEastAsia" w:eastAsiaTheme="minorEastAsia" w:cstheme="minorEastAsia"/>
          <w:sz w:val="28"/>
          <w:szCs w:val="28"/>
          <w:u w:val="single"/>
        </w:rPr>
        <w:t>2025</w:t>
      </w:r>
      <w:r>
        <w:rPr>
          <w:rFonts w:hint="eastAsia" w:asciiTheme="minorEastAsia" w:hAnsiTheme="minorEastAsia" w:eastAsiaTheme="minorEastAsia" w:cstheme="minorEastAsia"/>
          <w:snapToGrid w:val="0"/>
          <w:kern w:val="0"/>
          <w:sz w:val="28"/>
          <w:szCs w:val="28"/>
        </w:rPr>
        <w:t>年月</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napToGrid w:val="0"/>
          <w:kern w:val="0"/>
          <w:sz w:val="28"/>
          <w:szCs w:val="28"/>
        </w:rPr>
        <w:t>。合同到期前三个月，甲乙双方就是否继续开展合作进行协商，协商一致，双方签订协议。</w:t>
      </w:r>
    </w:p>
    <w:p w14:paraId="70FAA060">
      <w:pPr>
        <w:adjustRightInd w:val="0"/>
        <w:snapToGrid w:val="0"/>
        <w:spacing w:line="460" w:lineRule="exact"/>
        <w:ind w:firstLine="562" w:firstLineChars="200"/>
        <w:rPr>
          <w:rFonts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三、业务内容</w:t>
      </w:r>
    </w:p>
    <w:p w14:paraId="68CB9549">
      <w:pPr>
        <w:adjustRightInd w:val="0"/>
        <w:snapToGrid w:val="0"/>
        <w:spacing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3.1合同有效期内，乙方根据甲方的要求，完成甲方配送物从甲方仓库到甲方客户的配送工作，具体包括配送物的运输、收货环节中的配送物交接作业。</w:t>
      </w:r>
    </w:p>
    <w:p w14:paraId="03266D73">
      <w:pPr>
        <w:adjustRightInd w:val="0"/>
        <w:snapToGrid w:val="0"/>
        <w:spacing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3.2 甲方委托乙方车辆到甲方指定的发货仓库，运输发往全省的甲方配送物的公路运输业务。</w:t>
      </w:r>
    </w:p>
    <w:p w14:paraId="6A6B79CE">
      <w:pPr>
        <w:adjustRightInd w:val="0"/>
        <w:snapToGrid w:val="0"/>
        <w:spacing w:line="460" w:lineRule="exact"/>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3.3 乙方对于负责甲方配送物运输环节发生的货品损坏、丢失要按照甲方公司系统成本价（进货价）进行赔偿。</w:t>
      </w:r>
    </w:p>
    <w:p w14:paraId="699CBFD1">
      <w:pPr>
        <w:adjustRightInd w:val="0"/>
        <w:snapToGrid w:val="0"/>
        <w:spacing w:line="4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3.4</w:t>
      </w:r>
      <w:r>
        <w:rPr>
          <w:rFonts w:hint="eastAsia" w:asciiTheme="minorEastAsia" w:hAnsiTheme="minorEastAsia" w:eastAsiaTheme="minorEastAsia" w:cstheme="minorEastAsia"/>
          <w:sz w:val="28"/>
          <w:szCs w:val="28"/>
        </w:rPr>
        <w:t>送货过程中因串货造成的损失由乙方承担。</w:t>
      </w:r>
    </w:p>
    <w:p w14:paraId="2EB19182">
      <w:pPr>
        <w:adjustRightInd w:val="0"/>
        <w:snapToGrid w:val="0"/>
        <w:spacing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3.5 乙方须保证专车专用，不得与其他物品混装。</w:t>
      </w:r>
    </w:p>
    <w:p w14:paraId="62DC904A">
      <w:pPr>
        <w:adjustRightInd w:val="0"/>
        <w:snapToGrid w:val="0"/>
        <w:spacing w:line="460" w:lineRule="exact"/>
        <w:ind w:firstLine="562" w:firstLineChars="200"/>
        <w:rPr>
          <w:rFonts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四、甲方责任</w:t>
      </w:r>
    </w:p>
    <w:p w14:paraId="48126A1F">
      <w:pPr>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4.1甲方应保证交付与乙方运输的货物及包装符合国家有关规定，满足货物运输的包装要求，如因甲方违反规定所造成的后果由甲方承担。</w:t>
      </w:r>
    </w:p>
    <w:p w14:paraId="3C5F1A64">
      <w:pPr>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4.2甲方与乙方交接货物时应提供交接清单，以便交、运、接三方进行确认。</w:t>
      </w:r>
    </w:p>
    <w:p w14:paraId="3115AC78">
      <w:pPr>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4.3在货物中夹带易燃易爆品、毒品、走私品等国家规定违禁品，甲方应承担经济、法律赔偿责任。</w:t>
      </w:r>
    </w:p>
    <w:p w14:paraId="534CDFB2">
      <w:pPr>
        <w:adjustRightInd w:val="0"/>
        <w:snapToGrid w:val="0"/>
        <w:spacing w:line="460" w:lineRule="exact"/>
        <w:ind w:firstLine="562" w:firstLineChars="200"/>
        <w:rPr>
          <w:rFonts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五、乙方责任</w:t>
      </w:r>
    </w:p>
    <w:p w14:paraId="7DE741E8">
      <w:pPr>
        <w:adjustRightInd w:val="0"/>
        <w:snapToGrid w:val="0"/>
        <w:spacing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5.1 乙方负责配送物的验收、配送等工作，同时遵守有关法律法规。</w:t>
      </w:r>
    </w:p>
    <w:p w14:paraId="5FDAFD89">
      <w:pPr>
        <w:adjustRightInd w:val="0"/>
        <w:snapToGrid w:val="0"/>
        <w:spacing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5.2 乙方应接受工作时间内甲方随时对工作内容进行检查。</w:t>
      </w:r>
    </w:p>
    <w:p w14:paraId="4AD71CAC">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5.3乙方应确保自己及其雇员或代理人了解和遵守甲方就工作有关的所有安全要求。</w:t>
      </w:r>
    </w:p>
    <w:p w14:paraId="20256CB6">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5.4 没有得到甲方书面同意的前提下，乙方不得直接或间接地、部分或全部地分包工作或转让合同。</w:t>
      </w:r>
    </w:p>
    <w:p w14:paraId="0C1F3AF7">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color w:val="000000"/>
          <w:sz w:val="28"/>
          <w:szCs w:val="28"/>
        </w:rPr>
        <w:t>5.5 乙方负责协调解决合同约定配送区域的道路运输问题，运输过程中发生违反交管规定和路政要求所发生的费用支出和商品损失由乙方负责。</w:t>
      </w:r>
    </w:p>
    <w:p w14:paraId="203F2C4D">
      <w:pPr>
        <w:adjustRightInd w:val="0"/>
        <w:snapToGrid w:val="0"/>
        <w:spacing w:line="460" w:lineRule="exact"/>
        <w:ind w:firstLine="562" w:firstLineChars="200"/>
        <w:rPr>
          <w:rFonts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六、配送要求及内容</w:t>
      </w:r>
    </w:p>
    <w:p w14:paraId="762A2D4A">
      <w:pPr>
        <w:adjustRightInd w:val="0"/>
        <w:snapToGrid w:val="0"/>
        <w:spacing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6.1 乙方需取得合法的商品运输资质，并向甲方提供营业执照、税务登记证、相关行政许可证等自身主体资格的相关资质证明。</w:t>
      </w:r>
    </w:p>
    <w:p w14:paraId="656D7F98">
      <w:pPr>
        <w:adjustRightInd w:val="0"/>
        <w:snapToGrid w:val="0"/>
        <w:spacing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6.2 乙方的车辆需经过清洗、消毒后的整洁、干燥、无异味可直接用于食品运输。</w:t>
      </w:r>
    </w:p>
    <w:p w14:paraId="07AD6022">
      <w:pPr>
        <w:adjustRightInd w:val="0"/>
        <w:snapToGrid w:val="0"/>
        <w:spacing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6.3 乙方配送员必须与甲方仓管员进行交接，甲方客户配送物分拣及仓库的装货由甲方负责，货品在客户的交接由乙方负责,装车完毕后甲乙双方在出库单上签字。</w:t>
      </w:r>
    </w:p>
    <w:p w14:paraId="68D18362">
      <w:pPr>
        <w:adjustRightInd w:val="0"/>
        <w:snapToGrid w:val="0"/>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000000"/>
          <w:sz w:val="28"/>
          <w:szCs w:val="28"/>
        </w:rPr>
        <w:t>6.4</w:t>
      </w:r>
      <w:r>
        <w:rPr>
          <w:rFonts w:hint="eastAsia" w:asciiTheme="minorEastAsia" w:hAnsiTheme="minorEastAsia" w:eastAsiaTheme="minorEastAsia" w:cstheme="minorEastAsia"/>
          <w:color w:val="000000"/>
          <w:sz w:val="28"/>
          <w:szCs w:val="28"/>
        </w:rPr>
        <w:t>乙方根据甲方发货出库单在规定时间派遣配送车辆到甲方仓库装货，仓库装货交接和站点卸货交接的时间原则上需在每天8：30到18：00之间完成。</w:t>
      </w:r>
    </w:p>
    <w:p w14:paraId="28B049BA">
      <w:pPr>
        <w:adjustRightInd w:val="0"/>
        <w:snapToGrid w:val="0"/>
        <w:spacing w:line="460" w:lineRule="exact"/>
        <w:ind w:firstLine="562" w:firstLineChars="200"/>
        <w:rPr>
          <w:rFonts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七、其他服务要求</w:t>
      </w:r>
    </w:p>
    <w:p w14:paraId="28509ACB">
      <w:pPr>
        <w:adjustRightInd w:val="0"/>
        <w:snapToGrid w:val="0"/>
        <w:spacing w:line="460" w:lineRule="exact"/>
        <w:ind w:right="-143" w:rightChars="-68"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7.1 </w:t>
      </w:r>
      <w:r>
        <w:rPr>
          <w:rFonts w:hint="eastAsia" w:asciiTheme="minorEastAsia" w:hAnsiTheme="minorEastAsia" w:eastAsiaTheme="minorEastAsia" w:cstheme="minorEastAsia"/>
          <w:snapToGrid w:val="0"/>
          <w:spacing w:val="-6"/>
          <w:kern w:val="0"/>
          <w:sz w:val="28"/>
          <w:szCs w:val="28"/>
        </w:rPr>
        <w:t>乙方配送人员不得与客户争吵，如有争议，应友好协商解决。</w:t>
      </w:r>
    </w:p>
    <w:p w14:paraId="13A7C7CD">
      <w:pPr>
        <w:adjustRightInd w:val="0"/>
        <w:snapToGrid w:val="0"/>
        <w:spacing w:line="460" w:lineRule="exact"/>
        <w:ind w:right="-143" w:rightChars="-68"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7.2 服务相关的其他要求：</w:t>
      </w:r>
    </w:p>
    <w:p w14:paraId="10498FB8">
      <w:pPr>
        <w:adjustRightInd w:val="0"/>
        <w:snapToGrid w:val="0"/>
        <w:spacing w:line="460" w:lineRule="exact"/>
        <w:ind w:right="-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7.2.1 乙方须指定专人负责与甲方的沟通和协调工作，并能够随时提供文件的传递、配送物查询等。</w:t>
      </w:r>
    </w:p>
    <w:p w14:paraId="63F086AA">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7.2.2 乙方同意接受甲方对配送车辆和相关运作设施的健康、安全、环保检查，并须按期完成经双方确认同意的整改项目。</w:t>
      </w:r>
    </w:p>
    <w:p w14:paraId="72ED71E1">
      <w:pPr>
        <w:adjustRightInd w:val="0"/>
        <w:snapToGrid w:val="0"/>
        <w:spacing w:line="460" w:lineRule="exact"/>
        <w:ind w:right="-11"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7.2.3 如有健康、安全、环保整改项目时，乙方须根据进度提供整改完成报告。       </w:t>
      </w:r>
    </w:p>
    <w:p w14:paraId="4A658A66">
      <w:pPr>
        <w:adjustRightInd w:val="0"/>
        <w:snapToGrid w:val="0"/>
        <w:spacing w:line="460" w:lineRule="exact"/>
        <w:ind w:right="-11"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7.3即使本合同未予以约定，乙方亦应根据良好的行业惯例和相关法规要求，做好与提供服务相关的工作。</w:t>
      </w:r>
    </w:p>
    <w:p w14:paraId="6474EFB6">
      <w:pPr>
        <w:adjustRightInd w:val="0"/>
        <w:snapToGrid w:val="0"/>
        <w:spacing w:line="460" w:lineRule="exact"/>
        <w:ind w:firstLine="562"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八、费用标准及结算</w:t>
      </w:r>
    </w:p>
    <w:p w14:paraId="371958B4">
      <w:pPr>
        <w:widowControl/>
        <w:adjustRightInd w:val="0"/>
        <w:snapToGrid w:val="0"/>
        <w:spacing w:after="200" w:line="460" w:lineRule="exact"/>
        <w:ind w:firstLine="560" w:firstLineChars="200"/>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8.1按照附件《              配送报价表》%进行结算。</w:t>
      </w:r>
    </w:p>
    <w:p w14:paraId="163F2A48">
      <w:pPr>
        <w:widowControl/>
        <w:adjustRightInd w:val="0"/>
        <w:snapToGrid w:val="0"/>
        <w:spacing w:after="200"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8.2乙方需为甲方垫付配送到点后的卸车费用。</w:t>
      </w:r>
    </w:p>
    <w:p w14:paraId="61886D1E">
      <w:pPr>
        <w:widowControl/>
        <w:adjustRightInd w:val="0"/>
        <w:snapToGrid w:val="0"/>
        <w:spacing w:after="200"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8.3 结算周期和方式：</w:t>
      </w:r>
      <w:r>
        <w:rPr>
          <w:rFonts w:hint="eastAsia" w:asciiTheme="minorEastAsia" w:hAnsiTheme="minorEastAsia" w:eastAsiaTheme="minorEastAsia" w:cstheme="minorEastAsia"/>
          <w:color w:val="000000"/>
          <w:sz w:val="28"/>
          <w:szCs w:val="28"/>
        </w:rPr>
        <w:t>乙方每月10日前向甲方出具上月度运输对帐单，经甲方核对确认后通知乙方开具9个税点的增值税专用运输发票（如有变动以国家规定为主），甲方在收到增值税专用运输发票后10个工作日内通过银行转帐方式支付费用。</w:t>
      </w:r>
    </w:p>
    <w:p w14:paraId="6BD75B52">
      <w:pPr>
        <w:widowControl/>
        <w:adjustRightInd w:val="0"/>
        <w:snapToGrid w:val="0"/>
        <w:spacing w:after="200"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8.4 甲方付款前，乙方应向甲方提供如下单据：</w:t>
      </w:r>
    </w:p>
    <w:p w14:paraId="6F4316A2">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w:t>
      </w:r>
      <w:r>
        <w:rPr>
          <w:rFonts w:hint="eastAsia" w:asciiTheme="minorEastAsia" w:hAnsiTheme="minorEastAsia" w:eastAsiaTheme="minorEastAsia" w:cstheme="minorEastAsia"/>
          <w:color w:val="000000"/>
          <w:sz w:val="28"/>
          <w:szCs w:val="28"/>
        </w:rPr>
        <w:t>合法的增值税专用运输发票</w:t>
      </w:r>
      <w:r>
        <w:rPr>
          <w:rFonts w:hint="eastAsia" w:asciiTheme="minorEastAsia" w:hAnsiTheme="minorEastAsia" w:eastAsiaTheme="minorEastAsia" w:cstheme="minorEastAsia"/>
          <w:snapToGrid w:val="0"/>
          <w:color w:val="000000"/>
          <w:kern w:val="0"/>
          <w:sz w:val="28"/>
          <w:szCs w:val="28"/>
        </w:rPr>
        <w:t>；</w:t>
      </w:r>
    </w:p>
    <w:p w14:paraId="14E8BFDF">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（2</w:t>
      </w:r>
      <w:r>
        <w:rPr>
          <w:rFonts w:hint="eastAsia" w:asciiTheme="minorEastAsia" w:hAnsiTheme="minorEastAsia" w:eastAsiaTheme="minorEastAsia" w:cstheme="minorEastAsia"/>
          <w:snapToGrid w:val="0"/>
          <w:color w:val="000000"/>
          <w:spacing w:val="-30"/>
          <w:kern w:val="0"/>
          <w:sz w:val="28"/>
          <w:szCs w:val="28"/>
        </w:rPr>
        <w:t>）</w:t>
      </w:r>
      <w:r>
        <w:rPr>
          <w:rFonts w:hint="eastAsia" w:asciiTheme="minorEastAsia" w:hAnsiTheme="minorEastAsia" w:eastAsiaTheme="minorEastAsia" w:cstheme="minorEastAsia"/>
          <w:color w:val="000000"/>
          <w:sz w:val="28"/>
          <w:szCs w:val="28"/>
        </w:rPr>
        <w:t>上月度运输费用明细表</w:t>
      </w:r>
      <w:r>
        <w:rPr>
          <w:rFonts w:hint="eastAsia" w:asciiTheme="minorEastAsia" w:hAnsiTheme="minorEastAsia" w:eastAsiaTheme="minorEastAsia" w:cstheme="minorEastAsia"/>
          <w:snapToGrid w:val="0"/>
          <w:color w:val="000000"/>
          <w:kern w:val="0"/>
          <w:sz w:val="28"/>
          <w:szCs w:val="28"/>
        </w:rPr>
        <w:t>；</w:t>
      </w:r>
    </w:p>
    <w:p w14:paraId="04B4E261">
      <w:pPr>
        <w:widowControl/>
        <w:adjustRightInd w:val="0"/>
        <w:snapToGrid w:val="0"/>
        <w:spacing w:after="200"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8.5  乙方账户信息：</w:t>
      </w:r>
    </w:p>
    <w:p w14:paraId="6C34578B">
      <w:pPr>
        <w:adjustRightInd w:val="0"/>
        <w:snapToGrid w:val="0"/>
        <w:spacing w:line="460" w:lineRule="exact"/>
        <w:ind w:firstLine="560" w:firstLineChars="200"/>
        <w:rPr>
          <w:rFonts w:asciiTheme="minorEastAsia" w:hAnsiTheme="minorEastAsia" w:eastAsiaTheme="minorEastAsia" w:cstheme="minorEastAsia"/>
          <w:snapToGrid w:val="0"/>
          <w:color w:val="FF0000"/>
          <w:kern w:val="0"/>
          <w:sz w:val="28"/>
          <w:szCs w:val="28"/>
          <w:u w:val="single"/>
        </w:rPr>
      </w:pPr>
      <w:r>
        <w:rPr>
          <w:rFonts w:hint="eastAsia" w:asciiTheme="minorEastAsia" w:hAnsiTheme="minorEastAsia" w:eastAsiaTheme="minorEastAsia" w:cstheme="minorEastAsia"/>
          <w:color w:val="000000"/>
          <w:sz w:val="28"/>
          <w:szCs w:val="28"/>
        </w:rPr>
        <w:t>开户名称：</w:t>
      </w:r>
    </w:p>
    <w:p w14:paraId="1535C998">
      <w:pPr>
        <w:adjustRightInd w:val="0"/>
        <w:snapToGrid w:val="0"/>
        <w:spacing w:line="460" w:lineRule="exact"/>
        <w:ind w:firstLine="560" w:firstLineChars="200"/>
        <w:rPr>
          <w:rFonts w:asciiTheme="minorEastAsia" w:hAnsiTheme="minorEastAsia" w:eastAsiaTheme="minorEastAsia" w:cstheme="minorEastAsia"/>
          <w:snapToGrid w:val="0"/>
          <w:color w:val="FF0000"/>
          <w:kern w:val="0"/>
          <w:sz w:val="28"/>
          <w:szCs w:val="28"/>
          <w:u w:val="single"/>
        </w:rPr>
      </w:pPr>
      <w:r>
        <w:rPr>
          <w:rFonts w:hint="eastAsia" w:asciiTheme="minorEastAsia" w:hAnsiTheme="minorEastAsia" w:eastAsiaTheme="minorEastAsia" w:cstheme="minorEastAsia"/>
          <w:color w:val="000000"/>
          <w:sz w:val="28"/>
          <w:szCs w:val="28"/>
        </w:rPr>
        <w:t>开 户 行：</w:t>
      </w:r>
    </w:p>
    <w:p w14:paraId="32596EAC">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color w:val="000000"/>
          <w:sz w:val="28"/>
          <w:szCs w:val="28"/>
        </w:rPr>
        <w:t>账    户：</w:t>
      </w:r>
    </w:p>
    <w:p w14:paraId="11A30AB5">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乙方变更上述账户的，应在变更后</w:t>
      </w:r>
      <w:r>
        <w:rPr>
          <w:rFonts w:hint="eastAsia" w:asciiTheme="minorEastAsia" w:hAnsiTheme="minorEastAsia" w:eastAsiaTheme="minorEastAsia" w:cstheme="minorEastAsia"/>
          <w:color w:val="000000"/>
          <w:sz w:val="28"/>
          <w:szCs w:val="28"/>
          <w:u w:val="single"/>
        </w:rPr>
        <w:t xml:space="preserve"> 7 </w:t>
      </w:r>
      <w:r>
        <w:rPr>
          <w:rFonts w:hint="eastAsia" w:asciiTheme="minorEastAsia" w:hAnsiTheme="minorEastAsia" w:eastAsiaTheme="minorEastAsia" w:cstheme="minorEastAsia"/>
          <w:snapToGrid w:val="0"/>
          <w:color w:val="000000"/>
          <w:kern w:val="0"/>
          <w:sz w:val="28"/>
          <w:szCs w:val="28"/>
        </w:rPr>
        <w:t>天内书面通知甲方，否则，因乙方未能及时通知所造成的一切后果由乙方自行承担。</w:t>
      </w:r>
    </w:p>
    <w:p w14:paraId="28D7C8AE">
      <w:pPr>
        <w:adjustRightInd w:val="0"/>
        <w:snapToGrid w:val="0"/>
        <w:spacing w:line="460" w:lineRule="exact"/>
        <w:ind w:firstLine="562"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九、不可抗力条款</w:t>
      </w:r>
    </w:p>
    <w:p w14:paraId="2291313C">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9.1 “不可抗力” 是指不能预见、不能避免并不能克服的客观情况，包括但不限于：天灾、水灾、地震或其他灾难，战争或暴乱，以及其他在受影响的一方合理控制范围以外且经该方合理努力后也不能防止或避免的类似事件。</w:t>
      </w:r>
    </w:p>
    <w:p w14:paraId="1B35628E">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9.2 由于不可抗力的原因，而不能履行合同或延迟履行合同的一方可视不可抗力的实际影响免除部分或全部违约责任。但受不可抗力影响的一方应在通知可能的情况下立即通知对方,并在不可抗力发生后15天内特快专递邮寄相关的主管部门签发的证明文件,以便其他各方审查、确认。</w:t>
      </w:r>
    </w:p>
    <w:p w14:paraId="768F1786">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9.3 发生不可抗力事件终止或消除后，受不可抗力影响的一方，应立即通知对方,发生不可抗力事件终止或消除后</w:t>
      </w:r>
      <w:r>
        <w:rPr>
          <w:rFonts w:hint="eastAsia" w:asciiTheme="minorEastAsia" w:hAnsiTheme="minorEastAsia" w:eastAsiaTheme="minorEastAsia" w:cstheme="minorEastAsia"/>
          <w:color w:val="000000"/>
          <w:sz w:val="28"/>
          <w:szCs w:val="28"/>
          <w:u w:val="single"/>
        </w:rPr>
        <w:t xml:space="preserve"> 2 </w:t>
      </w:r>
      <w:r>
        <w:rPr>
          <w:rFonts w:hint="eastAsia" w:asciiTheme="minorEastAsia" w:hAnsiTheme="minorEastAsia" w:eastAsiaTheme="minorEastAsia" w:cstheme="minorEastAsia"/>
          <w:snapToGrid w:val="0"/>
          <w:color w:val="000000"/>
          <w:kern w:val="0"/>
          <w:sz w:val="28"/>
          <w:szCs w:val="28"/>
        </w:rPr>
        <w:t>天内特快专递邮寄相关的主管部门签发的证明文件确认不可抗力事件的终止或消除。</w:t>
      </w:r>
    </w:p>
    <w:p w14:paraId="1B07CA09">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9.4 如果不可抗力的影响持续超过</w:t>
      </w:r>
      <w:r>
        <w:rPr>
          <w:rFonts w:hint="eastAsia" w:asciiTheme="minorEastAsia" w:hAnsiTheme="minorEastAsia" w:eastAsiaTheme="minorEastAsia" w:cstheme="minorEastAsia"/>
          <w:color w:val="000000"/>
          <w:sz w:val="28"/>
          <w:szCs w:val="28"/>
          <w:u w:val="single"/>
        </w:rPr>
        <w:t xml:space="preserve"> 5 天 </w:t>
      </w:r>
      <w:r>
        <w:rPr>
          <w:rFonts w:hint="eastAsia" w:asciiTheme="minorEastAsia" w:hAnsiTheme="minorEastAsia" w:eastAsiaTheme="minorEastAsia" w:cstheme="minorEastAsia"/>
          <w:snapToGrid w:val="0"/>
          <w:color w:val="000000"/>
          <w:kern w:val="0"/>
          <w:sz w:val="28"/>
          <w:szCs w:val="28"/>
        </w:rPr>
        <w:t>，受不可抗力影响的一方应与对方取得联系，以便解决进一步履行合同的问题。如果不可抗力的影响持续超过</w:t>
      </w:r>
      <w:r>
        <w:rPr>
          <w:rFonts w:hint="eastAsia" w:asciiTheme="minorEastAsia" w:hAnsiTheme="minorEastAsia" w:eastAsiaTheme="minorEastAsia" w:cstheme="minorEastAsia"/>
          <w:color w:val="000000"/>
          <w:sz w:val="28"/>
          <w:szCs w:val="28"/>
          <w:u w:val="single"/>
        </w:rPr>
        <w:t xml:space="preserve"> 1 </w:t>
      </w:r>
      <w:r>
        <w:rPr>
          <w:rFonts w:hint="eastAsia" w:asciiTheme="minorEastAsia" w:hAnsiTheme="minorEastAsia" w:eastAsiaTheme="minorEastAsia" w:cstheme="minorEastAsia"/>
          <w:snapToGrid w:val="0"/>
          <w:color w:val="000000"/>
          <w:kern w:val="0"/>
          <w:sz w:val="28"/>
          <w:szCs w:val="28"/>
        </w:rPr>
        <w:t>个月，任何一方都有权终止全部或部分合同。</w:t>
      </w:r>
    </w:p>
    <w:p w14:paraId="3651656F">
      <w:pPr>
        <w:adjustRightInd w:val="0"/>
        <w:snapToGrid w:val="0"/>
        <w:spacing w:line="460" w:lineRule="exact"/>
        <w:ind w:firstLine="562"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十、合同的修订、解除</w:t>
      </w:r>
    </w:p>
    <w:p w14:paraId="49691DE4">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10.1 本合同有效期内，甲乙双方可就相关条款进行协商，修订本合同。</w:t>
      </w:r>
    </w:p>
    <w:p w14:paraId="14D2DB0D">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10.2 乙方若有下列情况之一，甲方对乙方可不作任何通知即可解除本合同。</w:t>
      </w:r>
    </w:p>
    <w:p w14:paraId="34311131">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10.2.1 申请解散或宣告破产、或已解散、破产时；</w:t>
      </w:r>
    </w:p>
    <w:p w14:paraId="5BCC4C89">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10.2.2 被勒令解散或被取消营业执照时。</w:t>
      </w:r>
    </w:p>
    <w:p w14:paraId="0BD06461">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10.3 甲方重新规划进行扩仓（包含租赁与新建仓库）后，自甲方书面通知之日起，甲乙双方同意终止本物流配送合同，另行协商物流配送事宜。</w:t>
      </w:r>
    </w:p>
    <w:p w14:paraId="4D9DB9D5">
      <w:pPr>
        <w:adjustRightInd w:val="0"/>
        <w:snapToGrid w:val="0"/>
        <w:spacing w:line="460" w:lineRule="exact"/>
        <w:ind w:firstLine="562"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十一、违约责任</w:t>
      </w:r>
    </w:p>
    <w:p w14:paraId="5EB6E49C">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11.1由于乙方运输能力不足导致不能实现服务承诺时，甲方有权安排其它物流方参与在库配送物的配送工作（即将甲方</w:t>
      </w:r>
      <w:r>
        <w:rPr>
          <w:rFonts w:hint="eastAsia" w:asciiTheme="minorEastAsia" w:hAnsiTheme="minorEastAsia" w:eastAsiaTheme="minorEastAsia" w:cstheme="minorEastAsia"/>
          <w:snapToGrid w:val="0"/>
          <w:kern w:val="0"/>
          <w:sz w:val="28"/>
          <w:szCs w:val="28"/>
        </w:rPr>
        <w:t>存放于甲方</w:t>
      </w:r>
      <w:r>
        <w:rPr>
          <w:rFonts w:hint="eastAsia" w:asciiTheme="minorEastAsia" w:hAnsiTheme="minorEastAsia" w:eastAsiaTheme="minorEastAsia" w:cstheme="minorEastAsia"/>
          <w:snapToGrid w:val="0"/>
          <w:color w:val="000000"/>
          <w:kern w:val="0"/>
          <w:sz w:val="28"/>
          <w:szCs w:val="28"/>
        </w:rPr>
        <w:t>仓库内的配送物配送至甲方指定地点），乙方须承担甲方雇佣其它第三方物流所发生的全部费用以及由于乙方配送不及时给甲方造成的经济损失。</w:t>
      </w:r>
    </w:p>
    <w:p w14:paraId="0A2A9ED9">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因乙方责任（不可抗力因素除外）造成货物逾期到达，产生收货单位拒收货物或退货，所有产生的费用及其它经济损失，均由乙方负责承担。</w:t>
      </w:r>
    </w:p>
    <w:p w14:paraId="40EF93B4">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乙方不得在任何情况下，未经甲方同意对承运货物行使留置权，否则，由此造成的经济损失及法律责任由乙方全部承担。</w:t>
      </w:r>
    </w:p>
    <w:p w14:paraId="2DA8B5D4">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11.2 未经对方许可，任何一方如单方面不履行本合同，须承担由此给对方带来的相应经济损失。</w:t>
      </w:r>
    </w:p>
    <w:p w14:paraId="21516F36">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11.3 如果甲方或乙方违反本合同其它条款，将可给予30天的改善期，如果在此期限内没有明显改善，一方可以要求解除本合同，并保留向对方要求赔偿的权利。</w:t>
      </w:r>
    </w:p>
    <w:p w14:paraId="504A4568">
      <w:pPr>
        <w:adjustRightInd w:val="0"/>
        <w:snapToGrid w:val="0"/>
        <w:spacing w:line="460" w:lineRule="exact"/>
        <w:ind w:firstLine="562"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十二、争议解决方式</w:t>
      </w:r>
    </w:p>
    <w:p w14:paraId="622A249C">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甲乙双方之间发生任何争议，都本着真诚友好的原则，努力协商解决，若协商不成，双方同意向甲方所在地人民法院提起诉讼。</w:t>
      </w:r>
    </w:p>
    <w:p w14:paraId="521EFAB9">
      <w:pPr>
        <w:adjustRightInd w:val="0"/>
        <w:snapToGrid w:val="0"/>
        <w:spacing w:line="460" w:lineRule="exact"/>
        <w:ind w:firstLine="562" w:firstLineChars="200"/>
        <w:rPr>
          <w:rFonts w:asciiTheme="minorEastAsia" w:hAnsiTheme="minorEastAsia" w:eastAsiaTheme="minorEastAsia" w:cstheme="minorEastAsia"/>
          <w:b/>
          <w:snapToGrid w:val="0"/>
          <w:color w:val="000000"/>
          <w:kern w:val="0"/>
          <w:sz w:val="28"/>
          <w:szCs w:val="28"/>
        </w:rPr>
      </w:pPr>
      <w:r>
        <w:rPr>
          <w:rFonts w:hint="eastAsia" w:asciiTheme="minorEastAsia" w:hAnsiTheme="minorEastAsia" w:eastAsiaTheme="minorEastAsia" w:cstheme="minorEastAsia"/>
          <w:b/>
          <w:snapToGrid w:val="0"/>
          <w:color w:val="000000"/>
          <w:kern w:val="0"/>
          <w:sz w:val="28"/>
          <w:szCs w:val="28"/>
        </w:rPr>
        <w:t>十三、其他约定</w:t>
      </w:r>
    </w:p>
    <w:p w14:paraId="4931F49D">
      <w:pPr>
        <w:autoSpaceDE w:val="0"/>
        <w:autoSpaceDN w:val="0"/>
        <w:adjustRightInd w:val="0"/>
        <w:snapToGrid w:val="0"/>
        <w:spacing w:line="460" w:lineRule="exact"/>
        <w:ind w:right="67" w:rightChars="32"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13.1 本合同一式贰份，甲方执壹份，乙方执壹份，均具同等法律效力。</w:t>
      </w:r>
    </w:p>
    <w:p w14:paraId="3B69A5AD">
      <w:pPr>
        <w:adjustRightInd w:val="0"/>
        <w:snapToGrid w:val="0"/>
        <w:spacing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13.2 双方一致同意，本合同执行届满前90天时，双方对以本期合同进行新一轮协商，以确定下一年度的费用标准，依次类推。</w:t>
      </w:r>
    </w:p>
    <w:p w14:paraId="7856AD16">
      <w:pPr>
        <w:adjustRightInd w:val="0"/>
        <w:snapToGrid w:val="0"/>
        <w:spacing w:line="46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napToGrid w:val="0"/>
          <w:color w:val="000000"/>
          <w:kern w:val="0"/>
          <w:sz w:val="28"/>
          <w:szCs w:val="28"/>
        </w:rPr>
        <w:t xml:space="preserve">13.3 </w:t>
      </w:r>
      <w:r>
        <w:rPr>
          <w:rFonts w:hint="eastAsia" w:asciiTheme="minorEastAsia" w:hAnsiTheme="minorEastAsia" w:eastAsiaTheme="minorEastAsia" w:cstheme="minorEastAsia"/>
          <w:color w:val="000000"/>
          <w:sz w:val="28"/>
          <w:szCs w:val="28"/>
        </w:rPr>
        <w:t>保密：本合同的各项条款属于双方经营活动内容, 任何一方未经对方当事人书面允许不得对外泄露。</w:t>
      </w:r>
    </w:p>
    <w:p w14:paraId="2821158C">
      <w:pPr>
        <w:adjustRightInd w:val="0"/>
        <w:snapToGrid w:val="0"/>
        <w:spacing w:line="460" w:lineRule="exact"/>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13.4 对于本合同中的未尽事宜，甲乙双方协商同意后可签订补充协议。补充协议与本合同具有同等法律效力。</w:t>
      </w:r>
    </w:p>
    <w:p w14:paraId="3D406A5E">
      <w:pPr>
        <w:autoSpaceDE w:val="0"/>
        <w:autoSpaceDN w:val="0"/>
        <w:adjustRightInd w:val="0"/>
        <w:snapToGrid w:val="0"/>
        <w:spacing w:line="460" w:lineRule="exact"/>
        <w:ind w:right="67" w:rightChars="32"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 xml:space="preserve">13.5 本合同的所有附件均应被视为本合同不可分割的组成部分，与本合同具有同等法律效力。本合同的修改应以书面形式作出。 </w:t>
      </w:r>
    </w:p>
    <w:p w14:paraId="687883BB">
      <w:pPr>
        <w:autoSpaceDE w:val="0"/>
        <w:autoSpaceDN w:val="0"/>
        <w:adjustRightInd w:val="0"/>
        <w:snapToGrid w:val="0"/>
        <w:spacing w:line="460" w:lineRule="exact"/>
        <w:ind w:right="67" w:rightChars="32"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 xml:space="preserve">13.6 本合同的条款及本合同中明确提及的所有文件，构成双方就本合同达成的全部协议，并取代本合同签订前双方就同一目的的所有声明、谈判、承诺、口头或书面通信、接受和早期协议。 </w:t>
      </w:r>
    </w:p>
    <w:p w14:paraId="5C13A74A">
      <w:pPr>
        <w:autoSpaceDE w:val="0"/>
        <w:autoSpaceDN w:val="0"/>
        <w:adjustRightInd w:val="0"/>
        <w:snapToGrid w:val="0"/>
        <w:spacing w:line="460" w:lineRule="exact"/>
        <w:ind w:right="67" w:rightChars="32" w:firstLine="560" w:firstLineChars="200"/>
        <w:rPr>
          <w:rFonts w:asciiTheme="minorEastAsia" w:hAnsiTheme="minorEastAsia" w:eastAsiaTheme="minorEastAsia" w:cstheme="minorEastAsia"/>
          <w:snapToGrid w:val="0"/>
          <w:color w:val="000000"/>
          <w:spacing w:val="-4"/>
          <w:kern w:val="0"/>
          <w:sz w:val="28"/>
          <w:szCs w:val="28"/>
        </w:rPr>
      </w:pPr>
      <w:r>
        <w:rPr>
          <w:rFonts w:hint="eastAsia" w:asciiTheme="minorEastAsia" w:hAnsiTheme="minorEastAsia" w:eastAsiaTheme="minorEastAsia" w:cstheme="minorEastAsia"/>
          <w:snapToGrid w:val="0"/>
          <w:color w:val="000000"/>
          <w:kern w:val="0"/>
          <w:sz w:val="28"/>
          <w:szCs w:val="28"/>
        </w:rPr>
        <w:t>13.7</w:t>
      </w:r>
      <w:r>
        <w:rPr>
          <w:rFonts w:hint="eastAsia" w:asciiTheme="minorEastAsia" w:hAnsiTheme="minorEastAsia" w:eastAsiaTheme="minorEastAsia" w:cstheme="minorEastAsia"/>
          <w:snapToGrid w:val="0"/>
          <w:color w:val="000000"/>
          <w:spacing w:val="-4"/>
          <w:kern w:val="0"/>
          <w:sz w:val="28"/>
          <w:szCs w:val="28"/>
        </w:rPr>
        <w:t>甲乙双方对在履行本合同过程中所知悉的对方的商业秘密负有保密义务。任何一方不得将对方商业秘密披露给任何第三方或不当使用，但经对方书面同意或按法律规定除外。</w:t>
      </w:r>
    </w:p>
    <w:p w14:paraId="6B8147CD">
      <w:pPr>
        <w:adjustRightInd w:val="0"/>
        <w:snapToGrid w:val="0"/>
        <w:spacing w:line="360" w:lineRule="auto"/>
        <w:ind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13.8.乙方须在签订合同5日内，向甲方缴纳履约保证金</w:t>
      </w:r>
      <w:r>
        <w:rPr>
          <w:rFonts w:hint="eastAsia" w:asciiTheme="minorEastAsia" w:hAnsiTheme="minorEastAsia" w:eastAsiaTheme="minorEastAsia" w:cstheme="minorEastAsia"/>
          <w:snapToGrid w:val="0"/>
          <w:color w:val="000000"/>
          <w:kern w:val="0"/>
          <w:sz w:val="28"/>
          <w:szCs w:val="28"/>
          <w:u w:val="single"/>
        </w:rPr>
        <w:t xml:space="preserve"> 3 </w:t>
      </w:r>
      <w:r>
        <w:rPr>
          <w:rFonts w:hint="eastAsia" w:asciiTheme="minorEastAsia" w:hAnsiTheme="minorEastAsia" w:eastAsiaTheme="minorEastAsia" w:cstheme="minorEastAsia"/>
          <w:snapToGrid w:val="0"/>
          <w:color w:val="000000"/>
          <w:kern w:val="0"/>
          <w:sz w:val="28"/>
          <w:szCs w:val="28"/>
        </w:rPr>
        <w:t>万元，服务合同到期后十个工作日内免息退还。</w:t>
      </w:r>
    </w:p>
    <w:p w14:paraId="5E21BA93">
      <w:pPr>
        <w:autoSpaceDE w:val="0"/>
        <w:autoSpaceDN w:val="0"/>
        <w:adjustRightInd w:val="0"/>
        <w:snapToGrid w:val="0"/>
        <w:spacing w:line="460" w:lineRule="exact"/>
        <w:ind w:right="67" w:rightChars="32" w:firstLine="560" w:firstLineChars="200"/>
        <w:rPr>
          <w:rFonts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13.9 为促进物流配送工作开展，甲方对乙方实行月度考核制，详见《服务考核制约定》。</w:t>
      </w:r>
    </w:p>
    <w:p w14:paraId="4079CB1F">
      <w:pPr>
        <w:rPr>
          <w:rFonts w:asciiTheme="minorEastAsia" w:hAnsiTheme="minorEastAsia" w:eastAsiaTheme="minorEastAsia" w:cstheme="minorEastAsia"/>
        </w:rPr>
      </w:pPr>
    </w:p>
    <w:p w14:paraId="08317D77">
      <w:pPr>
        <w:widowControl/>
        <w:spacing w:line="460" w:lineRule="exac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甲方：                            乙方：</w:t>
      </w:r>
      <w:r>
        <w:rPr>
          <w:rFonts w:hint="eastAsia" w:asciiTheme="minorEastAsia" w:hAnsiTheme="minorEastAsia" w:eastAsiaTheme="minorEastAsia" w:cstheme="minorEastAsia"/>
          <w:color w:val="000000"/>
          <w:kern w:val="0"/>
          <w:sz w:val="28"/>
          <w:szCs w:val="28"/>
        </w:rPr>
        <w:tab/>
      </w:r>
    </w:p>
    <w:p w14:paraId="04530667">
      <w:pPr>
        <w:widowControl/>
        <w:spacing w:line="460" w:lineRule="exact"/>
        <w:jc w:val="left"/>
        <w:rPr>
          <w:rFonts w:asciiTheme="minorEastAsia" w:hAnsiTheme="minorEastAsia" w:eastAsiaTheme="minorEastAsia" w:cstheme="minorEastAsia"/>
          <w:color w:val="000000"/>
          <w:kern w:val="0"/>
          <w:sz w:val="28"/>
          <w:szCs w:val="28"/>
        </w:rPr>
      </w:pPr>
    </w:p>
    <w:p w14:paraId="4648C3B9">
      <w:pPr>
        <w:widowControl/>
        <w:spacing w:line="460" w:lineRule="exac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签约代表：　　　　    签约代表： </w:t>
      </w:r>
    </w:p>
    <w:p w14:paraId="63CFF0C5">
      <w:pPr>
        <w:widowControl/>
        <w:spacing w:line="460" w:lineRule="exact"/>
        <w:jc w:val="left"/>
        <w:rPr>
          <w:rFonts w:asciiTheme="minorEastAsia" w:hAnsiTheme="minorEastAsia" w:eastAsiaTheme="minorEastAsia" w:cstheme="minorEastAsia"/>
          <w:color w:val="000000"/>
          <w:kern w:val="0"/>
          <w:sz w:val="28"/>
          <w:szCs w:val="28"/>
        </w:rPr>
      </w:pPr>
    </w:p>
    <w:p w14:paraId="3A452269">
      <w:pPr>
        <w:widowControl/>
        <w:spacing w:line="460" w:lineRule="exac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盖章：　　　　　　　　　　　　  盖章： </w:t>
      </w:r>
    </w:p>
    <w:p w14:paraId="50558B88">
      <w:pPr>
        <w:pStyle w:val="2"/>
        <w:rPr>
          <w:rFonts w:asciiTheme="minorEastAsia" w:hAnsiTheme="minorEastAsia" w:eastAsiaTheme="minorEastAsia" w:cstheme="minorEastAsia"/>
          <w:color w:val="000000"/>
          <w:kern w:val="0"/>
          <w:sz w:val="28"/>
          <w:szCs w:val="28"/>
        </w:rPr>
      </w:pPr>
    </w:p>
    <w:p w14:paraId="2B40A0BC">
      <w:pPr>
        <w:rPr>
          <w:rFonts w:asciiTheme="minorEastAsia" w:hAnsiTheme="minorEastAsia" w:eastAsiaTheme="minorEastAsia" w:cstheme="minorEastAsia"/>
          <w:color w:val="000000"/>
          <w:kern w:val="0"/>
          <w:sz w:val="28"/>
          <w:szCs w:val="28"/>
        </w:rPr>
      </w:pPr>
    </w:p>
    <w:p w14:paraId="1DB1483E">
      <w:pPr>
        <w:pStyle w:val="2"/>
        <w:rPr>
          <w:rFonts w:asciiTheme="minorEastAsia" w:hAnsiTheme="minorEastAsia" w:eastAsiaTheme="minorEastAsia" w:cstheme="minorEastAsia"/>
          <w:color w:val="000000"/>
          <w:kern w:val="0"/>
          <w:sz w:val="28"/>
          <w:szCs w:val="28"/>
        </w:rPr>
      </w:pPr>
    </w:p>
    <w:p w14:paraId="43DDBAFF">
      <w:pPr>
        <w:rPr>
          <w:rFonts w:asciiTheme="minorEastAsia" w:hAnsiTheme="minorEastAsia" w:eastAsiaTheme="minorEastAsia" w:cstheme="minorEastAsia"/>
          <w:color w:val="000000"/>
          <w:kern w:val="0"/>
          <w:sz w:val="28"/>
          <w:szCs w:val="28"/>
        </w:rPr>
      </w:pPr>
    </w:p>
    <w:p w14:paraId="10FDFE70">
      <w:pPr>
        <w:pStyle w:val="2"/>
        <w:rPr>
          <w:rFonts w:asciiTheme="minorEastAsia" w:hAnsiTheme="minorEastAsia" w:eastAsiaTheme="minorEastAsia" w:cstheme="minorEastAsia"/>
          <w:color w:val="000000"/>
          <w:kern w:val="0"/>
          <w:sz w:val="28"/>
          <w:szCs w:val="28"/>
        </w:rPr>
      </w:pPr>
    </w:p>
    <w:p w14:paraId="53A2755F">
      <w:pPr>
        <w:rPr>
          <w:rFonts w:asciiTheme="minorEastAsia" w:hAnsiTheme="minorEastAsia" w:eastAsiaTheme="minorEastAsia" w:cstheme="minorEastAsia"/>
          <w:color w:val="000000"/>
          <w:kern w:val="0"/>
          <w:sz w:val="28"/>
          <w:szCs w:val="28"/>
        </w:rPr>
      </w:pPr>
    </w:p>
    <w:p w14:paraId="4A7D619A">
      <w:pPr>
        <w:jc w:val="center"/>
        <w:rPr>
          <w:rFonts w:ascii="宋体" w:hAnsi="宋体" w:cs="宋体"/>
          <w:b/>
          <w:bCs/>
          <w:sz w:val="36"/>
          <w:szCs w:val="36"/>
        </w:rPr>
      </w:pPr>
      <w:r>
        <w:rPr>
          <w:rFonts w:hint="eastAsia" w:ascii="宋体" w:hAnsi="宋体" w:cs="宋体"/>
          <w:b/>
          <w:bCs/>
          <w:sz w:val="36"/>
          <w:szCs w:val="36"/>
        </w:rPr>
        <w:t>运输保密协议书</w:t>
      </w:r>
    </w:p>
    <w:p w14:paraId="22EC0062">
      <w:pPr>
        <w:jc w:val="center"/>
        <w:rPr>
          <w:rFonts w:ascii="宋体" w:hAnsi="宋体" w:cs="宋体"/>
          <w:sz w:val="28"/>
          <w:szCs w:val="28"/>
        </w:rPr>
      </w:pPr>
    </w:p>
    <w:p w14:paraId="1002D2C4">
      <w:pPr>
        <w:ind w:firstLine="560" w:firstLineChars="200"/>
        <w:rPr>
          <w:rFonts w:ascii="宋体" w:hAnsi="宋体" w:cs="宋体"/>
          <w:sz w:val="28"/>
          <w:szCs w:val="28"/>
        </w:rPr>
      </w:pPr>
      <w:r>
        <w:rPr>
          <w:rFonts w:hint="eastAsia" w:ascii="宋体" w:hAnsi="宋体" w:cs="宋体"/>
          <w:sz w:val="28"/>
          <w:szCs w:val="28"/>
        </w:rPr>
        <w:t>甲方:海南省军粮统筹配送中心有限公司 (以下简称甲方)</w:t>
      </w:r>
    </w:p>
    <w:p w14:paraId="516DE383">
      <w:pPr>
        <w:ind w:firstLine="560" w:firstLineChars="200"/>
        <w:rPr>
          <w:rFonts w:ascii="宋体" w:hAnsi="宋体" w:cs="宋体"/>
          <w:sz w:val="28"/>
          <w:szCs w:val="28"/>
        </w:rPr>
      </w:pPr>
      <w:r>
        <w:rPr>
          <w:rFonts w:hint="eastAsia" w:ascii="宋体" w:hAnsi="宋体" w:cs="宋体"/>
          <w:sz w:val="28"/>
          <w:szCs w:val="28"/>
        </w:rPr>
        <w:t>乙方:(以下简称乙方)</w:t>
      </w:r>
    </w:p>
    <w:p w14:paraId="5CC9EE3E">
      <w:pPr>
        <w:ind w:firstLine="560" w:firstLineChars="200"/>
        <w:rPr>
          <w:rFonts w:ascii="宋体" w:hAnsi="宋体" w:cs="宋体"/>
          <w:sz w:val="28"/>
          <w:szCs w:val="28"/>
        </w:rPr>
      </w:pPr>
      <w:r>
        <w:rPr>
          <w:rFonts w:hint="eastAsia" w:ascii="宋体" w:hAnsi="宋体" w:cs="宋体"/>
          <w:sz w:val="28"/>
          <w:szCs w:val="28"/>
        </w:rPr>
        <w:t>经协商，就乙方承担甲方运输事项有关保密事宜签订以下协议书，供甲乙双方共同履行。</w:t>
      </w:r>
    </w:p>
    <w:p w14:paraId="40A47F5F">
      <w:pPr>
        <w:numPr>
          <w:ilvl w:val="0"/>
          <w:numId w:val="4"/>
        </w:numPr>
        <w:rPr>
          <w:rFonts w:ascii="宋体" w:hAnsi="宋体" w:cs="宋体"/>
          <w:sz w:val="28"/>
          <w:szCs w:val="28"/>
        </w:rPr>
      </w:pPr>
      <w:r>
        <w:rPr>
          <w:rFonts w:hint="eastAsia" w:ascii="宋体" w:hAnsi="宋体" w:cs="宋体"/>
          <w:sz w:val="28"/>
          <w:szCs w:val="28"/>
        </w:rPr>
        <w:t>运输产品类型</w:t>
      </w:r>
    </w:p>
    <w:p w14:paraId="4FF4316E">
      <w:pPr>
        <w:ind w:firstLine="560" w:firstLineChars="200"/>
        <w:rPr>
          <w:rFonts w:ascii="宋体" w:hAnsi="宋体" w:cs="宋体"/>
          <w:sz w:val="28"/>
          <w:szCs w:val="28"/>
        </w:rPr>
      </w:pPr>
      <w:r>
        <w:rPr>
          <w:rFonts w:hint="eastAsia" w:ascii="宋体" w:hAnsi="宋体" w:cs="宋体"/>
          <w:sz w:val="28"/>
          <w:szCs w:val="28"/>
        </w:rPr>
        <w:t>海南省专项成品粮油</w:t>
      </w:r>
    </w:p>
    <w:p w14:paraId="359C69F6">
      <w:pPr>
        <w:numPr>
          <w:ilvl w:val="0"/>
          <w:numId w:val="4"/>
        </w:numPr>
        <w:rPr>
          <w:rFonts w:ascii="宋体" w:hAnsi="宋体" w:cs="宋体"/>
          <w:sz w:val="28"/>
          <w:szCs w:val="28"/>
        </w:rPr>
      </w:pPr>
      <w:r>
        <w:rPr>
          <w:rFonts w:hint="eastAsia" w:ascii="宋体" w:hAnsi="宋体" w:cs="宋体"/>
          <w:sz w:val="28"/>
          <w:szCs w:val="28"/>
        </w:rPr>
        <w:t>甲乙双方职责、义务</w:t>
      </w:r>
    </w:p>
    <w:p w14:paraId="31F2B791">
      <w:pPr>
        <w:ind w:firstLine="560" w:firstLineChars="200"/>
        <w:rPr>
          <w:rFonts w:ascii="宋体" w:hAnsi="宋体" w:cs="宋体"/>
          <w:sz w:val="28"/>
          <w:szCs w:val="28"/>
        </w:rPr>
      </w:pPr>
      <w:r>
        <w:rPr>
          <w:rFonts w:hint="eastAsia" w:ascii="宋体" w:hAnsi="宋体" w:cs="宋体"/>
          <w:sz w:val="28"/>
          <w:szCs w:val="28"/>
        </w:rPr>
        <w:t>(一)甲方</w:t>
      </w:r>
    </w:p>
    <w:p w14:paraId="26BE079E">
      <w:pPr>
        <w:ind w:firstLine="560" w:firstLineChars="200"/>
        <w:rPr>
          <w:rFonts w:ascii="宋体" w:hAnsi="宋体" w:cs="宋体"/>
          <w:sz w:val="28"/>
          <w:szCs w:val="28"/>
        </w:rPr>
      </w:pPr>
      <w:r>
        <w:rPr>
          <w:rFonts w:hint="eastAsia" w:ascii="宋体" w:hAnsi="宋体" w:cs="宋体"/>
          <w:sz w:val="28"/>
          <w:szCs w:val="28"/>
        </w:rPr>
        <w:t>1、向乙方提出明确、具体的保密要求。</w:t>
      </w:r>
    </w:p>
    <w:p w14:paraId="0B5D6B9D">
      <w:pPr>
        <w:ind w:firstLine="560" w:firstLineChars="200"/>
        <w:rPr>
          <w:rFonts w:ascii="宋体" w:hAnsi="宋体" w:cs="宋体"/>
          <w:sz w:val="28"/>
          <w:szCs w:val="28"/>
        </w:rPr>
      </w:pPr>
      <w:r>
        <w:rPr>
          <w:rFonts w:hint="eastAsia" w:ascii="宋体" w:hAnsi="宋体" w:cs="宋体"/>
          <w:sz w:val="28"/>
          <w:szCs w:val="28"/>
        </w:rPr>
        <w:t>2、定期或随机检查乙方保密管理工作情况，督促其严格执行规定、制度，对发现的问题及时解决。</w:t>
      </w:r>
    </w:p>
    <w:p w14:paraId="791B66A7">
      <w:pPr>
        <w:ind w:firstLine="560" w:firstLineChars="200"/>
        <w:rPr>
          <w:rFonts w:ascii="宋体" w:hAnsi="宋体" w:cs="宋体"/>
          <w:sz w:val="28"/>
          <w:szCs w:val="28"/>
        </w:rPr>
      </w:pPr>
      <w:r>
        <w:rPr>
          <w:rFonts w:hint="eastAsia" w:ascii="宋体" w:hAnsi="宋体" w:cs="宋体"/>
          <w:sz w:val="28"/>
          <w:szCs w:val="28"/>
        </w:rPr>
        <w:t>3、听取乙方对保密工作的意见、建议、要求，及时作出反应。</w:t>
      </w:r>
    </w:p>
    <w:p w14:paraId="1A016101">
      <w:pPr>
        <w:ind w:firstLine="560" w:firstLineChars="200"/>
        <w:rPr>
          <w:rFonts w:ascii="宋体" w:hAnsi="宋体" w:cs="宋体"/>
          <w:sz w:val="28"/>
          <w:szCs w:val="28"/>
        </w:rPr>
      </w:pPr>
      <w:r>
        <w:rPr>
          <w:rFonts w:hint="eastAsia" w:ascii="宋体" w:hAnsi="宋体" w:cs="宋体"/>
          <w:sz w:val="28"/>
          <w:szCs w:val="28"/>
        </w:rPr>
        <w:t>(二)乙方</w:t>
      </w:r>
    </w:p>
    <w:p w14:paraId="2F705D41">
      <w:pPr>
        <w:ind w:firstLine="560" w:firstLineChars="200"/>
        <w:rPr>
          <w:rFonts w:ascii="宋体" w:hAnsi="宋体" w:cs="宋体"/>
          <w:sz w:val="28"/>
          <w:szCs w:val="28"/>
        </w:rPr>
      </w:pPr>
      <w:r>
        <w:rPr>
          <w:rFonts w:hint="eastAsia" w:ascii="宋体" w:hAnsi="宋体" w:cs="宋体"/>
          <w:sz w:val="28"/>
          <w:szCs w:val="28"/>
        </w:rPr>
        <w:t>1、认真执行国家有关保密法律、法规和交通运输法规。</w:t>
      </w:r>
    </w:p>
    <w:p w14:paraId="139ECD14">
      <w:pPr>
        <w:ind w:firstLine="560" w:firstLineChars="200"/>
        <w:rPr>
          <w:rFonts w:ascii="宋体" w:hAnsi="宋体" w:cs="宋体"/>
          <w:sz w:val="28"/>
          <w:szCs w:val="28"/>
        </w:rPr>
      </w:pPr>
      <w:r>
        <w:rPr>
          <w:rFonts w:hint="eastAsia" w:ascii="宋体" w:hAnsi="宋体" w:cs="宋体"/>
          <w:sz w:val="28"/>
          <w:szCs w:val="28"/>
        </w:rPr>
        <w:t>2、制定合理的运输计划，运输过程中采取适当的防护措施，如防震、防火、防晒、防雨、保密及加固等，并按时将产品运送到指定地点。</w:t>
      </w:r>
    </w:p>
    <w:p w14:paraId="134F22BE">
      <w:pPr>
        <w:ind w:firstLine="560" w:firstLineChars="200"/>
        <w:rPr>
          <w:rFonts w:ascii="宋体" w:hAnsi="宋体" w:cs="宋体"/>
          <w:sz w:val="28"/>
          <w:szCs w:val="28"/>
        </w:rPr>
      </w:pPr>
      <w:r>
        <w:rPr>
          <w:rFonts w:hint="eastAsia" w:ascii="宋体" w:hAnsi="宋体" w:cs="宋体"/>
          <w:sz w:val="28"/>
          <w:szCs w:val="28"/>
        </w:rPr>
        <w:t>3、担任运输任务的驾驶员即为保密员，按甲方的保密规定加强各个环节管理，采取有效的防范措施，保证涉密产品的绝对安全。</w:t>
      </w:r>
    </w:p>
    <w:p w14:paraId="551D3E6B">
      <w:pPr>
        <w:ind w:firstLine="560" w:firstLineChars="200"/>
        <w:rPr>
          <w:rFonts w:ascii="宋体" w:hAnsi="宋体" w:cs="宋体"/>
          <w:sz w:val="28"/>
          <w:szCs w:val="28"/>
        </w:rPr>
      </w:pPr>
      <w:r>
        <w:rPr>
          <w:rFonts w:hint="eastAsia" w:ascii="宋体" w:hAnsi="宋体" w:cs="宋体"/>
          <w:sz w:val="28"/>
          <w:szCs w:val="28"/>
        </w:rPr>
        <w:t>4、处理相关业务工作时做到专人专岗专机（计算机不允许接入互联网），发现工作中的泄密任何情况和问题及时向甲方或有关部门请示、报告。</w:t>
      </w:r>
    </w:p>
    <w:p w14:paraId="7274C446">
      <w:pPr>
        <w:ind w:firstLine="560" w:firstLineChars="200"/>
        <w:rPr>
          <w:rFonts w:ascii="宋体" w:hAnsi="宋体" w:cs="宋体"/>
          <w:sz w:val="28"/>
          <w:szCs w:val="28"/>
        </w:rPr>
      </w:pPr>
      <w:r>
        <w:rPr>
          <w:rFonts w:hint="eastAsia" w:ascii="宋体" w:hAnsi="宋体" w:cs="宋体"/>
          <w:sz w:val="28"/>
          <w:szCs w:val="28"/>
        </w:rPr>
        <w:t>5、不得违规记录、存储、复制、传播专项成品粮油运输、加工、供应相关信息。不以任何方式泄露所接触和知悉的专项成品粮油运输、加工、供应相关信息。</w:t>
      </w:r>
    </w:p>
    <w:p w14:paraId="5584C8BA">
      <w:pPr>
        <w:ind w:firstLine="560" w:firstLineChars="200"/>
        <w:rPr>
          <w:rFonts w:ascii="宋体" w:hAnsi="宋体" w:cs="宋体"/>
        </w:rPr>
      </w:pPr>
      <w:r>
        <w:rPr>
          <w:rFonts w:hint="eastAsia" w:ascii="宋体" w:hAnsi="宋体" w:cs="宋体"/>
          <w:sz w:val="28"/>
          <w:szCs w:val="28"/>
        </w:rPr>
        <w:t>6、乙方驾驶员将货物送达指定地点后不得使用手机、相机等电子设备进行拍照、录像。</w:t>
      </w:r>
    </w:p>
    <w:p w14:paraId="2C26A130">
      <w:pPr>
        <w:numPr>
          <w:ilvl w:val="0"/>
          <w:numId w:val="4"/>
        </w:numPr>
        <w:rPr>
          <w:rFonts w:ascii="宋体" w:hAnsi="宋体" w:cs="宋体"/>
          <w:sz w:val="28"/>
          <w:szCs w:val="28"/>
        </w:rPr>
      </w:pPr>
      <w:r>
        <w:rPr>
          <w:rFonts w:hint="eastAsia" w:ascii="宋体" w:hAnsi="宋体" w:cs="宋体"/>
          <w:sz w:val="28"/>
          <w:szCs w:val="28"/>
        </w:rPr>
        <w:t>保密期限</w:t>
      </w:r>
    </w:p>
    <w:p w14:paraId="7641D50B">
      <w:pPr>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自保密协议签订开始，合同履行结束，自愿接受脱密期管理，直至脱密期结束。</w:t>
      </w:r>
    </w:p>
    <w:p w14:paraId="229D53FE">
      <w:pPr>
        <w:numPr>
          <w:ilvl w:val="0"/>
          <w:numId w:val="4"/>
        </w:numPr>
        <w:rPr>
          <w:rFonts w:ascii="宋体" w:hAnsi="宋体" w:cs="宋体"/>
          <w:sz w:val="28"/>
          <w:szCs w:val="28"/>
          <w:u w:val="single"/>
        </w:rPr>
      </w:pPr>
      <w:r>
        <w:rPr>
          <w:rFonts w:hint="eastAsia" w:ascii="宋体" w:hAnsi="宋体" w:cs="宋体"/>
          <w:sz w:val="28"/>
          <w:szCs w:val="28"/>
        </w:rPr>
        <w:t>法律责任</w:t>
      </w:r>
    </w:p>
    <w:p w14:paraId="2FC2DD1C">
      <w:pPr>
        <w:ind w:firstLine="560" w:firstLineChars="200"/>
        <w:rPr>
          <w:rFonts w:ascii="宋体" w:hAnsi="宋体" w:cs="宋体"/>
          <w:sz w:val="28"/>
          <w:szCs w:val="28"/>
        </w:rPr>
      </w:pPr>
      <w:r>
        <w:rPr>
          <w:rFonts w:hint="eastAsia" w:ascii="宋体" w:hAnsi="宋体" w:cs="宋体"/>
          <w:sz w:val="28"/>
          <w:szCs w:val="28"/>
        </w:rPr>
        <w:t>甲乙双方任何一方因不切实履行本协议而造成泄密事故，由违约方承担相应法律责任。</w:t>
      </w:r>
    </w:p>
    <w:p w14:paraId="417ED7E7">
      <w:pPr>
        <w:numPr>
          <w:ilvl w:val="0"/>
          <w:numId w:val="4"/>
        </w:numPr>
        <w:rPr>
          <w:rFonts w:ascii="宋体" w:hAnsi="宋体" w:cs="宋体"/>
          <w:sz w:val="28"/>
          <w:szCs w:val="28"/>
        </w:rPr>
      </w:pPr>
      <w:r>
        <w:rPr>
          <w:rFonts w:hint="eastAsia" w:ascii="宋体" w:hAnsi="宋体" w:cs="宋体"/>
          <w:sz w:val="28"/>
          <w:szCs w:val="28"/>
        </w:rPr>
        <w:t>其他</w:t>
      </w:r>
    </w:p>
    <w:p w14:paraId="3CCF8B13">
      <w:pPr>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1.本协议未尽事宜由甲乙双方共同协商处理，协商不成时提请上级有关部门或诉诸司法部门处理。</w:t>
      </w:r>
    </w:p>
    <w:p w14:paraId="196EF511">
      <w:pPr>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2.本协议书一式两份，甲乙双方各存一份，具有同等法律效力。</w:t>
      </w:r>
    </w:p>
    <w:p w14:paraId="49CCE0B1">
      <w:pPr>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3.本保密协议书自双方签字盖章之日起生效。</w:t>
      </w:r>
    </w:p>
    <w:p w14:paraId="775B11C3">
      <w:pPr>
        <w:rPr>
          <w:rFonts w:ascii="宋体" w:hAnsi="宋体" w:cs="宋体"/>
          <w:sz w:val="28"/>
          <w:szCs w:val="28"/>
        </w:rPr>
      </w:pPr>
    </w:p>
    <w:p w14:paraId="240E9F49">
      <w:pPr>
        <w:rPr>
          <w:rFonts w:ascii="宋体" w:hAnsi="宋体" w:cs="宋体"/>
          <w:sz w:val="28"/>
          <w:szCs w:val="28"/>
        </w:rPr>
      </w:pPr>
    </w:p>
    <w:p w14:paraId="72D94311">
      <w:pPr>
        <w:ind w:firstLine="560" w:firstLineChars="200"/>
        <w:rPr>
          <w:rFonts w:ascii="宋体" w:hAnsi="宋体" w:cs="宋体"/>
          <w:sz w:val="28"/>
          <w:szCs w:val="28"/>
        </w:rPr>
      </w:pPr>
      <w:r>
        <w:rPr>
          <w:rFonts w:hint="eastAsia" w:ascii="宋体" w:hAnsi="宋体" w:cs="宋体"/>
          <w:sz w:val="28"/>
          <w:szCs w:val="28"/>
        </w:rPr>
        <w:t>甲方（盖章）                        乙方（盖章）</w:t>
      </w:r>
    </w:p>
    <w:p w14:paraId="71EDBD0B">
      <w:pPr>
        <w:rPr>
          <w:rFonts w:ascii="宋体" w:hAnsi="宋体" w:cs="宋体"/>
          <w:sz w:val="28"/>
          <w:szCs w:val="28"/>
        </w:rPr>
      </w:pPr>
      <w:r>
        <w:rPr>
          <w:rFonts w:hint="eastAsia" w:ascii="宋体" w:hAnsi="宋体" w:cs="宋体"/>
          <w:sz w:val="28"/>
          <w:szCs w:val="28"/>
        </w:rPr>
        <w:t xml:space="preserve">    2025年 3 月   日                   2024年 3 月  日</w:t>
      </w:r>
    </w:p>
    <w:p w14:paraId="4F495153">
      <w:pPr>
        <w:jc w:val="center"/>
        <w:rPr>
          <w:rFonts w:ascii="宋体" w:hAnsi="宋体" w:cs="宋体"/>
          <w:b/>
          <w:bCs/>
          <w:sz w:val="36"/>
          <w:szCs w:val="36"/>
        </w:rPr>
      </w:pPr>
      <w:r>
        <w:rPr>
          <w:rFonts w:hint="eastAsia" w:ascii="宋体" w:hAnsi="宋体" w:cs="宋体"/>
          <w:b/>
          <w:bCs/>
          <w:sz w:val="36"/>
          <w:szCs w:val="36"/>
        </w:rPr>
        <w:t>服务考核制约定</w:t>
      </w:r>
    </w:p>
    <w:p w14:paraId="49630013">
      <w:pPr>
        <w:numPr>
          <w:ilvl w:val="0"/>
          <w:numId w:val="5"/>
        </w:num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考核频次：</w:t>
      </w:r>
    </w:p>
    <w:p w14:paraId="2C2A504F">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每月度进行考核评分</w:t>
      </w:r>
    </w:p>
    <w:p w14:paraId="5FF2FD70">
      <w:pPr>
        <w:numPr>
          <w:ilvl w:val="0"/>
          <w:numId w:val="5"/>
        </w:num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车辆、人员管理（15分）</w:t>
      </w:r>
    </w:p>
    <w:p w14:paraId="4EEED18B">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乙方应将参与物流运输配送的所有车辆、驾驶员的行驶证、驾驶证、身份证、保密承诺书和政审等材料的复印件报备。在未经甲方允许，乙方不得使用第三方网络货运平台下订单安排车辆参与运输（如货拉拉、快狗等），每发现一起扣5分。车容车貌干净整洁、车厢完好，不达标的每发现一次扣1分。</w:t>
      </w:r>
    </w:p>
    <w:p w14:paraId="36B74493">
      <w:pPr>
        <w:numPr>
          <w:ilvl w:val="0"/>
          <w:numId w:val="5"/>
        </w:num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变更信息报备（15分）</w:t>
      </w:r>
    </w:p>
    <w:p w14:paraId="40E09BC8">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原则上不允许乙方接到运输任务后临时更换已报备配送车辆和司机，如遇突发情况必须提前半小时内报备。未报备的扣5分/次。</w:t>
      </w:r>
    </w:p>
    <w:p w14:paraId="08EA1F21">
      <w:pPr>
        <w:numPr>
          <w:ilvl w:val="0"/>
          <w:numId w:val="5"/>
        </w:num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准点提货（25分）</w:t>
      </w:r>
    </w:p>
    <w:p w14:paraId="048855E9">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甲方应提前半天通知乙方准确的出库量及配送地点，乙方在通知时间到达装货地点不扣分，每迟到半小时扣0.5分/次，迟到3小时以上扣5分/次；当天下达运输任务的，乙方车辆在3小时内到达的奖励0.5分/次，迟到3小时不奖励，每月奖励上限2分，16:30前到达不扣分，每迟到半小时扣0.5分，不设上限。</w:t>
      </w:r>
    </w:p>
    <w:p w14:paraId="2FDE042F">
      <w:pPr>
        <w:numPr>
          <w:ilvl w:val="0"/>
          <w:numId w:val="5"/>
        </w:num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准点交货（30分）</w:t>
      </w:r>
    </w:p>
    <w:p w14:paraId="469F7797">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乙方车辆在甲方装货地点完成装车后，须按合理的运输路径及合理要求时间（可参照手机电子地图APP合理安排）和遇不可抗力原因及途径路段实行交通管制或发生交通事故等不可预见因素造成的时间延误到达卸货地点不扣分，无故每迟到半小时扣2分/次，迟到3小时以上扣10分/次；乙方车辆按时准点到达后，未能及时安排验收卸货，等待一小时以上奖励0.5分，每月奖励上限2分。</w:t>
      </w:r>
    </w:p>
    <w:p w14:paraId="651A5A35">
      <w:pPr>
        <w:numPr>
          <w:ilvl w:val="0"/>
          <w:numId w:val="5"/>
        </w:num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服务质量（15分）</w:t>
      </w:r>
    </w:p>
    <w:p w14:paraId="150CFA71">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加分项目</w:t>
      </w:r>
    </w:p>
    <w:p w14:paraId="281CECBB">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1.受到甲方客户表扬，加2分/次；</w:t>
      </w:r>
    </w:p>
    <w:p w14:paraId="4FC4E859">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2.提出合理化建议被采纳的，加1-2分/条；</w:t>
      </w:r>
    </w:p>
    <w:p w14:paraId="13F19B19">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3.紧急配送运输任务及时完成，加1分/次。</w:t>
      </w:r>
    </w:p>
    <w:p w14:paraId="2C7841AA">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减分项目</w:t>
      </w:r>
    </w:p>
    <w:p w14:paraId="19774D78">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1.服务态度差，造成甲方客户投诉的，扣1-2分/次；</w:t>
      </w:r>
    </w:p>
    <w:p w14:paraId="51D5FB7B">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2.在车辆行驶或捆绑雨布等作业时不遵守军粮公司、军供站库区管理规定，或出现不文明语言和行为的，扣1-2分/次。</w:t>
      </w:r>
    </w:p>
    <w:p w14:paraId="3D347965">
      <w:pPr>
        <w:adjustRightInd w:val="0"/>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以上五项总分值100分，有奖有罚，服务期间累计扣除分数达41分后，则视为乙方自愿放弃物流配送合作，自愿解除合同。</w:t>
      </w:r>
    </w:p>
    <w:p w14:paraId="2E32DD07">
      <w:pPr>
        <w:pStyle w:val="2"/>
        <w:ind w:firstLine="562" w:firstLineChars="200"/>
        <w:rPr>
          <w:rFonts w:ascii="宋体" w:hAnsi="宋体" w:eastAsia="宋体" w:cs="宋体"/>
          <w:b w:val="0"/>
          <w:bCs w:val="0"/>
          <w:kern w:val="0"/>
          <w:sz w:val="28"/>
          <w:szCs w:val="28"/>
        </w:rPr>
      </w:pPr>
      <w:r>
        <w:rPr>
          <w:rFonts w:hint="eastAsia" w:ascii="宋体" w:hAnsi="宋体" w:eastAsia="宋体" w:cs="宋体"/>
          <w:kern w:val="0"/>
          <w:sz w:val="28"/>
          <w:szCs w:val="28"/>
        </w:rPr>
        <w:t>七、</w:t>
      </w:r>
      <w:r>
        <w:rPr>
          <w:rFonts w:hint="eastAsia" w:ascii="宋体" w:hAnsi="宋体" w:eastAsia="宋体" w:cs="宋体"/>
          <w:b w:val="0"/>
          <w:bCs w:val="0"/>
          <w:kern w:val="0"/>
          <w:sz w:val="28"/>
          <w:szCs w:val="28"/>
        </w:rPr>
        <w:t>本约定一式两份，甲乙双方各存一份，具有同等法律效力。</w:t>
      </w:r>
    </w:p>
    <w:p w14:paraId="4915C3E4">
      <w:pPr>
        <w:pStyle w:val="2"/>
        <w:ind w:firstLine="562" w:firstLineChars="200"/>
        <w:rPr>
          <w:rFonts w:ascii="宋体" w:hAnsi="宋体" w:eastAsia="宋体" w:cs="宋体"/>
          <w:b w:val="0"/>
          <w:bCs w:val="0"/>
          <w:kern w:val="0"/>
          <w:sz w:val="28"/>
          <w:szCs w:val="28"/>
        </w:rPr>
      </w:pPr>
      <w:r>
        <w:rPr>
          <w:rFonts w:hint="eastAsia" w:ascii="宋体" w:hAnsi="宋体" w:eastAsia="宋体" w:cs="宋体"/>
          <w:kern w:val="0"/>
          <w:sz w:val="28"/>
          <w:szCs w:val="28"/>
        </w:rPr>
        <w:t>八、</w:t>
      </w:r>
      <w:r>
        <w:rPr>
          <w:rFonts w:hint="eastAsia" w:ascii="宋体" w:hAnsi="宋体" w:eastAsia="宋体" w:cs="宋体"/>
          <w:b w:val="0"/>
          <w:bCs w:val="0"/>
          <w:kern w:val="0"/>
          <w:sz w:val="28"/>
          <w:szCs w:val="28"/>
        </w:rPr>
        <w:t>本约定自双方签字盖章之日起生效。</w:t>
      </w:r>
    </w:p>
    <w:p w14:paraId="6FCA67DF">
      <w:pPr>
        <w:pStyle w:val="2"/>
        <w:rPr>
          <w:rFonts w:ascii="宋体" w:hAnsi="宋体" w:eastAsia="宋体" w:cs="宋体"/>
          <w:sz w:val="28"/>
          <w:szCs w:val="28"/>
        </w:rPr>
      </w:pPr>
    </w:p>
    <w:p w14:paraId="03B1FCEC">
      <w:pPr>
        <w:rPr>
          <w:rFonts w:ascii="宋体" w:hAnsi="宋体" w:cs="宋体"/>
          <w:sz w:val="28"/>
          <w:szCs w:val="28"/>
        </w:rPr>
      </w:pPr>
    </w:p>
    <w:p w14:paraId="0BCA3C86">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甲方（盖章）                        乙方（盖章）</w:t>
      </w:r>
    </w:p>
    <w:p w14:paraId="5966561C">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2024年 3 月   日                   2024年 3 月  日</w:t>
      </w:r>
    </w:p>
    <w:p w14:paraId="0E368DED">
      <w:pPr>
        <w:pStyle w:val="2"/>
      </w:pPr>
    </w:p>
    <w:p w14:paraId="5C9C29BE"/>
    <w:p w14:paraId="363A4B20">
      <w:pPr>
        <w:pStyle w:val="3"/>
        <w:jc w:val="center"/>
      </w:pPr>
      <w:bookmarkStart w:id="51" w:name="_Toc31613"/>
      <w:r>
        <w:rPr>
          <w:rFonts w:hint="eastAsia"/>
        </w:rPr>
        <w:t>第六章投标文件格式</w:t>
      </w:r>
      <w:bookmarkEnd w:id="51"/>
    </w:p>
    <w:p w14:paraId="4F67630D">
      <w:pPr>
        <w:snapToGrid w:val="0"/>
        <w:spacing w:line="240" w:lineRule="atLeast"/>
        <w:jc w:val="center"/>
        <w:rPr>
          <w:rStyle w:val="220"/>
          <w:rFonts w:hAnsi="宋体"/>
          <w:b/>
          <w:kern w:val="0"/>
          <w:sz w:val="32"/>
          <w:szCs w:val="32"/>
        </w:rPr>
      </w:pPr>
    </w:p>
    <w:p w14:paraId="572C1FCC">
      <w:pPr>
        <w:snapToGrid w:val="0"/>
        <w:spacing w:line="240" w:lineRule="atLeast"/>
        <w:jc w:val="center"/>
        <w:rPr>
          <w:rStyle w:val="220"/>
          <w:rFonts w:hAnsi="宋体"/>
          <w:b/>
          <w:kern w:val="0"/>
          <w:sz w:val="32"/>
          <w:szCs w:val="32"/>
        </w:rPr>
      </w:pPr>
    </w:p>
    <w:p w14:paraId="09796695">
      <w:pPr>
        <w:snapToGrid w:val="0"/>
        <w:spacing w:line="240" w:lineRule="atLeast"/>
        <w:jc w:val="center"/>
        <w:rPr>
          <w:rStyle w:val="220"/>
          <w:rFonts w:hAnsi="宋体"/>
          <w:b/>
          <w:kern w:val="0"/>
          <w:sz w:val="32"/>
          <w:szCs w:val="32"/>
        </w:rPr>
      </w:pPr>
    </w:p>
    <w:p w14:paraId="04C5E6B8">
      <w:pPr>
        <w:snapToGrid w:val="0"/>
        <w:spacing w:line="240" w:lineRule="atLeast"/>
        <w:jc w:val="center"/>
        <w:rPr>
          <w:rStyle w:val="220"/>
          <w:rFonts w:hAnsi="宋体"/>
          <w:b/>
          <w:kern w:val="0"/>
          <w:sz w:val="32"/>
          <w:szCs w:val="32"/>
        </w:rPr>
      </w:pPr>
      <w:r>
        <w:rPr>
          <w:rStyle w:val="220"/>
          <w:rFonts w:hAnsi="宋体"/>
          <w:b/>
          <w:kern w:val="0"/>
          <w:sz w:val="32"/>
          <w:szCs w:val="32"/>
        </w:rPr>
        <w:t xml:space="preserve">项目名称： </w:t>
      </w:r>
    </w:p>
    <w:p w14:paraId="4A8B2F85">
      <w:pPr>
        <w:snapToGrid w:val="0"/>
        <w:spacing w:line="240" w:lineRule="atLeast"/>
        <w:rPr>
          <w:rStyle w:val="220"/>
          <w:rFonts w:hAnsi="宋体"/>
          <w:b/>
          <w:kern w:val="0"/>
          <w:sz w:val="32"/>
          <w:szCs w:val="32"/>
        </w:rPr>
      </w:pPr>
    </w:p>
    <w:p w14:paraId="7A584C72">
      <w:pPr>
        <w:snapToGrid w:val="0"/>
        <w:spacing w:line="240" w:lineRule="atLeast"/>
        <w:jc w:val="center"/>
        <w:rPr>
          <w:rStyle w:val="220"/>
          <w:rFonts w:hAnsi="宋体"/>
          <w:b/>
          <w:kern w:val="0"/>
          <w:sz w:val="32"/>
          <w:szCs w:val="32"/>
        </w:rPr>
      </w:pPr>
      <w:r>
        <w:rPr>
          <w:rStyle w:val="220"/>
          <w:rFonts w:hAnsi="宋体"/>
          <w:b/>
          <w:kern w:val="0"/>
          <w:sz w:val="32"/>
          <w:szCs w:val="32"/>
        </w:rPr>
        <w:t>项目编号:</w:t>
      </w:r>
    </w:p>
    <w:p w14:paraId="28257A65">
      <w:pPr>
        <w:pStyle w:val="232"/>
        <w:snapToGrid w:val="0"/>
        <w:rPr>
          <w:rStyle w:val="220"/>
          <w:rFonts w:hAnsi="宋体"/>
          <w:b/>
          <w:kern w:val="0"/>
          <w:sz w:val="32"/>
          <w:szCs w:val="32"/>
        </w:rPr>
      </w:pPr>
    </w:p>
    <w:p w14:paraId="771B0289">
      <w:pPr>
        <w:snapToGrid w:val="0"/>
        <w:spacing w:line="320" w:lineRule="exact"/>
        <w:ind w:right="2278"/>
        <w:rPr>
          <w:rStyle w:val="220"/>
          <w:rFonts w:hAnsi="宋体"/>
          <w:b/>
          <w:kern w:val="0"/>
          <w:sz w:val="32"/>
          <w:szCs w:val="32"/>
        </w:rPr>
      </w:pPr>
    </w:p>
    <w:p w14:paraId="42BA169A">
      <w:pPr>
        <w:snapToGrid w:val="0"/>
        <w:ind w:right="2279"/>
        <w:rPr>
          <w:rStyle w:val="220"/>
          <w:rFonts w:hAnsi="宋体"/>
          <w:b/>
          <w:kern w:val="0"/>
          <w:sz w:val="32"/>
          <w:szCs w:val="32"/>
        </w:rPr>
      </w:pPr>
    </w:p>
    <w:p w14:paraId="2D91DE18">
      <w:pPr>
        <w:snapToGrid w:val="0"/>
        <w:ind w:right="2279"/>
        <w:jc w:val="center"/>
        <w:rPr>
          <w:rStyle w:val="220"/>
          <w:rFonts w:hAnsi="宋体"/>
          <w:b/>
          <w:kern w:val="0"/>
          <w:sz w:val="32"/>
          <w:szCs w:val="32"/>
        </w:rPr>
      </w:pPr>
      <w:r>
        <w:rPr>
          <w:rStyle w:val="220"/>
          <w:rFonts w:hint="eastAsia" w:hAnsi="宋体"/>
          <w:b/>
          <w:kern w:val="0"/>
          <w:sz w:val="32"/>
          <w:szCs w:val="32"/>
        </w:rPr>
        <w:t>投标文件</w:t>
      </w:r>
    </w:p>
    <w:p w14:paraId="592766A9">
      <w:pPr>
        <w:snapToGrid w:val="0"/>
        <w:spacing w:line="320" w:lineRule="exact"/>
        <w:ind w:right="2278"/>
        <w:rPr>
          <w:rStyle w:val="220"/>
          <w:rFonts w:hAnsi="宋体"/>
          <w:b/>
          <w:sz w:val="30"/>
          <w:szCs w:val="30"/>
        </w:rPr>
      </w:pPr>
    </w:p>
    <w:p w14:paraId="25C148C5">
      <w:pPr>
        <w:snapToGrid w:val="0"/>
        <w:spacing w:line="320" w:lineRule="exact"/>
        <w:ind w:right="2278"/>
        <w:rPr>
          <w:rStyle w:val="220"/>
          <w:rFonts w:hAnsi="宋体"/>
          <w:b/>
          <w:sz w:val="30"/>
          <w:szCs w:val="30"/>
        </w:rPr>
      </w:pPr>
    </w:p>
    <w:p w14:paraId="6D38EA9D">
      <w:pPr>
        <w:snapToGrid w:val="0"/>
        <w:spacing w:line="320" w:lineRule="exact"/>
        <w:ind w:right="2278"/>
        <w:rPr>
          <w:rStyle w:val="220"/>
          <w:rFonts w:hAnsi="宋体"/>
          <w:b/>
          <w:sz w:val="30"/>
          <w:szCs w:val="30"/>
        </w:rPr>
      </w:pPr>
    </w:p>
    <w:p w14:paraId="294DAF36">
      <w:pPr>
        <w:pStyle w:val="232"/>
      </w:pPr>
    </w:p>
    <w:p w14:paraId="7E8AF409">
      <w:pPr>
        <w:pStyle w:val="232"/>
      </w:pPr>
    </w:p>
    <w:p w14:paraId="38B501D6">
      <w:pPr>
        <w:pStyle w:val="232"/>
      </w:pPr>
    </w:p>
    <w:p w14:paraId="3D25D0FD">
      <w:pPr>
        <w:snapToGrid w:val="0"/>
        <w:spacing w:line="320" w:lineRule="exact"/>
        <w:ind w:right="2278"/>
        <w:rPr>
          <w:rStyle w:val="220"/>
          <w:rFonts w:hAnsi="宋体"/>
          <w:b/>
          <w:sz w:val="30"/>
          <w:szCs w:val="30"/>
        </w:rPr>
      </w:pPr>
    </w:p>
    <w:p w14:paraId="0A54F4D5">
      <w:pPr>
        <w:snapToGrid w:val="0"/>
        <w:spacing w:line="320" w:lineRule="exact"/>
        <w:ind w:right="2278"/>
        <w:rPr>
          <w:rStyle w:val="220"/>
          <w:rFonts w:hAnsi="宋体"/>
          <w:b/>
          <w:sz w:val="30"/>
          <w:szCs w:val="30"/>
        </w:rPr>
      </w:pPr>
    </w:p>
    <w:p w14:paraId="23D49453">
      <w:pPr>
        <w:snapToGrid w:val="0"/>
        <w:spacing w:line="320" w:lineRule="exact"/>
        <w:ind w:right="2278"/>
        <w:rPr>
          <w:rStyle w:val="220"/>
          <w:rFonts w:hAnsi="宋体"/>
          <w:b/>
          <w:sz w:val="30"/>
          <w:szCs w:val="30"/>
        </w:rPr>
      </w:pPr>
    </w:p>
    <w:p w14:paraId="1BB3CC23">
      <w:pPr>
        <w:snapToGrid w:val="0"/>
        <w:spacing w:line="320" w:lineRule="exact"/>
        <w:ind w:right="2278"/>
        <w:rPr>
          <w:rStyle w:val="220"/>
          <w:rFonts w:hAnsi="宋体"/>
          <w:b/>
          <w:sz w:val="30"/>
          <w:szCs w:val="30"/>
        </w:rPr>
      </w:pPr>
    </w:p>
    <w:p w14:paraId="7EDC6074">
      <w:pPr>
        <w:snapToGrid w:val="0"/>
        <w:spacing w:line="320" w:lineRule="exact"/>
        <w:ind w:right="2278"/>
        <w:rPr>
          <w:rStyle w:val="220"/>
          <w:rFonts w:hAnsi="宋体"/>
          <w:b/>
          <w:sz w:val="30"/>
          <w:szCs w:val="30"/>
        </w:rPr>
      </w:pPr>
    </w:p>
    <w:p w14:paraId="05A8712C">
      <w:pPr>
        <w:snapToGrid w:val="0"/>
        <w:spacing w:line="320" w:lineRule="exact"/>
        <w:ind w:right="2278"/>
        <w:rPr>
          <w:rStyle w:val="220"/>
          <w:rFonts w:hAnsi="宋体"/>
          <w:b/>
          <w:sz w:val="30"/>
          <w:szCs w:val="30"/>
        </w:rPr>
      </w:pPr>
    </w:p>
    <w:p w14:paraId="5EE19321">
      <w:pPr>
        <w:snapToGrid w:val="0"/>
        <w:spacing w:line="320" w:lineRule="exact"/>
        <w:ind w:right="2278"/>
        <w:rPr>
          <w:rStyle w:val="220"/>
          <w:rFonts w:hAnsi="宋体"/>
          <w:b/>
          <w:sz w:val="30"/>
          <w:szCs w:val="30"/>
        </w:rPr>
      </w:pPr>
    </w:p>
    <w:p w14:paraId="6E4CB914">
      <w:pPr>
        <w:snapToGrid w:val="0"/>
        <w:spacing w:line="320" w:lineRule="exact"/>
        <w:ind w:right="2278"/>
        <w:rPr>
          <w:rStyle w:val="220"/>
          <w:rFonts w:hAnsi="宋体"/>
          <w:b/>
          <w:sz w:val="30"/>
          <w:szCs w:val="30"/>
        </w:rPr>
      </w:pPr>
    </w:p>
    <w:p w14:paraId="23AD66C4">
      <w:pPr>
        <w:snapToGrid w:val="0"/>
        <w:ind w:right="2279"/>
        <w:rPr>
          <w:rStyle w:val="220"/>
          <w:rFonts w:hAnsi="宋体"/>
          <w:b/>
          <w:sz w:val="30"/>
          <w:szCs w:val="30"/>
        </w:rPr>
      </w:pPr>
      <w:r>
        <w:rPr>
          <w:rStyle w:val="220"/>
          <w:rFonts w:hAnsi="宋体"/>
          <w:b/>
          <w:sz w:val="30"/>
          <w:szCs w:val="30"/>
        </w:rPr>
        <w:t>供应商名称：               （盖章）</w:t>
      </w:r>
    </w:p>
    <w:p w14:paraId="4C57A5C2">
      <w:pPr>
        <w:snapToGrid w:val="0"/>
        <w:ind w:right="2279"/>
        <w:rPr>
          <w:rStyle w:val="220"/>
          <w:rFonts w:hAnsi="宋体"/>
          <w:b/>
          <w:sz w:val="30"/>
          <w:szCs w:val="30"/>
        </w:rPr>
      </w:pPr>
      <w:r>
        <w:rPr>
          <w:rStyle w:val="220"/>
          <w:rFonts w:hAnsi="宋体"/>
          <w:b/>
          <w:sz w:val="30"/>
          <w:szCs w:val="30"/>
        </w:rPr>
        <w:t>公司地址：</w:t>
      </w:r>
    </w:p>
    <w:p w14:paraId="3C672A46">
      <w:pPr>
        <w:snapToGrid w:val="0"/>
        <w:ind w:right="2279"/>
        <w:rPr>
          <w:rStyle w:val="220"/>
          <w:rFonts w:hAnsi="宋体"/>
          <w:b/>
          <w:sz w:val="30"/>
          <w:szCs w:val="30"/>
        </w:rPr>
      </w:pPr>
      <w:r>
        <w:rPr>
          <w:rStyle w:val="220"/>
          <w:rFonts w:hAnsi="宋体"/>
          <w:b/>
          <w:sz w:val="30"/>
          <w:szCs w:val="30"/>
        </w:rPr>
        <w:t>联系人：</w:t>
      </w:r>
    </w:p>
    <w:p w14:paraId="0029FFDB">
      <w:pPr>
        <w:snapToGrid w:val="0"/>
        <w:ind w:right="2279"/>
        <w:rPr>
          <w:rStyle w:val="220"/>
          <w:rFonts w:hAnsi="宋体"/>
          <w:b/>
          <w:sz w:val="30"/>
          <w:szCs w:val="30"/>
        </w:rPr>
      </w:pPr>
      <w:r>
        <w:rPr>
          <w:rStyle w:val="220"/>
          <w:rFonts w:hAnsi="宋体"/>
          <w:b/>
          <w:sz w:val="30"/>
          <w:szCs w:val="30"/>
        </w:rPr>
        <w:t>联系电话：</w:t>
      </w:r>
    </w:p>
    <w:p w14:paraId="4C2F5AAB">
      <w:pPr>
        <w:snapToGrid w:val="0"/>
        <w:spacing w:line="320" w:lineRule="exact"/>
        <w:ind w:right="2278"/>
        <w:rPr>
          <w:rStyle w:val="220"/>
          <w:rFonts w:hAnsi="宋体"/>
          <w:b/>
          <w:sz w:val="30"/>
          <w:szCs w:val="30"/>
        </w:rPr>
      </w:pPr>
      <w:r>
        <w:rPr>
          <w:rStyle w:val="220"/>
          <w:rFonts w:hAnsi="宋体"/>
          <w:b/>
          <w:sz w:val="30"/>
          <w:szCs w:val="30"/>
        </w:rPr>
        <w:t>日期：</w:t>
      </w:r>
      <w:bookmarkStart w:id="52" w:name="_Toc163481196"/>
      <w:bookmarkStart w:id="53" w:name="_Toc20075"/>
    </w:p>
    <w:p w14:paraId="02EC4F5A">
      <w:pPr>
        <w:pStyle w:val="2"/>
        <w:spacing w:before="0" w:after="0" w:line="240" w:lineRule="auto"/>
        <w:rPr>
          <w:rStyle w:val="220"/>
          <w:rFonts w:hAnsi="宋体"/>
          <w:sz w:val="30"/>
          <w:szCs w:val="30"/>
        </w:rPr>
      </w:pPr>
    </w:p>
    <w:p w14:paraId="4231DC09"/>
    <w:p w14:paraId="1415C69C">
      <w:pPr>
        <w:pStyle w:val="2"/>
      </w:pPr>
      <w:r>
        <w:rPr>
          <w:rFonts w:hint="eastAsia"/>
        </w:rPr>
        <w:t>1、投标文件格式</w:t>
      </w:r>
      <w:bookmarkEnd w:id="52"/>
      <w:bookmarkEnd w:id="53"/>
    </w:p>
    <w:p w14:paraId="0FE1CD4A">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投标函</w:t>
      </w:r>
    </w:p>
    <w:p w14:paraId="1C8491BB">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致：海南省教学仪器设备招标中心有限公司：</w:t>
      </w:r>
    </w:p>
    <w:p w14:paraId="5671980A">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pict>
          <v:line id="Line 2" o:spid="_x0000_s1026" o:spt="20" style="position:absolute;left:0pt;margin-left:369pt;margin-top:16.85pt;height:0.05pt;width:0.05pt;z-index:251660288;mso-width-relative:page;mso-height-relative:page;" coordsize="21600,21600" o:allowincell="f"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v:path arrowok="t"/>
            <v:fill focussize="0,0"/>
            <v:stroke/>
            <v:imagedata o:title=""/>
            <o:lock v:ext="edit"/>
          </v:line>
        </w:pict>
      </w:r>
      <w:r>
        <w:rPr>
          <w:rFonts w:hint="eastAsia" w:asciiTheme="minorEastAsia" w:hAnsiTheme="minorEastAsia" w:eastAsiaTheme="minorEastAsia"/>
          <w:sz w:val="24"/>
        </w:rPr>
        <w:t>根据贵方项目（招标编号）的投标邀请，签字代表</w:t>
      </w:r>
      <w:r>
        <w:rPr>
          <w:rFonts w:hint="eastAsia" w:asciiTheme="minorEastAsia" w:hAnsiTheme="minorEastAsia" w:eastAsiaTheme="minorEastAsia"/>
          <w:sz w:val="24"/>
          <w:u w:val="single"/>
        </w:rPr>
        <w:t>（全名、职务）</w:t>
      </w:r>
      <w:r>
        <w:rPr>
          <w:rFonts w:hint="eastAsia" w:asciiTheme="minorEastAsia" w:hAnsiTheme="minorEastAsia" w:eastAsiaTheme="minorEastAsia"/>
          <w:sz w:val="24"/>
        </w:rPr>
        <w:t>经正式授权并代表投标方</w:t>
      </w:r>
      <w:r>
        <w:rPr>
          <w:rFonts w:hint="eastAsia" w:asciiTheme="minorEastAsia" w:hAnsiTheme="minorEastAsia" w:eastAsiaTheme="minorEastAsia"/>
          <w:sz w:val="24"/>
          <w:u w:val="single"/>
        </w:rPr>
        <w:t>（投标方名称、地址）</w:t>
      </w:r>
      <w:r>
        <w:rPr>
          <w:rFonts w:hint="eastAsia" w:asciiTheme="minorEastAsia" w:hAnsiTheme="minorEastAsia" w:eastAsiaTheme="minorEastAsia"/>
          <w:sz w:val="24"/>
        </w:rPr>
        <w:t>提交下述文件。</w:t>
      </w:r>
    </w:p>
    <w:p w14:paraId="1C811223">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1 \* GB2 </w:instrText>
      </w:r>
      <w:r>
        <w:rPr>
          <w:rFonts w:asciiTheme="minorEastAsia" w:hAnsiTheme="minorEastAsia" w:eastAsiaTheme="minorEastAsia"/>
          <w:sz w:val="24"/>
        </w:rPr>
        <w:fldChar w:fldCharType="separate"/>
      </w:r>
      <w:r>
        <w:rPr>
          <w:rFonts w:asciiTheme="minorEastAsia" w:hAnsiTheme="minorEastAsia" w:eastAsiaTheme="minorEastAsia"/>
          <w:sz w:val="24"/>
        </w:rPr>
        <w:t>⑴</w:t>
      </w:r>
      <w:r>
        <w:rPr>
          <w:rFonts w:asciiTheme="minorEastAsia" w:hAnsiTheme="minorEastAsia" w:eastAsiaTheme="minorEastAsia"/>
          <w:sz w:val="24"/>
        </w:rPr>
        <w:fldChar w:fldCharType="end"/>
      </w:r>
      <w:r>
        <w:rPr>
          <w:rFonts w:hint="eastAsia" w:asciiTheme="minorEastAsia" w:hAnsiTheme="minorEastAsia" w:eastAsiaTheme="minorEastAsia"/>
          <w:sz w:val="24"/>
        </w:rPr>
        <w:t>开标一览表</w:t>
      </w:r>
    </w:p>
    <w:p w14:paraId="44FA38BC">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2 \* GB2 </w:instrText>
      </w:r>
      <w:r>
        <w:rPr>
          <w:rFonts w:asciiTheme="minorEastAsia" w:hAnsiTheme="minorEastAsia" w:eastAsiaTheme="minorEastAsia"/>
          <w:sz w:val="24"/>
        </w:rPr>
        <w:fldChar w:fldCharType="separate"/>
      </w:r>
      <w:r>
        <w:rPr>
          <w:rFonts w:asciiTheme="minorEastAsia" w:hAnsiTheme="minorEastAsia" w:eastAsiaTheme="minorEastAsia"/>
          <w:sz w:val="24"/>
        </w:rPr>
        <w:t>⑵</w:t>
      </w:r>
      <w:r>
        <w:rPr>
          <w:rFonts w:asciiTheme="minorEastAsia" w:hAnsiTheme="minorEastAsia" w:eastAsiaTheme="minorEastAsia"/>
          <w:sz w:val="24"/>
        </w:rPr>
        <w:fldChar w:fldCharType="end"/>
      </w:r>
      <w:r>
        <w:rPr>
          <w:rFonts w:hint="eastAsia" w:asciiTheme="minorEastAsia" w:hAnsiTheme="minorEastAsia" w:eastAsiaTheme="minorEastAsia"/>
          <w:sz w:val="24"/>
        </w:rPr>
        <w:t>售后服务计划</w:t>
      </w:r>
    </w:p>
    <w:p w14:paraId="78E202A8">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3 \* GB2 </w:instrText>
      </w:r>
      <w:r>
        <w:rPr>
          <w:rFonts w:asciiTheme="minorEastAsia" w:hAnsiTheme="minorEastAsia" w:eastAsiaTheme="minorEastAsia"/>
          <w:sz w:val="24"/>
        </w:rPr>
        <w:fldChar w:fldCharType="separate"/>
      </w:r>
      <w:r>
        <w:rPr>
          <w:rFonts w:asciiTheme="minorEastAsia" w:hAnsiTheme="minorEastAsia" w:eastAsiaTheme="minorEastAsia"/>
          <w:sz w:val="24"/>
        </w:rPr>
        <w:t>⑶</w:t>
      </w:r>
      <w:r>
        <w:rPr>
          <w:rFonts w:asciiTheme="minorEastAsia" w:hAnsiTheme="minorEastAsia" w:eastAsiaTheme="minorEastAsia"/>
          <w:sz w:val="24"/>
        </w:rPr>
        <w:fldChar w:fldCharType="end"/>
      </w:r>
      <w:r>
        <w:rPr>
          <w:rFonts w:hint="eastAsia" w:asciiTheme="minorEastAsia" w:hAnsiTheme="minorEastAsia" w:eastAsiaTheme="minorEastAsia"/>
          <w:sz w:val="24"/>
        </w:rPr>
        <w:t>规格响应表</w:t>
      </w:r>
    </w:p>
    <w:p w14:paraId="0FDC39CA">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4 \* GB2 </w:instrText>
      </w:r>
      <w:r>
        <w:rPr>
          <w:rFonts w:asciiTheme="minorEastAsia" w:hAnsiTheme="minorEastAsia" w:eastAsiaTheme="minorEastAsia"/>
          <w:sz w:val="24"/>
        </w:rPr>
        <w:fldChar w:fldCharType="separate"/>
      </w:r>
      <w:r>
        <w:rPr>
          <w:rFonts w:asciiTheme="minorEastAsia" w:hAnsiTheme="minorEastAsia" w:eastAsiaTheme="minorEastAsia"/>
          <w:sz w:val="24"/>
        </w:rPr>
        <w:t>⑷</w:t>
      </w:r>
      <w:r>
        <w:rPr>
          <w:rFonts w:asciiTheme="minorEastAsia" w:hAnsiTheme="minorEastAsia" w:eastAsiaTheme="minorEastAsia"/>
          <w:sz w:val="24"/>
        </w:rPr>
        <w:fldChar w:fldCharType="end"/>
      </w:r>
      <w:r>
        <w:rPr>
          <w:rFonts w:hint="eastAsia" w:asciiTheme="minorEastAsia" w:hAnsiTheme="minorEastAsia" w:eastAsiaTheme="minorEastAsia"/>
          <w:sz w:val="24"/>
        </w:rPr>
        <w:t>资格证明文件</w:t>
      </w:r>
    </w:p>
    <w:p w14:paraId="155A358A">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据此函，签字代表宣布同意如下：</w:t>
      </w:r>
    </w:p>
    <w:p w14:paraId="7B053E29">
      <w:pPr>
        <w:adjustRightInd w:val="0"/>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(1)我公司承诺，本次招标投标活动中提交的所有资料都是真实、准确、完整、合法的，如果未达到上述要求，我公司同意按照无效投标处理，如果违反相关法律、法规、规章的，我公司愿承担相应法律责任；</w:t>
      </w:r>
    </w:p>
    <w:p w14:paraId="26257A3A">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（2）投标方将按“招标文件”的规定履行合同责任和义务。</w:t>
      </w:r>
    </w:p>
    <w:p w14:paraId="51681224">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（3）投标方已详细审查全部“招标文件”，包括修改文件（如有的话）以及全部参考资料和有关附件。我们完全理解并同意放弃对这方面有不明及误解的权利。</w:t>
      </w:r>
    </w:p>
    <w:p w14:paraId="2F210CC4">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（4）其投标自开标日起有效期为</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w:t>
      </w:r>
    </w:p>
    <w:p w14:paraId="276D5393">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（5）投标方同意提供，按照贵方要求与投标有关的一切数据或资料，并理解贵方不一定接受最低价的投标。</w:t>
      </w:r>
    </w:p>
    <w:p w14:paraId="290C913D">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（6）与本投标有关的一切正式往来通讯请寄：</w:t>
      </w:r>
    </w:p>
    <w:p w14:paraId="77EEAD5E">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地址：邮编：</w:t>
      </w:r>
    </w:p>
    <w:p w14:paraId="1BE3C517">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电话：传真：</w:t>
      </w:r>
    </w:p>
    <w:p w14:paraId="406825CC">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投标方代表姓名、职务（印刷体）：</w:t>
      </w:r>
    </w:p>
    <w:p w14:paraId="78ACDC92">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投标方名称：</w:t>
      </w:r>
    </w:p>
    <w:p w14:paraId="74D9D78A">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（公章）：</w:t>
      </w:r>
    </w:p>
    <w:p w14:paraId="68E3014B">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日期：年月日</w:t>
      </w:r>
    </w:p>
    <w:p w14:paraId="52FAA0F3">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全权代表签字：</w:t>
      </w:r>
    </w:p>
    <w:p w14:paraId="2AAD4561">
      <w:pPr>
        <w:spacing w:line="276" w:lineRule="auto"/>
        <w:rPr>
          <w:rFonts w:asciiTheme="minorEastAsia" w:hAnsiTheme="minorEastAsia" w:eastAsiaTheme="minorEastAsia"/>
          <w:sz w:val="24"/>
        </w:rPr>
      </w:pPr>
    </w:p>
    <w:p w14:paraId="3B9B5827">
      <w:pPr>
        <w:spacing w:line="276" w:lineRule="auto"/>
        <w:rPr>
          <w:rFonts w:asciiTheme="minorEastAsia" w:hAnsiTheme="minorEastAsia" w:eastAsiaTheme="minorEastAsia"/>
          <w:sz w:val="24"/>
        </w:rPr>
      </w:pPr>
    </w:p>
    <w:p w14:paraId="7F6F52E3">
      <w:pPr>
        <w:pStyle w:val="2"/>
      </w:pPr>
      <w:bookmarkStart w:id="54" w:name="_Toc831"/>
      <w:bookmarkStart w:id="55" w:name="_Toc163481197"/>
      <w:r>
        <w:rPr>
          <w:rFonts w:hint="eastAsia"/>
        </w:rPr>
        <w:t>2、</w:t>
      </w:r>
      <w:bookmarkEnd w:id="54"/>
      <w:bookmarkEnd w:id="55"/>
      <w:r>
        <w:rPr>
          <w:rFonts w:hint="eastAsia"/>
        </w:rPr>
        <w:t>开标一览表</w:t>
      </w:r>
    </w:p>
    <w:p w14:paraId="0EA77BEC"/>
    <w:p w14:paraId="707683F7">
      <w:pPr>
        <w:spacing w:line="360" w:lineRule="exact"/>
        <w:ind w:right="2278"/>
        <w:jc w:val="center"/>
        <w:outlineLvl w:val="0"/>
        <w:rPr>
          <w:rFonts w:ascii="宋体" w:hAnsi="宋体"/>
          <w:sz w:val="28"/>
          <w:szCs w:val="28"/>
        </w:rPr>
      </w:pPr>
      <w:bookmarkStart w:id="56" w:name="_Toc373100990"/>
      <w:r>
        <w:rPr>
          <w:rFonts w:hint="eastAsia" w:ascii="宋体" w:hAnsi="宋体"/>
          <w:b/>
          <w:sz w:val="28"/>
          <w:szCs w:val="28"/>
        </w:rPr>
        <w:t>开标一览表</w:t>
      </w:r>
      <w:bookmarkEnd w:id="56"/>
    </w:p>
    <w:p w14:paraId="6C1BE43D">
      <w:pPr>
        <w:spacing w:line="240" w:lineRule="atLeast"/>
        <w:jc w:val="center"/>
        <w:rPr>
          <w:rFonts w:ascii="宋体"/>
          <w:sz w:val="32"/>
          <w:szCs w:val="32"/>
        </w:rPr>
      </w:pPr>
    </w:p>
    <w:p w14:paraId="2FA0026F">
      <w:pPr>
        <w:topLinePunct/>
        <w:rPr>
          <w:b/>
          <w:bCs/>
          <w:sz w:val="24"/>
        </w:rPr>
      </w:pPr>
      <w:r>
        <w:rPr>
          <w:rFonts w:hint="eastAsia"/>
          <w:b/>
          <w:bCs/>
          <w:sz w:val="24"/>
        </w:rPr>
        <w:t>项目名称：</w:t>
      </w:r>
    </w:p>
    <w:p w14:paraId="7895CD4C">
      <w:pPr>
        <w:topLinePunct/>
        <w:jc w:val="center"/>
        <w:rPr>
          <w:b/>
          <w:bCs/>
          <w:sz w:val="24"/>
        </w:rPr>
      </w:pPr>
    </w:p>
    <w:p w14:paraId="2EC96B39">
      <w:pPr>
        <w:topLinePunct/>
        <w:rPr>
          <w:b/>
          <w:bCs/>
          <w:sz w:val="24"/>
        </w:rPr>
      </w:pPr>
      <w:r>
        <w:rPr>
          <w:rFonts w:hint="eastAsia"/>
          <w:b/>
          <w:bCs/>
          <w:sz w:val="24"/>
        </w:rPr>
        <w:t xml:space="preserve">项目编号: </w:t>
      </w:r>
    </w:p>
    <w:p w14:paraId="53FD45FA">
      <w:pPr>
        <w:spacing w:line="360" w:lineRule="exact"/>
        <w:rPr>
          <w:rFonts w:ascii="宋体" w:hAnsi="宋体"/>
          <w:sz w:val="24"/>
        </w:rPr>
      </w:pPr>
    </w:p>
    <w:tbl>
      <w:tblPr>
        <w:tblStyle w:val="33"/>
        <w:tblW w:w="0" w:type="auto"/>
        <w:jc w:val="center"/>
        <w:tblLayout w:type="fixed"/>
        <w:tblCellMar>
          <w:top w:w="0" w:type="dxa"/>
          <w:left w:w="108" w:type="dxa"/>
          <w:bottom w:w="0" w:type="dxa"/>
          <w:right w:w="108" w:type="dxa"/>
        </w:tblCellMar>
      </w:tblPr>
      <w:tblGrid>
        <w:gridCol w:w="2185"/>
        <w:gridCol w:w="6742"/>
      </w:tblGrid>
      <w:tr w14:paraId="63C22165">
        <w:tblPrEx>
          <w:tblCellMar>
            <w:top w:w="0" w:type="dxa"/>
            <w:left w:w="108" w:type="dxa"/>
            <w:bottom w:w="0" w:type="dxa"/>
            <w:right w:w="108" w:type="dxa"/>
          </w:tblCellMar>
        </w:tblPrEx>
        <w:trPr>
          <w:trHeight w:val="715" w:hRule="atLeast"/>
          <w:jc w:val="center"/>
        </w:trPr>
        <w:tc>
          <w:tcPr>
            <w:tcW w:w="2185" w:type="dxa"/>
            <w:tcBorders>
              <w:top w:val="single" w:color="000000" w:sz="4" w:space="0"/>
              <w:left w:val="single" w:color="000000" w:sz="4" w:space="0"/>
              <w:bottom w:val="single" w:color="000000" w:sz="4" w:space="0"/>
              <w:right w:val="single" w:color="000000" w:sz="4" w:space="0"/>
            </w:tcBorders>
            <w:noWrap/>
            <w:vAlign w:val="center"/>
          </w:tcPr>
          <w:p w14:paraId="20F66BA7">
            <w:pPr>
              <w:topLinePunct/>
              <w:jc w:val="center"/>
              <w:rPr>
                <w:b/>
                <w:bCs/>
                <w:sz w:val="24"/>
              </w:rPr>
            </w:pPr>
            <w:r>
              <w:rPr>
                <w:rFonts w:hint="eastAsia"/>
                <w:b/>
                <w:bCs/>
                <w:sz w:val="24"/>
              </w:rPr>
              <w:t>投标人名称</w:t>
            </w:r>
          </w:p>
        </w:tc>
        <w:tc>
          <w:tcPr>
            <w:tcW w:w="6742" w:type="dxa"/>
            <w:tcBorders>
              <w:top w:val="single" w:color="000000" w:sz="4" w:space="0"/>
              <w:left w:val="nil"/>
              <w:bottom w:val="single" w:color="000000" w:sz="4" w:space="0"/>
              <w:right w:val="single" w:color="000000" w:sz="4" w:space="0"/>
            </w:tcBorders>
            <w:noWrap/>
            <w:vAlign w:val="center"/>
          </w:tcPr>
          <w:p w14:paraId="6990F2B8">
            <w:pPr>
              <w:rPr>
                <w:b/>
                <w:sz w:val="24"/>
              </w:rPr>
            </w:pPr>
            <w:r>
              <w:rPr>
                <w:rFonts w:hint="eastAsia"/>
                <w:b/>
                <w:sz w:val="24"/>
              </w:rPr>
              <w:t>（公章）</w:t>
            </w:r>
          </w:p>
        </w:tc>
      </w:tr>
      <w:tr w14:paraId="54EB13AD">
        <w:tblPrEx>
          <w:tblCellMar>
            <w:top w:w="0" w:type="dxa"/>
            <w:left w:w="108" w:type="dxa"/>
            <w:bottom w:w="0" w:type="dxa"/>
            <w:right w:w="108" w:type="dxa"/>
          </w:tblCellMar>
        </w:tblPrEx>
        <w:trPr>
          <w:trHeight w:val="772" w:hRule="atLeast"/>
          <w:jc w:val="center"/>
        </w:trPr>
        <w:tc>
          <w:tcPr>
            <w:tcW w:w="2185" w:type="dxa"/>
            <w:tcBorders>
              <w:top w:val="single" w:color="000000" w:sz="4" w:space="0"/>
              <w:left w:val="single" w:color="000000" w:sz="4" w:space="0"/>
              <w:bottom w:val="single" w:color="000000" w:sz="4" w:space="0"/>
              <w:right w:val="single" w:color="000000" w:sz="4" w:space="0"/>
            </w:tcBorders>
            <w:noWrap/>
            <w:vAlign w:val="center"/>
          </w:tcPr>
          <w:p w14:paraId="3F60BC91">
            <w:pPr>
              <w:topLinePunct/>
              <w:jc w:val="center"/>
              <w:rPr>
                <w:b/>
                <w:bCs/>
                <w:sz w:val="24"/>
              </w:rPr>
            </w:pPr>
            <w:r>
              <w:rPr>
                <w:rFonts w:hint="eastAsia" w:ascii="宋体" w:hAnsi="宋体" w:cs="宋体"/>
                <w:b/>
                <w:bCs/>
                <w:sz w:val="24"/>
              </w:rPr>
              <w:t>报价折扣</w:t>
            </w:r>
          </w:p>
        </w:tc>
        <w:tc>
          <w:tcPr>
            <w:tcW w:w="6742" w:type="dxa"/>
            <w:tcBorders>
              <w:top w:val="single" w:color="000000" w:sz="4" w:space="0"/>
              <w:left w:val="nil"/>
              <w:bottom w:val="single" w:color="000000" w:sz="4" w:space="0"/>
              <w:right w:val="single" w:color="000000" w:sz="4" w:space="0"/>
            </w:tcBorders>
            <w:noWrap/>
            <w:vAlign w:val="center"/>
          </w:tcPr>
          <w:p w14:paraId="69241337">
            <w:pPr>
              <w:topLinePunct/>
              <w:rPr>
                <w:b/>
                <w:bCs/>
                <w:sz w:val="24"/>
              </w:rPr>
            </w:pPr>
            <w:r>
              <w:rPr>
                <w:rFonts w:ascii="宋体" w:hAnsi="宋体" w:cs="宋体"/>
                <w:b/>
                <w:sz w:val="24"/>
              </w:rPr>
              <w:t>%</w:t>
            </w:r>
            <w:r>
              <w:rPr>
                <w:rFonts w:hint="eastAsia" w:ascii="宋体" w:hAnsi="宋体" w:cs="宋体"/>
                <w:b/>
                <w:sz w:val="24"/>
              </w:rPr>
              <w:t>（为避免恶意竞价，降低服务质量，报价折扣需在90%含-100%之间）。</w:t>
            </w:r>
          </w:p>
        </w:tc>
      </w:tr>
      <w:tr w14:paraId="583F0E87">
        <w:tblPrEx>
          <w:tblCellMar>
            <w:top w:w="0" w:type="dxa"/>
            <w:left w:w="108" w:type="dxa"/>
            <w:bottom w:w="0" w:type="dxa"/>
            <w:right w:w="108" w:type="dxa"/>
          </w:tblCellMar>
        </w:tblPrEx>
        <w:trPr>
          <w:trHeight w:val="2485" w:hRule="atLeast"/>
          <w:jc w:val="center"/>
        </w:trPr>
        <w:tc>
          <w:tcPr>
            <w:tcW w:w="2185" w:type="dxa"/>
            <w:tcBorders>
              <w:top w:val="single" w:color="000000" w:sz="4" w:space="0"/>
              <w:left w:val="single" w:color="000000" w:sz="4" w:space="0"/>
              <w:bottom w:val="single" w:color="000000" w:sz="4" w:space="0"/>
              <w:right w:val="single" w:color="000000" w:sz="4" w:space="0"/>
            </w:tcBorders>
            <w:noWrap/>
            <w:vAlign w:val="center"/>
          </w:tcPr>
          <w:p w14:paraId="005C64B7">
            <w:pPr>
              <w:topLinePunct/>
              <w:jc w:val="center"/>
              <w:rPr>
                <w:b/>
                <w:bCs/>
                <w:sz w:val="24"/>
              </w:rPr>
            </w:pPr>
            <w:r>
              <w:rPr>
                <w:rFonts w:hint="eastAsia" w:ascii="宋体" w:hAnsi="宋体" w:cs="宋体"/>
                <w:b/>
                <w:sz w:val="24"/>
              </w:rPr>
              <w:t>服务期/服务地点</w:t>
            </w:r>
          </w:p>
        </w:tc>
        <w:tc>
          <w:tcPr>
            <w:tcW w:w="6742" w:type="dxa"/>
            <w:tcBorders>
              <w:top w:val="single" w:color="000000" w:sz="4" w:space="0"/>
              <w:left w:val="nil"/>
              <w:bottom w:val="single" w:color="000000" w:sz="4" w:space="0"/>
              <w:right w:val="single" w:color="000000" w:sz="4" w:space="0"/>
            </w:tcBorders>
            <w:noWrap/>
            <w:vAlign w:val="center"/>
          </w:tcPr>
          <w:p w14:paraId="2061FF17">
            <w:pPr>
              <w:rPr>
                <w:sz w:val="24"/>
              </w:rPr>
            </w:pPr>
          </w:p>
          <w:p w14:paraId="3C3BBE31">
            <w:pPr>
              <w:adjustRightInd w:val="0"/>
              <w:snapToGrid w:val="0"/>
              <w:spacing w:line="360" w:lineRule="auto"/>
              <w:ind w:firstLine="482" w:firstLineChars="200"/>
              <w:rPr>
                <w:b/>
                <w:bCs/>
                <w:sz w:val="24"/>
              </w:rPr>
            </w:pPr>
            <w:r>
              <w:rPr>
                <w:rFonts w:hint="eastAsia" w:ascii="宋体" w:hAnsi="宋体" w:cs="宋体"/>
                <w:b/>
                <w:sz w:val="24"/>
              </w:rPr>
              <w:t>服务</w:t>
            </w:r>
            <w:r>
              <w:rPr>
                <w:rFonts w:hint="eastAsia" w:ascii="宋体" w:hAnsi="宋体" w:cs="宋体"/>
                <w:b/>
                <w:bCs/>
                <w:sz w:val="24"/>
              </w:rPr>
              <w:t>期：</w:t>
            </w:r>
            <w:r>
              <w:rPr>
                <w:rFonts w:hint="eastAsia" w:ascii="宋体" w:hAnsi="宋体" w:cs="宋体"/>
                <w:kern w:val="0"/>
                <w:sz w:val="24"/>
              </w:rPr>
              <w:t>合同签订后一年内，在在接到采购人通知后在指定时间内到达指定地点。</w:t>
            </w:r>
          </w:p>
          <w:p w14:paraId="692D3EEA">
            <w:pPr>
              <w:rPr>
                <w:b/>
                <w:bCs/>
                <w:sz w:val="24"/>
              </w:rPr>
            </w:pPr>
          </w:p>
          <w:p w14:paraId="7A63C070">
            <w:pPr>
              <w:ind w:firstLine="241" w:firstLineChars="100"/>
              <w:rPr>
                <w:b/>
                <w:bCs/>
                <w:sz w:val="24"/>
              </w:rPr>
            </w:pPr>
            <w:r>
              <w:rPr>
                <w:rFonts w:hint="eastAsia" w:ascii="宋体" w:hAnsi="宋体" w:cs="宋体"/>
                <w:b/>
                <w:sz w:val="24"/>
              </w:rPr>
              <w:t>服务</w:t>
            </w:r>
            <w:r>
              <w:rPr>
                <w:rFonts w:hint="eastAsia" w:ascii="宋体" w:hAnsi="宋体" w:cs="宋体"/>
                <w:b/>
                <w:bCs/>
                <w:sz w:val="24"/>
              </w:rPr>
              <w:t>地点：采购人指定地点</w:t>
            </w:r>
          </w:p>
          <w:p w14:paraId="3ED24B36">
            <w:pPr>
              <w:topLinePunct/>
              <w:rPr>
                <w:sz w:val="24"/>
                <w:u w:val="single"/>
              </w:rPr>
            </w:pPr>
          </w:p>
        </w:tc>
      </w:tr>
    </w:tbl>
    <w:p w14:paraId="5DA3A24A">
      <w:pPr>
        <w:spacing w:line="360" w:lineRule="exact"/>
        <w:rPr>
          <w:rFonts w:ascii="宋体" w:hAnsi="宋体"/>
          <w:sz w:val="24"/>
        </w:rPr>
      </w:pPr>
    </w:p>
    <w:p w14:paraId="0570265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78D5CBA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1404781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b/>
          <w:bCs/>
          <w:sz w:val="24"/>
        </w:rPr>
      </w:pPr>
      <w:r>
        <w:rPr>
          <w:rFonts w:hint="eastAsia" w:ascii="宋体" w:hAnsi="宋体"/>
          <w:b/>
          <w:bCs/>
          <w:sz w:val="24"/>
        </w:rPr>
        <w:t>法定代表或授权代表（签字）：            日期：</w:t>
      </w:r>
    </w:p>
    <w:p w14:paraId="4EB9970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143FBB93">
      <w:pPr>
        <w:spacing w:line="360" w:lineRule="exact"/>
        <w:rPr>
          <w:rFonts w:ascii="宋体" w:hAnsi="宋体" w:cs="仿宋"/>
        </w:rPr>
      </w:pPr>
      <w:r>
        <w:rPr>
          <w:rFonts w:hint="eastAsia" w:ascii="宋体" w:hAnsi="宋体"/>
          <w:sz w:val="24"/>
        </w:rPr>
        <w:t>备注：</w:t>
      </w:r>
      <w:r>
        <w:rPr>
          <w:rFonts w:hint="eastAsia" w:ascii="宋体" w:hAnsi="宋体" w:cs="仿宋"/>
          <w:sz w:val="24"/>
        </w:rPr>
        <w:t>总报价为包干价，包含本项目所有货物、服务、运输、按照、保险、税费等所有费用，采购方不再支付二次费用。</w:t>
      </w:r>
    </w:p>
    <w:p w14:paraId="483EA6C1">
      <w:pPr>
        <w:spacing w:line="360" w:lineRule="auto"/>
        <w:jc w:val="center"/>
        <w:rPr>
          <w:rFonts w:asciiTheme="minorEastAsia" w:hAnsiTheme="minorEastAsia" w:eastAsiaTheme="minorEastAsia"/>
          <w:b/>
          <w:sz w:val="24"/>
        </w:rPr>
      </w:pPr>
    </w:p>
    <w:p w14:paraId="5D17EAB6">
      <w:pPr>
        <w:pStyle w:val="28"/>
      </w:pPr>
    </w:p>
    <w:p w14:paraId="22864488">
      <w:pPr>
        <w:pStyle w:val="28"/>
      </w:pPr>
    </w:p>
    <w:p w14:paraId="41496BEF">
      <w:pPr>
        <w:pStyle w:val="28"/>
      </w:pPr>
    </w:p>
    <w:p w14:paraId="6F6781AD">
      <w:pPr>
        <w:pStyle w:val="2"/>
      </w:pPr>
      <w:bookmarkStart w:id="57" w:name="_Toc163481198"/>
      <w:bookmarkStart w:id="58" w:name="_Toc32157"/>
      <w:r>
        <w:rPr>
          <w:rFonts w:hint="eastAsia"/>
        </w:rPr>
        <w:t>3、</w:t>
      </w:r>
      <w:bookmarkEnd w:id="57"/>
      <w:bookmarkEnd w:id="58"/>
      <w:r>
        <w:rPr>
          <w:rFonts w:hint="eastAsia"/>
        </w:rPr>
        <w:t>采购需求响应表</w:t>
      </w:r>
    </w:p>
    <w:p w14:paraId="375A25E2">
      <w:pPr>
        <w:jc w:val="center"/>
        <w:rPr>
          <w:rFonts w:asciiTheme="minorEastAsia" w:hAnsiTheme="minorEastAsia" w:eastAsiaTheme="minorEastAsia"/>
          <w:b/>
          <w:bCs/>
          <w:sz w:val="24"/>
        </w:rPr>
      </w:pPr>
      <w:r>
        <w:rPr>
          <w:rFonts w:hint="eastAsia" w:asciiTheme="minorEastAsia" w:hAnsiTheme="minorEastAsia" w:eastAsiaTheme="minorEastAsia"/>
          <w:b/>
          <w:bCs/>
          <w:sz w:val="24"/>
        </w:rPr>
        <w:t>采购需求响应表</w:t>
      </w:r>
    </w:p>
    <w:p w14:paraId="5F4EAD18">
      <w:pPr>
        <w:pStyle w:val="2"/>
      </w:pPr>
    </w:p>
    <w:p w14:paraId="2D860D93">
      <w:pPr>
        <w:rPr>
          <w:rFonts w:asciiTheme="minorEastAsia" w:hAnsiTheme="minorEastAsia" w:eastAsiaTheme="minorEastAsia"/>
          <w:sz w:val="24"/>
        </w:rPr>
      </w:pPr>
      <w:r>
        <w:rPr>
          <w:rFonts w:hint="eastAsia" w:asciiTheme="minorEastAsia" w:hAnsiTheme="minorEastAsia" w:eastAsiaTheme="minor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评委会如发现有虚假描述，提供虚假材料谋取中标、成交的，属违反政府采购法相关规定，该投标文件作废标处理。</w:t>
      </w:r>
      <w:r>
        <w:rPr>
          <w:rFonts w:hint="eastAsia" w:asciiTheme="minorEastAsia" w:hAnsiTheme="minorEastAsia" w:eastAsiaTheme="minorEastAsia"/>
          <w:sz w:val="24"/>
        </w:rPr>
        <w:tab/>
      </w:r>
    </w:p>
    <w:p w14:paraId="16C85D24">
      <w:pPr>
        <w:rPr>
          <w:rFonts w:asciiTheme="minorEastAsia" w:hAnsiTheme="minorEastAsia" w:eastAsiaTheme="minorEastAsia"/>
          <w:sz w:val="24"/>
        </w:rPr>
      </w:pPr>
      <w:r>
        <w:rPr>
          <w:rFonts w:hint="eastAsia" w:asciiTheme="minorEastAsia" w:hAnsiTheme="minorEastAsia" w:eastAsiaTheme="minorEastAsia"/>
          <w:sz w:val="24"/>
        </w:rPr>
        <w:t>A、</w:t>
      </w:r>
      <w:r>
        <w:rPr>
          <w:rFonts w:hint="eastAsia" w:asciiTheme="minorEastAsia" w:hAnsiTheme="minorEastAsia" w:eastAsiaTheme="minorEastAsia"/>
          <w:b/>
          <w:bCs/>
          <w:sz w:val="24"/>
        </w:rPr>
        <w:sym w:font="Wingdings 2" w:char="00A3"/>
      </w:r>
      <w:r>
        <w:rPr>
          <w:rFonts w:hint="eastAsia" w:asciiTheme="minorEastAsia" w:hAnsiTheme="minorEastAsia" w:eastAsiaTheme="minorEastAsia"/>
          <w:sz w:val="24"/>
        </w:rPr>
        <w:t>我公司已详细阅读招标文件中各项采购需求，所有采购需求均无偏离，成交后我公司将严格遵照执行。</w:t>
      </w:r>
    </w:p>
    <w:p w14:paraId="0A8CFD2C">
      <w:pPr>
        <w:rPr>
          <w:rFonts w:asciiTheme="minorEastAsia" w:hAnsiTheme="minorEastAsia" w:eastAsiaTheme="minorEastAsia"/>
          <w:sz w:val="24"/>
        </w:rPr>
      </w:pPr>
      <w:r>
        <w:rPr>
          <w:rFonts w:hint="eastAsia" w:asciiTheme="minorEastAsia" w:hAnsiTheme="minorEastAsia" w:eastAsiaTheme="minorEastAsia"/>
          <w:sz w:val="24"/>
        </w:rPr>
        <w:t>B、</w:t>
      </w:r>
      <w:r>
        <w:rPr>
          <w:rFonts w:hint="eastAsia" w:asciiTheme="minorEastAsia" w:hAnsiTheme="minorEastAsia" w:eastAsiaTheme="minorEastAsia"/>
          <w:b/>
          <w:bCs/>
          <w:sz w:val="24"/>
        </w:rPr>
        <w:t>□</w:t>
      </w:r>
      <w:r>
        <w:rPr>
          <w:rFonts w:hint="eastAsia" w:asciiTheme="minorEastAsia" w:hAnsiTheme="minorEastAsia" w:eastAsiaTheme="minorEastAsia"/>
          <w:sz w:val="24"/>
        </w:rPr>
        <w:t>我公司已详细阅读单一来源文件中各项商务要求，除下述条款有偏离外，其余条款我公司均予以认可，成交后将严格遵照执行。</w:t>
      </w:r>
    </w:p>
    <w:p w14:paraId="6822D3D2">
      <w:pPr>
        <w:rPr>
          <w:rFonts w:asciiTheme="minorEastAsia" w:hAnsiTheme="minorEastAsia" w:eastAsiaTheme="minorEastAsia"/>
          <w:sz w:val="24"/>
        </w:rPr>
      </w:pPr>
    </w:p>
    <w:p w14:paraId="5766E913">
      <w:pPr>
        <w:rPr>
          <w:rFonts w:asciiTheme="minorEastAsia" w:hAnsiTheme="minorEastAsia" w:eastAsiaTheme="minorEastAsia"/>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745"/>
        <w:gridCol w:w="3769"/>
      </w:tblGrid>
      <w:tr w14:paraId="6CBA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noWrap/>
            <w:vAlign w:val="center"/>
          </w:tcPr>
          <w:p w14:paraId="6136D98E">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745" w:type="dxa"/>
            <w:noWrap/>
            <w:vAlign w:val="center"/>
          </w:tcPr>
          <w:p w14:paraId="5132B3C0">
            <w:pPr>
              <w:jc w:val="center"/>
              <w:rPr>
                <w:rFonts w:asciiTheme="minorEastAsia" w:hAnsiTheme="minorEastAsia" w:eastAsiaTheme="minorEastAsia"/>
                <w:sz w:val="24"/>
              </w:rPr>
            </w:pPr>
            <w:r>
              <w:rPr>
                <w:rFonts w:hint="eastAsia" w:asciiTheme="minorEastAsia" w:hAnsiTheme="minorEastAsia" w:eastAsiaTheme="minorEastAsia"/>
                <w:sz w:val="24"/>
              </w:rPr>
              <w:t>招标文件的采购需求条款</w:t>
            </w:r>
          </w:p>
        </w:tc>
        <w:tc>
          <w:tcPr>
            <w:tcW w:w="3769" w:type="dxa"/>
            <w:noWrap/>
            <w:vAlign w:val="center"/>
          </w:tcPr>
          <w:p w14:paraId="0ECADD60">
            <w:pPr>
              <w:jc w:val="center"/>
              <w:rPr>
                <w:rFonts w:asciiTheme="minorEastAsia" w:hAnsiTheme="minorEastAsia" w:eastAsiaTheme="minorEastAsia"/>
                <w:sz w:val="24"/>
              </w:rPr>
            </w:pPr>
            <w:r>
              <w:rPr>
                <w:rFonts w:hint="eastAsia" w:asciiTheme="minorEastAsia" w:hAnsiTheme="minorEastAsia" w:eastAsiaTheme="minorEastAsia"/>
                <w:sz w:val="24"/>
              </w:rPr>
              <w:t>响应文件的采购需求条款</w:t>
            </w:r>
          </w:p>
        </w:tc>
      </w:tr>
      <w:tr w14:paraId="22BF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noWrap/>
            <w:vAlign w:val="center"/>
          </w:tcPr>
          <w:p w14:paraId="2E8831AE">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745" w:type="dxa"/>
            <w:noWrap/>
            <w:vAlign w:val="center"/>
          </w:tcPr>
          <w:p w14:paraId="2A2897DC">
            <w:pPr>
              <w:jc w:val="center"/>
              <w:rPr>
                <w:rFonts w:asciiTheme="minorEastAsia" w:hAnsiTheme="minorEastAsia" w:eastAsiaTheme="minorEastAsia"/>
                <w:sz w:val="24"/>
              </w:rPr>
            </w:pPr>
          </w:p>
        </w:tc>
        <w:tc>
          <w:tcPr>
            <w:tcW w:w="3769" w:type="dxa"/>
            <w:noWrap/>
            <w:vAlign w:val="center"/>
          </w:tcPr>
          <w:p w14:paraId="37EED6A7">
            <w:pPr>
              <w:jc w:val="center"/>
              <w:rPr>
                <w:rFonts w:asciiTheme="minorEastAsia" w:hAnsiTheme="minorEastAsia" w:eastAsiaTheme="minorEastAsia"/>
                <w:sz w:val="24"/>
              </w:rPr>
            </w:pPr>
          </w:p>
        </w:tc>
      </w:tr>
      <w:tr w14:paraId="74E6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noWrap/>
            <w:vAlign w:val="center"/>
          </w:tcPr>
          <w:p w14:paraId="365DFA30">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745" w:type="dxa"/>
            <w:noWrap/>
            <w:vAlign w:val="center"/>
          </w:tcPr>
          <w:p w14:paraId="5DCFBC80">
            <w:pPr>
              <w:jc w:val="center"/>
              <w:rPr>
                <w:rFonts w:asciiTheme="minorEastAsia" w:hAnsiTheme="minorEastAsia" w:eastAsiaTheme="minorEastAsia"/>
                <w:sz w:val="24"/>
              </w:rPr>
            </w:pPr>
          </w:p>
        </w:tc>
        <w:tc>
          <w:tcPr>
            <w:tcW w:w="3769" w:type="dxa"/>
            <w:noWrap/>
            <w:vAlign w:val="center"/>
          </w:tcPr>
          <w:p w14:paraId="19401AF5">
            <w:pPr>
              <w:jc w:val="center"/>
              <w:rPr>
                <w:rFonts w:asciiTheme="minorEastAsia" w:hAnsiTheme="minorEastAsia" w:eastAsiaTheme="minorEastAsia"/>
                <w:sz w:val="24"/>
              </w:rPr>
            </w:pPr>
          </w:p>
        </w:tc>
      </w:tr>
      <w:tr w14:paraId="58D9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noWrap/>
            <w:vAlign w:val="center"/>
          </w:tcPr>
          <w:p w14:paraId="5DB79910">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745" w:type="dxa"/>
            <w:noWrap/>
            <w:vAlign w:val="center"/>
          </w:tcPr>
          <w:p w14:paraId="4545297C">
            <w:pPr>
              <w:jc w:val="center"/>
              <w:rPr>
                <w:rFonts w:asciiTheme="minorEastAsia" w:hAnsiTheme="minorEastAsia" w:eastAsiaTheme="minorEastAsia"/>
                <w:sz w:val="24"/>
              </w:rPr>
            </w:pPr>
          </w:p>
        </w:tc>
        <w:tc>
          <w:tcPr>
            <w:tcW w:w="3769" w:type="dxa"/>
            <w:noWrap/>
            <w:vAlign w:val="center"/>
          </w:tcPr>
          <w:p w14:paraId="1511AD6D">
            <w:pPr>
              <w:jc w:val="center"/>
              <w:rPr>
                <w:rFonts w:asciiTheme="minorEastAsia" w:hAnsiTheme="minorEastAsia" w:eastAsiaTheme="minorEastAsia"/>
                <w:sz w:val="24"/>
              </w:rPr>
            </w:pPr>
          </w:p>
        </w:tc>
      </w:tr>
    </w:tbl>
    <w:p w14:paraId="483D416C">
      <w:pPr>
        <w:rPr>
          <w:rFonts w:asciiTheme="minorEastAsia" w:hAnsiTheme="minorEastAsia" w:eastAsiaTheme="minorEastAsia"/>
          <w:sz w:val="24"/>
        </w:rPr>
      </w:pPr>
    </w:p>
    <w:p w14:paraId="0AA0E128">
      <w:pPr>
        <w:rPr>
          <w:rFonts w:asciiTheme="minorEastAsia" w:hAnsiTheme="minorEastAsia" w:eastAsiaTheme="minorEastAsia"/>
          <w:sz w:val="24"/>
        </w:rPr>
      </w:pPr>
    </w:p>
    <w:p w14:paraId="1CF4C55F">
      <w:pPr>
        <w:rPr>
          <w:rFonts w:asciiTheme="minorEastAsia" w:hAnsiTheme="minorEastAsia" w:eastAsiaTheme="minorEastAsia"/>
          <w:sz w:val="24"/>
        </w:rPr>
      </w:pPr>
      <w:r>
        <w:rPr>
          <w:rFonts w:hint="eastAsia" w:asciiTheme="minorEastAsia" w:hAnsiTheme="minorEastAsia" w:eastAsiaTheme="minorEastAsia"/>
          <w:sz w:val="24"/>
        </w:rPr>
        <w:t xml:space="preserve">投标人公司名称（盖章）：    </w:t>
      </w:r>
    </w:p>
    <w:p w14:paraId="691ABB75">
      <w:pPr>
        <w:pStyle w:val="2"/>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法定代表人或授权代表（签字或盖章）             </w:t>
      </w:r>
    </w:p>
    <w:p w14:paraId="26365B0D">
      <w:pPr>
        <w:pStyle w:val="2"/>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表格填写说明：</w:t>
      </w:r>
    </w:p>
    <w:p w14:paraId="1BA61B85">
      <w:pPr>
        <w:pStyle w:val="2"/>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1、供应商应根据实际情况，填写本表格，若无偏离，则勾选A项，签字盖章即可。若有偏离，则勾选B项，按表格要求及实际情况填写后，签字盖章。</w:t>
      </w:r>
    </w:p>
    <w:p w14:paraId="4DB26236">
      <w:pPr>
        <w:pStyle w:val="2"/>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2、表格中“招标文件的采购需求条款”请供应商根据实际情况如实、完整、准确的填写。</w:t>
      </w:r>
    </w:p>
    <w:p w14:paraId="0DA2CAFE">
      <w:pPr>
        <w:pStyle w:val="2"/>
      </w:pPr>
    </w:p>
    <w:p w14:paraId="5F0BA887"/>
    <w:p w14:paraId="32D40A42">
      <w:pPr>
        <w:pStyle w:val="2"/>
        <w:keepNext w:val="0"/>
        <w:keepLines w:val="0"/>
        <w:spacing w:line="415" w:lineRule="auto"/>
        <w:rPr>
          <w:rFonts w:ascii="宋体" w:hAnsi="宋体" w:eastAsia="宋体" w:cs="宋体"/>
        </w:rPr>
      </w:pPr>
      <w:r>
        <w:rPr>
          <w:rFonts w:hint="eastAsia" w:ascii="宋体" w:hAnsi="宋体" w:eastAsia="宋体" w:cs="宋体"/>
        </w:rPr>
        <w:t>附件4法定代表人授权书</w:t>
      </w:r>
    </w:p>
    <w:p w14:paraId="56F89257">
      <w:pPr>
        <w:spacing w:line="360" w:lineRule="exact"/>
        <w:outlineLvl w:val="0"/>
        <w:rPr>
          <w:rFonts w:ascii="宋体" w:hAnsi="宋体" w:cs="宋体"/>
          <w:b/>
          <w:sz w:val="24"/>
        </w:rPr>
      </w:pPr>
    </w:p>
    <w:p w14:paraId="43692362">
      <w:pPr>
        <w:pStyle w:val="2"/>
        <w:keepNext w:val="0"/>
        <w:keepLines w:val="0"/>
        <w:spacing w:line="415" w:lineRule="auto"/>
        <w:jc w:val="center"/>
        <w:rPr>
          <w:rFonts w:ascii="宋体" w:hAnsi="宋体" w:eastAsia="宋体" w:cs="宋体"/>
          <w:sz w:val="24"/>
          <w:szCs w:val="24"/>
        </w:rPr>
      </w:pPr>
      <w:bookmarkStart w:id="59" w:name="_Toc183588706"/>
      <w:r>
        <w:rPr>
          <w:rFonts w:hint="eastAsia" w:ascii="宋体" w:hAnsi="宋体" w:eastAsia="宋体" w:cs="宋体"/>
          <w:sz w:val="24"/>
          <w:szCs w:val="24"/>
        </w:rPr>
        <w:t>法定代表人授权书</w:t>
      </w:r>
      <w:bookmarkEnd w:id="59"/>
    </w:p>
    <w:p w14:paraId="4264C0E8">
      <w:pPr>
        <w:pStyle w:val="7"/>
        <w:rPr>
          <w:rFonts w:hAnsi="宋体"/>
        </w:rPr>
      </w:pPr>
    </w:p>
    <w:p w14:paraId="024A81DC">
      <w:pPr>
        <w:pStyle w:val="16"/>
        <w:rPr>
          <w:rFonts w:asciiTheme="minorEastAsia" w:hAnsiTheme="minorEastAsia" w:eastAsiaTheme="minorEastAsia"/>
          <w:sz w:val="24"/>
          <w:szCs w:val="24"/>
        </w:rPr>
      </w:pPr>
      <w:r>
        <w:rPr>
          <w:rFonts w:hint="eastAsia" w:asciiTheme="minorEastAsia" w:hAnsiTheme="minorEastAsia" w:eastAsiaTheme="minorEastAsia"/>
          <w:sz w:val="24"/>
          <w:szCs w:val="24"/>
        </w:rPr>
        <w:t>本授权书声明：注册于</w:t>
      </w:r>
      <w:r>
        <w:rPr>
          <w:rFonts w:hint="eastAsia" w:asciiTheme="minorEastAsia" w:hAnsiTheme="minorEastAsia" w:eastAsiaTheme="minorEastAsia"/>
          <w:sz w:val="24"/>
          <w:szCs w:val="24"/>
          <w:u w:val="single"/>
        </w:rPr>
        <w:t>（国家或地区的名称）</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公司名称</w:t>
      </w:r>
      <w:r>
        <w:rPr>
          <w:rFonts w:hint="eastAsia" w:asciiTheme="minorEastAsia" w:hAnsiTheme="minorEastAsia" w:eastAsiaTheme="minorEastAsia"/>
          <w:sz w:val="24"/>
          <w:szCs w:val="24"/>
        </w:rPr>
        <w:t>）的在下面签字的（</w:t>
      </w:r>
      <w:r>
        <w:rPr>
          <w:rFonts w:hint="eastAsia" w:asciiTheme="minorEastAsia" w:hAnsiTheme="minorEastAsia" w:eastAsiaTheme="minorEastAsia"/>
          <w:sz w:val="24"/>
          <w:szCs w:val="24"/>
          <w:u w:val="single"/>
        </w:rPr>
        <w:t>法人代表姓名、职务</w:t>
      </w:r>
      <w:r>
        <w:rPr>
          <w:rFonts w:hint="eastAsia" w:asciiTheme="minorEastAsia" w:hAnsiTheme="minorEastAsia" w:eastAsiaTheme="minorEastAsia"/>
          <w:sz w:val="24"/>
          <w:szCs w:val="24"/>
        </w:rPr>
        <w:t>）代表本公司授权（</w:t>
      </w:r>
      <w:r>
        <w:rPr>
          <w:rFonts w:hint="eastAsia" w:asciiTheme="minorEastAsia" w:hAnsiTheme="minorEastAsia" w:eastAsiaTheme="minorEastAsia"/>
          <w:sz w:val="24"/>
          <w:szCs w:val="24"/>
          <w:u w:val="single"/>
        </w:rPr>
        <w:t>单位名称</w:t>
      </w:r>
      <w:r>
        <w:rPr>
          <w:rFonts w:hint="eastAsia" w:asciiTheme="minorEastAsia" w:hAnsiTheme="minorEastAsia" w:eastAsiaTheme="minorEastAsia"/>
          <w:sz w:val="24"/>
          <w:szCs w:val="24"/>
        </w:rPr>
        <w:t>）的在下面签字的（</w:t>
      </w:r>
      <w:r>
        <w:rPr>
          <w:rFonts w:hint="eastAsia" w:asciiTheme="minorEastAsia" w:hAnsiTheme="minorEastAsia" w:eastAsiaTheme="minorEastAsia"/>
          <w:sz w:val="24"/>
          <w:szCs w:val="24"/>
          <w:u w:val="single"/>
        </w:rPr>
        <w:t>被授权人的姓名、职务</w:t>
      </w:r>
      <w:r>
        <w:rPr>
          <w:rFonts w:hint="eastAsia" w:asciiTheme="minorEastAsia" w:hAnsiTheme="minorEastAsia" w:eastAsiaTheme="minorEastAsia"/>
          <w:sz w:val="24"/>
          <w:szCs w:val="24"/>
        </w:rPr>
        <w:t>）为本公司的合法代理人，就（</w:t>
      </w:r>
      <w:r>
        <w:rPr>
          <w:rFonts w:hint="eastAsia" w:asciiTheme="minorEastAsia" w:hAnsiTheme="minorEastAsia" w:eastAsiaTheme="minorEastAsia"/>
          <w:sz w:val="24"/>
          <w:szCs w:val="24"/>
          <w:u w:val="single"/>
        </w:rPr>
        <w:t>项目名称</w:t>
      </w:r>
      <w:r>
        <w:rPr>
          <w:rFonts w:hint="eastAsia" w:asciiTheme="minorEastAsia" w:hAnsiTheme="minorEastAsia" w:eastAsiaTheme="minorEastAsia"/>
          <w:sz w:val="24"/>
          <w:szCs w:val="24"/>
        </w:rPr>
        <w:t>）的投标，以本公司名义处理一切与之有关的事务。</w:t>
      </w:r>
      <w:r>
        <w:rPr>
          <w:rFonts w:hint="eastAsia" w:asciiTheme="minorEastAsia" w:hAnsiTheme="minorEastAsia" w:eastAsiaTheme="minorEastAsia"/>
          <w:sz w:val="24"/>
          <w:szCs w:val="24"/>
        </w:rPr>
        <w:cr/>
      </w:r>
      <w:r>
        <w:rPr>
          <w:rFonts w:hint="eastAsia" w:asciiTheme="minorEastAsia" w:hAnsiTheme="minorEastAsia" w:eastAsiaTheme="minorEastAsia"/>
          <w:sz w:val="24"/>
          <w:szCs w:val="24"/>
        </w:rPr>
        <w:t>　　</w:t>
      </w:r>
    </w:p>
    <w:p w14:paraId="2A483DC8">
      <w:pPr>
        <w:pStyle w:val="16"/>
        <w:tabs>
          <w:tab w:val="left" w:pos="5580"/>
        </w:tabs>
        <w:ind w:left="479" w:leftChars="228" w:firstLine="64" w:firstLineChars="27"/>
        <w:rPr>
          <w:rFonts w:asciiTheme="minorEastAsia" w:hAnsiTheme="minorEastAsia" w:eastAsiaTheme="minorEastAsia"/>
          <w:sz w:val="24"/>
          <w:szCs w:val="24"/>
        </w:rPr>
      </w:pPr>
      <w:r>
        <w:rPr>
          <w:rFonts w:hint="eastAsia" w:asciiTheme="minorEastAsia" w:hAnsiTheme="minorEastAsia" w:eastAsiaTheme="minorEastAsia"/>
          <w:sz w:val="24"/>
          <w:szCs w:val="24"/>
        </w:rPr>
        <w:t>本授权书于__________年_____月______日签字生效,特此声明。</w:t>
      </w:r>
      <w:r>
        <w:rPr>
          <w:rFonts w:hint="eastAsia" w:asciiTheme="minorEastAsia" w:hAnsiTheme="minorEastAsia" w:eastAsiaTheme="minorEastAsia"/>
          <w:sz w:val="24"/>
          <w:szCs w:val="24"/>
        </w:rPr>
        <w:cr/>
      </w:r>
    </w:p>
    <w:p w14:paraId="10A9B8A9">
      <w:pPr>
        <w:pStyle w:val="16"/>
        <w:tabs>
          <w:tab w:val="left" w:pos="5580"/>
        </w:tabs>
        <w:ind w:left="479" w:leftChars="228" w:firstLine="64" w:firstLineChars="27"/>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法定代表人签字或盖章：____________________</w:t>
      </w:r>
    </w:p>
    <w:p w14:paraId="4B984CC0">
      <w:pPr>
        <w:pStyle w:val="16"/>
        <w:tabs>
          <w:tab w:val="left" w:pos="5580"/>
        </w:tabs>
        <w:ind w:left="718" w:leftChars="342"/>
        <w:rPr>
          <w:rFonts w:asciiTheme="minorEastAsia" w:hAnsiTheme="minorEastAsia" w:eastAsiaTheme="minorEastAsia"/>
          <w:sz w:val="24"/>
          <w:szCs w:val="24"/>
        </w:rPr>
      </w:pPr>
    </w:p>
    <w:p w14:paraId="5E092086">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被授权人签字：_____________________________ </w:t>
      </w:r>
    </w:p>
    <w:p w14:paraId="0B36BAE9">
      <w:pPr>
        <w:pStyle w:val="16"/>
        <w:tabs>
          <w:tab w:val="left" w:pos="5580"/>
        </w:tabs>
        <w:rPr>
          <w:rFonts w:asciiTheme="minorEastAsia" w:hAnsiTheme="minorEastAsia" w:eastAsiaTheme="minorEastAsia"/>
          <w:sz w:val="24"/>
          <w:szCs w:val="24"/>
        </w:rPr>
      </w:pPr>
    </w:p>
    <w:p w14:paraId="5E04A007">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公司盖章（名称）： </w:t>
      </w:r>
    </w:p>
    <w:p w14:paraId="26E9D9D3">
      <w:pPr>
        <w:pStyle w:val="16"/>
        <w:tabs>
          <w:tab w:val="left" w:pos="5580"/>
        </w:tabs>
        <w:ind w:firstLine="480" w:firstLineChars="200"/>
        <w:rPr>
          <w:rFonts w:asciiTheme="minorEastAsia" w:hAnsiTheme="minorEastAsia" w:eastAsiaTheme="minorEastAsia"/>
          <w:sz w:val="24"/>
          <w:szCs w:val="24"/>
        </w:rPr>
      </w:pPr>
    </w:p>
    <w:p w14:paraId="18C50176">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14:paraId="7E7DC2F1">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被授权人姓名：</w:t>
      </w:r>
    </w:p>
    <w:p w14:paraId="4F0C672A">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职　　　　务：</w:t>
      </w:r>
    </w:p>
    <w:p w14:paraId="77DACA30">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14:paraId="1AF868FA">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邮政编码　　：</w:t>
      </w:r>
    </w:p>
    <w:p w14:paraId="7F5BBB7A">
      <w:pPr>
        <w:pStyle w:val="16"/>
        <w:tabs>
          <w:tab w:val="left" w:pos="558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　　　　话：</w:t>
      </w:r>
    </w:p>
    <w:tbl>
      <w:tblPr>
        <w:tblStyle w:val="33"/>
        <w:tblpPr w:leftFromText="180" w:rightFromText="180" w:vertAnchor="text" w:horzAnchor="page" w:tblpX="2332" w:tblpY="6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1360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1EE3B9AF">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提供</w:t>
            </w:r>
          </w:p>
          <w:p w14:paraId="505804CA">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法定代表人及被授权人身份证复印件（正反面）</w:t>
            </w:r>
          </w:p>
        </w:tc>
      </w:tr>
    </w:tbl>
    <w:p w14:paraId="17579F44">
      <w:pPr>
        <w:spacing w:before="240" w:line="360" w:lineRule="exact"/>
        <w:rPr>
          <w:rFonts w:asciiTheme="minorEastAsia" w:hAnsiTheme="minorEastAsia" w:eastAsiaTheme="minorEastAsia"/>
          <w:sz w:val="24"/>
        </w:rPr>
      </w:pPr>
    </w:p>
    <w:p w14:paraId="6EB35F3D">
      <w:pPr>
        <w:spacing w:before="240" w:line="360" w:lineRule="exact"/>
        <w:rPr>
          <w:rFonts w:asciiTheme="minorEastAsia" w:hAnsiTheme="minorEastAsia" w:eastAsiaTheme="minorEastAsia"/>
          <w:sz w:val="24"/>
        </w:rPr>
      </w:pPr>
    </w:p>
    <w:p w14:paraId="2A1F0ECD">
      <w:pPr>
        <w:spacing w:before="240" w:line="360" w:lineRule="exact"/>
        <w:rPr>
          <w:rFonts w:asciiTheme="minorEastAsia" w:hAnsiTheme="minorEastAsia" w:eastAsiaTheme="minorEastAsia"/>
          <w:sz w:val="24"/>
        </w:rPr>
      </w:pPr>
    </w:p>
    <w:p w14:paraId="47400296">
      <w:pPr>
        <w:pStyle w:val="2"/>
        <w:rPr>
          <w:rFonts w:asciiTheme="minorEastAsia" w:hAnsiTheme="minorEastAsia" w:eastAsiaTheme="minorEastAsia"/>
          <w:b w:val="0"/>
          <w:bCs w:val="0"/>
          <w:sz w:val="24"/>
          <w:szCs w:val="24"/>
        </w:rPr>
      </w:pPr>
    </w:p>
    <w:p w14:paraId="4D45DD20">
      <w:pPr>
        <w:rPr>
          <w:rFonts w:asciiTheme="minorEastAsia" w:hAnsiTheme="minorEastAsia" w:eastAsiaTheme="minorEastAsia"/>
          <w:sz w:val="24"/>
        </w:rPr>
      </w:pPr>
    </w:p>
    <w:p w14:paraId="724AE301">
      <w:pPr>
        <w:pStyle w:val="2"/>
        <w:rPr>
          <w:rFonts w:asciiTheme="minorEastAsia" w:hAnsiTheme="minorEastAsia" w:eastAsiaTheme="minorEastAsia"/>
          <w:b w:val="0"/>
          <w:bCs w:val="0"/>
          <w:sz w:val="24"/>
          <w:szCs w:val="24"/>
        </w:rPr>
      </w:pPr>
    </w:p>
    <w:p w14:paraId="1FFBFDDF">
      <w:pPr>
        <w:rPr>
          <w:rFonts w:asciiTheme="minorEastAsia" w:hAnsiTheme="minorEastAsia" w:eastAsiaTheme="minorEastAsia"/>
          <w:sz w:val="24"/>
        </w:rPr>
      </w:pPr>
    </w:p>
    <w:p w14:paraId="2F81E435">
      <w:pPr>
        <w:pStyle w:val="2"/>
        <w:sectPr>
          <w:footerReference r:id="rId3" w:type="default"/>
          <w:pgSz w:w="11906" w:h="16838"/>
          <w:pgMar w:top="1440" w:right="1701" w:bottom="1440" w:left="1701" w:header="851" w:footer="992" w:gutter="0"/>
          <w:cols w:space="720" w:num="1"/>
          <w:docGrid w:type="lines" w:linePitch="312" w:charSpace="0"/>
        </w:sectPr>
      </w:pPr>
    </w:p>
    <w:p w14:paraId="778424C5">
      <w:pPr>
        <w:pStyle w:val="2"/>
        <w:rPr>
          <w:rFonts w:ascii="宋体" w:hAnsi="宋体" w:eastAsia="宋体" w:cs="宋体"/>
        </w:rPr>
      </w:pPr>
      <w:bookmarkStart w:id="60" w:name="_Toc163481201"/>
      <w:bookmarkStart w:id="61" w:name="_Toc14613"/>
      <w:r>
        <w:rPr>
          <w:rFonts w:hint="eastAsia" w:ascii="宋体" w:hAnsi="宋体" w:eastAsia="宋体" w:cs="宋体"/>
        </w:rPr>
        <w:t>5、资格证明文件格式</w:t>
      </w:r>
      <w:bookmarkEnd w:id="60"/>
      <w:bookmarkEnd w:id="61"/>
    </w:p>
    <w:p w14:paraId="0F44F313">
      <w:pPr>
        <w:pStyle w:val="16"/>
        <w:tabs>
          <w:tab w:val="left" w:pos="5160"/>
        </w:tabs>
        <w:spacing w:line="360" w:lineRule="exact"/>
        <w:jc w:val="center"/>
        <w:rPr>
          <w:rFonts w:hAnsi="宋体" w:cs="宋体"/>
          <w:b/>
          <w:bCs/>
          <w:sz w:val="24"/>
          <w:szCs w:val="24"/>
        </w:rPr>
      </w:pPr>
      <w:r>
        <w:rPr>
          <w:rFonts w:hint="eastAsia" w:hAnsi="宋体" w:cs="宋体"/>
          <w:b/>
          <w:bCs/>
          <w:sz w:val="24"/>
          <w:szCs w:val="24"/>
        </w:rPr>
        <w:t>资格证明文件格式</w:t>
      </w:r>
    </w:p>
    <w:p w14:paraId="2E914A53">
      <w:pPr>
        <w:pStyle w:val="16"/>
        <w:tabs>
          <w:tab w:val="left" w:pos="5160"/>
        </w:tabs>
        <w:spacing w:line="360" w:lineRule="exact"/>
        <w:jc w:val="center"/>
        <w:rPr>
          <w:rFonts w:hAnsi="宋体" w:cs="宋体"/>
          <w:b/>
          <w:bCs/>
          <w:sz w:val="24"/>
          <w:szCs w:val="24"/>
        </w:rPr>
      </w:pPr>
    </w:p>
    <w:p w14:paraId="2533AF1E">
      <w:pPr>
        <w:adjustRightInd w:val="0"/>
        <w:snapToGrid w:val="0"/>
        <w:spacing w:line="360" w:lineRule="auto"/>
        <w:rPr>
          <w:rFonts w:ascii="宋体" w:hAnsi="宋体" w:cs="宋体"/>
          <w:kern w:val="0"/>
          <w:sz w:val="24"/>
        </w:rPr>
      </w:pPr>
      <w:r>
        <w:rPr>
          <w:rFonts w:hint="eastAsia" w:ascii="宋体" w:hAnsi="宋体" w:cs="宋体"/>
          <w:b/>
          <w:bCs/>
          <w:kern w:val="0"/>
          <w:sz w:val="24"/>
        </w:rPr>
        <w:t>5.1供应商具有合格的“道路运输经营许可证”提供证书复印件加盖公章。</w:t>
      </w:r>
    </w:p>
    <w:p w14:paraId="63ADDBAB">
      <w:pPr>
        <w:adjustRightInd w:val="0"/>
        <w:snapToGrid w:val="0"/>
        <w:spacing w:line="360" w:lineRule="auto"/>
        <w:rPr>
          <w:rFonts w:ascii="宋体" w:hAnsi="宋体" w:cs="宋体"/>
          <w:b/>
          <w:bCs/>
          <w:kern w:val="0"/>
          <w:sz w:val="24"/>
        </w:rPr>
      </w:pPr>
      <w:r>
        <w:rPr>
          <w:rFonts w:hint="eastAsia" w:ascii="宋体" w:hAnsi="宋体" w:cs="宋体"/>
          <w:b/>
          <w:bCs/>
          <w:kern w:val="0"/>
          <w:sz w:val="24"/>
        </w:rPr>
        <w:t>5.2中华人民共和国境内注册、具有独立承担民事责任的能力（提供营业执照或事业单位法人证书）；</w:t>
      </w:r>
    </w:p>
    <w:p w14:paraId="25900898">
      <w:pPr>
        <w:adjustRightInd w:val="0"/>
        <w:snapToGrid w:val="0"/>
        <w:spacing w:line="360" w:lineRule="auto"/>
        <w:rPr>
          <w:rFonts w:ascii="宋体" w:hAnsi="宋体"/>
          <w:b/>
          <w:bCs/>
          <w:sz w:val="24"/>
        </w:rPr>
      </w:pPr>
      <w:r>
        <w:rPr>
          <w:rFonts w:hint="eastAsia" w:ascii="宋体" w:hAnsi="宋体"/>
          <w:b/>
          <w:bCs/>
          <w:sz w:val="24"/>
        </w:rPr>
        <w:t>5.3具备《中华人民共和国政府采购法》第二十二条规定条件及其他相关承诺书</w:t>
      </w:r>
    </w:p>
    <w:p w14:paraId="60F07B0C">
      <w:pPr>
        <w:spacing w:line="480" w:lineRule="auto"/>
        <w:rPr>
          <w:rFonts w:ascii="宋体" w:hAnsi="宋体" w:cs="仿宋"/>
          <w:sz w:val="24"/>
        </w:rPr>
      </w:pPr>
      <w:r>
        <w:rPr>
          <w:rFonts w:hint="eastAsia" w:ascii="宋体" w:hAnsi="宋体" w:cs="仿宋"/>
          <w:b/>
          <w:bCs/>
          <w:sz w:val="24"/>
        </w:rPr>
        <w:t>致：海南省教学仪器设备招标中心有限公司</w:t>
      </w:r>
    </w:p>
    <w:p w14:paraId="48E83DA0">
      <w:pPr>
        <w:spacing w:line="360" w:lineRule="auto"/>
        <w:ind w:firstLine="480" w:firstLineChars="200"/>
        <w:rPr>
          <w:rFonts w:ascii="宋体" w:hAnsi="宋体" w:cs="仿宋"/>
          <w:sz w:val="24"/>
        </w:rPr>
      </w:pPr>
      <w:r>
        <w:rPr>
          <w:rFonts w:hint="eastAsia" w:ascii="宋体" w:hAnsi="宋体" w:cs="仿宋"/>
          <w:sz w:val="24"/>
        </w:rPr>
        <w:t xml:space="preserve">本公司作为参加本次（项目编号为：）的供应商，现郑重承诺具备以下条件（《中华人民共和国政府采购法》第二十二条）： </w:t>
      </w:r>
    </w:p>
    <w:p w14:paraId="51FA4993">
      <w:pPr>
        <w:numPr>
          <w:ilvl w:val="0"/>
          <w:numId w:val="6"/>
        </w:numPr>
        <w:spacing w:line="360" w:lineRule="auto"/>
        <w:ind w:firstLine="480"/>
        <w:rPr>
          <w:rFonts w:ascii="宋体" w:hAnsi="宋体" w:cs="仿宋"/>
          <w:sz w:val="24"/>
        </w:rPr>
      </w:pPr>
      <w:r>
        <w:rPr>
          <w:rFonts w:hint="eastAsia" w:ascii="宋体" w:hAnsi="宋体" w:cs="仿宋"/>
          <w:sz w:val="24"/>
        </w:rPr>
        <w:t xml:space="preserve">具有独立承担民事责任的能力； </w:t>
      </w:r>
    </w:p>
    <w:p w14:paraId="315F3B39">
      <w:pPr>
        <w:numPr>
          <w:ilvl w:val="0"/>
          <w:numId w:val="6"/>
        </w:numPr>
        <w:spacing w:line="360" w:lineRule="auto"/>
        <w:ind w:firstLine="480"/>
        <w:rPr>
          <w:rFonts w:ascii="宋体" w:hAnsi="宋体" w:cs="仿宋"/>
          <w:sz w:val="24"/>
        </w:rPr>
      </w:pPr>
      <w:r>
        <w:rPr>
          <w:rFonts w:hint="eastAsia" w:ascii="宋体" w:hAnsi="宋体" w:cs="仿宋"/>
          <w:sz w:val="24"/>
        </w:rPr>
        <w:t xml:space="preserve">具有良好的商业信誉和健全的财务会计制度； </w:t>
      </w:r>
    </w:p>
    <w:p w14:paraId="04B00D12">
      <w:pPr>
        <w:numPr>
          <w:ilvl w:val="0"/>
          <w:numId w:val="6"/>
        </w:numPr>
        <w:spacing w:line="360" w:lineRule="auto"/>
        <w:ind w:firstLine="480"/>
        <w:rPr>
          <w:rFonts w:ascii="宋体" w:hAnsi="宋体" w:cs="仿宋"/>
          <w:sz w:val="24"/>
        </w:rPr>
      </w:pPr>
      <w:r>
        <w:rPr>
          <w:rFonts w:hint="eastAsia" w:ascii="宋体" w:hAnsi="宋体" w:cs="仿宋"/>
          <w:sz w:val="24"/>
        </w:rPr>
        <w:t xml:space="preserve">具有履行合同所必需的设备和专业技术能力； </w:t>
      </w:r>
    </w:p>
    <w:p w14:paraId="2ECDFEA3">
      <w:pPr>
        <w:numPr>
          <w:ilvl w:val="0"/>
          <w:numId w:val="6"/>
        </w:numPr>
        <w:spacing w:line="360" w:lineRule="auto"/>
        <w:ind w:firstLine="480"/>
        <w:rPr>
          <w:rFonts w:ascii="宋体" w:hAnsi="宋体" w:cs="仿宋"/>
          <w:sz w:val="24"/>
        </w:rPr>
      </w:pPr>
      <w:r>
        <w:rPr>
          <w:rFonts w:hint="eastAsia" w:ascii="宋体" w:hAnsi="宋体" w:cs="仿宋"/>
          <w:sz w:val="24"/>
        </w:rPr>
        <w:t xml:space="preserve">具有依法缴纳税收和社会保障资金的良好记录； </w:t>
      </w:r>
    </w:p>
    <w:p w14:paraId="76486F98">
      <w:pPr>
        <w:numPr>
          <w:ilvl w:val="0"/>
          <w:numId w:val="6"/>
        </w:numPr>
        <w:spacing w:line="360" w:lineRule="auto"/>
        <w:ind w:firstLine="480"/>
        <w:rPr>
          <w:rFonts w:ascii="宋体" w:hAnsi="宋体" w:cs="仿宋"/>
          <w:sz w:val="24"/>
        </w:rPr>
      </w:pPr>
      <w:r>
        <w:rPr>
          <w:rFonts w:hint="eastAsia" w:ascii="宋体" w:hAnsi="宋体" w:cs="仿宋"/>
          <w:sz w:val="24"/>
        </w:rPr>
        <w:t>参加本次政府采购活动前三年内，在经营活动中没有重大违法违规记录及</w:t>
      </w:r>
      <w:r>
        <w:rPr>
          <w:rFonts w:hint="eastAsia" w:ascii="宋体" w:hAnsi="宋体" w:cs="宋体"/>
          <w:kern w:val="0"/>
          <w:sz w:val="24"/>
        </w:rPr>
        <w:t>环保类行政处罚记录</w:t>
      </w:r>
      <w:r>
        <w:rPr>
          <w:rFonts w:hint="eastAsia" w:ascii="宋体" w:hAnsi="宋体" w:cs="仿宋"/>
          <w:sz w:val="24"/>
        </w:rPr>
        <w:t>；（成立不足三年的从成立之日起计算，提供声明函）</w:t>
      </w:r>
    </w:p>
    <w:p w14:paraId="1B8031C0">
      <w:pPr>
        <w:numPr>
          <w:ilvl w:val="0"/>
          <w:numId w:val="6"/>
        </w:numPr>
        <w:spacing w:line="360" w:lineRule="auto"/>
        <w:ind w:firstLine="480"/>
        <w:rPr>
          <w:rFonts w:ascii="宋体" w:hAnsi="宋体" w:cs="仿宋"/>
          <w:b/>
          <w:bCs/>
          <w:sz w:val="24"/>
        </w:rPr>
      </w:pPr>
      <w:r>
        <w:rPr>
          <w:rFonts w:hint="eastAsia" w:ascii="宋体" w:hAnsi="宋体" w:cs="仿宋"/>
          <w:b/>
          <w:bCs/>
          <w:sz w:val="24"/>
        </w:rPr>
        <w:t>我公司股份不含有港澳台及外资股份。</w:t>
      </w:r>
    </w:p>
    <w:p w14:paraId="6138400C">
      <w:pPr>
        <w:numPr>
          <w:ilvl w:val="0"/>
          <w:numId w:val="6"/>
        </w:numPr>
        <w:spacing w:line="360" w:lineRule="auto"/>
        <w:ind w:firstLine="480"/>
        <w:rPr>
          <w:rFonts w:ascii="宋体" w:hAnsi="宋体" w:cs="仿宋"/>
          <w:sz w:val="24"/>
        </w:rPr>
      </w:pPr>
      <w:r>
        <w:rPr>
          <w:rFonts w:hint="eastAsia" w:ascii="宋体" w:hAnsi="宋体" w:cs="仿宋"/>
          <w:sz w:val="24"/>
        </w:rPr>
        <w:t xml:space="preserve">法律、行政法规规定的其他条件。 </w:t>
      </w:r>
    </w:p>
    <w:p w14:paraId="6DC8DFFB">
      <w:pPr>
        <w:spacing w:line="360" w:lineRule="auto"/>
        <w:ind w:firstLine="482" w:firstLineChars="200"/>
        <w:rPr>
          <w:rFonts w:ascii="宋体" w:hAnsi="宋体" w:cs="仿宋"/>
          <w:b/>
          <w:bCs/>
          <w:sz w:val="24"/>
        </w:rPr>
      </w:pPr>
    </w:p>
    <w:p w14:paraId="0EC991B5">
      <w:pPr>
        <w:spacing w:line="360" w:lineRule="auto"/>
        <w:ind w:firstLine="482" w:firstLineChars="200"/>
        <w:rPr>
          <w:rFonts w:ascii="宋体" w:hAnsi="宋体" w:cs="仿宋"/>
          <w:b/>
          <w:bCs/>
          <w:sz w:val="24"/>
        </w:rPr>
      </w:pPr>
      <w:r>
        <w:rPr>
          <w:rFonts w:hint="eastAsia" w:ascii="宋体" w:hAnsi="宋体" w:cs="仿宋"/>
          <w:b/>
          <w:bCs/>
          <w:sz w:val="24"/>
        </w:rPr>
        <w:t>本公司对上述承诺的真实性负责。如有虚假，将依法承担相应责任。</w:t>
      </w:r>
    </w:p>
    <w:p w14:paraId="4BC95BF7">
      <w:pPr>
        <w:spacing w:line="360" w:lineRule="auto"/>
        <w:ind w:firstLine="480" w:firstLineChars="200"/>
        <w:rPr>
          <w:rFonts w:ascii="宋体" w:hAnsi="宋体" w:cs="仿宋"/>
          <w:sz w:val="24"/>
        </w:rPr>
      </w:pPr>
    </w:p>
    <w:p w14:paraId="2A1C8E1F">
      <w:pPr>
        <w:spacing w:line="360" w:lineRule="auto"/>
        <w:ind w:firstLine="480" w:firstLineChars="200"/>
        <w:rPr>
          <w:rFonts w:ascii="宋体" w:hAnsi="宋体" w:cs="仿宋"/>
          <w:sz w:val="24"/>
        </w:rPr>
      </w:pPr>
      <w:r>
        <w:rPr>
          <w:rFonts w:hint="eastAsia" w:ascii="宋体" w:hAnsi="宋体" w:cs="仿宋"/>
          <w:sz w:val="24"/>
        </w:rPr>
        <w:t>特此承诺。</w:t>
      </w:r>
    </w:p>
    <w:p w14:paraId="66B89FDE">
      <w:pPr>
        <w:spacing w:line="360" w:lineRule="auto"/>
        <w:rPr>
          <w:rFonts w:ascii="宋体" w:hAnsi="宋体" w:cs="仿宋"/>
          <w:sz w:val="24"/>
        </w:rPr>
      </w:pPr>
    </w:p>
    <w:p w14:paraId="63D89248">
      <w:pPr>
        <w:pStyle w:val="7"/>
        <w:rPr>
          <w:rFonts w:ascii="宋体" w:hAnsi="宋体" w:cs="仿宋"/>
        </w:rPr>
      </w:pPr>
    </w:p>
    <w:p w14:paraId="45A8FB7D">
      <w:pPr>
        <w:shd w:val="clear" w:color="auto" w:fill="FFFFFF"/>
        <w:snapToGrid w:val="0"/>
        <w:spacing w:line="360" w:lineRule="auto"/>
        <w:ind w:firstLine="480" w:firstLineChars="200"/>
        <w:rPr>
          <w:rFonts w:ascii="宋体" w:hAnsi="宋体" w:cs="仿宋"/>
          <w:sz w:val="24"/>
        </w:rPr>
      </w:pPr>
      <w:r>
        <w:rPr>
          <w:rFonts w:hint="eastAsia" w:ascii="宋体" w:hAnsi="宋体" w:cs="仿宋"/>
          <w:sz w:val="24"/>
        </w:rPr>
        <w:t>供应商名称：</w:t>
      </w:r>
      <w:r>
        <w:rPr>
          <w:rFonts w:hint="eastAsia" w:ascii="宋体" w:hAnsi="宋体" w:cs="仿宋"/>
          <w:sz w:val="24"/>
          <w:u w:val="single"/>
        </w:rPr>
        <w:t xml:space="preserve">                 （盖章）</w:t>
      </w:r>
    </w:p>
    <w:p w14:paraId="715C956C">
      <w:pPr>
        <w:shd w:val="clear" w:color="auto" w:fill="FFFFFF"/>
        <w:snapToGrid w:val="0"/>
        <w:spacing w:line="360" w:lineRule="auto"/>
        <w:rPr>
          <w:rFonts w:ascii="宋体" w:hAnsi="宋体" w:cs="仿宋"/>
          <w:sz w:val="24"/>
          <w:u w:val="single"/>
        </w:rPr>
      </w:pPr>
      <w:r>
        <w:rPr>
          <w:rFonts w:hint="eastAsia" w:ascii="宋体" w:hAnsi="宋体" w:cs="仿宋"/>
          <w:sz w:val="24"/>
        </w:rPr>
        <w:t xml:space="preserve">    地址：邮编：</w:t>
      </w:r>
    </w:p>
    <w:p w14:paraId="3B148DD7">
      <w:pPr>
        <w:shd w:val="clear" w:color="auto" w:fill="FFFFFF"/>
        <w:snapToGrid w:val="0"/>
        <w:spacing w:line="360" w:lineRule="auto"/>
        <w:rPr>
          <w:rFonts w:ascii="宋体" w:hAnsi="宋体" w:cs="仿宋"/>
          <w:sz w:val="24"/>
          <w:u w:val="single"/>
        </w:rPr>
      </w:pPr>
      <w:r>
        <w:rPr>
          <w:rFonts w:hint="eastAsia" w:ascii="宋体" w:hAnsi="宋体" w:cs="仿宋"/>
          <w:sz w:val="24"/>
        </w:rPr>
        <w:t xml:space="preserve">    电话：传真：</w:t>
      </w:r>
    </w:p>
    <w:p w14:paraId="044CB366">
      <w:pPr>
        <w:shd w:val="clear" w:color="auto" w:fill="FFFFFF"/>
        <w:snapToGrid w:val="0"/>
        <w:spacing w:line="360" w:lineRule="auto"/>
        <w:rPr>
          <w:rFonts w:ascii="宋体" w:hAnsi="宋体" w:cs="仿宋"/>
          <w:sz w:val="24"/>
          <w:u w:val="single"/>
        </w:rPr>
      </w:pPr>
      <w:r>
        <w:rPr>
          <w:rFonts w:hint="eastAsia" w:ascii="宋体" w:hAnsi="宋体" w:cs="仿宋"/>
          <w:sz w:val="24"/>
        </w:rPr>
        <w:t xml:space="preserve">    授权代表：</w:t>
      </w:r>
      <w:r>
        <w:rPr>
          <w:rFonts w:hint="eastAsia" w:ascii="宋体" w:hAnsi="宋体" w:cs="仿宋"/>
          <w:sz w:val="24"/>
          <w:u w:val="single"/>
        </w:rPr>
        <w:t xml:space="preserve">             （签名或私章）</w:t>
      </w:r>
      <w:r>
        <w:rPr>
          <w:rFonts w:hint="eastAsia" w:ascii="宋体" w:hAnsi="宋体" w:cs="仿宋"/>
          <w:sz w:val="24"/>
        </w:rPr>
        <w:t>职务：</w:t>
      </w:r>
    </w:p>
    <w:p w14:paraId="7ACC447E">
      <w:pPr>
        <w:shd w:val="clear" w:color="auto" w:fill="FFFFFF"/>
        <w:snapToGrid w:val="0"/>
        <w:spacing w:line="360" w:lineRule="auto"/>
        <w:rPr>
          <w:rFonts w:ascii="宋体" w:hAnsi="宋体" w:cs="仿宋"/>
          <w:sz w:val="24"/>
          <w:u w:val="single"/>
        </w:rPr>
      </w:pPr>
      <w:r>
        <w:rPr>
          <w:rFonts w:hint="eastAsia" w:ascii="宋体" w:hAnsi="宋体" w:cs="仿宋"/>
          <w:sz w:val="24"/>
        </w:rPr>
        <w:t xml:space="preserve">    日期：</w:t>
      </w:r>
    </w:p>
    <w:p w14:paraId="1F3EDD90">
      <w:pPr>
        <w:rPr>
          <w:rFonts w:ascii="宋体" w:hAnsi="宋体"/>
        </w:rPr>
        <w:sectPr>
          <w:pgSz w:w="11906" w:h="16838"/>
          <w:pgMar w:top="1440" w:right="1701" w:bottom="1440" w:left="1701" w:header="851" w:footer="992" w:gutter="0"/>
          <w:cols w:space="720" w:num="1"/>
          <w:docGrid w:type="lines" w:linePitch="312" w:charSpace="0"/>
        </w:sectPr>
      </w:pPr>
    </w:p>
    <w:p w14:paraId="637F2840">
      <w:pPr>
        <w:pStyle w:val="2"/>
        <w:rPr>
          <w:rFonts w:ascii="宋体" w:hAnsi="宋体" w:eastAsia="宋体" w:cs="宋体"/>
        </w:rPr>
      </w:pPr>
      <w:bookmarkStart w:id="62" w:name="_Toc163481202"/>
      <w:bookmarkStart w:id="63" w:name="_Toc8921"/>
      <w:r>
        <w:rPr>
          <w:rFonts w:hint="eastAsia" w:ascii="宋体" w:hAnsi="宋体" w:eastAsia="宋体" w:cs="宋体"/>
        </w:rPr>
        <w:t>6、供应商认为需要提供的用于参与评审其他相关资料</w:t>
      </w:r>
      <w:bookmarkEnd w:id="62"/>
      <w:bookmarkEnd w:id="63"/>
    </w:p>
    <w:p w14:paraId="4168E284">
      <w:pPr>
        <w:spacing w:line="276" w:lineRule="auto"/>
        <w:rPr>
          <w:rFonts w:asciiTheme="minorEastAsia" w:hAnsiTheme="minorEastAsia" w:eastAsiaTheme="minorEastAsia"/>
          <w:b/>
          <w:sz w:val="24"/>
        </w:rPr>
      </w:pPr>
    </w:p>
    <w:p w14:paraId="7F388445">
      <w:pPr>
        <w:pStyle w:val="16"/>
        <w:spacing w:line="540" w:lineRule="exact"/>
        <w:rPr>
          <w:rFonts w:hAnsi="宋体"/>
          <w:sz w:val="24"/>
          <w:szCs w:val="24"/>
        </w:rPr>
      </w:pPr>
    </w:p>
    <w:sectPr>
      <w:headerReference r:id="rId4" w:type="default"/>
      <w:footerReference r:id="rId5" w:type="default"/>
      <w:footerReference r:id="rId6" w:type="even"/>
      <w:pgSz w:w="11906" w:h="16838"/>
      <w:pgMar w:top="777" w:right="1469" w:bottom="10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ヒラギノ角ゴ Pro W3">
    <w:altName w:val="Noto Sans SC"/>
    <w:panose1 w:val="00000000000000000000"/>
    <w:charset w:val="80"/>
    <w:family w:val="auto"/>
    <w:pitch w:val="default"/>
    <w:sig w:usb0="00000000" w:usb1="00000000" w:usb2="00000000" w:usb3="00000000" w:csb0="00160000" w:csb1="00000000"/>
  </w:font>
  <w:font w:name="Noto Sans SC">
    <w:panose1 w:val="020B0500000000000000"/>
    <w:charset w:val="86"/>
    <w:family w:val="auto"/>
    <w:pitch w:val="default"/>
    <w:sig w:usb0="20000083" w:usb1="2ADF3C10" w:usb2="00000016" w:usb3="00000000" w:csb0="60060107" w:csb1="00000000"/>
  </w:font>
  <w:font w:name="汉仪中黑简">
    <w:altName w:val="黑体"/>
    <w:panose1 w:val="00000000000000000000"/>
    <w:charset w:val="86"/>
    <w:family w:val="roman"/>
    <w:pitch w:val="default"/>
    <w:sig w:usb0="00000000" w:usb1="00000000" w:usb2="00000002"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7516">
    <w:pPr>
      <w:pStyle w:val="20"/>
      <w:tabs>
        <w:tab w:val="left" w:pos="5069"/>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5AB4AAFB">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6D64">
    <w:pPr>
      <w:pStyle w:val="20"/>
      <w:rPr>
        <w:sz w:val="13"/>
        <w:szCs w:val="13"/>
      </w:rPr>
    </w:pPr>
    <w:r>
      <w:rPr>
        <w:sz w:val="13"/>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1A796A3B">
                <w:pPr>
                  <w:pStyle w:val="2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rFonts w:hint="eastAsia"/>
        <w:sz w:val="13"/>
        <w:szCs w:val="13"/>
      </w:rPr>
      <w:t>海南省教学仪器设备招标中心有限公司编制</w:t>
    </w:r>
  </w:p>
  <w:p w14:paraId="2B7EAB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5AD2">
    <w:pPr>
      <w:pStyle w:val="20"/>
      <w:framePr w:wrap="around" w:vAnchor="text" w:hAnchor="margin" w:xAlign="center" w:y="1"/>
      <w:rPr>
        <w:rStyle w:val="37"/>
      </w:rPr>
    </w:pPr>
    <w:r>
      <w:fldChar w:fldCharType="begin"/>
    </w:r>
    <w:r>
      <w:rPr>
        <w:rStyle w:val="37"/>
      </w:rPr>
      <w:instrText xml:space="preserve">PAGE  </w:instrText>
    </w:r>
    <w:r>
      <w:fldChar w:fldCharType="end"/>
    </w:r>
  </w:p>
  <w:p w14:paraId="4936543B">
    <w:pPr>
      <w:pStyle w:val="20"/>
    </w:pPr>
  </w:p>
  <w:p w14:paraId="4870359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53EC8">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BA76F"/>
    <w:multiLevelType w:val="singleLevel"/>
    <w:tmpl w:val="917BA76F"/>
    <w:lvl w:ilvl="0" w:tentative="0">
      <w:start w:val="1"/>
      <w:numFmt w:val="chineseCounting"/>
      <w:suff w:val="nothing"/>
      <w:lvlText w:val="（%1）"/>
      <w:lvlJc w:val="left"/>
      <w:pPr>
        <w:ind w:left="-60"/>
      </w:pPr>
      <w:rPr>
        <w:rFonts w:hint="eastAsia"/>
        <w:color w:val="auto"/>
      </w:rPr>
    </w:lvl>
  </w:abstractNum>
  <w:abstractNum w:abstractNumId="1">
    <w:nsid w:val="E729B61B"/>
    <w:multiLevelType w:val="singleLevel"/>
    <w:tmpl w:val="E729B61B"/>
    <w:lvl w:ilvl="0" w:tentative="0">
      <w:start w:val="1"/>
      <w:numFmt w:val="decimal"/>
      <w:lvlText w:val="%1."/>
      <w:lvlJc w:val="left"/>
      <w:pPr>
        <w:tabs>
          <w:tab w:val="left" w:pos="312"/>
        </w:tabs>
      </w:pPr>
    </w:lvl>
  </w:abstractNum>
  <w:abstractNum w:abstractNumId="2">
    <w:nsid w:val="FF3768B6"/>
    <w:multiLevelType w:val="singleLevel"/>
    <w:tmpl w:val="FF3768B6"/>
    <w:lvl w:ilvl="0" w:tentative="0">
      <w:start w:val="1"/>
      <w:numFmt w:val="chineseCounting"/>
      <w:suff w:val="nothing"/>
      <w:lvlText w:val="%1、"/>
      <w:lvlJc w:val="left"/>
      <w:pPr>
        <w:ind w:left="0" w:firstLine="420"/>
      </w:pPr>
      <w:rPr>
        <w:rFonts w:hint="eastAsia"/>
      </w:rPr>
    </w:lvl>
  </w:abstractNum>
  <w:abstractNum w:abstractNumId="3">
    <w:nsid w:val="3486782D"/>
    <w:multiLevelType w:val="singleLevel"/>
    <w:tmpl w:val="3486782D"/>
    <w:lvl w:ilvl="0" w:tentative="0">
      <w:start w:val="1"/>
      <w:numFmt w:val="chineseCounting"/>
      <w:suff w:val="nothing"/>
      <w:lvlText w:val="%1、"/>
      <w:lvlJc w:val="left"/>
      <w:rPr>
        <w:rFonts w:hint="eastAsia"/>
      </w:rPr>
    </w:lvl>
  </w:abstractNum>
  <w:abstractNum w:abstractNumId="4">
    <w:nsid w:val="58491EB4"/>
    <w:multiLevelType w:val="singleLevel"/>
    <w:tmpl w:val="58491EB4"/>
    <w:lvl w:ilvl="0" w:tentative="0">
      <w:start w:val="3"/>
      <w:numFmt w:val="decimal"/>
      <w:suff w:val="nothing"/>
      <w:lvlText w:val="%1、"/>
      <w:lvlJc w:val="left"/>
    </w:lvl>
  </w:abstractNum>
  <w:abstractNum w:abstractNumId="5">
    <w:nsid w:val="7AFE4C57"/>
    <w:multiLevelType w:val="singleLevel"/>
    <w:tmpl w:val="7AFE4C57"/>
    <w:lvl w:ilvl="0" w:tentative="0">
      <w:start w:val="1"/>
      <w:numFmt w:val="decimal"/>
      <w:lvlText w:val="%1."/>
      <w:lvlJc w:val="left"/>
      <w:pPr>
        <w:tabs>
          <w:tab w:val="left" w:pos="312"/>
        </w:tabs>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nforcement="0"/>
  <w:defaultTabStop w:val="420"/>
  <w:drawingGridHorizontalSpacing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ayNDcxMrQwsbQ0NDS3NDNR0lEKTi0uzszPAykwqgUAAD7quiwAAAA="/>
    <w:docVar w:name="commondata" w:val="eyJoZGlkIjoiYzVmMmFkYmQ2NGQxYzI0NmIzYTRkNjEyN2M0Njk0YjkifQ=="/>
  </w:docVars>
  <w:rsids>
    <w:rsidRoot w:val="000F4869"/>
    <w:rsid w:val="00004C06"/>
    <w:rsid w:val="00005517"/>
    <w:rsid w:val="00006A8B"/>
    <w:rsid w:val="00007963"/>
    <w:rsid w:val="00012E9E"/>
    <w:rsid w:val="00013733"/>
    <w:rsid w:val="00017F00"/>
    <w:rsid w:val="00020C42"/>
    <w:rsid w:val="000211CC"/>
    <w:rsid w:val="000216CB"/>
    <w:rsid w:val="00023668"/>
    <w:rsid w:val="00024439"/>
    <w:rsid w:val="00031BFB"/>
    <w:rsid w:val="00034F20"/>
    <w:rsid w:val="0003703C"/>
    <w:rsid w:val="00037CC3"/>
    <w:rsid w:val="00037F2B"/>
    <w:rsid w:val="00037FC4"/>
    <w:rsid w:val="000473A1"/>
    <w:rsid w:val="00050A5A"/>
    <w:rsid w:val="00050FD1"/>
    <w:rsid w:val="00051374"/>
    <w:rsid w:val="0005224C"/>
    <w:rsid w:val="00054C01"/>
    <w:rsid w:val="0005507B"/>
    <w:rsid w:val="00056BAE"/>
    <w:rsid w:val="000577D9"/>
    <w:rsid w:val="00057CCC"/>
    <w:rsid w:val="000601AB"/>
    <w:rsid w:val="00061668"/>
    <w:rsid w:val="000619AF"/>
    <w:rsid w:val="00062CA7"/>
    <w:rsid w:val="00063F2B"/>
    <w:rsid w:val="0006452E"/>
    <w:rsid w:val="000651A0"/>
    <w:rsid w:val="000665E1"/>
    <w:rsid w:val="00066C6E"/>
    <w:rsid w:val="00066E56"/>
    <w:rsid w:val="00080B2C"/>
    <w:rsid w:val="00081906"/>
    <w:rsid w:val="00082415"/>
    <w:rsid w:val="00083771"/>
    <w:rsid w:val="000846D9"/>
    <w:rsid w:val="00085860"/>
    <w:rsid w:val="00085FEB"/>
    <w:rsid w:val="0008775C"/>
    <w:rsid w:val="00090F2C"/>
    <w:rsid w:val="00092183"/>
    <w:rsid w:val="0009438C"/>
    <w:rsid w:val="00095C3C"/>
    <w:rsid w:val="00097FE7"/>
    <w:rsid w:val="000A2C2E"/>
    <w:rsid w:val="000A48F9"/>
    <w:rsid w:val="000A5E17"/>
    <w:rsid w:val="000A62E3"/>
    <w:rsid w:val="000A7D0C"/>
    <w:rsid w:val="000B00AD"/>
    <w:rsid w:val="000B00D4"/>
    <w:rsid w:val="000B10EE"/>
    <w:rsid w:val="000B1E28"/>
    <w:rsid w:val="000B230D"/>
    <w:rsid w:val="000B24DB"/>
    <w:rsid w:val="000B3C52"/>
    <w:rsid w:val="000B3CC3"/>
    <w:rsid w:val="000B4C9A"/>
    <w:rsid w:val="000C0375"/>
    <w:rsid w:val="000C0910"/>
    <w:rsid w:val="000C0B8B"/>
    <w:rsid w:val="000C1F5C"/>
    <w:rsid w:val="000C2044"/>
    <w:rsid w:val="000C3446"/>
    <w:rsid w:val="000C53A8"/>
    <w:rsid w:val="000C578B"/>
    <w:rsid w:val="000C6E86"/>
    <w:rsid w:val="000C747D"/>
    <w:rsid w:val="000C77D8"/>
    <w:rsid w:val="000D0A08"/>
    <w:rsid w:val="000D13C5"/>
    <w:rsid w:val="000D5EB5"/>
    <w:rsid w:val="000E2338"/>
    <w:rsid w:val="000E2B15"/>
    <w:rsid w:val="000E4D17"/>
    <w:rsid w:val="000E510A"/>
    <w:rsid w:val="000E5125"/>
    <w:rsid w:val="000E69BD"/>
    <w:rsid w:val="000E6A76"/>
    <w:rsid w:val="000E7133"/>
    <w:rsid w:val="000F0ECD"/>
    <w:rsid w:val="000F1350"/>
    <w:rsid w:val="000F369E"/>
    <w:rsid w:val="000F4869"/>
    <w:rsid w:val="000F4A53"/>
    <w:rsid w:val="000F56A2"/>
    <w:rsid w:val="000F6100"/>
    <w:rsid w:val="000F6C6A"/>
    <w:rsid w:val="000F7138"/>
    <w:rsid w:val="000F7EEC"/>
    <w:rsid w:val="00101A84"/>
    <w:rsid w:val="00102302"/>
    <w:rsid w:val="0010762C"/>
    <w:rsid w:val="00110E1A"/>
    <w:rsid w:val="0011117D"/>
    <w:rsid w:val="00111B99"/>
    <w:rsid w:val="0011220B"/>
    <w:rsid w:val="00112C07"/>
    <w:rsid w:val="0011483A"/>
    <w:rsid w:val="00114996"/>
    <w:rsid w:val="00114CA1"/>
    <w:rsid w:val="00115D2B"/>
    <w:rsid w:val="001172BC"/>
    <w:rsid w:val="00122225"/>
    <w:rsid w:val="001231C2"/>
    <w:rsid w:val="0012479C"/>
    <w:rsid w:val="00125504"/>
    <w:rsid w:val="00125810"/>
    <w:rsid w:val="00125E10"/>
    <w:rsid w:val="001321CB"/>
    <w:rsid w:val="0013223C"/>
    <w:rsid w:val="00132D66"/>
    <w:rsid w:val="00134DC5"/>
    <w:rsid w:val="00135B4C"/>
    <w:rsid w:val="0014009C"/>
    <w:rsid w:val="00141063"/>
    <w:rsid w:val="00142B01"/>
    <w:rsid w:val="0014375D"/>
    <w:rsid w:val="00143B6A"/>
    <w:rsid w:val="00143C27"/>
    <w:rsid w:val="00145D0E"/>
    <w:rsid w:val="00145DAE"/>
    <w:rsid w:val="00146879"/>
    <w:rsid w:val="001476EC"/>
    <w:rsid w:val="00147BF4"/>
    <w:rsid w:val="001540E5"/>
    <w:rsid w:val="00155904"/>
    <w:rsid w:val="001559F1"/>
    <w:rsid w:val="001566DA"/>
    <w:rsid w:val="001638C2"/>
    <w:rsid w:val="00164AE4"/>
    <w:rsid w:val="00165E00"/>
    <w:rsid w:val="00166C56"/>
    <w:rsid w:val="0017248A"/>
    <w:rsid w:val="001732B2"/>
    <w:rsid w:val="00173891"/>
    <w:rsid w:val="0017466B"/>
    <w:rsid w:val="0017484E"/>
    <w:rsid w:val="001769AA"/>
    <w:rsid w:val="00180813"/>
    <w:rsid w:val="0018116F"/>
    <w:rsid w:val="0018404E"/>
    <w:rsid w:val="0018516C"/>
    <w:rsid w:val="0018588E"/>
    <w:rsid w:val="00187345"/>
    <w:rsid w:val="001903A4"/>
    <w:rsid w:val="001907A6"/>
    <w:rsid w:val="001930E4"/>
    <w:rsid w:val="00193516"/>
    <w:rsid w:val="00193814"/>
    <w:rsid w:val="00193E80"/>
    <w:rsid w:val="00195CE2"/>
    <w:rsid w:val="00197BE1"/>
    <w:rsid w:val="00197C2A"/>
    <w:rsid w:val="001A00EF"/>
    <w:rsid w:val="001A052E"/>
    <w:rsid w:val="001A1FD4"/>
    <w:rsid w:val="001A22B3"/>
    <w:rsid w:val="001A34E6"/>
    <w:rsid w:val="001A4493"/>
    <w:rsid w:val="001A5D76"/>
    <w:rsid w:val="001A5E56"/>
    <w:rsid w:val="001B10C9"/>
    <w:rsid w:val="001B1B2F"/>
    <w:rsid w:val="001B7D6D"/>
    <w:rsid w:val="001C1887"/>
    <w:rsid w:val="001C21AC"/>
    <w:rsid w:val="001C3454"/>
    <w:rsid w:val="001C615F"/>
    <w:rsid w:val="001C63FD"/>
    <w:rsid w:val="001C76AE"/>
    <w:rsid w:val="001D0DFD"/>
    <w:rsid w:val="001D12B7"/>
    <w:rsid w:val="001D1EEF"/>
    <w:rsid w:val="001D32D2"/>
    <w:rsid w:val="001D399B"/>
    <w:rsid w:val="001D7A6F"/>
    <w:rsid w:val="001E1D52"/>
    <w:rsid w:val="001E2B0A"/>
    <w:rsid w:val="001E3338"/>
    <w:rsid w:val="001F07EA"/>
    <w:rsid w:val="001F3296"/>
    <w:rsid w:val="001F4A60"/>
    <w:rsid w:val="001F5921"/>
    <w:rsid w:val="001F6364"/>
    <w:rsid w:val="001F7ADD"/>
    <w:rsid w:val="002004D8"/>
    <w:rsid w:val="0020052D"/>
    <w:rsid w:val="00203AE6"/>
    <w:rsid w:val="00204D82"/>
    <w:rsid w:val="00205833"/>
    <w:rsid w:val="00205DCB"/>
    <w:rsid w:val="002077BF"/>
    <w:rsid w:val="002138A9"/>
    <w:rsid w:val="00213EEC"/>
    <w:rsid w:val="00213F33"/>
    <w:rsid w:val="0021458A"/>
    <w:rsid w:val="002149CB"/>
    <w:rsid w:val="00215F87"/>
    <w:rsid w:val="002164BF"/>
    <w:rsid w:val="00216959"/>
    <w:rsid w:val="00221EBA"/>
    <w:rsid w:val="00223233"/>
    <w:rsid w:val="002238A7"/>
    <w:rsid w:val="00223E8D"/>
    <w:rsid w:val="00224732"/>
    <w:rsid w:val="00226383"/>
    <w:rsid w:val="002271F4"/>
    <w:rsid w:val="002275F3"/>
    <w:rsid w:val="00231FD7"/>
    <w:rsid w:val="00232C1F"/>
    <w:rsid w:val="00235672"/>
    <w:rsid w:val="00235912"/>
    <w:rsid w:val="00237095"/>
    <w:rsid w:val="00240C26"/>
    <w:rsid w:val="002420DA"/>
    <w:rsid w:val="00242E31"/>
    <w:rsid w:val="00242E34"/>
    <w:rsid w:val="002437C6"/>
    <w:rsid w:val="00244B59"/>
    <w:rsid w:val="00245132"/>
    <w:rsid w:val="00245878"/>
    <w:rsid w:val="002473D3"/>
    <w:rsid w:val="0024776F"/>
    <w:rsid w:val="00250885"/>
    <w:rsid w:val="00250E22"/>
    <w:rsid w:val="002517C4"/>
    <w:rsid w:val="00252184"/>
    <w:rsid w:val="002529F5"/>
    <w:rsid w:val="00252C6D"/>
    <w:rsid w:val="00262A8B"/>
    <w:rsid w:val="00263B05"/>
    <w:rsid w:val="00265CD3"/>
    <w:rsid w:val="00270289"/>
    <w:rsid w:val="002715A6"/>
    <w:rsid w:val="00272474"/>
    <w:rsid w:val="00272AC8"/>
    <w:rsid w:val="00272DE8"/>
    <w:rsid w:val="00273A59"/>
    <w:rsid w:val="00273CE0"/>
    <w:rsid w:val="00275232"/>
    <w:rsid w:val="00275B41"/>
    <w:rsid w:val="00276B2B"/>
    <w:rsid w:val="00280640"/>
    <w:rsid w:val="00284010"/>
    <w:rsid w:val="00286387"/>
    <w:rsid w:val="00287AD3"/>
    <w:rsid w:val="00290CDA"/>
    <w:rsid w:val="00292C6A"/>
    <w:rsid w:val="00292D48"/>
    <w:rsid w:val="0029449B"/>
    <w:rsid w:val="00294723"/>
    <w:rsid w:val="00294A06"/>
    <w:rsid w:val="00294E9A"/>
    <w:rsid w:val="002973F6"/>
    <w:rsid w:val="002A001F"/>
    <w:rsid w:val="002A3884"/>
    <w:rsid w:val="002A750F"/>
    <w:rsid w:val="002B19A2"/>
    <w:rsid w:val="002B2CC4"/>
    <w:rsid w:val="002B6792"/>
    <w:rsid w:val="002B6B8F"/>
    <w:rsid w:val="002B7776"/>
    <w:rsid w:val="002C18E7"/>
    <w:rsid w:val="002C3410"/>
    <w:rsid w:val="002C4D04"/>
    <w:rsid w:val="002D0D2A"/>
    <w:rsid w:val="002D1BB7"/>
    <w:rsid w:val="002D6613"/>
    <w:rsid w:val="002D6FFD"/>
    <w:rsid w:val="002D7EC5"/>
    <w:rsid w:val="002E1156"/>
    <w:rsid w:val="002E1B9D"/>
    <w:rsid w:val="002E2B83"/>
    <w:rsid w:val="002E3C84"/>
    <w:rsid w:val="002E62E2"/>
    <w:rsid w:val="002F0E68"/>
    <w:rsid w:val="002F35F6"/>
    <w:rsid w:val="002F7327"/>
    <w:rsid w:val="0030137A"/>
    <w:rsid w:val="0030156B"/>
    <w:rsid w:val="0030357C"/>
    <w:rsid w:val="00303C87"/>
    <w:rsid w:val="003047FE"/>
    <w:rsid w:val="00304B9E"/>
    <w:rsid w:val="00304DE4"/>
    <w:rsid w:val="00305765"/>
    <w:rsid w:val="00306FFD"/>
    <w:rsid w:val="003104D4"/>
    <w:rsid w:val="003108B7"/>
    <w:rsid w:val="0031194D"/>
    <w:rsid w:val="00317631"/>
    <w:rsid w:val="0032246B"/>
    <w:rsid w:val="00323939"/>
    <w:rsid w:val="00324B56"/>
    <w:rsid w:val="003251C8"/>
    <w:rsid w:val="00326240"/>
    <w:rsid w:val="0033192D"/>
    <w:rsid w:val="00331D83"/>
    <w:rsid w:val="003379A2"/>
    <w:rsid w:val="00340A8F"/>
    <w:rsid w:val="0034147E"/>
    <w:rsid w:val="0034183A"/>
    <w:rsid w:val="0034454C"/>
    <w:rsid w:val="00345BDC"/>
    <w:rsid w:val="00345F36"/>
    <w:rsid w:val="00347722"/>
    <w:rsid w:val="00351156"/>
    <w:rsid w:val="003523F3"/>
    <w:rsid w:val="00353ED7"/>
    <w:rsid w:val="00357183"/>
    <w:rsid w:val="00360140"/>
    <w:rsid w:val="0036132C"/>
    <w:rsid w:val="00361A17"/>
    <w:rsid w:val="00363628"/>
    <w:rsid w:val="00364871"/>
    <w:rsid w:val="00367DE5"/>
    <w:rsid w:val="003709B4"/>
    <w:rsid w:val="00373775"/>
    <w:rsid w:val="003742FE"/>
    <w:rsid w:val="003747AD"/>
    <w:rsid w:val="00380037"/>
    <w:rsid w:val="00380A2B"/>
    <w:rsid w:val="00381F29"/>
    <w:rsid w:val="003852BB"/>
    <w:rsid w:val="00385ABD"/>
    <w:rsid w:val="00387908"/>
    <w:rsid w:val="00391704"/>
    <w:rsid w:val="00392CF6"/>
    <w:rsid w:val="00394346"/>
    <w:rsid w:val="00394F23"/>
    <w:rsid w:val="00395A70"/>
    <w:rsid w:val="00397147"/>
    <w:rsid w:val="003A38F9"/>
    <w:rsid w:val="003A67F4"/>
    <w:rsid w:val="003A6A69"/>
    <w:rsid w:val="003A7E66"/>
    <w:rsid w:val="003B3463"/>
    <w:rsid w:val="003B36B2"/>
    <w:rsid w:val="003B64B8"/>
    <w:rsid w:val="003C060D"/>
    <w:rsid w:val="003C13F4"/>
    <w:rsid w:val="003C1B2C"/>
    <w:rsid w:val="003C3246"/>
    <w:rsid w:val="003C60C4"/>
    <w:rsid w:val="003C6312"/>
    <w:rsid w:val="003C64BF"/>
    <w:rsid w:val="003C6777"/>
    <w:rsid w:val="003C7BBE"/>
    <w:rsid w:val="003C7F95"/>
    <w:rsid w:val="003D2B4E"/>
    <w:rsid w:val="003D2C76"/>
    <w:rsid w:val="003D30EB"/>
    <w:rsid w:val="003D6E81"/>
    <w:rsid w:val="003E029C"/>
    <w:rsid w:val="003E0F42"/>
    <w:rsid w:val="003E23A3"/>
    <w:rsid w:val="003E39EE"/>
    <w:rsid w:val="003E3DAD"/>
    <w:rsid w:val="003E3F8E"/>
    <w:rsid w:val="003E4D5B"/>
    <w:rsid w:val="003E55A0"/>
    <w:rsid w:val="003E5651"/>
    <w:rsid w:val="003E5694"/>
    <w:rsid w:val="003F5610"/>
    <w:rsid w:val="00400EC5"/>
    <w:rsid w:val="004025CE"/>
    <w:rsid w:val="0040263F"/>
    <w:rsid w:val="00402AC3"/>
    <w:rsid w:val="00404809"/>
    <w:rsid w:val="00406173"/>
    <w:rsid w:val="00411D87"/>
    <w:rsid w:val="00412435"/>
    <w:rsid w:val="004141DC"/>
    <w:rsid w:val="004145A0"/>
    <w:rsid w:val="004147DF"/>
    <w:rsid w:val="00415F03"/>
    <w:rsid w:val="00416297"/>
    <w:rsid w:val="004175FB"/>
    <w:rsid w:val="00417A93"/>
    <w:rsid w:val="00417BF2"/>
    <w:rsid w:val="0042061A"/>
    <w:rsid w:val="0042267B"/>
    <w:rsid w:val="00423565"/>
    <w:rsid w:val="004258ED"/>
    <w:rsid w:val="00430407"/>
    <w:rsid w:val="00433177"/>
    <w:rsid w:val="004347D2"/>
    <w:rsid w:val="00436923"/>
    <w:rsid w:val="004369B3"/>
    <w:rsid w:val="00436A81"/>
    <w:rsid w:val="00437B1C"/>
    <w:rsid w:val="00437F7F"/>
    <w:rsid w:val="00440851"/>
    <w:rsid w:val="00440E01"/>
    <w:rsid w:val="00440F20"/>
    <w:rsid w:val="004410E7"/>
    <w:rsid w:val="004460EC"/>
    <w:rsid w:val="00446161"/>
    <w:rsid w:val="00446237"/>
    <w:rsid w:val="00446882"/>
    <w:rsid w:val="00446CE6"/>
    <w:rsid w:val="00452281"/>
    <w:rsid w:val="00454A8D"/>
    <w:rsid w:val="00454FDD"/>
    <w:rsid w:val="00463717"/>
    <w:rsid w:val="0046492D"/>
    <w:rsid w:val="0046538B"/>
    <w:rsid w:val="004708F1"/>
    <w:rsid w:val="0047110E"/>
    <w:rsid w:val="004730C4"/>
    <w:rsid w:val="004734ED"/>
    <w:rsid w:val="004743A1"/>
    <w:rsid w:val="004750CE"/>
    <w:rsid w:val="004756BA"/>
    <w:rsid w:val="0047661B"/>
    <w:rsid w:val="00480C55"/>
    <w:rsid w:val="00481184"/>
    <w:rsid w:val="0048247E"/>
    <w:rsid w:val="0048308A"/>
    <w:rsid w:val="00485D0B"/>
    <w:rsid w:val="0048753C"/>
    <w:rsid w:val="0049110D"/>
    <w:rsid w:val="00491254"/>
    <w:rsid w:val="004916B0"/>
    <w:rsid w:val="00492238"/>
    <w:rsid w:val="004929FA"/>
    <w:rsid w:val="004A1885"/>
    <w:rsid w:val="004A1F09"/>
    <w:rsid w:val="004A3AAE"/>
    <w:rsid w:val="004A62FE"/>
    <w:rsid w:val="004A7322"/>
    <w:rsid w:val="004B0091"/>
    <w:rsid w:val="004B0178"/>
    <w:rsid w:val="004B149D"/>
    <w:rsid w:val="004B18E7"/>
    <w:rsid w:val="004B2CCA"/>
    <w:rsid w:val="004B2E77"/>
    <w:rsid w:val="004B4283"/>
    <w:rsid w:val="004B4810"/>
    <w:rsid w:val="004B575D"/>
    <w:rsid w:val="004B601B"/>
    <w:rsid w:val="004B7684"/>
    <w:rsid w:val="004C3993"/>
    <w:rsid w:val="004C645F"/>
    <w:rsid w:val="004D2AC6"/>
    <w:rsid w:val="004D4CFD"/>
    <w:rsid w:val="004D5602"/>
    <w:rsid w:val="004D5630"/>
    <w:rsid w:val="004D6E27"/>
    <w:rsid w:val="004D6E75"/>
    <w:rsid w:val="004E11DD"/>
    <w:rsid w:val="004E20BA"/>
    <w:rsid w:val="004E34B2"/>
    <w:rsid w:val="004E44CF"/>
    <w:rsid w:val="004E4C1E"/>
    <w:rsid w:val="004E5AE8"/>
    <w:rsid w:val="004E6499"/>
    <w:rsid w:val="004E711E"/>
    <w:rsid w:val="004E7B87"/>
    <w:rsid w:val="004E7D85"/>
    <w:rsid w:val="004F0197"/>
    <w:rsid w:val="004F09D7"/>
    <w:rsid w:val="004F2468"/>
    <w:rsid w:val="004F28FA"/>
    <w:rsid w:val="004F35CD"/>
    <w:rsid w:val="004F3823"/>
    <w:rsid w:val="004F4C6B"/>
    <w:rsid w:val="004F57F9"/>
    <w:rsid w:val="004F6190"/>
    <w:rsid w:val="004F7ED4"/>
    <w:rsid w:val="00500E81"/>
    <w:rsid w:val="00502D25"/>
    <w:rsid w:val="005049C0"/>
    <w:rsid w:val="00505134"/>
    <w:rsid w:val="00507D28"/>
    <w:rsid w:val="00520679"/>
    <w:rsid w:val="0052180E"/>
    <w:rsid w:val="00523504"/>
    <w:rsid w:val="00523D80"/>
    <w:rsid w:val="005248E4"/>
    <w:rsid w:val="00525802"/>
    <w:rsid w:val="00530CF0"/>
    <w:rsid w:val="00531A1E"/>
    <w:rsid w:val="00531F01"/>
    <w:rsid w:val="00532FC2"/>
    <w:rsid w:val="0053436B"/>
    <w:rsid w:val="005355C1"/>
    <w:rsid w:val="00536D62"/>
    <w:rsid w:val="00537761"/>
    <w:rsid w:val="00537F97"/>
    <w:rsid w:val="005414C7"/>
    <w:rsid w:val="005415F4"/>
    <w:rsid w:val="00551580"/>
    <w:rsid w:val="0055179D"/>
    <w:rsid w:val="00551F5A"/>
    <w:rsid w:val="00552D5F"/>
    <w:rsid w:val="00553678"/>
    <w:rsid w:val="005550F7"/>
    <w:rsid w:val="005566DE"/>
    <w:rsid w:val="00556CE7"/>
    <w:rsid w:val="00560C38"/>
    <w:rsid w:val="00561EFA"/>
    <w:rsid w:val="005625EF"/>
    <w:rsid w:val="0056571E"/>
    <w:rsid w:val="00567588"/>
    <w:rsid w:val="005677D2"/>
    <w:rsid w:val="00570B5B"/>
    <w:rsid w:val="00571E2B"/>
    <w:rsid w:val="005734D1"/>
    <w:rsid w:val="0057354A"/>
    <w:rsid w:val="00576202"/>
    <w:rsid w:val="00576B25"/>
    <w:rsid w:val="0058045A"/>
    <w:rsid w:val="00581E59"/>
    <w:rsid w:val="00582AF6"/>
    <w:rsid w:val="005830C0"/>
    <w:rsid w:val="0058392D"/>
    <w:rsid w:val="00583D24"/>
    <w:rsid w:val="00583E74"/>
    <w:rsid w:val="005847A0"/>
    <w:rsid w:val="00585683"/>
    <w:rsid w:val="00586FAD"/>
    <w:rsid w:val="005878C7"/>
    <w:rsid w:val="00587A49"/>
    <w:rsid w:val="00592DB3"/>
    <w:rsid w:val="00593361"/>
    <w:rsid w:val="00594C5B"/>
    <w:rsid w:val="005A2DB2"/>
    <w:rsid w:val="005A35DA"/>
    <w:rsid w:val="005A4B0F"/>
    <w:rsid w:val="005A698D"/>
    <w:rsid w:val="005B35E1"/>
    <w:rsid w:val="005B4A2D"/>
    <w:rsid w:val="005B56F9"/>
    <w:rsid w:val="005B695E"/>
    <w:rsid w:val="005B774D"/>
    <w:rsid w:val="005B7946"/>
    <w:rsid w:val="005B7A8A"/>
    <w:rsid w:val="005C0823"/>
    <w:rsid w:val="005C0977"/>
    <w:rsid w:val="005C2B6F"/>
    <w:rsid w:val="005C4570"/>
    <w:rsid w:val="005C621C"/>
    <w:rsid w:val="005C6386"/>
    <w:rsid w:val="005D33B6"/>
    <w:rsid w:val="005D3584"/>
    <w:rsid w:val="005D53BC"/>
    <w:rsid w:val="005D6036"/>
    <w:rsid w:val="005E20ED"/>
    <w:rsid w:val="005E2444"/>
    <w:rsid w:val="005E260C"/>
    <w:rsid w:val="005E5056"/>
    <w:rsid w:val="005E577D"/>
    <w:rsid w:val="005F167E"/>
    <w:rsid w:val="005F22D4"/>
    <w:rsid w:val="005F3EB6"/>
    <w:rsid w:val="005F4046"/>
    <w:rsid w:val="005F67AC"/>
    <w:rsid w:val="005F7A17"/>
    <w:rsid w:val="00600228"/>
    <w:rsid w:val="00602325"/>
    <w:rsid w:val="006030B3"/>
    <w:rsid w:val="00605120"/>
    <w:rsid w:val="0060683C"/>
    <w:rsid w:val="0060686D"/>
    <w:rsid w:val="00615A7E"/>
    <w:rsid w:val="006165D8"/>
    <w:rsid w:val="006213E2"/>
    <w:rsid w:val="00622A8F"/>
    <w:rsid w:val="00624EB9"/>
    <w:rsid w:val="00625FF2"/>
    <w:rsid w:val="00633450"/>
    <w:rsid w:val="00635177"/>
    <w:rsid w:val="006361DA"/>
    <w:rsid w:val="00636DB3"/>
    <w:rsid w:val="006370EF"/>
    <w:rsid w:val="00640463"/>
    <w:rsid w:val="00644104"/>
    <w:rsid w:val="00644C5F"/>
    <w:rsid w:val="00645847"/>
    <w:rsid w:val="00645A12"/>
    <w:rsid w:val="00651863"/>
    <w:rsid w:val="006548D5"/>
    <w:rsid w:val="00654BB4"/>
    <w:rsid w:val="006563A6"/>
    <w:rsid w:val="00656569"/>
    <w:rsid w:val="00656DBE"/>
    <w:rsid w:val="0065744B"/>
    <w:rsid w:val="006603C2"/>
    <w:rsid w:val="006614D5"/>
    <w:rsid w:val="00662CD9"/>
    <w:rsid w:val="0066498C"/>
    <w:rsid w:val="006665F3"/>
    <w:rsid w:val="00666D03"/>
    <w:rsid w:val="0067477D"/>
    <w:rsid w:val="006760CC"/>
    <w:rsid w:val="00676665"/>
    <w:rsid w:val="00676A07"/>
    <w:rsid w:val="006809EF"/>
    <w:rsid w:val="006817E5"/>
    <w:rsid w:val="00682A52"/>
    <w:rsid w:val="00683609"/>
    <w:rsid w:val="00685236"/>
    <w:rsid w:val="00685DD0"/>
    <w:rsid w:val="0068635E"/>
    <w:rsid w:val="00686B42"/>
    <w:rsid w:val="00690C04"/>
    <w:rsid w:val="00690F59"/>
    <w:rsid w:val="006912BE"/>
    <w:rsid w:val="00691B05"/>
    <w:rsid w:val="006935E5"/>
    <w:rsid w:val="00694C15"/>
    <w:rsid w:val="00695F58"/>
    <w:rsid w:val="006A050A"/>
    <w:rsid w:val="006A0CB4"/>
    <w:rsid w:val="006A7A59"/>
    <w:rsid w:val="006B11B4"/>
    <w:rsid w:val="006B22B6"/>
    <w:rsid w:val="006B28ED"/>
    <w:rsid w:val="006B7FE3"/>
    <w:rsid w:val="006C0354"/>
    <w:rsid w:val="006C0FDF"/>
    <w:rsid w:val="006C4285"/>
    <w:rsid w:val="006C4438"/>
    <w:rsid w:val="006C4B39"/>
    <w:rsid w:val="006C513D"/>
    <w:rsid w:val="006D2768"/>
    <w:rsid w:val="006D32D1"/>
    <w:rsid w:val="006D3CF7"/>
    <w:rsid w:val="006D6D4A"/>
    <w:rsid w:val="006D76BF"/>
    <w:rsid w:val="006E0D12"/>
    <w:rsid w:val="006E23CE"/>
    <w:rsid w:val="006E7197"/>
    <w:rsid w:val="006E7D61"/>
    <w:rsid w:val="006E7E88"/>
    <w:rsid w:val="006F3F4D"/>
    <w:rsid w:val="006F4746"/>
    <w:rsid w:val="006F6409"/>
    <w:rsid w:val="006F68A3"/>
    <w:rsid w:val="006F715E"/>
    <w:rsid w:val="0070259A"/>
    <w:rsid w:val="00703FC2"/>
    <w:rsid w:val="00704309"/>
    <w:rsid w:val="00705D3E"/>
    <w:rsid w:val="00706506"/>
    <w:rsid w:val="00706F0D"/>
    <w:rsid w:val="00714125"/>
    <w:rsid w:val="007152A0"/>
    <w:rsid w:val="00715C89"/>
    <w:rsid w:val="00716D82"/>
    <w:rsid w:val="00716E82"/>
    <w:rsid w:val="007239AF"/>
    <w:rsid w:val="00726EBE"/>
    <w:rsid w:val="007271D6"/>
    <w:rsid w:val="007313C1"/>
    <w:rsid w:val="00732999"/>
    <w:rsid w:val="0073513E"/>
    <w:rsid w:val="0074260B"/>
    <w:rsid w:val="007429E4"/>
    <w:rsid w:val="007434D3"/>
    <w:rsid w:val="007445F8"/>
    <w:rsid w:val="0074484E"/>
    <w:rsid w:val="00747A1B"/>
    <w:rsid w:val="00747DA3"/>
    <w:rsid w:val="00751777"/>
    <w:rsid w:val="00751D3A"/>
    <w:rsid w:val="007576A6"/>
    <w:rsid w:val="00757D86"/>
    <w:rsid w:val="007600C5"/>
    <w:rsid w:val="0076067B"/>
    <w:rsid w:val="007624CA"/>
    <w:rsid w:val="00763C30"/>
    <w:rsid w:val="007669BC"/>
    <w:rsid w:val="0076767B"/>
    <w:rsid w:val="0077135A"/>
    <w:rsid w:val="00771D01"/>
    <w:rsid w:val="00773D93"/>
    <w:rsid w:val="0077777F"/>
    <w:rsid w:val="007777EC"/>
    <w:rsid w:val="007808B4"/>
    <w:rsid w:val="0078176D"/>
    <w:rsid w:val="007819FF"/>
    <w:rsid w:val="00783058"/>
    <w:rsid w:val="0078313E"/>
    <w:rsid w:val="007850CB"/>
    <w:rsid w:val="00785C50"/>
    <w:rsid w:val="007866FA"/>
    <w:rsid w:val="0078722F"/>
    <w:rsid w:val="00791999"/>
    <w:rsid w:val="00792DC2"/>
    <w:rsid w:val="00793A4B"/>
    <w:rsid w:val="007963C0"/>
    <w:rsid w:val="007A29F8"/>
    <w:rsid w:val="007A3D78"/>
    <w:rsid w:val="007A7E86"/>
    <w:rsid w:val="007B33A3"/>
    <w:rsid w:val="007B3E58"/>
    <w:rsid w:val="007B3ECE"/>
    <w:rsid w:val="007B41F7"/>
    <w:rsid w:val="007B4329"/>
    <w:rsid w:val="007B6398"/>
    <w:rsid w:val="007C0574"/>
    <w:rsid w:val="007C4047"/>
    <w:rsid w:val="007C709E"/>
    <w:rsid w:val="007C75F3"/>
    <w:rsid w:val="007C7A1E"/>
    <w:rsid w:val="007D2560"/>
    <w:rsid w:val="007D27A2"/>
    <w:rsid w:val="007D2956"/>
    <w:rsid w:val="007D48B8"/>
    <w:rsid w:val="007D4C3E"/>
    <w:rsid w:val="007D516E"/>
    <w:rsid w:val="007E0148"/>
    <w:rsid w:val="007E11F8"/>
    <w:rsid w:val="007E1A67"/>
    <w:rsid w:val="007E330A"/>
    <w:rsid w:val="007E457B"/>
    <w:rsid w:val="007E566A"/>
    <w:rsid w:val="007E69C8"/>
    <w:rsid w:val="007E70FD"/>
    <w:rsid w:val="007F375A"/>
    <w:rsid w:val="007F466C"/>
    <w:rsid w:val="007F5E77"/>
    <w:rsid w:val="007F60EE"/>
    <w:rsid w:val="00801F5E"/>
    <w:rsid w:val="008060FA"/>
    <w:rsid w:val="008105E1"/>
    <w:rsid w:val="00810DB2"/>
    <w:rsid w:val="008125D5"/>
    <w:rsid w:val="0081263F"/>
    <w:rsid w:val="00816B5E"/>
    <w:rsid w:val="00817273"/>
    <w:rsid w:val="00820267"/>
    <w:rsid w:val="00820760"/>
    <w:rsid w:val="008248E0"/>
    <w:rsid w:val="00826E49"/>
    <w:rsid w:val="00835DE7"/>
    <w:rsid w:val="008361D1"/>
    <w:rsid w:val="00840516"/>
    <w:rsid w:val="00841508"/>
    <w:rsid w:val="008417DD"/>
    <w:rsid w:val="0084530A"/>
    <w:rsid w:val="00847001"/>
    <w:rsid w:val="0085067C"/>
    <w:rsid w:val="00851A9C"/>
    <w:rsid w:val="00852786"/>
    <w:rsid w:val="00853CE6"/>
    <w:rsid w:val="008571FB"/>
    <w:rsid w:val="00860B24"/>
    <w:rsid w:val="00861742"/>
    <w:rsid w:val="0086252F"/>
    <w:rsid w:val="008636D0"/>
    <w:rsid w:val="008643EF"/>
    <w:rsid w:val="008655F9"/>
    <w:rsid w:val="00866967"/>
    <w:rsid w:val="0086745B"/>
    <w:rsid w:val="008716E2"/>
    <w:rsid w:val="0087256B"/>
    <w:rsid w:val="00872DAD"/>
    <w:rsid w:val="00873574"/>
    <w:rsid w:val="008750C3"/>
    <w:rsid w:val="008758B3"/>
    <w:rsid w:val="008804C0"/>
    <w:rsid w:val="008819EC"/>
    <w:rsid w:val="00881CBE"/>
    <w:rsid w:val="00881DFC"/>
    <w:rsid w:val="008835B6"/>
    <w:rsid w:val="008879FF"/>
    <w:rsid w:val="00892CF0"/>
    <w:rsid w:val="008A022C"/>
    <w:rsid w:val="008A399A"/>
    <w:rsid w:val="008A440A"/>
    <w:rsid w:val="008A529F"/>
    <w:rsid w:val="008A56D0"/>
    <w:rsid w:val="008A63DE"/>
    <w:rsid w:val="008A6746"/>
    <w:rsid w:val="008A6B8B"/>
    <w:rsid w:val="008A7255"/>
    <w:rsid w:val="008A7885"/>
    <w:rsid w:val="008B3457"/>
    <w:rsid w:val="008B34F6"/>
    <w:rsid w:val="008B353B"/>
    <w:rsid w:val="008B374B"/>
    <w:rsid w:val="008B404B"/>
    <w:rsid w:val="008B41B2"/>
    <w:rsid w:val="008B5050"/>
    <w:rsid w:val="008B67E1"/>
    <w:rsid w:val="008C1E6A"/>
    <w:rsid w:val="008C20F4"/>
    <w:rsid w:val="008C3C23"/>
    <w:rsid w:val="008C4CE9"/>
    <w:rsid w:val="008D1D04"/>
    <w:rsid w:val="008D2EEF"/>
    <w:rsid w:val="008D39F9"/>
    <w:rsid w:val="008D3C12"/>
    <w:rsid w:val="008D7745"/>
    <w:rsid w:val="008E0888"/>
    <w:rsid w:val="008E0A50"/>
    <w:rsid w:val="008E1AEA"/>
    <w:rsid w:val="008E2C78"/>
    <w:rsid w:val="008E3CF2"/>
    <w:rsid w:val="008E427C"/>
    <w:rsid w:val="008E591F"/>
    <w:rsid w:val="008E63BA"/>
    <w:rsid w:val="008E6FAD"/>
    <w:rsid w:val="008F09BB"/>
    <w:rsid w:val="008F1524"/>
    <w:rsid w:val="008F1E21"/>
    <w:rsid w:val="008F2026"/>
    <w:rsid w:val="008F2C2F"/>
    <w:rsid w:val="008F4B67"/>
    <w:rsid w:val="008F5D8A"/>
    <w:rsid w:val="008F7710"/>
    <w:rsid w:val="008F7BE9"/>
    <w:rsid w:val="00900AFD"/>
    <w:rsid w:val="00900E42"/>
    <w:rsid w:val="00901D10"/>
    <w:rsid w:val="00902C3C"/>
    <w:rsid w:val="0090473D"/>
    <w:rsid w:val="0090493F"/>
    <w:rsid w:val="00905E70"/>
    <w:rsid w:val="00906E0F"/>
    <w:rsid w:val="009070F8"/>
    <w:rsid w:val="009071D3"/>
    <w:rsid w:val="00913642"/>
    <w:rsid w:val="00916CCA"/>
    <w:rsid w:val="00922548"/>
    <w:rsid w:val="009234CC"/>
    <w:rsid w:val="0092374D"/>
    <w:rsid w:val="00924CB5"/>
    <w:rsid w:val="00931B65"/>
    <w:rsid w:val="00931C90"/>
    <w:rsid w:val="0093299C"/>
    <w:rsid w:val="00935534"/>
    <w:rsid w:val="00936532"/>
    <w:rsid w:val="00936CE9"/>
    <w:rsid w:val="00941C97"/>
    <w:rsid w:val="00942832"/>
    <w:rsid w:val="009430DB"/>
    <w:rsid w:val="00944B42"/>
    <w:rsid w:val="00947688"/>
    <w:rsid w:val="009476EE"/>
    <w:rsid w:val="00947E1E"/>
    <w:rsid w:val="00950870"/>
    <w:rsid w:val="00950C40"/>
    <w:rsid w:val="0095302D"/>
    <w:rsid w:val="00953AC7"/>
    <w:rsid w:val="00953EF5"/>
    <w:rsid w:val="009576E9"/>
    <w:rsid w:val="0096520B"/>
    <w:rsid w:val="00965EE6"/>
    <w:rsid w:val="00972270"/>
    <w:rsid w:val="00973058"/>
    <w:rsid w:val="00973AA2"/>
    <w:rsid w:val="009754BD"/>
    <w:rsid w:val="0097793A"/>
    <w:rsid w:val="00983FA2"/>
    <w:rsid w:val="009853C9"/>
    <w:rsid w:val="00990B57"/>
    <w:rsid w:val="0099189D"/>
    <w:rsid w:val="00993FDD"/>
    <w:rsid w:val="009942B2"/>
    <w:rsid w:val="0099467A"/>
    <w:rsid w:val="00994873"/>
    <w:rsid w:val="009952F6"/>
    <w:rsid w:val="00995B88"/>
    <w:rsid w:val="009968DE"/>
    <w:rsid w:val="00996F0A"/>
    <w:rsid w:val="00996FDB"/>
    <w:rsid w:val="009A37DF"/>
    <w:rsid w:val="009A6946"/>
    <w:rsid w:val="009A7C48"/>
    <w:rsid w:val="009B1D20"/>
    <w:rsid w:val="009B1FE8"/>
    <w:rsid w:val="009B220E"/>
    <w:rsid w:val="009B2553"/>
    <w:rsid w:val="009B2A0D"/>
    <w:rsid w:val="009B3B7C"/>
    <w:rsid w:val="009B5F9B"/>
    <w:rsid w:val="009B670F"/>
    <w:rsid w:val="009B796D"/>
    <w:rsid w:val="009C039C"/>
    <w:rsid w:val="009C09CF"/>
    <w:rsid w:val="009C1C94"/>
    <w:rsid w:val="009C4B6F"/>
    <w:rsid w:val="009C4BB7"/>
    <w:rsid w:val="009C4CEE"/>
    <w:rsid w:val="009C65EF"/>
    <w:rsid w:val="009D02BC"/>
    <w:rsid w:val="009D34EE"/>
    <w:rsid w:val="009D54A3"/>
    <w:rsid w:val="009D569C"/>
    <w:rsid w:val="009D569D"/>
    <w:rsid w:val="009E1DAA"/>
    <w:rsid w:val="009E5D45"/>
    <w:rsid w:val="009E7BCA"/>
    <w:rsid w:val="009E7E5B"/>
    <w:rsid w:val="009F2B1B"/>
    <w:rsid w:val="009F3397"/>
    <w:rsid w:val="009F4087"/>
    <w:rsid w:val="009F52A4"/>
    <w:rsid w:val="009F6C5D"/>
    <w:rsid w:val="00A00EE8"/>
    <w:rsid w:val="00A03851"/>
    <w:rsid w:val="00A03F5E"/>
    <w:rsid w:val="00A04739"/>
    <w:rsid w:val="00A0572C"/>
    <w:rsid w:val="00A05AEE"/>
    <w:rsid w:val="00A0670F"/>
    <w:rsid w:val="00A069BF"/>
    <w:rsid w:val="00A07726"/>
    <w:rsid w:val="00A108A5"/>
    <w:rsid w:val="00A1131D"/>
    <w:rsid w:val="00A11BD3"/>
    <w:rsid w:val="00A11E36"/>
    <w:rsid w:val="00A15C6C"/>
    <w:rsid w:val="00A16F59"/>
    <w:rsid w:val="00A2135E"/>
    <w:rsid w:val="00A2324D"/>
    <w:rsid w:val="00A26134"/>
    <w:rsid w:val="00A26878"/>
    <w:rsid w:val="00A26CB6"/>
    <w:rsid w:val="00A27639"/>
    <w:rsid w:val="00A309B5"/>
    <w:rsid w:val="00A3223B"/>
    <w:rsid w:val="00A33185"/>
    <w:rsid w:val="00A368E7"/>
    <w:rsid w:val="00A36C67"/>
    <w:rsid w:val="00A36E93"/>
    <w:rsid w:val="00A37831"/>
    <w:rsid w:val="00A37C75"/>
    <w:rsid w:val="00A405FF"/>
    <w:rsid w:val="00A40C5B"/>
    <w:rsid w:val="00A43A23"/>
    <w:rsid w:val="00A43C73"/>
    <w:rsid w:val="00A460F6"/>
    <w:rsid w:val="00A46381"/>
    <w:rsid w:val="00A469C1"/>
    <w:rsid w:val="00A47467"/>
    <w:rsid w:val="00A51E7E"/>
    <w:rsid w:val="00A51EB6"/>
    <w:rsid w:val="00A520D8"/>
    <w:rsid w:val="00A52840"/>
    <w:rsid w:val="00A52FFE"/>
    <w:rsid w:val="00A535AB"/>
    <w:rsid w:val="00A551F6"/>
    <w:rsid w:val="00A610E6"/>
    <w:rsid w:val="00A6131D"/>
    <w:rsid w:val="00A636F0"/>
    <w:rsid w:val="00A674B8"/>
    <w:rsid w:val="00A67B4A"/>
    <w:rsid w:val="00A71BAF"/>
    <w:rsid w:val="00A71E46"/>
    <w:rsid w:val="00A73F5E"/>
    <w:rsid w:val="00A7462D"/>
    <w:rsid w:val="00A76FD2"/>
    <w:rsid w:val="00A80D2D"/>
    <w:rsid w:val="00A81218"/>
    <w:rsid w:val="00A83E76"/>
    <w:rsid w:val="00A84128"/>
    <w:rsid w:val="00A84725"/>
    <w:rsid w:val="00A85EE2"/>
    <w:rsid w:val="00A86BDA"/>
    <w:rsid w:val="00A9268F"/>
    <w:rsid w:val="00A92BE9"/>
    <w:rsid w:val="00A9378F"/>
    <w:rsid w:val="00A95BEE"/>
    <w:rsid w:val="00AA31BE"/>
    <w:rsid w:val="00AA64EE"/>
    <w:rsid w:val="00AA724A"/>
    <w:rsid w:val="00AB0D68"/>
    <w:rsid w:val="00AB0D8C"/>
    <w:rsid w:val="00AB1FE4"/>
    <w:rsid w:val="00AB210E"/>
    <w:rsid w:val="00AB28E1"/>
    <w:rsid w:val="00AB3147"/>
    <w:rsid w:val="00AB4663"/>
    <w:rsid w:val="00AB7CB7"/>
    <w:rsid w:val="00AC38F8"/>
    <w:rsid w:val="00AC5492"/>
    <w:rsid w:val="00AC66DE"/>
    <w:rsid w:val="00AC6872"/>
    <w:rsid w:val="00AD1F89"/>
    <w:rsid w:val="00AD27A8"/>
    <w:rsid w:val="00AD315E"/>
    <w:rsid w:val="00AD5A86"/>
    <w:rsid w:val="00AD60D2"/>
    <w:rsid w:val="00AE3179"/>
    <w:rsid w:val="00AE34D2"/>
    <w:rsid w:val="00AF1D6E"/>
    <w:rsid w:val="00AF53DB"/>
    <w:rsid w:val="00AF5FAE"/>
    <w:rsid w:val="00B01AC5"/>
    <w:rsid w:val="00B02B7F"/>
    <w:rsid w:val="00B03A11"/>
    <w:rsid w:val="00B042A9"/>
    <w:rsid w:val="00B060C3"/>
    <w:rsid w:val="00B11563"/>
    <w:rsid w:val="00B12E8C"/>
    <w:rsid w:val="00B16C1E"/>
    <w:rsid w:val="00B207DA"/>
    <w:rsid w:val="00B22292"/>
    <w:rsid w:val="00B24971"/>
    <w:rsid w:val="00B24B81"/>
    <w:rsid w:val="00B25088"/>
    <w:rsid w:val="00B25A5B"/>
    <w:rsid w:val="00B25FA4"/>
    <w:rsid w:val="00B33F45"/>
    <w:rsid w:val="00B357AB"/>
    <w:rsid w:val="00B3627A"/>
    <w:rsid w:val="00B40F84"/>
    <w:rsid w:val="00B41E02"/>
    <w:rsid w:val="00B446C6"/>
    <w:rsid w:val="00B4474F"/>
    <w:rsid w:val="00B4534E"/>
    <w:rsid w:val="00B462F1"/>
    <w:rsid w:val="00B4758E"/>
    <w:rsid w:val="00B521D8"/>
    <w:rsid w:val="00B53641"/>
    <w:rsid w:val="00B53DDB"/>
    <w:rsid w:val="00B53E10"/>
    <w:rsid w:val="00B552A0"/>
    <w:rsid w:val="00B56FF6"/>
    <w:rsid w:val="00B61151"/>
    <w:rsid w:val="00B61687"/>
    <w:rsid w:val="00B639E0"/>
    <w:rsid w:val="00B63F67"/>
    <w:rsid w:val="00B65A7D"/>
    <w:rsid w:val="00B65C48"/>
    <w:rsid w:val="00B66048"/>
    <w:rsid w:val="00B6779C"/>
    <w:rsid w:val="00B679A4"/>
    <w:rsid w:val="00B71720"/>
    <w:rsid w:val="00B7227D"/>
    <w:rsid w:val="00B73A9E"/>
    <w:rsid w:val="00B77358"/>
    <w:rsid w:val="00B847AD"/>
    <w:rsid w:val="00B84851"/>
    <w:rsid w:val="00B85F62"/>
    <w:rsid w:val="00B92A96"/>
    <w:rsid w:val="00B944AB"/>
    <w:rsid w:val="00B94F3A"/>
    <w:rsid w:val="00B9543E"/>
    <w:rsid w:val="00B970DF"/>
    <w:rsid w:val="00B97426"/>
    <w:rsid w:val="00BA1400"/>
    <w:rsid w:val="00BA3CFD"/>
    <w:rsid w:val="00BA462A"/>
    <w:rsid w:val="00BA4C9D"/>
    <w:rsid w:val="00BA6535"/>
    <w:rsid w:val="00BB1129"/>
    <w:rsid w:val="00BB1968"/>
    <w:rsid w:val="00BC1DBF"/>
    <w:rsid w:val="00BC2770"/>
    <w:rsid w:val="00BC324B"/>
    <w:rsid w:val="00BC587D"/>
    <w:rsid w:val="00BD1BAD"/>
    <w:rsid w:val="00BD242B"/>
    <w:rsid w:val="00BD259B"/>
    <w:rsid w:val="00BD63A3"/>
    <w:rsid w:val="00BD6A84"/>
    <w:rsid w:val="00BD6D7A"/>
    <w:rsid w:val="00BE0D04"/>
    <w:rsid w:val="00BE2362"/>
    <w:rsid w:val="00BE27D5"/>
    <w:rsid w:val="00BE2E5D"/>
    <w:rsid w:val="00BE3179"/>
    <w:rsid w:val="00BE3280"/>
    <w:rsid w:val="00BE6FA8"/>
    <w:rsid w:val="00BF05FC"/>
    <w:rsid w:val="00BF4036"/>
    <w:rsid w:val="00BF5DB9"/>
    <w:rsid w:val="00C0058E"/>
    <w:rsid w:val="00C01968"/>
    <w:rsid w:val="00C07603"/>
    <w:rsid w:val="00C10916"/>
    <w:rsid w:val="00C171A7"/>
    <w:rsid w:val="00C20E33"/>
    <w:rsid w:val="00C21C52"/>
    <w:rsid w:val="00C2331E"/>
    <w:rsid w:val="00C23A5F"/>
    <w:rsid w:val="00C25358"/>
    <w:rsid w:val="00C25BC3"/>
    <w:rsid w:val="00C25D2F"/>
    <w:rsid w:val="00C26D88"/>
    <w:rsid w:val="00C30CBE"/>
    <w:rsid w:val="00C3250E"/>
    <w:rsid w:val="00C40C65"/>
    <w:rsid w:val="00C4228A"/>
    <w:rsid w:val="00C42387"/>
    <w:rsid w:val="00C45EE6"/>
    <w:rsid w:val="00C464CF"/>
    <w:rsid w:val="00C4661F"/>
    <w:rsid w:val="00C473C6"/>
    <w:rsid w:val="00C47690"/>
    <w:rsid w:val="00C555DB"/>
    <w:rsid w:val="00C563D2"/>
    <w:rsid w:val="00C60D9F"/>
    <w:rsid w:val="00C621BD"/>
    <w:rsid w:val="00C626F4"/>
    <w:rsid w:val="00C65676"/>
    <w:rsid w:val="00C707CE"/>
    <w:rsid w:val="00C749C2"/>
    <w:rsid w:val="00C771E1"/>
    <w:rsid w:val="00C80BCD"/>
    <w:rsid w:val="00C82FD2"/>
    <w:rsid w:val="00C830E1"/>
    <w:rsid w:val="00C8380E"/>
    <w:rsid w:val="00C910D0"/>
    <w:rsid w:val="00C92264"/>
    <w:rsid w:val="00C92978"/>
    <w:rsid w:val="00C978CF"/>
    <w:rsid w:val="00CA074C"/>
    <w:rsid w:val="00CA6649"/>
    <w:rsid w:val="00CA6C35"/>
    <w:rsid w:val="00CB299B"/>
    <w:rsid w:val="00CB3384"/>
    <w:rsid w:val="00CB61C1"/>
    <w:rsid w:val="00CB7A9F"/>
    <w:rsid w:val="00CB7BBC"/>
    <w:rsid w:val="00CC0177"/>
    <w:rsid w:val="00CC0AB8"/>
    <w:rsid w:val="00CC0BF9"/>
    <w:rsid w:val="00CC1D2E"/>
    <w:rsid w:val="00CC20DC"/>
    <w:rsid w:val="00CC649C"/>
    <w:rsid w:val="00CC7692"/>
    <w:rsid w:val="00CD16D0"/>
    <w:rsid w:val="00CD1AE1"/>
    <w:rsid w:val="00CD1FD0"/>
    <w:rsid w:val="00CD44CE"/>
    <w:rsid w:val="00CD49B8"/>
    <w:rsid w:val="00CD51AB"/>
    <w:rsid w:val="00CD77C0"/>
    <w:rsid w:val="00CD78F0"/>
    <w:rsid w:val="00CE129D"/>
    <w:rsid w:val="00CE1F86"/>
    <w:rsid w:val="00CE24F7"/>
    <w:rsid w:val="00CE3C71"/>
    <w:rsid w:val="00CE77BD"/>
    <w:rsid w:val="00CF1637"/>
    <w:rsid w:val="00CF22DC"/>
    <w:rsid w:val="00CF22E7"/>
    <w:rsid w:val="00CF2D1A"/>
    <w:rsid w:val="00CF3A1A"/>
    <w:rsid w:val="00CF54E3"/>
    <w:rsid w:val="00CF7370"/>
    <w:rsid w:val="00D0117C"/>
    <w:rsid w:val="00D04778"/>
    <w:rsid w:val="00D054BF"/>
    <w:rsid w:val="00D05532"/>
    <w:rsid w:val="00D06298"/>
    <w:rsid w:val="00D0675C"/>
    <w:rsid w:val="00D0724F"/>
    <w:rsid w:val="00D10072"/>
    <w:rsid w:val="00D100EB"/>
    <w:rsid w:val="00D11C45"/>
    <w:rsid w:val="00D12E2E"/>
    <w:rsid w:val="00D136E4"/>
    <w:rsid w:val="00D141A5"/>
    <w:rsid w:val="00D15B0F"/>
    <w:rsid w:val="00D16286"/>
    <w:rsid w:val="00D21012"/>
    <w:rsid w:val="00D22407"/>
    <w:rsid w:val="00D22C9A"/>
    <w:rsid w:val="00D22D8D"/>
    <w:rsid w:val="00D23600"/>
    <w:rsid w:val="00D26624"/>
    <w:rsid w:val="00D275A6"/>
    <w:rsid w:val="00D3293E"/>
    <w:rsid w:val="00D339D8"/>
    <w:rsid w:val="00D34A2D"/>
    <w:rsid w:val="00D34C78"/>
    <w:rsid w:val="00D35922"/>
    <w:rsid w:val="00D36A23"/>
    <w:rsid w:val="00D3741C"/>
    <w:rsid w:val="00D40346"/>
    <w:rsid w:val="00D4080B"/>
    <w:rsid w:val="00D43E3E"/>
    <w:rsid w:val="00D508A4"/>
    <w:rsid w:val="00D51548"/>
    <w:rsid w:val="00D53E5C"/>
    <w:rsid w:val="00D547A1"/>
    <w:rsid w:val="00D549B3"/>
    <w:rsid w:val="00D55BDF"/>
    <w:rsid w:val="00D571A7"/>
    <w:rsid w:val="00D57BF7"/>
    <w:rsid w:val="00D60A5B"/>
    <w:rsid w:val="00D61A67"/>
    <w:rsid w:val="00D61CFA"/>
    <w:rsid w:val="00D64AE7"/>
    <w:rsid w:val="00D6686C"/>
    <w:rsid w:val="00D6729B"/>
    <w:rsid w:val="00D6734C"/>
    <w:rsid w:val="00D727FB"/>
    <w:rsid w:val="00D72B4B"/>
    <w:rsid w:val="00D72DF3"/>
    <w:rsid w:val="00D75828"/>
    <w:rsid w:val="00D76F00"/>
    <w:rsid w:val="00D76F61"/>
    <w:rsid w:val="00D8014E"/>
    <w:rsid w:val="00D80AB0"/>
    <w:rsid w:val="00D827D6"/>
    <w:rsid w:val="00D82B00"/>
    <w:rsid w:val="00D85AE3"/>
    <w:rsid w:val="00D86C13"/>
    <w:rsid w:val="00D87193"/>
    <w:rsid w:val="00D8742F"/>
    <w:rsid w:val="00D87AC2"/>
    <w:rsid w:val="00D90114"/>
    <w:rsid w:val="00D920C9"/>
    <w:rsid w:val="00D929E6"/>
    <w:rsid w:val="00D93975"/>
    <w:rsid w:val="00D94265"/>
    <w:rsid w:val="00D94993"/>
    <w:rsid w:val="00D95A6B"/>
    <w:rsid w:val="00D9654D"/>
    <w:rsid w:val="00D96A03"/>
    <w:rsid w:val="00D97A18"/>
    <w:rsid w:val="00D97ED9"/>
    <w:rsid w:val="00DA1561"/>
    <w:rsid w:val="00DA663C"/>
    <w:rsid w:val="00DC0B65"/>
    <w:rsid w:val="00DC1DA9"/>
    <w:rsid w:val="00DC3A39"/>
    <w:rsid w:val="00DC4050"/>
    <w:rsid w:val="00DC4EAE"/>
    <w:rsid w:val="00DC5732"/>
    <w:rsid w:val="00DC61BE"/>
    <w:rsid w:val="00DC625C"/>
    <w:rsid w:val="00DC6413"/>
    <w:rsid w:val="00DC7C85"/>
    <w:rsid w:val="00DD0E13"/>
    <w:rsid w:val="00DD2D09"/>
    <w:rsid w:val="00DD360A"/>
    <w:rsid w:val="00DD392E"/>
    <w:rsid w:val="00DD3A6D"/>
    <w:rsid w:val="00DD3CEE"/>
    <w:rsid w:val="00DD460B"/>
    <w:rsid w:val="00DD792D"/>
    <w:rsid w:val="00DE0B45"/>
    <w:rsid w:val="00DE1DCF"/>
    <w:rsid w:val="00DE2317"/>
    <w:rsid w:val="00DE6B3A"/>
    <w:rsid w:val="00DE78A5"/>
    <w:rsid w:val="00DF600B"/>
    <w:rsid w:val="00DF64DD"/>
    <w:rsid w:val="00DF6638"/>
    <w:rsid w:val="00E01024"/>
    <w:rsid w:val="00E017CB"/>
    <w:rsid w:val="00E02C8E"/>
    <w:rsid w:val="00E045F4"/>
    <w:rsid w:val="00E047FF"/>
    <w:rsid w:val="00E101DA"/>
    <w:rsid w:val="00E10C59"/>
    <w:rsid w:val="00E12C3B"/>
    <w:rsid w:val="00E17028"/>
    <w:rsid w:val="00E17D20"/>
    <w:rsid w:val="00E230CA"/>
    <w:rsid w:val="00E23405"/>
    <w:rsid w:val="00E244E1"/>
    <w:rsid w:val="00E266C3"/>
    <w:rsid w:val="00E27446"/>
    <w:rsid w:val="00E3021A"/>
    <w:rsid w:val="00E31EBC"/>
    <w:rsid w:val="00E32A68"/>
    <w:rsid w:val="00E32D93"/>
    <w:rsid w:val="00E340B6"/>
    <w:rsid w:val="00E371BC"/>
    <w:rsid w:val="00E406DD"/>
    <w:rsid w:val="00E41E70"/>
    <w:rsid w:val="00E432ED"/>
    <w:rsid w:val="00E43FD3"/>
    <w:rsid w:val="00E4481C"/>
    <w:rsid w:val="00E450AD"/>
    <w:rsid w:val="00E46F31"/>
    <w:rsid w:val="00E47D4D"/>
    <w:rsid w:val="00E504BB"/>
    <w:rsid w:val="00E53DC5"/>
    <w:rsid w:val="00E545A4"/>
    <w:rsid w:val="00E54B09"/>
    <w:rsid w:val="00E55C4C"/>
    <w:rsid w:val="00E60BF5"/>
    <w:rsid w:val="00E703FC"/>
    <w:rsid w:val="00E7084C"/>
    <w:rsid w:val="00E7106F"/>
    <w:rsid w:val="00E73652"/>
    <w:rsid w:val="00E74274"/>
    <w:rsid w:val="00E7579E"/>
    <w:rsid w:val="00E76AAB"/>
    <w:rsid w:val="00E80617"/>
    <w:rsid w:val="00E8447B"/>
    <w:rsid w:val="00E847DE"/>
    <w:rsid w:val="00E859A1"/>
    <w:rsid w:val="00E87CD3"/>
    <w:rsid w:val="00E90589"/>
    <w:rsid w:val="00E929FD"/>
    <w:rsid w:val="00E92C5C"/>
    <w:rsid w:val="00E95E56"/>
    <w:rsid w:val="00E965A8"/>
    <w:rsid w:val="00E97169"/>
    <w:rsid w:val="00E9769D"/>
    <w:rsid w:val="00E97AFC"/>
    <w:rsid w:val="00EA1728"/>
    <w:rsid w:val="00EA17A0"/>
    <w:rsid w:val="00EA2DD6"/>
    <w:rsid w:val="00EA2F9A"/>
    <w:rsid w:val="00EA4425"/>
    <w:rsid w:val="00EA59A2"/>
    <w:rsid w:val="00EB08BC"/>
    <w:rsid w:val="00EB124F"/>
    <w:rsid w:val="00EB14E7"/>
    <w:rsid w:val="00EB4AC4"/>
    <w:rsid w:val="00EB5E37"/>
    <w:rsid w:val="00EB779B"/>
    <w:rsid w:val="00EB7BBA"/>
    <w:rsid w:val="00EC052C"/>
    <w:rsid w:val="00EC0E19"/>
    <w:rsid w:val="00EC14AC"/>
    <w:rsid w:val="00EC38C9"/>
    <w:rsid w:val="00EC5519"/>
    <w:rsid w:val="00EC7230"/>
    <w:rsid w:val="00EC7BCB"/>
    <w:rsid w:val="00EC7CA2"/>
    <w:rsid w:val="00ED3E15"/>
    <w:rsid w:val="00ED6162"/>
    <w:rsid w:val="00ED6745"/>
    <w:rsid w:val="00ED7F12"/>
    <w:rsid w:val="00EE0498"/>
    <w:rsid w:val="00EE1603"/>
    <w:rsid w:val="00EE21A7"/>
    <w:rsid w:val="00EE2BC2"/>
    <w:rsid w:val="00EE3120"/>
    <w:rsid w:val="00EE78F9"/>
    <w:rsid w:val="00EF0663"/>
    <w:rsid w:val="00EF076B"/>
    <w:rsid w:val="00EF13A3"/>
    <w:rsid w:val="00EF2076"/>
    <w:rsid w:val="00EF38ED"/>
    <w:rsid w:val="00EF64B4"/>
    <w:rsid w:val="00EF735A"/>
    <w:rsid w:val="00F01DC9"/>
    <w:rsid w:val="00F03BBE"/>
    <w:rsid w:val="00F06EC1"/>
    <w:rsid w:val="00F10E40"/>
    <w:rsid w:val="00F12171"/>
    <w:rsid w:val="00F12801"/>
    <w:rsid w:val="00F12B07"/>
    <w:rsid w:val="00F13281"/>
    <w:rsid w:val="00F16740"/>
    <w:rsid w:val="00F16F69"/>
    <w:rsid w:val="00F216A0"/>
    <w:rsid w:val="00F216DC"/>
    <w:rsid w:val="00F2418C"/>
    <w:rsid w:val="00F31F8F"/>
    <w:rsid w:val="00F326CC"/>
    <w:rsid w:val="00F32D1A"/>
    <w:rsid w:val="00F36AB0"/>
    <w:rsid w:val="00F40DEA"/>
    <w:rsid w:val="00F42ED2"/>
    <w:rsid w:val="00F43A18"/>
    <w:rsid w:val="00F457FF"/>
    <w:rsid w:val="00F465D2"/>
    <w:rsid w:val="00F467B1"/>
    <w:rsid w:val="00F47F58"/>
    <w:rsid w:val="00F52575"/>
    <w:rsid w:val="00F55A10"/>
    <w:rsid w:val="00F57C62"/>
    <w:rsid w:val="00F60013"/>
    <w:rsid w:val="00F607CA"/>
    <w:rsid w:val="00F63F1A"/>
    <w:rsid w:val="00F6483A"/>
    <w:rsid w:val="00F66615"/>
    <w:rsid w:val="00F66CA3"/>
    <w:rsid w:val="00F70B3C"/>
    <w:rsid w:val="00F7268C"/>
    <w:rsid w:val="00F76111"/>
    <w:rsid w:val="00F773CF"/>
    <w:rsid w:val="00F80EF3"/>
    <w:rsid w:val="00F81443"/>
    <w:rsid w:val="00F81909"/>
    <w:rsid w:val="00F82F6E"/>
    <w:rsid w:val="00F83030"/>
    <w:rsid w:val="00F83B4C"/>
    <w:rsid w:val="00F87781"/>
    <w:rsid w:val="00F906D4"/>
    <w:rsid w:val="00F91201"/>
    <w:rsid w:val="00F91D20"/>
    <w:rsid w:val="00F92F05"/>
    <w:rsid w:val="00FA5A76"/>
    <w:rsid w:val="00FB05D3"/>
    <w:rsid w:val="00FB2BC8"/>
    <w:rsid w:val="00FB3D8C"/>
    <w:rsid w:val="00FB4E50"/>
    <w:rsid w:val="00FB69C5"/>
    <w:rsid w:val="00FB6CDA"/>
    <w:rsid w:val="00FC004B"/>
    <w:rsid w:val="00FC03B9"/>
    <w:rsid w:val="00FC4174"/>
    <w:rsid w:val="00FC4D6C"/>
    <w:rsid w:val="00FC6394"/>
    <w:rsid w:val="00FD10F4"/>
    <w:rsid w:val="00FD2BA2"/>
    <w:rsid w:val="00FD2C4D"/>
    <w:rsid w:val="00FD3ABA"/>
    <w:rsid w:val="00FD40E7"/>
    <w:rsid w:val="00FD445A"/>
    <w:rsid w:val="00FD46C8"/>
    <w:rsid w:val="00FD47AC"/>
    <w:rsid w:val="00FD4CF5"/>
    <w:rsid w:val="00FD5DBE"/>
    <w:rsid w:val="00FD7976"/>
    <w:rsid w:val="00FE1E38"/>
    <w:rsid w:val="00FE20A1"/>
    <w:rsid w:val="00FE2BE3"/>
    <w:rsid w:val="00FE46BD"/>
    <w:rsid w:val="00FE4EFE"/>
    <w:rsid w:val="00FE56EE"/>
    <w:rsid w:val="00FE7545"/>
    <w:rsid w:val="00FE767C"/>
    <w:rsid w:val="00FF02BE"/>
    <w:rsid w:val="00FF38EA"/>
    <w:rsid w:val="00FF45DC"/>
    <w:rsid w:val="00FF5056"/>
    <w:rsid w:val="00FF619D"/>
    <w:rsid w:val="00FF6646"/>
    <w:rsid w:val="00FF69AA"/>
    <w:rsid w:val="00FF6D1A"/>
    <w:rsid w:val="00FF75E8"/>
    <w:rsid w:val="01A767B1"/>
    <w:rsid w:val="02497534"/>
    <w:rsid w:val="03CA5580"/>
    <w:rsid w:val="041A6B93"/>
    <w:rsid w:val="04D06013"/>
    <w:rsid w:val="05D522E1"/>
    <w:rsid w:val="07747B21"/>
    <w:rsid w:val="07AA45FD"/>
    <w:rsid w:val="07C02047"/>
    <w:rsid w:val="07CA2ED7"/>
    <w:rsid w:val="082153A8"/>
    <w:rsid w:val="0CB50868"/>
    <w:rsid w:val="0D772182"/>
    <w:rsid w:val="0D8614F5"/>
    <w:rsid w:val="10E87F18"/>
    <w:rsid w:val="110F36F7"/>
    <w:rsid w:val="113413B0"/>
    <w:rsid w:val="11603F53"/>
    <w:rsid w:val="12E937A8"/>
    <w:rsid w:val="14F21366"/>
    <w:rsid w:val="15D71079"/>
    <w:rsid w:val="16ED5C2A"/>
    <w:rsid w:val="179F4622"/>
    <w:rsid w:val="192115D6"/>
    <w:rsid w:val="19FA3B25"/>
    <w:rsid w:val="1A2A15A2"/>
    <w:rsid w:val="1AE67260"/>
    <w:rsid w:val="1BCF0653"/>
    <w:rsid w:val="1E0D155D"/>
    <w:rsid w:val="1EF532EF"/>
    <w:rsid w:val="20B00A53"/>
    <w:rsid w:val="216C4C40"/>
    <w:rsid w:val="229F1A9D"/>
    <w:rsid w:val="23A018D6"/>
    <w:rsid w:val="24716CB2"/>
    <w:rsid w:val="24A667FE"/>
    <w:rsid w:val="256C0397"/>
    <w:rsid w:val="273074EE"/>
    <w:rsid w:val="27940380"/>
    <w:rsid w:val="27BB6707"/>
    <w:rsid w:val="27DA60F6"/>
    <w:rsid w:val="27DC1F8E"/>
    <w:rsid w:val="2847614F"/>
    <w:rsid w:val="28B64ECB"/>
    <w:rsid w:val="298E22AF"/>
    <w:rsid w:val="2BC56ADD"/>
    <w:rsid w:val="2D012A63"/>
    <w:rsid w:val="2EA41AE0"/>
    <w:rsid w:val="2FA30A0A"/>
    <w:rsid w:val="31691DCE"/>
    <w:rsid w:val="32306295"/>
    <w:rsid w:val="32E41C08"/>
    <w:rsid w:val="342D1588"/>
    <w:rsid w:val="342D3DCC"/>
    <w:rsid w:val="3454521E"/>
    <w:rsid w:val="354B46BF"/>
    <w:rsid w:val="35A30723"/>
    <w:rsid w:val="35E26CF6"/>
    <w:rsid w:val="37C7727E"/>
    <w:rsid w:val="3A2D4A6A"/>
    <w:rsid w:val="3B450D9C"/>
    <w:rsid w:val="3DB57875"/>
    <w:rsid w:val="3DE03674"/>
    <w:rsid w:val="3E0930F8"/>
    <w:rsid w:val="3E9D059B"/>
    <w:rsid w:val="406C796F"/>
    <w:rsid w:val="40E05EAE"/>
    <w:rsid w:val="421D0943"/>
    <w:rsid w:val="428F0DAF"/>
    <w:rsid w:val="439F5350"/>
    <w:rsid w:val="440C122C"/>
    <w:rsid w:val="44493B6F"/>
    <w:rsid w:val="469F3969"/>
    <w:rsid w:val="475548DB"/>
    <w:rsid w:val="48023774"/>
    <w:rsid w:val="48A70EA5"/>
    <w:rsid w:val="48AC2D2F"/>
    <w:rsid w:val="493A7349"/>
    <w:rsid w:val="4AE07476"/>
    <w:rsid w:val="4C8734FD"/>
    <w:rsid w:val="4DB67843"/>
    <w:rsid w:val="4ED816DC"/>
    <w:rsid w:val="500C55B2"/>
    <w:rsid w:val="51787916"/>
    <w:rsid w:val="52F5541B"/>
    <w:rsid w:val="56EC0B43"/>
    <w:rsid w:val="586B5AAC"/>
    <w:rsid w:val="592219A7"/>
    <w:rsid w:val="596211EC"/>
    <w:rsid w:val="5966544B"/>
    <w:rsid w:val="5A4233BA"/>
    <w:rsid w:val="5B975D90"/>
    <w:rsid w:val="5C506552"/>
    <w:rsid w:val="5EC74E05"/>
    <w:rsid w:val="5ECB1868"/>
    <w:rsid w:val="5F204DB7"/>
    <w:rsid w:val="5FFF3702"/>
    <w:rsid w:val="600B28A8"/>
    <w:rsid w:val="60C018E5"/>
    <w:rsid w:val="621B74D2"/>
    <w:rsid w:val="628567B8"/>
    <w:rsid w:val="62CE7040"/>
    <w:rsid w:val="643431E4"/>
    <w:rsid w:val="646E046B"/>
    <w:rsid w:val="64DD7A1C"/>
    <w:rsid w:val="663B3F44"/>
    <w:rsid w:val="669128A4"/>
    <w:rsid w:val="6A5B5C5F"/>
    <w:rsid w:val="6B527A6A"/>
    <w:rsid w:val="6B836137"/>
    <w:rsid w:val="6E8C72FA"/>
    <w:rsid w:val="6FA0069D"/>
    <w:rsid w:val="6FB855AF"/>
    <w:rsid w:val="70210C76"/>
    <w:rsid w:val="71924A6B"/>
    <w:rsid w:val="72544F91"/>
    <w:rsid w:val="739F7933"/>
    <w:rsid w:val="74C95577"/>
    <w:rsid w:val="75315950"/>
    <w:rsid w:val="75937B9E"/>
    <w:rsid w:val="75F27239"/>
    <w:rsid w:val="7ABC1B8D"/>
    <w:rsid w:val="7B153402"/>
    <w:rsid w:val="7B8F697B"/>
    <w:rsid w:val="7EA36676"/>
    <w:rsid w:val="7FFC3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3"/>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5" w:lineRule="auto"/>
      <w:outlineLvl w:val="2"/>
    </w:pPr>
    <w:rPr>
      <w:b/>
      <w:bCs/>
      <w:sz w:val="32"/>
      <w:szCs w:val="32"/>
    </w:rPr>
  </w:style>
  <w:style w:type="paragraph" w:styleId="5">
    <w:name w:val="heading 4"/>
    <w:basedOn w:val="1"/>
    <w:next w:val="1"/>
    <w:link w:val="46"/>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1"/>
    <w:next w:val="1"/>
    <w:link w:val="47"/>
    <w:qFormat/>
    <w:uiPriority w:val="0"/>
    <w:pPr>
      <w:keepNext/>
      <w:adjustRightInd w:val="0"/>
      <w:spacing w:line="240" w:lineRule="atLeast"/>
      <w:jc w:val="center"/>
      <w:textAlignment w:val="baseline"/>
      <w:outlineLvl w:val="5"/>
    </w:pPr>
    <w:rPr>
      <w:rFonts w:ascii="Courier New" w:hAnsi="Courier New"/>
      <w:b/>
      <w:kern w:val="0"/>
      <w:sz w:val="32"/>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8"/>
    <w:qFormat/>
    <w:uiPriority w:val="99"/>
    <w:pPr>
      <w:ind w:firstLine="420" w:firstLineChars="200"/>
    </w:pPr>
  </w:style>
  <w:style w:type="paragraph" w:styleId="8">
    <w:name w:val="caption"/>
    <w:basedOn w:val="1"/>
    <w:next w:val="1"/>
    <w:qFormat/>
    <w:uiPriority w:val="99"/>
    <w:rPr>
      <w:rFonts w:ascii="Arial" w:hAnsi="Arial" w:eastAsia="黑体" w:cs="Arial"/>
      <w:sz w:val="20"/>
    </w:rPr>
  </w:style>
  <w:style w:type="paragraph" w:styleId="9">
    <w:name w:val="Document Map"/>
    <w:basedOn w:val="1"/>
    <w:link w:val="49"/>
    <w:qFormat/>
    <w:uiPriority w:val="0"/>
    <w:pPr>
      <w:shd w:val="clear" w:color="auto" w:fill="000080"/>
    </w:pPr>
  </w:style>
  <w:style w:type="paragraph" w:styleId="10">
    <w:name w:val="annotation text"/>
    <w:basedOn w:val="1"/>
    <w:link w:val="50"/>
    <w:qFormat/>
    <w:uiPriority w:val="0"/>
    <w:pPr>
      <w:jc w:val="left"/>
    </w:pPr>
  </w:style>
  <w:style w:type="paragraph" w:styleId="11">
    <w:name w:val="Body Text 3"/>
    <w:basedOn w:val="1"/>
    <w:link w:val="51"/>
    <w:qFormat/>
    <w:uiPriority w:val="0"/>
    <w:pPr>
      <w:spacing w:line="240" w:lineRule="exact"/>
    </w:pPr>
    <w:rPr>
      <w:rFonts w:ascii="宋体" w:hAnsi="宋体"/>
      <w:sz w:val="18"/>
    </w:rPr>
  </w:style>
  <w:style w:type="paragraph" w:styleId="12">
    <w:name w:val="Body Text"/>
    <w:basedOn w:val="1"/>
    <w:link w:val="52"/>
    <w:qFormat/>
    <w:uiPriority w:val="0"/>
    <w:pPr>
      <w:snapToGrid w:val="0"/>
      <w:spacing w:line="400" w:lineRule="exact"/>
      <w:jc w:val="left"/>
    </w:pPr>
    <w:rPr>
      <w:rFonts w:ascii="黑体" w:eastAsia="黑体"/>
      <w:sz w:val="24"/>
      <w:szCs w:val="20"/>
    </w:rPr>
  </w:style>
  <w:style w:type="paragraph" w:styleId="13">
    <w:name w:val="Body Text Indent"/>
    <w:basedOn w:val="1"/>
    <w:link w:val="53"/>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toc 3"/>
    <w:basedOn w:val="1"/>
    <w:next w:val="1"/>
    <w:qFormat/>
    <w:uiPriority w:val="39"/>
    <w:pPr>
      <w:widowControl/>
      <w:ind w:left="420"/>
      <w:jc w:val="left"/>
    </w:pPr>
    <w:rPr>
      <w:i/>
      <w:iCs/>
      <w:kern w:val="0"/>
      <w:sz w:val="20"/>
      <w:szCs w:val="20"/>
    </w:rPr>
  </w:style>
  <w:style w:type="paragraph" w:styleId="16">
    <w:name w:val="Plain Text"/>
    <w:basedOn w:val="1"/>
    <w:link w:val="54"/>
    <w:qFormat/>
    <w:uiPriority w:val="99"/>
    <w:rPr>
      <w:rFonts w:ascii="宋体" w:hAnsi="Courier New"/>
      <w:szCs w:val="20"/>
    </w:rPr>
  </w:style>
  <w:style w:type="paragraph" w:styleId="17">
    <w:name w:val="Date"/>
    <w:basedOn w:val="1"/>
    <w:next w:val="1"/>
    <w:link w:val="55"/>
    <w:qFormat/>
    <w:uiPriority w:val="0"/>
    <w:pPr>
      <w:autoSpaceDE w:val="0"/>
      <w:autoSpaceDN w:val="0"/>
      <w:adjustRightInd w:val="0"/>
      <w:textAlignment w:val="baseline"/>
    </w:pPr>
    <w:rPr>
      <w:rFonts w:ascii="宋体"/>
      <w:kern w:val="0"/>
      <w:sz w:val="28"/>
      <w:szCs w:val="20"/>
    </w:rPr>
  </w:style>
  <w:style w:type="paragraph" w:styleId="18">
    <w:name w:val="Body Text Indent 2"/>
    <w:basedOn w:val="1"/>
    <w:link w:val="56"/>
    <w:qFormat/>
    <w:uiPriority w:val="0"/>
    <w:pPr>
      <w:spacing w:line="360" w:lineRule="auto"/>
      <w:ind w:firstLine="360"/>
    </w:pPr>
    <w:rPr>
      <w:rFonts w:ascii="宋体"/>
      <w:sz w:val="24"/>
      <w:szCs w:val="20"/>
    </w:rPr>
  </w:style>
  <w:style w:type="paragraph" w:styleId="19">
    <w:name w:val="Balloon Text"/>
    <w:basedOn w:val="1"/>
    <w:link w:val="57"/>
    <w:qFormat/>
    <w:uiPriority w:val="0"/>
    <w:rPr>
      <w:sz w:val="18"/>
      <w:szCs w:val="18"/>
    </w:rPr>
  </w:style>
  <w:style w:type="paragraph" w:styleId="20">
    <w:name w:val="footer"/>
    <w:basedOn w:val="1"/>
    <w:link w:val="58"/>
    <w:qFormat/>
    <w:uiPriority w:val="99"/>
    <w:pPr>
      <w:tabs>
        <w:tab w:val="center" w:pos="4153"/>
        <w:tab w:val="right" w:pos="8306"/>
      </w:tabs>
      <w:snapToGrid w:val="0"/>
      <w:jc w:val="left"/>
    </w:pPr>
    <w:rPr>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23"/>
    <w:next w:val="1"/>
    <w:qFormat/>
    <w:uiPriority w:val="39"/>
    <w:rPr>
      <w:rFonts w:eastAsia="黑体"/>
      <w:b/>
      <w:sz w:val="28"/>
      <w:szCs w:val="20"/>
    </w:rPr>
  </w:style>
  <w:style w:type="paragraph" w:styleId="23">
    <w:name w:val="index 1"/>
    <w:basedOn w:val="1"/>
    <w:next w:val="1"/>
    <w:qFormat/>
    <w:uiPriority w:val="0"/>
  </w:style>
  <w:style w:type="paragraph" w:styleId="24">
    <w:name w:val="List"/>
    <w:basedOn w:val="1"/>
    <w:qFormat/>
    <w:uiPriority w:val="0"/>
    <w:pPr>
      <w:ind w:left="420" w:hanging="420"/>
    </w:pPr>
    <w:rPr>
      <w:rFonts w:ascii="Arial" w:hAnsi="Arial" w:eastAsia="楷体_GB2312"/>
      <w:sz w:val="28"/>
    </w:rPr>
  </w:style>
  <w:style w:type="paragraph" w:styleId="25">
    <w:name w:val="Body Text Indent 3"/>
    <w:basedOn w:val="1"/>
    <w:qFormat/>
    <w:uiPriority w:val="0"/>
    <w:pPr>
      <w:spacing w:line="360" w:lineRule="exact"/>
      <w:ind w:firstLine="420" w:firstLineChars="200"/>
    </w:pPr>
  </w:style>
  <w:style w:type="paragraph" w:styleId="26">
    <w:name w:val="toc 2"/>
    <w:basedOn w:val="27"/>
    <w:next w:val="27"/>
    <w:qFormat/>
    <w:uiPriority w:val="39"/>
    <w:pPr>
      <w:ind w:left="420"/>
    </w:pPr>
    <w:rPr>
      <w:rFonts w:eastAsia="仿宋_GB2312"/>
      <w:b/>
      <w:sz w:val="24"/>
      <w:szCs w:val="20"/>
    </w:rPr>
  </w:style>
  <w:style w:type="paragraph" w:styleId="27">
    <w:name w:val="index 2"/>
    <w:basedOn w:val="1"/>
    <w:next w:val="1"/>
    <w:qFormat/>
    <w:uiPriority w:val="0"/>
    <w:pPr>
      <w:ind w:left="200" w:leftChars="200"/>
    </w:pPr>
  </w:style>
  <w:style w:type="paragraph" w:styleId="28">
    <w:name w:val="Body Text 2"/>
    <w:basedOn w:val="1"/>
    <w:link w:val="60"/>
    <w:qFormat/>
    <w:uiPriority w:val="99"/>
    <w:pPr>
      <w:spacing w:after="120" w:line="480" w:lineRule="auto"/>
    </w:p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qFormat/>
    <w:uiPriority w:val="0"/>
    <w:pPr>
      <w:jc w:val="center"/>
    </w:pPr>
    <w:rPr>
      <w:sz w:val="48"/>
    </w:rPr>
  </w:style>
  <w:style w:type="paragraph" w:styleId="31">
    <w:name w:val="annotation subject"/>
    <w:basedOn w:val="10"/>
    <w:next w:val="10"/>
    <w:link w:val="61"/>
    <w:qFormat/>
    <w:uiPriority w:val="0"/>
    <w:rPr>
      <w:b/>
      <w:bCs/>
    </w:rPr>
  </w:style>
  <w:style w:type="paragraph" w:styleId="32">
    <w:name w:val="Body Text First Indent 2"/>
    <w:basedOn w:val="13"/>
    <w:link w:val="63"/>
    <w:qFormat/>
    <w:uiPriority w:val="0"/>
    <w:pPr>
      <w:autoSpaceDE w:val="0"/>
      <w:autoSpaceDN w:val="0"/>
      <w:ind w:firstLine="420" w:firstLineChars="200"/>
      <w:jc w:val="left"/>
    </w:pPr>
    <w:rPr>
      <w:rFonts w:ascii="宋体" w:hAnsi="宋体" w:cs="宋体"/>
      <w:kern w:val="0"/>
      <w:sz w:val="22"/>
      <w:szCs w:val="20"/>
      <w:lang w:val="zh-CN" w:bidi="zh-CN"/>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Emphasis"/>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paragraph" w:customStyle="1" w:styleId="4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3">
    <w:name w:val="标题 2 Char"/>
    <w:link w:val="2"/>
    <w:qFormat/>
    <w:uiPriority w:val="9"/>
    <w:rPr>
      <w:rFonts w:ascii="Arial" w:hAnsi="Arial" w:eastAsia="黑体"/>
      <w:b/>
      <w:bCs/>
      <w:kern w:val="2"/>
      <w:sz w:val="32"/>
      <w:szCs w:val="32"/>
      <w:lang w:val="en-US" w:eastAsia="zh-CN" w:bidi="ar-SA"/>
    </w:rPr>
  </w:style>
  <w:style w:type="character" w:customStyle="1" w:styleId="44">
    <w:name w:val="标题 1 Char"/>
    <w:basedOn w:val="35"/>
    <w:link w:val="3"/>
    <w:qFormat/>
    <w:uiPriority w:val="0"/>
    <w:rPr>
      <w:b/>
      <w:bCs/>
      <w:kern w:val="44"/>
      <w:sz w:val="44"/>
      <w:szCs w:val="44"/>
    </w:rPr>
  </w:style>
  <w:style w:type="character" w:customStyle="1" w:styleId="45">
    <w:name w:val="标题 3 Char"/>
    <w:link w:val="4"/>
    <w:qFormat/>
    <w:uiPriority w:val="0"/>
    <w:rPr>
      <w:rFonts w:eastAsia="宋体"/>
      <w:b/>
      <w:bCs/>
      <w:kern w:val="2"/>
      <w:sz w:val="32"/>
      <w:szCs w:val="32"/>
      <w:lang w:val="en-US" w:eastAsia="zh-CN" w:bidi="ar-SA"/>
    </w:rPr>
  </w:style>
  <w:style w:type="character" w:customStyle="1" w:styleId="46">
    <w:name w:val="标题 4 Char"/>
    <w:link w:val="5"/>
    <w:qFormat/>
    <w:uiPriority w:val="0"/>
    <w:rPr>
      <w:rFonts w:ascii="宋体" w:hAnsi="宋体" w:eastAsia="宋体" w:cs="宋体"/>
      <w:b/>
      <w:bCs/>
      <w:sz w:val="24"/>
      <w:szCs w:val="24"/>
      <w:lang w:val="en-US" w:eastAsia="zh-CN" w:bidi="ar-SA"/>
    </w:rPr>
  </w:style>
  <w:style w:type="character" w:customStyle="1" w:styleId="47">
    <w:name w:val="标题 6 Char"/>
    <w:link w:val="6"/>
    <w:qFormat/>
    <w:uiPriority w:val="0"/>
    <w:rPr>
      <w:rFonts w:ascii="Courier New" w:hAnsi="Courier New" w:eastAsia="宋体"/>
      <w:b/>
      <w:sz w:val="32"/>
      <w:lang w:val="en-US" w:eastAsia="zh-CN" w:bidi="ar-SA"/>
    </w:rPr>
  </w:style>
  <w:style w:type="character" w:customStyle="1" w:styleId="48">
    <w:name w:val="正文缩进 Char"/>
    <w:link w:val="7"/>
    <w:qFormat/>
    <w:uiPriority w:val="0"/>
    <w:rPr>
      <w:kern w:val="2"/>
      <w:sz w:val="21"/>
      <w:szCs w:val="24"/>
    </w:rPr>
  </w:style>
  <w:style w:type="character" w:customStyle="1" w:styleId="49">
    <w:name w:val="文档结构图 Char"/>
    <w:link w:val="9"/>
    <w:qFormat/>
    <w:uiPriority w:val="0"/>
    <w:rPr>
      <w:rFonts w:eastAsia="宋体"/>
      <w:kern w:val="2"/>
      <w:sz w:val="21"/>
      <w:szCs w:val="24"/>
      <w:lang w:val="en-US" w:eastAsia="zh-CN" w:bidi="ar-SA"/>
    </w:rPr>
  </w:style>
  <w:style w:type="character" w:customStyle="1" w:styleId="50">
    <w:name w:val="批注文字 Char"/>
    <w:link w:val="10"/>
    <w:qFormat/>
    <w:uiPriority w:val="0"/>
    <w:rPr>
      <w:rFonts w:eastAsia="宋体"/>
      <w:kern w:val="2"/>
      <w:sz w:val="21"/>
      <w:szCs w:val="24"/>
      <w:lang w:val="en-US" w:eastAsia="zh-CN" w:bidi="ar-SA"/>
    </w:rPr>
  </w:style>
  <w:style w:type="character" w:customStyle="1" w:styleId="51">
    <w:name w:val="正文文本 3 Char"/>
    <w:link w:val="11"/>
    <w:qFormat/>
    <w:uiPriority w:val="0"/>
    <w:rPr>
      <w:rFonts w:ascii="宋体" w:hAnsi="宋体" w:eastAsia="宋体"/>
      <w:kern w:val="2"/>
      <w:sz w:val="18"/>
      <w:szCs w:val="24"/>
      <w:lang w:val="en-US" w:eastAsia="zh-CN" w:bidi="ar-SA"/>
    </w:rPr>
  </w:style>
  <w:style w:type="character" w:customStyle="1" w:styleId="52">
    <w:name w:val="正文文本 Char1"/>
    <w:link w:val="12"/>
    <w:qFormat/>
    <w:uiPriority w:val="0"/>
    <w:rPr>
      <w:rFonts w:ascii="黑体" w:eastAsia="黑体"/>
      <w:kern w:val="2"/>
      <w:sz w:val="24"/>
      <w:lang w:val="en-US" w:eastAsia="zh-CN" w:bidi="ar-SA"/>
    </w:rPr>
  </w:style>
  <w:style w:type="character" w:customStyle="1" w:styleId="53">
    <w:name w:val="正文文本缩进 Char"/>
    <w:link w:val="13"/>
    <w:qFormat/>
    <w:uiPriority w:val="0"/>
    <w:rPr>
      <w:rFonts w:eastAsia="宋体"/>
      <w:kern w:val="2"/>
      <w:sz w:val="21"/>
      <w:szCs w:val="24"/>
      <w:lang w:val="en-US" w:eastAsia="zh-CN" w:bidi="ar-SA"/>
    </w:rPr>
  </w:style>
  <w:style w:type="character" w:customStyle="1" w:styleId="54">
    <w:name w:val="纯文本 Char1"/>
    <w:link w:val="16"/>
    <w:qFormat/>
    <w:uiPriority w:val="99"/>
    <w:rPr>
      <w:rFonts w:ascii="宋体" w:hAnsi="Courier New" w:eastAsia="宋体"/>
      <w:kern w:val="2"/>
      <w:sz w:val="21"/>
      <w:lang w:val="en-US" w:eastAsia="zh-CN" w:bidi="ar-SA"/>
    </w:rPr>
  </w:style>
  <w:style w:type="character" w:customStyle="1" w:styleId="55">
    <w:name w:val="日期 Char"/>
    <w:link w:val="17"/>
    <w:qFormat/>
    <w:uiPriority w:val="0"/>
    <w:rPr>
      <w:rFonts w:ascii="宋体" w:eastAsia="宋体"/>
      <w:sz w:val="28"/>
      <w:lang w:val="en-US" w:eastAsia="zh-CN" w:bidi="ar-SA"/>
    </w:rPr>
  </w:style>
  <w:style w:type="character" w:customStyle="1" w:styleId="56">
    <w:name w:val="正文文本缩进 2 Char"/>
    <w:link w:val="18"/>
    <w:qFormat/>
    <w:uiPriority w:val="0"/>
    <w:rPr>
      <w:rFonts w:ascii="宋体" w:eastAsia="宋体"/>
      <w:kern w:val="2"/>
      <w:sz w:val="24"/>
      <w:lang w:val="en-US" w:eastAsia="zh-CN" w:bidi="ar-SA"/>
    </w:rPr>
  </w:style>
  <w:style w:type="character" w:customStyle="1" w:styleId="57">
    <w:name w:val="批注框文本 Char"/>
    <w:link w:val="19"/>
    <w:qFormat/>
    <w:uiPriority w:val="0"/>
    <w:rPr>
      <w:rFonts w:eastAsia="宋体"/>
      <w:kern w:val="2"/>
      <w:sz w:val="18"/>
      <w:szCs w:val="18"/>
      <w:lang w:val="en-US" w:eastAsia="zh-CN" w:bidi="ar-SA"/>
    </w:rPr>
  </w:style>
  <w:style w:type="character" w:customStyle="1" w:styleId="58">
    <w:name w:val="页脚 Char"/>
    <w:link w:val="20"/>
    <w:qFormat/>
    <w:uiPriority w:val="99"/>
    <w:rPr>
      <w:rFonts w:eastAsia="宋体"/>
      <w:kern w:val="2"/>
      <w:sz w:val="18"/>
      <w:szCs w:val="18"/>
      <w:lang w:val="en-US" w:eastAsia="zh-CN" w:bidi="ar-SA"/>
    </w:rPr>
  </w:style>
  <w:style w:type="character" w:customStyle="1" w:styleId="59">
    <w:name w:val="页眉 Char"/>
    <w:link w:val="21"/>
    <w:qFormat/>
    <w:uiPriority w:val="99"/>
    <w:rPr>
      <w:kern w:val="2"/>
      <w:sz w:val="18"/>
      <w:szCs w:val="18"/>
    </w:rPr>
  </w:style>
  <w:style w:type="character" w:customStyle="1" w:styleId="60">
    <w:name w:val="正文文本 2 Char"/>
    <w:link w:val="28"/>
    <w:qFormat/>
    <w:uiPriority w:val="99"/>
    <w:rPr>
      <w:rFonts w:eastAsia="宋体"/>
      <w:kern w:val="2"/>
      <w:sz w:val="21"/>
      <w:szCs w:val="24"/>
      <w:lang w:val="en-US" w:eastAsia="zh-CN" w:bidi="ar-SA"/>
    </w:rPr>
  </w:style>
  <w:style w:type="character" w:customStyle="1" w:styleId="61">
    <w:name w:val="批注主题 Char2"/>
    <w:basedOn w:val="62"/>
    <w:link w:val="31"/>
    <w:qFormat/>
    <w:uiPriority w:val="0"/>
    <w:rPr>
      <w:b/>
      <w:bCs/>
      <w:kern w:val="2"/>
      <w:sz w:val="21"/>
      <w:szCs w:val="24"/>
    </w:rPr>
  </w:style>
  <w:style w:type="character" w:customStyle="1" w:styleId="62">
    <w:name w:val="批注文字 Char2"/>
    <w:qFormat/>
    <w:uiPriority w:val="99"/>
    <w:rPr>
      <w:kern w:val="2"/>
      <w:sz w:val="21"/>
      <w:szCs w:val="24"/>
    </w:rPr>
  </w:style>
  <w:style w:type="character" w:customStyle="1" w:styleId="63">
    <w:name w:val="正文首行缩进 2 Char2"/>
    <w:basedOn w:val="53"/>
    <w:link w:val="32"/>
    <w:semiHidden/>
    <w:qFormat/>
    <w:uiPriority w:val="0"/>
    <w:rPr>
      <w:rFonts w:eastAsia="宋体"/>
      <w:kern w:val="2"/>
      <w:sz w:val="21"/>
      <w:szCs w:val="24"/>
      <w:lang w:val="en-US" w:eastAsia="zh-CN" w:bidi="ar-SA"/>
    </w:rPr>
  </w:style>
  <w:style w:type="paragraph" w:customStyle="1" w:styleId="64">
    <w:name w:val="Table Text"/>
    <w:basedOn w:val="1"/>
    <w:link w:val="65"/>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65">
    <w:name w:val="Table Text Char1"/>
    <w:link w:val="64"/>
    <w:qFormat/>
    <w:uiPriority w:val="0"/>
    <w:rPr>
      <w:rFonts w:ascii="Arial" w:hAnsi="Arial" w:eastAsia="宋体"/>
      <w:sz w:val="18"/>
      <w:lang w:val="en-US" w:eastAsia="zh-CN" w:bidi="ar-SA"/>
    </w:rPr>
  </w:style>
  <w:style w:type="paragraph" w:customStyle="1" w:styleId="66">
    <w:name w:val="批注主题1"/>
    <w:basedOn w:val="10"/>
    <w:next w:val="10"/>
    <w:link w:val="67"/>
    <w:qFormat/>
    <w:uiPriority w:val="0"/>
    <w:rPr>
      <w:b/>
      <w:bCs/>
      <w:kern w:val="0"/>
      <w:sz w:val="20"/>
    </w:rPr>
  </w:style>
  <w:style w:type="character" w:customStyle="1" w:styleId="67">
    <w:name w:val="批注主题 Char Char"/>
    <w:link w:val="66"/>
    <w:qFormat/>
    <w:uiPriority w:val="0"/>
    <w:rPr>
      <w:rFonts w:eastAsia="宋体"/>
      <w:b/>
      <w:bCs/>
      <w:szCs w:val="24"/>
      <w:lang w:bidi="ar-SA"/>
    </w:rPr>
  </w:style>
  <w:style w:type="paragraph" w:customStyle="1" w:styleId="68">
    <w:name w:val="正文文本缩进 31"/>
    <w:basedOn w:val="1"/>
    <w:link w:val="69"/>
    <w:qFormat/>
    <w:uiPriority w:val="0"/>
    <w:pPr>
      <w:spacing w:line="400" w:lineRule="exact"/>
      <w:ind w:left="2" w:leftChars="1"/>
    </w:pPr>
    <w:rPr>
      <w:rFonts w:ascii="宋体" w:hAnsi="宋体"/>
      <w:kern w:val="0"/>
      <w:sz w:val="20"/>
      <w:szCs w:val="20"/>
    </w:rPr>
  </w:style>
  <w:style w:type="character" w:customStyle="1" w:styleId="69">
    <w:name w:val="正文文本缩进 3 Char Char"/>
    <w:link w:val="68"/>
    <w:qFormat/>
    <w:uiPriority w:val="0"/>
    <w:rPr>
      <w:rFonts w:ascii="宋体" w:hAnsi="宋体" w:eastAsia="宋体"/>
      <w:lang w:bidi="ar-SA"/>
    </w:rPr>
  </w:style>
  <w:style w:type="paragraph" w:customStyle="1" w:styleId="70">
    <w:name w:val="Table Heading"/>
    <w:link w:val="71"/>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71">
    <w:name w:val="Table Heading Char Char"/>
    <w:link w:val="70"/>
    <w:qFormat/>
    <w:uiPriority w:val="0"/>
    <w:rPr>
      <w:rFonts w:ascii="Arial" w:hAnsi="Arial" w:eastAsia="黑体" w:cs="Arial"/>
      <w:sz w:val="18"/>
      <w:szCs w:val="18"/>
      <w:lang w:val="en-US" w:eastAsia="zh-CN" w:bidi="ar-SA"/>
    </w:rPr>
  </w:style>
  <w:style w:type="paragraph" w:customStyle="1" w:styleId="72">
    <w:name w:val="图1"/>
    <w:basedOn w:val="1"/>
    <w:next w:val="1"/>
    <w:qFormat/>
    <w:uiPriority w:val="0"/>
    <w:pPr>
      <w:tabs>
        <w:tab w:val="left" w:pos="777"/>
      </w:tabs>
      <w:spacing w:beforeLines="50" w:afterLines="100" w:line="360" w:lineRule="auto"/>
      <w:ind w:left="2210" w:hanging="748"/>
      <w:jc w:val="center"/>
    </w:pPr>
    <w:rPr>
      <w:sz w:val="24"/>
      <w:szCs w:val="20"/>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75">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76">
    <w:name w:val="Char Char Char Char Char Char Char Char Char Char Char Char Char Char Char Char"/>
    <w:basedOn w:val="1"/>
    <w:qFormat/>
    <w:uiPriority w:val="0"/>
    <w:pPr>
      <w:tabs>
        <w:tab w:val="left" w:pos="360"/>
      </w:tabs>
    </w:pPr>
  </w:style>
  <w:style w:type="paragraph" w:customStyle="1" w:styleId="7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修订1"/>
    <w:semiHidden/>
    <w:qFormat/>
    <w:uiPriority w:val="0"/>
    <w:rPr>
      <w:rFonts w:ascii="Calibri" w:hAnsi="Calibri" w:eastAsia="宋体" w:cs="Times New Roman"/>
      <w:kern w:val="2"/>
      <w:sz w:val="21"/>
      <w:szCs w:val="22"/>
      <w:lang w:val="en-US" w:eastAsia="zh-CN" w:bidi="ar-SA"/>
    </w:rPr>
  </w:style>
  <w:style w:type="paragraph" w:customStyle="1" w:styleId="79">
    <w:name w:val="p0"/>
    <w:basedOn w:val="1"/>
    <w:qFormat/>
    <w:uiPriority w:val="0"/>
    <w:pPr>
      <w:widowControl/>
    </w:pPr>
    <w:rPr>
      <w:rFonts w:ascii="Calibri" w:hAnsi="Calibri" w:cs="Calibri"/>
      <w:kern w:val="0"/>
      <w:szCs w:val="21"/>
    </w:rPr>
  </w:style>
  <w:style w:type="paragraph" w:customStyle="1" w:styleId="80">
    <w:name w:val="列出段落1"/>
    <w:basedOn w:val="1"/>
    <w:qFormat/>
    <w:uiPriority w:val="34"/>
    <w:pPr>
      <w:ind w:left="720"/>
    </w:pPr>
    <w:rPr>
      <w:szCs w:val="20"/>
    </w:rPr>
  </w:style>
  <w:style w:type="paragraph" w:customStyle="1" w:styleId="81">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82">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3">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84">
    <w:name w:val="Char Char Char Char Char Char Char Char Char Char Char Char Char Char Char Char1"/>
    <w:basedOn w:val="1"/>
    <w:qFormat/>
    <w:uiPriority w:val="0"/>
    <w:pPr>
      <w:tabs>
        <w:tab w:val="left" w:pos="360"/>
      </w:tabs>
    </w:pPr>
  </w:style>
  <w:style w:type="paragraph" w:customStyle="1" w:styleId="85">
    <w:name w:val="正文 A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86">
    <w:name w:val="列出段落111"/>
    <w:basedOn w:val="1"/>
    <w:qFormat/>
    <w:uiPriority w:val="34"/>
    <w:pPr>
      <w:ind w:firstLine="420" w:firstLineChars="200"/>
    </w:pPr>
  </w:style>
  <w:style w:type="paragraph" w:customStyle="1" w:styleId="8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8">
    <w:name w:val="List Paragraph1"/>
    <w:basedOn w:val="1"/>
    <w:qFormat/>
    <w:uiPriority w:val="0"/>
    <w:pPr>
      <w:widowControl/>
      <w:spacing w:after="200" w:line="276" w:lineRule="auto"/>
      <w:ind w:left="720"/>
      <w:jc w:val="left"/>
    </w:pPr>
    <w:rPr>
      <w:rFonts w:ascii="Calibri" w:hAnsi="Calibri" w:eastAsia="Calibri"/>
      <w:kern w:val="0"/>
      <w:sz w:val="22"/>
      <w:szCs w:val="22"/>
      <w:lang w:eastAsia="en-US"/>
    </w:rPr>
  </w:style>
  <w:style w:type="paragraph" w:customStyle="1" w:styleId="89">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1"/>
    <w:basedOn w:val="1"/>
    <w:qFormat/>
    <w:uiPriority w:val="0"/>
    <w:pPr>
      <w:widowControl/>
      <w:spacing w:line="400" w:lineRule="exact"/>
      <w:jc w:val="center"/>
    </w:pPr>
    <w:rPr>
      <w:rFonts w:ascii="Verdana" w:hAnsi="Verdana"/>
      <w:kern w:val="0"/>
      <w:szCs w:val="20"/>
      <w:lang w:eastAsia="en-US"/>
    </w:r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正文文本缩进 311"/>
    <w:basedOn w:val="1"/>
    <w:qFormat/>
    <w:uiPriority w:val="0"/>
    <w:pPr>
      <w:spacing w:line="400" w:lineRule="exact"/>
      <w:ind w:left="2" w:leftChars="1"/>
    </w:pPr>
    <w:rPr>
      <w:rFonts w:ascii="宋体" w:hAnsi="宋体"/>
      <w:szCs w:val="22"/>
    </w:rPr>
  </w:style>
  <w:style w:type="paragraph" w:customStyle="1" w:styleId="94">
    <w:name w:val="批注主题11"/>
    <w:basedOn w:val="10"/>
    <w:next w:val="10"/>
    <w:qFormat/>
    <w:uiPriority w:val="0"/>
    <w:rPr>
      <w:rFonts w:ascii="Calibri" w:hAnsi="Calibri"/>
      <w:b/>
      <w:bCs/>
    </w:rPr>
  </w:style>
  <w:style w:type="paragraph" w:customStyle="1" w:styleId="9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6">
    <w:name w:val="样式3"/>
    <w:basedOn w:val="1"/>
    <w:qFormat/>
    <w:uiPriority w:val="0"/>
    <w:pPr>
      <w:widowControl/>
      <w:spacing w:line="520" w:lineRule="exact"/>
      <w:ind w:firstLine="562" w:firstLineChars="200"/>
    </w:pPr>
    <w:rPr>
      <w:rFonts w:eastAsia="黑体"/>
      <w:b/>
      <w:kern w:val="0"/>
      <w:sz w:val="28"/>
      <w:szCs w:val="28"/>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纯文本 Char Char"/>
    <w:qFormat/>
    <w:uiPriority w:val="0"/>
    <w:rPr>
      <w:rFonts w:ascii="宋体" w:hAnsi="Courier New" w:eastAsia="宋体"/>
      <w:kern w:val="2"/>
      <w:sz w:val="21"/>
      <w:lang w:val="en-US" w:eastAsia="zh-CN" w:bidi="ar-SA"/>
    </w:rPr>
  </w:style>
  <w:style w:type="character" w:customStyle="1" w:styleId="99">
    <w:name w:val="hui3"/>
    <w:qFormat/>
    <w:uiPriority w:val="0"/>
    <w:rPr>
      <w:color w:val="333333"/>
    </w:rPr>
  </w:style>
  <w:style w:type="character" w:customStyle="1" w:styleId="100">
    <w:name w:val="rili11"/>
    <w:qFormat/>
    <w:uiPriority w:val="0"/>
    <w:rPr>
      <w:sz w:val="21"/>
      <w:szCs w:val="21"/>
    </w:rPr>
  </w:style>
  <w:style w:type="character" w:customStyle="1" w:styleId="101">
    <w:name w:val="批注主题 Char"/>
    <w:qFormat/>
    <w:uiPriority w:val="0"/>
    <w:rPr>
      <w:rFonts w:eastAsia="宋体"/>
      <w:b/>
      <w:bCs/>
      <w:szCs w:val="24"/>
      <w:lang w:bidi="ar-SA"/>
    </w:rPr>
  </w:style>
  <w:style w:type="character" w:customStyle="1" w:styleId="102">
    <w:name w:val="Table Heading Char"/>
    <w:qFormat/>
    <w:uiPriority w:val="0"/>
    <w:rPr>
      <w:rFonts w:ascii="Arial" w:hAnsi="Arial" w:eastAsia="黑体" w:cs="Arial"/>
      <w:sz w:val="18"/>
      <w:szCs w:val="18"/>
      <w:lang w:val="en-US" w:eastAsia="zh-CN" w:bidi="ar-SA"/>
    </w:rPr>
  </w:style>
  <w:style w:type="character" w:customStyle="1" w:styleId="103">
    <w:name w:val="f-25"/>
    <w:basedOn w:val="35"/>
    <w:qFormat/>
    <w:uiPriority w:val="0"/>
  </w:style>
  <w:style w:type="character" w:customStyle="1" w:styleId="104">
    <w:name w:val="正文文本 Char"/>
    <w:qFormat/>
    <w:uiPriority w:val="0"/>
    <w:rPr>
      <w:rFonts w:ascii="黑体" w:eastAsia="黑体"/>
      <w:kern w:val="2"/>
      <w:sz w:val="24"/>
      <w:lang w:val="en-US" w:eastAsia="zh-CN" w:bidi="ar-SA"/>
    </w:rPr>
  </w:style>
  <w:style w:type="character" w:customStyle="1" w:styleId="105">
    <w:name w:val="16"/>
    <w:qFormat/>
    <w:uiPriority w:val="0"/>
    <w:rPr>
      <w:rFonts w:hint="default" w:ascii="Times New Roman" w:hAnsi="Times New Roman" w:cs="Times New Roman"/>
      <w:color w:val="0000FF"/>
      <w:u w:val="single"/>
    </w:rPr>
  </w:style>
  <w:style w:type="character" w:customStyle="1" w:styleId="106">
    <w:name w:val="纯文本 Char"/>
    <w:qFormat/>
    <w:uiPriority w:val="99"/>
    <w:rPr>
      <w:rFonts w:ascii="宋体" w:hAnsi="Courier New" w:eastAsia="宋体"/>
      <w:kern w:val="2"/>
      <w:sz w:val="21"/>
      <w:lang w:val="en-US" w:eastAsia="zh-CN" w:bidi="ar-SA"/>
    </w:rPr>
  </w:style>
  <w:style w:type="character" w:customStyle="1" w:styleId="107">
    <w:name w:val="Char Char8"/>
    <w:qFormat/>
    <w:uiPriority w:val="0"/>
    <w:rPr>
      <w:rFonts w:ascii="宋体" w:hAnsi="Courier New" w:eastAsia="宋体"/>
      <w:kern w:val="2"/>
      <w:sz w:val="21"/>
      <w:lang w:val="en-US" w:eastAsia="zh-CN" w:bidi="ar-SA"/>
    </w:rPr>
  </w:style>
  <w:style w:type="character" w:customStyle="1" w:styleId="108">
    <w:name w:val="Char Char6"/>
    <w:qFormat/>
    <w:uiPriority w:val="0"/>
    <w:rPr>
      <w:rFonts w:ascii="Arial" w:hAnsi="Arial" w:eastAsia="黑体"/>
      <w:b/>
      <w:bCs/>
      <w:kern w:val="2"/>
      <w:sz w:val="32"/>
      <w:szCs w:val="32"/>
      <w:lang w:val="en-US" w:eastAsia="zh-CN" w:bidi="ar-SA"/>
    </w:rPr>
  </w:style>
  <w:style w:type="character" w:customStyle="1" w:styleId="109">
    <w:name w:val="正文文本缩进 3 Char"/>
    <w:qFormat/>
    <w:uiPriority w:val="0"/>
    <w:rPr>
      <w:rFonts w:ascii="宋体" w:hAnsi="宋体" w:eastAsia="宋体"/>
      <w:lang w:bidi="ar-SA"/>
    </w:rPr>
  </w:style>
  <w:style w:type="character" w:customStyle="1" w:styleId="110">
    <w:name w:val="apple-style-span"/>
    <w:basedOn w:val="35"/>
    <w:qFormat/>
    <w:uiPriority w:val="0"/>
  </w:style>
  <w:style w:type="character" w:customStyle="1" w:styleId="111">
    <w:name w:val="b titlename wangputoptitle"/>
    <w:basedOn w:val="35"/>
    <w:qFormat/>
    <w:uiPriority w:val="0"/>
  </w:style>
  <w:style w:type="character" w:customStyle="1" w:styleId="112">
    <w:name w:val="正文文本 Char Char"/>
    <w:qFormat/>
    <w:uiPriority w:val="0"/>
    <w:rPr>
      <w:rFonts w:ascii="黑体" w:eastAsia="黑体"/>
      <w:kern w:val="2"/>
      <w:sz w:val="24"/>
      <w:lang w:val="en-US" w:eastAsia="zh-CN" w:bidi="ar-SA"/>
    </w:rPr>
  </w:style>
  <w:style w:type="character" w:customStyle="1" w:styleId="113">
    <w:name w:val="Char Char"/>
    <w:qFormat/>
    <w:uiPriority w:val="0"/>
    <w:rPr>
      <w:rFonts w:ascii="Arial" w:hAnsi="Arial" w:eastAsia="黑体"/>
      <w:b/>
      <w:bCs/>
      <w:kern w:val="2"/>
      <w:sz w:val="32"/>
      <w:szCs w:val="32"/>
      <w:lang w:val="en-US" w:eastAsia="zh-CN" w:bidi="ar-SA"/>
    </w:rPr>
  </w:style>
  <w:style w:type="character" w:customStyle="1" w:styleId="114">
    <w:name w:val="Char Char4"/>
    <w:qFormat/>
    <w:uiPriority w:val="0"/>
    <w:rPr>
      <w:rFonts w:ascii="Arial" w:hAnsi="Arial" w:eastAsia="黑体"/>
      <w:b/>
      <w:bCs/>
      <w:kern w:val="2"/>
      <w:sz w:val="32"/>
      <w:szCs w:val="32"/>
      <w:lang w:val="en-US" w:eastAsia="zh-CN" w:bidi="ar-SA"/>
    </w:rPr>
  </w:style>
  <w:style w:type="character" w:customStyle="1" w:styleId="115">
    <w:name w:val="Char Char2"/>
    <w:qFormat/>
    <w:uiPriority w:val="0"/>
    <w:rPr>
      <w:rFonts w:ascii="宋体" w:hAnsi="Courier New" w:eastAsia="宋体"/>
      <w:kern w:val="2"/>
      <w:sz w:val="21"/>
      <w:lang w:val="en-US" w:eastAsia="zh-CN" w:bidi="ar-SA"/>
    </w:rPr>
  </w:style>
  <w:style w:type="character" w:customStyle="1" w:styleId="116">
    <w:name w:val="Char Char18"/>
    <w:qFormat/>
    <w:uiPriority w:val="0"/>
    <w:rPr>
      <w:rFonts w:ascii="Arial" w:hAnsi="Arial" w:eastAsia="黑体"/>
      <w:b/>
      <w:bCs/>
      <w:kern w:val="2"/>
      <w:sz w:val="32"/>
      <w:szCs w:val="32"/>
      <w:lang w:val="en-US" w:eastAsia="zh-CN" w:bidi="ar-SA"/>
    </w:rPr>
  </w:style>
  <w:style w:type="character" w:customStyle="1" w:styleId="117">
    <w:name w:val="普通文字 Char Char1"/>
    <w:qFormat/>
    <w:uiPriority w:val="0"/>
    <w:rPr>
      <w:rFonts w:ascii="宋体" w:hAnsi="Courier New" w:eastAsia="宋体"/>
      <w:kern w:val="2"/>
      <w:sz w:val="21"/>
      <w:lang w:val="en-US" w:eastAsia="zh-CN" w:bidi="ar-SA"/>
    </w:rPr>
  </w:style>
  <w:style w:type="character" w:customStyle="1" w:styleId="118">
    <w:name w:val="body text Char Char"/>
    <w:qFormat/>
    <w:locked/>
    <w:uiPriority w:val="0"/>
    <w:rPr>
      <w:rFonts w:ascii="黑体" w:eastAsia="黑体"/>
      <w:kern w:val="2"/>
      <w:sz w:val="24"/>
      <w:lang w:val="en-US" w:eastAsia="zh-CN" w:bidi="ar-SA"/>
    </w:rPr>
  </w:style>
  <w:style w:type="character" w:customStyle="1" w:styleId="119">
    <w:name w:val="Char Char Char"/>
    <w:qFormat/>
    <w:uiPriority w:val="0"/>
    <w:rPr>
      <w:rFonts w:ascii="Arial" w:hAnsi="Arial" w:eastAsia="黑体"/>
      <w:b/>
      <w:bCs/>
      <w:kern w:val="2"/>
      <w:sz w:val="32"/>
      <w:szCs w:val="32"/>
      <w:lang w:val="en-US" w:eastAsia="zh-CN" w:bidi="ar-SA"/>
    </w:rPr>
  </w:style>
  <w:style w:type="character" w:customStyle="1" w:styleId="120">
    <w:name w:val="Char Char9"/>
    <w:qFormat/>
    <w:uiPriority w:val="0"/>
    <w:rPr>
      <w:kern w:val="2"/>
      <w:sz w:val="18"/>
      <w:szCs w:val="18"/>
    </w:rPr>
  </w:style>
  <w:style w:type="character" w:customStyle="1" w:styleId="121">
    <w:name w:val="Char Char11"/>
    <w:qFormat/>
    <w:uiPriority w:val="0"/>
    <w:rPr>
      <w:rFonts w:ascii="宋体" w:hAnsi="Courier New" w:eastAsia="宋体"/>
      <w:kern w:val="2"/>
      <w:sz w:val="21"/>
      <w:lang w:val="en-US" w:eastAsia="zh-CN" w:bidi="ar-SA"/>
    </w:rPr>
  </w:style>
  <w:style w:type="character" w:customStyle="1" w:styleId="122">
    <w:name w:val="Char Char81"/>
    <w:qFormat/>
    <w:uiPriority w:val="0"/>
    <w:rPr>
      <w:rFonts w:ascii="宋体" w:hAnsi="Courier New" w:eastAsia="宋体"/>
      <w:kern w:val="2"/>
      <w:sz w:val="21"/>
      <w:lang w:val="en-US" w:eastAsia="zh-CN" w:bidi="ar-SA"/>
    </w:rPr>
  </w:style>
  <w:style w:type="character" w:customStyle="1" w:styleId="123">
    <w:name w:val="Char Char3"/>
    <w:qFormat/>
    <w:uiPriority w:val="0"/>
    <w:rPr>
      <w:rFonts w:ascii="Arial" w:hAnsi="Arial" w:eastAsia="黑体"/>
      <w:b/>
      <w:bCs/>
      <w:kern w:val="2"/>
      <w:sz w:val="32"/>
      <w:szCs w:val="32"/>
      <w:lang w:val="en-US" w:eastAsia="zh-CN" w:bidi="ar-SA"/>
    </w:rPr>
  </w:style>
  <w:style w:type="character" w:customStyle="1" w:styleId="124">
    <w:name w:val="Char Char21"/>
    <w:qFormat/>
    <w:uiPriority w:val="0"/>
    <w:rPr>
      <w:rFonts w:ascii="Arial" w:hAnsi="Arial" w:eastAsia="黑体"/>
      <w:b/>
      <w:bCs/>
      <w:kern w:val="2"/>
      <w:sz w:val="32"/>
      <w:szCs w:val="32"/>
      <w:lang w:val="en-US" w:eastAsia="zh-CN" w:bidi="ar-SA"/>
    </w:rPr>
  </w:style>
  <w:style w:type="character" w:customStyle="1" w:styleId="125">
    <w:name w:val="font81"/>
    <w:qFormat/>
    <w:uiPriority w:val="0"/>
    <w:rPr>
      <w:rFonts w:hint="eastAsia" w:ascii="宋体" w:hAnsi="宋体" w:eastAsia="宋体" w:cs="宋体"/>
      <w:b/>
      <w:color w:val="000000"/>
      <w:sz w:val="20"/>
      <w:szCs w:val="20"/>
      <w:u w:val="none"/>
    </w:rPr>
  </w:style>
  <w:style w:type="character" w:customStyle="1" w:styleId="126">
    <w:name w:val="font41"/>
    <w:qFormat/>
    <w:uiPriority w:val="0"/>
    <w:rPr>
      <w:rFonts w:hint="eastAsia" w:ascii="宋体" w:hAnsi="宋体" w:eastAsia="宋体" w:cs="宋体"/>
      <w:color w:val="000000"/>
      <w:sz w:val="24"/>
      <w:szCs w:val="24"/>
      <w:u w:val="none"/>
    </w:rPr>
  </w:style>
  <w:style w:type="character" w:customStyle="1" w:styleId="127">
    <w:name w:val="font31"/>
    <w:basedOn w:val="35"/>
    <w:qFormat/>
    <w:uiPriority w:val="0"/>
    <w:rPr>
      <w:rFonts w:hint="eastAsia" w:ascii="宋体" w:hAnsi="宋体" w:eastAsia="宋体" w:cs="宋体"/>
      <w:color w:val="000000"/>
      <w:sz w:val="24"/>
      <w:szCs w:val="24"/>
      <w:u w:val="none"/>
    </w:rPr>
  </w:style>
  <w:style w:type="character" w:customStyle="1" w:styleId="128">
    <w:name w:val="font61"/>
    <w:qFormat/>
    <w:uiPriority w:val="0"/>
    <w:rPr>
      <w:rFonts w:hint="default" w:ascii="Times New Roman" w:hAnsi="Times New Roman" w:cs="Times New Roman"/>
      <w:color w:val="000000"/>
      <w:sz w:val="20"/>
      <w:szCs w:val="20"/>
      <w:u w:val="none"/>
    </w:rPr>
  </w:style>
  <w:style w:type="character" w:customStyle="1" w:styleId="129">
    <w:name w:val="font71"/>
    <w:qFormat/>
    <w:uiPriority w:val="0"/>
    <w:rPr>
      <w:rFonts w:hint="default" w:ascii="Times New Roman" w:hAnsi="Times New Roman" w:cs="Times New Roman"/>
      <w:color w:val="000000"/>
      <w:sz w:val="20"/>
      <w:szCs w:val="20"/>
      <w:u w:val="none"/>
    </w:rPr>
  </w:style>
  <w:style w:type="character" w:customStyle="1" w:styleId="130">
    <w:name w:val="font91"/>
    <w:qFormat/>
    <w:uiPriority w:val="0"/>
    <w:rPr>
      <w:rFonts w:hint="default" w:ascii="Times New Roman" w:hAnsi="Times New Roman" w:cs="Times New Roman"/>
      <w:color w:val="000000"/>
      <w:sz w:val="24"/>
      <w:szCs w:val="24"/>
      <w:u w:val="none"/>
    </w:rPr>
  </w:style>
  <w:style w:type="character" w:customStyle="1" w:styleId="131">
    <w:name w:val="font101"/>
    <w:qFormat/>
    <w:uiPriority w:val="0"/>
    <w:rPr>
      <w:rFonts w:hint="eastAsia" w:ascii="宋体" w:hAnsi="宋体" w:eastAsia="宋体" w:cs="宋体"/>
      <w:color w:val="000000"/>
      <w:sz w:val="24"/>
      <w:szCs w:val="24"/>
      <w:u w:val="none"/>
    </w:rPr>
  </w:style>
  <w:style w:type="character" w:customStyle="1" w:styleId="132">
    <w:name w:val="font51"/>
    <w:basedOn w:val="35"/>
    <w:qFormat/>
    <w:uiPriority w:val="0"/>
    <w:rPr>
      <w:rFonts w:hint="eastAsia" w:ascii="宋体" w:hAnsi="宋体" w:eastAsia="宋体" w:cs="宋体"/>
      <w:color w:val="auto"/>
      <w:sz w:val="20"/>
      <w:szCs w:val="20"/>
      <w:u w:val="none"/>
    </w:rPr>
  </w:style>
  <w:style w:type="character" w:customStyle="1" w:styleId="133">
    <w:name w:val="font141"/>
    <w:qFormat/>
    <w:uiPriority w:val="0"/>
    <w:rPr>
      <w:rFonts w:hint="eastAsia" w:ascii="宋体" w:hAnsi="宋体" w:eastAsia="宋体" w:cs="宋体"/>
      <w:color w:val="000000"/>
      <w:sz w:val="20"/>
      <w:szCs w:val="20"/>
      <w:u w:val="none"/>
    </w:rPr>
  </w:style>
  <w:style w:type="character" w:customStyle="1" w:styleId="134">
    <w:name w:val="A5"/>
    <w:qFormat/>
    <w:uiPriority w:val="0"/>
    <w:rPr>
      <w:rFonts w:ascii="汉仪中黑简" w:eastAsia="汉仪中黑简"/>
      <w:color w:val="6E2A90"/>
      <w:sz w:val="32"/>
    </w:rPr>
  </w:style>
  <w:style w:type="character" w:customStyle="1" w:styleId="135">
    <w:name w:val="A4"/>
    <w:qFormat/>
    <w:uiPriority w:val="0"/>
    <w:rPr>
      <w:color w:val="6E2A90"/>
      <w:sz w:val="48"/>
    </w:rPr>
  </w:style>
  <w:style w:type="character" w:customStyle="1" w:styleId="136">
    <w:name w:val="普通文字 Char Char Char1"/>
    <w:qFormat/>
    <w:uiPriority w:val="0"/>
    <w:rPr>
      <w:rFonts w:ascii="宋体" w:hAnsi="Courier New"/>
      <w:kern w:val="2"/>
      <w:sz w:val="21"/>
    </w:rPr>
  </w:style>
  <w:style w:type="character" w:customStyle="1" w:styleId="137">
    <w:name w:val="标题 2 Char1"/>
    <w:qFormat/>
    <w:uiPriority w:val="0"/>
    <w:rPr>
      <w:rFonts w:ascii="Arial" w:hAnsi="Arial" w:eastAsia="黑体"/>
      <w:b/>
      <w:bCs/>
      <w:kern w:val="2"/>
      <w:sz w:val="32"/>
      <w:szCs w:val="32"/>
    </w:rPr>
  </w:style>
  <w:style w:type="character" w:customStyle="1" w:styleId="138">
    <w:name w:val="apple-converted-space"/>
    <w:basedOn w:val="35"/>
    <w:qFormat/>
    <w:uiPriority w:val="0"/>
  </w:style>
  <w:style w:type="character" w:customStyle="1" w:styleId="139">
    <w:name w:val="表正文 Char"/>
    <w:qFormat/>
    <w:uiPriority w:val="0"/>
    <w:rPr>
      <w:rFonts w:eastAsia="宋体"/>
      <w:kern w:val="2"/>
      <w:sz w:val="21"/>
      <w:szCs w:val="24"/>
      <w:lang w:val="en-US" w:eastAsia="zh-CN" w:bidi="ar-SA"/>
    </w:rPr>
  </w:style>
  <w:style w:type="character" w:customStyle="1" w:styleId="140">
    <w:name w:val="font21"/>
    <w:qFormat/>
    <w:uiPriority w:val="0"/>
    <w:rPr>
      <w:rFonts w:hint="default" w:ascii="Times New Roman" w:hAnsi="Times New Roman" w:cs="Times New Roman"/>
      <w:b/>
      <w:color w:val="000000"/>
      <w:sz w:val="24"/>
      <w:szCs w:val="24"/>
    </w:rPr>
  </w:style>
  <w:style w:type="character" w:customStyle="1" w:styleId="141">
    <w:name w:val="font11"/>
    <w:qFormat/>
    <w:uiPriority w:val="0"/>
    <w:rPr>
      <w:rFonts w:hint="eastAsia" w:ascii="宋体" w:hAnsi="宋体" w:eastAsia="宋体" w:cs="宋体"/>
      <w:b/>
      <w:color w:val="000000"/>
      <w:sz w:val="22"/>
      <w:szCs w:val="22"/>
    </w:rPr>
  </w:style>
  <w:style w:type="character" w:customStyle="1" w:styleId="142">
    <w:name w:val="font01"/>
    <w:qFormat/>
    <w:uiPriority w:val="0"/>
    <w:rPr>
      <w:rFonts w:hint="eastAsia" w:ascii="宋体" w:hAnsi="宋体" w:eastAsia="宋体" w:cs="宋体"/>
      <w:color w:val="000000"/>
      <w:sz w:val="22"/>
      <w:szCs w:val="22"/>
    </w:rPr>
  </w:style>
  <w:style w:type="character" w:customStyle="1" w:styleId="143">
    <w:name w:val="font112"/>
    <w:qFormat/>
    <w:uiPriority w:val="0"/>
    <w:rPr>
      <w:rFonts w:hint="eastAsia" w:ascii="宋体" w:hAnsi="宋体" w:eastAsia="宋体" w:cs="宋体"/>
      <w:color w:val="000000"/>
      <w:sz w:val="20"/>
      <w:szCs w:val="20"/>
    </w:rPr>
  </w:style>
  <w:style w:type="character" w:customStyle="1" w:styleId="144">
    <w:name w:val="font131"/>
    <w:qFormat/>
    <w:uiPriority w:val="0"/>
    <w:rPr>
      <w:rFonts w:hint="eastAsia" w:ascii="宋体" w:hAnsi="宋体" w:eastAsia="宋体" w:cs="宋体"/>
      <w:color w:val="000000"/>
      <w:sz w:val="20"/>
      <w:szCs w:val="20"/>
    </w:rPr>
  </w:style>
  <w:style w:type="character" w:customStyle="1" w:styleId="145">
    <w:name w:val="font171"/>
    <w:qFormat/>
    <w:uiPriority w:val="0"/>
    <w:rPr>
      <w:rFonts w:ascii="Segoe UI Symbol" w:hAnsi="Segoe UI Symbol" w:eastAsia="Segoe UI Symbol" w:cs="Segoe UI Symbol"/>
      <w:b/>
      <w:color w:val="000000"/>
      <w:sz w:val="20"/>
      <w:szCs w:val="20"/>
    </w:rPr>
  </w:style>
  <w:style w:type="character" w:customStyle="1" w:styleId="146">
    <w:name w:val="font161"/>
    <w:qFormat/>
    <w:uiPriority w:val="0"/>
    <w:rPr>
      <w:rFonts w:ascii="Cambria Math" w:hAnsi="Cambria Math" w:eastAsia="Cambria Math" w:cs="Cambria Math"/>
      <w:b/>
      <w:color w:val="000000"/>
      <w:sz w:val="20"/>
      <w:szCs w:val="20"/>
    </w:rPr>
  </w:style>
  <w:style w:type="character" w:customStyle="1" w:styleId="147">
    <w:name w:val="font151"/>
    <w:qFormat/>
    <w:uiPriority w:val="0"/>
    <w:rPr>
      <w:rFonts w:hint="default" w:ascii="Cambria Math" w:hAnsi="Cambria Math" w:eastAsia="Cambria Math" w:cs="Cambria Math"/>
      <w:color w:val="000000"/>
      <w:sz w:val="20"/>
      <w:szCs w:val="20"/>
    </w:rPr>
  </w:style>
  <w:style w:type="character" w:customStyle="1" w:styleId="148">
    <w:name w:val="font181"/>
    <w:qFormat/>
    <w:uiPriority w:val="0"/>
    <w:rPr>
      <w:rFonts w:hint="default" w:ascii="Times New Roman" w:hAnsi="Times New Roman" w:cs="Times New Roman"/>
      <w:b/>
      <w:color w:val="000000"/>
      <w:sz w:val="20"/>
      <w:szCs w:val="20"/>
    </w:rPr>
  </w:style>
  <w:style w:type="character" w:customStyle="1" w:styleId="149">
    <w:name w:val="font111"/>
    <w:qFormat/>
    <w:uiPriority w:val="0"/>
    <w:rPr>
      <w:rFonts w:hint="eastAsia" w:ascii="宋体" w:hAnsi="宋体" w:eastAsia="宋体" w:cs="宋体"/>
      <w:color w:val="000000"/>
      <w:sz w:val="20"/>
      <w:szCs w:val="20"/>
    </w:rPr>
  </w:style>
  <w:style w:type="paragraph" w:customStyle="1" w:styleId="150">
    <w:name w:val="列出段落11"/>
    <w:basedOn w:val="1"/>
    <w:qFormat/>
    <w:uiPriority w:val="0"/>
    <w:pPr>
      <w:ind w:firstLine="420" w:firstLineChars="200"/>
    </w:pPr>
  </w:style>
  <w:style w:type="character" w:customStyle="1" w:styleId="151">
    <w:name w:val="列出段落 Char"/>
    <w:link w:val="152"/>
    <w:qFormat/>
    <w:locked/>
    <w:uiPriority w:val="34"/>
    <w:rPr>
      <w:rFonts w:ascii="Calibri" w:hAnsi="Calibri"/>
      <w:kern w:val="2"/>
      <w:sz w:val="21"/>
      <w:szCs w:val="22"/>
    </w:rPr>
  </w:style>
  <w:style w:type="paragraph" w:customStyle="1" w:styleId="152">
    <w:name w:val="列出段落2"/>
    <w:basedOn w:val="1"/>
    <w:link w:val="151"/>
    <w:qFormat/>
    <w:uiPriority w:val="0"/>
    <w:pPr>
      <w:ind w:firstLine="420" w:firstLineChars="200"/>
    </w:pPr>
    <w:rPr>
      <w:rFonts w:ascii="Calibri" w:hAnsi="Calibri"/>
      <w:szCs w:val="22"/>
    </w:rPr>
  </w:style>
  <w:style w:type="character" w:customStyle="1" w:styleId="153">
    <w:name w:val="time"/>
    <w:basedOn w:val="35"/>
    <w:qFormat/>
    <w:uiPriority w:val="0"/>
  </w:style>
  <w:style w:type="character" w:customStyle="1" w:styleId="154">
    <w:name w:val="批注主题 Char1"/>
    <w:qFormat/>
    <w:uiPriority w:val="0"/>
    <w:rPr>
      <w:rFonts w:ascii="Calibri" w:hAnsi="Calibri"/>
      <w:b/>
      <w:bCs/>
      <w:szCs w:val="24"/>
    </w:rPr>
  </w:style>
  <w:style w:type="character" w:customStyle="1" w:styleId="155">
    <w:name w:val="标题 2 字符"/>
    <w:qFormat/>
    <w:uiPriority w:val="0"/>
    <w:rPr>
      <w:rFonts w:ascii="宋体" w:hAnsi="宋体"/>
      <w:b/>
      <w:sz w:val="36"/>
      <w:szCs w:val="36"/>
    </w:rPr>
  </w:style>
  <w:style w:type="character" w:customStyle="1" w:styleId="156">
    <w:name w:val="正文首行缩进 2 Char1"/>
    <w:basedOn w:val="157"/>
    <w:qFormat/>
    <w:uiPriority w:val="0"/>
    <w:rPr>
      <w:kern w:val="2"/>
      <w:sz w:val="21"/>
      <w:szCs w:val="24"/>
    </w:rPr>
  </w:style>
  <w:style w:type="character" w:customStyle="1" w:styleId="157">
    <w:name w:val="正文文本缩进 Char1"/>
    <w:qFormat/>
    <w:uiPriority w:val="0"/>
    <w:rPr>
      <w:kern w:val="2"/>
      <w:sz w:val="21"/>
      <w:szCs w:val="24"/>
    </w:rPr>
  </w:style>
  <w:style w:type="character" w:customStyle="1" w:styleId="158">
    <w:name w:val="z-窗体顶端 Char"/>
    <w:qFormat/>
    <w:uiPriority w:val="0"/>
    <w:rPr>
      <w:rFonts w:ascii="Arial"/>
      <w:vanish/>
      <w:kern w:val="2"/>
      <w:sz w:val="16"/>
      <w:szCs w:val="24"/>
    </w:rPr>
  </w:style>
  <w:style w:type="paragraph" w:customStyle="1" w:styleId="159">
    <w:name w:val="z-窗体顶端1"/>
    <w:basedOn w:val="1"/>
    <w:next w:val="1"/>
    <w:link w:val="160"/>
    <w:qFormat/>
    <w:uiPriority w:val="0"/>
    <w:pPr>
      <w:pBdr>
        <w:bottom w:val="single" w:color="auto" w:sz="6" w:space="1"/>
      </w:pBdr>
      <w:jc w:val="center"/>
    </w:pPr>
    <w:rPr>
      <w:rFonts w:ascii="Arial"/>
      <w:vanish/>
      <w:sz w:val="16"/>
    </w:rPr>
  </w:style>
  <w:style w:type="character" w:customStyle="1" w:styleId="160">
    <w:name w:val="z-窗体顶端 Char1"/>
    <w:basedOn w:val="35"/>
    <w:link w:val="159"/>
    <w:semiHidden/>
    <w:qFormat/>
    <w:uiPriority w:val="99"/>
    <w:rPr>
      <w:rFonts w:ascii="Arial" w:hAnsi="Arial" w:cs="Arial"/>
      <w:vanish/>
      <w:kern w:val="2"/>
      <w:sz w:val="16"/>
      <w:szCs w:val="16"/>
    </w:rPr>
  </w:style>
  <w:style w:type="character" w:customStyle="1" w:styleId="161">
    <w:name w:val="english"/>
    <w:qFormat/>
    <w:uiPriority w:val="0"/>
    <w:rPr>
      <w:rFonts w:ascii="微软雅黑" w:hAnsi="微软雅黑" w:eastAsia="微软雅黑" w:cs="微软雅黑"/>
      <w:i/>
      <w:caps/>
      <w:color w:val="9E9E9E"/>
      <w:sz w:val="21"/>
      <w:szCs w:val="21"/>
    </w:rPr>
  </w:style>
  <w:style w:type="character" w:customStyle="1" w:styleId="162">
    <w:name w:val="font132"/>
    <w:qFormat/>
    <w:uiPriority w:val="0"/>
    <w:rPr>
      <w:rFonts w:hint="eastAsia" w:ascii="宋体" w:hAnsi="宋体" w:eastAsia="宋体" w:cs="宋体"/>
      <w:color w:val="000000"/>
      <w:sz w:val="16"/>
      <w:szCs w:val="16"/>
      <w:u w:val="none"/>
    </w:rPr>
  </w:style>
  <w:style w:type="character" w:customStyle="1" w:styleId="163">
    <w:name w:val="english2"/>
    <w:qFormat/>
    <w:uiPriority w:val="0"/>
    <w:rPr>
      <w:rFonts w:hint="eastAsia" w:ascii="微软雅黑" w:hAnsi="微软雅黑" w:eastAsia="微软雅黑" w:cs="微软雅黑"/>
      <w:i/>
      <w:caps/>
      <w:color w:val="9E9E9E"/>
      <w:sz w:val="21"/>
      <w:szCs w:val="21"/>
    </w:rPr>
  </w:style>
  <w:style w:type="character" w:customStyle="1" w:styleId="164">
    <w:name w:val="批注框文本 Char1"/>
    <w:qFormat/>
    <w:uiPriority w:val="0"/>
    <w:rPr>
      <w:rFonts w:ascii="Calibri" w:hAnsi="Calibri"/>
      <w:kern w:val="2"/>
      <w:sz w:val="18"/>
      <w:szCs w:val="18"/>
    </w:rPr>
  </w:style>
  <w:style w:type="character" w:customStyle="1" w:styleId="165">
    <w:name w:val="time1"/>
    <w:basedOn w:val="35"/>
    <w:qFormat/>
    <w:uiPriority w:val="0"/>
  </w:style>
  <w:style w:type="character" w:customStyle="1" w:styleId="166">
    <w:name w:val="english1"/>
    <w:qFormat/>
    <w:uiPriority w:val="0"/>
    <w:rPr>
      <w:rFonts w:hint="eastAsia" w:ascii="微软雅黑" w:hAnsi="微软雅黑" w:eastAsia="微软雅黑" w:cs="微软雅黑"/>
      <w:color w:val="000000"/>
      <w:sz w:val="12"/>
      <w:szCs w:val="12"/>
    </w:rPr>
  </w:style>
  <w:style w:type="character" w:customStyle="1" w:styleId="167">
    <w:name w:val="time2"/>
    <w:basedOn w:val="35"/>
    <w:qFormat/>
    <w:uiPriority w:val="0"/>
  </w:style>
  <w:style w:type="character" w:customStyle="1" w:styleId="168">
    <w:name w:val="z-窗体底端 Char"/>
    <w:qFormat/>
    <w:uiPriority w:val="0"/>
    <w:rPr>
      <w:rFonts w:ascii="Arial"/>
      <w:vanish/>
      <w:kern w:val="2"/>
      <w:sz w:val="16"/>
      <w:szCs w:val="24"/>
    </w:rPr>
  </w:style>
  <w:style w:type="paragraph" w:customStyle="1" w:styleId="169">
    <w:name w:val="z-窗体底端1"/>
    <w:basedOn w:val="1"/>
    <w:next w:val="1"/>
    <w:link w:val="170"/>
    <w:qFormat/>
    <w:uiPriority w:val="0"/>
    <w:pPr>
      <w:pBdr>
        <w:top w:val="single" w:color="auto" w:sz="6" w:space="1"/>
      </w:pBdr>
      <w:jc w:val="center"/>
    </w:pPr>
    <w:rPr>
      <w:rFonts w:ascii="Arial"/>
      <w:vanish/>
      <w:sz w:val="16"/>
    </w:rPr>
  </w:style>
  <w:style w:type="character" w:customStyle="1" w:styleId="170">
    <w:name w:val="z-窗体底端 Char1"/>
    <w:basedOn w:val="35"/>
    <w:link w:val="169"/>
    <w:semiHidden/>
    <w:qFormat/>
    <w:uiPriority w:val="99"/>
    <w:rPr>
      <w:rFonts w:ascii="Arial" w:hAnsi="Arial" w:cs="Arial"/>
      <w:vanish/>
      <w:kern w:val="2"/>
      <w:sz w:val="16"/>
      <w:szCs w:val="16"/>
    </w:rPr>
  </w:style>
  <w:style w:type="character" w:customStyle="1" w:styleId="171">
    <w:name w:val="正文首行缩进 2 Char"/>
    <w:qFormat/>
    <w:uiPriority w:val="0"/>
    <w:rPr>
      <w:rFonts w:ascii="宋体" w:hAnsi="宋体" w:cs="宋体"/>
      <w:sz w:val="22"/>
      <w:lang w:val="zh-CN" w:bidi="zh-CN"/>
    </w:rPr>
  </w:style>
  <w:style w:type="character" w:customStyle="1" w:styleId="172">
    <w:name w:val="批注文字 Char1"/>
    <w:qFormat/>
    <w:uiPriority w:val="0"/>
    <w:rPr>
      <w:rFonts w:ascii="Calibri" w:hAnsi="Calibri"/>
      <w:szCs w:val="24"/>
    </w:rPr>
  </w:style>
  <w:style w:type="paragraph" w:customStyle="1" w:styleId="17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5">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样式1"/>
    <w:basedOn w:val="1"/>
    <w:qFormat/>
    <w:uiPriority w:val="0"/>
    <w:pPr>
      <w:tabs>
        <w:tab w:val="left" w:pos="709"/>
      </w:tabs>
      <w:adjustRightInd w:val="0"/>
    </w:pPr>
    <w:rPr>
      <w:rFonts w:ascii="宋体" w:hAnsi="宋体"/>
      <w:kern w:val="0"/>
      <w:szCs w:val="21"/>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1">
    <w:name w:val="xl77"/>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9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3">
    <w:name w:val="xl75"/>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9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0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4">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8">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0">
    <w:name w:val="NormalCharacter"/>
    <w:qFormat/>
    <w:uiPriority w:val="0"/>
    <w:rPr>
      <w:rFonts w:asciiTheme="minorHAnsi" w:hAnsiTheme="minorHAnsi" w:eastAsiaTheme="minorEastAsia" w:cstheme="minorBidi"/>
      <w:kern w:val="2"/>
      <w:sz w:val="21"/>
      <w:szCs w:val="24"/>
      <w:lang w:val="en-US" w:eastAsia="zh-CN" w:bidi="ar-SA"/>
    </w:rPr>
  </w:style>
  <w:style w:type="paragraph" w:styleId="221">
    <w:name w:val="List Paragraph"/>
    <w:basedOn w:val="1"/>
    <w:unhideWhenUsed/>
    <w:qFormat/>
    <w:uiPriority w:val="34"/>
    <w:pPr>
      <w:ind w:firstLine="420" w:firstLineChars="200"/>
    </w:pPr>
  </w:style>
  <w:style w:type="paragraph" w:customStyle="1" w:styleId="22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23">
    <w:name w:val="cf01"/>
    <w:basedOn w:val="35"/>
    <w:qFormat/>
    <w:uiPriority w:val="0"/>
    <w:rPr>
      <w:rFonts w:hint="eastAsia" w:ascii="Microsoft YaHei UI" w:hAnsi="Microsoft YaHei UI" w:eastAsia="Microsoft YaHei UI"/>
      <w:sz w:val="18"/>
      <w:szCs w:val="18"/>
    </w:rPr>
  </w:style>
  <w:style w:type="paragraph" w:customStyle="1" w:styleId="224">
    <w:name w:val="楷体粗正文文字"/>
    <w:basedOn w:val="1"/>
    <w:next w:val="25"/>
    <w:qFormat/>
    <w:uiPriority w:val="0"/>
    <w:pPr>
      <w:snapToGrid w:val="0"/>
      <w:spacing w:line="480" w:lineRule="exact"/>
      <w:ind w:firstLine="560"/>
    </w:pPr>
    <w:rPr>
      <w:sz w:val="28"/>
      <w:szCs w:val="20"/>
    </w:rPr>
  </w:style>
  <w:style w:type="paragraph" w:customStyle="1" w:styleId="225">
    <w:name w:val="表格"/>
    <w:basedOn w:val="1"/>
    <w:link w:val="226"/>
    <w:qFormat/>
    <w:uiPriority w:val="0"/>
    <w:rPr>
      <w:rFonts w:eastAsia="微软雅黑"/>
      <w:sz w:val="24"/>
      <w:szCs w:val="20"/>
    </w:rPr>
  </w:style>
  <w:style w:type="character" w:customStyle="1" w:styleId="226">
    <w:name w:val="表格 Char"/>
    <w:basedOn w:val="35"/>
    <w:link w:val="225"/>
    <w:qFormat/>
    <w:uiPriority w:val="0"/>
    <w:rPr>
      <w:rFonts w:eastAsia="微软雅黑"/>
      <w:kern w:val="2"/>
      <w:sz w:val="24"/>
    </w:rPr>
  </w:style>
  <w:style w:type="paragraph" w:customStyle="1" w:styleId="227">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228">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229">
    <w:name w:val="_Style 9"/>
    <w:basedOn w:val="13"/>
    <w:next w:val="32"/>
    <w:qFormat/>
    <w:uiPriority w:val="0"/>
    <w:pPr>
      <w:spacing w:after="0" w:line="360" w:lineRule="auto"/>
      <w:ind w:left="0" w:leftChars="0" w:firstLine="420" w:firstLineChars="200"/>
    </w:pPr>
    <w:rPr>
      <w:rFonts w:ascii="宋体" w:hAnsi="宋体"/>
      <w:kern w:val="0"/>
      <w:sz w:val="20"/>
      <w:szCs w:val="20"/>
    </w:rPr>
  </w:style>
  <w:style w:type="table" w:customStyle="1" w:styleId="230">
    <w:name w:val="Table Normal"/>
    <w:semiHidden/>
    <w:unhideWhenUsed/>
    <w:qFormat/>
    <w:uiPriority w:val="0"/>
    <w:tblPr>
      <w:tblCellMar>
        <w:top w:w="0" w:type="dxa"/>
        <w:left w:w="0" w:type="dxa"/>
        <w:bottom w:w="0" w:type="dxa"/>
        <w:right w:w="0" w:type="dxa"/>
      </w:tblCellMar>
    </w:tblPr>
  </w:style>
  <w:style w:type="paragraph" w:customStyle="1" w:styleId="23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BodyText"/>
    <w:basedOn w:val="1"/>
    <w:qFormat/>
    <w:uiPriority w:val="0"/>
    <w:pPr>
      <w:widowControl/>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D7F25-88DF-4F50-AF76-D25B1CEF0C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21449</Words>
  <Characters>22728</Characters>
  <Lines>176</Lines>
  <Paragraphs>49</Paragraphs>
  <TotalTime>6</TotalTime>
  <ScaleCrop>false</ScaleCrop>
  <LinksUpToDate>false</LinksUpToDate>
  <CharactersWithSpaces>23314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2025-02-06T06:33:00Z</dcterms:created>
  <dc:creator>User</dc:creator>
  <cp:lastModifiedBy>招标中心</cp:lastModifiedBy>
  <cp:lastPrinted>2024-03-28T09:11:00Z</cp:lastPrinted>
  <dcterms:modified xsi:type="dcterms:W3CDTF">2025-03-26T07:24:37Z</dcterms:modified>
  <dc:title>2013省本级政府设备采购招标项目	</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F44A23FA10E44E5EA86FA851A3298A56_13</vt:lpwstr>
  </property>
  <property fmtid="{D5CDD505-2E9C-101B-9397-08002B2CF9AE}" pid="4" name="KSOTemplateDocerSaveRecord">
    <vt:lpwstr>eyJoZGlkIjoiYzcxNDc0NGU2Y2M2MWU4ZGFkZmQzNTE3MDIwYWFmZGIiLCJ1c2VySWQiOiIxNTk1MDQ5MjkwIn0=</vt:lpwstr>
  </property>
</Properties>
</file>