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F3CE1">
      <w:pPr>
        <w:jc w:val="center"/>
        <w:rPr>
          <w:b/>
          <w:sz w:val="36"/>
          <w:szCs w:val="36"/>
        </w:rPr>
      </w:pPr>
      <w:bookmarkStart w:id="0" w:name="_Toc490832162"/>
      <w:bookmarkStart w:id="1" w:name="_Toc506611570"/>
      <w:bookmarkStart w:id="2" w:name="_Toc75917299"/>
      <w:bookmarkStart w:id="3" w:name="_Toc517502601"/>
      <w:bookmarkStart w:id="4" w:name="_Toc506611778"/>
      <w:bookmarkStart w:id="5" w:name="_Toc169338716"/>
      <w:bookmarkStart w:id="6" w:name="_Toc12118333"/>
      <w:bookmarkStart w:id="7" w:name="_Toc46738283"/>
      <w:bookmarkStart w:id="8" w:name="_Toc484827160"/>
      <w:bookmarkStart w:id="9" w:name="_Toc46738410"/>
      <w:bookmarkStart w:id="10" w:name="_Toc484848505"/>
      <w:bookmarkStart w:id="11" w:name="_Toc506628521"/>
      <w:bookmarkStart w:id="12" w:name="_Toc46738149"/>
      <w:bookmarkStart w:id="13" w:name="_Toc494597746"/>
      <w:bookmarkStart w:id="14" w:name="_Toc494875372"/>
      <w:bookmarkStart w:id="15" w:name="_Toc531987376"/>
    </w:p>
    <w:p w14:paraId="58C37D1F">
      <w:pPr>
        <w:jc w:val="center"/>
        <w:rPr>
          <w:b/>
          <w:sz w:val="44"/>
        </w:rPr>
      </w:pPr>
    </w:p>
    <w:p w14:paraId="32DE1E21">
      <w:pPr>
        <w:jc w:val="center"/>
        <w:rPr>
          <w:b/>
          <w:bCs/>
          <w:sz w:val="44"/>
        </w:rPr>
      </w:pPr>
      <w:r>
        <w:rPr>
          <w:rFonts w:hint="eastAsia"/>
          <w:b/>
          <w:sz w:val="44"/>
        </w:rPr>
        <w:t>2025年采购项目</w:t>
      </w:r>
    </w:p>
    <w:p w14:paraId="2907B7AC">
      <w:pPr>
        <w:spacing w:line="240" w:lineRule="atLeast"/>
        <w:jc w:val="center"/>
        <w:rPr>
          <w:rFonts w:ascii="宋体"/>
          <w:sz w:val="32"/>
          <w:szCs w:val="32"/>
        </w:rPr>
      </w:pPr>
    </w:p>
    <w:p w14:paraId="72C5AB06">
      <w:pPr>
        <w:spacing w:line="240" w:lineRule="atLeast"/>
        <w:jc w:val="center"/>
        <w:rPr>
          <w:rFonts w:ascii="宋体"/>
          <w:sz w:val="32"/>
          <w:szCs w:val="32"/>
        </w:rPr>
      </w:pPr>
    </w:p>
    <w:p w14:paraId="4FA645FD">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海南省电化教育馆2025年网络安全相关服务项目</w:t>
      </w:r>
    </w:p>
    <w:p w14:paraId="22A2418F">
      <w:pPr>
        <w:spacing w:line="240" w:lineRule="atLeast"/>
        <w:jc w:val="center"/>
        <w:rPr>
          <w:rFonts w:ascii="宋体"/>
          <w:sz w:val="32"/>
          <w:szCs w:val="32"/>
        </w:rPr>
      </w:pPr>
    </w:p>
    <w:p w14:paraId="548EDAF7">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HNJY2025-6-2</w:t>
      </w:r>
    </w:p>
    <w:p w14:paraId="3829F3CB">
      <w:pPr>
        <w:spacing w:line="240" w:lineRule="atLeast"/>
        <w:jc w:val="center"/>
        <w:rPr>
          <w:rFonts w:ascii="宋体" w:hAnsi="宋体"/>
          <w:b/>
          <w:kern w:val="0"/>
          <w:sz w:val="28"/>
          <w:szCs w:val="28"/>
        </w:rPr>
      </w:pPr>
    </w:p>
    <w:p w14:paraId="59999D41">
      <w:pPr>
        <w:spacing w:line="240" w:lineRule="atLeast"/>
        <w:jc w:val="center"/>
        <w:rPr>
          <w:rFonts w:ascii="宋体" w:hAnsi="宋体"/>
          <w:b/>
          <w:kern w:val="0"/>
          <w:sz w:val="28"/>
          <w:szCs w:val="28"/>
        </w:rPr>
      </w:pPr>
    </w:p>
    <w:p w14:paraId="0174EF83">
      <w:pPr>
        <w:spacing w:line="240" w:lineRule="atLeast"/>
        <w:jc w:val="center"/>
        <w:rPr>
          <w:b/>
          <w:sz w:val="28"/>
        </w:rPr>
      </w:pPr>
    </w:p>
    <w:p w14:paraId="1D8303F8">
      <w:pPr>
        <w:spacing w:line="240" w:lineRule="atLeast"/>
        <w:jc w:val="center"/>
        <w:rPr>
          <w:b/>
          <w:sz w:val="28"/>
        </w:rPr>
      </w:pPr>
    </w:p>
    <w:p w14:paraId="6F3917F4">
      <w:pPr>
        <w:spacing w:line="240" w:lineRule="atLeast"/>
        <w:jc w:val="center"/>
        <w:rPr>
          <w:sz w:val="72"/>
          <w:szCs w:val="72"/>
        </w:rPr>
      </w:pPr>
      <w:bookmarkStart w:id="16" w:name="OLE_LINK4"/>
      <w:r>
        <w:rPr>
          <w:rFonts w:hint="eastAsia"/>
          <w:sz w:val="72"/>
          <w:szCs w:val="72"/>
        </w:rPr>
        <w:t>竞争性磋商采购文件</w:t>
      </w:r>
    </w:p>
    <w:bookmarkEnd w:id="16"/>
    <w:p w14:paraId="78CDA35A">
      <w:pPr>
        <w:spacing w:line="240" w:lineRule="atLeast"/>
        <w:rPr>
          <w:rFonts w:ascii="宋体"/>
          <w:b/>
          <w:sz w:val="32"/>
        </w:rPr>
      </w:pPr>
    </w:p>
    <w:p w14:paraId="2944AB0B">
      <w:pPr>
        <w:spacing w:line="240" w:lineRule="atLeast"/>
        <w:rPr>
          <w:rFonts w:ascii="宋体"/>
          <w:b/>
          <w:sz w:val="32"/>
        </w:rPr>
      </w:pPr>
    </w:p>
    <w:p w14:paraId="70E3055F">
      <w:pPr>
        <w:spacing w:line="240" w:lineRule="atLeast"/>
        <w:rPr>
          <w:rFonts w:ascii="宋体"/>
          <w:b/>
          <w:sz w:val="32"/>
        </w:rPr>
      </w:pPr>
    </w:p>
    <w:p w14:paraId="43DA035D">
      <w:pPr>
        <w:spacing w:line="240" w:lineRule="atLeast"/>
        <w:rPr>
          <w:rFonts w:ascii="宋体"/>
          <w:b/>
          <w:sz w:val="32"/>
        </w:rPr>
      </w:pPr>
    </w:p>
    <w:p w14:paraId="4E7FADFA">
      <w:pPr>
        <w:pStyle w:val="22"/>
        <w:ind w:left="833" w:leftChars="397" w:firstLine="0"/>
        <w:jc w:val="center"/>
        <w:outlineLvl w:val="0"/>
        <w:rPr>
          <w:rFonts w:hint="default"/>
          <w:sz w:val="30"/>
          <w:szCs w:val="30"/>
          <w:lang w:val="en-US"/>
        </w:rPr>
      </w:pPr>
      <w:r>
        <w:rPr>
          <w:rFonts w:hint="eastAsia"/>
          <w:sz w:val="30"/>
          <w:szCs w:val="30"/>
        </w:rPr>
        <w:t>采购人：</w:t>
      </w:r>
      <w:r>
        <w:rPr>
          <w:rFonts w:hint="eastAsia"/>
          <w:sz w:val="30"/>
          <w:szCs w:val="30"/>
          <w:lang w:eastAsia="zh-CN"/>
        </w:rPr>
        <w:t>海南省电化教育馆</w:t>
      </w:r>
    </w:p>
    <w:p w14:paraId="5926811B">
      <w:pPr>
        <w:pStyle w:val="22"/>
        <w:ind w:left="833" w:leftChars="397" w:firstLine="0"/>
        <w:jc w:val="center"/>
        <w:outlineLvl w:val="0"/>
        <w:rPr>
          <w:b/>
          <w:sz w:val="32"/>
          <w:szCs w:val="32"/>
        </w:rPr>
      </w:pPr>
      <w:r>
        <w:rPr>
          <w:rFonts w:hint="eastAsia"/>
          <w:sz w:val="30"/>
          <w:szCs w:val="30"/>
        </w:rPr>
        <w:t>采购代理机构：海南省教学仪器设备招标中心有限公司</w:t>
      </w:r>
    </w:p>
    <w:p w14:paraId="24CC9FC2">
      <w:pPr>
        <w:pStyle w:val="22"/>
        <w:ind w:left="835" w:leftChars="398" w:firstLine="3232" w:firstLineChars="1010"/>
        <w:jc w:val="both"/>
        <w:rPr>
          <w:color w:val="000000"/>
          <w:sz w:val="32"/>
          <w:szCs w:val="32"/>
        </w:rPr>
      </w:pPr>
      <w:bookmarkStart w:id="17" w:name="OLE_LINK1"/>
      <w:bookmarkStart w:id="18" w:name="OLE_LINK2"/>
      <w:r>
        <w:rPr>
          <w:rFonts w:hint="eastAsia"/>
          <w:color w:val="000000"/>
          <w:sz w:val="32"/>
          <w:szCs w:val="32"/>
        </w:rPr>
        <w:t>2025年</w:t>
      </w:r>
      <w:r>
        <w:rPr>
          <w:rFonts w:hint="eastAsia"/>
          <w:color w:val="000000"/>
          <w:sz w:val="32"/>
          <w:szCs w:val="32"/>
          <w:lang w:val="en-US" w:eastAsia="zh-CN"/>
        </w:rPr>
        <w:t>6</w:t>
      </w:r>
      <w:r>
        <w:rPr>
          <w:rFonts w:hint="eastAsia"/>
          <w:color w:val="000000"/>
          <w:sz w:val="32"/>
          <w:szCs w:val="32"/>
        </w:rPr>
        <w:t>月</w:t>
      </w:r>
    </w:p>
    <w:p w14:paraId="6D18E527"/>
    <w:p w14:paraId="13BAD2B3">
      <w:pPr>
        <w:pStyle w:val="36"/>
      </w:pPr>
    </w:p>
    <w:p w14:paraId="68CA6D52"/>
    <w:p w14:paraId="614AD567">
      <w:pPr>
        <w:pStyle w:val="46"/>
      </w:pPr>
    </w:p>
    <w:bookmarkEnd w:id="17"/>
    <w:bookmarkEnd w:id="18"/>
    <w:p w14:paraId="13C71E15">
      <w:pPr>
        <w:jc w:val="center"/>
        <w:rPr>
          <w:b/>
          <w:bCs/>
          <w:sz w:val="36"/>
          <w:szCs w:val="36"/>
        </w:rPr>
      </w:pPr>
      <w:r>
        <w:rPr>
          <w:rFonts w:hint="eastAsia"/>
          <w:b/>
          <w:bCs/>
          <w:sz w:val="36"/>
          <w:szCs w:val="36"/>
        </w:rPr>
        <w:t>目    录</w:t>
      </w:r>
    </w:p>
    <w:p w14:paraId="1E192930">
      <w:pPr>
        <w:pStyle w:val="22"/>
        <w:spacing w:line="360" w:lineRule="exact"/>
        <w:ind w:left="835" w:leftChars="398" w:firstLine="1910" w:firstLineChars="597"/>
        <w:jc w:val="both"/>
        <w:rPr>
          <w:b/>
          <w:bCs/>
          <w:sz w:val="32"/>
          <w:szCs w:val="32"/>
        </w:rPr>
      </w:pPr>
    </w:p>
    <w:p w14:paraId="722FBF4D"/>
    <w:p w14:paraId="78764449">
      <w:pPr>
        <w:spacing w:line="900" w:lineRule="exact"/>
        <w:ind w:firstLine="640" w:firstLineChars="200"/>
        <w:rPr>
          <w:b/>
          <w:sz w:val="32"/>
          <w:szCs w:val="32"/>
        </w:rPr>
      </w:pPr>
      <w:r>
        <w:rPr>
          <w:rFonts w:hint="eastAsia"/>
          <w:b/>
          <w:sz w:val="32"/>
          <w:szCs w:val="32"/>
        </w:rPr>
        <w:t>第一部分       竞争性磋商采购邀请函</w:t>
      </w:r>
    </w:p>
    <w:p w14:paraId="1C537172">
      <w:pPr>
        <w:spacing w:line="900" w:lineRule="exact"/>
        <w:ind w:firstLine="640" w:firstLineChars="200"/>
        <w:outlineLvl w:val="9"/>
        <w:rPr>
          <w:b/>
          <w:sz w:val="32"/>
          <w:szCs w:val="32"/>
        </w:rPr>
      </w:pPr>
      <w:r>
        <w:rPr>
          <w:rFonts w:hint="eastAsia"/>
          <w:b/>
          <w:sz w:val="32"/>
          <w:szCs w:val="32"/>
        </w:rPr>
        <w:t>第二部分       竞争性磋商采购项目需求</w:t>
      </w:r>
    </w:p>
    <w:p w14:paraId="6026D93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firstLine="640" w:firstLineChars="200"/>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6343934B">
      <w:pPr>
        <w:spacing w:line="900" w:lineRule="exact"/>
        <w:ind w:firstLine="640" w:firstLineChars="200"/>
        <w:rPr>
          <w:b/>
          <w:sz w:val="32"/>
          <w:szCs w:val="32"/>
        </w:rPr>
      </w:pPr>
      <w:r>
        <w:rPr>
          <w:rFonts w:hint="eastAsia"/>
          <w:b/>
          <w:sz w:val="32"/>
          <w:szCs w:val="32"/>
        </w:rPr>
        <w:t>第四部分       评审办法</w:t>
      </w:r>
    </w:p>
    <w:p w14:paraId="5AA1A3AF">
      <w:pPr>
        <w:spacing w:line="900" w:lineRule="exact"/>
        <w:ind w:firstLine="640" w:firstLineChars="200"/>
        <w:rPr>
          <w:b/>
          <w:sz w:val="32"/>
          <w:szCs w:val="32"/>
        </w:rPr>
      </w:pPr>
      <w:r>
        <w:rPr>
          <w:rFonts w:hint="eastAsia"/>
          <w:b/>
          <w:sz w:val="32"/>
          <w:szCs w:val="32"/>
        </w:rPr>
        <w:t>第五部分       合同条款格式</w:t>
      </w:r>
    </w:p>
    <w:p w14:paraId="7ACECB52">
      <w:pPr>
        <w:spacing w:line="900" w:lineRule="exact"/>
        <w:ind w:firstLine="640" w:firstLineChars="200"/>
        <w:rPr>
          <w:b/>
          <w:sz w:val="32"/>
          <w:szCs w:val="32"/>
        </w:rPr>
      </w:pPr>
      <w:r>
        <w:rPr>
          <w:rFonts w:hint="eastAsia"/>
          <w:b/>
          <w:sz w:val="32"/>
          <w:szCs w:val="32"/>
        </w:rPr>
        <w:t>第六部分       响应文件格式</w:t>
      </w:r>
    </w:p>
    <w:p w14:paraId="6464C3D7"/>
    <w:p w14:paraId="0021DCA7"/>
    <w:p w14:paraId="6252ADC8"/>
    <w:p w14:paraId="795F710C"/>
    <w:p w14:paraId="3934CE35"/>
    <w:p w14:paraId="1D53A16E">
      <w:pPr>
        <w:bidi w:val="0"/>
      </w:pPr>
    </w:p>
    <w:p w14:paraId="4BCF8411"/>
    <w:p w14:paraId="56663F5B">
      <w:pPr>
        <w:bidi w:val="0"/>
      </w:pPr>
    </w:p>
    <w:p w14:paraId="44097433"/>
    <w:p w14:paraId="2641FDC8"/>
    <w:p w14:paraId="4CCB8B20"/>
    <w:p w14:paraId="1E8194E8"/>
    <w:p w14:paraId="2A1BDCA2"/>
    <w:p w14:paraId="6BCC0E08"/>
    <w:p w14:paraId="6BF2935F"/>
    <w:p w14:paraId="57222843"/>
    <w:p w14:paraId="0D6B1ED8"/>
    <w:p w14:paraId="067C730B"/>
    <w:p w14:paraId="6706FDE4"/>
    <w:p w14:paraId="05ACF64D">
      <w:pPr>
        <w:pStyle w:val="46"/>
      </w:pPr>
    </w:p>
    <w:p w14:paraId="3CDB2781">
      <w:pPr>
        <w:pStyle w:val="12"/>
      </w:pPr>
    </w:p>
    <w:p w14:paraId="7DCDDDA6"/>
    <w:p w14:paraId="57CFA3D3">
      <w:pPr>
        <w:bidi w:val="0"/>
      </w:pPr>
    </w:p>
    <w:p w14:paraId="68FC1DE5">
      <w:pPr>
        <w:pStyle w:val="46"/>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E3719BC">
      <w:pPr>
        <w:spacing w:line="500" w:lineRule="exact"/>
        <w:jc w:val="center"/>
        <w:outlineLvl w:val="0"/>
        <w:rPr>
          <w:rFonts w:hint="eastAsia" w:ascii="宋体" w:hAnsi="宋体"/>
          <w:b/>
          <w:bCs/>
          <w:sz w:val="36"/>
          <w:szCs w:val="36"/>
        </w:rPr>
      </w:pPr>
      <w:bookmarkStart w:id="19" w:name="OLE_LINK6"/>
      <w:bookmarkStart w:id="20" w:name="OLE_LINK3"/>
      <w:r>
        <w:rPr>
          <w:rFonts w:hint="eastAsia"/>
          <w:b/>
          <w:bCs/>
          <w:sz w:val="32"/>
          <w:szCs w:val="32"/>
        </w:rPr>
        <w:t>第一部分　采购</w:t>
      </w:r>
      <w:r>
        <w:rPr>
          <w:rFonts w:hint="eastAsia"/>
          <w:b/>
          <w:sz w:val="32"/>
          <w:szCs w:val="32"/>
        </w:rPr>
        <w:t>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海南省电化教育馆2025年网络安全相关服务项目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6</w:t>
      </w:r>
      <w:r>
        <w:rPr>
          <w:rFonts w:hint="eastAsia" w:ascii="宋体" w:hAnsi="宋体" w:cs="宋体"/>
          <w:kern w:val="0"/>
          <w:sz w:val="24"/>
          <w:u w:val="single"/>
        </w:rPr>
        <w:t>月</w:t>
      </w:r>
      <w:r>
        <w:rPr>
          <w:rFonts w:hint="eastAsia" w:ascii="宋体" w:hAnsi="宋体" w:cs="宋体"/>
          <w:kern w:val="0"/>
          <w:sz w:val="24"/>
          <w:u w:val="single"/>
          <w:lang w:val="en-US" w:eastAsia="zh-CN"/>
        </w:rPr>
        <w:t>30</w:t>
      </w:r>
      <w:r>
        <w:rPr>
          <w:rFonts w:hint="eastAsia" w:ascii="宋体" w:hAnsi="宋体" w:cs="宋体"/>
          <w:kern w:val="0"/>
          <w:sz w:val="24"/>
          <w:u w:val="single"/>
        </w:rPr>
        <w:t>日</w:t>
      </w:r>
      <w:r>
        <w:rPr>
          <w:rFonts w:hint="eastAsia" w:ascii="宋体" w:hAnsi="宋体" w:cs="宋体"/>
          <w:kern w:val="0"/>
          <w:sz w:val="24"/>
          <w:u w:val="single"/>
          <w:lang w:val="en-US" w:eastAsia="zh-CN"/>
        </w:rPr>
        <w:t xml:space="preserve"> 08</w:t>
      </w:r>
      <w:r>
        <w:rPr>
          <w:rFonts w:hint="eastAsia" w:ascii="宋体" w:hAnsi="宋体" w:cs="宋体"/>
          <w:kern w:val="0"/>
          <w:sz w:val="24"/>
          <w:u w:val="single"/>
        </w:rPr>
        <w:t>点</w:t>
      </w:r>
      <w:r>
        <w:rPr>
          <w:rFonts w:hint="eastAsia" w:ascii="宋体" w:hAnsi="宋体" w:cs="宋体"/>
          <w:kern w:val="0"/>
          <w:sz w:val="24"/>
          <w:u w:val="single"/>
          <w:lang w:val="en-US" w:eastAsia="zh-CN"/>
        </w:rPr>
        <w:t>3</w:t>
      </w:r>
      <w:r>
        <w:rPr>
          <w:rFonts w:hint="eastAsia" w:ascii="宋体" w:hAnsi="宋体" w:cs="宋体"/>
          <w:kern w:val="0"/>
          <w:sz w:val="24"/>
          <w:u w:val="single"/>
        </w:rPr>
        <w:t>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hint="eastAsia" w:ascii="宋体" w:hAnsi="宋体" w:cs="宋体"/>
          <w:kern w:val="0"/>
          <w:sz w:val="24"/>
        </w:rPr>
      </w:pPr>
    </w:p>
    <w:p w14:paraId="0A1083E3">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1" w:name="_Toc28359089"/>
      <w:bookmarkStart w:id="22" w:name="_Toc28359012"/>
      <w:bookmarkStart w:id="23" w:name="_Toc35393629"/>
      <w:bookmarkStart w:id="24" w:name="_Toc35393798"/>
      <w:r>
        <w:rPr>
          <w:rFonts w:hint="eastAsia" w:ascii="黑体" w:hAnsi="黑体" w:eastAsia="黑体" w:cs="黑体"/>
          <w:b w:val="0"/>
          <w:bCs/>
          <w:kern w:val="0"/>
          <w:sz w:val="24"/>
        </w:rPr>
        <w:t>一、项目基本情况</w:t>
      </w:r>
      <w:bookmarkEnd w:id="21"/>
      <w:bookmarkEnd w:id="22"/>
      <w:bookmarkEnd w:id="23"/>
      <w:bookmarkEnd w:id="24"/>
    </w:p>
    <w:p w14:paraId="67A7B84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b/>
          <w:bCs/>
          <w:kern w:val="0"/>
          <w:sz w:val="24"/>
        </w:rPr>
        <w:t>项目编号：</w:t>
      </w:r>
      <w:r>
        <w:rPr>
          <w:rFonts w:hint="eastAsia" w:ascii="宋体" w:hAnsi="宋体" w:cs="宋体"/>
          <w:kern w:val="0"/>
          <w:sz w:val="24"/>
          <w:lang w:eastAsia="zh-CN"/>
        </w:rPr>
        <w:t>HNJY2025-6-2</w:t>
      </w:r>
    </w:p>
    <w:p w14:paraId="6622F434">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海南省电化教育馆2025年网络安全相关服务项目（共分为三个包）</w:t>
      </w:r>
    </w:p>
    <w:p w14:paraId="1A39A28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1包：2025年海南省教育厅系统网络安全等级保护测评（包含14个三级系统、2个二级系统）及网络安全服务；</w:t>
      </w:r>
    </w:p>
    <w:p w14:paraId="6A0B457B">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2包：海南省教育省域网等级保护测评及第三方软件测试；</w:t>
      </w:r>
    </w:p>
    <w:p w14:paraId="5943FF3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3包：海南省智慧教育平台网络安全等级保护测评（包含海南省教育数字底座、海南省智慧教育应用中心、海教通三个系统）及第三方软件测试。</w:t>
      </w:r>
    </w:p>
    <w:p w14:paraId="24E115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6CC395E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预算金额：</w:t>
      </w:r>
      <w:r>
        <w:rPr>
          <w:rFonts w:hint="eastAsia" w:ascii="宋体" w:hAnsi="宋体" w:cs="宋体"/>
          <w:kern w:val="0"/>
          <w:sz w:val="24"/>
          <w:lang w:val="en-US" w:eastAsia="zh-CN"/>
        </w:rPr>
        <w:t>122</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0万元</w:t>
      </w:r>
    </w:p>
    <w:p w14:paraId="1027DF8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其中，1包：2025年海南省教育厅系统网络安全等级保护测评（包含14个三级系统、2个二级系统）及网络安全服务，75万元；</w:t>
      </w:r>
    </w:p>
    <w:p w14:paraId="7A9494B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2包：海南省教育省域网等级保护测评及第三方软件测试，20万元；</w:t>
      </w:r>
    </w:p>
    <w:p w14:paraId="3AC39FF4">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3包：海南省智慧教育平台网络安全等级保护测评（包含海南省教育数字底座、海南省智慧教育应用中心、海教通三个系统）及第三方软件测试，27.3万元。</w:t>
      </w:r>
    </w:p>
    <w:p w14:paraId="344AD88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最高限价：</w:t>
      </w:r>
      <w:r>
        <w:rPr>
          <w:rFonts w:hint="eastAsia" w:ascii="宋体" w:hAnsi="宋体" w:cs="宋体"/>
          <w:kern w:val="0"/>
          <w:sz w:val="24"/>
          <w:lang w:val="en-US" w:eastAsia="zh-CN"/>
        </w:rPr>
        <w:t>122</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0万元</w:t>
      </w:r>
    </w:p>
    <w:p w14:paraId="32C14523">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其中，1包：2025年海南省教育厅系统网络安全等级保护测评（包含14个三级系统、2个二级系统）及网络安全服务，75万元；</w:t>
      </w:r>
    </w:p>
    <w:p w14:paraId="74E9646D">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2包：海南省教育省域网等级保护测评及第三方软件测试，20万元；</w:t>
      </w:r>
    </w:p>
    <w:p w14:paraId="0A6171D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3包：海南省智慧教育平台网络安全等级保护测评（包含海南省教育数字底座、海南省智慧教育应用中心、海教通三个系统）及第三方软件测试，27.3万元。</w:t>
      </w:r>
    </w:p>
    <w:p w14:paraId="5C969C3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b/>
          <w:bCs/>
          <w:kern w:val="0"/>
          <w:sz w:val="24"/>
        </w:rPr>
        <w:t>采购需求：</w:t>
      </w:r>
      <w:r>
        <w:rPr>
          <w:rFonts w:hint="eastAsia" w:ascii="宋体" w:hAnsi="宋体" w:cs="宋体"/>
          <w:kern w:val="0"/>
          <w:sz w:val="24"/>
          <w:lang w:val="en-US" w:eastAsia="zh-CN"/>
        </w:rPr>
        <w:t>详见磋商标文件采购需求清单</w:t>
      </w:r>
    </w:p>
    <w:p w14:paraId="4E275526">
      <w:pPr>
        <w:shd w:val="clear" w:fill="FFFFFF" w:themeFill="background1"/>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b/>
          <w:bCs/>
          <w:kern w:val="0"/>
          <w:sz w:val="24"/>
        </w:rPr>
        <w:t>合同履行期限：</w:t>
      </w:r>
    </w:p>
    <w:p w14:paraId="4D579A55">
      <w:pPr>
        <w:shd w:val="clear" w:fill="FFFFFF" w:themeFill="background1"/>
        <w:adjustRightInd w:val="0"/>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lang w:val="en-US" w:eastAsia="zh-CN"/>
        </w:rPr>
        <w:t>1包</w:t>
      </w:r>
      <w:r>
        <w:rPr>
          <w:rFonts w:hint="eastAsia" w:ascii="宋体" w:hAnsi="宋体" w:cs="宋体"/>
          <w:kern w:val="0"/>
          <w:sz w:val="24"/>
          <w:lang w:val="en-US" w:eastAsia="zh-CN"/>
        </w:rPr>
        <w:t>等级保护测评部分</w:t>
      </w:r>
      <w:r>
        <w:rPr>
          <w:rFonts w:hint="eastAsia" w:ascii="宋体" w:hAnsi="宋体" w:eastAsia="宋体" w:cs="宋体"/>
          <w:kern w:val="0"/>
          <w:sz w:val="24"/>
          <w:lang w:val="en-US" w:eastAsia="zh-CN"/>
        </w:rPr>
        <w:t>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highlight w:val="none"/>
          <w:lang w:val="en-US" w:eastAsia="zh-CN"/>
        </w:rPr>
        <w:t>60天，网络安全服务部分</w:t>
      </w:r>
      <w:r>
        <w:rPr>
          <w:rFonts w:hint="eastAsia" w:ascii="宋体" w:hAnsi="宋体" w:eastAsia="宋体" w:cs="宋体"/>
          <w:kern w:val="0"/>
          <w:sz w:val="24"/>
          <w:highlight w:val="none"/>
          <w:lang w:val="en-US" w:eastAsia="zh-CN"/>
        </w:rPr>
        <w:t>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highlight w:val="none"/>
          <w:lang w:val="en-US" w:eastAsia="zh-CN"/>
        </w:rPr>
        <w:t>1年，评测报告有效期一年。</w:t>
      </w:r>
      <w:bookmarkStart w:id="126" w:name="_GoBack"/>
      <w:bookmarkEnd w:id="126"/>
    </w:p>
    <w:p w14:paraId="0B495926">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2包自合同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highlight w:val="none"/>
          <w:lang w:val="en-US" w:eastAsia="zh-CN"/>
        </w:rPr>
        <w:t>至海南省教育省域网项目初验通过后60天</w:t>
      </w:r>
      <w:r>
        <w:rPr>
          <w:rFonts w:hint="eastAsia" w:ascii="宋体" w:hAnsi="宋体" w:eastAsia="宋体" w:cs="宋体"/>
          <w:kern w:val="0"/>
          <w:sz w:val="24"/>
          <w:highlight w:val="none"/>
          <w:lang w:val="en-US" w:eastAsia="zh-CN"/>
        </w:rPr>
        <w:t xml:space="preserve"> </w:t>
      </w:r>
      <w:r>
        <w:rPr>
          <w:rFonts w:hint="eastAsia" w:ascii="宋体" w:hAnsi="宋体" w:cs="宋体"/>
          <w:kern w:val="0"/>
          <w:sz w:val="24"/>
          <w:highlight w:val="none"/>
          <w:lang w:val="en-US" w:eastAsia="zh-CN"/>
        </w:rPr>
        <w:t>，评测报告有效期一年。</w:t>
      </w:r>
    </w:p>
    <w:p w14:paraId="548E4DC4">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yellow"/>
          <w:lang w:val="en-US" w:eastAsia="zh-CN"/>
        </w:rPr>
      </w:pPr>
      <w:r>
        <w:rPr>
          <w:rFonts w:hint="eastAsia" w:ascii="宋体" w:hAnsi="宋体" w:eastAsia="宋体" w:cs="宋体"/>
          <w:kern w:val="0"/>
          <w:sz w:val="24"/>
          <w:highlight w:val="none"/>
          <w:lang w:val="en-US" w:eastAsia="zh-CN"/>
        </w:rPr>
        <w:t>3包自合同</w:t>
      </w:r>
      <w:r>
        <w:rPr>
          <w:rFonts w:hint="eastAsia" w:ascii="宋体" w:hAnsi="宋体" w:cs="宋体"/>
          <w:kern w:val="0"/>
          <w:sz w:val="24"/>
          <w:highlight w:val="none"/>
          <w:lang w:val="en-US" w:eastAsia="zh-CN"/>
        </w:rPr>
        <w:t>签订</w:t>
      </w:r>
      <w:r>
        <w:rPr>
          <w:rFonts w:hint="eastAsia" w:ascii="宋体" w:hAnsi="宋体" w:eastAsia="宋体" w:cs="宋体"/>
          <w:kern w:val="0"/>
          <w:sz w:val="24"/>
          <w:highlight w:val="none"/>
          <w:lang w:val="en-US" w:eastAsia="zh-CN"/>
        </w:rPr>
        <w:t>之日起</w:t>
      </w:r>
      <w:r>
        <w:rPr>
          <w:rFonts w:hint="eastAsia" w:ascii="宋体" w:hAnsi="宋体" w:cs="宋体"/>
          <w:kern w:val="0"/>
          <w:sz w:val="24"/>
          <w:highlight w:val="none"/>
          <w:lang w:val="en-US" w:eastAsia="zh-CN"/>
        </w:rPr>
        <w:t>至海南省智慧教育平台项目初验通过后60天</w:t>
      </w:r>
      <w:r>
        <w:rPr>
          <w:rFonts w:hint="eastAsia" w:ascii="宋体" w:hAnsi="宋体" w:eastAsia="宋体" w:cs="宋体"/>
          <w:kern w:val="0"/>
          <w:sz w:val="24"/>
          <w:highlight w:val="none"/>
          <w:lang w:val="en-US" w:eastAsia="zh-CN"/>
        </w:rPr>
        <w:t xml:space="preserve"> </w:t>
      </w:r>
      <w:r>
        <w:rPr>
          <w:rFonts w:hint="eastAsia" w:ascii="宋体" w:hAnsi="宋体" w:cs="宋体"/>
          <w:kern w:val="0"/>
          <w:sz w:val="24"/>
          <w:highlight w:val="none"/>
          <w:lang w:val="en-US" w:eastAsia="zh-CN"/>
        </w:rPr>
        <w:t>，评测报告有效</w:t>
      </w:r>
      <w:r>
        <w:rPr>
          <w:rFonts w:hint="eastAsia" w:ascii="宋体" w:hAnsi="宋体" w:cs="宋体"/>
          <w:kern w:val="0"/>
          <w:sz w:val="24"/>
          <w:lang w:val="en-US" w:eastAsia="zh-CN"/>
        </w:rPr>
        <w:t>期一年。</w:t>
      </w:r>
    </w:p>
    <w:p w14:paraId="4C98AEC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5" w:name="_Toc35393630"/>
      <w:bookmarkStart w:id="26" w:name="_Toc28359090"/>
      <w:bookmarkStart w:id="27" w:name="_Toc28359013"/>
      <w:bookmarkStart w:id="28" w:name="_Toc35393799"/>
      <w:r>
        <w:rPr>
          <w:rFonts w:hint="eastAsia" w:ascii="黑体" w:hAnsi="黑体" w:eastAsia="黑体" w:cs="黑体"/>
          <w:b w:val="0"/>
          <w:bCs/>
          <w:kern w:val="0"/>
          <w:sz w:val="24"/>
        </w:rPr>
        <w:t>二、申请人的资格要求：</w:t>
      </w:r>
      <w:bookmarkEnd w:id="25"/>
      <w:bookmarkEnd w:id="26"/>
      <w:bookmarkEnd w:id="27"/>
      <w:bookmarkEnd w:id="28"/>
    </w:p>
    <w:p w14:paraId="3BF4C8E3">
      <w:pPr>
        <w:adjustRightInd w:val="0"/>
        <w:snapToGrid w:val="0"/>
        <w:spacing w:line="360" w:lineRule="auto"/>
        <w:ind w:firstLine="480" w:firstLineChars="200"/>
        <w:rPr>
          <w:rFonts w:hint="eastAsia" w:ascii="宋体" w:hAnsi="宋体" w:cs="宋体"/>
          <w:kern w:val="0"/>
          <w:sz w:val="24"/>
        </w:rPr>
      </w:pPr>
      <w:bookmarkStart w:id="29" w:name="_Toc35393800"/>
      <w:bookmarkStart w:id="30" w:name="_Toc35393631"/>
      <w:bookmarkStart w:id="31" w:name="_Toc28359014"/>
      <w:bookmarkStart w:id="32" w:name="_Toc28359091"/>
      <w:bookmarkStart w:id="33" w:name="_Toc35393636"/>
      <w:bookmarkStart w:id="34" w:name="_Toc35393805"/>
      <w:bookmarkStart w:id="35" w:name="_Toc28359018"/>
      <w:bookmarkStart w:id="36" w:name="_Toc28359095"/>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4EE79EA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3.本项目的特定资格要求：</w:t>
      </w:r>
    </w:p>
    <w:p w14:paraId="7919176B">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1包、2包、3包均需具有公安部第三研究所颁发的网络安全等级测评与检测评估机构服务认证证书（提供有效期内的资质证书扫描件加盖公章）</w:t>
      </w:r>
    </w:p>
    <w:p w14:paraId="49A6F5BB">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4.在中华人民共和国境内注册、具有独立承担民事责任的能力（提供营业执照或事业单位法人证书）；</w:t>
      </w:r>
    </w:p>
    <w:p w14:paraId="624A662C">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5.具有良好的商业信誉和健全的财务会计制度(提供承诺函）</w:t>
      </w:r>
    </w:p>
    <w:p w14:paraId="00CF98B3">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6.具有履行合同所必需的设备和专业技术能力（提供承诺书）；</w:t>
      </w:r>
    </w:p>
    <w:p w14:paraId="18FAB4F0">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7.具有依法缴纳税收和社会保障资金的良好记录（提供承诺函）；</w:t>
      </w:r>
    </w:p>
    <w:p w14:paraId="107B510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参加本次政府采购活动前三年内，在经营活动中没有重大违法记录（成立不足三年的从成立之日起计算，提供声明）；</w:t>
      </w:r>
      <w:r>
        <w:rPr>
          <w:rFonts w:hint="eastAsia" w:ascii="宋体" w:hAnsi="宋体" w:eastAsia="宋体" w:cs="宋体"/>
          <w:sz w:val="24"/>
          <w:szCs w:val="24"/>
        </w:rPr>
        <w:t>未被列入“信用中国”网站“失信被执行人、重大税收违法失信主体、政府采购严重违法失信行为记录名单”中；不处于中国政府采购网“政府采购严重违法失信行为信息记录”中的禁止参加政府采购活动期间（以采购代理机构于</w:t>
      </w:r>
      <w:r>
        <w:rPr>
          <w:rFonts w:hint="eastAsia" w:ascii="宋体" w:hAnsi="宋体" w:cs="宋体"/>
          <w:sz w:val="24"/>
          <w:szCs w:val="24"/>
          <w:lang w:val="en-US" w:eastAsia="zh-CN"/>
        </w:rPr>
        <w:t>响应</w:t>
      </w:r>
      <w:r>
        <w:rPr>
          <w:rFonts w:hint="eastAsia" w:ascii="宋体" w:hAnsi="宋体" w:eastAsia="宋体" w:cs="宋体"/>
          <w:sz w:val="24"/>
          <w:szCs w:val="24"/>
        </w:rPr>
        <w:t>截止日当天资格审查前在上述网站查询结果为准，如相关记录已失效，供应商需提供相关证明资料；未查询到的视为未被列入上述名单）</w:t>
      </w:r>
    </w:p>
    <w:p w14:paraId="480AD06F">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9．参加政府采购活动前三年内，在经营活动中没有环保类行政处罚记录（成立不足三年的从成立之日起计算，提供声明） </w:t>
      </w:r>
    </w:p>
    <w:p w14:paraId="78E0271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lang w:val="en-US" w:eastAsia="zh-CN"/>
        </w:rPr>
        <w:t>10.</w:t>
      </w:r>
      <w:r>
        <w:rPr>
          <w:rFonts w:ascii="宋体" w:hAnsi="宋体" w:eastAsia="宋体" w:cs="宋体"/>
          <w:sz w:val="24"/>
          <w:szCs w:val="24"/>
        </w:rPr>
        <w:t>提供</w:t>
      </w:r>
      <w:r>
        <w:rPr>
          <w:rFonts w:hint="eastAsia" w:ascii="宋体" w:hAnsi="宋体" w:eastAsia="宋体" w:cs="宋体"/>
          <w:sz w:val="24"/>
          <w:szCs w:val="24"/>
        </w:rPr>
        <w:t>供应商承诺书</w:t>
      </w:r>
      <w:r>
        <w:rPr>
          <w:rFonts w:hint="eastAsia" w:ascii="宋体" w:hAnsi="宋体" w:eastAsia="宋体" w:cs="宋体"/>
          <w:sz w:val="24"/>
          <w:szCs w:val="24"/>
          <w:lang w:val="en-US" w:eastAsia="zh-CN"/>
        </w:rPr>
        <w:t>及响应函</w:t>
      </w:r>
      <w:r>
        <w:rPr>
          <w:rFonts w:ascii="宋体" w:hAnsi="宋体" w:eastAsia="宋体" w:cs="宋体"/>
          <w:sz w:val="24"/>
          <w:szCs w:val="24"/>
        </w:rPr>
        <w:t>。</w:t>
      </w:r>
    </w:p>
    <w:p w14:paraId="33ABDA49">
      <w:pPr>
        <w:keepNext/>
        <w:keepLines/>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三、获取采购文件</w:t>
      </w:r>
      <w:bookmarkEnd w:id="29"/>
      <w:bookmarkEnd w:id="30"/>
      <w:bookmarkEnd w:id="31"/>
      <w:bookmarkEnd w:id="32"/>
    </w:p>
    <w:p w14:paraId="220C776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日至2025年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hint="eastAsia" w:ascii="宋体" w:hAnsi="宋体" w:cs="宋体"/>
          <w:color w:val="000000"/>
          <w:kern w:val="0"/>
          <w:sz w:val="24"/>
        </w:rPr>
      </w:pPr>
      <w:bookmarkStart w:id="37" w:name="_Toc35393632"/>
      <w:bookmarkStart w:id="38" w:name="_Toc28359092"/>
      <w:bookmarkStart w:id="39" w:name="_Toc35393801"/>
      <w:bookmarkStart w:id="40" w:name="_Toc28359015"/>
      <w:r>
        <w:rPr>
          <w:rFonts w:hint="eastAsia" w:ascii="宋体" w:hAnsi="宋体" w:cs="宋体"/>
          <w:color w:val="000000"/>
          <w:kern w:val="0"/>
          <w:sz w:val="24"/>
        </w:rPr>
        <w:t>地点：海南省海口市蓝天路西2-8号</w:t>
      </w:r>
    </w:p>
    <w:p w14:paraId="48236F01">
      <w:pPr>
        <w:adjustRightInd w:val="0"/>
        <w:snapToGrid w:val="0"/>
        <w:spacing w:line="360" w:lineRule="auto"/>
        <w:ind w:firstLine="540"/>
        <w:rPr>
          <w:rFonts w:hint="default" w:ascii="宋体" w:hAnsi="宋体" w:eastAsia="宋体" w:cs="宋体"/>
          <w:color w:val="000000"/>
          <w:kern w:val="0"/>
          <w:sz w:val="24"/>
          <w:lang w:val="en-US" w:eastAsia="zh-CN"/>
        </w:rPr>
      </w:pPr>
      <w:r>
        <w:rPr>
          <w:rFonts w:hint="eastAsia" w:ascii="宋体" w:hAnsi="宋体" w:cs="宋体"/>
          <w:color w:val="000000"/>
          <w:kern w:val="0"/>
          <w:sz w:val="24"/>
        </w:rPr>
        <w:t>方式：现场购买</w:t>
      </w:r>
      <w:r>
        <w:rPr>
          <w:rFonts w:hint="eastAsia" w:ascii="宋体" w:hAnsi="宋体" w:cs="宋体"/>
          <w:color w:val="000000"/>
          <w:kern w:val="0"/>
          <w:sz w:val="24"/>
          <w:lang w:val="en-US" w:eastAsia="zh-CN"/>
        </w:rPr>
        <w:t>或通过邮箱报名购买</w:t>
      </w:r>
    </w:p>
    <w:p w14:paraId="4DF7C44F">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55978620">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四、响应文件提交</w:t>
      </w:r>
      <w:bookmarkEnd w:id="37"/>
      <w:bookmarkEnd w:id="38"/>
      <w:bookmarkEnd w:id="39"/>
      <w:bookmarkEnd w:id="40"/>
    </w:p>
    <w:p w14:paraId="30C33A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08</w:t>
      </w:r>
      <w:r>
        <w:rPr>
          <w:rFonts w:hint="eastAsia" w:ascii="宋体" w:hAnsi="宋体" w:cs="宋体"/>
          <w:kern w:val="0"/>
          <w:sz w:val="24"/>
        </w:rPr>
        <w:t>点</w:t>
      </w:r>
      <w:r>
        <w:rPr>
          <w:rFonts w:hint="eastAsia" w:ascii="宋体" w:hAnsi="宋体" w:cs="宋体"/>
          <w:kern w:val="0"/>
          <w:sz w:val="24"/>
          <w:lang w:val="en-US" w:eastAsia="zh-CN"/>
        </w:rPr>
        <w:t>3</w:t>
      </w:r>
      <w:r>
        <w:rPr>
          <w:rFonts w:hint="eastAsia" w:ascii="宋体" w:hAnsi="宋体" w:cs="宋体"/>
          <w:kern w:val="0"/>
          <w:sz w:val="24"/>
        </w:rPr>
        <w:t>0分（北京时间）</w:t>
      </w:r>
    </w:p>
    <w:p w14:paraId="2F43238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1" w:name="_Toc35393633"/>
      <w:bookmarkStart w:id="42" w:name="_Toc28359016"/>
      <w:bookmarkStart w:id="43" w:name="_Toc28359093"/>
      <w:bookmarkStart w:id="44" w:name="_Toc35393802"/>
      <w:r>
        <w:rPr>
          <w:rFonts w:hint="eastAsia" w:ascii="黑体" w:hAnsi="黑体" w:eastAsia="黑体" w:cs="黑体"/>
          <w:b w:val="0"/>
          <w:bCs/>
          <w:kern w:val="0"/>
          <w:sz w:val="24"/>
        </w:rPr>
        <w:t>五、开启</w:t>
      </w:r>
      <w:bookmarkEnd w:id="41"/>
      <w:bookmarkEnd w:id="42"/>
      <w:bookmarkEnd w:id="43"/>
      <w:bookmarkEnd w:id="44"/>
    </w:p>
    <w:p w14:paraId="663D47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w:t>
      </w:r>
      <w:r>
        <w:rPr>
          <w:rFonts w:hint="eastAsia" w:ascii="宋体" w:hAnsi="宋体" w:cs="宋体"/>
          <w:kern w:val="0"/>
          <w:sz w:val="24"/>
          <w:lang w:val="en-US" w:eastAsia="zh-CN"/>
        </w:rPr>
        <w:t>08</w:t>
      </w:r>
      <w:r>
        <w:rPr>
          <w:rFonts w:hint="eastAsia" w:ascii="宋体" w:hAnsi="宋体" w:cs="宋体"/>
          <w:kern w:val="0"/>
          <w:sz w:val="24"/>
        </w:rPr>
        <w:t>点</w:t>
      </w:r>
      <w:r>
        <w:rPr>
          <w:rFonts w:hint="eastAsia" w:ascii="宋体" w:hAnsi="宋体" w:cs="宋体"/>
          <w:kern w:val="0"/>
          <w:sz w:val="24"/>
          <w:lang w:val="en-US" w:eastAsia="zh-CN"/>
        </w:rPr>
        <w:t>3</w:t>
      </w:r>
      <w:r>
        <w:rPr>
          <w:rFonts w:hint="eastAsia" w:ascii="宋体" w:hAnsi="宋体" w:cs="宋体"/>
          <w:kern w:val="0"/>
          <w:sz w:val="24"/>
        </w:rPr>
        <w:t>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黑体" w:hAnsi="黑体" w:eastAsia="黑体" w:cs="黑体"/>
          <w:b w:val="0"/>
          <w:bCs/>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741B95E5">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5" w:name="_Toc35393634"/>
      <w:bookmarkStart w:id="46" w:name="_Toc35393803"/>
      <w:bookmarkStart w:id="47" w:name="_Toc28359094"/>
      <w:bookmarkStart w:id="48" w:name="_Toc28359017"/>
      <w:r>
        <w:rPr>
          <w:rFonts w:hint="eastAsia" w:ascii="黑体" w:hAnsi="黑体" w:eastAsia="黑体" w:cs="黑体"/>
          <w:b w:val="0"/>
          <w:bCs/>
          <w:kern w:val="0"/>
          <w:sz w:val="24"/>
        </w:rPr>
        <w:t>七、</w:t>
      </w:r>
      <w:bookmarkEnd w:id="45"/>
      <w:bookmarkEnd w:id="46"/>
      <w:bookmarkEnd w:id="47"/>
      <w:bookmarkEnd w:id="48"/>
      <w:bookmarkStart w:id="49" w:name="_Toc35393804"/>
      <w:bookmarkStart w:id="50" w:name="_Toc35393635"/>
      <w:r>
        <w:rPr>
          <w:rFonts w:hint="eastAsia" w:ascii="黑体" w:hAnsi="黑体" w:eastAsia="黑体" w:cs="黑体"/>
          <w:b w:val="0"/>
          <w:bCs/>
          <w:kern w:val="0"/>
          <w:sz w:val="24"/>
        </w:rPr>
        <w:t>其他补充事宜</w:t>
      </w:r>
      <w:bookmarkEnd w:id="49"/>
      <w:bookmarkEnd w:id="50"/>
    </w:p>
    <w:p w14:paraId="225B957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52966935">
      <w:pPr>
        <w:adjustRightInd w:val="0"/>
        <w:snapToGrid w:val="0"/>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通过邮箱报名购买响应文件请将上述材料及购买采购文件凭证发送至66779794@163.com</w:t>
      </w:r>
    </w:p>
    <w:p w14:paraId="2E81040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684D45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732769B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w:t>
      </w:r>
    </w:p>
    <w:p w14:paraId="2325E1E8">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银行账号：46001002537052500288</w:t>
      </w:r>
    </w:p>
    <w:p w14:paraId="0D73999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03F43A9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3、供应商应准备一份正本和三份副本，并在每一份“响应文件”上要明确注明“正本”或“副本”字样。</w:t>
      </w:r>
    </w:p>
    <w:p w14:paraId="4B77C4E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7164B83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40830CEB">
      <w:pPr>
        <w:adjustRightInd w:val="0"/>
        <w:snapToGrid w:val="0"/>
        <w:spacing w:line="360" w:lineRule="auto"/>
        <w:ind w:firstLine="480" w:firstLineChars="200"/>
        <w:rPr>
          <w:rFonts w:hint="eastAsia" w:ascii="宋体" w:hAnsi="宋体" w:cs="宋体"/>
          <w:kern w:val="0"/>
          <w:sz w:val="24"/>
        </w:rPr>
      </w:pPr>
    </w:p>
    <w:p w14:paraId="1B4AE48B">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2FBC06FA">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64B53A58">
      <w:pPr>
        <w:adjustRightInd w:val="0"/>
        <w:snapToGrid w:val="0"/>
        <w:spacing w:line="360" w:lineRule="auto"/>
        <w:ind w:firstLine="480" w:firstLineChars="200"/>
        <w:rPr>
          <w:rFonts w:hint="eastAsia" w:ascii="宋体" w:hAnsi="宋体" w:cs="宋体"/>
          <w:kern w:val="0"/>
          <w:sz w:val="24"/>
        </w:rPr>
      </w:pPr>
      <w:bookmarkStart w:id="51" w:name="_Toc35393637"/>
      <w:bookmarkStart w:id="52" w:name="_Toc28359096"/>
      <w:bookmarkStart w:id="53" w:name="_Toc35393806"/>
      <w:bookmarkStart w:id="54" w:name="_Toc28359019"/>
      <w:r>
        <w:rPr>
          <w:rFonts w:hint="eastAsia" w:ascii="宋体" w:hAnsi="宋体" w:cs="宋体"/>
          <w:kern w:val="0"/>
          <w:sz w:val="24"/>
        </w:rPr>
        <w:t>1.采购人信息</w:t>
      </w:r>
      <w:bookmarkEnd w:id="51"/>
      <w:bookmarkEnd w:id="52"/>
      <w:bookmarkEnd w:id="53"/>
      <w:bookmarkEnd w:id="54"/>
    </w:p>
    <w:p w14:paraId="02DA1FBF">
      <w:pPr>
        <w:adjustRightInd w:val="0"/>
        <w:snapToGrid w:val="0"/>
        <w:spacing w:line="360" w:lineRule="auto"/>
        <w:ind w:firstLine="480" w:firstLineChars="200"/>
        <w:rPr>
          <w:rFonts w:hint="eastAsia" w:ascii="宋体" w:hAnsi="宋体" w:eastAsia="宋体" w:cs="宋体"/>
          <w:kern w:val="0"/>
          <w:sz w:val="24"/>
          <w:lang w:eastAsia="zh-CN"/>
        </w:rPr>
      </w:pPr>
      <w:bookmarkStart w:id="55" w:name="_Toc35393638"/>
      <w:bookmarkStart w:id="56" w:name="_Toc28359020"/>
      <w:bookmarkStart w:id="57" w:name="_Toc28359097"/>
      <w:bookmarkStart w:id="58" w:name="_Toc35393807"/>
      <w:r>
        <w:rPr>
          <w:rFonts w:hint="eastAsia" w:ascii="宋体" w:hAnsi="宋体" w:cs="宋体"/>
          <w:kern w:val="0"/>
          <w:sz w:val="24"/>
        </w:rPr>
        <w:t>名    称：　</w:t>
      </w:r>
      <w:r>
        <w:rPr>
          <w:rFonts w:hint="eastAsia" w:ascii="宋体" w:hAnsi="宋体" w:cs="宋体"/>
          <w:kern w:val="0"/>
          <w:sz w:val="24"/>
          <w:lang w:eastAsia="zh-CN"/>
        </w:rPr>
        <w:t>海南省电化教育馆</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海口市西沙路2号</w:t>
      </w:r>
    </w:p>
    <w:p w14:paraId="2F1718C4">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联系方式：　</w:t>
      </w:r>
      <w:r>
        <w:rPr>
          <w:rFonts w:hint="eastAsia" w:ascii="宋体" w:hAnsi="宋体" w:cs="宋体"/>
          <w:kern w:val="0"/>
          <w:sz w:val="24"/>
          <w:lang w:val="en-US" w:eastAsia="zh-CN"/>
        </w:rPr>
        <w:t>0898-</w:t>
      </w:r>
      <w:r>
        <w:rPr>
          <w:rFonts w:hint="eastAsia" w:ascii="宋体" w:hAnsi="宋体" w:cs="宋体"/>
          <w:kern w:val="0"/>
          <w:sz w:val="24"/>
        </w:rPr>
        <w:t>66779391</w:t>
      </w:r>
    </w:p>
    <w:p w14:paraId="157A240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w:t>
      </w:r>
      <w:r>
        <w:rPr>
          <w:rFonts w:hint="eastAsia" w:ascii="宋体" w:hAnsi="宋体" w:cs="宋体"/>
          <w:kern w:val="0"/>
          <w:sz w:val="24"/>
          <w:lang w:val="en-US" w:eastAsia="zh-CN"/>
        </w:rPr>
        <w:t>57906</w:t>
      </w:r>
    </w:p>
    <w:p w14:paraId="2AADD2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val="en-US" w:eastAsia="zh-CN"/>
        </w:rPr>
        <w:t>孙工</w:t>
      </w:r>
    </w:p>
    <w:p w14:paraId="49F04971">
      <w:pPr>
        <w:adjustRightInd w:val="0"/>
        <w:snapToGrid w:val="0"/>
        <w:spacing w:line="360" w:lineRule="auto"/>
        <w:ind w:firstLine="480" w:firstLineChars="200"/>
        <w:jc w:val="left"/>
        <w:rPr>
          <w:rFonts w:hint="default" w:ascii="宋体" w:hAnsi="宋体" w:eastAsia="宋体"/>
          <w:b/>
          <w:sz w:val="36"/>
          <w:szCs w:val="36"/>
          <w:lang w:val="en-US" w:eastAsia="zh-CN"/>
        </w:rPr>
      </w:pPr>
      <w:r>
        <w:rPr>
          <w:rFonts w:hint="eastAsia" w:ascii="宋体" w:hAnsi="宋体" w:cs="宋体"/>
          <w:kern w:val="0"/>
          <w:sz w:val="24"/>
        </w:rPr>
        <w:t>电话： 0898-667</w:t>
      </w:r>
      <w:r>
        <w:rPr>
          <w:rFonts w:hint="eastAsia" w:ascii="宋体" w:hAnsi="宋体" w:cs="宋体"/>
          <w:kern w:val="0"/>
          <w:sz w:val="24"/>
          <w:lang w:val="en-US" w:eastAsia="zh-CN"/>
        </w:rPr>
        <w:t>57906</w:t>
      </w:r>
    </w:p>
    <w:p w14:paraId="5C06063D">
      <w:pPr>
        <w:adjustRightInd w:val="0"/>
        <w:snapToGrid w:val="0"/>
        <w:spacing w:line="360" w:lineRule="auto"/>
        <w:ind w:firstLine="480" w:firstLineChars="200"/>
        <w:rPr>
          <w:rFonts w:ascii="宋体" w:hAnsi="宋体" w:cs="宋体"/>
          <w:color w:val="000000"/>
          <w:kern w:val="0"/>
          <w:sz w:val="24"/>
        </w:rPr>
      </w:pPr>
    </w:p>
    <w:bookmarkEnd w:id="19"/>
    <w:bookmarkEnd w:id="20"/>
    <w:p w14:paraId="7E451438">
      <w:pPr>
        <w:pStyle w:val="22"/>
        <w:adjustRightInd w:val="0"/>
        <w:snapToGrid w:val="0"/>
        <w:spacing w:line="300" w:lineRule="auto"/>
        <w:ind w:left="0" w:right="0" w:firstLine="0"/>
        <w:jc w:val="center"/>
        <w:outlineLvl w:val="0"/>
        <w:rPr>
          <w:b/>
          <w:bCs/>
          <w:sz w:val="32"/>
          <w:szCs w:val="32"/>
        </w:rPr>
      </w:pPr>
      <w:r>
        <w:rPr>
          <w:b/>
          <w:bCs/>
          <w:sz w:val="32"/>
          <w:szCs w:val="32"/>
        </w:rPr>
        <w:br w:type="page"/>
      </w:r>
      <w:r>
        <w:rPr>
          <w:rFonts w:hint="eastAsia"/>
          <w:b/>
          <w:bCs/>
          <w:sz w:val="32"/>
          <w:szCs w:val="32"/>
        </w:rPr>
        <w:t>第二部分  竞争性磋商采购项目需求</w:t>
      </w:r>
    </w:p>
    <w:p w14:paraId="09EA189A">
      <w:pPr>
        <w:spacing w:line="360" w:lineRule="auto"/>
        <w:ind w:firstLine="112" w:firstLineChars="47"/>
        <w:outlineLvl w:val="0"/>
        <w:rPr>
          <w:rFonts w:ascii="宋体" w:hAnsi="宋体"/>
          <w:b/>
          <w:bCs/>
          <w:kern w:val="0"/>
          <w:sz w:val="32"/>
          <w:shd w:val="clear" w:color="auto" w:fill="FFFFFF"/>
        </w:rPr>
      </w:pPr>
      <w:r>
        <w:rPr>
          <w:rFonts w:hint="eastAsia" w:ascii="宋体" w:hAnsi="宋体"/>
          <w:b/>
          <w:bCs/>
          <w:kern w:val="24"/>
          <w:sz w:val="24"/>
          <w:shd w:val="clear" w:color="auto" w:fill="FFFFFF"/>
          <w:lang w:val="en-US" w:eastAsia="zh-CN"/>
        </w:rPr>
        <w:t>一、</w:t>
      </w:r>
      <w:r>
        <w:rPr>
          <w:rFonts w:hint="eastAsia" w:ascii="宋体" w:hAnsi="宋体"/>
          <w:b/>
          <w:bCs/>
          <w:kern w:val="24"/>
          <w:sz w:val="24"/>
          <w:shd w:val="clear" w:color="auto" w:fill="FFFFFF"/>
        </w:rPr>
        <w:t>供应商须知前附表</w:t>
      </w:r>
    </w:p>
    <w:tbl>
      <w:tblPr>
        <w:tblStyle w:val="3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1E9A9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914" w:type="dxa"/>
            <w:noWrap/>
            <w:vAlign w:val="center"/>
          </w:tcPr>
          <w:p w14:paraId="26911CB6">
            <w:pPr>
              <w:pStyle w:val="177"/>
              <w:spacing w:line="500" w:lineRule="exact"/>
              <w:ind w:left="9"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288F138C">
            <w:pPr>
              <w:pStyle w:val="177"/>
              <w:spacing w:line="500" w:lineRule="exact"/>
              <w:ind w:left="0" w:leftChars="0" w:firstLine="0" w:firstLineChars="0"/>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40B5825D">
            <w:pPr>
              <w:pStyle w:val="177"/>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78D035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914" w:type="dxa"/>
            <w:noWrap/>
            <w:vAlign w:val="center"/>
          </w:tcPr>
          <w:p w14:paraId="0EFDC18C">
            <w:pPr>
              <w:jc w:val="center"/>
              <w:rPr>
                <w:lang w:val="zh-CN"/>
              </w:rPr>
            </w:pPr>
            <w:r>
              <w:rPr>
                <w:rFonts w:hint="eastAsia"/>
                <w:lang w:val="zh-CN"/>
              </w:rPr>
              <w:t>1</w:t>
            </w:r>
          </w:p>
        </w:tc>
        <w:tc>
          <w:tcPr>
            <w:tcW w:w="2914" w:type="dxa"/>
            <w:noWrap/>
            <w:vAlign w:val="center"/>
          </w:tcPr>
          <w:p w14:paraId="6C47FDCF">
            <w:pPr>
              <w:spacing w:line="380" w:lineRule="exact"/>
              <w:jc w:val="left"/>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13391A4">
            <w:pPr>
              <w:ind w:firstLine="480" w:firstLineChars="2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lang w:val="en-US" w:eastAsia="zh-CN"/>
              </w:rPr>
              <w:t>122</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0万元</w:t>
            </w:r>
            <w:r>
              <w:rPr>
                <w:rFonts w:hint="eastAsia" w:ascii="宋体" w:hAnsi="宋体" w:cs="宋体"/>
                <w:kern w:val="0"/>
                <w:sz w:val="24"/>
                <w:lang w:eastAsia="zh-CN"/>
              </w:rPr>
              <w:t>，</w:t>
            </w:r>
            <w:r>
              <w:rPr>
                <w:rFonts w:hint="eastAsia" w:ascii="宋体" w:hAnsi="宋体" w:cs="宋体"/>
                <w:kern w:val="0"/>
                <w:sz w:val="24"/>
                <w:lang w:val="en-US" w:eastAsia="zh-CN"/>
              </w:rPr>
              <w:t>其中1包2025年海南省教育厅系统网络安全等级保护测评（包含14个三级系统、2个二级系统）及网络安全服务75万元、2包海南省教育省域网等级保护测评及第三方软件测试20万元、3包南省智慧教育平台网络安全等级保护测评（包含海南省教育数字底座、海南省智慧教育应用中心、海教通三个系统）及第三方软件测试27.3万元</w:t>
            </w:r>
            <w:r>
              <w:rPr>
                <w:rFonts w:hint="eastAsia" w:ascii="宋体" w:hAnsi="宋体" w:cs="宋体"/>
                <w:kern w:val="0"/>
                <w:sz w:val="24"/>
                <w:shd w:val="clear" w:color="auto" w:fill="FFFFFF"/>
                <w:lang w:val="en-US" w:eastAsia="zh-CN"/>
              </w:rPr>
              <w:t>。</w:t>
            </w:r>
          </w:p>
          <w:p w14:paraId="6611513D">
            <w:pPr>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14984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914" w:type="dxa"/>
            <w:noWrap/>
            <w:vAlign w:val="center"/>
          </w:tcPr>
          <w:p w14:paraId="49C14671">
            <w:pPr>
              <w:jc w:val="center"/>
              <w:rPr>
                <w:lang w:val="zh-CN"/>
              </w:rPr>
            </w:pPr>
            <w:r>
              <w:rPr>
                <w:rFonts w:hint="eastAsia"/>
                <w:lang w:val="zh-CN"/>
              </w:rPr>
              <w:t>2</w:t>
            </w:r>
          </w:p>
        </w:tc>
        <w:tc>
          <w:tcPr>
            <w:tcW w:w="2914" w:type="dxa"/>
            <w:noWrap/>
            <w:vAlign w:val="center"/>
          </w:tcPr>
          <w:p w14:paraId="2580559F">
            <w:pPr>
              <w:spacing w:line="44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4F4EA990">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525DC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4A84FB6A">
            <w:pPr>
              <w:jc w:val="center"/>
              <w:rPr>
                <w:lang w:val="zh-CN"/>
              </w:rPr>
            </w:pPr>
            <w:r>
              <w:rPr>
                <w:rFonts w:hint="eastAsia"/>
                <w:lang w:val="zh-CN"/>
              </w:rPr>
              <w:t>3</w:t>
            </w:r>
          </w:p>
        </w:tc>
        <w:tc>
          <w:tcPr>
            <w:tcW w:w="2914" w:type="dxa"/>
            <w:noWrap/>
            <w:vAlign w:val="center"/>
          </w:tcPr>
          <w:p w14:paraId="58C00EC1">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61196563">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041C8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2990699B">
            <w:pPr>
              <w:jc w:val="center"/>
              <w:rPr>
                <w:lang w:val="zh-CN"/>
              </w:rPr>
            </w:pPr>
            <w:r>
              <w:rPr>
                <w:rFonts w:hint="eastAsia"/>
                <w:lang w:val="zh-CN"/>
              </w:rPr>
              <w:t>4</w:t>
            </w:r>
          </w:p>
        </w:tc>
        <w:tc>
          <w:tcPr>
            <w:tcW w:w="2914" w:type="dxa"/>
            <w:noWrap/>
            <w:vAlign w:val="center"/>
          </w:tcPr>
          <w:p w14:paraId="0B81962D">
            <w:pPr>
              <w:pStyle w:val="177"/>
              <w:spacing w:line="500" w:lineRule="exact"/>
              <w:ind w:left="0" w:firstLine="0"/>
              <w:jc w:val="left"/>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032C1E26">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45F41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914" w:type="dxa"/>
            <w:noWrap/>
            <w:vAlign w:val="center"/>
          </w:tcPr>
          <w:p w14:paraId="51C157A4">
            <w:pPr>
              <w:jc w:val="center"/>
              <w:rPr>
                <w:lang w:val="zh-CN"/>
              </w:rPr>
            </w:pPr>
            <w:r>
              <w:rPr>
                <w:rFonts w:hint="eastAsia"/>
                <w:lang w:val="zh-CN"/>
              </w:rPr>
              <w:t>5</w:t>
            </w:r>
          </w:p>
        </w:tc>
        <w:tc>
          <w:tcPr>
            <w:tcW w:w="2914" w:type="dxa"/>
            <w:noWrap/>
            <w:vAlign w:val="center"/>
          </w:tcPr>
          <w:p w14:paraId="5FC87CA2">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2D0CD38C">
            <w:pPr>
              <w:pStyle w:val="177"/>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68DF0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037C7828">
            <w:pPr>
              <w:jc w:val="center"/>
            </w:pPr>
            <w:r>
              <w:rPr>
                <w:rFonts w:hint="eastAsia"/>
              </w:rPr>
              <w:t>6</w:t>
            </w:r>
          </w:p>
        </w:tc>
        <w:tc>
          <w:tcPr>
            <w:tcW w:w="2914" w:type="dxa"/>
            <w:noWrap/>
            <w:vAlign w:val="center"/>
          </w:tcPr>
          <w:p w14:paraId="078E6936">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4CEB475F">
            <w:pPr>
              <w:pStyle w:val="177"/>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527D6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5D5D0461">
            <w:pPr>
              <w:jc w:val="center"/>
            </w:pPr>
            <w:r>
              <w:rPr>
                <w:rFonts w:hint="eastAsia"/>
              </w:rPr>
              <w:t>7</w:t>
            </w:r>
          </w:p>
        </w:tc>
        <w:tc>
          <w:tcPr>
            <w:tcW w:w="2914" w:type="dxa"/>
            <w:noWrap/>
            <w:vAlign w:val="center"/>
          </w:tcPr>
          <w:p w14:paraId="5065F1B4">
            <w:pPr>
              <w:pStyle w:val="177"/>
              <w:spacing w:line="500" w:lineRule="exact"/>
              <w:ind w:left="0" w:firstLine="0"/>
              <w:jc w:val="left"/>
              <w:rPr>
                <w:rFonts w:ascii="宋体" w:hAnsi="宋体"/>
                <w:sz w:val="24"/>
                <w:szCs w:val="24"/>
                <w:shd w:val="clear" w:color="auto" w:fill="FFFFFF"/>
              </w:rPr>
            </w:pPr>
            <w:r>
              <w:rPr>
                <w:rFonts w:hint="eastAsia" w:ascii="宋体" w:hAnsi="宋体"/>
                <w:bCs/>
                <w:sz w:val="24"/>
                <w:szCs w:val="24"/>
                <w:shd w:val="clear" w:color="auto" w:fill="FFFFFF"/>
              </w:rPr>
              <w:t>服务时间</w:t>
            </w:r>
          </w:p>
        </w:tc>
        <w:tc>
          <w:tcPr>
            <w:tcW w:w="5670" w:type="dxa"/>
            <w:noWrap/>
            <w:vAlign w:val="center"/>
          </w:tcPr>
          <w:p w14:paraId="1B4F3B2A">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1包自合同约定的服务开通之日起1年 。</w:t>
            </w:r>
          </w:p>
          <w:p w14:paraId="01828CEE">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2包自合同约定的服务开通之日起1年 。</w:t>
            </w:r>
          </w:p>
          <w:p w14:paraId="266EC554">
            <w:pPr>
              <w:adjustRightInd w:val="0"/>
              <w:snapToGrid w:val="0"/>
              <w:spacing w:line="360" w:lineRule="auto"/>
              <w:ind w:firstLine="480" w:firstLineChars="200"/>
              <w:rPr>
                <w:rFonts w:ascii="宋体" w:hAnsi="宋体"/>
                <w:sz w:val="24"/>
                <w:szCs w:val="24"/>
                <w:shd w:val="clear" w:color="auto" w:fill="FFFFFF"/>
              </w:rPr>
            </w:pPr>
            <w:r>
              <w:rPr>
                <w:rFonts w:hint="eastAsia" w:ascii="宋体" w:hAnsi="宋体" w:eastAsia="宋体" w:cs="宋体"/>
                <w:kern w:val="0"/>
                <w:sz w:val="24"/>
                <w:lang w:val="en-US" w:eastAsia="zh-CN"/>
              </w:rPr>
              <w:t>3包自合同约定的服务开通之日起1年 。</w:t>
            </w:r>
          </w:p>
        </w:tc>
      </w:tr>
      <w:tr w14:paraId="0C00B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7CAA8F54">
            <w:pPr>
              <w:jc w:val="center"/>
            </w:pPr>
            <w:r>
              <w:rPr>
                <w:rFonts w:hint="eastAsia"/>
              </w:rPr>
              <w:t>8</w:t>
            </w:r>
          </w:p>
        </w:tc>
        <w:tc>
          <w:tcPr>
            <w:tcW w:w="2914" w:type="dxa"/>
            <w:noWrap/>
            <w:vAlign w:val="center"/>
          </w:tcPr>
          <w:p w14:paraId="78F1EEE3">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37F366C6">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31980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7B3028BB">
            <w:pPr>
              <w:jc w:val="center"/>
            </w:pPr>
            <w:r>
              <w:rPr>
                <w:rFonts w:hint="eastAsia"/>
              </w:rPr>
              <w:t>9</w:t>
            </w:r>
          </w:p>
        </w:tc>
        <w:tc>
          <w:tcPr>
            <w:tcW w:w="2914" w:type="dxa"/>
            <w:noWrap/>
            <w:vAlign w:val="center"/>
          </w:tcPr>
          <w:p w14:paraId="41EA47C8">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7ED7A6EC">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根据《统计上大中小微型企业划分办法（2017）》，本项目所属行业为软件和信息技术服务业。</w:t>
            </w:r>
          </w:p>
        </w:tc>
      </w:tr>
      <w:tr w14:paraId="72A27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914" w:type="dxa"/>
            <w:noWrap/>
            <w:vAlign w:val="center"/>
          </w:tcPr>
          <w:p w14:paraId="09A13513">
            <w:pPr>
              <w:jc w:val="center"/>
            </w:pPr>
            <w:r>
              <w:t>1</w:t>
            </w:r>
            <w:r>
              <w:rPr>
                <w:rFonts w:hint="eastAsia"/>
              </w:rPr>
              <w:t>0</w:t>
            </w:r>
          </w:p>
        </w:tc>
        <w:tc>
          <w:tcPr>
            <w:tcW w:w="2914" w:type="dxa"/>
            <w:noWrap/>
            <w:vAlign w:val="center"/>
          </w:tcPr>
          <w:p w14:paraId="569FB994">
            <w:pPr>
              <w:pStyle w:val="177"/>
              <w:spacing w:line="5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0DE57BCF">
            <w:pPr>
              <w:spacing w:line="540" w:lineRule="exact"/>
              <w:ind w:left="60" w:leftChars="29" w:firstLine="0" w:firstLineChars="0"/>
              <w:outlineLvl w:val="1"/>
              <w:rPr>
                <w:rFonts w:ascii="宋体" w:hAnsi="宋体"/>
                <w:sz w:val="24"/>
                <w:shd w:val="clear" w:color="auto" w:fill="FFFFFF"/>
              </w:rPr>
            </w:pPr>
            <w:r>
              <w:rPr>
                <w:rFonts w:hint="eastAsia" w:ascii="宋体" w:hAnsi="宋体"/>
                <w:sz w:val="24"/>
                <w:shd w:val="clear" w:color="auto" w:fill="FFFFFF"/>
              </w:rPr>
              <w:t>采购标的物需按照国家相关标准、行业标准、地方标准或者其他标准、规范执行。</w:t>
            </w:r>
          </w:p>
          <w:p w14:paraId="69C2CDC6">
            <w:pPr>
              <w:spacing w:line="540" w:lineRule="exact"/>
              <w:ind w:left="-420" w:leftChars="-200" w:firstLine="480" w:firstLineChars="200"/>
              <w:outlineLvl w:val="1"/>
              <w:rPr>
                <w:rFonts w:ascii="宋体" w:hAnsi="宋体"/>
                <w:sz w:val="24"/>
                <w:shd w:val="clear" w:color="auto" w:fill="FFFFFF"/>
              </w:rPr>
            </w:pPr>
          </w:p>
        </w:tc>
      </w:tr>
    </w:tbl>
    <w:p w14:paraId="73308BB8">
      <w:pPr>
        <w:adjustRightInd w:val="0"/>
        <w:snapToGrid w:val="0"/>
        <w:spacing w:line="300" w:lineRule="auto"/>
        <w:rPr>
          <w:rFonts w:ascii="宋体"/>
          <w:kern w:val="0"/>
          <w:sz w:val="24"/>
        </w:rPr>
      </w:pPr>
    </w:p>
    <w:p w14:paraId="4A6EDD63">
      <w:pPr>
        <w:spacing w:line="360" w:lineRule="auto"/>
        <w:ind w:firstLine="592" w:firstLineChars="247"/>
        <w:outlineLvl w:val="0"/>
        <w:rPr>
          <w:rFonts w:hint="eastAsia" w:ascii="Times New Roman" w:hAnsi="宋体" w:eastAsia="宋体" w:cs="Times New Roman"/>
          <w:b/>
          <w:bCs/>
          <w:sz w:val="24"/>
          <w:shd w:val="clear" w:color="auto" w:fill="FFFFFF"/>
          <w:lang w:val="en-US" w:eastAsia="zh-CN"/>
        </w:rPr>
      </w:pPr>
      <w:r>
        <w:rPr>
          <w:rFonts w:hint="eastAsia" w:hAnsi="宋体" w:cs="Times New Roman"/>
          <w:b/>
          <w:bCs/>
          <w:sz w:val="24"/>
          <w:shd w:val="clear" w:color="auto" w:fill="FFFFFF"/>
          <w:lang w:val="en-US" w:eastAsia="zh-CN"/>
        </w:rPr>
        <w:t>二、</w:t>
      </w:r>
      <w:r>
        <w:rPr>
          <w:rFonts w:hint="eastAsia" w:ascii="Times New Roman" w:hAnsi="宋体" w:eastAsia="宋体" w:cs="Times New Roman"/>
          <w:b/>
          <w:bCs/>
          <w:sz w:val="24"/>
          <w:shd w:val="clear" w:color="auto" w:fill="FFFFFF"/>
          <w:lang w:val="en-US" w:eastAsia="zh-CN"/>
        </w:rPr>
        <w:t>项目概况</w:t>
      </w:r>
    </w:p>
    <w:p w14:paraId="57249347">
      <w:pPr>
        <w:adjustRightInd w:val="0"/>
        <w:snapToGrid w:val="0"/>
        <w:spacing w:line="300" w:lineRule="auto"/>
        <w:ind w:firstLine="588" w:firstLineChars="245"/>
        <w:rPr>
          <w:rFonts w:hint="default" w:ascii="宋体" w:hAnsi="Times New Roman" w:eastAsia="宋体" w:cs="Times New Roman"/>
          <w:kern w:val="0"/>
          <w:sz w:val="24"/>
          <w:lang w:val="en-US" w:eastAsia="zh-CN"/>
        </w:rPr>
      </w:pPr>
      <w:r>
        <w:rPr>
          <w:rFonts w:hint="default" w:ascii="宋体" w:hAnsi="Times New Roman" w:eastAsia="宋体" w:cs="Times New Roman"/>
          <w:kern w:val="0"/>
          <w:sz w:val="24"/>
          <w:lang w:val="en-US" w:eastAsia="zh-CN"/>
        </w:rPr>
        <w:t>为深入贯彻落实全国网络安全和信息化工作会议精神、关于网络强国的重要思想，落实《中华人民共和国网络安全法》、《中华人民共和国数据安全法》、《中华人民共和国个人信息保护法》、《关键信息基础设施保护条例》、《党委（党组）网络安全工作责任制实施办法》等法律法规，根据网信、公安部门网络安全检查工作有关文件精神以及国家网络安全等级保护2.0标准的相关要求，提高信息系统安全监控预警防护水平和安全检查检测能力，减少信息安全事件发生，切实提高教育系统网络安全保障能力。并进行全面的功能性能测试，确保软件在功能实现上准确无误，性能表现符合预期目标，满足业务实际运行需求，保障软件上线后能够稳定、高效地运行，为用户提供良好的使用体验。</w:t>
      </w:r>
    </w:p>
    <w:p w14:paraId="23CFA0AB">
      <w:pPr>
        <w:adjustRightInd w:val="0"/>
        <w:snapToGrid w:val="0"/>
        <w:spacing w:line="300" w:lineRule="auto"/>
        <w:ind w:firstLine="480" w:firstLineChars="200"/>
        <w:rPr>
          <w:rFonts w:hint="eastAsia" w:ascii="宋体"/>
          <w:kern w:val="0"/>
          <w:sz w:val="24"/>
          <w:lang w:val="en-US" w:eastAsia="zh-CN"/>
        </w:rPr>
      </w:pPr>
    </w:p>
    <w:p w14:paraId="0349B7EF">
      <w:pPr>
        <w:spacing w:line="240" w:lineRule="auto"/>
        <w:ind w:firstLine="0" w:firstLineChars="0"/>
        <w:outlineLvl w:val="9"/>
        <w:rPr>
          <w:rFonts w:hint="eastAsia" w:ascii="Times New Roman" w:hAnsi="宋体" w:eastAsia="宋体" w:cs="Times New Roman"/>
          <w:b/>
          <w:bCs/>
          <w:sz w:val="24"/>
          <w:shd w:val="clear" w:color="auto" w:fill="FFFFFF"/>
          <w:lang w:val="en-US" w:eastAsia="zh-CN"/>
        </w:rPr>
      </w:pPr>
    </w:p>
    <w:p w14:paraId="05BB7A61">
      <w:pPr>
        <w:spacing w:line="360" w:lineRule="auto"/>
        <w:ind w:firstLine="592" w:firstLineChars="247"/>
        <w:outlineLvl w:val="0"/>
        <w:rPr>
          <w:rFonts w:hint="eastAsia" w:ascii="Times New Roman" w:hAnsi="宋体" w:eastAsia="宋体" w:cs="Times New Roman"/>
          <w:b/>
          <w:bCs/>
          <w:sz w:val="24"/>
          <w:shd w:val="clear" w:color="auto" w:fill="FFFFFF"/>
          <w:lang w:val="en-US" w:eastAsia="zh-CN"/>
        </w:rPr>
      </w:pPr>
      <w:r>
        <w:rPr>
          <w:rFonts w:hint="eastAsia" w:hAnsi="宋体" w:cs="Times New Roman"/>
          <w:b/>
          <w:bCs/>
          <w:sz w:val="24"/>
          <w:shd w:val="clear" w:color="auto" w:fill="FFFFFF"/>
          <w:lang w:val="en-US" w:eastAsia="zh-CN"/>
        </w:rPr>
        <w:t>三、</w:t>
      </w:r>
      <w:r>
        <w:rPr>
          <w:rFonts w:hint="eastAsia" w:ascii="Times New Roman" w:hAnsi="宋体" w:eastAsia="宋体" w:cs="Times New Roman"/>
          <w:b/>
          <w:bCs/>
          <w:sz w:val="24"/>
          <w:shd w:val="clear" w:color="auto" w:fill="FFFFFF"/>
          <w:lang w:val="en-US" w:eastAsia="zh-CN"/>
        </w:rPr>
        <w:t>采购需求</w:t>
      </w:r>
    </w:p>
    <w:p w14:paraId="53211F18">
      <w:pPr>
        <w:bidi w:val="0"/>
        <w:rPr>
          <w:rFonts w:hint="default"/>
          <w:lang w:val="en-US" w:eastAsia="zh-CN"/>
        </w:rPr>
      </w:pPr>
    </w:p>
    <w:p w14:paraId="5D5DA17A">
      <w:pPr>
        <w:adjustRightInd w:val="0"/>
        <w:snapToGrid w:val="0"/>
        <w:spacing w:line="300" w:lineRule="auto"/>
        <w:ind w:firstLine="640" w:firstLineChars="200"/>
        <w:jc w:val="center"/>
        <w:outlineLvl w:val="1"/>
        <w:rPr>
          <w:rFonts w:hint="default" w:ascii="宋体" w:eastAsia="宋体"/>
          <w:b/>
          <w:bCs/>
          <w:kern w:val="0"/>
          <w:sz w:val="32"/>
          <w:szCs w:val="32"/>
          <w:lang w:val="en-US" w:eastAsia="zh-CN"/>
        </w:rPr>
      </w:pPr>
      <w:r>
        <w:rPr>
          <w:rFonts w:hint="eastAsia" w:ascii="宋体"/>
          <w:b/>
          <w:bCs/>
          <w:kern w:val="0"/>
          <w:sz w:val="32"/>
          <w:szCs w:val="32"/>
          <w:lang w:val="en-US" w:eastAsia="zh-CN"/>
        </w:rPr>
        <w:t>1包：2025年海南省教育厅系统网络安全等级保护测评（包含1</w:t>
      </w:r>
      <w:r>
        <w:rPr>
          <w:rFonts w:hint="eastAsia" w:ascii="宋体"/>
          <w:b/>
          <w:bCs/>
          <w:kern w:val="0"/>
          <w:sz w:val="32"/>
          <w:szCs w:val="32"/>
          <w:lang w:val="en-US" w:eastAsia="zh-CN"/>
        </w:rPr>
        <w:t>4</w:t>
      </w:r>
      <w:r>
        <w:rPr>
          <w:rFonts w:hint="eastAsia" w:ascii="宋体"/>
          <w:b/>
          <w:bCs/>
          <w:kern w:val="0"/>
          <w:sz w:val="32"/>
          <w:szCs w:val="32"/>
          <w:lang w:val="en-US" w:eastAsia="zh-CN"/>
        </w:rPr>
        <w:t>个三级系统、</w:t>
      </w:r>
      <w:r>
        <w:rPr>
          <w:rFonts w:hint="eastAsia" w:ascii="宋体"/>
          <w:b/>
          <w:bCs/>
          <w:kern w:val="0"/>
          <w:sz w:val="32"/>
          <w:szCs w:val="32"/>
          <w:lang w:val="en-US" w:eastAsia="zh-CN"/>
        </w:rPr>
        <w:t>2</w:t>
      </w:r>
      <w:r>
        <w:rPr>
          <w:rFonts w:hint="eastAsia" w:ascii="宋体"/>
          <w:b/>
          <w:bCs/>
          <w:kern w:val="0"/>
          <w:sz w:val="32"/>
          <w:szCs w:val="32"/>
          <w:lang w:val="en-US" w:eastAsia="zh-CN"/>
        </w:rPr>
        <w:t>个二级系统）</w:t>
      </w:r>
      <w:r>
        <w:rPr>
          <w:rFonts w:hint="eastAsia" w:ascii="宋体"/>
          <w:b/>
          <w:bCs/>
          <w:kern w:val="0"/>
          <w:sz w:val="32"/>
          <w:szCs w:val="32"/>
          <w:lang w:val="en-US" w:eastAsia="zh-CN"/>
        </w:rPr>
        <w:t>及</w:t>
      </w:r>
      <w:r>
        <w:rPr>
          <w:rFonts w:hint="eastAsia" w:ascii="宋体"/>
          <w:b/>
          <w:bCs/>
          <w:kern w:val="0"/>
          <w:sz w:val="32"/>
          <w:szCs w:val="32"/>
          <w:lang w:val="en-US" w:eastAsia="zh-CN"/>
        </w:rPr>
        <w:t>网络安全服务</w:t>
      </w:r>
    </w:p>
    <w:p w14:paraId="1B6F0130">
      <w:pPr>
        <w:bidi w:val="0"/>
        <w:rPr>
          <w:rFonts w:hint="eastAsia" w:eastAsia="宋体"/>
          <w:lang w:val="en-US" w:eastAsia="zh-CN"/>
        </w:rPr>
      </w:pPr>
      <w:r>
        <w:rPr>
          <w:rFonts w:hint="eastAsia"/>
          <w:lang w:val="en-US" w:eastAsia="zh-CN"/>
        </w:rPr>
        <w:t xml:space="preserve"> </w:t>
      </w:r>
    </w:p>
    <w:p w14:paraId="1B0D89EE">
      <w:pPr>
        <w:adjustRightInd w:val="0"/>
        <w:snapToGrid w:val="0"/>
        <w:spacing w:line="300" w:lineRule="auto"/>
        <w:ind w:firstLine="480"/>
        <w:rPr>
          <w:rFonts w:hint="eastAsia" w:ascii="宋体"/>
          <w:b/>
          <w:bCs/>
          <w:kern w:val="0"/>
          <w:sz w:val="24"/>
          <w:lang w:val="en-US" w:eastAsia="zh-CN"/>
        </w:rPr>
      </w:pPr>
      <w:r>
        <w:rPr>
          <w:rFonts w:hint="eastAsia" w:ascii="宋体"/>
          <w:b/>
          <w:bCs/>
          <w:kern w:val="0"/>
          <w:sz w:val="24"/>
          <w:lang w:val="en-US" w:eastAsia="zh-CN"/>
        </w:rPr>
        <w:t>一、建设目标：</w:t>
      </w:r>
    </w:p>
    <w:p w14:paraId="7101F054">
      <w:pPr>
        <w:adjustRightInd w:val="0"/>
        <w:snapToGrid w:val="0"/>
        <w:spacing w:line="300" w:lineRule="auto"/>
        <w:ind w:firstLine="588" w:firstLineChars="245"/>
        <w:rPr>
          <w:rFonts w:hint="eastAsia" w:ascii="宋体" w:hAnsi="Times New Roman" w:eastAsia="宋体" w:cs="Times New Roman"/>
          <w:kern w:val="0"/>
          <w:sz w:val="24"/>
          <w:lang w:val="en-US" w:eastAsia="zh-CN"/>
        </w:rPr>
      </w:pPr>
      <w:r>
        <w:rPr>
          <w:rFonts w:hint="eastAsia" w:ascii="宋体" w:hAnsi="Times New Roman" w:eastAsia="宋体" w:cs="Times New Roman"/>
          <w:kern w:val="0"/>
          <w:sz w:val="24"/>
          <w:lang w:val="en-US" w:eastAsia="zh-CN"/>
        </w:rPr>
        <w:t>根据《信息安全等级保护管理办法》（公通字【2007】43号）的精神，《信息安全技术 网络安全等级保护基本要求》、《信息安全技术 网络安全等级保护测评要求》、《信息安全技术 网络安全等级保护安全设计技术要求》等国家标准要求，对海南省教育厅1</w:t>
      </w:r>
      <w:r>
        <w:rPr>
          <w:rFonts w:hint="eastAsia" w:ascii="宋体" w:cs="Times New Roman"/>
          <w:kern w:val="0"/>
          <w:sz w:val="24"/>
          <w:lang w:val="en-US" w:eastAsia="zh-CN"/>
        </w:rPr>
        <w:t>4</w:t>
      </w:r>
      <w:r>
        <w:rPr>
          <w:rFonts w:hint="eastAsia" w:ascii="宋体" w:hAnsi="Times New Roman" w:eastAsia="宋体" w:cs="Times New Roman"/>
          <w:kern w:val="0"/>
          <w:sz w:val="24"/>
          <w:lang w:val="en-US" w:eastAsia="zh-CN"/>
        </w:rPr>
        <w:t>个三级系统、</w:t>
      </w:r>
      <w:r>
        <w:rPr>
          <w:rFonts w:hint="eastAsia" w:ascii="宋体" w:cs="Times New Roman"/>
          <w:kern w:val="0"/>
          <w:sz w:val="24"/>
          <w:lang w:val="en-US" w:eastAsia="zh-CN"/>
        </w:rPr>
        <w:t>2</w:t>
      </w:r>
      <w:r>
        <w:rPr>
          <w:rFonts w:hint="eastAsia" w:ascii="宋体" w:hAnsi="Times New Roman" w:eastAsia="宋体" w:cs="Times New Roman"/>
          <w:kern w:val="0"/>
          <w:sz w:val="24"/>
          <w:lang w:val="en-US" w:eastAsia="zh-CN"/>
        </w:rPr>
        <w:t>个二级系统开展等级保护测评；通过检测评估工作促进安全整改与安全建设，提升省教育厅网络安全防护能力及人员安全意识，完善网络安全保障体系。提供海南省教育厅网络安全服务。</w:t>
      </w:r>
    </w:p>
    <w:p w14:paraId="4E3C8B5E">
      <w:pPr>
        <w:adjustRightInd w:val="0"/>
        <w:snapToGrid w:val="0"/>
        <w:spacing w:line="300" w:lineRule="auto"/>
        <w:ind w:firstLine="480"/>
        <w:rPr>
          <w:rFonts w:hint="eastAsia" w:ascii="宋体" w:hAnsi="Times New Roman" w:eastAsia="宋体" w:cs="Times New Roman"/>
          <w:kern w:val="0"/>
          <w:sz w:val="24"/>
          <w:lang w:val="en-US" w:eastAsia="zh-CN"/>
        </w:rPr>
      </w:pPr>
    </w:p>
    <w:p w14:paraId="1267AB4E">
      <w:pPr>
        <w:adjustRightInd w:val="0"/>
        <w:snapToGrid w:val="0"/>
        <w:spacing w:line="300" w:lineRule="auto"/>
        <w:ind w:firstLine="480" w:firstLineChars="200"/>
        <w:rPr>
          <w:rFonts w:hint="default"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二、服务要求：</w:t>
      </w:r>
    </w:p>
    <w:p w14:paraId="7A43E292">
      <w:pPr>
        <w:adjustRightInd w:val="0"/>
        <w:snapToGrid w:val="0"/>
        <w:spacing w:line="300" w:lineRule="auto"/>
        <w:ind w:firstLine="588" w:firstLineChars="245"/>
        <w:rPr>
          <w:rFonts w:hint="eastAsia" w:ascii="楷体" w:hAnsi="楷体" w:eastAsia="楷体" w:cs="楷体"/>
          <w:kern w:val="0"/>
          <w:sz w:val="24"/>
          <w:lang w:val="en-US"/>
        </w:rPr>
      </w:pPr>
      <w:r>
        <w:rPr>
          <w:rFonts w:hint="eastAsia" w:ascii="楷体" w:hAnsi="楷体" w:eastAsia="楷体" w:cs="楷体"/>
          <w:kern w:val="0"/>
          <w:sz w:val="24"/>
          <w:lang w:val="en-US" w:eastAsia="zh-CN"/>
        </w:rPr>
        <w:t>（一）</w:t>
      </w:r>
      <w:r>
        <w:rPr>
          <w:rFonts w:hint="eastAsia" w:ascii="楷体" w:hAnsi="楷体" w:eastAsia="楷体" w:cs="楷体"/>
          <w:kern w:val="0"/>
          <w:sz w:val="24"/>
          <w:lang w:val="en-US"/>
        </w:rPr>
        <w:t>等级保护测评</w:t>
      </w:r>
    </w:p>
    <w:p w14:paraId="2C7FACFE">
      <w:pPr>
        <w:adjustRightInd w:val="0"/>
        <w:snapToGrid w:val="0"/>
        <w:spacing w:line="300" w:lineRule="auto"/>
        <w:ind w:firstLine="588" w:firstLineChars="245"/>
        <w:rPr>
          <w:rFonts w:hint="eastAsia" w:ascii="宋体" w:hAnsi="Times New Roman" w:eastAsia="宋体" w:cs="Times New Roman"/>
          <w:b/>
          <w:bCs/>
          <w:kern w:val="0"/>
          <w:sz w:val="24"/>
        </w:rPr>
      </w:pPr>
      <w:r>
        <w:rPr>
          <w:rFonts w:hint="eastAsia" w:ascii="宋体" w:hAnsi="Times New Roman" w:eastAsia="宋体" w:cs="Times New Roman"/>
          <w:b/>
          <w:bCs/>
          <w:kern w:val="0"/>
          <w:sz w:val="24"/>
        </w:rPr>
        <w:t>1.测评内容</w:t>
      </w:r>
    </w:p>
    <w:p w14:paraId="4C2A955F">
      <w:pPr>
        <w:adjustRightInd w:val="0"/>
        <w:snapToGrid w:val="0"/>
        <w:spacing w:line="300" w:lineRule="auto"/>
        <w:ind w:firstLine="588" w:firstLineChars="245"/>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1.1 对用户的信息系统进行摸底、分析和梳理，提出详细的测评方案及完成系统备案工作。</w:t>
      </w:r>
    </w:p>
    <w:p w14:paraId="1C16D8F9">
      <w:pPr>
        <w:adjustRightInd w:val="0"/>
        <w:snapToGrid w:val="0"/>
        <w:spacing w:line="300" w:lineRule="auto"/>
        <w:ind w:firstLine="588" w:firstLineChars="245"/>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1.2 逐一对信息系统进行安全等级保护测评，测评的内容包括但不限于以下内容：</w:t>
      </w:r>
    </w:p>
    <w:p w14:paraId="1EF1E316">
      <w:pPr>
        <w:adjustRightInd w:val="0"/>
        <w:snapToGrid w:val="0"/>
        <w:spacing w:line="300" w:lineRule="auto"/>
        <w:ind w:firstLine="588" w:firstLineChars="245"/>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1.2.1 安全技术测评：包括安全物理环境、安全通信网络、安全区域边界、安全计算环境和安全管理中心五个方面的安全测评；</w:t>
      </w:r>
    </w:p>
    <w:p w14:paraId="79BDC59B">
      <w:pPr>
        <w:adjustRightInd w:val="0"/>
        <w:snapToGrid w:val="0"/>
        <w:spacing w:line="300" w:lineRule="auto"/>
        <w:ind w:firstLine="588" w:firstLineChars="245"/>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eastAsia="zh-CN"/>
        </w:rPr>
        <w:t>1.2.2 安全管理测评：包括安全管理制度、安全管理机构、安全管理人员、安全建设管理和安全运维管理五个方面的安全测评。</w:t>
      </w:r>
    </w:p>
    <w:p w14:paraId="27A0489E">
      <w:pPr>
        <w:adjustRightInd w:val="0"/>
        <w:snapToGrid w:val="0"/>
        <w:spacing w:line="300" w:lineRule="auto"/>
        <w:ind w:firstLine="588" w:firstLineChars="245"/>
        <w:rPr>
          <w:rFonts w:hint="eastAsia" w:ascii="宋体" w:hAnsi="Times New Roman" w:eastAsia="宋体" w:cs="Times New Roman"/>
          <w:kern w:val="0"/>
          <w:sz w:val="24"/>
          <w:lang w:eastAsia="zh-CN"/>
        </w:rPr>
      </w:pPr>
      <w:r>
        <w:rPr>
          <w:rFonts w:hint="eastAsia" w:ascii="宋体" w:hAnsi="Times New Roman" w:eastAsia="宋体" w:cs="Times New Roman"/>
          <w:kern w:val="0"/>
          <w:sz w:val="24"/>
          <w:lang w:val="en-US" w:eastAsia="zh-CN"/>
        </w:rPr>
        <w:t>1.3对此次测评的17个信息系统存在问题进行整改，并出具各系统测评</w:t>
      </w:r>
      <w:r>
        <w:rPr>
          <w:rFonts w:hint="default" w:ascii="宋体" w:hAnsi="Times New Roman" w:eastAsia="宋体" w:cs="Times New Roman"/>
          <w:b/>
          <w:bCs/>
          <w:kern w:val="0"/>
          <w:sz w:val="24"/>
          <w:lang w:val="en-US" w:eastAsia="zh-CN"/>
        </w:rPr>
        <w:t>基本符合</w:t>
      </w:r>
      <w:r>
        <w:rPr>
          <w:rFonts w:hint="eastAsia" w:ascii="宋体" w:hAnsi="Times New Roman" w:eastAsia="宋体" w:cs="Times New Roman"/>
          <w:b/>
          <w:bCs/>
          <w:kern w:val="0"/>
          <w:sz w:val="24"/>
          <w:lang w:val="en-US" w:eastAsia="zh-CN"/>
        </w:rPr>
        <w:t>及以上</w:t>
      </w:r>
      <w:r>
        <w:rPr>
          <w:rFonts w:hint="eastAsia" w:ascii="宋体" w:hAnsi="Times New Roman" w:eastAsia="宋体" w:cs="Times New Roman"/>
          <w:kern w:val="0"/>
          <w:sz w:val="24"/>
          <w:lang w:val="en-US" w:eastAsia="zh-CN"/>
        </w:rPr>
        <w:t>的网络安全保护等级测评报告。</w:t>
      </w:r>
    </w:p>
    <w:p w14:paraId="3CFF4FEA">
      <w:pPr>
        <w:adjustRightInd w:val="0"/>
        <w:snapToGrid w:val="0"/>
        <w:spacing w:line="300" w:lineRule="auto"/>
        <w:ind w:firstLine="588" w:firstLineChars="245"/>
        <w:rPr>
          <w:rFonts w:hint="eastAsia" w:ascii="宋体" w:hAnsi="Times New Roman" w:eastAsia="宋体" w:cs="Times New Roman"/>
          <w:b/>
          <w:bCs/>
          <w:kern w:val="0"/>
          <w:sz w:val="24"/>
        </w:rPr>
      </w:pPr>
      <w:r>
        <w:rPr>
          <w:rFonts w:hint="eastAsia" w:ascii="宋体" w:hAnsi="Times New Roman" w:eastAsia="宋体" w:cs="Times New Roman"/>
          <w:b/>
          <w:bCs/>
          <w:kern w:val="0"/>
          <w:sz w:val="24"/>
          <w:lang w:val="en-US" w:eastAsia="zh-CN"/>
        </w:rPr>
        <w:t>2</w:t>
      </w:r>
      <w:r>
        <w:rPr>
          <w:rFonts w:hint="eastAsia" w:ascii="宋体" w:hAnsi="Times New Roman" w:eastAsia="宋体" w:cs="Times New Roman"/>
          <w:b/>
          <w:bCs/>
          <w:kern w:val="0"/>
          <w:sz w:val="24"/>
        </w:rPr>
        <w:t>.</w:t>
      </w:r>
      <w:r>
        <w:rPr>
          <w:rFonts w:hint="eastAsia" w:ascii="宋体" w:hAnsi="Times New Roman" w:eastAsia="宋体" w:cs="Times New Roman"/>
          <w:b/>
          <w:bCs/>
          <w:kern w:val="0"/>
          <w:sz w:val="24"/>
          <w:lang w:val="en-US" w:eastAsia="zh-CN"/>
        </w:rPr>
        <w:t>测评</w:t>
      </w:r>
      <w:r>
        <w:rPr>
          <w:rFonts w:hint="eastAsia" w:ascii="宋体" w:hAnsi="Times New Roman" w:eastAsia="宋体" w:cs="Times New Roman"/>
          <w:b/>
          <w:bCs/>
          <w:kern w:val="0"/>
          <w:sz w:val="24"/>
        </w:rPr>
        <w:t>对象描述</w:t>
      </w:r>
    </w:p>
    <w:p w14:paraId="427F141B">
      <w:pPr>
        <w:adjustRightInd w:val="0"/>
        <w:snapToGrid w:val="0"/>
        <w:spacing w:line="300" w:lineRule="auto"/>
        <w:ind w:firstLine="588" w:firstLineChars="245"/>
        <w:jc w:val="center"/>
        <w:rPr>
          <w:rFonts w:hint="eastAsia" w:ascii="宋体" w:hAnsi="Times New Roman" w:eastAsia="宋体" w:cs="Times New Roman"/>
          <w:kern w:val="0"/>
          <w:sz w:val="24"/>
        </w:rPr>
      </w:pPr>
      <w:r>
        <w:rPr>
          <w:rFonts w:hint="eastAsia" w:ascii="宋体" w:hAnsi="Times New Roman" w:eastAsia="宋体" w:cs="Times New Roman"/>
          <w:kern w:val="0"/>
          <w:sz w:val="24"/>
        </w:rPr>
        <w:t>网络安全等级保护测评系统清单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063"/>
        <w:gridCol w:w="1567"/>
        <w:gridCol w:w="1610"/>
      </w:tblGrid>
      <w:tr w14:paraId="1D7C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84" w:type="dxa"/>
            <w:shd w:val="pct10" w:color="auto" w:fill="auto"/>
            <w:noWrap w:val="0"/>
            <w:vAlign w:val="center"/>
          </w:tcPr>
          <w:p w14:paraId="7678A98E">
            <w:pPr>
              <w:jc w:val="center"/>
              <w:rPr>
                <w:rFonts w:hint="eastAsia" w:ascii="宋体" w:hAnsi="宋体" w:cs="宋体"/>
                <w:b/>
                <w:bCs/>
                <w:sz w:val="24"/>
                <w:highlight w:val="none"/>
              </w:rPr>
            </w:pPr>
            <w:bookmarkStart w:id="59" w:name="_Hlk43102567"/>
            <w:r>
              <w:rPr>
                <w:rFonts w:hint="eastAsia" w:ascii="宋体" w:hAnsi="宋体" w:cs="宋体"/>
                <w:b/>
                <w:bCs/>
                <w:sz w:val="24"/>
                <w:highlight w:val="none"/>
              </w:rPr>
              <w:t>序号</w:t>
            </w:r>
          </w:p>
        </w:tc>
        <w:tc>
          <w:tcPr>
            <w:tcW w:w="4063" w:type="dxa"/>
            <w:shd w:val="pct10" w:color="auto" w:fill="auto"/>
            <w:noWrap w:val="0"/>
            <w:vAlign w:val="center"/>
          </w:tcPr>
          <w:p w14:paraId="24FC0E9D">
            <w:pPr>
              <w:ind w:left="254"/>
              <w:jc w:val="center"/>
              <w:rPr>
                <w:rFonts w:hint="eastAsia" w:ascii="宋体" w:hAnsi="宋体" w:eastAsia="宋体" w:cs="宋体"/>
                <w:b/>
                <w:bCs/>
                <w:sz w:val="24"/>
                <w:highlight w:val="none"/>
                <w:lang w:eastAsia="zh-CN"/>
              </w:rPr>
            </w:pPr>
            <w:r>
              <w:rPr>
                <w:rFonts w:hint="eastAsia" w:ascii="宋体" w:hAnsi="宋体" w:cs="宋体"/>
                <w:b/>
                <w:bCs/>
                <w:sz w:val="24"/>
                <w:highlight w:val="none"/>
              </w:rPr>
              <w:t>被测系统名称</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业主</w:t>
            </w:r>
            <w:r>
              <w:rPr>
                <w:rFonts w:hint="eastAsia" w:ascii="宋体" w:hAnsi="宋体" w:cs="宋体"/>
                <w:b/>
                <w:bCs/>
                <w:sz w:val="24"/>
                <w:highlight w:val="none"/>
                <w:lang w:eastAsia="zh-CN"/>
              </w:rPr>
              <w:t>）</w:t>
            </w:r>
          </w:p>
        </w:tc>
        <w:tc>
          <w:tcPr>
            <w:tcW w:w="1567" w:type="dxa"/>
            <w:shd w:val="pct10" w:color="auto" w:fill="auto"/>
            <w:noWrap w:val="0"/>
            <w:vAlign w:val="center"/>
          </w:tcPr>
          <w:p w14:paraId="653A6FA3">
            <w:pPr>
              <w:ind w:left="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主管处室</w:t>
            </w:r>
          </w:p>
        </w:tc>
        <w:tc>
          <w:tcPr>
            <w:tcW w:w="1610" w:type="dxa"/>
            <w:shd w:val="pct10" w:color="auto" w:fill="auto"/>
            <w:noWrap w:val="0"/>
            <w:vAlign w:val="center"/>
          </w:tcPr>
          <w:p w14:paraId="781DB6BC">
            <w:pPr>
              <w:ind w:left="36"/>
              <w:rPr>
                <w:rFonts w:hint="eastAsia" w:ascii="宋体" w:hAnsi="宋体" w:cs="宋体"/>
                <w:b/>
                <w:bCs/>
                <w:sz w:val="24"/>
                <w:highlight w:val="none"/>
              </w:rPr>
            </w:pPr>
            <w:r>
              <w:rPr>
                <w:rFonts w:hint="eastAsia" w:ascii="宋体" w:hAnsi="宋体" w:cs="宋体"/>
                <w:b/>
                <w:bCs/>
                <w:sz w:val="24"/>
                <w:highlight w:val="none"/>
              </w:rPr>
              <w:t>安全等级</w:t>
            </w:r>
          </w:p>
        </w:tc>
      </w:tr>
      <w:tr w14:paraId="24A6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759E5BCC">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4063" w:type="dxa"/>
            <w:noWrap w:val="0"/>
            <w:vAlign w:val="center"/>
          </w:tcPr>
          <w:p w14:paraId="7B318AEE">
            <w:pPr>
              <w:jc w:val="center"/>
              <w:rPr>
                <w:rFonts w:hint="eastAsia" w:ascii="宋体" w:hAnsi="宋体" w:cs="宋体"/>
                <w:sz w:val="24"/>
                <w:highlight w:val="none"/>
              </w:rPr>
            </w:pPr>
            <w:r>
              <w:rPr>
                <w:rFonts w:hint="eastAsia" w:ascii="宋体" w:hAnsi="宋体" w:cs="宋体"/>
                <w:sz w:val="24"/>
                <w:highlight w:val="none"/>
              </w:rPr>
              <w:t>海南省教育厅门户网站</w:t>
            </w:r>
          </w:p>
        </w:tc>
        <w:tc>
          <w:tcPr>
            <w:tcW w:w="1567" w:type="dxa"/>
            <w:noWrap w:val="0"/>
            <w:vAlign w:val="center"/>
          </w:tcPr>
          <w:p w14:paraId="6897585C">
            <w:pPr>
              <w:jc w:val="center"/>
              <w:rPr>
                <w:rFonts w:hint="eastAsia" w:ascii="宋体" w:hAnsi="宋体" w:cs="宋体"/>
                <w:sz w:val="24"/>
                <w:highlight w:val="none"/>
              </w:rPr>
            </w:pPr>
            <w:r>
              <w:rPr>
                <w:rFonts w:hint="eastAsia" w:ascii="宋体" w:hAnsi="宋体" w:cs="宋体"/>
                <w:sz w:val="24"/>
                <w:highlight w:val="none"/>
              </w:rPr>
              <w:t>行政办</w:t>
            </w:r>
          </w:p>
        </w:tc>
        <w:tc>
          <w:tcPr>
            <w:tcW w:w="1610" w:type="dxa"/>
            <w:noWrap w:val="0"/>
            <w:vAlign w:val="center"/>
          </w:tcPr>
          <w:p w14:paraId="526C4F52">
            <w:pPr>
              <w:tabs>
                <w:tab w:val="left" w:pos="180"/>
              </w:tabs>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1561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4" w:type="dxa"/>
            <w:noWrap w:val="0"/>
            <w:vAlign w:val="center"/>
          </w:tcPr>
          <w:p w14:paraId="60BB5432">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4063" w:type="dxa"/>
            <w:noWrap w:val="0"/>
            <w:vAlign w:val="center"/>
          </w:tcPr>
          <w:p w14:paraId="58879B76">
            <w:pPr>
              <w:jc w:val="center"/>
              <w:rPr>
                <w:rFonts w:hint="eastAsia" w:ascii="宋体" w:hAnsi="宋体" w:cs="宋体"/>
                <w:sz w:val="24"/>
                <w:highlight w:val="none"/>
              </w:rPr>
            </w:pPr>
            <w:r>
              <w:rPr>
                <w:rFonts w:hint="eastAsia" w:ascii="宋体" w:hAnsi="宋体" w:cs="宋体"/>
                <w:sz w:val="24"/>
                <w:highlight w:val="none"/>
              </w:rPr>
              <w:t>教育基础数据库管理与服务系统</w:t>
            </w:r>
          </w:p>
        </w:tc>
        <w:tc>
          <w:tcPr>
            <w:tcW w:w="1567" w:type="dxa"/>
            <w:noWrap w:val="0"/>
            <w:vAlign w:val="center"/>
          </w:tcPr>
          <w:p w14:paraId="773DD135">
            <w:pPr>
              <w:jc w:val="center"/>
              <w:rPr>
                <w:rFonts w:hint="eastAsia" w:ascii="宋体" w:hAnsi="宋体" w:cs="宋体"/>
                <w:sz w:val="24"/>
                <w:highlight w:val="none"/>
              </w:rPr>
            </w:pPr>
            <w:r>
              <w:rPr>
                <w:rFonts w:hint="eastAsia" w:ascii="宋体" w:hAnsi="宋体" w:cs="宋体"/>
                <w:sz w:val="24"/>
                <w:highlight w:val="none"/>
              </w:rPr>
              <w:t>电教馆</w:t>
            </w:r>
          </w:p>
        </w:tc>
        <w:tc>
          <w:tcPr>
            <w:tcW w:w="1610" w:type="dxa"/>
            <w:noWrap w:val="0"/>
            <w:vAlign w:val="center"/>
          </w:tcPr>
          <w:p w14:paraId="70D7A360">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48AF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30709C58">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4063" w:type="dxa"/>
            <w:noWrap w:val="0"/>
            <w:vAlign w:val="center"/>
          </w:tcPr>
          <w:p w14:paraId="3CB0B14C">
            <w:pPr>
              <w:jc w:val="center"/>
              <w:rPr>
                <w:rFonts w:hint="eastAsia" w:ascii="宋体" w:hAnsi="宋体" w:cs="宋体"/>
                <w:sz w:val="24"/>
                <w:highlight w:val="none"/>
              </w:rPr>
            </w:pPr>
            <w:r>
              <w:rPr>
                <w:rFonts w:hint="eastAsia" w:ascii="宋体" w:hAnsi="宋体" w:cs="宋体"/>
                <w:kern w:val="0"/>
                <w:sz w:val="24"/>
                <w:highlight w:val="none"/>
              </w:rPr>
              <w:t>海南省学生资助管理信息系统</w:t>
            </w:r>
          </w:p>
        </w:tc>
        <w:tc>
          <w:tcPr>
            <w:tcW w:w="1567" w:type="dxa"/>
            <w:noWrap w:val="0"/>
            <w:vAlign w:val="center"/>
          </w:tcPr>
          <w:p w14:paraId="2408B830">
            <w:pPr>
              <w:jc w:val="center"/>
              <w:rPr>
                <w:rFonts w:hint="eastAsia" w:ascii="宋体" w:hAnsi="宋体" w:cs="宋体"/>
                <w:kern w:val="0"/>
                <w:sz w:val="24"/>
                <w:highlight w:val="none"/>
              </w:rPr>
            </w:pPr>
            <w:r>
              <w:rPr>
                <w:rFonts w:hint="eastAsia" w:ascii="宋体" w:hAnsi="宋体" w:cs="宋体"/>
                <w:kern w:val="0"/>
                <w:sz w:val="24"/>
                <w:highlight w:val="none"/>
              </w:rPr>
              <w:t>资助办</w:t>
            </w:r>
          </w:p>
        </w:tc>
        <w:tc>
          <w:tcPr>
            <w:tcW w:w="1610" w:type="dxa"/>
            <w:noWrap w:val="0"/>
            <w:vAlign w:val="center"/>
          </w:tcPr>
          <w:p w14:paraId="0CD9B55A">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3DE7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6A44AD42">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4063" w:type="dxa"/>
            <w:noWrap w:val="0"/>
            <w:vAlign w:val="center"/>
          </w:tcPr>
          <w:p w14:paraId="318D01C1">
            <w:pPr>
              <w:jc w:val="center"/>
              <w:rPr>
                <w:rFonts w:hint="eastAsia" w:ascii="宋体" w:hAnsi="宋体" w:cs="宋体"/>
                <w:kern w:val="0"/>
                <w:sz w:val="24"/>
                <w:highlight w:val="none"/>
              </w:rPr>
            </w:pPr>
            <w:r>
              <w:rPr>
                <w:rFonts w:hint="eastAsia" w:ascii="宋体" w:hAnsi="宋体" w:cs="宋体"/>
                <w:kern w:val="0"/>
                <w:sz w:val="24"/>
                <w:highlight w:val="none"/>
              </w:rPr>
              <w:t>海南省中职学籍管理信息系统</w:t>
            </w:r>
          </w:p>
        </w:tc>
        <w:tc>
          <w:tcPr>
            <w:tcW w:w="1567" w:type="dxa"/>
            <w:noWrap w:val="0"/>
            <w:vAlign w:val="center"/>
          </w:tcPr>
          <w:p w14:paraId="78D8F904">
            <w:pPr>
              <w:jc w:val="center"/>
              <w:rPr>
                <w:rFonts w:hint="eastAsia" w:ascii="宋体" w:hAnsi="宋体" w:cs="宋体"/>
                <w:kern w:val="0"/>
                <w:sz w:val="24"/>
                <w:highlight w:val="none"/>
              </w:rPr>
            </w:pPr>
            <w:r>
              <w:rPr>
                <w:rFonts w:hint="eastAsia" w:ascii="宋体" w:hAnsi="宋体" w:cs="宋体"/>
                <w:kern w:val="0"/>
                <w:sz w:val="24"/>
                <w:highlight w:val="none"/>
              </w:rPr>
              <w:t>职成处</w:t>
            </w:r>
          </w:p>
        </w:tc>
        <w:tc>
          <w:tcPr>
            <w:tcW w:w="1610" w:type="dxa"/>
            <w:noWrap w:val="0"/>
            <w:vAlign w:val="center"/>
          </w:tcPr>
          <w:p w14:paraId="1A3F3490">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7A88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35452304">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4063" w:type="dxa"/>
            <w:noWrap w:val="0"/>
            <w:vAlign w:val="center"/>
          </w:tcPr>
          <w:p w14:paraId="5225FBB5">
            <w:pPr>
              <w:jc w:val="center"/>
              <w:rPr>
                <w:rFonts w:hint="eastAsia" w:ascii="宋体" w:hAnsi="宋体" w:cs="宋体"/>
                <w:kern w:val="0"/>
                <w:sz w:val="24"/>
                <w:highlight w:val="none"/>
              </w:rPr>
            </w:pPr>
            <w:r>
              <w:rPr>
                <w:rFonts w:hint="eastAsia" w:ascii="宋体" w:hAnsi="宋体" w:cs="宋体"/>
                <w:kern w:val="0"/>
                <w:sz w:val="24"/>
                <w:highlight w:val="none"/>
              </w:rPr>
              <w:t>国家学前管理信息系统（海南）</w:t>
            </w:r>
          </w:p>
        </w:tc>
        <w:tc>
          <w:tcPr>
            <w:tcW w:w="1567" w:type="dxa"/>
            <w:noWrap w:val="0"/>
            <w:vAlign w:val="center"/>
          </w:tcPr>
          <w:p w14:paraId="43EB732B">
            <w:pPr>
              <w:jc w:val="center"/>
              <w:rPr>
                <w:rFonts w:hint="eastAsia" w:ascii="宋体" w:hAnsi="宋体" w:cs="宋体"/>
                <w:kern w:val="0"/>
                <w:sz w:val="24"/>
                <w:highlight w:val="none"/>
              </w:rPr>
            </w:pPr>
            <w:r>
              <w:rPr>
                <w:rFonts w:hint="eastAsia" w:ascii="宋体" w:hAnsi="宋体" w:cs="宋体"/>
                <w:kern w:val="0"/>
                <w:sz w:val="24"/>
                <w:highlight w:val="none"/>
              </w:rPr>
              <w:t>基教处</w:t>
            </w:r>
          </w:p>
        </w:tc>
        <w:tc>
          <w:tcPr>
            <w:tcW w:w="1610" w:type="dxa"/>
            <w:noWrap w:val="0"/>
            <w:vAlign w:val="center"/>
          </w:tcPr>
          <w:p w14:paraId="41FE959C">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195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73C7776E">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4063" w:type="dxa"/>
            <w:noWrap w:val="0"/>
            <w:vAlign w:val="center"/>
          </w:tcPr>
          <w:p w14:paraId="2DE7E6D3">
            <w:pPr>
              <w:jc w:val="center"/>
              <w:rPr>
                <w:rFonts w:hint="eastAsia" w:ascii="宋体" w:hAnsi="宋体" w:cs="宋体"/>
                <w:kern w:val="0"/>
                <w:sz w:val="24"/>
                <w:highlight w:val="none"/>
              </w:rPr>
            </w:pPr>
            <w:r>
              <w:rPr>
                <w:rFonts w:hint="eastAsia" w:ascii="宋体" w:hAnsi="宋体" w:cs="宋体"/>
                <w:kern w:val="0"/>
                <w:sz w:val="24"/>
                <w:highlight w:val="none"/>
              </w:rPr>
              <w:t>全国中小学学籍管理系统（海南）</w:t>
            </w:r>
          </w:p>
        </w:tc>
        <w:tc>
          <w:tcPr>
            <w:tcW w:w="1567" w:type="dxa"/>
            <w:noWrap w:val="0"/>
            <w:vAlign w:val="center"/>
          </w:tcPr>
          <w:p w14:paraId="04AF81FE">
            <w:pPr>
              <w:jc w:val="center"/>
              <w:rPr>
                <w:rFonts w:hint="eastAsia" w:ascii="宋体" w:hAnsi="宋体" w:cs="宋体"/>
                <w:kern w:val="0"/>
                <w:sz w:val="24"/>
                <w:highlight w:val="none"/>
              </w:rPr>
            </w:pPr>
            <w:r>
              <w:rPr>
                <w:rFonts w:hint="eastAsia" w:ascii="宋体" w:hAnsi="宋体" w:cs="宋体"/>
                <w:kern w:val="0"/>
                <w:sz w:val="24"/>
                <w:highlight w:val="none"/>
              </w:rPr>
              <w:t>基教处</w:t>
            </w:r>
          </w:p>
        </w:tc>
        <w:tc>
          <w:tcPr>
            <w:tcW w:w="1610" w:type="dxa"/>
            <w:noWrap w:val="0"/>
            <w:vAlign w:val="center"/>
          </w:tcPr>
          <w:p w14:paraId="3DF67CA3">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4899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noWrap w:val="0"/>
            <w:vAlign w:val="center"/>
          </w:tcPr>
          <w:p w14:paraId="4F759C44">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4063" w:type="dxa"/>
            <w:noWrap w:val="0"/>
            <w:vAlign w:val="center"/>
          </w:tcPr>
          <w:p w14:paraId="2127779F">
            <w:pPr>
              <w:jc w:val="center"/>
              <w:rPr>
                <w:rFonts w:hint="eastAsia" w:ascii="宋体" w:hAnsi="宋体" w:cs="宋体"/>
                <w:kern w:val="0"/>
                <w:sz w:val="24"/>
                <w:highlight w:val="none"/>
              </w:rPr>
            </w:pPr>
            <w:r>
              <w:rPr>
                <w:rFonts w:hint="eastAsia" w:ascii="宋体" w:hAnsi="宋体" w:cs="宋体"/>
                <w:kern w:val="0"/>
                <w:sz w:val="24"/>
                <w:highlight w:val="none"/>
              </w:rPr>
              <w:t>全国教师管理信息系统（海南）</w:t>
            </w:r>
          </w:p>
        </w:tc>
        <w:tc>
          <w:tcPr>
            <w:tcW w:w="1567" w:type="dxa"/>
            <w:noWrap w:val="0"/>
            <w:vAlign w:val="center"/>
          </w:tcPr>
          <w:p w14:paraId="56A181EC">
            <w:pPr>
              <w:jc w:val="center"/>
              <w:rPr>
                <w:rFonts w:hint="eastAsia" w:ascii="宋体" w:hAnsi="宋体" w:cs="宋体"/>
                <w:kern w:val="0"/>
                <w:sz w:val="24"/>
                <w:highlight w:val="none"/>
              </w:rPr>
            </w:pPr>
            <w:r>
              <w:rPr>
                <w:rFonts w:hint="eastAsia" w:ascii="宋体" w:hAnsi="宋体" w:cs="宋体"/>
                <w:kern w:val="0"/>
                <w:sz w:val="24"/>
                <w:highlight w:val="none"/>
              </w:rPr>
              <w:t>教师处</w:t>
            </w:r>
          </w:p>
        </w:tc>
        <w:tc>
          <w:tcPr>
            <w:tcW w:w="1610" w:type="dxa"/>
            <w:noWrap w:val="0"/>
            <w:vAlign w:val="center"/>
          </w:tcPr>
          <w:p w14:paraId="7EBEBB91">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44F2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67F2A397">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4063" w:type="dxa"/>
            <w:noWrap w:val="0"/>
            <w:vAlign w:val="center"/>
          </w:tcPr>
          <w:p w14:paraId="699A8607">
            <w:pPr>
              <w:jc w:val="center"/>
              <w:rPr>
                <w:rFonts w:hint="eastAsia" w:ascii="宋体" w:hAnsi="宋体" w:cs="宋体"/>
                <w:kern w:val="0"/>
                <w:sz w:val="24"/>
                <w:highlight w:val="none"/>
              </w:rPr>
            </w:pPr>
            <w:r>
              <w:rPr>
                <w:rFonts w:hint="eastAsia" w:ascii="宋体" w:hAnsi="宋体" w:cs="宋体"/>
                <w:kern w:val="0"/>
                <w:sz w:val="24"/>
                <w:highlight w:val="none"/>
              </w:rPr>
              <w:t>应用服务支撑服务平台</w:t>
            </w:r>
          </w:p>
        </w:tc>
        <w:tc>
          <w:tcPr>
            <w:tcW w:w="1567" w:type="dxa"/>
            <w:noWrap w:val="0"/>
            <w:vAlign w:val="center"/>
          </w:tcPr>
          <w:p w14:paraId="7B0D0B62">
            <w:pPr>
              <w:jc w:val="center"/>
              <w:rPr>
                <w:rFonts w:hint="eastAsia" w:ascii="宋体" w:hAnsi="宋体" w:cs="宋体"/>
                <w:kern w:val="0"/>
                <w:sz w:val="24"/>
                <w:highlight w:val="none"/>
              </w:rPr>
            </w:pPr>
            <w:r>
              <w:rPr>
                <w:rFonts w:hint="eastAsia" w:ascii="宋体" w:hAnsi="宋体" w:cs="宋体"/>
                <w:kern w:val="0"/>
                <w:sz w:val="24"/>
                <w:highlight w:val="none"/>
              </w:rPr>
              <w:t>电教馆</w:t>
            </w:r>
          </w:p>
        </w:tc>
        <w:tc>
          <w:tcPr>
            <w:tcW w:w="1610" w:type="dxa"/>
            <w:noWrap w:val="0"/>
            <w:vAlign w:val="center"/>
          </w:tcPr>
          <w:p w14:paraId="0B00E594">
            <w:pPr>
              <w:ind w:left="10" w:hanging="9" w:hangingChars="4"/>
              <w:jc w:val="center"/>
              <w:rPr>
                <w:rFonts w:hint="eastAsia" w:ascii="宋体" w:hAnsi="宋体" w:cs="宋体"/>
                <w:sz w:val="24"/>
                <w:highlight w:val="none"/>
              </w:rPr>
            </w:pPr>
            <w:r>
              <w:rPr>
                <w:rFonts w:hint="eastAsia" w:ascii="宋体" w:hAnsi="宋体" w:cs="宋体"/>
                <w:sz w:val="24"/>
                <w:highlight w:val="none"/>
              </w:rPr>
              <w:t>三级</w:t>
            </w:r>
          </w:p>
        </w:tc>
      </w:tr>
      <w:tr w14:paraId="442D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1FFA65AC">
            <w:pPr>
              <w:widowControl/>
              <w:numPr>
                <w:ilvl w:val="0"/>
                <w:numId w:val="0"/>
              </w:numPr>
              <w:tabs>
                <w:tab w:val="left" w:pos="0"/>
              </w:tabs>
              <w:ind w:leftChars="0" w:right="29" w:rightChars="14"/>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4063" w:type="dxa"/>
            <w:noWrap w:val="0"/>
            <w:vAlign w:val="center"/>
          </w:tcPr>
          <w:p w14:paraId="3DC44E93">
            <w:pPr>
              <w:jc w:val="center"/>
              <w:rPr>
                <w:rFonts w:hint="eastAsia" w:ascii="宋体" w:hAnsi="宋体" w:cs="宋体"/>
                <w:kern w:val="0"/>
                <w:sz w:val="24"/>
                <w:highlight w:val="none"/>
              </w:rPr>
            </w:pPr>
            <w:r>
              <w:rPr>
                <w:rFonts w:hint="eastAsia" w:ascii="宋体" w:hAnsi="宋体" w:cs="宋体"/>
                <w:kern w:val="0"/>
                <w:sz w:val="24"/>
                <w:highlight w:val="none"/>
              </w:rPr>
              <w:t>海南省高考综合改革信息化平台</w:t>
            </w:r>
          </w:p>
        </w:tc>
        <w:tc>
          <w:tcPr>
            <w:tcW w:w="1567" w:type="dxa"/>
            <w:noWrap w:val="0"/>
            <w:vAlign w:val="center"/>
          </w:tcPr>
          <w:p w14:paraId="07C6A75D">
            <w:pPr>
              <w:jc w:val="center"/>
              <w:rPr>
                <w:rFonts w:hint="eastAsia" w:ascii="宋体" w:hAnsi="宋体" w:cs="宋体"/>
                <w:kern w:val="0"/>
                <w:sz w:val="24"/>
                <w:highlight w:val="none"/>
              </w:rPr>
            </w:pPr>
            <w:r>
              <w:rPr>
                <w:rFonts w:hint="eastAsia" w:ascii="宋体" w:hAnsi="宋体" w:cs="宋体"/>
                <w:kern w:val="0"/>
                <w:sz w:val="24"/>
                <w:highlight w:val="none"/>
              </w:rPr>
              <w:t>基教处</w:t>
            </w:r>
          </w:p>
        </w:tc>
        <w:tc>
          <w:tcPr>
            <w:tcW w:w="1610" w:type="dxa"/>
            <w:noWrap w:val="0"/>
            <w:vAlign w:val="center"/>
          </w:tcPr>
          <w:p w14:paraId="56EF9F0B">
            <w:pPr>
              <w:ind w:left="10" w:hanging="9" w:hangingChars="4"/>
              <w:jc w:val="center"/>
              <w:rPr>
                <w:rFonts w:hint="eastAsia" w:ascii="宋体" w:hAnsi="宋体" w:cs="宋体"/>
                <w:sz w:val="24"/>
                <w:highlight w:val="none"/>
              </w:rPr>
            </w:pPr>
            <w:r>
              <w:rPr>
                <w:rFonts w:hint="eastAsia" w:ascii="宋体" w:hAnsi="宋体" w:cs="宋体"/>
                <w:kern w:val="0"/>
                <w:sz w:val="24"/>
                <w:highlight w:val="none"/>
              </w:rPr>
              <w:t>三级</w:t>
            </w:r>
          </w:p>
        </w:tc>
      </w:tr>
      <w:tr w14:paraId="13F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333430B8">
            <w:pPr>
              <w:widowControl/>
              <w:numPr>
                <w:ilvl w:val="0"/>
                <w:numId w:val="0"/>
              </w:numPr>
              <w:tabs>
                <w:tab w:val="left" w:pos="0"/>
              </w:tabs>
              <w:ind w:leftChars="0" w:right="29" w:rightChars="14"/>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4063" w:type="dxa"/>
            <w:noWrap w:val="0"/>
            <w:vAlign w:val="center"/>
          </w:tcPr>
          <w:p w14:paraId="378CC695">
            <w:pPr>
              <w:jc w:val="center"/>
              <w:rPr>
                <w:rFonts w:hint="eastAsia" w:ascii="宋体" w:hAnsi="宋体" w:cs="宋体"/>
                <w:kern w:val="0"/>
                <w:sz w:val="24"/>
                <w:highlight w:val="none"/>
              </w:rPr>
            </w:pPr>
            <w:r>
              <w:rPr>
                <w:rFonts w:hint="eastAsia" w:ascii="宋体" w:hAnsi="宋体" w:cs="宋体"/>
                <w:kern w:val="0"/>
                <w:sz w:val="24"/>
                <w:highlight w:val="none"/>
              </w:rPr>
              <w:t>海南省教育政务整合共享项目</w:t>
            </w:r>
          </w:p>
        </w:tc>
        <w:tc>
          <w:tcPr>
            <w:tcW w:w="1567" w:type="dxa"/>
            <w:noWrap w:val="0"/>
            <w:vAlign w:val="center"/>
          </w:tcPr>
          <w:p w14:paraId="78214862">
            <w:pPr>
              <w:jc w:val="center"/>
              <w:rPr>
                <w:rFonts w:hint="eastAsia" w:ascii="宋体" w:hAnsi="宋体" w:cs="宋体"/>
                <w:kern w:val="0"/>
                <w:sz w:val="24"/>
                <w:highlight w:val="none"/>
              </w:rPr>
            </w:pPr>
            <w:r>
              <w:rPr>
                <w:rFonts w:hint="eastAsia" w:ascii="宋体" w:hAnsi="宋体" w:cs="宋体"/>
                <w:kern w:val="0"/>
                <w:sz w:val="24"/>
                <w:highlight w:val="none"/>
              </w:rPr>
              <w:t>电教馆</w:t>
            </w:r>
          </w:p>
        </w:tc>
        <w:tc>
          <w:tcPr>
            <w:tcW w:w="1610" w:type="dxa"/>
            <w:noWrap w:val="0"/>
            <w:vAlign w:val="center"/>
          </w:tcPr>
          <w:p w14:paraId="286488D0">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rPr>
              <w:t>三级</w:t>
            </w:r>
          </w:p>
        </w:tc>
      </w:tr>
      <w:tr w14:paraId="55D6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84" w:type="dxa"/>
            <w:noWrap w:val="0"/>
            <w:vAlign w:val="center"/>
          </w:tcPr>
          <w:p w14:paraId="3CAAB9C7">
            <w:pPr>
              <w:widowControl/>
              <w:numPr>
                <w:ilvl w:val="0"/>
                <w:numId w:val="0"/>
              </w:numPr>
              <w:tabs>
                <w:tab w:val="left" w:pos="0"/>
              </w:tabs>
              <w:ind w:leftChars="0" w:right="29" w:rightChars="14"/>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4063" w:type="dxa"/>
            <w:noWrap w:val="0"/>
            <w:vAlign w:val="center"/>
          </w:tcPr>
          <w:p w14:paraId="64FB6EF0">
            <w:pPr>
              <w:jc w:val="center"/>
              <w:rPr>
                <w:rFonts w:hint="eastAsia" w:ascii="宋体" w:hAnsi="宋体" w:eastAsia="宋体" w:cs="宋体"/>
                <w:kern w:val="0"/>
                <w:sz w:val="24"/>
                <w:highlight w:val="none"/>
                <w:lang w:eastAsia="zh-CN"/>
              </w:rPr>
            </w:pPr>
            <w:r>
              <w:rPr>
                <w:rFonts w:hint="eastAsia" w:ascii="宋体" w:hAnsi="宋体" w:cs="宋体"/>
                <w:kern w:val="0"/>
                <w:sz w:val="24"/>
                <w:highlight w:val="none"/>
              </w:rPr>
              <w:t>海南省中小学校网站集群</w:t>
            </w:r>
            <w:r>
              <w:rPr>
                <w:rFonts w:hint="eastAsia" w:ascii="宋体" w:hAnsi="宋体" w:cs="宋体"/>
                <w:kern w:val="0"/>
                <w:sz w:val="24"/>
                <w:highlight w:val="none"/>
                <w:lang w:eastAsia="zh-CN"/>
              </w:rPr>
              <w:t>系统</w:t>
            </w:r>
          </w:p>
        </w:tc>
        <w:tc>
          <w:tcPr>
            <w:tcW w:w="1567" w:type="dxa"/>
            <w:noWrap w:val="0"/>
            <w:vAlign w:val="center"/>
          </w:tcPr>
          <w:p w14:paraId="34F78AF6">
            <w:pPr>
              <w:jc w:val="center"/>
              <w:rPr>
                <w:rFonts w:hint="eastAsia" w:ascii="宋体" w:hAnsi="宋体" w:cs="宋体"/>
                <w:kern w:val="0"/>
                <w:sz w:val="24"/>
                <w:highlight w:val="none"/>
              </w:rPr>
            </w:pPr>
            <w:r>
              <w:rPr>
                <w:rFonts w:hint="eastAsia" w:ascii="宋体" w:hAnsi="宋体" w:cs="宋体"/>
                <w:kern w:val="0"/>
                <w:sz w:val="24"/>
                <w:highlight w:val="none"/>
              </w:rPr>
              <w:t>电教馆</w:t>
            </w:r>
          </w:p>
        </w:tc>
        <w:tc>
          <w:tcPr>
            <w:tcW w:w="1610" w:type="dxa"/>
            <w:noWrap w:val="0"/>
            <w:vAlign w:val="center"/>
          </w:tcPr>
          <w:p w14:paraId="7F20BF45">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rPr>
              <w:t>三级</w:t>
            </w:r>
          </w:p>
        </w:tc>
      </w:tr>
      <w:tr w14:paraId="09ED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5CD61609">
            <w:pPr>
              <w:widowControl/>
              <w:numPr>
                <w:ilvl w:val="0"/>
                <w:numId w:val="0"/>
              </w:numPr>
              <w:tabs>
                <w:tab w:val="left" w:pos="0"/>
              </w:tabs>
              <w:ind w:leftChars="0" w:right="29" w:rightChars="14"/>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4063" w:type="dxa"/>
            <w:noWrap w:val="0"/>
            <w:vAlign w:val="center"/>
          </w:tcPr>
          <w:p w14:paraId="7991597D">
            <w:pPr>
              <w:jc w:val="center"/>
              <w:rPr>
                <w:rFonts w:ascii="宋体" w:hAnsi="宋体" w:cs="宋体"/>
                <w:kern w:val="0"/>
                <w:sz w:val="24"/>
                <w:highlight w:val="none"/>
              </w:rPr>
            </w:pPr>
            <w:r>
              <w:rPr>
                <w:rFonts w:hint="eastAsia" w:ascii="宋体" w:hAnsi="宋体" w:cs="宋体"/>
                <w:kern w:val="0"/>
                <w:sz w:val="24"/>
                <w:highlight w:val="none"/>
                <w:lang w:eastAsia="zh-CN"/>
              </w:rPr>
              <w:t>海南省</w:t>
            </w:r>
            <w:r>
              <w:rPr>
                <w:rFonts w:hint="eastAsia" w:ascii="宋体" w:hAnsi="宋体" w:cs="宋体"/>
                <w:kern w:val="0"/>
                <w:sz w:val="24"/>
                <w:highlight w:val="none"/>
              </w:rPr>
              <w:t>终身学习网</w:t>
            </w:r>
          </w:p>
        </w:tc>
        <w:tc>
          <w:tcPr>
            <w:tcW w:w="1567" w:type="dxa"/>
            <w:noWrap w:val="0"/>
            <w:vAlign w:val="center"/>
          </w:tcPr>
          <w:p w14:paraId="7C0ECEFE">
            <w:pPr>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职成处</w:t>
            </w:r>
          </w:p>
        </w:tc>
        <w:tc>
          <w:tcPr>
            <w:tcW w:w="1610" w:type="dxa"/>
            <w:noWrap w:val="0"/>
            <w:vAlign w:val="center"/>
          </w:tcPr>
          <w:p w14:paraId="645A13B6">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rPr>
              <w:t>三级</w:t>
            </w:r>
          </w:p>
        </w:tc>
      </w:tr>
      <w:tr w14:paraId="4FE3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5EC7FBC1">
            <w:pPr>
              <w:widowControl/>
              <w:numPr>
                <w:ilvl w:val="0"/>
                <w:numId w:val="0"/>
              </w:numPr>
              <w:tabs>
                <w:tab w:val="left" w:pos="0"/>
              </w:tabs>
              <w:ind w:leftChars="0" w:right="29" w:rightChars="14"/>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4063" w:type="dxa"/>
            <w:noWrap w:val="0"/>
            <w:vAlign w:val="center"/>
          </w:tcPr>
          <w:p w14:paraId="34C81AEF">
            <w:pPr>
              <w:jc w:val="center"/>
              <w:rPr>
                <w:rFonts w:ascii="宋体" w:hAnsi="宋体" w:cs="宋体"/>
                <w:kern w:val="0"/>
                <w:sz w:val="24"/>
                <w:highlight w:val="none"/>
              </w:rPr>
            </w:pPr>
            <w:r>
              <w:rPr>
                <w:rFonts w:hint="eastAsia" w:ascii="宋体" w:hAnsi="宋体" w:cs="宋体"/>
                <w:kern w:val="0"/>
                <w:sz w:val="24"/>
                <w:highlight w:val="none"/>
              </w:rPr>
              <w:t>教育督导管理系统</w:t>
            </w:r>
          </w:p>
        </w:tc>
        <w:tc>
          <w:tcPr>
            <w:tcW w:w="1567" w:type="dxa"/>
            <w:noWrap w:val="0"/>
            <w:vAlign w:val="center"/>
          </w:tcPr>
          <w:p w14:paraId="0BA27B3D">
            <w:pPr>
              <w:jc w:val="center"/>
              <w:rPr>
                <w:rFonts w:hint="eastAsia" w:ascii="宋体" w:hAnsi="宋体" w:cs="宋体"/>
                <w:kern w:val="0"/>
                <w:sz w:val="24"/>
                <w:highlight w:val="none"/>
              </w:rPr>
            </w:pPr>
            <w:r>
              <w:rPr>
                <w:rFonts w:hint="eastAsia" w:ascii="宋体" w:hAnsi="宋体" w:cs="宋体"/>
                <w:kern w:val="0"/>
                <w:sz w:val="24"/>
                <w:highlight w:val="none"/>
              </w:rPr>
              <w:t>教育督导局</w:t>
            </w:r>
          </w:p>
        </w:tc>
        <w:tc>
          <w:tcPr>
            <w:tcW w:w="1610" w:type="dxa"/>
            <w:noWrap w:val="0"/>
            <w:vAlign w:val="center"/>
          </w:tcPr>
          <w:p w14:paraId="2E750897">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rPr>
              <w:t>三级</w:t>
            </w:r>
          </w:p>
        </w:tc>
      </w:tr>
      <w:tr w14:paraId="4CE3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2A859F2D">
            <w:pPr>
              <w:widowControl/>
              <w:numPr>
                <w:ilvl w:val="0"/>
                <w:numId w:val="0"/>
              </w:numPr>
              <w:tabs>
                <w:tab w:val="left" w:pos="0"/>
              </w:tabs>
              <w:ind w:leftChars="0" w:right="29" w:rightChars="14"/>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4063" w:type="dxa"/>
            <w:noWrap w:val="0"/>
            <w:vAlign w:val="center"/>
          </w:tcPr>
          <w:p w14:paraId="25683E15">
            <w:pPr>
              <w:jc w:val="center"/>
              <w:rPr>
                <w:rFonts w:ascii="宋体" w:hAnsi="宋体" w:cs="宋体"/>
                <w:kern w:val="0"/>
                <w:sz w:val="24"/>
                <w:highlight w:val="none"/>
              </w:rPr>
            </w:pPr>
            <w:r>
              <w:rPr>
                <w:rFonts w:hint="eastAsia" w:ascii="宋体" w:hAnsi="宋体" w:cs="宋体"/>
                <w:kern w:val="0"/>
                <w:sz w:val="24"/>
                <w:highlight w:val="none"/>
              </w:rPr>
              <w:t>学生事务综合服务系统</w:t>
            </w:r>
          </w:p>
        </w:tc>
        <w:tc>
          <w:tcPr>
            <w:tcW w:w="1567" w:type="dxa"/>
            <w:noWrap w:val="0"/>
            <w:vAlign w:val="center"/>
          </w:tcPr>
          <w:p w14:paraId="0FB51480">
            <w:pPr>
              <w:jc w:val="center"/>
              <w:rPr>
                <w:rFonts w:hint="eastAsia" w:ascii="宋体" w:hAnsi="宋体" w:cs="宋体"/>
                <w:kern w:val="0"/>
                <w:sz w:val="24"/>
                <w:highlight w:val="none"/>
              </w:rPr>
            </w:pPr>
            <w:r>
              <w:rPr>
                <w:rFonts w:hint="eastAsia" w:ascii="宋体" w:hAnsi="宋体" w:cs="宋体"/>
                <w:kern w:val="0"/>
                <w:sz w:val="24"/>
                <w:highlight w:val="none"/>
              </w:rPr>
              <w:t>资助办</w:t>
            </w:r>
          </w:p>
        </w:tc>
        <w:tc>
          <w:tcPr>
            <w:tcW w:w="1610" w:type="dxa"/>
            <w:noWrap w:val="0"/>
            <w:vAlign w:val="center"/>
          </w:tcPr>
          <w:p w14:paraId="6D972223">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rPr>
              <w:t>三级</w:t>
            </w:r>
          </w:p>
        </w:tc>
      </w:tr>
      <w:tr w14:paraId="76C3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5DAF8D3E">
            <w:pPr>
              <w:widowControl/>
              <w:numPr>
                <w:ilvl w:val="0"/>
                <w:numId w:val="0"/>
              </w:numPr>
              <w:tabs>
                <w:tab w:val="left" w:pos="0"/>
              </w:tabs>
              <w:ind w:leftChars="0" w:right="29" w:rightChars="14"/>
              <w:jc w:val="center"/>
              <w:rPr>
                <w:rFonts w:hint="default" w:ascii="宋体" w:hAnsi="宋体" w:cs="宋体"/>
                <w:sz w:val="24"/>
                <w:highlight w:val="none"/>
                <w:lang w:val="en-US" w:eastAsia="zh-CN"/>
              </w:rPr>
            </w:pPr>
            <w:r>
              <w:rPr>
                <w:rFonts w:hint="eastAsia" w:cs="宋体"/>
                <w:sz w:val="24"/>
                <w:highlight w:val="none"/>
                <w:lang w:val="en-US" w:eastAsia="zh-CN"/>
              </w:rPr>
              <w:t>15</w:t>
            </w:r>
          </w:p>
        </w:tc>
        <w:tc>
          <w:tcPr>
            <w:tcW w:w="4063" w:type="dxa"/>
            <w:noWrap w:val="0"/>
            <w:vAlign w:val="center"/>
          </w:tcPr>
          <w:p w14:paraId="7C0F1A43">
            <w:pPr>
              <w:jc w:val="center"/>
              <w:rPr>
                <w:rFonts w:hint="eastAsia" w:ascii="宋体" w:hAnsi="宋体" w:cs="宋体"/>
                <w:kern w:val="0"/>
                <w:sz w:val="24"/>
                <w:highlight w:val="none"/>
              </w:rPr>
            </w:pPr>
            <w:r>
              <w:rPr>
                <w:rFonts w:hint="eastAsia" w:ascii="宋体" w:hAnsi="宋体" w:eastAsia="宋体" w:cs="宋体"/>
                <w:kern w:val="0"/>
                <w:sz w:val="24"/>
                <w:highlight w:val="none"/>
                <w:lang w:val="en-GB"/>
              </w:rPr>
              <w:t>海南省乡村振兴教育资助管理系统</w:t>
            </w:r>
          </w:p>
        </w:tc>
        <w:tc>
          <w:tcPr>
            <w:tcW w:w="1567" w:type="dxa"/>
            <w:noWrap w:val="0"/>
            <w:vAlign w:val="center"/>
          </w:tcPr>
          <w:p w14:paraId="1F228DC4">
            <w:pPr>
              <w:jc w:val="center"/>
              <w:rPr>
                <w:rFonts w:hint="eastAsia" w:ascii="宋体" w:hAnsi="宋体" w:eastAsia="宋体" w:cs="宋体"/>
                <w:kern w:val="0"/>
                <w:sz w:val="24"/>
                <w:highlight w:val="none"/>
                <w:lang w:val="en-GB"/>
              </w:rPr>
            </w:pPr>
            <w:r>
              <w:rPr>
                <w:rFonts w:hint="eastAsia" w:ascii="宋体" w:hAnsi="宋体" w:eastAsia="宋体" w:cs="宋体"/>
                <w:kern w:val="0"/>
                <w:sz w:val="24"/>
                <w:highlight w:val="none"/>
                <w:lang w:val="en-GB"/>
              </w:rPr>
              <w:t>资助办</w:t>
            </w:r>
          </w:p>
        </w:tc>
        <w:tc>
          <w:tcPr>
            <w:tcW w:w="1610" w:type="dxa"/>
            <w:noWrap w:val="0"/>
            <w:vAlign w:val="center"/>
          </w:tcPr>
          <w:p w14:paraId="1C8ED8F2">
            <w:pPr>
              <w:ind w:left="10" w:hanging="9" w:hangingChars="4"/>
              <w:jc w:val="center"/>
              <w:rPr>
                <w:rFonts w:hint="eastAsia" w:ascii="宋体" w:hAnsi="宋体" w:cs="宋体"/>
                <w:kern w:val="0"/>
                <w:sz w:val="24"/>
                <w:highlight w:val="none"/>
              </w:rPr>
            </w:pPr>
            <w:r>
              <w:rPr>
                <w:rFonts w:hint="eastAsia" w:ascii="宋体" w:hAnsi="宋体" w:cs="宋体"/>
                <w:kern w:val="0"/>
                <w:sz w:val="24"/>
                <w:highlight w:val="none"/>
                <w:lang w:val="en-US" w:eastAsia="zh-CN"/>
              </w:rPr>
              <w:t>二</w:t>
            </w:r>
            <w:r>
              <w:rPr>
                <w:rFonts w:hint="eastAsia" w:ascii="宋体" w:hAnsi="宋体" w:cs="宋体"/>
                <w:kern w:val="0"/>
                <w:sz w:val="24"/>
                <w:highlight w:val="none"/>
              </w:rPr>
              <w:t>级</w:t>
            </w:r>
          </w:p>
        </w:tc>
      </w:tr>
      <w:tr w14:paraId="5B8D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14:paraId="13308152">
            <w:pPr>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16</w:t>
            </w:r>
          </w:p>
        </w:tc>
        <w:tc>
          <w:tcPr>
            <w:tcW w:w="4063" w:type="dxa"/>
            <w:noWrap w:val="0"/>
            <w:vAlign w:val="center"/>
          </w:tcPr>
          <w:p w14:paraId="0227969C">
            <w:pPr>
              <w:jc w:val="center"/>
              <w:rPr>
                <w:rFonts w:hint="eastAsia" w:ascii="宋体" w:hAnsi="宋体" w:eastAsia="宋体" w:cs="宋体"/>
                <w:kern w:val="0"/>
                <w:sz w:val="24"/>
                <w:highlight w:val="none"/>
              </w:rPr>
            </w:pPr>
            <w:r>
              <w:rPr>
                <w:rFonts w:hint="default" w:ascii="宋体" w:hAnsi="宋体" w:eastAsia="宋体" w:cs="宋体"/>
                <w:kern w:val="0"/>
                <w:sz w:val="24"/>
                <w:highlight w:val="none"/>
                <w:lang w:val="en-US" w:eastAsia="zh-CN"/>
              </w:rPr>
              <w:t>海南省中小学5G同步课堂平台</w:t>
            </w:r>
          </w:p>
        </w:tc>
        <w:tc>
          <w:tcPr>
            <w:tcW w:w="1567" w:type="dxa"/>
            <w:noWrap w:val="0"/>
            <w:vAlign w:val="center"/>
          </w:tcPr>
          <w:p w14:paraId="7EFCDF6C">
            <w:pPr>
              <w:jc w:val="center"/>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电教馆</w:t>
            </w:r>
          </w:p>
        </w:tc>
        <w:tc>
          <w:tcPr>
            <w:tcW w:w="1610" w:type="dxa"/>
            <w:noWrap w:val="0"/>
            <w:vAlign w:val="center"/>
          </w:tcPr>
          <w:p w14:paraId="25798903">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二级</w:t>
            </w:r>
          </w:p>
        </w:tc>
      </w:tr>
      <w:bookmarkEnd w:id="59"/>
    </w:tbl>
    <w:p w14:paraId="2179882C">
      <w:pPr>
        <w:adjustRightInd w:val="0"/>
        <w:snapToGrid w:val="0"/>
        <w:spacing w:line="300" w:lineRule="auto"/>
        <w:ind w:firstLine="588" w:firstLineChars="245"/>
        <w:rPr>
          <w:rFonts w:hint="eastAsia" w:ascii="宋体" w:hAnsi="Times New Roman" w:eastAsia="宋体" w:cs="Times New Roman"/>
          <w:kern w:val="0"/>
          <w:sz w:val="24"/>
        </w:rPr>
      </w:pPr>
    </w:p>
    <w:p w14:paraId="4113095B">
      <w:pPr>
        <w:adjustRightInd w:val="0"/>
        <w:snapToGrid w:val="0"/>
        <w:spacing w:line="300" w:lineRule="auto"/>
        <w:ind w:firstLine="588" w:firstLineChars="245"/>
        <w:rPr>
          <w:rFonts w:hint="eastAsia" w:ascii="宋体" w:hAnsi="Times New Roman" w:eastAsia="宋体" w:cs="Times New Roman"/>
          <w:b/>
          <w:bCs/>
          <w:kern w:val="0"/>
          <w:sz w:val="24"/>
        </w:rPr>
      </w:pPr>
      <w:r>
        <w:rPr>
          <w:rFonts w:hint="eastAsia" w:ascii="宋体" w:hAnsi="Times New Roman" w:eastAsia="宋体" w:cs="Times New Roman"/>
          <w:b/>
          <w:bCs/>
          <w:kern w:val="0"/>
          <w:sz w:val="24"/>
        </w:rPr>
        <w:t>3.网络安全保护等级服务要求</w:t>
      </w:r>
    </w:p>
    <w:p w14:paraId="47D14D3E">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网络等级保护测评过程需按照《信息安全技术网络安全等级保护测评过程指南》开展工作，等级测评过程分为四个基本测评活动：测评准备活动、方案编制活动、现场测评活动、分析及报告编制活动。测评双方之间的沟通与洽谈应贯穿整个等级测评过程。</w:t>
      </w:r>
    </w:p>
    <w:p w14:paraId="0CFEFA4F">
      <w:pPr>
        <w:adjustRightInd w:val="0"/>
        <w:snapToGrid w:val="0"/>
        <w:spacing w:line="300" w:lineRule="auto"/>
        <w:ind w:firstLine="588" w:firstLineChars="245"/>
        <w:rPr>
          <w:rFonts w:hint="eastAsia" w:ascii="宋体" w:hAnsi="Times New Roman" w:eastAsia="宋体" w:cs="Times New Roman"/>
          <w:kern w:val="0"/>
          <w:sz w:val="24"/>
        </w:rPr>
      </w:pPr>
      <w:bookmarkStart w:id="60" w:name="_Toc316920801"/>
      <w:r>
        <w:rPr>
          <w:rFonts w:hint="eastAsia" w:ascii="宋体" w:hAnsi="Times New Roman" w:eastAsia="宋体" w:cs="Times New Roman"/>
          <w:kern w:val="0"/>
          <w:sz w:val="24"/>
        </w:rPr>
        <w:t>3.1 测评准备</w:t>
      </w:r>
      <w:bookmarkEnd w:id="60"/>
      <w:r>
        <w:rPr>
          <w:rFonts w:hint="eastAsia" w:ascii="宋体" w:hAnsi="Times New Roman" w:eastAsia="宋体" w:cs="Times New Roman"/>
          <w:kern w:val="0"/>
          <w:sz w:val="24"/>
        </w:rPr>
        <w:t>活动</w:t>
      </w:r>
    </w:p>
    <w:p w14:paraId="57094508">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测评准备工作包括编制项目启动、信息收集和分析、工具和表单准备。详细要求见下表：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671"/>
        <w:gridCol w:w="3048"/>
      </w:tblGrid>
      <w:tr w14:paraId="5863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809" w:type="dxa"/>
            <w:shd w:val="clear" w:color="auto" w:fill="D9D9D9"/>
            <w:noWrap w:val="0"/>
            <w:vAlign w:val="top"/>
          </w:tcPr>
          <w:p w14:paraId="47E4CB9A">
            <w:pPr>
              <w:jc w:val="center"/>
              <w:rPr>
                <w:rFonts w:hint="eastAsia" w:ascii="宋体" w:hAnsi="宋体" w:cs="宋体"/>
                <w:b/>
                <w:color w:val="000000"/>
              </w:rPr>
            </w:pPr>
            <w:bookmarkStart w:id="61" w:name="_Toc316920802"/>
            <w:r>
              <w:rPr>
                <w:rFonts w:hint="eastAsia" w:ascii="宋体" w:hAnsi="宋体" w:cs="宋体"/>
                <w:b/>
                <w:color w:val="000000"/>
              </w:rPr>
              <w:t>项目内容</w:t>
            </w:r>
          </w:p>
        </w:tc>
        <w:tc>
          <w:tcPr>
            <w:tcW w:w="3671" w:type="dxa"/>
            <w:shd w:val="clear" w:color="auto" w:fill="D9D9D9"/>
            <w:noWrap w:val="0"/>
            <w:vAlign w:val="top"/>
          </w:tcPr>
          <w:p w14:paraId="7DB9EDDF">
            <w:pPr>
              <w:jc w:val="center"/>
              <w:rPr>
                <w:rFonts w:hint="eastAsia" w:ascii="宋体" w:hAnsi="宋体" w:cs="宋体"/>
                <w:b/>
                <w:color w:val="000000"/>
              </w:rPr>
            </w:pPr>
            <w:r>
              <w:rPr>
                <w:rFonts w:hint="eastAsia" w:ascii="宋体" w:hAnsi="宋体" w:cs="宋体"/>
                <w:b/>
                <w:color w:val="000000"/>
              </w:rPr>
              <w:t>工作内容</w:t>
            </w:r>
          </w:p>
        </w:tc>
        <w:tc>
          <w:tcPr>
            <w:tcW w:w="3048" w:type="dxa"/>
            <w:shd w:val="clear" w:color="auto" w:fill="D9D9D9"/>
            <w:noWrap w:val="0"/>
            <w:vAlign w:val="top"/>
          </w:tcPr>
          <w:p w14:paraId="5FE9DB7E">
            <w:pPr>
              <w:jc w:val="center"/>
              <w:rPr>
                <w:rFonts w:hint="eastAsia" w:ascii="宋体" w:hAnsi="宋体" w:cs="宋体"/>
                <w:b/>
                <w:color w:val="000000"/>
              </w:rPr>
            </w:pPr>
            <w:r>
              <w:rPr>
                <w:rFonts w:hint="eastAsia" w:ascii="宋体" w:hAnsi="宋体" w:cs="宋体"/>
                <w:b/>
                <w:color w:val="000000"/>
              </w:rPr>
              <w:t>成果输出</w:t>
            </w:r>
          </w:p>
        </w:tc>
      </w:tr>
      <w:tr w14:paraId="0DCA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2C7C98D5">
            <w:pPr>
              <w:rPr>
                <w:rFonts w:hint="eastAsia" w:ascii="宋体" w:hAnsi="宋体" w:cs="宋体"/>
                <w:color w:val="000000"/>
              </w:rPr>
            </w:pPr>
            <w:r>
              <w:rPr>
                <w:rFonts w:hint="eastAsia" w:ascii="宋体" w:hAnsi="宋体" w:cs="宋体"/>
                <w:color w:val="000000"/>
              </w:rPr>
              <w:t>项目启动</w:t>
            </w:r>
          </w:p>
        </w:tc>
        <w:tc>
          <w:tcPr>
            <w:tcW w:w="3671" w:type="dxa"/>
            <w:noWrap w:val="0"/>
            <w:vAlign w:val="center"/>
          </w:tcPr>
          <w:p w14:paraId="17748973">
            <w:pPr>
              <w:rPr>
                <w:rFonts w:hint="eastAsia" w:ascii="宋体" w:hAnsi="宋体" w:cs="宋体"/>
                <w:color w:val="000000"/>
              </w:rPr>
            </w:pPr>
            <w:r>
              <w:rPr>
                <w:rFonts w:hint="eastAsia" w:ascii="宋体" w:hAnsi="宋体" w:cs="宋体"/>
                <w:color w:val="000000"/>
              </w:rPr>
              <w:t>1.组建测评项目组</w:t>
            </w:r>
          </w:p>
        </w:tc>
        <w:tc>
          <w:tcPr>
            <w:tcW w:w="3048" w:type="dxa"/>
            <w:vMerge w:val="restart"/>
            <w:noWrap w:val="0"/>
            <w:vAlign w:val="center"/>
          </w:tcPr>
          <w:p w14:paraId="5062131A">
            <w:pPr>
              <w:rPr>
                <w:rFonts w:hint="eastAsia" w:ascii="宋体" w:hAnsi="宋体" w:cs="宋体"/>
                <w:color w:val="000000"/>
              </w:rPr>
            </w:pPr>
            <w:r>
              <w:rPr>
                <w:rFonts w:hint="eastAsia" w:ascii="宋体" w:hAnsi="宋体" w:cs="宋体"/>
                <w:color w:val="000000"/>
              </w:rPr>
              <w:t>向招标人提交 《项目计划书》 《提供资料清单》</w:t>
            </w:r>
          </w:p>
        </w:tc>
      </w:tr>
      <w:tr w14:paraId="714F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1D2EC2B7">
            <w:pPr>
              <w:rPr>
                <w:rFonts w:hint="eastAsia" w:ascii="宋体" w:hAnsi="宋体" w:cs="宋体"/>
                <w:color w:val="000000"/>
              </w:rPr>
            </w:pPr>
          </w:p>
        </w:tc>
        <w:tc>
          <w:tcPr>
            <w:tcW w:w="3671" w:type="dxa"/>
            <w:noWrap w:val="0"/>
            <w:vAlign w:val="center"/>
          </w:tcPr>
          <w:p w14:paraId="4835AC8E">
            <w:pPr>
              <w:rPr>
                <w:rFonts w:hint="eastAsia" w:ascii="宋体" w:hAnsi="宋体" w:cs="宋体"/>
                <w:color w:val="000000"/>
              </w:rPr>
            </w:pPr>
            <w:r>
              <w:rPr>
                <w:rFonts w:hint="eastAsia" w:ascii="宋体" w:hAnsi="宋体" w:cs="宋体"/>
                <w:color w:val="000000"/>
              </w:rPr>
              <w:t>2.编制《项目计划书》</w:t>
            </w:r>
          </w:p>
        </w:tc>
        <w:tc>
          <w:tcPr>
            <w:tcW w:w="3048" w:type="dxa"/>
            <w:vMerge w:val="continue"/>
            <w:noWrap w:val="0"/>
            <w:vAlign w:val="center"/>
          </w:tcPr>
          <w:p w14:paraId="2A6EA8E6">
            <w:pPr>
              <w:rPr>
                <w:rFonts w:hint="eastAsia" w:ascii="宋体" w:hAnsi="宋体" w:cs="宋体"/>
                <w:color w:val="000000"/>
              </w:rPr>
            </w:pPr>
          </w:p>
        </w:tc>
      </w:tr>
      <w:tr w14:paraId="5FEF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6205C094">
            <w:pPr>
              <w:rPr>
                <w:rFonts w:hint="eastAsia" w:ascii="宋体" w:hAnsi="宋体" w:cs="宋体"/>
                <w:color w:val="000000"/>
              </w:rPr>
            </w:pPr>
          </w:p>
        </w:tc>
        <w:tc>
          <w:tcPr>
            <w:tcW w:w="3671" w:type="dxa"/>
            <w:noWrap w:val="0"/>
            <w:vAlign w:val="center"/>
          </w:tcPr>
          <w:p w14:paraId="1F6659E7">
            <w:pPr>
              <w:rPr>
                <w:rFonts w:hint="eastAsia" w:ascii="宋体" w:hAnsi="宋体" w:cs="宋体"/>
                <w:color w:val="000000"/>
              </w:rPr>
            </w:pPr>
            <w:r>
              <w:rPr>
                <w:rFonts w:hint="eastAsia" w:ascii="宋体" w:hAnsi="宋体" w:cs="宋体"/>
                <w:color w:val="000000"/>
              </w:rPr>
              <w:t>3.确定测评委托单位应提供的资料</w:t>
            </w:r>
          </w:p>
        </w:tc>
        <w:tc>
          <w:tcPr>
            <w:tcW w:w="3048" w:type="dxa"/>
            <w:vMerge w:val="continue"/>
            <w:noWrap w:val="0"/>
            <w:vAlign w:val="center"/>
          </w:tcPr>
          <w:p w14:paraId="4BFF12C6">
            <w:pPr>
              <w:rPr>
                <w:rFonts w:hint="eastAsia" w:ascii="宋体" w:hAnsi="宋体" w:cs="宋体"/>
                <w:color w:val="000000"/>
              </w:rPr>
            </w:pPr>
          </w:p>
        </w:tc>
      </w:tr>
      <w:tr w14:paraId="44E5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1809" w:type="dxa"/>
            <w:vMerge w:val="restart"/>
            <w:noWrap w:val="0"/>
            <w:vAlign w:val="center"/>
          </w:tcPr>
          <w:p w14:paraId="668ACABE">
            <w:pPr>
              <w:rPr>
                <w:rFonts w:hint="eastAsia" w:ascii="宋体" w:hAnsi="宋体" w:cs="宋体"/>
                <w:color w:val="000000"/>
              </w:rPr>
            </w:pPr>
            <w:r>
              <w:rPr>
                <w:rFonts w:hint="eastAsia" w:ascii="宋体" w:hAnsi="宋体" w:cs="宋体"/>
                <w:color w:val="000000"/>
              </w:rPr>
              <w:t>信息收集分析</w:t>
            </w:r>
          </w:p>
        </w:tc>
        <w:tc>
          <w:tcPr>
            <w:tcW w:w="3671" w:type="dxa"/>
            <w:noWrap w:val="0"/>
            <w:vAlign w:val="center"/>
          </w:tcPr>
          <w:p w14:paraId="2CBD5AE7">
            <w:pPr>
              <w:rPr>
                <w:rFonts w:hint="eastAsia" w:ascii="宋体" w:hAnsi="宋体" w:cs="宋体"/>
                <w:color w:val="000000"/>
              </w:rPr>
            </w:pPr>
            <w:r>
              <w:rPr>
                <w:rFonts w:hint="eastAsia" w:ascii="宋体" w:hAnsi="宋体" w:cs="宋体"/>
                <w:color w:val="000000"/>
              </w:rPr>
              <w:t>定级报告及整改方案分析</w:t>
            </w:r>
          </w:p>
        </w:tc>
        <w:tc>
          <w:tcPr>
            <w:tcW w:w="3048" w:type="dxa"/>
            <w:vMerge w:val="restart"/>
            <w:noWrap w:val="0"/>
            <w:vAlign w:val="center"/>
          </w:tcPr>
          <w:p w14:paraId="0743B29A">
            <w:pPr>
              <w:rPr>
                <w:rFonts w:hint="eastAsia" w:ascii="宋体" w:hAnsi="宋体" w:cs="宋体"/>
                <w:color w:val="000000"/>
              </w:rPr>
            </w:pPr>
            <w:r>
              <w:rPr>
                <w:rFonts w:hint="eastAsia" w:ascii="宋体" w:hAnsi="宋体" w:cs="宋体"/>
                <w:color w:val="000000"/>
              </w:rPr>
              <w:t>《系统基本情况分析报告》</w:t>
            </w:r>
          </w:p>
        </w:tc>
      </w:tr>
      <w:tr w14:paraId="0CF5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809" w:type="dxa"/>
            <w:vMerge w:val="continue"/>
            <w:noWrap w:val="0"/>
            <w:vAlign w:val="center"/>
          </w:tcPr>
          <w:p w14:paraId="782AB783">
            <w:pPr>
              <w:rPr>
                <w:rFonts w:hint="eastAsia" w:ascii="宋体" w:hAnsi="宋体" w:cs="宋体"/>
                <w:color w:val="000000"/>
              </w:rPr>
            </w:pPr>
          </w:p>
        </w:tc>
        <w:tc>
          <w:tcPr>
            <w:tcW w:w="3671" w:type="dxa"/>
            <w:noWrap w:val="0"/>
            <w:vAlign w:val="center"/>
          </w:tcPr>
          <w:p w14:paraId="15A4A763">
            <w:pPr>
              <w:rPr>
                <w:rFonts w:hint="eastAsia" w:ascii="宋体" w:hAnsi="宋体" w:cs="宋体"/>
                <w:color w:val="000000"/>
              </w:rPr>
            </w:pPr>
            <w:r>
              <w:rPr>
                <w:rFonts w:hint="eastAsia" w:ascii="宋体" w:hAnsi="宋体" w:cs="宋体"/>
                <w:color w:val="000000"/>
              </w:rPr>
              <w:t>1.整理调查表单</w:t>
            </w:r>
          </w:p>
        </w:tc>
        <w:tc>
          <w:tcPr>
            <w:tcW w:w="3048" w:type="dxa"/>
            <w:vMerge w:val="continue"/>
            <w:noWrap w:val="0"/>
            <w:vAlign w:val="center"/>
          </w:tcPr>
          <w:p w14:paraId="23094B1B">
            <w:pPr>
              <w:rPr>
                <w:rFonts w:hint="eastAsia" w:ascii="宋体" w:hAnsi="宋体" w:cs="宋体"/>
                <w:color w:val="000000"/>
              </w:rPr>
            </w:pPr>
          </w:p>
        </w:tc>
      </w:tr>
      <w:tr w14:paraId="6799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4372A3E">
            <w:pPr>
              <w:rPr>
                <w:rFonts w:hint="eastAsia" w:ascii="宋体" w:hAnsi="宋体" w:cs="宋体"/>
                <w:color w:val="000000"/>
              </w:rPr>
            </w:pPr>
          </w:p>
        </w:tc>
        <w:tc>
          <w:tcPr>
            <w:tcW w:w="3671" w:type="dxa"/>
            <w:noWrap w:val="0"/>
            <w:vAlign w:val="center"/>
          </w:tcPr>
          <w:p w14:paraId="7F5EE816">
            <w:pPr>
              <w:rPr>
                <w:rFonts w:hint="eastAsia" w:ascii="宋体" w:hAnsi="宋体" w:cs="宋体"/>
                <w:color w:val="000000"/>
              </w:rPr>
            </w:pPr>
            <w:r>
              <w:rPr>
                <w:rFonts w:hint="eastAsia" w:ascii="宋体" w:hAnsi="宋体" w:cs="宋体"/>
                <w:color w:val="000000"/>
              </w:rPr>
              <w:t>2.发放调查表单给测评委托单位</w:t>
            </w:r>
          </w:p>
        </w:tc>
        <w:tc>
          <w:tcPr>
            <w:tcW w:w="3048" w:type="dxa"/>
            <w:vMerge w:val="continue"/>
            <w:noWrap w:val="0"/>
            <w:vAlign w:val="center"/>
          </w:tcPr>
          <w:p w14:paraId="4432DAC7">
            <w:pPr>
              <w:rPr>
                <w:rFonts w:hint="eastAsia" w:ascii="宋体" w:hAnsi="宋体" w:cs="宋体"/>
                <w:color w:val="000000"/>
              </w:rPr>
            </w:pPr>
          </w:p>
        </w:tc>
      </w:tr>
      <w:tr w14:paraId="6F62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736A944D">
            <w:pPr>
              <w:rPr>
                <w:rFonts w:hint="eastAsia" w:ascii="宋体" w:hAnsi="宋体" w:cs="宋体"/>
                <w:color w:val="000000"/>
              </w:rPr>
            </w:pPr>
          </w:p>
        </w:tc>
        <w:tc>
          <w:tcPr>
            <w:tcW w:w="3671" w:type="dxa"/>
            <w:noWrap w:val="0"/>
            <w:vAlign w:val="center"/>
          </w:tcPr>
          <w:p w14:paraId="286A8D09">
            <w:pPr>
              <w:rPr>
                <w:rFonts w:hint="eastAsia" w:ascii="宋体" w:hAnsi="宋体" w:cs="宋体"/>
                <w:color w:val="000000"/>
              </w:rPr>
            </w:pPr>
            <w:r>
              <w:rPr>
                <w:rFonts w:hint="eastAsia" w:ascii="宋体" w:hAnsi="宋体" w:cs="宋体"/>
                <w:color w:val="000000"/>
              </w:rPr>
              <w:t>3.协助测评委托单位填写调查表</w:t>
            </w:r>
          </w:p>
        </w:tc>
        <w:tc>
          <w:tcPr>
            <w:tcW w:w="3048" w:type="dxa"/>
            <w:vMerge w:val="continue"/>
            <w:noWrap w:val="0"/>
            <w:vAlign w:val="center"/>
          </w:tcPr>
          <w:p w14:paraId="3B09F440">
            <w:pPr>
              <w:rPr>
                <w:rFonts w:hint="eastAsia" w:ascii="宋体" w:hAnsi="宋体" w:cs="宋体"/>
                <w:color w:val="000000"/>
              </w:rPr>
            </w:pPr>
          </w:p>
        </w:tc>
      </w:tr>
      <w:tr w14:paraId="31962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1809" w:type="dxa"/>
            <w:vMerge w:val="continue"/>
            <w:noWrap w:val="0"/>
            <w:vAlign w:val="center"/>
          </w:tcPr>
          <w:p w14:paraId="69B6DCC3">
            <w:pPr>
              <w:rPr>
                <w:rFonts w:hint="eastAsia" w:ascii="宋体" w:hAnsi="宋体" w:cs="宋体"/>
                <w:color w:val="000000"/>
              </w:rPr>
            </w:pPr>
          </w:p>
        </w:tc>
        <w:tc>
          <w:tcPr>
            <w:tcW w:w="3671" w:type="dxa"/>
            <w:noWrap w:val="0"/>
            <w:vAlign w:val="center"/>
          </w:tcPr>
          <w:p w14:paraId="76C4E64E">
            <w:pPr>
              <w:rPr>
                <w:rFonts w:hint="eastAsia" w:ascii="宋体" w:hAnsi="宋体" w:cs="宋体"/>
                <w:color w:val="000000"/>
              </w:rPr>
            </w:pPr>
            <w:r>
              <w:rPr>
                <w:rFonts w:hint="eastAsia" w:ascii="宋体" w:hAnsi="宋体" w:cs="宋体"/>
                <w:color w:val="000000"/>
              </w:rPr>
              <w:t>4.收回调查结果</w:t>
            </w:r>
          </w:p>
        </w:tc>
        <w:tc>
          <w:tcPr>
            <w:tcW w:w="3048" w:type="dxa"/>
            <w:vMerge w:val="continue"/>
            <w:noWrap w:val="0"/>
            <w:vAlign w:val="center"/>
          </w:tcPr>
          <w:p w14:paraId="504A2892">
            <w:pPr>
              <w:rPr>
                <w:rFonts w:hint="eastAsia" w:ascii="宋体" w:hAnsi="宋体" w:cs="宋体"/>
                <w:color w:val="000000"/>
              </w:rPr>
            </w:pPr>
          </w:p>
        </w:tc>
      </w:tr>
      <w:tr w14:paraId="3FCB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809" w:type="dxa"/>
            <w:vMerge w:val="continue"/>
            <w:noWrap w:val="0"/>
            <w:vAlign w:val="center"/>
          </w:tcPr>
          <w:p w14:paraId="25339652">
            <w:pPr>
              <w:rPr>
                <w:rFonts w:hint="eastAsia" w:ascii="宋体" w:hAnsi="宋体" w:cs="宋体"/>
                <w:color w:val="000000"/>
              </w:rPr>
            </w:pPr>
          </w:p>
        </w:tc>
        <w:tc>
          <w:tcPr>
            <w:tcW w:w="3671" w:type="dxa"/>
            <w:noWrap w:val="0"/>
            <w:vAlign w:val="center"/>
          </w:tcPr>
          <w:p w14:paraId="49D2B702">
            <w:pPr>
              <w:rPr>
                <w:rFonts w:hint="eastAsia" w:ascii="宋体" w:hAnsi="宋体" w:cs="宋体"/>
                <w:color w:val="000000"/>
              </w:rPr>
            </w:pPr>
            <w:r>
              <w:rPr>
                <w:rFonts w:hint="eastAsia" w:ascii="宋体" w:hAnsi="宋体" w:cs="宋体"/>
                <w:color w:val="000000"/>
              </w:rPr>
              <w:t>5.分析调查</w:t>
            </w:r>
          </w:p>
        </w:tc>
        <w:tc>
          <w:tcPr>
            <w:tcW w:w="3048" w:type="dxa"/>
            <w:vMerge w:val="continue"/>
            <w:noWrap w:val="0"/>
            <w:vAlign w:val="center"/>
          </w:tcPr>
          <w:p w14:paraId="4EEACA27">
            <w:pPr>
              <w:rPr>
                <w:rFonts w:hint="eastAsia" w:ascii="宋体" w:hAnsi="宋体" w:cs="宋体"/>
                <w:color w:val="000000"/>
              </w:rPr>
            </w:pPr>
          </w:p>
        </w:tc>
      </w:tr>
      <w:tr w14:paraId="3AFA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2397A550">
            <w:pPr>
              <w:rPr>
                <w:rFonts w:hint="eastAsia" w:ascii="宋体" w:hAnsi="宋体" w:cs="宋体"/>
                <w:color w:val="000000"/>
              </w:rPr>
            </w:pPr>
            <w:r>
              <w:rPr>
                <w:rFonts w:hint="eastAsia" w:ascii="宋体" w:hAnsi="宋体" w:cs="宋体"/>
                <w:color w:val="000000"/>
              </w:rPr>
              <w:t>工具和表单准备</w:t>
            </w:r>
          </w:p>
        </w:tc>
        <w:tc>
          <w:tcPr>
            <w:tcW w:w="3671" w:type="dxa"/>
            <w:noWrap w:val="0"/>
            <w:vAlign w:val="center"/>
          </w:tcPr>
          <w:p w14:paraId="62695771">
            <w:pPr>
              <w:rPr>
                <w:rFonts w:hint="eastAsia" w:ascii="宋体" w:hAnsi="宋体" w:cs="宋体"/>
                <w:color w:val="000000"/>
              </w:rPr>
            </w:pPr>
            <w:r>
              <w:rPr>
                <w:rFonts w:hint="eastAsia" w:ascii="宋体" w:hAnsi="宋体" w:cs="宋体"/>
                <w:color w:val="000000"/>
              </w:rPr>
              <w:t>1.调试测评工具</w:t>
            </w:r>
          </w:p>
        </w:tc>
        <w:tc>
          <w:tcPr>
            <w:tcW w:w="3048" w:type="dxa"/>
            <w:vMerge w:val="restart"/>
            <w:noWrap w:val="0"/>
            <w:vAlign w:val="center"/>
          </w:tcPr>
          <w:p w14:paraId="5A5EDDD9">
            <w:pPr>
              <w:rPr>
                <w:rFonts w:hint="eastAsia" w:ascii="宋体" w:hAnsi="宋体" w:cs="宋体"/>
                <w:color w:val="000000"/>
              </w:rPr>
            </w:pPr>
            <w:r>
              <w:rPr>
                <w:rFonts w:hint="eastAsia" w:ascii="宋体" w:hAnsi="宋体" w:cs="宋体"/>
                <w:color w:val="000000"/>
              </w:rPr>
              <w:t>确定测评工具（测评工具清单） 《现场测评授权书》 《测评结果记录表》 《文档交接单》</w:t>
            </w:r>
          </w:p>
        </w:tc>
      </w:tr>
      <w:tr w14:paraId="4360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1D0B065C">
            <w:pPr>
              <w:rPr>
                <w:rFonts w:hint="eastAsia" w:ascii="宋体" w:hAnsi="宋体" w:cs="宋体"/>
                <w:color w:val="000000"/>
              </w:rPr>
            </w:pPr>
          </w:p>
        </w:tc>
        <w:tc>
          <w:tcPr>
            <w:tcW w:w="3671" w:type="dxa"/>
            <w:noWrap w:val="0"/>
            <w:vAlign w:val="center"/>
          </w:tcPr>
          <w:p w14:paraId="0A0CE9FD">
            <w:pPr>
              <w:rPr>
                <w:rFonts w:hint="eastAsia" w:ascii="宋体" w:hAnsi="宋体" w:cs="宋体"/>
                <w:color w:val="000000"/>
              </w:rPr>
            </w:pPr>
            <w:r>
              <w:rPr>
                <w:rFonts w:hint="eastAsia" w:ascii="宋体" w:hAnsi="宋体" w:cs="宋体"/>
                <w:color w:val="000000"/>
              </w:rPr>
              <w:t>2.模拟被测系统搭建测评环境</w:t>
            </w:r>
          </w:p>
        </w:tc>
        <w:tc>
          <w:tcPr>
            <w:tcW w:w="3048" w:type="dxa"/>
            <w:vMerge w:val="continue"/>
            <w:noWrap w:val="0"/>
            <w:vAlign w:val="top"/>
          </w:tcPr>
          <w:p w14:paraId="22F707A7">
            <w:pPr>
              <w:rPr>
                <w:rFonts w:hint="eastAsia" w:ascii="宋体" w:hAnsi="宋体" w:cs="宋体"/>
                <w:color w:val="000000"/>
              </w:rPr>
            </w:pPr>
          </w:p>
        </w:tc>
      </w:tr>
      <w:tr w14:paraId="691B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300E88CB">
            <w:pPr>
              <w:rPr>
                <w:rFonts w:hint="eastAsia" w:ascii="宋体" w:hAnsi="宋体" w:cs="宋体"/>
                <w:color w:val="000000"/>
              </w:rPr>
            </w:pPr>
          </w:p>
        </w:tc>
        <w:tc>
          <w:tcPr>
            <w:tcW w:w="3671" w:type="dxa"/>
            <w:noWrap w:val="0"/>
            <w:vAlign w:val="center"/>
          </w:tcPr>
          <w:p w14:paraId="6F5F8DE7">
            <w:pPr>
              <w:rPr>
                <w:rFonts w:hint="eastAsia" w:ascii="宋体" w:hAnsi="宋体" w:cs="宋体"/>
                <w:color w:val="000000"/>
              </w:rPr>
            </w:pPr>
            <w:r>
              <w:rPr>
                <w:rFonts w:hint="eastAsia" w:ascii="宋体" w:hAnsi="宋体" w:cs="宋体"/>
                <w:color w:val="000000"/>
              </w:rPr>
              <w:t>3.模拟测评</w:t>
            </w:r>
          </w:p>
        </w:tc>
        <w:tc>
          <w:tcPr>
            <w:tcW w:w="3048" w:type="dxa"/>
            <w:vMerge w:val="continue"/>
            <w:noWrap w:val="0"/>
            <w:vAlign w:val="top"/>
          </w:tcPr>
          <w:p w14:paraId="1CF6677A">
            <w:pPr>
              <w:rPr>
                <w:rFonts w:hint="eastAsia" w:ascii="宋体" w:hAnsi="宋体" w:cs="宋体"/>
                <w:color w:val="000000"/>
              </w:rPr>
            </w:pPr>
          </w:p>
        </w:tc>
      </w:tr>
      <w:tr w14:paraId="4425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61A996C3">
            <w:pPr>
              <w:rPr>
                <w:rFonts w:hint="eastAsia" w:ascii="宋体" w:hAnsi="宋体" w:cs="宋体"/>
                <w:color w:val="000000"/>
              </w:rPr>
            </w:pPr>
          </w:p>
        </w:tc>
        <w:tc>
          <w:tcPr>
            <w:tcW w:w="3671" w:type="dxa"/>
            <w:noWrap w:val="0"/>
            <w:vAlign w:val="center"/>
          </w:tcPr>
          <w:p w14:paraId="4F5328DA">
            <w:pPr>
              <w:rPr>
                <w:rFonts w:hint="eastAsia" w:ascii="宋体" w:hAnsi="宋体" w:cs="宋体"/>
                <w:color w:val="000000"/>
              </w:rPr>
            </w:pPr>
            <w:r>
              <w:rPr>
                <w:rFonts w:hint="eastAsia" w:ascii="宋体" w:hAnsi="宋体" w:cs="宋体"/>
                <w:color w:val="000000"/>
              </w:rPr>
              <w:t>4.准备打印表单</w:t>
            </w:r>
          </w:p>
        </w:tc>
        <w:tc>
          <w:tcPr>
            <w:tcW w:w="3048" w:type="dxa"/>
            <w:vMerge w:val="continue"/>
            <w:noWrap w:val="0"/>
            <w:vAlign w:val="top"/>
          </w:tcPr>
          <w:p w14:paraId="669716C0">
            <w:pPr>
              <w:rPr>
                <w:rFonts w:hint="eastAsia" w:ascii="宋体" w:hAnsi="宋体" w:cs="宋体"/>
                <w:color w:val="000000"/>
              </w:rPr>
            </w:pPr>
          </w:p>
        </w:tc>
      </w:tr>
    </w:tbl>
    <w:p w14:paraId="6E40D8DC">
      <w:pPr>
        <w:adjustRightInd w:val="0"/>
        <w:snapToGrid w:val="0"/>
        <w:spacing w:line="300" w:lineRule="auto"/>
        <w:ind w:firstLine="588" w:firstLineChars="245"/>
        <w:rPr>
          <w:rFonts w:hint="eastAsia" w:ascii="宋体" w:hAnsi="Times New Roman" w:eastAsia="宋体" w:cs="Times New Roman"/>
          <w:kern w:val="0"/>
          <w:sz w:val="24"/>
        </w:rPr>
      </w:pPr>
    </w:p>
    <w:p w14:paraId="45405BD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3.2方案编制</w:t>
      </w:r>
      <w:bookmarkEnd w:id="61"/>
      <w:r>
        <w:rPr>
          <w:rFonts w:hint="eastAsia" w:ascii="宋体" w:hAnsi="Times New Roman" w:eastAsia="宋体" w:cs="Times New Roman"/>
          <w:kern w:val="0"/>
          <w:sz w:val="24"/>
        </w:rPr>
        <w:t>活动</w:t>
      </w:r>
    </w:p>
    <w:p w14:paraId="3CA24CD0">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方案编制活动包括测评对象确定、测评指标确定、测试工具接入点确定、测评内容确定、测评指导书开发及测评方案编制等六项主要任务。详细要求见下表：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961"/>
        <w:gridCol w:w="1843"/>
      </w:tblGrid>
      <w:tr w14:paraId="36150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384" w:type="dxa"/>
            <w:shd w:val="clear" w:color="auto" w:fill="D9D9D9"/>
            <w:noWrap w:val="0"/>
            <w:vAlign w:val="top"/>
          </w:tcPr>
          <w:p w14:paraId="46BD97B3">
            <w:pPr>
              <w:jc w:val="center"/>
              <w:rPr>
                <w:rFonts w:hint="eastAsia" w:ascii="宋体" w:hAnsi="宋体" w:cs="宋体"/>
                <w:b/>
                <w:color w:val="000000"/>
              </w:rPr>
            </w:pPr>
            <w:bookmarkStart w:id="62" w:name="_Toc316920803"/>
            <w:r>
              <w:rPr>
                <w:rFonts w:hint="eastAsia" w:ascii="宋体" w:hAnsi="宋体" w:cs="宋体"/>
                <w:b/>
                <w:color w:val="000000"/>
              </w:rPr>
              <w:t>工作内容</w:t>
            </w:r>
          </w:p>
        </w:tc>
        <w:tc>
          <w:tcPr>
            <w:tcW w:w="4961" w:type="dxa"/>
            <w:shd w:val="clear" w:color="auto" w:fill="D9D9D9"/>
            <w:noWrap w:val="0"/>
            <w:vAlign w:val="top"/>
          </w:tcPr>
          <w:p w14:paraId="47D4F2B6">
            <w:pPr>
              <w:jc w:val="center"/>
              <w:rPr>
                <w:rFonts w:hint="eastAsia" w:ascii="宋体" w:hAnsi="宋体" w:cs="宋体"/>
                <w:b/>
                <w:color w:val="000000"/>
              </w:rPr>
            </w:pPr>
            <w:r>
              <w:rPr>
                <w:rFonts w:hint="eastAsia" w:ascii="宋体" w:hAnsi="宋体" w:cs="宋体"/>
                <w:b/>
                <w:color w:val="000000"/>
              </w:rPr>
              <w:t>工作详细任务</w:t>
            </w:r>
          </w:p>
        </w:tc>
        <w:tc>
          <w:tcPr>
            <w:tcW w:w="1843" w:type="dxa"/>
            <w:shd w:val="clear" w:color="auto" w:fill="D9D9D9"/>
            <w:noWrap w:val="0"/>
            <w:vAlign w:val="top"/>
          </w:tcPr>
          <w:p w14:paraId="2B6169C3">
            <w:pPr>
              <w:jc w:val="center"/>
              <w:rPr>
                <w:rFonts w:hint="eastAsia" w:ascii="宋体" w:hAnsi="宋体" w:cs="宋体"/>
                <w:b/>
                <w:color w:val="000000"/>
              </w:rPr>
            </w:pPr>
            <w:r>
              <w:rPr>
                <w:rFonts w:hint="eastAsia" w:ascii="宋体" w:hAnsi="宋体" w:cs="宋体"/>
                <w:b/>
                <w:color w:val="000000"/>
              </w:rPr>
              <w:t>输出成果</w:t>
            </w:r>
          </w:p>
        </w:tc>
      </w:tr>
      <w:tr w14:paraId="622F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14:paraId="445D0DFB">
            <w:pPr>
              <w:rPr>
                <w:rFonts w:hint="eastAsia" w:ascii="宋体" w:hAnsi="宋体" w:cs="宋体"/>
                <w:color w:val="000000"/>
              </w:rPr>
            </w:pPr>
            <w:r>
              <w:rPr>
                <w:rFonts w:hint="eastAsia" w:ascii="宋体" w:hAnsi="宋体" w:cs="宋体"/>
                <w:color w:val="000000"/>
              </w:rPr>
              <w:t>一、测评对象确认</w:t>
            </w:r>
          </w:p>
        </w:tc>
        <w:tc>
          <w:tcPr>
            <w:tcW w:w="4961" w:type="dxa"/>
            <w:noWrap w:val="0"/>
            <w:vAlign w:val="center"/>
          </w:tcPr>
          <w:p w14:paraId="15E5F605">
            <w:pPr>
              <w:rPr>
                <w:rFonts w:hint="eastAsia" w:ascii="宋体" w:hAnsi="宋体" w:cs="宋体"/>
                <w:color w:val="000000"/>
              </w:rPr>
            </w:pPr>
            <w:r>
              <w:rPr>
                <w:rFonts w:hint="eastAsia" w:ascii="宋体" w:hAnsi="宋体" w:cs="宋体"/>
                <w:color w:val="000000"/>
              </w:rPr>
              <w:t>识别被测系统等级</w:t>
            </w:r>
          </w:p>
          <w:p w14:paraId="29B40923">
            <w:pPr>
              <w:rPr>
                <w:rFonts w:hint="eastAsia" w:ascii="宋体" w:hAnsi="宋体" w:cs="宋体"/>
                <w:color w:val="000000"/>
              </w:rPr>
            </w:pPr>
            <w:r>
              <w:rPr>
                <w:rFonts w:hint="eastAsia" w:ascii="宋体" w:hAnsi="宋体" w:cs="宋体"/>
                <w:color w:val="000000"/>
              </w:rPr>
              <w:t>识别被测系统的整体结构</w:t>
            </w:r>
          </w:p>
          <w:p w14:paraId="5474CC6A">
            <w:pPr>
              <w:rPr>
                <w:rFonts w:hint="eastAsia" w:ascii="宋体" w:hAnsi="宋体" w:cs="宋体"/>
                <w:color w:val="000000"/>
              </w:rPr>
            </w:pPr>
            <w:r>
              <w:rPr>
                <w:rFonts w:hint="eastAsia" w:ascii="宋体" w:hAnsi="宋体" w:cs="宋体"/>
                <w:color w:val="000000"/>
              </w:rPr>
              <w:t>识别被测系统的边界</w:t>
            </w:r>
          </w:p>
          <w:p w14:paraId="153ACAAC">
            <w:pPr>
              <w:rPr>
                <w:rFonts w:hint="eastAsia" w:ascii="宋体" w:hAnsi="宋体" w:cs="宋体"/>
                <w:color w:val="000000"/>
              </w:rPr>
            </w:pPr>
            <w:r>
              <w:rPr>
                <w:rFonts w:hint="eastAsia" w:ascii="宋体" w:hAnsi="宋体" w:cs="宋体"/>
                <w:color w:val="000000"/>
              </w:rPr>
              <w:t>识别被测系统的网络区域</w:t>
            </w:r>
          </w:p>
          <w:p w14:paraId="6AAE78EC">
            <w:pPr>
              <w:rPr>
                <w:rFonts w:hint="eastAsia" w:ascii="宋体" w:hAnsi="宋体" w:cs="宋体"/>
                <w:color w:val="000000"/>
              </w:rPr>
            </w:pPr>
            <w:r>
              <w:rPr>
                <w:rFonts w:hint="eastAsia" w:ascii="宋体" w:hAnsi="宋体" w:cs="宋体"/>
                <w:color w:val="000000"/>
              </w:rPr>
              <w:t>识别被测系统的重要节点和业务应用</w:t>
            </w:r>
          </w:p>
          <w:p w14:paraId="1091181E">
            <w:pPr>
              <w:rPr>
                <w:rFonts w:hint="eastAsia" w:ascii="宋体" w:hAnsi="宋体" w:cs="宋体"/>
                <w:color w:val="000000"/>
              </w:rPr>
            </w:pPr>
            <w:r>
              <w:rPr>
                <w:rFonts w:hint="eastAsia" w:ascii="宋体" w:hAnsi="宋体" w:cs="宋体"/>
                <w:color w:val="000000"/>
              </w:rPr>
              <w:t>确定测评对象</w:t>
            </w:r>
          </w:p>
        </w:tc>
        <w:tc>
          <w:tcPr>
            <w:tcW w:w="1843" w:type="dxa"/>
            <w:noWrap w:val="0"/>
            <w:vAlign w:val="center"/>
          </w:tcPr>
          <w:p w14:paraId="34D3F539">
            <w:pPr>
              <w:rPr>
                <w:rFonts w:hint="eastAsia" w:ascii="宋体" w:hAnsi="宋体" w:cs="宋体"/>
                <w:color w:val="000000"/>
              </w:rPr>
            </w:pPr>
            <w:r>
              <w:rPr>
                <w:rFonts w:hint="eastAsia" w:ascii="宋体" w:hAnsi="宋体" w:cs="宋体"/>
                <w:color w:val="000000"/>
              </w:rPr>
              <w:t>《测评方案》的测评对象部分</w:t>
            </w:r>
          </w:p>
        </w:tc>
      </w:tr>
      <w:tr w14:paraId="5A061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2F9FC9A1">
            <w:pPr>
              <w:rPr>
                <w:rFonts w:hint="eastAsia" w:ascii="宋体" w:hAnsi="宋体" w:cs="宋体"/>
                <w:color w:val="000000"/>
              </w:rPr>
            </w:pPr>
            <w:r>
              <w:rPr>
                <w:rFonts w:hint="eastAsia" w:ascii="宋体" w:hAnsi="宋体" w:cs="宋体"/>
                <w:color w:val="000000"/>
              </w:rPr>
              <w:t>二、测评指标确定</w:t>
            </w:r>
          </w:p>
        </w:tc>
        <w:tc>
          <w:tcPr>
            <w:tcW w:w="4961" w:type="dxa"/>
            <w:noWrap w:val="0"/>
            <w:vAlign w:val="center"/>
          </w:tcPr>
          <w:p w14:paraId="185F11F1">
            <w:pPr>
              <w:rPr>
                <w:rFonts w:hint="eastAsia" w:ascii="宋体" w:hAnsi="宋体" w:cs="宋体"/>
                <w:color w:val="000000"/>
              </w:rPr>
            </w:pPr>
            <w:r>
              <w:rPr>
                <w:rFonts w:hint="eastAsia" w:ascii="宋体" w:hAnsi="宋体" w:cs="宋体"/>
                <w:color w:val="000000"/>
              </w:rPr>
              <w:t>识别被测系统业务信息和系统服务安全保护等级</w:t>
            </w:r>
          </w:p>
        </w:tc>
        <w:tc>
          <w:tcPr>
            <w:tcW w:w="1843" w:type="dxa"/>
            <w:vMerge w:val="restart"/>
            <w:noWrap w:val="0"/>
            <w:vAlign w:val="center"/>
          </w:tcPr>
          <w:p w14:paraId="6ED38572">
            <w:pPr>
              <w:rPr>
                <w:rFonts w:hint="eastAsia" w:ascii="宋体" w:hAnsi="宋体" w:cs="宋体"/>
                <w:color w:val="000000"/>
              </w:rPr>
            </w:pPr>
            <w:r>
              <w:rPr>
                <w:rFonts w:hint="eastAsia" w:ascii="宋体" w:hAnsi="宋体" w:cs="宋体"/>
                <w:color w:val="000000"/>
              </w:rPr>
              <w:t>《测评方案》的测评指标部分</w:t>
            </w:r>
          </w:p>
        </w:tc>
      </w:tr>
      <w:tr w14:paraId="45D72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0B9966F2">
            <w:pPr>
              <w:rPr>
                <w:rFonts w:hint="eastAsia" w:ascii="宋体" w:hAnsi="宋体" w:cs="宋体"/>
                <w:color w:val="000000"/>
              </w:rPr>
            </w:pPr>
          </w:p>
        </w:tc>
        <w:tc>
          <w:tcPr>
            <w:tcW w:w="4961" w:type="dxa"/>
            <w:noWrap w:val="0"/>
            <w:vAlign w:val="center"/>
          </w:tcPr>
          <w:p w14:paraId="2B27469D">
            <w:pPr>
              <w:rPr>
                <w:rFonts w:hint="eastAsia" w:ascii="宋体" w:hAnsi="宋体" w:cs="宋体"/>
                <w:color w:val="000000"/>
              </w:rPr>
            </w:pPr>
            <w:r>
              <w:rPr>
                <w:rFonts w:hint="eastAsia" w:ascii="宋体" w:hAnsi="宋体" w:cs="宋体"/>
                <w:color w:val="000000"/>
              </w:rPr>
              <w:t>选择对应等级的安全要求作为测评指标</w:t>
            </w:r>
          </w:p>
        </w:tc>
        <w:tc>
          <w:tcPr>
            <w:tcW w:w="1843" w:type="dxa"/>
            <w:vMerge w:val="continue"/>
            <w:noWrap w:val="0"/>
            <w:vAlign w:val="center"/>
          </w:tcPr>
          <w:p w14:paraId="47D4A525">
            <w:pPr>
              <w:rPr>
                <w:rFonts w:hint="eastAsia" w:ascii="宋体" w:hAnsi="宋体" w:cs="宋体"/>
                <w:color w:val="000000"/>
              </w:rPr>
            </w:pPr>
          </w:p>
        </w:tc>
      </w:tr>
      <w:tr w14:paraId="7FF3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49B05BC6">
            <w:pPr>
              <w:rPr>
                <w:rFonts w:hint="eastAsia" w:ascii="宋体" w:hAnsi="宋体" w:cs="宋体"/>
                <w:color w:val="000000"/>
              </w:rPr>
            </w:pPr>
          </w:p>
        </w:tc>
        <w:tc>
          <w:tcPr>
            <w:tcW w:w="4961" w:type="dxa"/>
            <w:noWrap w:val="0"/>
            <w:vAlign w:val="center"/>
          </w:tcPr>
          <w:p w14:paraId="52BFA413">
            <w:pPr>
              <w:rPr>
                <w:rFonts w:hint="eastAsia" w:ascii="宋体" w:hAnsi="宋体" w:cs="宋体"/>
                <w:color w:val="000000"/>
              </w:rPr>
            </w:pPr>
            <w:r>
              <w:rPr>
                <w:rFonts w:hint="eastAsia" w:ascii="宋体" w:hAnsi="宋体" w:cs="宋体"/>
                <w:color w:val="000000"/>
              </w:rPr>
              <w:t>就高原则调整多个定级对象共用的某些物理安全或管理安全测评指标</w:t>
            </w:r>
          </w:p>
        </w:tc>
        <w:tc>
          <w:tcPr>
            <w:tcW w:w="1843" w:type="dxa"/>
            <w:vMerge w:val="continue"/>
            <w:noWrap w:val="0"/>
            <w:vAlign w:val="center"/>
          </w:tcPr>
          <w:p w14:paraId="7B6D15F3">
            <w:pPr>
              <w:rPr>
                <w:rFonts w:hint="eastAsia" w:ascii="宋体" w:hAnsi="宋体" w:cs="宋体"/>
                <w:color w:val="000000"/>
              </w:rPr>
            </w:pPr>
          </w:p>
        </w:tc>
      </w:tr>
      <w:tr w14:paraId="7E366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14:paraId="6F4424A4">
            <w:pPr>
              <w:rPr>
                <w:rFonts w:hint="eastAsia" w:ascii="宋体" w:hAnsi="宋体" w:cs="宋体"/>
                <w:color w:val="000000"/>
              </w:rPr>
            </w:pPr>
            <w:r>
              <w:rPr>
                <w:rFonts w:hint="eastAsia" w:ascii="宋体" w:hAnsi="宋体" w:cs="宋体"/>
                <w:color w:val="000000"/>
              </w:rPr>
              <w:t>三、工具测试点确定</w:t>
            </w:r>
          </w:p>
        </w:tc>
        <w:tc>
          <w:tcPr>
            <w:tcW w:w="4961" w:type="dxa"/>
            <w:noWrap w:val="0"/>
            <w:vAlign w:val="center"/>
          </w:tcPr>
          <w:p w14:paraId="374C8209">
            <w:pPr>
              <w:rPr>
                <w:rFonts w:hint="eastAsia" w:ascii="宋体" w:hAnsi="宋体" w:cs="宋体"/>
                <w:color w:val="000000"/>
              </w:rPr>
            </w:pPr>
            <w:r>
              <w:rPr>
                <w:rFonts w:hint="eastAsia" w:ascii="宋体" w:hAnsi="宋体" w:cs="宋体"/>
                <w:color w:val="000000"/>
              </w:rPr>
              <w:t>确定工具测试的测评对象</w:t>
            </w:r>
          </w:p>
          <w:p w14:paraId="77CE200C">
            <w:pPr>
              <w:rPr>
                <w:rFonts w:hint="eastAsia" w:ascii="宋体" w:hAnsi="宋体" w:cs="宋体"/>
                <w:color w:val="000000"/>
              </w:rPr>
            </w:pPr>
            <w:r>
              <w:rPr>
                <w:rFonts w:hint="eastAsia" w:ascii="宋体" w:hAnsi="宋体" w:cs="宋体"/>
                <w:color w:val="000000"/>
              </w:rPr>
              <w:t>选择测试路径</w:t>
            </w:r>
          </w:p>
          <w:p w14:paraId="1833275A">
            <w:pPr>
              <w:rPr>
                <w:rFonts w:hint="eastAsia" w:ascii="宋体" w:hAnsi="宋体" w:cs="宋体"/>
                <w:color w:val="000000"/>
              </w:rPr>
            </w:pPr>
            <w:r>
              <w:rPr>
                <w:rFonts w:hint="eastAsia" w:ascii="宋体" w:hAnsi="宋体" w:cs="宋体"/>
                <w:color w:val="000000"/>
              </w:rPr>
              <w:t>确定测试工具的接入点</w:t>
            </w:r>
          </w:p>
        </w:tc>
        <w:tc>
          <w:tcPr>
            <w:tcW w:w="1843" w:type="dxa"/>
            <w:noWrap w:val="0"/>
            <w:vAlign w:val="center"/>
          </w:tcPr>
          <w:p w14:paraId="430B1D77">
            <w:pPr>
              <w:rPr>
                <w:rFonts w:hint="eastAsia" w:ascii="宋体" w:hAnsi="宋体" w:cs="宋体"/>
                <w:color w:val="000000"/>
              </w:rPr>
            </w:pPr>
            <w:r>
              <w:rPr>
                <w:rFonts w:hint="eastAsia" w:ascii="宋体" w:hAnsi="宋体" w:cs="宋体"/>
                <w:color w:val="000000"/>
              </w:rPr>
              <w:t>《测评方案》的测试工具接入点部分</w:t>
            </w:r>
          </w:p>
        </w:tc>
      </w:tr>
      <w:tr w14:paraId="34E4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384" w:type="dxa"/>
            <w:vMerge w:val="restart"/>
            <w:noWrap w:val="0"/>
            <w:vAlign w:val="center"/>
          </w:tcPr>
          <w:p w14:paraId="0808C76B">
            <w:pPr>
              <w:rPr>
                <w:rFonts w:hint="eastAsia" w:ascii="宋体" w:hAnsi="宋体" w:cs="宋体"/>
                <w:color w:val="000000"/>
              </w:rPr>
            </w:pPr>
            <w:r>
              <w:rPr>
                <w:rFonts w:hint="eastAsia" w:ascii="宋体" w:hAnsi="宋体" w:cs="宋体"/>
                <w:color w:val="000000"/>
              </w:rPr>
              <w:t>四、测试内容确定</w:t>
            </w:r>
          </w:p>
        </w:tc>
        <w:tc>
          <w:tcPr>
            <w:tcW w:w="4961" w:type="dxa"/>
            <w:noWrap w:val="0"/>
            <w:vAlign w:val="center"/>
          </w:tcPr>
          <w:p w14:paraId="20B14D8C">
            <w:pPr>
              <w:rPr>
                <w:rFonts w:hint="eastAsia" w:ascii="宋体" w:hAnsi="宋体" w:cs="宋体"/>
                <w:color w:val="000000"/>
              </w:rPr>
            </w:pPr>
            <w:r>
              <w:rPr>
                <w:rFonts w:hint="eastAsia" w:ascii="宋体" w:hAnsi="宋体" w:cs="宋体"/>
                <w:color w:val="000000"/>
              </w:rPr>
              <w:t>识别每个测评对象的测评指标</w:t>
            </w:r>
          </w:p>
        </w:tc>
        <w:tc>
          <w:tcPr>
            <w:tcW w:w="1843" w:type="dxa"/>
            <w:vMerge w:val="restart"/>
            <w:noWrap w:val="0"/>
            <w:vAlign w:val="center"/>
          </w:tcPr>
          <w:p w14:paraId="76C25390">
            <w:pPr>
              <w:rPr>
                <w:rFonts w:hint="eastAsia" w:ascii="宋体" w:hAnsi="宋体" w:cs="宋体"/>
                <w:color w:val="000000"/>
              </w:rPr>
            </w:pPr>
            <w:r>
              <w:rPr>
                <w:rFonts w:hint="eastAsia" w:ascii="宋体" w:hAnsi="宋体" w:cs="宋体"/>
                <w:color w:val="000000"/>
              </w:rPr>
              <w:t>《测评方案》的单项测评实施和系统测评实施部分</w:t>
            </w:r>
          </w:p>
        </w:tc>
      </w:tr>
      <w:tr w14:paraId="7101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18417668">
            <w:pPr>
              <w:rPr>
                <w:rFonts w:hint="eastAsia" w:ascii="宋体" w:hAnsi="宋体" w:cs="宋体"/>
                <w:color w:val="000000"/>
              </w:rPr>
            </w:pPr>
          </w:p>
        </w:tc>
        <w:tc>
          <w:tcPr>
            <w:tcW w:w="4961" w:type="dxa"/>
            <w:noWrap w:val="0"/>
            <w:vAlign w:val="center"/>
          </w:tcPr>
          <w:p w14:paraId="28FB0C04">
            <w:pPr>
              <w:rPr>
                <w:rFonts w:hint="eastAsia" w:ascii="宋体" w:hAnsi="宋体" w:cs="宋体"/>
                <w:color w:val="000000"/>
              </w:rPr>
            </w:pPr>
            <w:r>
              <w:rPr>
                <w:rFonts w:hint="eastAsia" w:ascii="宋体" w:hAnsi="宋体" w:cs="宋体"/>
                <w:color w:val="000000"/>
              </w:rPr>
              <w:t>识别每个测评对象对应的每个测试指标的测试方法</w:t>
            </w:r>
          </w:p>
        </w:tc>
        <w:tc>
          <w:tcPr>
            <w:tcW w:w="1843" w:type="dxa"/>
            <w:vMerge w:val="continue"/>
            <w:noWrap w:val="0"/>
            <w:vAlign w:val="center"/>
          </w:tcPr>
          <w:p w14:paraId="5F531535">
            <w:pPr>
              <w:rPr>
                <w:rFonts w:hint="eastAsia" w:ascii="宋体" w:hAnsi="宋体" w:cs="宋体"/>
                <w:color w:val="000000"/>
              </w:rPr>
            </w:pPr>
          </w:p>
        </w:tc>
      </w:tr>
      <w:tr w14:paraId="365C1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477D6CD7">
            <w:pPr>
              <w:rPr>
                <w:rFonts w:hint="eastAsia" w:ascii="宋体" w:hAnsi="宋体" w:cs="宋体"/>
                <w:color w:val="000000"/>
              </w:rPr>
            </w:pPr>
            <w:r>
              <w:rPr>
                <w:rFonts w:hint="eastAsia" w:ascii="宋体" w:hAnsi="宋体" w:cs="宋体"/>
                <w:color w:val="000000"/>
              </w:rPr>
              <w:t>五、测评指导书开发</w:t>
            </w:r>
          </w:p>
        </w:tc>
        <w:tc>
          <w:tcPr>
            <w:tcW w:w="4961" w:type="dxa"/>
            <w:noWrap w:val="0"/>
            <w:vAlign w:val="center"/>
          </w:tcPr>
          <w:p w14:paraId="2520B8F5">
            <w:pPr>
              <w:rPr>
                <w:rFonts w:hint="eastAsia" w:ascii="宋体" w:hAnsi="宋体" w:cs="宋体"/>
                <w:color w:val="000000"/>
              </w:rPr>
            </w:pPr>
            <w:r>
              <w:rPr>
                <w:rFonts w:hint="eastAsia" w:ascii="宋体" w:hAnsi="宋体" w:cs="宋体"/>
                <w:color w:val="000000"/>
              </w:rPr>
              <w:t>从已有的测评指导书中选择与测评对象对应的手册</w:t>
            </w:r>
          </w:p>
        </w:tc>
        <w:tc>
          <w:tcPr>
            <w:tcW w:w="1843" w:type="dxa"/>
            <w:vMerge w:val="restart"/>
            <w:noWrap w:val="0"/>
            <w:vAlign w:val="center"/>
          </w:tcPr>
          <w:p w14:paraId="1D31F2C0">
            <w:pPr>
              <w:rPr>
                <w:rFonts w:hint="eastAsia" w:ascii="宋体" w:hAnsi="宋体" w:cs="宋体"/>
                <w:color w:val="000000"/>
              </w:rPr>
            </w:pPr>
            <w:r>
              <w:rPr>
                <w:rFonts w:hint="eastAsia" w:ascii="宋体" w:hAnsi="宋体" w:cs="宋体"/>
                <w:color w:val="000000"/>
              </w:rPr>
              <w:t>《测评方案》的测评实施手册部分</w:t>
            </w:r>
          </w:p>
        </w:tc>
      </w:tr>
      <w:tr w14:paraId="4E5B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79B635D4">
            <w:pPr>
              <w:rPr>
                <w:rFonts w:hint="eastAsia" w:ascii="宋体" w:hAnsi="宋体" w:cs="宋体"/>
                <w:color w:val="000000"/>
              </w:rPr>
            </w:pPr>
          </w:p>
        </w:tc>
        <w:tc>
          <w:tcPr>
            <w:tcW w:w="4961" w:type="dxa"/>
            <w:noWrap w:val="0"/>
            <w:vAlign w:val="center"/>
          </w:tcPr>
          <w:p w14:paraId="7136DAB4">
            <w:pPr>
              <w:rPr>
                <w:rFonts w:hint="eastAsia" w:ascii="宋体" w:hAnsi="宋体" w:cs="宋体"/>
                <w:color w:val="000000"/>
              </w:rPr>
            </w:pPr>
            <w:r>
              <w:rPr>
                <w:rFonts w:hint="eastAsia" w:ascii="宋体" w:hAnsi="宋体" w:cs="宋体"/>
                <w:color w:val="000000"/>
              </w:rPr>
              <w:t>针对没有现成测评指导书的测评对象，开发新的测评指导书</w:t>
            </w:r>
          </w:p>
        </w:tc>
        <w:tc>
          <w:tcPr>
            <w:tcW w:w="1843" w:type="dxa"/>
            <w:vMerge w:val="continue"/>
            <w:noWrap w:val="0"/>
            <w:vAlign w:val="center"/>
          </w:tcPr>
          <w:p w14:paraId="532ED489">
            <w:pPr>
              <w:rPr>
                <w:rFonts w:hint="eastAsia" w:ascii="宋体" w:hAnsi="宋体" w:cs="宋体"/>
                <w:color w:val="000000"/>
              </w:rPr>
            </w:pPr>
          </w:p>
        </w:tc>
      </w:tr>
      <w:tr w14:paraId="00C98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14:paraId="3E31F07E">
            <w:pPr>
              <w:rPr>
                <w:rFonts w:hint="eastAsia" w:ascii="宋体" w:hAnsi="宋体" w:cs="宋体"/>
                <w:color w:val="000000"/>
              </w:rPr>
            </w:pPr>
            <w:r>
              <w:rPr>
                <w:rFonts w:hint="eastAsia" w:ascii="宋体" w:hAnsi="宋体" w:cs="宋体"/>
                <w:color w:val="000000"/>
              </w:rPr>
              <w:t>六、测评方案编制</w:t>
            </w:r>
          </w:p>
        </w:tc>
        <w:tc>
          <w:tcPr>
            <w:tcW w:w="4961" w:type="dxa"/>
            <w:noWrap w:val="0"/>
            <w:vAlign w:val="center"/>
          </w:tcPr>
          <w:p w14:paraId="45BBB797">
            <w:pPr>
              <w:rPr>
                <w:rFonts w:hint="eastAsia" w:ascii="宋体" w:hAnsi="宋体" w:cs="宋体"/>
                <w:color w:val="000000"/>
              </w:rPr>
            </w:pPr>
            <w:r>
              <w:rPr>
                <w:rFonts w:hint="eastAsia" w:ascii="宋体" w:hAnsi="宋体" w:cs="宋体"/>
                <w:color w:val="000000"/>
              </w:rPr>
              <w:t>描述测评项目基本情况和工作依据</w:t>
            </w:r>
          </w:p>
        </w:tc>
        <w:tc>
          <w:tcPr>
            <w:tcW w:w="1843" w:type="dxa"/>
            <w:vMerge w:val="restart"/>
            <w:noWrap w:val="0"/>
            <w:vAlign w:val="center"/>
          </w:tcPr>
          <w:p w14:paraId="35E119DE">
            <w:pPr>
              <w:rPr>
                <w:rFonts w:hint="eastAsia" w:ascii="宋体" w:hAnsi="宋体" w:cs="宋体"/>
                <w:color w:val="000000"/>
              </w:rPr>
            </w:pPr>
            <w:r>
              <w:rPr>
                <w:rFonts w:hint="eastAsia" w:ascii="宋体" w:hAnsi="宋体" w:cs="宋体"/>
                <w:color w:val="000000"/>
              </w:rPr>
              <w:t>向招标人提交 《测评方案》</w:t>
            </w:r>
          </w:p>
        </w:tc>
      </w:tr>
      <w:tr w14:paraId="672C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617DC9A4">
            <w:pPr>
              <w:rPr>
                <w:rFonts w:hint="eastAsia" w:ascii="宋体" w:hAnsi="宋体" w:cs="宋体"/>
                <w:color w:val="000000"/>
              </w:rPr>
            </w:pPr>
          </w:p>
        </w:tc>
        <w:tc>
          <w:tcPr>
            <w:tcW w:w="4961" w:type="dxa"/>
            <w:noWrap w:val="0"/>
            <w:vAlign w:val="center"/>
          </w:tcPr>
          <w:p w14:paraId="335173BE">
            <w:pPr>
              <w:rPr>
                <w:rFonts w:hint="eastAsia" w:ascii="宋体" w:hAnsi="宋体" w:cs="宋体"/>
                <w:color w:val="000000"/>
              </w:rPr>
            </w:pPr>
            <w:r>
              <w:rPr>
                <w:rFonts w:hint="eastAsia" w:ascii="宋体" w:hAnsi="宋体" w:cs="宋体"/>
                <w:color w:val="000000"/>
              </w:rPr>
              <w:t>描述被测系统的整体结构、边界和网络区域</w:t>
            </w:r>
          </w:p>
        </w:tc>
        <w:tc>
          <w:tcPr>
            <w:tcW w:w="1843" w:type="dxa"/>
            <w:vMerge w:val="continue"/>
            <w:noWrap w:val="0"/>
            <w:vAlign w:val="top"/>
          </w:tcPr>
          <w:p w14:paraId="32FAC663">
            <w:pPr>
              <w:rPr>
                <w:rFonts w:hint="eastAsia" w:ascii="宋体" w:hAnsi="宋体" w:cs="宋体"/>
                <w:color w:val="000000"/>
              </w:rPr>
            </w:pPr>
          </w:p>
        </w:tc>
      </w:tr>
      <w:tr w14:paraId="4CB5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0D67F67C">
            <w:pPr>
              <w:rPr>
                <w:rFonts w:hint="eastAsia" w:ascii="宋体" w:hAnsi="宋体" w:cs="宋体"/>
                <w:color w:val="000000"/>
              </w:rPr>
            </w:pPr>
          </w:p>
        </w:tc>
        <w:tc>
          <w:tcPr>
            <w:tcW w:w="4961" w:type="dxa"/>
            <w:noWrap w:val="0"/>
            <w:vAlign w:val="center"/>
          </w:tcPr>
          <w:p w14:paraId="04349099">
            <w:pPr>
              <w:rPr>
                <w:rFonts w:hint="eastAsia" w:ascii="宋体" w:hAnsi="宋体" w:cs="宋体"/>
                <w:color w:val="000000"/>
              </w:rPr>
            </w:pPr>
            <w:r>
              <w:rPr>
                <w:rFonts w:hint="eastAsia" w:ascii="宋体" w:hAnsi="宋体" w:cs="宋体"/>
                <w:color w:val="000000"/>
              </w:rPr>
              <w:t>描述被测系统的重要节点和业务应用</w:t>
            </w:r>
          </w:p>
        </w:tc>
        <w:tc>
          <w:tcPr>
            <w:tcW w:w="1843" w:type="dxa"/>
            <w:vMerge w:val="continue"/>
            <w:noWrap w:val="0"/>
            <w:vAlign w:val="top"/>
          </w:tcPr>
          <w:p w14:paraId="573A75FA">
            <w:pPr>
              <w:rPr>
                <w:rFonts w:hint="eastAsia" w:ascii="宋体" w:hAnsi="宋体" w:cs="宋体"/>
                <w:color w:val="000000"/>
              </w:rPr>
            </w:pPr>
          </w:p>
        </w:tc>
      </w:tr>
      <w:tr w14:paraId="7E34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43F1E50D">
            <w:pPr>
              <w:rPr>
                <w:rFonts w:hint="eastAsia" w:ascii="宋体" w:hAnsi="宋体" w:cs="宋体"/>
                <w:color w:val="000000"/>
              </w:rPr>
            </w:pPr>
          </w:p>
        </w:tc>
        <w:tc>
          <w:tcPr>
            <w:tcW w:w="4961" w:type="dxa"/>
            <w:noWrap w:val="0"/>
            <w:vAlign w:val="center"/>
          </w:tcPr>
          <w:p w14:paraId="740FC1C8">
            <w:pPr>
              <w:rPr>
                <w:rFonts w:hint="eastAsia" w:ascii="宋体" w:hAnsi="宋体" w:cs="宋体"/>
                <w:color w:val="000000"/>
              </w:rPr>
            </w:pPr>
            <w:r>
              <w:rPr>
                <w:rFonts w:hint="eastAsia" w:ascii="宋体" w:hAnsi="宋体" w:cs="宋体"/>
                <w:color w:val="000000"/>
              </w:rPr>
              <w:t>描述测评指标</w:t>
            </w:r>
          </w:p>
        </w:tc>
        <w:tc>
          <w:tcPr>
            <w:tcW w:w="1843" w:type="dxa"/>
            <w:vMerge w:val="continue"/>
            <w:noWrap w:val="0"/>
            <w:vAlign w:val="top"/>
          </w:tcPr>
          <w:p w14:paraId="6CDEFD62">
            <w:pPr>
              <w:rPr>
                <w:rFonts w:hint="eastAsia" w:ascii="宋体" w:hAnsi="宋体" w:cs="宋体"/>
                <w:color w:val="000000"/>
              </w:rPr>
            </w:pPr>
          </w:p>
        </w:tc>
      </w:tr>
      <w:tr w14:paraId="3422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665CFFEB">
            <w:pPr>
              <w:rPr>
                <w:rFonts w:hint="eastAsia" w:ascii="宋体" w:hAnsi="宋体" w:cs="宋体"/>
                <w:color w:val="000000"/>
              </w:rPr>
            </w:pPr>
          </w:p>
        </w:tc>
        <w:tc>
          <w:tcPr>
            <w:tcW w:w="4961" w:type="dxa"/>
            <w:noWrap w:val="0"/>
            <w:vAlign w:val="center"/>
          </w:tcPr>
          <w:p w14:paraId="57CBE500">
            <w:pPr>
              <w:rPr>
                <w:rFonts w:hint="eastAsia" w:ascii="宋体" w:hAnsi="宋体" w:cs="宋体"/>
                <w:color w:val="000000"/>
              </w:rPr>
            </w:pPr>
            <w:r>
              <w:rPr>
                <w:rFonts w:hint="eastAsia" w:ascii="宋体" w:hAnsi="宋体" w:cs="宋体"/>
                <w:color w:val="000000"/>
              </w:rPr>
              <w:t>描述测评对象</w:t>
            </w:r>
          </w:p>
        </w:tc>
        <w:tc>
          <w:tcPr>
            <w:tcW w:w="1843" w:type="dxa"/>
            <w:vMerge w:val="continue"/>
            <w:noWrap w:val="0"/>
            <w:vAlign w:val="top"/>
          </w:tcPr>
          <w:p w14:paraId="30D1DF26">
            <w:pPr>
              <w:rPr>
                <w:rFonts w:hint="eastAsia" w:ascii="宋体" w:hAnsi="宋体" w:cs="宋体"/>
                <w:color w:val="000000"/>
              </w:rPr>
            </w:pPr>
          </w:p>
        </w:tc>
      </w:tr>
      <w:tr w14:paraId="4BC9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14:paraId="019D6ACB">
            <w:pPr>
              <w:rPr>
                <w:rFonts w:hint="eastAsia" w:ascii="宋体" w:hAnsi="宋体" w:cs="宋体"/>
                <w:color w:val="000000"/>
              </w:rPr>
            </w:pPr>
          </w:p>
        </w:tc>
        <w:tc>
          <w:tcPr>
            <w:tcW w:w="4961" w:type="dxa"/>
            <w:noWrap w:val="0"/>
            <w:vAlign w:val="center"/>
          </w:tcPr>
          <w:p w14:paraId="619C6B9A">
            <w:pPr>
              <w:rPr>
                <w:rFonts w:hint="eastAsia" w:ascii="宋体" w:hAnsi="宋体" w:cs="宋体"/>
                <w:color w:val="000000"/>
              </w:rPr>
            </w:pPr>
            <w:r>
              <w:rPr>
                <w:rFonts w:hint="eastAsia" w:ascii="宋体" w:hAnsi="宋体" w:cs="宋体"/>
                <w:color w:val="000000"/>
              </w:rPr>
              <w:t>描述测评内容和方法</w:t>
            </w:r>
          </w:p>
        </w:tc>
        <w:tc>
          <w:tcPr>
            <w:tcW w:w="1843" w:type="dxa"/>
            <w:vMerge w:val="continue"/>
            <w:noWrap w:val="0"/>
            <w:vAlign w:val="top"/>
          </w:tcPr>
          <w:p w14:paraId="16CD5C7F">
            <w:pPr>
              <w:rPr>
                <w:rFonts w:hint="eastAsia" w:ascii="宋体" w:hAnsi="宋体" w:cs="宋体"/>
                <w:color w:val="000000"/>
              </w:rPr>
            </w:pPr>
          </w:p>
        </w:tc>
      </w:tr>
    </w:tbl>
    <w:p w14:paraId="08F75BD4">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3.3现场测评</w:t>
      </w:r>
      <w:bookmarkEnd w:id="62"/>
      <w:r>
        <w:rPr>
          <w:rFonts w:hint="eastAsia" w:ascii="宋体" w:hAnsi="Times New Roman" w:eastAsia="宋体" w:cs="Times New Roman"/>
          <w:kern w:val="0"/>
          <w:sz w:val="24"/>
        </w:rPr>
        <w:t>活动</w:t>
      </w:r>
    </w:p>
    <w:p w14:paraId="557769A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现场测评活动通过与测评委托单位进行沟通和协调，为现场测评的顺利开展打下良好基础，然后依据测评方案实施现场测评工作，将测评方案和测评工具等具体落实到现场测评活动中。现场测评工作应取得分析与报告编制活动所需的、足够的证据和资料。</w:t>
      </w:r>
    </w:p>
    <w:p w14:paraId="457F902D">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现场测评活动包括现场测评准备、现场测评和结果记录、结果确认和资料归还三项主要任务。详细要求见下表：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19"/>
        <w:gridCol w:w="3260"/>
      </w:tblGrid>
      <w:tr w14:paraId="6750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809" w:type="dxa"/>
            <w:shd w:val="clear" w:color="auto" w:fill="D9D9D9"/>
            <w:noWrap w:val="0"/>
            <w:vAlign w:val="top"/>
          </w:tcPr>
          <w:p w14:paraId="57C9568F">
            <w:pPr>
              <w:jc w:val="center"/>
              <w:rPr>
                <w:rFonts w:hint="eastAsia" w:ascii="宋体" w:hAnsi="宋体" w:cs="宋体"/>
                <w:b/>
                <w:color w:val="000000"/>
              </w:rPr>
            </w:pPr>
            <w:bookmarkStart w:id="63" w:name="_Toc316920804"/>
            <w:r>
              <w:rPr>
                <w:rFonts w:hint="eastAsia" w:ascii="宋体" w:hAnsi="宋体" w:cs="宋体"/>
                <w:b/>
                <w:color w:val="000000"/>
              </w:rPr>
              <w:t>工作内容</w:t>
            </w:r>
          </w:p>
        </w:tc>
        <w:tc>
          <w:tcPr>
            <w:tcW w:w="3119" w:type="dxa"/>
            <w:shd w:val="clear" w:color="auto" w:fill="D9D9D9"/>
            <w:noWrap w:val="0"/>
            <w:vAlign w:val="top"/>
          </w:tcPr>
          <w:p w14:paraId="6AC9739C">
            <w:pPr>
              <w:jc w:val="center"/>
              <w:rPr>
                <w:rFonts w:hint="eastAsia" w:ascii="宋体" w:hAnsi="宋体" w:cs="宋体"/>
                <w:b/>
                <w:color w:val="000000"/>
              </w:rPr>
            </w:pPr>
            <w:r>
              <w:rPr>
                <w:rFonts w:hint="eastAsia" w:ascii="宋体" w:hAnsi="宋体" w:cs="宋体"/>
                <w:b/>
                <w:color w:val="000000"/>
              </w:rPr>
              <w:t>工作详细任务</w:t>
            </w:r>
          </w:p>
        </w:tc>
        <w:tc>
          <w:tcPr>
            <w:tcW w:w="3260" w:type="dxa"/>
            <w:shd w:val="clear" w:color="auto" w:fill="D9D9D9"/>
            <w:noWrap w:val="0"/>
            <w:vAlign w:val="top"/>
          </w:tcPr>
          <w:p w14:paraId="33A78EF9">
            <w:pPr>
              <w:jc w:val="center"/>
              <w:rPr>
                <w:rFonts w:hint="eastAsia" w:ascii="宋体" w:hAnsi="宋体" w:cs="宋体"/>
                <w:b/>
                <w:color w:val="000000"/>
              </w:rPr>
            </w:pPr>
            <w:r>
              <w:rPr>
                <w:rFonts w:hint="eastAsia" w:ascii="宋体" w:hAnsi="宋体" w:cs="宋体"/>
                <w:b/>
                <w:color w:val="000000"/>
              </w:rPr>
              <w:t>输出</w:t>
            </w:r>
          </w:p>
        </w:tc>
      </w:tr>
      <w:tr w14:paraId="21713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0BE752B4">
            <w:pPr>
              <w:rPr>
                <w:rFonts w:hint="eastAsia" w:ascii="宋体" w:hAnsi="宋体" w:cs="宋体"/>
                <w:color w:val="000000"/>
              </w:rPr>
            </w:pPr>
            <w:r>
              <w:rPr>
                <w:rFonts w:hint="eastAsia" w:ascii="宋体" w:hAnsi="宋体" w:cs="宋体"/>
                <w:color w:val="000000"/>
              </w:rPr>
              <w:t>1.现场测评准备</w:t>
            </w:r>
          </w:p>
        </w:tc>
        <w:tc>
          <w:tcPr>
            <w:tcW w:w="3119" w:type="dxa"/>
            <w:noWrap w:val="0"/>
            <w:vAlign w:val="center"/>
          </w:tcPr>
          <w:p w14:paraId="3FE04D41">
            <w:pPr>
              <w:rPr>
                <w:rFonts w:hint="eastAsia" w:ascii="宋体" w:hAnsi="宋体" w:cs="宋体"/>
                <w:color w:val="000000"/>
              </w:rPr>
            </w:pPr>
            <w:r>
              <w:rPr>
                <w:rFonts w:hint="eastAsia" w:ascii="宋体" w:hAnsi="宋体" w:cs="宋体"/>
                <w:color w:val="000000"/>
              </w:rPr>
              <w:t>现场测评授权书签署</w:t>
            </w:r>
          </w:p>
        </w:tc>
        <w:tc>
          <w:tcPr>
            <w:tcW w:w="3260" w:type="dxa"/>
            <w:vMerge w:val="restart"/>
            <w:noWrap w:val="0"/>
            <w:vAlign w:val="center"/>
          </w:tcPr>
          <w:p w14:paraId="541F1FA9">
            <w:pPr>
              <w:rPr>
                <w:rFonts w:hint="eastAsia" w:ascii="宋体" w:hAnsi="宋体" w:cs="宋体"/>
                <w:color w:val="000000"/>
              </w:rPr>
            </w:pPr>
            <w:r>
              <w:rPr>
                <w:rFonts w:hint="eastAsia" w:ascii="宋体" w:hAnsi="宋体" w:cs="宋体"/>
                <w:color w:val="000000"/>
              </w:rPr>
              <w:t>会议记录、确认的授权委托书、更新后的测评计划和测评方案</w:t>
            </w:r>
          </w:p>
        </w:tc>
      </w:tr>
      <w:tr w14:paraId="703B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0BF784A5">
            <w:pPr>
              <w:rPr>
                <w:rFonts w:hint="eastAsia" w:ascii="宋体" w:hAnsi="宋体" w:cs="宋体"/>
                <w:color w:val="000000"/>
              </w:rPr>
            </w:pPr>
          </w:p>
        </w:tc>
        <w:tc>
          <w:tcPr>
            <w:tcW w:w="3119" w:type="dxa"/>
            <w:noWrap w:val="0"/>
            <w:vAlign w:val="center"/>
          </w:tcPr>
          <w:p w14:paraId="78E2FCA5">
            <w:pPr>
              <w:rPr>
                <w:rFonts w:hint="eastAsia" w:ascii="宋体" w:hAnsi="宋体" w:cs="宋体"/>
                <w:color w:val="000000"/>
              </w:rPr>
            </w:pPr>
            <w:r>
              <w:rPr>
                <w:rFonts w:hint="eastAsia" w:ascii="宋体" w:hAnsi="宋体" w:cs="宋体"/>
                <w:color w:val="000000"/>
              </w:rPr>
              <w:t>召开现场测评启动会</w:t>
            </w:r>
          </w:p>
        </w:tc>
        <w:tc>
          <w:tcPr>
            <w:tcW w:w="3260" w:type="dxa"/>
            <w:vMerge w:val="continue"/>
            <w:noWrap w:val="0"/>
            <w:vAlign w:val="center"/>
          </w:tcPr>
          <w:p w14:paraId="0F27C3E0">
            <w:pPr>
              <w:rPr>
                <w:rFonts w:hint="eastAsia" w:ascii="宋体" w:hAnsi="宋体" w:cs="宋体"/>
                <w:color w:val="000000"/>
              </w:rPr>
            </w:pPr>
          </w:p>
        </w:tc>
      </w:tr>
      <w:tr w14:paraId="79A57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500CBC8B">
            <w:pPr>
              <w:rPr>
                <w:rFonts w:hint="eastAsia" w:ascii="宋体" w:hAnsi="宋体" w:cs="宋体"/>
                <w:color w:val="000000"/>
              </w:rPr>
            </w:pPr>
          </w:p>
        </w:tc>
        <w:tc>
          <w:tcPr>
            <w:tcW w:w="3119" w:type="dxa"/>
            <w:noWrap w:val="0"/>
            <w:vAlign w:val="center"/>
          </w:tcPr>
          <w:p w14:paraId="66124C70">
            <w:pPr>
              <w:rPr>
                <w:rFonts w:hint="eastAsia" w:ascii="宋体" w:hAnsi="宋体" w:cs="宋体"/>
                <w:color w:val="000000"/>
              </w:rPr>
            </w:pPr>
            <w:r>
              <w:rPr>
                <w:rFonts w:hint="eastAsia" w:ascii="宋体" w:hAnsi="宋体" w:cs="宋体"/>
                <w:color w:val="000000"/>
              </w:rPr>
              <w:t>双方确认测评方案</w:t>
            </w:r>
          </w:p>
        </w:tc>
        <w:tc>
          <w:tcPr>
            <w:tcW w:w="3260" w:type="dxa"/>
            <w:vMerge w:val="continue"/>
            <w:noWrap w:val="0"/>
            <w:vAlign w:val="center"/>
          </w:tcPr>
          <w:p w14:paraId="394EAB1F">
            <w:pPr>
              <w:rPr>
                <w:rFonts w:hint="eastAsia" w:ascii="宋体" w:hAnsi="宋体" w:cs="宋体"/>
                <w:color w:val="000000"/>
              </w:rPr>
            </w:pPr>
          </w:p>
        </w:tc>
      </w:tr>
      <w:tr w14:paraId="669A9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3612150F">
            <w:pPr>
              <w:rPr>
                <w:rFonts w:hint="eastAsia" w:ascii="宋体" w:hAnsi="宋体" w:cs="宋体"/>
                <w:color w:val="000000"/>
              </w:rPr>
            </w:pPr>
          </w:p>
        </w:tc>
        <w:tc>
          <w:tcPr>
            <w:tcW w:w="3119" w:type="dxa"/>
            <w:noWrap w:val="0"/>
            <w:vAlign w:val="center"/>
          </w:tcPr>
          <w:p w14:paraId="6F47E7ED">
            <w:pPr>
              <w:rPr>
                <w:rFonts w:hint="eastAsia" w:ascii="宋体" w:hAnsi="宋体" w:cs="宋体"/>
                <w:color w:val="000000"/>
              </w:rPr>
            </w:pPr>
            <w:r>
              <w:rPr>
                <w:rFonts w:hint="eastAsia" w:ascii="宋体" w:hAnsi="宋体" w:cs="宋体"/>
                <w:color w:val="000000"/>
              </w:rPr>
              <w:t>双方确认配合人员、环境等资源</w:t>
            </w:r>
          </w:p>
        </w:tc>
        <w:tc>
          <w:tcPr>
            <w:tcW w:w="3260" w:type="dxa"/>
            <w:vMerge w:val="continue"/>
            <w:noWrap w:val="0"/>
            <w:vAlign w:val="center"/>
          </w:tcPr>
          <w:p w14:paraId="733E00A2">
            <w:pPr>
              <w:rPr>
                <w:rFonts w:hint="eastAsia" w:ascii="宋体" w:hAnsi="宋体" w:cs="宋体"/>
                <w:color w:val="000000"/>
              </w:rPr>
            </w:pPr>
          </w:p>
        </w:tc>
      </w:tr>
      <w:tr w14:paraId="798F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244E7874">
            <w:pPr>
              <w:rPr>
                <w:rFonts w:hint="eastAsia" w:ascii="宋体" w:hAnsi="宋体" w:cs="宋体"/>
                <w:color w:val="000000"/>
              </w:rPr>
            </w:pPr>
          </w:p>
        </w:tc>
        <w:tc>
          <w:tcPr>
            <w:tcW w:w="3119" w:type="dxa"/>
            <w:noWrap w:val="0"/>
            <w:vAlign w:val="center"/>
          </w:tcPr>
          <w:p w14:paraId="441CED05">
            <w:pPr>
              <w:rPr>
                <w:rFonts w:hint="eastAsia" w:ascii="宋体" w:hAnsi="宋体" w:cs="宋体"/>
                <w:color w:val="000000"/>
              </w:rPr>
            </w:pPr>
            <w:r>
              <w:rPr>
                <w:rFonts w:hint="eastAsia" w:ascii="宋体" w:hAnsi="宋体" w:cs="宋体"/>
                <w:color w:val="000000"/>
              </w:rPr>
              <w:t>确认信息系统已经备份</w:t>
            </w:r>
          </w:p>
        </w:tc>
        <w:tc>
          <w:tcPr>
            <w:tcW w:w="3260" w:type="dxa"/>
            <w:vMerge w:val="continue"/>
            <w:noWrap w:val="0"/>
            <w:vAlign w:val="center"/>
          </w:tcPr>
          <w:p w14:paraId="2F74E50F">
            <w:pPr>
              <w:rPr>
                <w:rFonts w:hint="eastAsia" w:ascii="宋体" w:hAnsi="宋体" w:cs="宋体"/>
                <w:color w:val="000000"/>
              </w:rPr>
            </w:pPr>
          </w:p>
        </w:tc>
      </w:tr>
      <w:tr w14:paraId="5FB3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3EA0611E">
            <w:pPr>
              <w:rPr>
                <w:rFonts w:hint="eastAsia" w:ascii="宋体" w:hAnsi="宋体" w:cs="宋体"/>
                <w:color w:val="000000"/>
              </w:rPr>
            </w:pPr>
          </w:p>
        </w:tc>
        <w:tc>
          <w:tcPr>
            <w:tcW w:w="3119" w:type="dxa"/>
            <w:noWrap w:val="0"/>
            <w:vAlign w:val="center"/>
          </w:tcPr>
          <w:p w14:paraId="191015D8">
            <w:pPr>
              <w:rPr>
                <w:rFonts w:hint="eastAsia" w:ascii="宋体" w:hAnsi="宋体" w:cs="宋体"/>
                <w:color w:val="000000"/>
              </w:rPr>
            </w:pPr>
            <w:r>
              <w:rPr>
                <w:rFonts w:hint="eastAsia" w:ascii="宋体" w:hAnsi="宋体" w:cs="宋体"/>
                <w:color w:val="000000"/>
              </w:rPr>
              <w:t>测评方案、结构记录表格等资料更新</w:t>
            </w:r>
          </w:p>
        </w:tc>
        <w:tc>
          <w:tcPr>
            <w:tcW w:w="3260" w:type="dxa"/>
            <w:vMerge w:val="continue"/>
            <w:noWrap w:val="0"/>
            <w:vAlign w:val="center"/>
          </w:tcPr>
          <w:p w14:paraId="33B33799">
            <w:pPr>
              <w:rPr>
                <w:rFonts w:hint="eastAsia" w:ascii="宋体" w:hAnsi="宋体" w:cs="宋体"/>
                <w:color w:val="000000"/>
              </w:rPr>
            </w:pPr>
          </w:p>
        </w:tc>
      </w:tr>
      <w:tr w14:paraId="49A2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56B292EF">
            <w:pPr>
              <w:rPr>
                <w:rFonts w:hint="eastAsia" w:ascii="宋体" w:hAnsi="宋体" w:cs="宋体"/>
                <w:color w:val="000000"/>
              </w:rPr>
            </w:pPr>
            <w:r>
              <w:rPr>
                <w:rFonts w:hint="eastAsia" w:ascii="宋体" w:hAnsi="宋体" w:cs="宋体"/>
                <w:color w:val="000000"/>
              </w:rPr>
              <w:t>2.现场测评和结构记录</w:t>
            </w:r>
          </w:p>
        </w:tc>
        <w:tc>
          <w:tcPr>
            <w:tcW w:w="3119" w:type="dxa"/>
            <w:noWrap w:val="0"/>
            <w:vAlign w:val="center"/>
          </w:tcPr>
          <w:p w14:paraId="747DB769">
            <w:pPr>
              <w:rPr>
                <w:rFonts w:hint="eastAsia" w:ascii="宋体" w:hAnsi="宋体" w:cs="宋体"/>
                <w:color w:val="000000"/>
              </w:rPr>
            </w:pPr>
            <w:r>
              <w:rPr>
                <w:rFonts w:hint="eastAsia" w:ascii="宋体" w:hAnsi="宋体" w:cs="宋体"/>
                <w:color w:val="000000"/>
              </w:rPr>
              <w:t>依据测评指导书实施测评</w:t>
            </w:r>
          </w:p>
        </w:tc>
        <w:tc>
          <w:tcPr>
            <w:tcW w:w="3260" w:type="dxa"/>
            <w:vMerge w:val="restart"/>
            <w:noWrap w:val="0"/>
            <w:vAlign w:val="center"/>
          </w:tcPr>
          <w:p w14:paraId="44F9931F">
            <w:pPr>
              <w:rPr>
                <w:rFonts w:hint="eastAsia" w:ascii="宋体" w:hAnsi="宋体" w:cs="宋体"/>
                <w:color w:val="000000"/>
              </w:rPr>
            </w:pPr>
            <w:r>
              <w:rPr>
                <w:rFonts w:hint="eastAsia" w:ascii="宋体" w:hAnsi="宋体" w:cs="宋体"/>
                <w:color w:val="000000"/>
              </w:rPr>
              <w:t>访谈结果：技术安全和管理安全测评的测评结果记录或录音 文档审查结果： 管理安全测评的测评结果记录 配置检查结果： 技术安全测评的网络、主机、应用测评结果记录表格 工具测试结果： 技术安全测评的网络、主机、应用测评结果记录，工具测试完成后的电子输出记录，备份的测试结果文件 实地察看结果： 技术安全测评结果记录 测评结果确认： 现场核查中发现的问题汇总、证据和证据源记录、被测单位的书面认可文件</w:t>
            </w:r>
          </w:p>
        </w:tc>
      </w:tr>
      <w:tr w14:paraId="37B9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5149BBC8">
            <w:pPr>
              <w:rPr>
                <w:rFonts w:hint="eastAsia" w:ascii="宋体" w:hAnsi="宋体" w:cs="宋体"/>
                <w:color w:val="000000"/>
              </w:rPr>
            </w:pPr>
          </w:p>
        </w:tc>
        <w:tc>
          <w:tcPr>
            <w:tcW w:w="3119" w:type="dxa"/>
            <w:noWrap w:val="0"/>
            <w:vAlign w:val="center"/>
          </w:tcPr>
          <w:p w14:paraId="66D5D7BC">
            <w:pPr>
              <w:rPr>
                <w:rFonts w:hint="eastAsia" w:ascii="宋体" w:hAnsi="宋体" w:cs="宋体"/>
                <w:color w:val="000000"/>
              </w:rPr>
            </w:pPr>
            <w:r>
              <w:rPr>
                <w:rFonts w:hint="eastAsia" w:ascii="宋体" w:hAnsi="宋体" w:cs="宋体"/>
                <w:color w:val="000000"/>
              </w:rPr>
              <w:t>记录测评获取的证据、资料等信息</w:t>
            </w:r>
          </w:p>
        </w:tc>
        <w:tc>
          <w:tcPr>
            <w:tcW w:w="3260" w:type="dxa"/>
            <w:vMerge w:val="continue"/>
            <w:noWrap w:val="0"/>
            <w:vAlign w:val="top"/>
          </w:tcPr>
          <w:p w14:paraId="6A3FA97F">
            <w:pPr>
              <w:rPr>
                <w:rFonts w:hint="eastAsia" w:ascii="宋体" w:hAnsi="宋体" w:cs="宋体"/>
                <w:color w:val="000000"/>
              </w:rPr>
            </w:pPr>
          </w:p>
        </w:tc>
      </w:tr>
      <w:tr w14:paraId="417B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7E8D2006">
            <w:pPr>
              <w:rPr>
                <w:rFonts w:hint="eastAsia" w:ascii="宋体" w:hAnsi="宋体" w:cs="宋体"/>
                <w:color w:val="000000"/>
              </w:rPr>
            </w:pPr>
          </w:p>
        </w:tc>
        <w:tc>
          <w:tcPr>
            <w:tcW w:w="3119" w:type="dxa"/>
            <w:noWrap w:val="0"/>
            <w:vAlign w:val="center"/>
          </w:tcPr>
          <w:p w14:paraId="4333DED6">
            <w:pPr>
              <w:rPr>
                <w:rFonts w:hint="eastAsia" w:ascii="宋体" w:hAnsi="宋体" w:cs="宋体"/>
                <w:color w:val="000000"/>
              </w:rPr>
            </w:pPr>
            <w:r>
              <w:rPr>
                <w:rFonts w:hint="eastAsia" w:ascii="宋体" w:hAnsi="宋体" w:cs="宋体"/>
                <w:color w:val="000000"/>
              </w:rPr>
              <w:t>汇总测评记录，如果需要，实施补充测评</w:t>
            </w:r>
          </w:p>
        </w:tc>
        <w:tc>
          <w:tcPr>
            <w:tcW w:w="3260" w:type="dxa"/>
            <w:vMerge w:val="continue"/>
            <w:noWrap w:val="0"/>
            <w:vAlign w:val="top"/>
          </w:tcPr>
          <w:p w14:paraId="0C285324">
            <w:pPr>
              <w:rPr>
                <w:rFonts w:hint="eastAsia" w:ascii="宋体" w:hAnsi="宋体" w:cs="宋体"/>
                <w:color w:val="000000"/>
              </w:rPr>
            </w:pPr>
          </w:p>
        </w:tc>
      </w:tr>
      <w:tr w14:paraId="3188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14:paraId="7C6D9F8C">
            <w:pPr>
              <w:rPr>
                <w:rFonts w:hint="eastAsia" w:ascii="宋体" w:hAnsi="宋体" w:cs="宋体"/>
                <w:color w:val="000000"/>
              </w:rPr>
            </w:pPr>
            <w:r>
              <w:rPr>
                <w:rFonts w:hint="eastAsia" w:ascii="宋体" w:hAnsi="宋体" w:cs="宋体"/>
                <w:color w:val="000000"/>
              </w:rPr>
              <w:t>3.结果确认和资料归还</w:t>
            </w:r>
          </w:p>
        </w:tc>
        <w:tc>
          <w:tcPr>
            <w:tcW w:w="3119" w:type="dxa"/>
            <w:noWrap w:val="0"/>
            <w:vAlign w:val="center"/>
          </w:tcPr>
          <w:p w14:paraId="4BF3E404">
            <w:pPr>
              <w:rPr>
                <w:rFonts w:hint="eastAsia" w:ascii="宋体" w:hAnsi="宋体" w:cs="宋体"/>
                <w:color w:val="000000"/>
              </w:rPr>
            </w:pPr>
            <w:r>
              <w:rPr>
                <w:rFonts w:hint="eastAsia" w:ascii="宋体" w:hAnsi="宋体" w:cs="宋体"/>
                <w:color w:val="000000"/>
              </w:rPr>
              <w:t>召开现场测评结束会</w:t>
            </w:r>
          </w:p>
        </w:tc>
        <w:tc>
          <w:tcPr>
            <w:tcW w:w="3260" w:type="dxa"/>
            <w:vMerge w:val="continue"/>
            <w:noWrap w:val="0"/>
            <w:vAlign w:val="top"/>
          </w:tcPr>
          <w:p w14:paraId="3961150B">
            <w:pPr>
              <w:rPr>
                <w:rFonts w:hint="eastAsia" w:ascii="宋体" w:hAnsi="宋体" w:cs="宋体"/>
                <w:color w:val="000000"/>
              </w:rPr>
            </w:pPr>
          </w:p>
        </w:tc>
      </w:tr>
      <w:tr w14:paraId="23A4F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1C2ECCDC">
            <w:pPr>
              <w:rPr>
                <w:rFonts w:hint="eastAsia" w:ascii="宋体" w:hAnsi="宋体" w:cs="宋体"/>
                <w:color w:val="000000"/>
              </w:rPr>
            </w:pPr>
          </w:p>
        </w:tc>
        <w:tc>
          <w:tcPr>
            <w:tcW w:w="3119" w:type="dxa"/>
            <w:noWrap w:val="0"/>
            <w:vAlign w:val="center"/>
          </w:tcPr>
          <w:p w14:paraId="00ECAFD6">
            <w:pPr>
              <w:rPr>
                <w:rFonts w:hint="eastAsia" w:ascii="宋体" w:hAnsi="宋体" w:cs="宋体"/>
                <w:color w:val="000000"/>
              </w:rPr>
            </w:pPr>
            <w:r>
              <w:rPr>
                <w:rFonts w:hint="eastAsia" w:ascii="宋体" w:hAnsi="宋体" w:cs="宋体"/>
                <w:color w:val="000000"/>
              </w:rPr>
              <w:t>测评委托单位确认测评过程中获取的证据和资料的正确性，并签字认可</w:t>
            </w:r>
          </w:p>
        </w:tc>
        <w:tc>
          <w:tcPr>
            <w:tcW w:w="3260" w:type="dxa"/>
            <w:vMerge w:val="continue"/>
            <w:noWrap w:val="0"/>
            <w:vAlign w:val="top"/>
          </w:tcPr>
          <w:p w14:paraId="1E659680">
            <w:pPr>
              <w:rPr>
                <w:rFonts w:hint="eastAsia" w:ascii="宋体" w:hAnsi="宋体" w:cs="宋体"/>
                <w:color w:val="000000"/>
              </w:rPr>
            </w:pPr>
          </w:p>
        </w:tc>
      </w:tr>
      <w:tr w14:paraId="14282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14:paraId="585099FF">
            <w:pPr>
              <w:rPr>
                <w:rFonts w:hint="eastAsia" w:ascii="宋体" w:hAnsi="宋体" w:cs="宋体"/>
                <w:color w:val="000000"/>
              </w:rPr>
            </w:pPr>
          </w:p>
        </w:tc>
        <w:tc>
          <w:tcPr>
            <w:tcW w:w="3119" w:type="dxa"/>
            <w:noWrap w:val="0"/>
            <w:vAlign w:val="center"/>
          </w:tcPr>
          <w:p w14:paraId="68961ECB">
            <w:pPr>
              <w:rPr>
                <w:rFonts w:hint="eastAsia" w:ascii="宋体" w:hAnsi="宋体" w:cs="宋体"/>
                <w:color w:val="000000"/>
              </w:rPr>
            </w:pPr>
            <w:r>
              <w:rPr>
                <w:rFonts w:hint="eastAsia" w:ascii="宋体" w:hAnsi="宋体" w:cs="宋体"/>
                <w:color w:val="000000"/>
              </w:rPr>
              <w:t>测评人员归还借阅的各种资料</w:t>
            </w:r>
          </w:p>
        </w:tc>
        <w:tc>
          <w:tcPr>
            <w:tcW w:w="3260" w:type="dxa"/>
            <w:vMerge w:val="continue"/>
            <w:noWrap w:val="0"/>
            <w:vAlign w:val="top"/>
          </w:tcPr>
          <w:p w14:paraId="4C515F76">
            <w:pPr>
              <w:rPr>
                <w:rFonts w:hint="eastAsia" w:ascii="宋体" w:hAnsi="宋体" w:cs="宋体"/>
                <w:color w:val="000000"/>
              </w:rPr>
            </w:pPr>
          </w:p>
        </w:tc>
      </w:tr>
    </w:tbl>
    <w:p w14:paraId="21FDAE41">
      <w:pPr>
        <w:adjustRightInd w:val="0"/>
        <w:snapToGrid w:val="0"/>
        <w:spacing w:line="300" w:lineRule="auto"/>
        <w:ind w:firstLine="588" w:firstLineChars="245"/>
        <w:rPr>
          <w:rFonts w:hint="eastAsia" w:ascii="宋体" w:hAnsi="Times New Roman" w:eastAsia="宋体" w:cs="Times New Roman"/>
          <w:kern w:val="0"/>
          <w:sz w:val="24"/>
        </w:rPr>
      </w:pPr>
    </w:p>
    <w:p w14:paraId="13975E1F">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3.4 报告分析及编制活动</w:t>
      </w:r>
      <w:bookmarkEnd w:id="63"/>
    </w:p>
    <w:p w14:paraId="3E5F4A8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在现场测评工作结束后，应对现场测评获得的测评结果（或称测评证据）进行汇总分析，形成等级测评结论，并编制测评报告。</w:t>
      </w:r>
    </w:p>
    <w:p w14:paraId="0ACD7747">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测评人员在初步判定单元测评结果后，还需进行整体测评，经过整体测评后，有的单元测评结果可能会有所变化，需进一步修订单元测评结果，而后进行风险分析和评价，形成等级测评结论。分析与报告编制活动包括单项测评结果判定、单元测评结果判定、整体测评、风险分析、等级测评结论形成及测评报告编制六项主要任务。详细要求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11"/>
        <w:gridCol w:w="2551"/>
      </w:tblGrid>
      <w:tr w14:paraId="392C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shd w:val="clear" w:color="auto" w:fill="D9D9D9"/>
            <w:noWrap w:val="0"/>
            <w:vAlign w:val="top"/>
          </w:tcPr>
          <w:p w14:paraId="5095747A">
            <w:pPr>
              <w:jc w:val="center"/>
              <w:rPr>
                <w:rFonts w:hint="eastAsia" w:ascii="宋体" w:hAnsi="宋体" w:cs="宋体"/>
                <w:b/>
                <w:color w:val="000000"/>
              </w:rPr>
            </w:pPr>
            <w:r>
              <w:rPr>
                <w:rFonts w:hint="eastAsia" w:ascii="宋体" w:hAnsi="宋体" w:cs="宋体"/>
                <w:b/>
                <w:color w:val="000000"/>
              </w:rPr>
              <w:t>工作内容</w:t>
            </w:r>
          </w:p>
        </w:tc>
        <w:tc>
          <w:tcPr>
            <w:tcW w:w="4111" w:type="dxa"/>
            <w:shd w:val="clear" w:color="auto" w:fill="D9D9D9"/>
            <w:noWrap w:val="0"/>
            <w:vAlign w:val="top"/>
          </w:tcPr>
          <w:p w14:paraId="723A3871">
            <w:pPr>
              <w:jc w:val="center"/>
              <w:rPr>
                <w:rFonts w:hint="eastAsia" w:ascii="宋体" w:hAnsi="宋体" w:cs="宋体"/>
                <w:b/>
                <w:color w:val="000000"/>
              </w:rPr>
            </w:pPr>
            <w:r>
              <w:rPr>
                <w:rFonts w:hint="eastAsia" w:ascii="宋体" w:hAnsi="宋体" w:cs="宋体"/>
                <w:b/>
                <w:color w:val="000000"/>
              </w:rPr>
              <w:t>工作详细任务</w:t>
            </w:r>
          </w:p>
        </w:tc>
        <w:tc>
          <w:tcPr>
            <w:tcW w:w="2551" w:type="dxa"/>
            <w:shd w:val="clear" w:color="auto" w:fill="D9D9D9"/>
            <w:noWrap w:val="0"/>
            <w:vAlign w:val="top"/>
          </w:tcPr>
          <w:p w14:paraId="7CF9E777">
            <w:pPr>
              <w:jc w:val="center"/>
              <w:rPr>
                <w:rFonts w:hint="eastAsia" w:ascii="宋体" w:hAnsi="宋体" w:cs="宋体"/>
                <w:b/>
                <w:color w:val="000000"/>
              </w:rPr>
            </w:pPr>
            <w:r>
              <w:rPr>
                <w:rFonts w:hint="eastAsia" w:ascii="宋体" w:hAnsi="宋体" w:cs="宋体"/>
                <w:b/>
                <w:color w:val="000000"/>
              </w:rPr>
              <w:t>工作依据（模版)</w:t>
            </w:r>
          </w:p>
        </w:tc>
      </w:tr>
      <w:tr w14:paraId="284C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2BE363E3">
            <w:pPr>
              <w:rPr>
                <w:rFonts w:hint="eastAsia" w:ascii="宋体" w:hAnsi="宋体" w:cs="宋体"/>
                <w:color w:val="000000"/>
              </w:rPr>
            </w:pPr>
            <w:r>
              <w:rPr>
                <w:rFonts w:hint="eastAsia" w:ascii="宋体" w:hAnsi="宋体" w:cs="宋体"/>
                <w:color w:val="000000"/>
              </w:rPr>
              <w:t>1.单项测评结果判定</w:t>
            </w:r>
          </w:p>
        </w:tc>
        <w:tc>
          <w:tcPr>
            <w:tcW w:w="4111" w:type="dxa"/>
            <w:noWrap w:val="0"/>
            <w:vAlign w:val="center"/>
          </w:tcPr>
          <w:p w14:paraId="337953E9">
            <w:pPr>
              <w:rPr>
                <w:rFonts w:hint="eastAsia" w:ascii="宋体" w:hAnsi="宋体" w:cs="宋体"/>
                <w:color w:val="000000"/>
              </w:rPr>
            </w:pPr>
            <w:r>
              <w:rPr>
                <w:rFonts w:hint="eastAsia" w:ascii="宋体" w:hAnsi="宋体" w:cs="宋体"/>
                <w:color w:val="000000"/>
              </w:rPr>
              <w:t>分析测评项所对抗威胁的存在情况</w:t>
            </w:r>
          </w:p>
        </w:tc>
        <w:tc>
          <w:tcPr>
            <w:tcW w:w="2551" w:type="dxa"/>
            <w:vMerge w:val="restart"/>
            <w:noWrap w:val="0"/>
            <w:vAlign w:val="center"/>
          </w:tcPr>
          <w:p w14:paraId="78AE4BDF">
            <w:pPr>
              <w:rPr>
                <w:rFonts w:hint="eastAsia" w:ascii="宋体" w:hAnsi="宋体" w:cs="宋体"/>
                <w:color w:val="000000"/>
              </w:rPr>
            </w:pPr>
            <w:r>
              <w:rPr>
                <w:rFonts w:hint="eastAsia" w:ascii="宋体" w:hAnsi="宋体" w:cs="宋体"/>
                <w:color w:val="000000"/>
              </w:rPr>
              <w:t>等级测评报告的单项测评结果部分</w:t>
            </w:r>
          </w:p>
        </w:tc>
      </w:tr>
      <w:tr w14:paraId="5575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BC142F9">
            <w:pPr>
              <w:rPr>
                <w:rFonts w:hint="eastAsia" w:ascii="宋体" w:hAnsi="宋体" w:cs="宋体"/>
                <w:color w:val="000000"/>
              </w:rPr>
            </w:pPr>
          </w:p>
        </w:tc>
        <w:tc>
          <w:tcPr>
            <w:tcW w:w="4111" w:type="dxa"/>
            <w:noWrap w:val="0"/>
            <w:vAlign w:val="center"/>
          </w:tcPr>
          <w:p w14:paraId="26E5C2C1">
            <w:pPr>
              <w:rPr>
                <w:rFonts w:hint="eastAsia" w:ascii="宋体" w:hAnsi="宋体" w:cs="宋体"/>
                <w:color w:val="000000"/>
              </w:rPr>
            </w:pPr>
            <w:r>
              <w:rPr>
                <w:rFonts w:hint="eastAsia" w:ascii="宋体" w:hAnsi="宋体" w:cs="宋体"/>
                <w:color w:val="000000"/>
              </w:rPr>
              <w:t>分析单个测评项是否有多方面的要求内容，依据“优势证据”法选择优势证据，并将优势证据与预期测评结果相比较</w:t>
            </w:r>
          </w:p>
        </w:tc>
        <w:tc>
          <w:tcPr>
            <w:tcW w:w="2551" w:type="dxa"/>
            <w:vMerge w:val="continue"/>
            <w:noWrap w:val="0"/>
            <w:vAlign w:val="center"/>
          </w:tcPr>
          <w:p w14:paraId="41CAD558">
            <w:pPr>
              <w:rPr>
                <w:rFonts w:hint="eastAsia" w:ascii="宋体" w:hAnsi="宋体" w:cs="宋体"/>
                <w:color w:val="000000"/>
              </w:rPr>
            </w:pPr>
          </w:p>
        </w:tc>
      </w:tr>
      <w:tr w14:paraId="5152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1841F411">
            <w:pPr>
              <w:rPr>
                <w:rFonts w:hint="eastAsia" w:ascii="宋体" w:hAnsi="宋体" w:cs="宋体"/>
                <w:color w:val="000000"/>
              </w:rPr>
            </w:pPr>
          </w:p>
        </w:tc>
        <w:tc>
          <w:tcPr>
            <w:tcW w:w="4111" w:type="dxa"/>
            <w:noWrap w:val="0"/>
            <w:vAlign w:val="center"/>
          </w:tcPr>
          <w:p w14:paraId="1C95A537">
            <w:pPr>
              <w:rPr>
                <w:rFonts w:hint="eastAsia" w:ascii="宋体" w:hAnsi="宋体" w:cs="宋体"/>
                <w:color w:val="000000"/>
              </w:rPr>
            </w:pPr>
            <w:r>
              <w:rPr>
                <w:rFonts w:hint="eastAsia" w:ascii="宋体" w:hAnsi="宋体" w:cs="宋体"/>
                <w:color w:val="000000"/>
              </w:rPr>
              <w:t>综合判定单个测评项的测评结果</w:t>
            </w:r>
          </w:p>
        </w:tc>
        <w:tc>
          <w:tcPr>
            <w:tcW w:w="2551" w:type="dxa"/>
            <w:vMerge w:val="continue"/>
            <w:noWrap w:val="0"/>
            <w:vAlign w:val="center"/>
          </w:tcPr>
          <w:p w14:paraId="73CBF8DC">
            <w:pPr>
              <w:rPr>
                <w:rFonts w:hint="eastAsia" w:ascii="宋体" w:hAnsi="宋体" w:cs="宋体"/>
                <w:color w:val="000000"/>
              </w:rPr>
            </w:pPr>
          </w:p>
        </w:tc>
      </w:tr>
      <w:tr w14:paraId="0697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551FAB0C">
            <w:pPr>
              <w:rPr>
                <w:rFonts w:hint="eastAsia" w:ascii="宋体" w:hAnsi="宋体" w:cs="宋体"/>
                <w:color w:val="000000"/>
              </w:rPr>
            </w:pPr>
            <w:r>
              <w:rPr>
                <w:rFonts w:hint="eastAsia" w:ascii="宋体" w:hAnsi="宋体" w:cs="宋体"/>
                <w:color w:val="000000"/>
              </w:rPr>
              <w:t>2.单元测评结果判定</w:t>
            </w:r>
          </w:p>
        </w:tc>
        <w:tc>
          <w:tcPr>
            <w:tcW w:w="4111" w:type="dxa"/>
            <w:noWrap w:val="0"/>
            <w:vAlign w:val="center"/>
          </w:tcPr>
          <w:p w14:paraId="6124A84D">
            <w:pPr>
              <w:rPr>
                <w:rFonts w:hint="eastAsia" w:ascii="宋体" w:hAnsi="宋体" w:cs="宋体"/>
                <w:color w:val="000000"/>
              </w:rPr>
            </w:pPr>
            <w:r>
              <w:rPr>
                <w:rFonts w:hint="eastAsia" w:ascii="宋体" w:hAnsi="宋体" w:cs="宋体"/>
                <w:color w:val="000000"/>
              </w:rPr>
              <w:t>汇总每个测评对象在每个测评单元的单项测评结果</w:t>
            </w:r>
          </w:p>
        </w:tc>
        <w:tc>
          <w:tcPr>
            <w:tcW w:w="2551" w:type="dxa"/>
            <w:vMerge w:val="restart"/>
            <w:noWrap w:val="0"/>
            <w:vAlign w:val="center"/>
          </w:tcPr>
          <w:p w14:paraId="5AB66FC2">
            <w:pPr>
              <w:rPr>
                <w:rFonts w:hint="eastAsia" w:ascii="宋体" w:hAnsi="宋体" w:cs="宋体"/>
                <w:color w:val="000000"/>
              </w:rPr>
            </w:pPr>
            <w:r>
              <w:rPr>
                <w:rFonts w:hint="eastAsia" w:ascii="宋体" w:hAnsi="宋体" w:cs="宋体"/>
                <w:color w:val="000000"/>
              </w:rPr>
              <w:t>等级测评报告的单项测评结果汇总分析部分</w:t>
            </w:r>
          </w:p>
        </w:tc>
      </w:tr>
      <w:tr w14:paraId="1260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4A0572A5">
            <w:pPr>
              <w:rPr>
                <w:rFonts w:hint="eastAsia" w:ascii="宋体" w:hAnsi="宋体" w:cs="宋体"/>
                <w:color w:val="000000"/>
              </w:rPr>
            </w:pPr>
          </w:p>
        </w:tc>
        <w:tc>
          <w:tcPr>
            <w:tcW w:w="4111" w:type="dxa"/>
            <w:noWrap w:val="0"/>
            <w:vAlign w:val="center"/>
          </w:tcPr>
          <w:p w14:paraId="70AC5487">
            <w:pPr>
              <w:rPr>
                <w:rFonts w:hint="eastAsia" w:ascii="宋体" w:hAnsi="宋体" w:cs="宋体"/>
                <w:color w:val="000000"/>
              </w:rPr>
            </w:pPr>
            <w:r>
              <w:rPr>
                <w:rFonts w:hint="eastAsia" w:ascii="宋体" w:hAnsi="宋体" w:cs="宋体"/>
                <w:color w:val="000000"/>
              </w:rPr>
              <w:t>判定每个测评对象的单元测评结果</w:t>
            </w:r>
          </w:p>
        </w:tc>
        <w:tc>
          <w:tcPr>
            <w:tcW w:w="2551" w:type="dxa"/>
            <w:vMerge w:val="continue"/>
            <w:noWrap w:val="0"/>
            <w:vAlign w:val="center"/>
          </w:tcPr>
          <w:p w14:paraId="35F5EE56">
            <w:pPr>
              <w:rPr>
                <w:rFonts w:hint="eastAsia" w:ascii="宋体" w:hAnsi="宋体" w:cs="宋体"/>
                <w:color w:val="000000"/>
              </w:rPr>
            </w:pPr>
          </w:p>
        </w:tc>
      </w:tr>
      <w:tr w14:paraId="0F68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2E8B9221">
            <w:pPr>
              <w:rPr>
                <w:rFonts w:hint="eastAsia" w:ascii="宋体" w:hAnsi="宋体" w:cs="宋体"/>
                <w:color w:val="000000"/>
              </w:rPr>
            </w:pPr>
            <w:r>
              <w:rPr>
                <w:rFonts w:hint="eastAsia" w:ascii="宋体" w:hAnsi="宋体" w:cs="宋体"/>
                <w:color w:val="000000"/>
              </w:rPr>
              <w:t>3.整体测评</w:t>
            </w:r>
          </w:p>
        </w:tc>
        <w:tc>
          <w:tcPr>
            <w:tcW w:w="4111" w:type="dxa"/>
            <w:noWrap w:val="0"/>
            <w:vAlign w:val="center"/>
          </w:tcPr>
          <w:p w14:paraId="79DB1989">
            <w:pPr>
              <w:rPr>
                <w:rFonts w:hint="eastAsia" w:ascii="宋体" w:hAnsi="宋体" w:cs="宋体"/>
                <w:color w:val="000000"/>
              </w:rPr>
            </w:pPr>
            <w:r>
              <w:rPr>
                <w:rFonts w:hint="eastAsia" w:ascii="宋体" w:hAnsi="宋体" w:cs="宋体"/>
                <w:color w:val="000000"/>
              </w:rPr>
              <w:t>分析不符合和部分符合的测评项与其他测评项（包括单元内、层面间、区域间）之间的关联关系及对结果的影响情况</w:t>
            </w:r>
          </w:p>
        </w:tc>
        <w:tc>
          <w:tcPr>
            <w:tcW w:w="2551" w:type="dxa"/>
            <w:vMerge w:val="restart"/>
            <w:noWrap w:val="0"/>
            <w:vAlign w:val="center"/>
          </w:tcPr>
          <w:p w14:paraId="3CE5FA12">
            <w:pPr>
              <w:rPr>
                <w:rFonts w:hint="eastAsia" w:ascii="宋体" w:hAnsi="宋体" w:cs="宋体"/>
                <w:color w:val="000000"/>
              </w:rPr>
            </w:pPr>
            <w:r>
              <w:rPr>
                <w:rFonts w:hint="eastAsia" w:ascii="宋体" w:hAnsi="宋体" w:cs="宋体"/>
                <w:color w:val="000000"/>
              </w:rPr>
              <w:t>等级测评报告的系统整体测评分析部分</w:t>
            </w:r>
          </w:p>
        </w:tc>
      </w:tr>
      <w:tr w14:paraId="21AF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09CEBDA">
            <w:pPr>
              <w:rPr>
                <w:rFonts w:hint="eastAsia" w:ascii="宋体" w:hAnsi="宋体" w:cs="宋体"/>
                <w:color w:val="000000"/>
              </w:rPr>
            </w:pPr>
          </w:p>
        </w:tc>
        <w:tc>
          <w:tcPr>
            <w:tcW w:w="4111" w:type="dxa"/>
            <w:noWrap w:val="0"/>
            <w:vAlign w:val="center"/>
          </w:tcPr>
          <w:p w14:paraId="3DAA8448">
            <w:pPr>
              <w:rPr>
                <w:rFonts w:hint="eastAsia" w:ascii="宋体" w:hAnsi="宋体" w:cs="宋体"/>
                <w:color w:val="000000"/>
              </w:rPr>
            </w:pPr>
            <w:r>
              <w:rPr>
                <w:rFonts w:hint="eastAsia" w:ascii="宋体" w:hAnsi="宋体" w:cs="宋体"/>
                <w:color w:val="000000"/>
              </w:rPr>
              <w:t>分析被测系统整体结构的安全性对结果的影响情况</w:t>
            </w:r>
          </w:p>
        </w:tc>
        <w:tc>
          <w:tcPr>
            <w:tcW w:w="2551" w:type="dxa"/>
            <w:vMerge w:val="continue"/>
            <w:noWrap w:val="0"/>
            <w:vAlign w:val="center"/>
          </w:tcPr>
          <w:p w14:paraId="38A1D771">
            <w:pPr>
              <w:rPr>
                <w:rFonts w:hint="eastAsia" w:ascii="宋体" w:hAnsi="宋体" w:cs="宋体"/>
                <w:color w:val="000000"/>
              </w:rPr>
            </w:pPr>
          </w:p>
        </w:tc>
      </w:tr>
      <w:tr w14:paraId="365E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4C18B7C0">
            <w:pPr>
              <w:rPr>
                <w:rFonts w:hint="eastAsia" w:ascii="宋体" w:hAnsi="宋体" w:cs="宋体"/>
                <w:color w:val="000000"/>
              </w:rPr>
            </w:pPr>
            <w:r>
              <w:rPr>
                <w:rFonts w:hint="eastAsia" w:ascii="宋体" w:hAnsi="宋体" w:cs="宋体"/>
                <w:color w:val="000000"/>
              </w:rPr>
              <w:t>4.风险分析</w:t>
            </w:r>
          </w:p>
        </w:tc>
        <w:tc>
          <w:tcPr>
            <w:tcW w:w="4111" w:type="dxa"/>
            <w:noWrap w:val="0"/>
            <w:vAlign w:val="center"/>
          </w:tcPr>
          <w:p w14:paraId="07081CAE">
            <w:pPr>
              <w:rPr>
                <w:rFonts w:hint="eastAsia" w:ascii="宋体" w:hAnsi="宋体" w:cs="宋体"/>
                <w:color w:val="000000"/>
              </w:rPr>
            </w:pPr>
            <w:r>
              <w:rPr>
                <w:rFonts w:hint="eastAsia" w:ascii="宋体" w:hAnsi="宋体" w:cs="宋体"/>
                <w:color w:val="000000"/>
              </w:rPr>
              <w:t>整体测评后的单项测评结果再次汇总</w:t>
            </w:r>
          </w:p>
        </w:tc>
        <w:tc>
          <w:tcPr>
            <w:tcW w:w="2551" w:type="dxa"/>
            <w:vMerge w:val="restart"/>
            <w:noWrap w:val="0"/>
            <w:vAlign w:val="center"/>
          </w:tcPr>
          <w:p w14:paraId="5C31E27B">
            <w:pPr>
              <w:rPr>
                <w:rFonts w:hint="eastAsia" w:ascii="宋体" w:hAnsi="宋体" w:cs="宋体"/>
                <w:color w:val="000000"/>
              </w:rPr>
            </w:pPr>
            <w:r>
              <w:rPr>
                <w:rFonts w:hint="eastAsia" w:ascii="宋体" w:hAnsi="宋体" w:cs="宋体"/>
                <w:color w:val="000000"/>
              </w:rPr>
              <w:t>等级测评报告的风险分析部分</w:t>
            </w:r>
          </w:p>
        </w:tc>
      </w:tr>
      <w:tr w14:paraId="3B90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26D5BEFE">
            <w:pPr>
              <w:rPr>
                <w:rFonts w:hint="eastAsia" w:ascii="宋体" w:hAnsi="宋体" w:cs="宋体"/>
                <w:color w:val="000000"/>
              </w:rPr>
            </w:pPr>
          </w:p>
        </w:tc>
        <w:tc>
          <w:tcPr>
            <w:tcW w:w="4111" w:type="dxa"/>
            <w:noWrap w:val="0"/>
            <w:vAlign w:val="center"/>
          </w:tcPr>
          <w:p w14:paraId="28FE7BEE">
            <w:pPr>
              <w:rPr>
                <w:rFonts w:hint="eastAsia" w:ascii="宋体" w:hAnsi="宋体" w:cs="宋体"/>
                <w:color w:val="000000"/>
              </w:rPr>
            </w:pPr>
            <w:r>
              <w:rPr>
                <w:rFonts w:hint="eastAsia" w:ascii="宋体" w:hAnsi="宋体" w:cs="宋体"/>
                <w:color w:val="000000"/>
              </w:rPr>
              <w:t>分析部分符合项或不符合项所产生的安全问题被威胁利用的可能性</w:t>
            </w:r>
          </w:p>
        </w:tc>
        <w:tc>
          <w:tcPr>
            <w:tcW w:w="2551" w:type="dxa"/>
            <w:vMerge w:val="continue"/>
            <w:noWrap w:val="0"/>
            <w:vAlign w:val="center"/>
          </w:tcPr>
          <w:p w14:paraId="14BA50A8">
            <w:pPr>
              <w:rPr>
                <w:rFonts w:hint="eastAsia" w:ascii="宋体" w:hAnsi="宋体" w:cs="宋体"/>
                <w:color w:val="000000"/>
              </w:rPr>
            </w:pPr>
          </w:p>
        </w:tc>
      </w:tr>
      <w:tr w14:paraId="61C5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4B6FE5C0">
            <w:pPr>
              <w:rPr>
                <w:rFonts w:hint="eastAsia" w:ascii="宋体" w:hAnsi="宋体" w:cs="宋体"/>
                <w:color w:val="000000"/>
              </w:rPr>
            </w:pPr>
          </w:p>
        </w:tc>
        <w:tc>
          <w:tcPr>
            <w:tcW w:w="4111" w:type="dxa"/>
            <w:noWrap w:val="0"/>
            <w:vAlign w:val="center"/>
          </w:tcPr>
          <w:p w14:paraId="66ED8DA8">
            <w:pPr>
              <w:rPr>
                <w:rFonts w:hint="eastAsia" w:ascii="宋体" w:hAnsi="宋体" w:cs="宋体"/>
                <w:color w:val="000000"/>
              </w:rPr>
            </w:pPr>
            <w:r>
              <w:rPr>
                <w:rFonts w:hint="eastAsia" w:ascii="宋体" w:hAnsi="宋体" w:cs="宋体"/>
                <w:color w:val="000000"/>
              </w:rPr>
              <w:t>分析威胁利用安全问题后造成的影响程度</w:t>
            </w:r>
          </w:p>
        </w:tc>
        <w:tc>
          <w:tcPr>
            <w:tcW w:w="2551" w:type="dxa"/>
            <w:vMerge w:val="continue"/>
            <w:noWrap w:val="0"/>
            <w:vAlign w:val="center"/>
          </w:tcPr>
          <w:p w14:paraId="426E3CA3">
            <w:pPr>
              <w:rPr>
                <w:rFonts w:hint="eastAsia" w:ascii="宋体" w:hAnsi="宋体" w:cs="宋体"/>
                <w:color w:val="000000"/>
              </w:rPr>
            </w:pPr>
          </w:p>
        </w:tc>
      </w:tr>
      <w:tr w14:paraId="4998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06D5AD8">
            <w:pPr>
              <w:rPr>
                <w:rFonts w:hint="eastAsia" w:ascii="宋体" w:hAnsi="宋体" w:cs="宋体"/>
                <w:color w:val="000000"/>
              </w:rPr>
            </w:pPr>
          </w:p>
        </w:tc>
        <w:tc>
          <w:tcPr>
            <w:tcW w:w="4111" w:type="dxa"/>
            <w:noWrap w:val="0"/>
            <w:vAlign w:val="center"/>
          </w:tcPr>
          <w:p w14:paraId="4790CD86">
            <w:pPr>
              <w:rPr>
                <w:rFonts w:hint="eastAsia" w:ascii="宋体" w:hAnsi="宋体" w:cs="宋体"/>
                <w:color w:val="000000"/>
              </w:rPr>
            </w:pPr>
            <w:r>
              <w:rPr>
                <w:rFonts w:hint="eastAsia" w:ascii="宋体" w:hAnsi="宋体" w:cs="宋体"/>
                <w:color w:val="000000"/>
              </w:rPr>
              <w:t>为被测系统面临的风险进行赋值</w:t>
            </w:r>
          </w:p>
        </w:tc>
        <w:tc>
          <w:tcPr>
            <w:tcW w:w="2551" w:type="dxa"/>
            <w:vMerge w:val="continue"/>
            <w:noWrap w:val="0"/>
            <w:vAlign w:val="center"/>
          </w:tcPr>
          <w:p w14:paraId="6CB60F79">
            <w:pPr>
              <w:rPr>
                <w:rFonts w:hint="eastAsia" w:ascii="宋体" w:hAnsi="宋体" w:cs="宋体"/>
                <w:color w:val="000000"/>
              </w:rPr>
            </w:pPr>
          </w:p>
        </w:tc>
      </w:tr>
      <w:tr w14:paraId="3D78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8257A42">
            <w:pPr>
              <w:rPr>
                <w:rFonts w:hint="eastAsia" w:ascii="宋体" w:hAnsi="宋体" w:cs="宋体"/>
                <w:color w:val="000000"/>
              </w:rPr>
            </w:pPr>
          </w:p>
        </w:tc>
        <w:tc>
          <w:tcPr>
            <w:tcW w:w="4111" w:type="dxa"/>
            <w:noWrap w:val="0"/>
            <w:vAlign w:val="center"/>
          </w:tcPr>
          <w:p w14:paraId="534AE106">
            <w:pPr>
              <w:rPr>
                <w:rFonts w:hint="eastAsia" w:ascii="宋体" w:hAnsi="宋体" w:cs="宋体"/>
                <w:color w:val="000000"/>
              </w:rPr>
            </w:pPr>
            <w:r>
              <w:rPr>
                <w:rFonts w:hint="eastAsia" w:ascii="宋体" w:hAnsi="宋体" w:cs="宋体"/>
                <w:color w:val="000000"/>
              </w:rPr>
              <w:t>评价风险分析结果</w:t>
            </w:r>
          </w:p>
        </w:tc>
        <w:tc>
          <w:tcPr>
            <w:tcW w:w="2551" w:type="dxa"/>
            <w:vMerge w:val="continue"/>
            <w:noWrap w:val="0"/>
            <w:vAlign w:val="center"/>
          </w:tcPr>
          <w:p w14:paraId="61466504">
            <w:pPr>
              <w:rPr>
                <w:rFonts w:hint="eastAsia" w:ascii="宋体" w:hAnsi="宋体" w:cs="宋体"/>
                <w:color w:val="000000"/>
              </w:rPr>
            </w:pPr>
          </w:p>
        </w:tc>
      </w:tr>
      <w:tr w14:paraId="00F5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023F1826">
            <w:pPr>
              <w:rPr>
                <w:rFonts w:hint="eastAsia" w:ascii="宋体" w:hAnsi="宋体" w:cs="宋体"/>
                <w:color w:val="000000"/>
              </w:rPr>
            </w:pPr>
            <w:r>
              <w:rPr>
                <w:rFonts w:hint="eastAsia" w:ascii="宋体" w:hAnsi="宋体" w:cs="宋体"/>
                <w:color w:val="000000"/>
              </w:rPr>
              <w:t>5.等级测评结论形成</w:t>
            </w:r>
          </w:p>
        </w:tc>
        <w:tc>
          <w:tcPr>
            <w:tcW w:w="4111" w:type="dxa"/>
            <w:noWrap w:val="0"/>
            <w:vAlign w:val="center"/>
          </w:tcPr>
          <w:p w14:paraId="42339345">
            <w:pPr>
              <w:rPr>
                <w:rFonts w:hint="eastAsia" w:ascii="宋体" w:hAnsi="宋体" w:cs="宋体"/>
                <w:color w:val="000000"/>
              </w:rPr>
            </w:pPr>
            <w:r>
              <w:rPr>
                <w:rFonts w:hint="eastAsia" w:ascii="宋体" w:hAnsi="宋体" w:cs="宋体"/>
                <w:color w:val="000000"/>
              </w:rPr>
              <w:t>统计再次汇总后的单项测评结果为部分符合和不符合项的项数</w:t>
            </w:r>
          </w:p>
        </w:tc>
        <w:tc>
          <w:tcPr>
            <w:tcW w:w="2551" w:type="dxa"/>
            <w:vMerge w:val="restart"/>
            <w:noWrap w:val="0"/>
            <w:vAlign w:val="center"/>
          </w:tcPr>
          <w:p w14:paraId="4C9B3ACB">
            <w:pPr>
              <w:rPr>
                <w:rFonts w:hint="eastAsia" w:ascii="宋体" w:hAnsi="宋体" w:cs="宋体"/>
                <w:color w:val="000000"/>
              </w:rPr>
            </w:pPr>
            <w:r>
              <w:rPr>
                <w:rFonts w:hint="eastAsia" w:ascii="宋体" w:hAnsi="宋体" w:cs="宋体"/>
                <w:color w:val="000000"/>
              </w:rPr>
              <w:t>等级测评报告的等级测评结论部分</w:t>
            </w:r>
          </w:p>
        </w:tc>
      </w:tr>
      <w:tr w14:paraId="76AE8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7A284219">
            <w:pPr>
              <w:rPr>
                <w:rFonts w:hint="eastAsia" w:ascii="宋体" w:hAnsi="宋体" w:cs="宋体"/>
                <w:color w:val="000000"/>
              </w:rPr>
            </w:pPr>
          </w:p>
        </w:tc>
        <w:tc>
          <w:tcPr>
            <w:tcW w:w="4111" w:type="dxa"/>
            <w:noWrap w:val="0"/>
            <w:vAlign w:val="center"/>
          </w:tcPr>
          <w:p w14:paraId="13A77720">
            <w:pPr>
              <w:rPr>
                <w:rFonts w:hint="eastAsia" w:ascii="宋体" w:hAnsi="宋体" w:cs="宋体"/>
                <w:color w:val="000000"/>
              </w:rPr>
            </w:pPr>
            <w:r>
              <w:rPr>
                <w:rFonts w:hint="eastAsia" w:ascii="宋体" w:hAnsi="宋体" w:cs="宋体"/>
                <w:color w:val="000000"/>
              </w:rPr>
              <w:t>形成等级测评结论</w:t>
            </w:r>
          </w:p>
        </w:tc>
        <w:tc>
          <w:tcPr>
            <w:tcW w:w="2551" w:type="dxa"/>
            <w:vMerge w:val="continue"/>
            <w:noWrap w:val="0"/>
            <w:vAlign w:val="center"/>
          </w:tcPr>
          <w:p w14:paraId="2938E366">
            <w:pPr>
              <w:rPr>
                <w:rFonts w:hint="eastAsia" w:ascii="宋体" w:hAnsi="宋体" w:cs="宋体"/>
                <w:color w:val="000000"/>
              </w:rPr>
            </w:pPr>
          </w:p>
        </w:tc>
      </w:tr>
      <w:tr w14:paraId="19A92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636896B3">
            <w:pPr>
              <w:rPr>
                <w:rFonts w:hint="eastAsia" w:ascii="宋体" w:hAnsi="宋体" w:cs="宋体"/>
                <w:color w:val="000000"/>
              </w:rPr>
            </w:pPr>
            <w:r>
              <w:rPr>
                <w:rFonts w:hint="eastAsia" w:ascii="宋体" w:hAnsi="宋体" w:cs="宋体"/>
                <w:color w:val="000000"/>
              </w:rPr>
              <w:t>6.测评报告编制</w:t>
            </w:r>
          </w:p>
        </w:tc>
        <w:tc>
          <w:tcPr>
            <w:tcW w:w="4111" w:type="dxa"/>
            <w:noWrap w:val="0"/>
            <w:vAlign w:val="center"/>
          </w:tcPr>
          <w:p w14:paraId="72FE4209">
            <w:pPr>
              <w:rPr>
                <w:rFonts w:hint="eastAsia" w:ascii="宋体" w:hAnsi="宋体" w:cs="宋体"/>
                <w:color w:val="000000"/>
              </w:rPr>
            </w:pPr>
            <w:r>
              <w:rPr>
                <w:rFonts w:hint="eastAsia" w:ascii="宋体" w:hAnsi="宋体" w:cs="宋体"/>
                <w:color w:val="000000"/>
              </w:rPr>
              <w:t>概述测评项目情况</w:t>
            </w:r>
          </w:p>
        </w:tc>
        <w:tc>
          <w:tcPr>
            <w:tcW w:w="2551" w:type="dxa"/>
            <w:vMerge w:val="restart"/>
            <w:noWrap w:val="0"/>
            <w:vAlign w:val="center"/>
          </w:tcPr>
          <w:p w14:paraId="7EE069E4">
            <w:pPr>
              <w:rPr>
                <w:rFonts w:hint="eastAsia" w:ascii="宋体" w:hAnsi="宋体" w:cs="宋体"/>
                <w:color w:val="000000"/>
              </w:rPr>
            </w:pPr>
            <w:r>
              <w:rPr>
                <w:rFonts w:hint="eastAsia" w:ascii="宋体" w:hAnsi="宋体" w:cs="宋体"/>
                <w:color w:val="000000"/>
              </w:rPr>
              <w:t>等级测评报告 提交招标人</w:t>
            </w:r>
          </w:p>
        </w:tc>
      </w:tr>
      <w:tr w14:paraId="7796F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941740C">
            <w:pPr>
              <w:rPr>
                <w:rFonts w:hint="eastAsia" w:ascii="宋体" w:hAnsi="宋体" w:cs="宋体"/>
                <w:color w:val="000000"/>
              </w:rPr>
            </w:pPr>
          </w:p>
        </w:tc>
        <w:tc>
          <w:tcPr>
            <w:tcW w:w="4111" w:type="dxa"/>
            <w:noWrap w:val="0"/>
            <w:vAlign w:val="center"/>
          </w:tcPr>
          <w:p w14:paraId="668FF168">
            <w:pPr>
              <w:rPr>
                <w:rFonts w:hint="eastAsia" w:ascii="宋体" w:hAnsi="宋体" w:cs="宋体"/>
                <w:color w:val="000000"/>
              </w:rPr>
            </w:pPr>
            <w:r>
              <w:rPr>
                <w:rFonts w:hint="eastAsia" w:ascii="宋体" w:hAnsi="宋体" w:cs="宋体"/>
                <w:color w:val="000000"/>
              </w:rPr>
              <w:t>描述被测系统情况</w:t>
            </w:r>
          </w:p>
        </w:tc>
        <w:tc>
          <w:tcPr>
            <w:tcW w:w="2551" w:type="dxa"/>
            <w:vMerge w:val="continue"/>
            <w:noWrap w:val="0"/>
            <w:vAlign w:val="top"/>
          </w:tcPr>
          <w:p w14:paraId="05D60483">
            <w:pPr>
              <w:rPr>
                <w:rFonts w:hint="eastAsia" w:ascii="宋体" w:hAnsi="宋体" w:cs="宋体"/>
                <w:color w:val="000000"/>
              </w:rPr>
            </w:pPr>
          </w:p>
        </w:tc>
      </w:tr>
      <w:tr w14:paraId="5E60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2013F37A">
            <w:pPr>
              <w:rPr>
                <w:rFonts w:hint="eastAsia" w:ascii="宋体" w:hAnsi="宋体" w:cs="宋体"/>
                <w:color w:val="000000"/>
              </w:rPr>
            </w:pPr>
          </w:p>
        </w:tc>
        <w:tc>
          <w:tcPr>
            <w:tcW w:w="4111" w:type="dxa"/>
            <w:noWrap w:val="0"/>
            <w:vAlign w:val="center"/>
          </w:tcPr>
          <w:p w14:paraId="45BD1626">
            <w:pPr>
              <w:rPr>
                <w:rFonts w:hint="eastAsia" w:ascii="宋体" w:hAnsi="宋体" w:cs="宋体"/>
                <w:color w:val="000000"/>
              </w:rPr>
            </w:pPr>
            <w:r>
              <w:rPr>
                <w:rFonts w:hint="eastAsia" w:ascii="宋体" w:hAnsi="宋体" w:cs="宋体"/>
                <w:color w:val="000000"/>
              </w:rPr>
              <w:t>描述测评范围和方法</w:t>
            </w:r>
          </w:p>
        </w:tc>
        <w:tc>
          <w:tcPr>
            <w:tcW w:w="2551" w:type="dxa"/>
            <w:vMerge w:val="continue"/>
            <w:noWrap w:val="0"/>
            <w:vAlign w:val="top"/>
          </w:tcPr>
          <w:p w14:paraId="1B749717">
            <w:pPr>
              <w:rPr>
                <w:rFonts w:hint="eastAsia" w:ascii="宋体" w:hAnsi="宋体" w:cs="宋体"/>
                <w:color w:val="000000"/>
              </w:rPr>
            </w:pPr>
          </w:p>
        </w:tc>
      </w:tr>
      <w:tr w14:paraId="3BFE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142C14D6">
            <w:pPr>
              <w:rPr>
                <w:rFonts w:hint="eastAsia" w:ascii="宋体" w:hAnsi="宋体" w:cs="宋体"/>
                <w:color w:val="000000"/>
              </w:rPr>
            </w:pPr>
          </w:p>
        </w:tc>
        <w:tc>
          <w:tcPr>
            <w:tcW w:w="4111" w:type="dxa"/>
            <w:noWrap w:val="0"/>
            <w:vAlign w:val="center"/>
          </w:tcPr>
          <w:p w14:paraId="532AB9EC">
            <w:pPr>
              <w:rPr>
                <w:rFonts w:hint="eastAsia" w:ascii="宋体" w:hAnsi="宋体" w:cs="宋体"/>
                <w:color w:val="000000"/>
              </w:rPr>
            </w:pPr>
            <w:r>
              <w:rPr>
                <w:rFonts w:hint="eastAsia" w:ascii="宋体" w:hAnsi="宋体" w:cs="宋体"/>
                <w:color w:val="000000"/>
              </w:rPr>
              <w:t>描述整体测评情况</w:t>
            </w:r>
          </w:p>
        </w:tc>
        <w:tc>
          <w:tcPr>
            <w:tcW w:w="2551" w:type="dxa"/>
            <w:vMerge w:val="continue"/>
            <w:noWrap w:val="0"/>
            <w:vAlign w:val="top"/>
          </w:tcPr>
          <w:p w14:paraId="03312419">
            <w:pPr>
              <w:rPr>
                <w:rFonts w:hint="eastAsia" w:ascii="宋体" w:hAnsi="宋体" w:cs="宋体"/>
                <w:color w:val="000000"/>
              </w:rPr>
            </w:pPr>
          </w:p>
        </w:tc>
      </w:tr>
      <w:tr w14:paraId="194F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863EBB7">
            <w:pPr>
              <w:rPr>
                <w:rFonts w:hint="eastAsia" w:ascii="宋体" w:hAnsi="宋体" w:cs="宋体"/>
                <w:color w:val="000000"/>
              </w:rPr>
            </w:pPr>
          </w:p>
        </w:tc>
        <w:tc>
          <w:tcPr>
            <w:tcW w:w="4111" w:type="dxa"/>
            <w:noWrap w:val="0"/>
            <w:vAlign w:val="center"/>
          </w:tcPr>
          <w:p w14:paraId="72BA1B9D">
            <w:pPr>
              <w:rPr>
                <w:rFonts w:hint="eastAsia" w:ascii="宋体" w:hAnsi="宋体" w:cs="宋体"/>
                <w:color w:val="000000"/>
              </w:rPr>
            </w:pPr>
            <w:r>
              <w:rPr>
                <w:rFonts w:hint="eastAsia" w:ascii="宋体" w:hAnsi="宋体" w:cs="宋体"/>
                <w:color w:val="000000"/>
              </w:rPr>
              <w:t>汇总测评结果</w:t>
            </w:r>
          </w:p>
        </w:tc>
        <w:tc>
          <w:tcPr>
            <w:tcW w:w="2551" w:type="dxa"/>
            <w:vMerge w:val="continue"/>
            <w:noWrap w:val="0"/>
            <w:vAlign w:val="top"/>
          </w:tcPr>
          <w:p w14:paraId="1025B748">
            <w:pPr>
              <w:rPr>
                <w:rFonts w:hint="eastAsia" w:ascii="宋体" w:hAnsi="宋体" w:cs="宋体"/>
                <w:color w:val="000000"/>
              </w:rPr>
            </w:pPr>
          </w:p>
        </w:tc>
      </w:tr>
      <w:tr w14:paraId="3D328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066242D8">
            <w:pPr>
              <w:rPr>
                <w:rFonts w:hint="eastAsia" w:ascii="宋体" w:hAnsi="宋体" w:cs="宋体"/>
                <w:color w:val="000000"/>
              </w:rPr>
            </w:pPr>
          </w:p>
        </w:tc>
        <w:tc>
          <w:tcPr>
            <w:tcW w:w="4111" w:type="dxa"/>
            <w:noWrap w:val="0"/>
            <w:vAlign w:val="center"/>
          </w:tcPr>
          <w:p w14:paraId="45AC73B5">
            <w:pPr>
              <w:rPr>
                <w:rFonts w:hint="eastAsia" w:ascii="宋体" w:hAnsi="宋体" w:cs="宋体"/>
                <w:color w:val="000000"/>
              </w:rPr>
            </w:pPr>
            <w:r>
              <w:rPr>
                <w:rFonts w:hint="eastAsia" w:ascii="宋体" w:hAnsi="宋体" w:cs="宋体"/>
                <w:color w:val="000000"/>
              </w:rPr>
              <w:t>描述风险情况</w:t>
            </w:r>
          </w:p>
        </w:tc>
        <w:tc>
          <w:tcPr>
            <w:tcW w:w="2551" w:type="dxa"/>
            <w:vMerge w:val="continue"/>
            <w:noWrap w:val="0"/>
            <w:vAlign w:val="top"/>
          </w:tcPr>
          <w:p w14:paraId="3C5C2F5C">
            <w:pPr>
              <w:rPr>
                <w:rFonts w:hint="eastAsia" w:ascii="宋体" w:hAnsi="宋体" w:cs="宋体"/>
                <w:color w:val="000000"/>
              </w:rPr>
            </w:pPr>
          </w:p>
        </w:tc>
      </w:tr>
      <w:tr w14:paraId="6B9F4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2DECDDB1">
            <w:pPr>
              <w:rPr>
                <w:rFonts w:hint="eastAsia" w:ascii="宋体" w:hAnsi="宋体" w:cs="宋体"/>
                <w:color w:val="000000"/>
              </w:rPr>
            </w:pPr>
          </w:p>
        </w:tc>
        <w:tc>
          <w:tcPr>
            <w:tcW w:w="4111" w:type="dxa"/>
            <w:noWrap w:val="0"/>
            <w:vAlign w:val="center"/>
          </w:tcPr>
          <w:p w14:paraId="0FDFCE54">
            <w:pPr>
              <w:rPr>
                <w:rFonts w:hint="eastAsia" w:ascii="宋体" w:hAnsi="宋体" w:cs="宋体"/>
                <w:color w:val="000000"/>
              </w:rPr>
            </w:pPr>
            <w:r>
              <w:rPr>
                <w:rFonts w:hint="eastAsia" w:ascii="宋体" w:hAnsi="宋体" w:cs="宋体"/>
                <w:color w:val="000000"/>
              </w:rPr>
              <w:t>给出等级测评结论和整改建议</w:t>
            </w:r>
          </w:p>
        </w:tc>
        <w:tc>
          <w:tcPr>
            <w:tcW w:w="2551" w:type="dxa"/>
            <w:vMerge w:val="continue"/>
            <w:noWrap w:val="0"/>
            <w:vAlign w:val="top"/>
          </w:tcPr>
          <w:p w14:paraId="085862FB">
            <w:pPr>
              <w:rPr>
                <w:rFonts w:hint="eastAsia" w:ascii="宋体" w:hAnsi="宋体" w:cs="宋体"/>
                <w:color w:val="000000"/>
              </w:rPr>
            </w:pPr>
          </w:p>
        </w:tc>
      </w:tr>
    </w:tbl>
    <w:p w14:paraId="0D140039">
      <w:pPr>
        <w:adjustRightInd w:val="0"/>
        <w:snapToGrid w:val="0"/>
        <w:spacing w:line="300" w:lineRule="auto"/>
        <w:ind w:firstLine="588" w:firstLineChars="245"/>
        <w:rPr>
          <w:rFonts w:hint="eastAsia" w:ascii="宋体" w:hAnsi="Times New Roman" w:eastAsia="宋体" w:cs="Times New Roman"/>
          <w:kern w:val="0"/>
          <w:sz w:val="24"/>
          <w:lang w:val="en-US"/>
        </w:rPr>
      </w:pPr>
    </w:p>
    <w:p w14:paraId="5FEEF5A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楷体" w:hAnsi="楷体" w:eastAsia="楷体" w:cs="楷体"/>
          <w:kern w:val="0"/>
          <w:sz w:val="24"/>
        </w:rPr>
        <w:t>（二）关键信息基础设施网络安全评估服务</w:t>
      </w:r>
      <w:r>
        <w:rPr>
          <w:rFonts w:hint="eastAsia" w:ascii="宋体" w:hAnsi="Times New Roman" w:eastAsia="宋体" w:cs="Times New Roman"/>
          <w:kern w:val="0"/>
          <w:sz w:val="24"/>
        </w:rPr>
        <w:t xml:space="preserve">  </w:t>
      </w:r>
    </w:p>
    <w:p w14:paraId="63AEAF5A">
      <w:p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bookmarkStart w:id="64" w:name="_Toc353803380"/>
      <w:bookmarkStart w:id="65" w:name="_Toc165535645"/>
      <w:bookmarkStart w:id="66" w:name="_Toc335827914"/>
      <w:bookmarkStart w:id="67" w:name="_Toc238008578"/>
      <w:r>
        <w:rPr>
          <w:rFonts w:hint="eastAsia" w:ascii="宋体" w:hAnsi="Times New Roman" w:eastAsia="宋体" w:cs="Times New Roman"/>
          <w:b/>
          <w:bCs/>
          <w:kern w:val="0"/>
          <w:sz w:val="24"/>
          <w:lang w:val="en-US" w:eastAsia="zh-CN"/>
        </w:rPr>
        <w:t>1</w:t>
      </w:r>
      <w:r>
        <w:rPr>
          <w:rFonts w:hint="eastAsia" w:ascii="宋体" w:hAnsi="Times New Roman" w:eastAsia="宋体" w:cs="Times New Roman"/>
          <w:b/>
          <w:bCs/>
          <w:kern w:val="0"/>
          <w:sz w:val="24"/>
        </w:rPr>
        <w:t>.评估对象</w:t>
      </w:r>
    </w:p>
    <w:p w14:paraId="5387D3C9">
      <w:pPr>
        <w:adjustRightInd w:val="0"/>
        <w:snapToGrid w:val="0"/>
        <w:spacing w:line="300" w:lineRule="auto"/>
        <w:ind w:firstLine="588" w:firstLineChars="245"/>
        <w:rPr>
          <w:rFonts w:hint="eastAsia" w:ascii="宋体" w:hAnsi="Times New Roman" w:eastAsia="宋体" w:cs="Times New Roman"/>
          <w:kern w:val="0"/>
          <w:sz w:val="24"/>
          <w:highlight w:val="none"/>
        </w:rPr>
      </w:pPr>
      <w:r>
        <w:rPr>
          <w:rFonts w:hint="eastAsia" w:ascii="宋体" w:hAnsi="Times New Roman" w:eastAsia="宋体" w:cs="Times New Roman"/>
          <w:kern w:val="0"/>
          <w:sz w:val="24"/>
        </w:rPr>
        <w:t>本次评估的对</w:t>
      </w:r>
      <w:r>
        <w:rPr>
          <w:rFonts w:hint="eastAsia" w:ascii="宋体" w:hAnsi="Times New Roman" w:eastAsia="宋体" w:cs="Times New Roman"/>
          <w:kern w:val="0"/>
          <w:sz w:val="24"/>
          <w:highlight w:val="none"/>
        </w:rPr>
        <w:t>象</w:t>
      </w:r>
      <w:r>
        <w:rPr>
          <w:rFonts w:hint="eastAsia" w:ascii="宋体" w:hAnsi="Times New Roman" w:eastAsia="宋体" w:cs="Times New Roman"/>
          <w:kern w:val="0"/>
          <w:sz w:val="24"/>
          <w:highlight w:val="none"/>
        </w:rPr>
        <w:t>是</w:t>
      </w:r>
      <w:r>
        <w:rPr>
          <w:rFonts w:hint="eastAsia" w:ascii="宋体" w:hAnsi="Times New Roman" w:eastAsia="宋体" w:cs="Times New Roman"/>
          <w:kern w:val="0"/>
          <w:sz w:val="24"/>
          <w:highlight w:val="none"/>
        </w:rPr>
        <w:t>7</w:t>
      </w:r>
      <w:r>
        <w:rPr>
          <w:rFonts w:hint="eastAsia" w:ascii="宋体" w:hAnsi="Times New Roman" w:eastAsia="宋体" w:cs="Times New Roman"/>
          <w:kern w:val="0"/>
          <w:sz w:val="24"/>
          <w:highlight w:val="none"/>
        </w:rPr>
        <w:t>个关键信息基础设施（见下表），评估范围包括被测系统所承载的业务、数据，以及所涉及的物理环境、系统单元、系统组件、人力资源、安全服务和安全管理文档等。</w:t>
      </w:r>
    </w:p>
    <w:tbl>
      <w:tblPr>
        <w:tblStyle w:val="3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05"/>
        <w:gridCol w:w="942"/>
        <w:gridCol w:w="5207"/>
      </w:tblGrid>
      <w:tr w14:paraId="7F63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674" w:type="dxa"/>
            <w:shd w:val="pct10" w:color="auto" w:fill="auto"/>
            <w:noWrap w:val="0"/>
            <w:vAlign w:val="center"/>
          </w:tcPr>
          <w:p w14:paraId="5BFF344A">
            <w:pPr>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705" w:type="dxa"/>
            <w:shd w:val="pct10" w:color="auto" w:fill="auto"/>
            <w:noWrap w:val="0"/>
            <w:vAlign w:val="center"/>
          </w:tcPr>
          <w:p w14:paraId="494D79FE">
            <w:pPr>
              <w:jc w:val="center"/>
              <w:rPr>
                <w:rFonts w:hint="eastAsia" w:ascii="宋体" w:hAnsi="宋体" w:cs="宋体"/>
                <w:b/>
                <w:bCs/>
                <w:szCs w:val="21"/>
                <w:highlight w:val="none"/>
              </w:rPr>
            </w:pPr>
            <w:r>
              <w:rPr>
                <w:rFonts w:hint="eastAsia" w:ascii="宋体" w:hAnsi="宋体" w:cs="宋体"/>
                <w:b/>
                <w:bCs/>
                <w:szCs w:val="21"/>
                <w:highlight w:val="none"/>
              </w:rPr>
              <w:t>系统名称</w:t>
            </w:r>
          </w:p>
        </w:tc>
        <w:tc>
          <w:tcPr>
            <w:tcW w:w="942" w:type="dxa"/>
            <w:shd w:val="pct10" w:color="auto" w:fill="auto"/>
            <w:noWrap w:val="0"/>
            <w:vAlign w:val="center"/>
          </w:tcPr>
          <w:p w14:paraId="4355120D">
            <w:pPr>
              <w:ind w:left="36"/>
              <w:jc w:val="center"/>
              <w:rPr>
                <w:rFonts w:hint="eastAsia" w:ascii="宋体" w:hAnsi="宋体" w:cs="宋体"/>
                <w:b/>
                <w:bCs/>
                <w:szCs w:val="21"/>
                <w:highlight w:val="none"/>
              </w:rPr>
            </w:pPr>
            <w:r>
              <w:rPr>
                <w:rFonts w:hint="eastAsia" w:ascii="宋体" w:hAnsi="宋体" w:cs="宋体"/>
                <w:b/>
                <w:bCs/>
                <w:szCs w:val="21"/>
                <w:highlight w:val="none"/>
              </w:rPr>
              <w:t>网络安全等级</w:t>
            </w:r>
          </w:p>
        </w:tc>
        <w:tc>
          <w:tcPr>
            <w:tcW w:w="5207" w:type="dxa"/>
            <w:shd w:val="pct10" w:color="auto" w:fill="auto"/>
            <w:noWrap w:val="0"/>
            <w:vAlign w:val="center"/>
          </w:tcPr>
          <w:p w14:paraId="2F11BCDC">
            <w:pPr>
              <w:jc w:val="center"/>
              <w:rPr>
                <w:rFonts w:hint="eastAsia" w:ascii="宋体" w:hAnsi="宋体" w:cs="宋体"/>
                <w:b/>
                <w:bCs/>
                <w:sz w:val="24"/>
                <w:highlight w:val="none"/>
              </w:rPr>
            </w:pPr>
            <w:r>
              <w:rPr>
                <w:rFonts w:hint="eastAsia" w:ascii="宋体" w:hAnsi="宋体" w:cs="宋体"/>
                <w:b/>
                <w:bCs/>
                <w:sz w:val="24"/>
                <w:highlight w:val="none"/>
              </w:rPr>
              <w:t>系统描述</w:t>
            </w:r>
          </w:p>
        </w:tc>
      </w:tr>
      <w:tr w14:paraId="180A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2C3F827A">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705" w:type="dxa"/>
            <w:noWrap w:val="0"/>
            <w:vAlign w:val="center"/>
          </w:tcPr>
          <w:p w14:paraId="324092F7">
            <w:pPr>
              <w:jc w:val="center"/>
              <w:rPr>
                <w:rFonts w:hint="eastAsia" w:ascii="宋体" w:hAnsi="宋体" w:cs="宋体"/>
                <w:sz w:val="21"/>
                <w:szCs w:val="21"/>
                <w:highlight w:val="none"/>
              </w:rPr>
            </w:pPr>
            <w:r>
              <w:rPr>
                <w:rFonts w:hint="eastAsia" w:ascii="宋体" w:hAnsi="宋体" w:cs="宋体"/>
                <w:sz w:val="21"/>
                <w:szCs w:val="21"/>
                <w:highlight w:val="none"/>
              </w:rPr>
              <w:t>教育基础数据库管理与服务系统</w:t>
            </w:r>
          </w:p>
        </w:tc>
        <w:tc>
          <w:tcPr>
            <w:tcW w:w="942" w:type="dxa"/>
            <w:noWrap w:val="0"/>
            <w:vAlign w:val="center"/>
          </w:tcPr>
          <w:p w14:paraId="01A995F9">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6FAF0638">
            <w:pPr>
              <w:rPr>
                <w:rFonts w:hint="eastAsia" w:ascii="宋体" w:hAnsi="宋体" w:cs="宋体"/>
                <w:sz w:val="21"/>
                <w:szCs w:val="21"/>
                <w:highlight w:val="none"/>
              </w:rPr>
            </w:pPr>
            <w:r>
              <w:rPr>
                <w:rFonts w:hint="eastAsia" w:ascii="宋体" w:hAnsi="宋体" w:cs="宋体"/>
                <w:sz w:val="21"/>
                <w:szCs w:val="21"/>
                <w:highlight w:val="none"/>
              </w:rPr>
              <w:t>教育基础信息数据库管理与服务系统主要用于建立教育基础信息共享中心及其技术支撑体系，实现对教育基础信息数据资源进行有序组织、统一管理和高效治理。部署位置：本地机房</w:t>
            </w:r>
          </w:p>
        </w:tc>
      </w:tr>
      <w:tr w14:paraId="57A8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4E9E4BCF">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705" w:type="dxa"/>
            <w:noWrap w:val="0"/>
            <w:vAlign w:val="center"/>
          </w:tcPr>
          <w:p w14:paraId="026FD249">
            <w:pPr>
              <w:jc w:val="center"/>
              <w:rPr>
                <w:rFonts w:hint="eastAsia" w:ascii="宋体" w:hAnsi="宋体" w:cs="宋体"/>
                <w:sz w:val="21"/>
                <w:szCs w:val="21"/>
                <w:highlight w:val="none"/>
              </w:rPr>
            </w:pPr>
            <w:r>
              <w:rPr>
                <w:rFonts w:hint="eastAsia" w:ascii="宋体" w:hAnsi="宋体" w:cs="宋体"/>
                <w:kern w:val="0"/>
                <w:sz w:val="21"/>
                <w:szCs w:val="21"/>
                <w:highlight w:val="none"/>
              </w:rPr>
              <w:t>海南省学生资助管理信息系统</w:t>
            </w:r>
          </w:p>
        </w:tc>
        <w:tc>
          <w:tcPr>
            <w:tcW w:w="942" w:type="dxa"/>
            <w:noWrap w:val="0"/>
            <w:vAlign w:val="center"/>
          </w:tcPr>
          <w:p w14:paraId="033B1989">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3DD80E76">
            <w:pPr>
              <w:rPr>
                <w:rFonts w:hint="eastAsia" w:ascii="宋体" w:hAnsi="宋体" w:cs="宋体"/>
                <w:sz w:val="21"/>
                <w:szCs w:val="21"/>
                <w:highlight w:val="none"/>
              </w:rPr>
            </w:pPr>
            <w:r>
              <w:rPr>
                <w:rFonts w:hint="eastAsia" w:ascii="宋体" w:hAnsi="宋体" w:cs="宋体"/>
                <w:sz w:val="21"/>
                <w:szCs w:val="21"/>
                <w:highlight w:val="none"/>
              </w:rPr>
              <w:t>该系统用于贫困学生资助申报、信息管理。部署位置：省政务云</w:t>
            </w:r>
          </w:p>
        </w:tc>
      </w:tr>
      <w:tr w14:paraId="6DBE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3BB67BBB">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705" w:type="dxa"/>
            <w:noWrap w:val="0"/>
            <w:vAlign w:val="center"/>
          </w:tcPr>
          <w:p w14:paraId="3C4D89B4">
            <w:pPr>
              <w:jc w:val="center"/>
              <w:rPr>
                <w:rFonts w:hint="eastAsia" w:ascii="宋体" w:hAnsi="宋体" w:cs="宋体"/>
                <w:kern w:val="0"/>
                <w:sz w:val="21"/>
                <w:szCs w:val="21"/>
                <w:highlight w:val="none"/>
              </w:rPr>
            </w:pPr>
            <w:r>
              <w:rPr>
                <w:rFonts w:hint="eastAsia" w:ascii="宋体" w:hAnsi="宋体" w:cs="宋体"/>
                <w:kern w:val="0"/>
                <w:sz w:val="21"/>
                <w:szCs w:val="21"/>
                <w:highlight w:val="none"/>
              </w:rPr>
              <w:t>海南省中职学籍管理信息系统</w:t>
            </w:r>
          </w:p>
        </w:tc>
        <w:tc>
          <w:tcPr>
            <w:tcW w:w="942" w:type="dxa"/>
            <w:noWrap w:val="0"/>
            <w:vAlign w:val="center"/>
          </w:tcPr>
          <w:p w14:paraId="5C9227D1">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4172ABF8">
            <w:pPr>
              <w:rPr>
                <w:rFonts w:hint="eastAsia" w:ascii="宋体" w:hAnsi="宋体" w:cs="宋体"/>
                <w:sz w:val="21"/>
                <w:szCs w:val="21"/>
                <w:highlight w:val="none"/>
              </w:rPr>
            </w:pPr>
            <w:r>
              <w:rPr>
                <w:rFonts w:hint="eastAsia" w:ascii="宋体" w:hAnsi="宋体" w:cs="宋体"/>
                <w:sz w:val="21"/>
                <w:szCs w:val="21"/>
                <w:highlight w:val="none"/>
              </w:rPr>
              <w:t>该系统主要包括登录、新生信息录入、学生信息查询、更新学生信息、学生成绩录入、学生成绩查询、权限管理等功能模块。部署位置：省政务云</w:t>
            </w:r>
          </w:p>
        </w:tc>
      </w:tr>
      <w:tr w14:paraId="11F2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6D1A9599">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1705" w:type="dxa"/>
            <w:noWrap w:val="0"/>
            <w:vAlign w:val="center"/>
          </w:tcPr>
          <w:p w14:paraId="536811C5">
            <w:pPr>
              <w:jc w:val="center"/>
              <w:rPr>
                <w:rFonts w:hint="eastAsia" w:ascii="宋体" w:hAnsi="宋体" w:cs="宋体"/>
                <w:kern w:val="0"/>
                <w:sz w:val="21"/>
                <w:szCs w:val="21"/>
                <w:highlight w:val="none"/>
              </w:rPr>
            </w:pPr>
            <w:r>
              <w:rPr>
                <w:rFonts w:hint="eastAsia" w:ascii="宋体" w:hAnsi="宋体" w:cs="宋体"/>
                <w:kern w:val="0"/>
                <w:sz w:val="21"/>
                <w:szCs w:val="21"/>
                <w:highlight w:val="none"/>
              </w:rPr>
              <w:t>国家学前管理信息系统（海南）</w:t>
            </w:r>
          </w:p>
        </w:tc>
        <w:tc>
          <w:tcPr>
            <w:tcW w:w="942" w:type="dxa"/>
            <w:noWrap w:val="0"/>
            <w:vAlign w:val="center"/>
          </w:tcPr>
          <w:p w14:paraId="4DE730DB">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485549C6">
            <w:pPr>
              <w:ind w:left="10" w:hanging="8" w:hangingChars="4"/>
              <w:rPr>
                <w:rFonts w:hint="eastAsia" w:ascii="宋体" w:hAnsi="宋体" w:cs="宋体"/>
                <w:sz w:val="21"/>
                <w:szCs w:val="21"/>
                <w:highlight w:val="none"/>
              </w:rPr>
            </w:pPr>
            <w:r>
              <w:rPr>
                <w:rFonts w:hint="eastAsia" w:ascii="宋体" w:hAnsi="宋体" w:cs="宋体"/>
                <w:sz w:val="21"/>
                <w:szCs w:val="21"/>
                <w:highlight w:val="none"/>
              </w:rPr>
              <w:t>该系统用于学前教育信息管理及数据统计。部署位置：省政务云</w:t>
            </w:r>
          </w:p>
        </w:tc>
      </w:tr>
      <w:tr w14:paraId="7C9C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46198CCE">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5</w:t>
            </w:r>
          </w:p>
        </w:tc>
        <w:tc>
          <w:tcPr>
            <w:tcW w:w="1705" w:type="dxa"/>
            <w:noWrap w:val="0"/>
            <w:vAlign w:val="center"/>
          </w:tcPr>
          <w:p w14:paraId="489892AF">
            <w:pPr>
              <w:jc w:val="center"/>
              <w:rPr>
                <w:rFonts w:hint="eastAsia" w:ascii="宋体" w:hAnsi="宋体" w:cs="宋体"/>
                <w:kern w:val="0"/>
                <w:sz w:val="21"/>
                <w:szCs w:val="21"/>
                <w:highlight w:val="none"/>
              </w:rPr>
            </w:pPr>
            <w:r>
              <w:rPr>
                <w:rFonts w:hint="eastAsia" w:ascii="宋体" w:hAnsi="宋体" w:cs="宋体"/>
                <w:kern w:val="0"/>
                <w:sz w:val="21"/>
                <w:szCs w:val="21"/>
                <w:highlight w:val="none"/>
              </w:rPr>
              <w:t>全国中小学学籍管理系统（海南）</w:t>
            </w:r>
          </w:p>
        </w:tc>
        <w:tc>
          <w:tcPr>
            <w:tcW w:w="942" w:type="dxa"/>
            <w:noWrap w:val="0"/>
            <w:vAlign w:val="center"/>
          </w:tcPr>
          <w:p w14:paraId="3354A8E5">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58DFA140">
            <w:pPr>
              <w:rPr>
                <w:rFonts w:hint="eastAsia" w:ascii="宋体" w:hAnsi="宋体" w:cs="宋体"/>
                <w:sz w:val="21"/>
                <w:szCs w:val="21"/>
                <w:highlight w:val="none"/>
              </w:rPr>
            </w:pPr>
            <w:r>
              <w:rPr>
                <w:rFonts w:hint="eastAsia" w:ascii="宋体" w:hAnsi="宋体" w:cs="宋体"/>
                <w:sz w:val="21"/>
                <w:szCs w:val="21"/>
                <w:highlight w:val="none"/>
              </w:rPr>
              <w:t>该系统主要用于中小学学生信息管理，包括登录、新生信息录入、学生信息查询等功能模块。部署位置：本地机房</w:t>
            </w:r>
          </w:p>
        </w:tc>
      </w:tr>
      <w:tr w14:paraId="1081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4" w:type="dxa"/>
            <w:noWrap w:val="0"/>
            <w:vAlign w:val="center"/>
          </w:tcPr>
          <w:p w14:paraId="0E5905CC">
            <w:pPr>
              <w:widowControl/>
              <w:tabs>
                <w:tab w:val="left" w:pos="0"/>
              </w:tabs>
              <w:ind w:right="29" w:rightChars="14"/>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1705" w:type="dxa"/>
            <w:noWrap w:val="0"/>
            <w:vAlign w:val="center"/>
          </w:tcPr>
          <w:p w14:paraId="327F4859">
            <w:pPr>
              <w:jc w:val="center"/>
              <w:rPr>
                <w:rFonts w:hint="eastAsia" w:ascii="宋体" w:hAnsi="宋体" w:cs="宋体"/>
                <w:kern w:val="0"/>
                <w:sz w:val="21"/>
                <w:szCs w:val="21"/>
                <w:highlight w:val="none"/>
              </w:rPr>
            </w:pPr>
            <w:r>
              <w:rPr>
                <w:rFonts w:hint="eastAsia" w:ascii="宋体" w:hAnsi="宋体" w:cs="宋体"/>
                <w:kern w:val="0"/>
                <w:sz w:val="21"/>
                <w:szCs w:val="21"/>
                <w:highlight w:val="none"/>
              </w:rPr>
              <w:t>全国教师管理信息系统（海南）</w:t>
            </w:r>
          </w:p>
        </w:tc>
        <w:tc>
          <w:tcPr>
            <w:tcW w:w="942" w:type="dxa"/>
            <w:noWrap w:val="0"/>
            <w:vAlign w:val="center"/>
          </w:tcPr>
          <w:p w14:paraId="43675D3D">
            <w:pPr>
              <w:ind w:left="8" w:hanging="8" w:hangingChars="4"/>
              <w:jc w:val="center"/>
              <w:rPr>
                <w:rFonts w:hint="eastAsia" w:ascii="宋体" w:hAnsi="宋体" w:cs="宋体"/>
                <w:sz w:val="21"/>
                <w:szCs w:val="21"/>
                <w:highlight w:val="none"/>
              </w:rPr>
            </w:pPr>
            <w:r>
              <w:rPr>
                <w:rFonts w:hint="eastAsia" w:ascii="宋体" w:hAnsi="宋体" w:cs="宋体"/>
                <w:sz w:val="21"/>
                <w:szCs w:val="21"/>
                <w:highlight w:val="none"/>
              </w:rPr>
              <w:t>三级</w:t>
            </w:r>
          </w:p>
        </w:tc>
        <w:tc>
          <w:tcPr>
            <w:tcW w:w="5207" w:type="dxa"/>
            <w:noWrap w:val="0"/>
            <w:vAlign w:val="center"/>
          </w:tcPr>
          <w:p w14:paraId="1C22D28E">
            <w:pPr>
              <w:rPr>
                <w:rFonts w:hint="eastAsia" w:ascii="宋体" w:hAnsi="宋体" w:cs="宋体"/>
                <w:sz w:val="21"/>
                <w:szCs w:val="21"/>
                <w:highlight w:val="none"/>
              </w:rPr>
            </w:pPr>
            <w:r>
              <w:rPr>
                <w:rFonts w:hint="eastAsia" w:ascii="宋体" w:hAnsi="宋体" w:cs="宋体"/>
                <w:sz w:val="21"/>
                <w:szCs w:val="21"/>
                <w:highlight w:val="none"/>
              </w:rPr>
              <w:t>该系统用于全省教师信息管理，信息系统包括教师任职、学历、年龄、教学情况和师德情况等内容部署位置：省政务云</w:t>
            </w:r>
          </w:p>
        </w:tc>
      </w:tr>
      <w:tr w14:paraId="012C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74" w:type="dxa"/>
            <w:noWrap w:val="0"/>
            <w:vAlign w:val="center"/>
          </w:tcPr>
          <w:p w14:paraId="7CB08E94">
            <w:pPr>
              <w:widowControl/>
              <w:tabs>
                <w:tab w:val="left" w:pos="0"/>
              </w:tabs>
              <w:ind w:right="29" w:rightChars="1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705" w:type="dxa"/>
            <w:noWrap w:val="0"/>
            <w:vAlign w:val="center"/>
          </w:tcPr>
          <w:p w14:paraId="65960F2F">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海南省教育资源公共服务平台</w:t>
            </w:r>
          </w:p>
        </w:tc>
        <w:tc>
          <w:tcPr>
            <w:tcW w:w="942" w:type="dxa"/>
            <w:noWrap w:val="0"/>
            <w:vAlign w:val="center"/>
          </w:tcPr>
          <w:p w14:paraId="14AA1008">
            <w:pPr>
              <w:ind w:left="8" w:hanging="8" w:hangingChars="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三级</w:t>
            </w:r>
          </w:p>
        </w:tc>
        <w:tc>
          <w:tcPr>
            <w:tcW w:w="5207" w:type="dxa"/>
            <w:noWrap w:val="0"/>
            <w:vAlign w:val="center"/>
          </w:tcPr>
          <w:p w14:paraId="779C4FB4">
            <w:pP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该系统包括</w:t>
            </w:r>
            <w:r>
              <w:rPr>
                <w:rFonts w:hint="eastAsia" w:ascii="宋体" w:hAnsi="宋体" w:cs="宋体"/>
                <w:color w:val="auto"/>
                <w:sz w:val="21"/>
                <w:szCs w:val="21"/>
                <w:highlight w:val="none"/>
              </w:rPr>
              <w:t>网络空间、教学资源、组阅卷及评测、教育行为分析、名师课堂、区域教研、网络备授课、数据管理</w:t>
            </w:r>
            <w:r>
              <w:rPr>
                <w:rFonts w:hint="eastAsia" w:ascii="宋体" w:hAnsi="宋体" w:cs="宋体"/>
                <w:color w:val="auto"/>
                <w:sz w:val="21"/>
                <w:szCs w:val="21"/>
                <w:highlight w:val="none"/>
                <w:lang w:eastAsia="zh-CN"/>
              </w:rPr>
              <w:t>等功能</w:t>
            </w:r>
            <w:r>
              <w:rPr>
                <w:rFonts w:hint="eastAsia" w:ascii="宋体" w:hAnsi="宋体" w:cs="宋体"/>
                <w:color w:val="auto"/>
                <w:sz w:val="21"/>
                <w:szCs w:val="21"/>
                <w:highlight w:val="none"/>
              </w:rPr>
              <w:t>。部署位置：省政务云</w:t>
            </w:r>
          </w:p>
        </w:tc>
      </w:tr>
    </w:tbl>
    <w:p w14:paraId="139EA0D1">
      <w:pPr>
        <w:adjustRightInd w:val="0"/>
        <w:snapToGrid w:val="0"/>
        <w:spacing w:line="300" w:lineRule="auto"/>
        <w:ind w:firstLine="588" w:firstLineChars="245"/>
        <w:rPr>
          <w:rFonts w:hint="eastAsia" w:ascii="宋体" w:hAnsi="Times New Roman" w:eastAsia="宋体" w:cs="Times New Roman"/>
          <w:kern w:val="0"/>
          <w:sz w:val="24"/>
        </w:rPr>
      </w:pPr>
    </w:p>
    <w:p w14:paraId="0A2B2F5D">
      <w:pPr>
        <w:adjustRightInd w:val="0"/>
        <w:snapToGrid w:val="0"/>
        <w:spacing w:line="300" w:lineRule="auto"/>
        <w:ind w:firstLine="588" w:firstLineChars="245"/>
        <w:rPr>
          <w:rFonts w:hint="eastAsia" w:ascii="宋体" w:hAnsi="Times New Roman" w:eastAsia="宋体" w:cs="Times New Roman"/>
          <w:kern w:val="0"/>
          <w:sz w:val="24"/>
        </w:rPr>
      </w:pPr>
    </w:p>
    <w:p w14:paraId="67B0E643">
      <w:pPr>
        <w:bidi w:val="0"/>
        <w:rPr>
          <w:rFonts w:hint="eastAsia"/>
        </w:rPr>
      </w:pPr>
    </w:p>
    <w:p w14:paraId="18A2A6CB">
      <w:pPr>
        <w:adjustRightInd w:val="0"/>
        <w:snapToGrid w:val="0"/>
        <w:spacing w:line="300" w:lineRule="auto"/>
        <w:ind w:firstLine="588" w:firstLineChars="245"/>
        <w:rPr>
          <w:rFonts w:hint="eastAsia" w:ascii="宋体" w:hAnsi="Times New Roman" w:eastAsia="宋体" w:cs="Times New Roman"/>
          <w:b/>
          <w:bCs/>
          <w:kern w:val="0"/>
          <w:sz w:val="24"/>
        </w:rPr>
      </w:pPr>
      <w:r>
        <w:rPr>
          <w:rFonts w:hint="eastAsia" w:ascii="宋体" w:hAnsi="Times New Roman" w:eastAsia="宋体" w:cs="Times New Roman"/>
          <w:b/>
          <w:bCs/>
          <w:kern w:val="0"/>
          <w:sz w:val="24"/>
          <w:lang w:val="en-US" w:eastAsia="zh-CN"/>
        </w:rPr>
        <w:t>2</w:t>
      </w:r>
      <w:r>
        <w:rPr>
          <w:rFonts w:hint="eastAsia" w:ascii="宋体" w:hAnsi="Times New Roman" w:eastAsia="宋体" w:cs="Times New Roman"/>
          <w:b/>
          <w:bCs/>
          <w:kern w:val="0"/>
          <w:sz w:val="24"/>
        </w:rPr>
        <w:t>.评估流程</w:t>
      </w:r>
      <w:bookmarkEnd w:id="64"/>
      <w:bookmarkEnd w:id="65"/>
      <w:bookmarkEnd w:id="66"/>
      <w:bookmarkEnd w:id="67"/>
    </w:p>
    <w:p w14:paraId="45E40A2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关键信息基础设施网络安全评估</w:t>
      </w:r>
      <w:r>
        <w:rPr>
          <w:rFonts w:hint="eastAsia" w:ascii="宋体" w:hAnsi="Times New Roman" w:eastAsia="宋体" w:cs="Times New Roman"/>
          <w:kern w:val="0"/>
          <w:sz w:val="24"/>
        </w:rPr>
        <w:t>工作</w:t>
      </w:r>
      <w:r>
        <w:rPr>
          <w:rFonts w:hint="eastAsia" w:ascii="宋体" w:hAnsi="Times New Roman" w:eastAsia="宋体" w:cs="Times New Roman"/>
          <w:kern w:val="0"/>
          <w:sz w:val="24"/>
          <w:lang w:eastAsia="zh-CN"/>
        </w:rPr>
        <w:t>应</w:t>
      </w:r>
      <w:r>
        <w:rPr>
          <w:rFonts w:hint="eastAsia" w:ascii="宋体" w:hAnsi="Times New Roman" w:eastAsia="宋体" w:cs="Times New Roman"/>
          <w:kern w:val="0"/>
          <w:sz w:val="24"/>
        </w:rPr>
        <w:t>按照DB21/T 3896—2023</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rPr>
        <w:t>信息安全技术</w:t>
      </w:r>
      <w:r>
        <w:rPr>
          <w:rFonts w:hint="eastAsia" w:ascii="宋体" w:hAnsi="Times New Roman" w:eastAsia="宋体" w:cs="Times New Roman"/>
          <w:kern w:val="0"/>
          <w:sz w:val="24"/>
          <w:lang w:val="en-US" w:eastAsia="zh-CN"/>
        </w:rPr>
        <w:t xml:space="preserve"> </w:t>
      </w:r>
      <w:r>
        <w:rPr>
          <w:rFonts w:hint="eastAsia" w:ascii="宋体" w:hAnsi="Times New Roman" w:eastAsia="宋体" w:cs="Times New Roman"/>
          <w:kern w:val="0"/>
          <w:sz w:val="24"/>
        </w:rPr>
        <w:t>关键信息基础设施网络安全检查实施指南</w:t>
      </w:r>
      <w:r>
        <w:rPr>
          <w:rFonts w:hint="eastAsia" w:ascii="宋体" w:hAnsi="Times New Roman" w:eastAsia="宋体" w:cs="Times New Roman"/>
          <w:kern w:val="0"/>
          <w:sz w:val="24"/>
          <w:lang w:eastAsia="zh-CN"/>
        </w:rPr>
        <w:t>》和</w:t>
      </w:r>
      <w:r>
        <w:rPr>
          <w:rFonts w:hint="eastAsia" w:ascii="宋体" w:hAnsi="Times New Roman" w:eastAsia="宋体" w:cs="Times New Roman"/>
          <w:kern w:val="0"/>
          <w:sz w:val="24"/>
        </w:rPr>
        <w:t>《</w:t>
      </w:r>
      <w:r>
        <w:rPr>
          <w:rFonts w:hint="eastAsia" w:ascii="宋体" w:hAnsi="Times New Roman" w:eastAsia="宋体" w:cs="Times New Roman"/>
          <w:kern w:val="0"/>
          <w:sz w:val="24"/>
          <w:lang w:val="en-US" w:eastAsia="zh-CN"/>
        </w:rPr>
        <w:t>信息安全技术 关键信息基础设施安全检查评估指南（征求意见稿）</w:t>
      </w:r>
      <w:r>
        <w:rPr>
          <w:rFonts w:hint="eastAsia" w:ascii="宋体" w:hAnsi="Times New Roman" w:eastAsia="宋体" w:cs="Times New Roman"/>
          <w:kern w:val="0"/>
          <w:sz w:val="24"/>
        </w:rPr>
        <w:t>》中规定的评估流程进行实施。</w:t>
      </w:r>
    </w:p>
    <w:p w14:paraId="3D21E9B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.1 工作准备</w:t>
      </w:r>
    </w:p>
    <w:p w14:paraId="5801AB5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.1.1 工作启动</w:t>
      </w:r>
    </w:p>
    <w:p w14:paraId="5B50672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检查评估工作开展前应明确关键信息基础设施检查评估活动的背景、目标、原则、依据，充分调研检查评估对象所属行业的相关标准及政策文件的要求，确定检查评估工作任务。</w:t>
      </w:r>
    </w:p>
    <w:p w14:paraId="53DA136D">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.1.2 工作调研</w:t>
      </w:r>
    </w:p>
    <w:p w14:paraId="0B20F0C6">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(1)明确范围</w:t>
      </w:r>
    </w:p>
    <w:p w14:paraId="5328730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应根据任务要求，对接关键信息基础设施运营单位安全管理机构和安全管理负责人，调研和梳理检查评估对象的关键业务，确定支撑关键业务运行的基础设施，明确检查评估工作计划、范围及检查评估内容。</w:t>
      </w:r>
    </w:p>
    <w:p w14:paraId="2B47BF7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(2)调研内容</w:t>
      </w:r>
    </w:p>
    <w:p w14:paraId="11EA341F">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应对检查评估对象开展调研，要求关键信息基础设施运营单位提供的内容包含但不限于：</w:t>
      </w:r>
    </w:p>
    <w:p w14:paraId="7BB25E8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a）运营单位信息及组织架构；</w:t>
      </w:r>
    </w:p>
    <w:p w14:paraId="6202C2B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b）检查评估对象的设施、网络、存储等基本信息；</w:t>
      </w:r>
    </w:p>
    <w:p w14:paraId="5AF0ADA7">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c）主要运营业务及其流程；</w:t>
      </w:r>
    </w:p>
    <w:p w14:paraId="6368DEA1">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d）管理运维人员、管理制度、应急响应制度等；</w:t>
      </w:r>
    </w:p>
    <w:p w14:paraId="75D53AE1">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e）安全防护基本情况、曾发生的网络安全事件情况；</w:t>
      </w:r>
    </w:p>
    <w:p w14:paraId="7D410BA2">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f）近半年内技术检测及网络安全事件情况；</w:t>
      </w:r>
    </w:p>
    <w:p w14:paraId="34333CF0">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rPr>
        <w:t>.1.3 方案制定</w:t>
      </w:r>
    </w:p>
    <w:p w14:paraId="11F3492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应结合检查评估对象，编制关键信息基础设施检查评估方案，内容需包含但不限于：</w:t>
      </w:r>
    </w:p>
    <w:p w14:paraId="580802D0">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a）检查评估范围、对象、时间、进度安排；</w:t>
      </w:r>
    </w:p>
    <w:p w14:paraId="5831227E">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b）检查评估内容及实施方法；</w:t>
      </w:r>
    </w:p>
    <w:p w14:paraId="58A38A3E">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c）风险管控措施；</w:t>
      </w:r>
    </w:p>
    <w:p w14:paraId="3D1AFCCD">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d）人员安排及项目管理制度；</w:t>
      </w:r>
    </w:p>
    <w:p w14:paraId="7DC8AC18">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e）关键信息基础设施运营单位配合事项清单。</w:t>
      </w:r>
    </w:p>
    <w:p w14:paraId="6A4620F3">
      <w:pPr>
        <w:adjustRightInd w:val="0"/>
        <w:snapToGrid w:val="0"/>
        <w:spacing w:line="300" w:lineRule="auto"/>
        <w:ind w:firstLine="588" w:firstLineChars="245"/>
        <w:rPr>
          <w:rFonts w:hint="eastAsia" w:ascii="宋体" w:hAnsi="Times New Roman" w:eastAsia="宋体" w:cs="Times New Roman"/>
          <w:b/>
          <w:bCs/>
          <w:kern w:val="0"/>
          <w:sz w:val="24"/>
          <w:lang w:eastAsia="zh-CN"/>
        </w:rPr>
      </w:pPr>
      <w:bookmarkStart w:id="68" w:name="_Toc335827915"/>
      <w:bookmarkStart w:id="69" w:name="_Toc165535646"/>
      <w:bookmarkStart w:id="70" w:name="_Toc353803381"/>
      <w:bookmarkStart w:id="71" w:name="_Toc238008579"/>
      <w:r>
        <w:rPr>
          <w:rFonts w:hint="eastAsia" w:ascii="宋体" w:hAnsi="Times New Roman" w:eastAsia="宋体" w:cs="Times New Roman"/>
          <w:b/>
          <w:bCs/>
          <w:kern w:val="0"/>
          <w:sz w:val="24"/>
          <w:lang w:val="en-US" w:eastAsia="zh-CN"/>
        </w:rPr>
        <w:t>3</w:t>
      </w:r>
      <w:r>
        <w:rPr>
          <w:rFonts w:hint="eastAsia" w:ascii="宋体" w:hAnsi="Times New Roman" w:eastAsia="宋体" w:cs="Times New Roman"/>
          <w:b/>
          <w:bCs/>
          <w:kern w:val="0"/>
          <w:sz w:val="24"/>
        </w:rPr>
        <w:t xml:space="preserve">. </w:t>
      </w:r>
      <w:bookmarkEnd w:id="68"/>
      <w:bookmarkEnd w:id="69"/>
      <w:bookmarkEnd w:id="70"/>
      <w:bookmarkEnd w:id="71"/>
      <w:bookmarkStart w:id="72" w:name="_Toc165392436"/>
      <w:bookmarkStart w:id="73" w:name="_Toc163665687"/>
      <w:r>
        <w:rPr>
          <w:rFonts w:hint="eastAsia" w:ascii="宋体" w:hAnsi="Times New Roman" w:eastAsia="宋体" w:cs="Times New Roman"/>
          <w:b/>
          <w:bCs/>
          <w:kern w:val="0"/>
          <w:sz w:val="24"/>
        </w:rPr>
        <w:t>评估</w:t>
      </w:r>
      <w:bookmarkEnd w:id="72"/>
      <w:bookmarkEnd w:id="73"/>
      <w:r>
        <w:rPr>
          <w:rFonts w:hint="eastAsia" w:ascii="宋体" w:hAnsi="Times New Roman" w:eastAsia="宋体" w:cs="Times New Roman"/>
          <w:b/>
          <w:bCs/>
          <w:kern w:val="0"/>
          <w:sz w:val="24"/>
          <w:lang w:eastAsia="zh-CN"/>
        </w:rPr>
        <w:t>方法</w:t>
      </w:r>
    </w:p>
    <w:p w14:paraId="6354CB2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关键信息基础设施检查评估工作是依据国家有关法律与法规要求，参考国家和行业安全标准，针对关键信息基础设施安全要求，通过一定的方法和流程，对信息系统安全状况进行评估，最后给出检查评估对象的整体安全状况的报告。</w:t>
      </w:r>
    </w:p>
    <w:p w14:paraId="0DD6B60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检查评估工作由合规检查、技术检测和分析评估三个主要方法组成，每个方法包含若干内容和项目。</w:t>
      </w:r>
    </w:p>
    <w:p w14:paraId="4DE1A2AD">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3.1</w:t>
      </w:r>
      <w:r>
        <w:rPr>
          <w:rFonts w:hint="eastAsia" w:ascii="宋体" w:hAnsi="Times New Roman" w:eastAsia="宋体" w:cs="Times New Roman"/>
          <w:kern w:val="0"/>
          <w:sz w:val="24"/>
        </w:rPr>
        <w:t xml:space="preserve"> 合规检查</w:t>
      </w:r>
    </w:p>
    <w:p w14:paraId="3F78F3EB">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合规检查是通过一定的手段验证检查评估对象是否遵从国家相关法律法规、政策标准、行业标准规定的强制要求，输出是否合规的结论，对不合规的具体项目进行说明，采取的方法包括现场资料核实、人员访谈、配置核查等形式。</w:t>
      </w:r>
    </w:p>
    <w:p w14:paraId="57A4C6B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3</w:t>
      </w:r>
      <w:r>
        <w:rPr>
          <w:rFonts w:hint="eastAsia" w:ascii="宋体" w:hAnsi="Times New Roman" w:eastAsia="宋体" w:cs="Times New Roman"/>
          <w:kern w:val="0"/>
          <w:sz w:val="24"/>
        </w:rPr>
        <w:t>.2 技术检测</w:t>
      </w:r>
    </w:p>
    <w:p w14:paraId="476B8BC5">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技术检测分为主动方式和被动方式，主动方式是采用专业安全工具，配合专业安全人员，选取合适的技术检测接入点，通过漏洞扫</w:t>
      </w:r>
      <w:r>
        <w:rPr>
          <w:rFonts w:hint="eastAsia" w:ascii="宋体" w:hAnsi="Times New Roman" w:eastAsia="宋体" w:cs="Times New Roman"/>
          <w:kern w:val="0"/>
          <w:sz w:val="24"/>
          <w:lang w:eastAsia="zh-CN"/>
        </w:rPr>
        <w:t>描</w:t>
      </w:r>
      <w:r>
        <w:rPr>
          <w:rFonts w:hint="eastAsia" w:ascii="宋体" w:hAnsi="Times New Roman" w:eastAsia="宋体" w:cs="Times New Roman"/>
          <w:kern w:val="0"/>
          <w:sz w:val="24"/>
        </w:rPr>
        <w:t>、渗透测试、社会工程学等常用的安全测试手段，采取远程检测和现场检测相结合的方式，发现其安全性和可能存在的风险隐患，也可参考其他安全检测资料和报告，对技术检测结果进行验证。</w:t>
      </w:r>
    </w:p>
    <w:p w14:paraId="7CD732D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被动方式是辅助监测分析手段，通过选取合适的监测接入点，部署相应的监测工具，实时监测并分析检查评估对象的安全状况，发现其存在的安全漏洞、安全隐患。</w:t>
      </w:r>
    </w:p>
    <w:p w14:paraId="64C2C283">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两种技术检测方式最终输出技术检测结果。</w:t>
      </w:r>
    </w:p>
    <w:p w14:paraId="42B44F76">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3</w:t>
      </w:r>
      <w:r>
        <w:rPr>
          <w:rFonts w:hint="eastAsia" w:ascii="宋体" w:hAnsi="Times New Roman" w:eastAsia="宋体" w:cs="Times New Roman"/>
          <w:kern w:val="0"/>
          <w:sz w:val="24"/>
        </w:rPr>
        <w:t>.3 分析评估</w:t>
      </w:r>
    </w:p>
    <w:p w14:paraId="6B83293D">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分析评估是围绕关键信息基础设施承载业务特点，对关键信息基础设施的关键属性进行识别和分析，依据技术检测发现的安全隐患和问题，参考风险评估方法，对关键属性面临的风险进行风险分析，进而对关键信息基础设施的整体安全状况的评估</w:t>
      </w:r>
      <w:r>
        <w:rPr>
          <w:rFonts w:hint="eastAsia" w:ascii="宋体" w:cs="Times New Roman"/>
          <w:kern w:val="0"/>
          <w:sz w:val="24"/>
          <w:lang w:eastAsia="zh-CN"/>
        </w:rPr>
        <w:t>，</w:t>
      </w:r>
      <w:r>
        <w:rPr>
          <w:rFonts w:hint="eastAsia" w:ascii="宋体" w:cs="Times New Roman"/>
          <w:kern w:val="0"/>
          <w:sz w:val="24"/>
          <w:lang w:val="en-US" w:eastAsia="zh-CN"/>
        </w:rPr>
        <w:t>出具《关键信息基础设施网络安全评估报告》</w:t>
      </w:r>
      <w:r>
        <w:rPr>
          <w:rFonts w:hint="eastAsia" w:ascii="宋体" w:hAnsi="Times New Roman" w:eastAsia="宋体" w:cs="Times New Roman"/>
          <w:kern w:val="0"/>
          <w:sz w:val="24"/>
        </w:rPr>
        <w:t>。</w:t>
      </w:r>
    </w:p>
    <w:p w14:paraId="05319C7B">
      <w:pPr>
        <w:adjustRightInd w:val="0"/>
        <w:snapToGrid w:val="0"/>
        <w:spacing w:line="300" w:lineRule="auto"/>
        <w:ind w:firstLine="588" w:firstLineChars="245"/>
        <w:rPr>
          <w:rFonts w:hint="eastAsia" w:ascii="楷体" w:hAnsi="楷体" w:eastAsia="楷体" w:cs="楷体"/>
          <w:kern w:val="0"/>
          <w:sz w:val="24"/>
        </w:rPr>
      </w:pPr>
      <w:r>
        <w:rPr>
          <w:rFonts w:hint="eastAsia" w:ascii="楷体" w:hAnsi="楷体" w:eastAsia="楷体" w:cs="楷体"/>
          <w:kern w:val="0"/>
          <w:sz w:val="24"/>
          <w:lang w:val="en-US" w:eastAsia="zh-CN"/>
        </w:rPr>
        <w:t>（三）</w:t>
      </w:r>
      <w:r>
        <w:rPr>
          <w:rFonts w:hint="eastAsia" w:ascii="楷体" w:hAnsi="楷体" w:eastAsia="楷体" w:cs="楷体"/>
          <w:kern w:val="0"/>
          <w:sz w:val="24"/>
        </w:rPr>
        <w:t>网络安全监测和攻防演练技术支撑</w:t>
      </w:r>
      <w:r>
        <w:rPr>
          <w:rFonts w:hint="eastAsia" w:ascii="楷体" w:hAnsi="楷体" w:eastAsia="楷体" w:cs="楷体"/>
          <w:kern w:val="0"/>
          <w:sz w:val="24"/>
          <w:lang w:val="en-US" w:eastAsia="zh-CN"/>
        </w:rPr>
        <w:t>等</w:t>
      </w:r>
      <w:r>
        <w:rPr>
          <w:rFonts w:hint="eastAsia" w:ascii="楷体" w:hAnsi="楷体" w:eastAsia="楷体" w:cs="楷体"/>
          <w:kern w:val="0"/>
          <w:sz w:val="24"/>
        </w:rPr>
        <w:t>服务</w:t>
      </w:r>
    </w:p>
    <w:p w14:paraId="0BDA5683">
      <w:pPr>
        <w:adjustRightInd w:val="0"/>
        <w:snapToGrid w:val="0"/>
        <w:spacing w:line="300" w:lineRule="auto"/>
        <w:ind w:firstLine="588" w:firstLineChars="245"/>
        <w:rPr>
          <w:rFonts w:hint="eastAsia" w:ascii="宋体" w:hAnsi="Times New Roman" w:eastAsia="宋体" w:cs="Times New Roman"/>
          <w:b/>
          <w:bCs/>
          <w:kern w:val="0"/>
          <w:sz w:val="24"/>
        </w:rPr>
      </w:pPr>
      <w:r>
        <w:rPr>
          <w:rFonts w:hint="eastAsia" w:ascii="宋体" w:hAnsi="Times New Roman" w:eastAsia="宋体" w:cs="Times New Roman"/>
          <w:b/>
          <w:bCs/>
          <w:kern w:val="0"/>
          <w:sz w:val="24"/>
        </w:rPr>
        <w:t>1.服务内容</w:t>
      </w:r>
    </w:p>
    <w:p w14:paraId="0C027421">
      <w:pPr>
        <w:adjustRightInd w:val="0"/>
        <w:snapToGrid w:val="0"/>
        <w:spacing w:line="300" w:lineRule="auto"/>
        <w:ind w:firstLine="588" w:firstLineChars="245"/>
        <w:rPr>
          <w:rFonts w:hint="default" w:ascii="宋体" w:hAnsi="Times New Roman" w:eastAsia="宋体" w:cs="Times New Roman"/>
          <w:kern w:val="0"/>
          <w:sz w:val="24"/>
        </w:rPr>
      </w:pPr>
      <w:r>
        <w:rPr>
          <w:rFonts w:hint="eastAsia" w:ascii="宋体" w:hAnsi="Times New Roman" w:eastAsia="宋体" w:cs="Times New Roman"/>
          <w:kern w:val="0"/>
          <w:sz w:val="24"/>
        </w:rPr>
        <w:t>1.1</w:t>
      </w:r>
      <w:r>
        <w:rPr>
          <w:rFonts w:hint="default" w:ascii="宋体" w:hAnsi="Times New Roman" w:eastAsia="宋体" w:cs="Times New Roman"/>
          <w:kern w:val="0"/>
          <w:sz w:val="24"/>
        </w:rPr>
        <w:t>网络安全监测预警：</w:t>
      </w:r>
    </w:p>
    <w:p w14:paraId="19F81BD2">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（1）提供一年的监测服务，针对全省教育领域业务系统提供网页挂马监测、网页篡改监测、网页暗链监测、网页敏感内容监测、网站性能监测、网站域名监测、重保时期</w:t>
      </w:r>
      <w:r>
        <w:rPr>
          <w:rFonts w:hint="eastAsia" w:ascii="宋体" w:hAnsi="Times New Roman" w:eastAsia="宋体" w:cs="Times New Roman"/>
          <w:kern w:val="0"/>
          <w:sz w:val="24"/>
          <w:lang w:eastAsia="zh-CN"/>
        </w:rPr>
        <w:t>（包括但不限于节假日、中高考、重要会议等时期）</w:t>
      </w:r>
      <w:r>
        <w:rPr>
          <w:rFonts w:hint="default" w:ascii="宋体" w:hAnsi="Times New Roman" w:eastAsia="宋体" w:cs="Times New Roman"/>
          <w:kern w:val="0"/>
          <w:sz w:val="24"/>
        </w:rPr>
        <w:t>网络安全监测等服务；</w:t>
      </w:r>
    </w:p>
    <w:p w14:paraId="2F82B3D2">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2</w:t>
      </w:r>
      <w:r>
        <w:rPr>
          <w:rFonts w:hint="default" w:ascii="宋体" w:hAnsi="Times New Roman" w:eastAsia="宋体" w:cs="Times New Roman"/>
          <w:kern w:val="0"/>
          <w:sz w:val="24"/>
        </w:rPr>
        <w:t>）</w:t>
      </w:r>
      <w:r>
        <w:rPr>
          <w:rFonts w:hint="eastAsia" w:ascii="宋体" w:hAnsi="Times New Roman" w:eastAsia="宋体" w:cs="Times New Roman"/>
          <w:kern w:val="0"/>
          <w:sz w:val="24"/>
        </w:rPr>
        <w:t>提供每季度一次重要网站漏洞扫描，出具相关报告，客户修复后进行人工复验；</w:t>
      </w:r>
    </w:p>
    <w:p w14:paraId="79AE4F33">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3</w:t>
      </w:r>
      <w:r>
        <w:rPr>
          <w:rFonts w:hint="default" w:ascii="宋体" w:hAnsi="Times New Roman" w:eastAsia="宋体" w:cs="Times New Roman"/>
          <w:kern w:val="0"/>
          <w:sz w:val="24"/>
        </w:rPr>
        <w:t>）</w:t>
      </w:r>
      <w:r>
        <w:rPr>
          <w:rFonts w:hint="eastAsia" w:ascii="宋体" w:hAnsi="Times New Roman" w:eastAsia="宋体" w:cs="Times New Roman"/>
          <w:kern w:val="0"/>
          <w:sz w:val="24"/>
        </w:rPr>
        <w:t>每周提交一份7*24小时监测报告、每月提供一份月度汇总报告；</w:t>
      </w:r>
    </w:p>
    <w:p w14:paraId="60F99DBD">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4</w:t>
      </w:r>
      <w:r>
        <w:rPr>
          <w:rFonts w:hint="default" w:ascii="宋体" w:hAnsi="Times New Roman" w:eastAsia="宋体" w:cs="Times New Roman"/>
          <w:kern w:val="0"/>
          <w:sz w:val="24"/>
        </w:rPr>
        <w:t>）支持重保时期对重要网站进行web和系统漏洞扫描，提供专业漏洞扫描报告，和对应的整改建议；</w:t>
      </w:r>
    </w:p>
    <w:p w14:paraId="2FB857A2">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1.</w:t>
      </w:r>
      <w:r>
        <w:rPr>
          <w:rFonts w:hint="default" w:ascii="宋体" w:hAnsi="Times New Roman" w:eastAsia="宋体" w:cs="Times New Roman"/>
          <w:kern w:val="0"/>
          <w:sz w:val="24"/>
        </w:rPr>
        <w:t>2.安全检查</w:t>
      </w:r>
      <w:r>
        <w:rPr>
          <w:rFonts w:hint="eastAsia" w:ascii="宋体" w:cs="Times New Roman"/>
          <w:kern w:val="0"/>
          <w:sz w:val="24"/>
          <w:lang w:eastAsia="zh-CN"/>
        </w:rPr>
        <w:t>、</w:t>
      </w:r>
      <w:r>
        <w:rPr>
          <w:rFonts w:hint="eastAsia" w:ascii="宋体" w:cs="Times New Roman"/>
          <w:kern w:val="0"/>
          <w:sz w:val="24"/>
          <w:lang w:val="en-US" w:eastAsia="zh-CN"/>
        </w:rPr>
        <w:t>升级改造和防护加固</w:t>
      </w:r>
      <w:r>
        <w:rPr>
          <w:rFonts w:hint="default" w:ascii="宋体" w:hAnsi="Times New Roman" w:eastAsia="宋体" w:cs="Times New Roman"/>
          <w:kern w:val="0"/>
          <w:sz w:val="24"/>
        </w:rPr>
        <w:t>：</w:t>
      </w:r>
    </w:p>
    <w:p w14:paraId="08C66814">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（1）针对上级主管部门、网络安全监管部门发布的网络安全相关要求文件或网络安全检查事件等，协助配合检查，并提供相应的技术支持服务和相关工作报告。</w:t>
      </w:r>
    </w:p>
    <w:p w14:paraId="503CBAA0">
      <w:pPr>
        <w:adjustRightInd w:val="0"/>
        <w:snapToGrid w:val="0"/>
        <w:spacing w:line="300" w:lineRule="auto"/>
        <w:ind w:firstLine="588" w:firstLineChars="245"/>
        <w:rPr>
          <w:rFonts w:hint="eastAsia" w:ascii="宋体" w:hAnsi="Times New Roman" w:eastAsia="宋体" w:cs="Times New Roman"/>
          <w:kern w:val="0"/>
          <w:sz w:val="24"/>
          <w:lang w:val="en-US" w:eastAsia="zh-CN"/>
        </w:rPr>
      </w:pP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2</w:t>
      </w:r>
      <w:r>
        <w:rPr>
          <w:rFonts w:hint="eastAsia" w:ascii="宋体" w:hAnsi="Times New Roman" w:eastAsia="宋体" w:cs="Times New Roman"/>
          <w:kern w:val="0"/>
          <w:sz w:val="24"/>
          <w:lang w:eastAsia="zh-CN"/>
        </w:rPr>
        <w:t>）</w:t>
      </w:r>
      <w:r>
        <w:rPr>
          <w:rFonts w:hint="eastAsia" w:ascii="宋体" w:hAnsi="Times New Roman" w:eastAsia="宋体" w:cs="Times New Roman"/>
          <w:kern w:val="0"/>
          <w:sz w:val="24"/>
          <w:lang w:val="en-US" w:eastAsia="zh-CN"/>
        </w:rPr>
        <w:t>对信息系统安全升级改造和防护加固</w:t>
      </w:r>
    </w:p>
    <w:p w14:paraId="1AA0889E">
      <w:pPr>
        <w:adjustRightInd w:val="0"/>
        <w:snapToGrid w:val="0"/>
        <w:spacing w:line="300" w:lineRule="auto"/>
        <w:ind w:firstLine="588" w:firstLineChars="245"/>
        <w:rPr>
          <w:rFonts w:hint="default" w:ascii="宋体" w:hAnsi="Times New Roman" w:eastAsia="宋体" w:cs="Times New Roman"/>
          <w:kern w:val="0"/>
          <w:sz w:val="24"/>
          <w:lang w:val="en-US" w:eastAsia="zh-CN"/>
        </w:rPr>
      </w:pPr>
      <w:r>
        <w:rPr>
          <w:rFonts w:hint="eastAsia" w:ascii="宋体" w:cs="Times New Roman"/>
          <w:kern w:val="0"/>
          <w:sz w:val="24"/>
          <w:lang w:val="en-US" w:eastAsia="zh-CN"/>
        </w:rPr>
        <w:t>（3）网络安全事件处置和安全运维，针对教育部安管平台发布的安全事件开展处置和安全运维。</w:t>
      </w:r>
    </w:p>
    <w:p w14:paraId="6E2CDFEA">
      <w:pPr>
        <w:adjustRightInd w:val="0"/>
        <w:snapToGrid w:val="0"/>
        <w:spacing w:line="300" w:lineRule="auto"/>
        <w:ind w:firstLine="588" w:firstLineChars="245"/>
        <w:rPr>
          <w:rFonts w:hint="eastAsia" w:ascii="宋体" w:hAnsi="Times New Roman" w:eastAsia="宋体" w:cs="Times New Roman"/>
          <w:kern w:val="0"/>
          <w:sz w:val="24"/>
        </w:rPr>
      </w:pPr>
      <w:r>
        <w:rPr>
          <w:rFonts w:hint="eastAsia" w:ascii="宋体" w:hAnsi="Times New Roman" w:eastAsia="宋体" w:cs="Times New Roman"/>
          <w:kern w:val="0"/>
          <w:sz w:val="24"/>
        </w:rPr>
        <w:t>1.</w:t>
      </w:r>
      <w:r>
        <w:rPr>
          <w:rFonts w:hint="default" w:ascii="宋体" w:hAnsi="Times New Roman" w:eastAsia="宋体" w:cs="Times New Roman"/>
          <w:kern w:val="0"/>
          <w:sz w:val="24"/>
        </w:rPr>
        <w:t>3.攻防演练：</w:t>
      </w:r>
    </w:p>
    <w:p w14:paraId="71300703">
      <w:pPr>
        <w:adjustRightInd w:val="0"/>
        <w:snapToGrid w:val="0"/>
        <w:spacing w:line="300" w:lineRule="auto"/>
        <w:ind w:firstLine="588" w:firstLineChars="245"/>
        <w:rPr>
          <w:rFonts w:hint="eastAsia"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1</w:t>
      </w:r>
      <w:r>
        <w:rPr>
          <w:rFonts w:hint="default" w:ascii="宋体" w:hAnsi="Times New Roman" w:eastAsia="宋体" w:cs="Times New Roman"/>
          <w:kern w:val="0"/>
          <w:sz w:val="24"/>
        </w:rPr>
        <w:t>）提供全年各级各类攻防演练期间的防守配合服务，对攻防演练期间的值班、防守数据、入侵数据、修复数据等内容进行管理，协助演练结束后的漏洞整改工作。</w:t>
      </w:r>
    </w:p>
    <w:p w14:paraId="58E69108">
      <w:pPr>
        <w:adjustRightInd w:val="0"/>
        <w:snapToGrid w:val="0"/>
        <w:spacing w:line="300" w:lineRule="auto"/>
        <w:ind w:firstLine="588" w:firstLineChars="245"/>
        <w:rPr>
          <w:rFonts w:hint="eastAsia"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2</w:t>
      </w:r>
      <w:r>
        <w:rPr>
          <w:rFonts w:hint="default" w:ascii="宋体" w:hAnsi="Times New Roman" w:eastAsia="宋体" w:cs="Times New Roman"/>
          <w:kern w:val="0"/>
          <w:sz w:val="24"/>
        </w:rPr>
        <w:t>）在攻防演练开始前，提前对防守对象进行安全评估，出具相关漏洞报告，并提供相应的安全加固技术支持，确保与往年相比，漏洞发现数量减少。</w:t>
      </w:r>
    </w:p>
    <w:p w14:paraId="78CE0CC1">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3</w:t>
      </w:r>
      <w:r>
        <w:rPr>
          <w:rFonts w:hint="default" w:ascii="宋体" w:hAnsi="Times New Roman" w:eastAsia="宋体" w:cs="Times New Roman"/>
          <w:kern w:val="0"/>
          <w:sz w:val="24"/>
        </w:rPr>
        <w:t>）在攻防演练期间，需要</w:t>
      </w:r>
      <w:r>
        <w:rPr>
          <w:rFonts w:hint="eastAsia" w:ascii="宋体" w:cs="Times New Roman"/>
          <w:kern w:val="0"/>
          <w:sz w:val="24"/>
          <w:lang w:val="en-US" w:eastAsia="zh-CN"/>
        </w:rPr>
        <w:t>驻场服务并</w:t>
      </w:r>
      <w:r>
        <w:rPr>
          <w:rFonts w:hint="default" w:ascii="宋体" w:hAnsi="Times New Roman" w:eastAsia="宋体" w:cs="Times New Roman"/>
          <w:kern w:val="0"/>
          <w:sz w:val="24"/>
        </w:rPr>
        <w:t>免费提供安全设备做技术支撑、专业人员做应急支撑，至少采取监测流量和封堵攻击</w:t>
      </w:r>
      <w:r>
        <w:rPr>
          <w:rFonts w:hint="eastAsia" w:ascii="宋体" w:hAnsi="Times New Roman" w:eastAsia="宋体" w:cs="Times New Roman"/>
          <w:kern w:val="0"/>
          <w:sz w:val="24"/>
        </w:rPr>
        <w:t>IP</w:t>
      </w:r>
      <w:r>
        <w:rPr>
          <w:rFonts w:hint="default" w:ascii="宋体" w:hAnsi="Times New Roman" w:eastAsia="宋体" w:cs="Times New Roman"/>
          <w:kern w:val="0"/>
          <w:sz w:val="24"/>
        </w:rPr>
        <w:t>等防护行为。</w:t>
      </w:r>
    </w:p>
    <w:p w14:paraId="6FCEF8A6">
      <w:pPr>
        <w:adjustRightInd w:val="0"/>
        <w:snapToGrid w:val="0"/>
        <w:spacing w:line="300" w:lineRule="auto"/>
        <w:ind w:firstLine="588" w:firstLineChars="245"/>
        <w:rPr>
          <w:rFonts w:hint="default" w:ascii="宋体" w:hAnsi="Times New Roman" w:eastAsia="宋体" w:cs="Times New Roman"/>
          <w:kern w:val="0"/>
          <w:sz w:val="24"/>
        </w:rPr>
      </w:pPr>
      <w:r>
        <w:rPr>
          <w:rFonts w:hint="default" w:ascii="宋体" w:hAnsi="Times New Roman" w:eastAsia="宋体" w:cs="Times New Roman"/>
          <w:kern w:val="0"/>
          <w:sz w:val="24"/>
        </w:rPr>
        <w:t>（</w:t>
      </w:r>
      <w:r>
        <w:rPr>
          <w:rFonts w:hint="eastAsia" w:ascii="宋体" w:hAnsi="Times New Roman" w:eastAsia="宋体" w:cs="Times New Roman"/>
          <w:kern w:val="0"/>
          <w:sz w:val="24"/>
        </w:rPr>
        <w:t>4</w:t>
      </w:r>
      <w:r>
        <w:rPr>
          <w:rFonts w:hint="default" w:ascii="宋体" w:hAnsi="Times New Roman" w:eastAsia="宋体" w:cs="Times New Roman"/>
          <w:kern w:val="0"/>
          <w:sz w:val="24"/>
        </w:rPr>
        <w:t>）在攻防演练结束后，对攻防演练整改结果进行复核。</w:t>
      </w:r>
    </w:p>
    <w:p w14:paraId="753B1F6E">
      <w:pPr>
        <w:adjustRightInd w:val="0"/>
        <w:snapToGrid w:val="0"/>
        <w:spacing w:line="300" w:lineRule="auto"/>
        <w:ind w:firstLine="588" w:firstLineChars="245"/>
        <w:rPr>
          <w:rFonts w:hint="eastAsia" w:ascii="宋体" w:cs="Times New Roman"/>
          <w:kern w:val="0"/>
          <w:sz w:val="24"/>
          <w:lang w:val="en-US" w:eastAsia="zh-CN"/>
        </w:rPr>
      </w:pPr>
      <w:r>
        <w:rPr>
          <w:rFonts w:hint="eastAsia" w:ascii="宋体" w:cs="Times New Roman"/>
          <w:kern w:val="0"/>
          <w:sz w:val="24"/>
          <w:lang w:val="en-US" w:eastAsia="zh-CN"/>
        </w:rPr>
        <w:t>1.4.网络安全教育培训</w:t>
      </w:r>
    </w:p>
    <w:p w14:paraId="1F839C7D">
      <w:pPr>
        <w:adjustRightInd w:val="0"/>
        <w:snapToGrid w:val="0"/>
        <w:spacing w:line="300" w:lineRule="auto"/>
        <w:ind w:firstLine="588" w:firstLineChars="245"/>
        <w:rPr>
          <w:rFonts w:hint="default" w:ascii="宋体" w:cs="Times New Roman"/>
          <w:kern w:val="0"/>
          <w:sz w:val="24"/>
          <w:lang w:val="en-US" w:eastAsia="zh-CN"/>
        </w:rPr>
      </w:pPr>
      <w:r>
        <w:rPr>
          <w:rFonts w:hint="eastAsia" w:ascii="宋体" w:cs="Times New Roman"/>
          <w:kern w:val="0"/>
          <w:sz w:val="24"/>
          <w:lang w:val="en-US" w:eastAsia="zh-CN"/>
        </w:rPr>
        <w:t>（1）</w:t>
      </w:r>
      <w:r>
        <w:rPr>
          <w:rFonts w:hint="default" w:ascii="宋体" w:cs="Times New Roman"/>
          <w:kern w:val="0"/>
          <w:sz w:val="24"/>
          <w:lang w:val="en-US" w:eastAsia="zh-CN"/>
        </w:rPr>
        <w:t>制定培训计划，设计网络安全知识课程。</w:t>
      </w:r>
    </w:p>
    <w:p w14:paraId="257F488B">
      <w:pPr>
        <w:adjustRightInd w:val="0"/>
        <w:snapToGrid w:val="0"/>
        <w:spacing w:line="300" w:lineRule="auto"/>
        <w:ind w:firstLine="588" w:firstLineChars="245"/>
        <w:rPr>
          <w:rFonts w:hint="default" w:ascii="宋体" w:cs="Times New Roman"/>
          <w:kern w:val="0"/>
          <w:sz w:val="24"/>
          <w:lang w:val="en-US" w:eastAsia="zh-CN"/>
        </w:rPr>
      </w:pPr>
      <w:r>
        <w:rPr>
          <w:rFonts w:hint="eastAsia" w:ascii="宋体" w:cs="Times New Roman"/>
          <w:kern w:val="0"/>
          <w:sz w:val="24"/>
          <w:lang w:val="en-US" w:eastAsia="zh-CN"/>
        </w:rPr>
        <w:t>（2）</w:t>
      </w:r>
      <w:r>
        <w:rPr>
          <w:rFonts w:hint="default" w:ascii="宋体" w:cs="Times New Roman"/>
          <w:kern w:val="0"/>
          <w:sz w:val="24"/>
          <w:lang w:val="en-US" w:eastAsia="zh-CN"/>
        </w:rPr>
        <w:t>开展培训授课，讲解攻防技术、法规等。</w:t>
      </w:r>
    </w:p>
    <w:p w14:paraId="1C305F9A">
      <w:pPr>
        <w:adjustRightInd w:val="0"/>
        <w:snapToGrid w:val="0"/>
        <w:spacing w:line="300" w:lineRule="auto"/>
        <w:ind w:firstLine="588" w:firstLineChars="245"/>
        <w:rPr>
          <w:rFonts w:hint="default" w:ascii="宋体" w:cs="Times New Roman"/>
          <w:kern w:val="0"/>
          <w:sz w:val="24"/>
          <w:lang w:val="en-US" w:eastAsia="zh-CN"/>
        </w:rPr>
      </w:pPr>
      <w:r>
        <w:rPr>
          <w:rFonts w:hint="eastAsia" w:ascii="宋体" w:cs="Times New Roman"/>
          <w:kern w:val="0"/>
          <w:sz w:val="24"/>
          <w:lang w:val="en-US" w:eastAsia="zh-CN"/>
        </w:rPr>
        <w:t>（3）</w:t>
      </w:r>
      <w:r>
        <w:rPr>
          <w:rFonts w:hint="default" w:ascii="宋体" w:cs="Times New Roman"/>
          <w:kern w:val="0"/>
          <w:sz w:val="24"/>
          <w:lang w:val="en-US" w:eastAsia="zh-CN"/>
        </w:rPr>
        <w:t>组织</w:t>
      </w:r>
      <w:r>
        <w:rPr>
          <w:rFonts w:hint="eastAsia" w:ascii="宋体" w:cs="Times New Roman"/>
          <w:kern w:val="0"/>
          <w:sz w:val="24"/>
          <w:lang w:val="en-US" w:eastAsia="zh-CN"/>
        </w:rPr>
        <w:t>开展钓鱼演练</w:t>
      </w:r>
      <w:r>
        <w:rPr>
          <w:rFonts w:hint="default" w:ascii="宋体" w:cs="Times New Roman"/>
          <w:kern w:val="0"/>
          <w:sz w:val="24"/>
          <w:lang w:val="en-US" w:eastAsia="zh-CN"/>
        </w:rPr>
        <w:t>。</w:t>
      </w:r>
    </w:p>
    <w:p w14:paraId="4DFC0532">
      <w:pPr>
        <w:adjustRightInd w:val="0"/>
        <w:snapToGrid w:val="0"/>
        <w:spacing w:line="300" w:lineRule="auto"/>
        <w:ind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lang w:val="en-US" w:eastAsia="zh-CN"/>
        </w:rPr>
        <w:t xml:space="preserve"> </w:t>
      </w:r>
      <w:r>
        <w:rPr>
          <w:rFonts w:hint="eastAsia" w:ascii="宋体" w:hAnsi="Times New Roman" w:eastAsia="宋体" w:cs="Times New Roman"/>
          <w:b/>
          <w:bCs/>
          <w:kern w:val="0"/>
          <w:sz w:val="24"/>
          <w:lang w:val="en-US" w:eastAsia="zh-CN"/>
        </w:rPr>
        <w:t>2</w:t>
      </w:r>
      <w:r>
        <w:rPr>
          <w:rFonts w:hint="default" w:ascii="宋体" w:hAnsi="Times New Roman" w:eastAsia="宋体" w:cs="Times New Roman"/>
          <w:b/>
          <w:bCs/>
          <w:kern w:val="0"/>
          <w:sz w:val="24"/>
        </w:rPr>
        <w:t>.应急响应时间</w:t>
      </w:r>
    </w:p>
    <w:p w14:paraId="4CE47FB5">
      <w:pPr>
        <w:adjustRightInd w:val="0"/>
        <w:snapToGrid w:val="0"/>
        <w:spacing w:line="300" w:lineRule="auto"/>
        <w:ind w:firstLine="588" w:firstLineChars="245"/>
        <w:rPr>
          <w:rFonts w:hint="eastAsia" w:ascii="宋体" w:hAnsi="Times New Roman" w:eastAsia="宋体" w:cs="Times New Roman"/>
          <w:kern w:val="0"/>
          <w:sz w:val="24"/>
          <w:lang w:val="en-US" w:eastAsia="zh-CN"/>
        </w:rPr>
      </w:pPr>
      <w:r>
        <w:rPr>
          <w:rFonts w:hint="default" w:ascii="宋体" w:hAnsi="Times New Roman" w:eastAsia="宋体" w:cs="Times New Roman"/>
          <w:kern w:val="0"/>
          <w:sz w:val="24"/>
        </w:rPr>
        <w:t>为了达到网络安全应急响应及时性，在安全事件发生后2小时内到达客户现场进行安全事件处置。</w:t>
      </w:r>
    </w:p>
    <w:p w14:paraId="57C62701">
      <w:p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三、</w:t>
      </w:r>
      <w:r>
        <w:rPr>
          <w:rFonts w:hint="eastAsia" w:ascii="宋体" w:hAnsi="Times New Roman" w:eastAsia="宋体" w:cs="Times New Roman"/>
          <w:b/>
          <w:bCs/>
          <w:kern w:val="0"/>
          <w:sz w:val="24"/>
          <w:lang w:val="en-US"/>
        </w:rPr>
        <w:t>管理要求</w:t>
      </w:r>
      <w:r>
        <w:rPr>
          <w:rFonts w:hint="eastAsia" w:ascii="宋体" w:hAnsi="Times New Roman" w:eastAsia="宋体" w:cs="Times New Roman"/>
          <w:b/>
          <w:bCs/>
          <w:kern w:val="0"/>
          <w:sz w:val="24"/>
          <w:lang w:val="en-US" w:eastAsia="zh-CN"/>
        </w:rPr>
        <w:t>：</w:t>
      </w:r>
    </w:p>
    <w:p w14:paraId="0F944107">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服务过程中应遵守以下管理要求：</w:t>
      </w:r>
    </w:p>
    <w:p w14:paraId="2CD780EF">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1、依据标准，遵循原则</w:t>
      </w:r>
    </w:p>
    <w:p w14:paraId="4DB1E310">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等级测评实施应依据等级保护的相关技术标准进行。相关技术标准主要包括GB/T-28448、GB/T-28449，其中等级测评目标和内容应依据GB/T-28449，对具体测评项的测评实施方法则依据GB/T-28448。在等级测评实施活动中，应遵循客观性和公正性、经济性和可重用性、可重复性和可再现性、结果完善性的原则，保证测评工作公正、科学、合理和完善。</w:t>
      </w:r>
    </w:p>
    <w:p w14:paraId="1719D432">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2、恰当选取，保证强度</w:t>
      </w:r>
    </w:p>
    <w:p w14:paraId="5178BA4C">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恰当选取是指对具体测评对象的选择要恰当，既要避免重要的对象、可能存在安全隐患的对象没有被选择，也要避免过多选择，使得工作量增大。保证强度是指对被测定级对象应实施与其等级相适应的测评强度。</w:t>
      </w:r>
    </w:p>
    <w:p w14:paraId="4220334F">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3、规范行为，规避风险</w:t>
      </w:r>
    </w:p>
    <w:p w14:paraId="07C5E203">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测评机构实施等级测评的过程应规范，包括：制定内部保密制度；制定过程控制制度；规定相关文档评审流程；指定专人负责保管等级测评的归档文件等。 测评人员的行为应规范，包括：测评人员进入现场佩戴工作牌；使用测评专用的电脑和工具；严格按照测评指导书使用规范的测评技术进行测评；准确记录测评证据；不擅自评价测评结果；不将测评结果复制给非测评人员；涉及到测评委托单位的工作秘密或敏感信息的相关资料，只在指定场所查看，查看完成后立即归还等。规避风险，是指要充分估计测评可能给被测定级对象带来的影响，向被测定级对象运营／使用单位揭示风险，要求其提前采取预防措施进行规避。同时，测评机构也应采取与测评委托单位签署委托测评协议、保密协议、现场测评授权书、要求测评委托单位进行系统备份、规范测评活动、及时与测评委托单位沟通等措施规避风险，尽量避免给被测定级对象和单位带来影响。</w:t>
      </w:r>
    </w:p>
    <w:p w14:paraId="1701163D">
      <w:pPr>
        <w:adjustRightInd w:val="0"/>
        <w:snapToGrid w:val="0"/>
        <w:spacing w:line="300" w:lineRule="auto"/>
        <w:ind w:firstLine="588" w:firstLineChars="245"/>
        <w:rPr>
          <w:rFonts w:hint="eastAsia" w:ascii="宋体" w:hAnsi="Times New Roman" w:eastAsia="宋体" w:cs="Times New Roman"/>
          <w:b/>
          <w:bCs/>
          <w:kern w:val="0"/>
          <w:sz w:val="24"/>
          <w:lang w:val="en-US"/>
        </w:rPr>
      </w:pPr>
    </w:p>
    <w:p w14:paraId="77C09F47">
      <w:pPr>
        <w:adjustRightInd w:val="0"/>
        <w:snapToGrid w:val="0"/>
        <w:spacing w:line="300" w:lineRule="auto"/>
        <w:ind w:firstLine="480" w:firstLineChars="200"/>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四、</w:t>
      </w:r>
      <w:r>
        <w:rPr>
          <w:rFonts w:hint="eastAsia" w:ascii="宋体" w:hAnsi="Times New Roman" w:eastAsia="宋体" w:cs="Times New Roman"/>
          <w:b/>
          <w:bCs/>
          <w:kern w:val="0"/>
          <w:sz w:val="24"/>
          <w:lang w:val="en-US"/>
        </w:rPr>
        <w:t>人员要求</w:t>
      </w:r>
      <w:r>
        <w:rPr>
          <w:rFonts w:hint="eastAsia" w:ascii="宋体" w:hAnsi="Times New Roman" w:eastAsia="宋体" w:cs="Times New Roman"/>
          <w:b/>
          <w:bCs/>
          <w:kern w:val="0"/>
          <w:sz w:val="24"/>
          <w:lang w:val="en-US" w:eastAsia="zh-CN"/>
        </w:rPr>
        <w:t>：</w:t>
      </w:r>
    </w:p>
    <w:p w14:paraId="36AEAC8A">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测评实施人员最少安排1名高级等保测评师、2名中级测等保评师、5名初级等保测评师</w:t>
      </w:r>
    </w:p>
    <w:p w14:paraId="12EDD634">
      <w:pPr>
        <w:adjustRightInd w:val="0"/>
        <w:snapToGrid w:val="0"/>
        <w:spacing w:line="300" w:lineRule="auto"/>
        <w:ind w:firstLine="480" w:firstLineChars="200"/>
        <w:rPr>
          <w:rFonts w:hint="eastAsia" w:ascii="宋体" w:hAnsi="Times New Roman" w:eastAsia="宋体" w:cs="Times New Roman"/>
          <w:b/>
          <w:bCs/>
          <w:kern w:val="0"/>
          <w:sz w:val="24"/>
          <w:lang w:val="en-US"/>
        </w:rPr>
      </w:pPr>
      <w:r>
        <w:rPr>
          <w:rFonts w:hint="eastAsia" w:ascii="宋体" w:hAnsi="Times New Roman" w:eastAsia="宋体" w:cs="Times New Roman"/>
          <w:b/>
          <w:bCs/>
          <w:kern w:val="0"/>
          <w:sz w:val="24"/>
          <w:lang w:val="en-US" w:eastAsia="zh-CN"/>
        </w:rPr>
        <w:t>五</w:t>
      </w:r>
      <w:r>
        <w:rPr>
          <w:rFonts w:hint="eastAsia" w:ascii="宋体" w:hAnsi="Times New Roman" w:eastAsia="宋体" w:cs="Times New Roman"/>
          <w:b/>
          <w:bCs/>
          <w:kern w:val="0"/>
          <w:sz w:val="24"/>
          <w:lang w:val="en-US"/>
        </w:rPr>
        <w:t>、验收要求</w:t>
      </w:r>
    </w:p>
    <w:p w14:paraId="53FB49B3">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验收主体：</w:t>
      </w:r>
      <w:r>
        <w:rPr>
          <w:rFonts w:hint="eastAsia"/>
          <w:sz w:val="24"/>
          <w:lang w:val="en-US" w:eastAsia="zh-CN"/>
        </w:rPr>
        <w:t>海南省电化教育馆</w:t>
      </w:r>
    </w:p>
    <w:p w14:paraId="643016ED">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验收时间：合同约定的服务期结束前</w:t>
      </w:r>
    </w:p>
    <w:p w14:paraId="57BA57D9">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验收方式：现场验收</w:t>
      </w:r>
    </w:p>
    <w:p w14:paraId="5295EC2A">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验收程序：提交验收申请-材料审查-验收评审</w:t>
      </w:r>
    </w:p>
    <w:p w14:paraId="1857D71C">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验收内容和验收标准：</w:t>
      </w:r>
    </w:p>
    <w:p w14:paraId="4C4BECCC">
      <w:pPr>
        <w:adjustRightInd w:val="0"/>
        <w:snapToGrid w:val="0"/>
        <w:spacing w:line="300" w:lineRule="auto"/>
        <w:ind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rPr>
        <w:t>1．服务验收清单</w:t>
      </w:r>
    </w:p>
    <w:p w14:paraId="515593D3">
      <w:pPr>
        <w:adjustRightInd w:val="0"/>
        <w:snapToGrid w:val="0"/>
        <w:spacing w:line="300" w:lineRule="auto"/>
        <w:ind w:firstLine="480" w:firstLineChars="200"/>
        <w:rPr>
          <w:rFonts w:hint="eastAsia" w:ascii="宋体" w:hAnsi="Times New Roman" w:eastAsia="宋体" w:cs="Times New Roman"/>
          <w:kern w:val="0"/>
          <w:sz w:val="24"/>
        </w:rPr>
      </w:pPr>
      <w:r>
        <w:rPr>
          <w:rFonts w:hint="eastAsia" w:ascii="宋体" w:hAnsi="Times New Roman" w:eastAsia="宋体" w:cs="Times New Roman"/>
          <w:kern w:val="0"/>
          <w:sz w:val="24"/>
        </w:rPr>
        <w:t>2．服务考核指标</w:t>
      </w:r>
    </w:p>
    <w:p w14:paraId="24962F4D">
      <w:pPr>
        <w:adjustRightInd w:val="0"/>
        <w:snapToGrid w:val="0"/>
        <w:spacing w:line="300" w:lineRule="auto"/>
        <w:ind w:firstLine="480" w:firstLineChars="200"/>
        <w:rPr>
          <w:rFonts w:hint="eastAsia" w:ascii="宋体" w:hAnsi="Times New Roman" w:eastAsia="宋体" w:cs="Times New Roman"/>
          <w:b/>
          <w:bCs/>
          <w:kern w:val="0"/>
          <w:sz w:val="24"/>
          <w:lang w:val="en-US"/>
        </w:rPr>
      </w:pPr>
      <w:r>
        <w:rPr>
          <w:rFonts w:hint="eastAsia" w:ascii="宋体" w:cs="Times New Roman"/>
          <w:b/>
          <w:bCs/>
          <w:kern w:val="0"/>
          <w:sz w:val="24"/>
          <w:lang w:val="en-US" w:eastAsia="zh-CN"/>
        </w:rPr>
        <w:t>六</w:t>
      </w:r>
      <w:r>
        <w:rPr>
          <w:rFonts w:hint="eastAsia" w:ascii="宋体" w:hAnsi="Times New Roman" w:eastAsia="宋体" w:cs="Times New Roman"/>
          <w:b/>
          <w:bCs/>
          <w:kern w:val="0"/>
          <w:sz w:val="24"/>
          <w:lang w:val="en-US"/>
        </w:rPr>
        <w:t>、信息安全及保密要求</w:t>
      </w:r>
    </w:p>
    <w:p w14:paraId="768B7491">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1、供应商应签订保密协议，对其因身份、职务、职业或技术关系而知悉的采购人商业秘密和党政机关保密信息应严格保守，保证不被披露或使用，包括意外或过失。</w:t>
      </w:r>
    </w:p>
    <w:p w14:paraId="1BD03D27">
      <w:pPr>
        <w:adjustRightInd w:val="0"/>
        <w:snapToGrid w:val="0"/>
        <w:spacing w:line="300" w:lineRule="auto"/>
        <w:ind w:firstLine="480" w:firstLineChars="200"/>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 xml:space="preserve">2、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供应商在从事政府项目时，不得擅自记录、复制、拍摄、摘抄、收藏在工作中涉及的保密信息，严禁将涉及政府项目的任何资料、数据透露或以其他方式提供给项目以外的其他方或供应商内部与该项目无关的任何人员。 </w:t>
      </w:r>
    </w:p>
    <w:p w14:paraId="3ACC21AD">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 xml:space="preserve">3、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72DBD4B2">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4、严禁泄露在工作中接触到的政府机关科技研究、发明、装备器材及其技术资料和政府工作信息。</w:t>
      </w:r>
    </w:p>
    <w:p w14:paraId="5665BF45">
      <w:pPr>
        <w:adjustRightInd w:val="0"/>
        <w:snapToGrid w:val="0"/>
        <w:spacing w:line="300" w:lineRule="auto"/>
        <w:ind w:firstLine="588" w:firstLineChars="245"/>
        <w:rPr>
          <w:rFonts w:hint="eastAsia" w:ascii="宋体" w:hAnsi="Times New Roman" w:eastAsia="宋体" w:cs="Times New Roman"/>
          <w:kern w:val="0"/>
          <w:sz w:val="24"/>
          <w:lang w:val="en-US"/>
        </w:rPr>
      </w:pPr>
      <w:r>
        <w:rPr>
          <w:rFonts w:hint="eastAsia" w:ascii="宋体" w:hAnsi="Times New Roman" w:eastAsia="宋体" w:cs="Times New Roman"/>
          <w:kern w:val="0"/>
          <w:sz w:val="24"/>
          <w:lang w:val="en-US"/>
        </w:rPr>
        <w:t>5、供应商所有参与本项目的服务人员必须严格遵守保密守则，不得向其它公司和人员泄露被维护系统的任何技术资料和业务资料，尤其是网络结构、配置情况、服务器的密码等关键的技术资料，违反者将严肃处理，如因此造成业主经济损失或名誉损失的，保留追究供应商和相关责任人法律责任的权利。</w:t>
      </w:r>
    </w:p>
    <w:p w14:paraId="2ED6A054">
      <w:pPr>
        <w:adjustRightInd w:val="0"/>
        <w:snapToGrid w:val="0"/>
        <w:spacing w:line="300" w:lineRule="auto"/>
        <w:ind w:firstLine="480" w:firstLineChars="200"/>
        <w:rPr>
          <w:rFonts w:hint="eastAsia" w:ascii="宋体"/>
          <w:kern w:val="0"/>
          <w:sz w:val="24"/>
        </w:rPr>
      </w:pPr>
    </w:p>
    <w:p w14:paraId="499F053B">
      <w:pPr>
        <w:numPr>
          <w:ilvl w:val="-1"/>
          <w:numId w:val="0"/>
        </w:numPr>
        <w:adjustRightInd/>
        <w:snapToGrid/>
        <w:spacing w:line="240" w:lineRule="auto"/>
        <w:outlineLvl w:val="9"/>
        <w:rPr>
          <w:rFonts w:hint="eastAsia" w:ascii="宋体" w:hAnsi="Times New Roman" w:eastAsia="宋体" w:cs="Times New Roman"/>
          <w:b/>
          <w:bCs/>
          <w:kern w:val="0"/>
          <w:sz w:val="32"/>
          <w:szCs w:val="32"/>
          <w:lang w:val="en-US" w:eastAsia="zh-CN"/>
        </w:rPr>
      </w:pPr>
      <w:r>
        <w:rPr>
          <w:rFonts w:hint="eastAsia" w:ascii="宋体" w:hAnsi="Times New Roman" w:eastAsia="宋体" w:cs="Times New Roman"/>
          <w:b/>
          <w:bCs/>
          <w:kern w:val="0"/>
          <w:sz w:val="32"/>
          <w:szCs w:val="32"/>
          <w:lang w:val="en-US" w:eastAsia="zh-CN"/>
        </w:rPr>
        <w:br w:type="page"/>
      </w:r>
    </w:p>
    <w:p w14:paraId="17F268C1">
      <w:pPr>
        <w:numPr>
          <w:ilvl w:val="0"/>
          <w:numId w:val="0"/>
        </w:numPr>
        <w:adjustRightInd w:val="0"/>
        <w:snapToGrid w:val="0"/>
        <w:spacing w:line="300" w:lineRule="auto"/>
        <w:jc w:val="center"/>
        <w:outlineLvl w:val="1"/>
        <w:rPr>
          <w:rFonts w:hint="default" w:ascii="宋体" w:hAnsi="Times New Roman" w:eastAsia="宋体" w:cs="Times New Roman"/>
          <w:b/>
          <w:bCs/>
          <w:kern w:val="0"/>
          <w:sz w:val="32"/>
          <w:szCs w:val="32"/>
          <w:lang w:val="en-US" w:eastAsia="zh-CN"/>
        </w:rPr>
      </w:pPr>
      <w:r>
        <w:rPr>
          <w:rFonts w:hint="eastAsia" w:ascii="宋体" w:hAnsi="Times New Roman" w:eastAsia="宋体" w:cs="Times New Roman"/>
          <w:b/>
          <w:bCs/>
          <w:kern w:val="0"/>
          <w:sz w:val="32"/>
          <w:szCs w:val="32"/>
          <w:lang w:val="en-US" w:eastAsia="zh-CN"/>
        </w:rPr>
        <w:t>2包：海南省教育省域网等级保护测评及第三方软件测试</w:t>
      </w:r>
    </w:p>
    <w:p w14:paraId="25178D63">
      <w:pPr>
        <w:numPr>
          <w:ilvl w:val="0"/>
          <w:numId w:val="0"/>
        </w:num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一、建设目标：</w:t>
      </w:r>
    </w:p>
    <w:p w14:paraId="19C5B8C9">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（一）</w:t>
      </w:r>
      <w:r>
        <w:rPr>
          <w:rFonts w:hint="eastAsia" w:ascii="楷体" w:hAnsi="楷体" w:eastAsia="楷体" w:cs="楷体"/>
          <w:sz w:val="24"/>
          <w:szCs w:val="24"/>
          <w:lang w:val="en-US"/>
        </w:rPr>
        <w:t>等保测评</w:t>
      </w:r>
    </w:p>
    <w:p w14:paraId="0BE6721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根据《信息安全等级保护管理办法》（公通字【2007】43号）的精神，《信息安全技术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网络安全等级保护基本要求》、《信息安全技术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网络安全等级保护测评要求》、《信息安全技术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网络安全等级保护安全设计技术要求》等国家标准要求，对</w:t>
      </w:r>
      <w:r>
        <w:rPr>
          <w:rFonts w:hint="eastAsia" w:ascii="宋体" w:hAnsi="宋体" w:eastAsia="宋体" w:cs="宋体"/>
          <w:sz w:val="24"/>
          <w:szCs w:val="24"/>
          <w:lang w:val="en-US"/>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测评；通过</w:t>
      </w:r>
      <w:r>
        <w:rPr>
          <w:rFonts w:hint="eastAsia" w:ascii="宋体" w:hAnsi="宋体" w:eastAsia="宋体" w:cs="宋体"/>
          <w:sz w:val="24"/>
          <w:szCs w:val="24"/>
          <w:lang w:val="en-US"/>
        </w:rPr>
        <w:t>检测评估</w:t>
      </w:r>
      <w:r>
        <w:rPr>
          <w:rFonts w:hint="eastAsia" w:ascii="宋体" w:hAnsi="宋体" w:eastAsia="宋体" w:cs="宋体"/>
          <w:sz w:val="24"/>
          <w:szCs w:val="24"/>
          <w:lang w:val="en-GB"/>
        </w:rPr>
        <w:t>工作促进安全整改与安全建设，提升省教育厅网络安全防护能力及人员安全意识，完善网络安全保障体系</w:t>
      </w:r>
    </w:p>
    <w:p w14:paraId="0E463168">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楷体" w:hAnsi="楷体" w:eastAsia="楷体" w:cs="楷体"/>
          <w:sz w:val="24"/>
          <w:szCs w:val="24"/>
          <w:lang w:val="en-GB"/>
        </w:rPr>
      </w:pPr>
      <w:r>
        <w:rPr>
          <w:rFonts w:hint="eastAsia" w:ascii="楷体" w:hAnsi="楷体" w:eastAsia="楷体" w:cs="楷体"/>
          <w:sz w:val="24"/>
          <w:szCs w:val="24"/>
          <w:lang w:val="en-GB" w:eastAsia="zh-CN"/>
        </w:rPr>
        <w:t>（</w:t>
      </w:r>
      <w:r>
        <w:rPr>
          <w:rFonts w:hint="eastAsia" w:ascii="楷体" w:hAnsi="楷体" w:eastAsia="楷体" w:cs="楷体"/>
          <w:sz w:val="24"/>
          <w:szCs w:val="24"/>
          <w:lang w:val="en-US" w:eastAsia="zh-CN"/>
        </w:rPr>
        <w:t>二</w:t>
      </w:r>
      <w:r>
        <w:rPr>
          <w:rFonts w:hint="eastAsia" w:ascii="楷体" w:hAnsi="楷体" w:eastAsia="楷体" w:cs="楷体"/>
          <w:sz w:val="24"/>
          <w:szCs w:val="24"/>
          <w:lang w:val="en-GB" w:eastAsia="zh-CN"/>
        </w:rPr>
        <w:t>）</w:t>
      </w:r>
      <w:r>
        <w:rPr>
          <w:rFonts w:hint="eastAsia" w:ascii="楷体" w:hAnsi="楷体" w:eastAsia="楷体" w:cs="楷体"/>
          <w:sz w:val="24"/>
          <w:szCs w:val="24"/>
          <w:lang w:val="en-GB"/>
        </w:rPr>
        <w:t>软件测试</w:t>
      </w:r>
    </w:p>
    <w:p w14:paraId="6BE462C8">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功能测试目标：全面验证</w:t>
      </w:r>
      <w:r>
        <w:rPr>
          <w:rFonts w:hint="eastAsia" w:ascii="宋体" w:hAnsi="宋体" w:eastAsia="宋体" w:cs="宋体"/>
          <w:sz w:val="24"/>
          <w:szCs w:val="24"/>
          <w:lang w:val="en-US"/>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软件各项功能是否按照需求规格说明书准确实现，确保无功能缺失、逻辑错误、数据处理异常等问题，保证软件功能的完整性、正确性和可用性。​</w:t>
      </w:r>
    </w:p>
    <w:p w14:paraId="58E65787">
      <w:pPr>
        <w:autoSpaceDE w:val="0"/>
        <w:autoSpaceDN w:val="0"/>
        <w:bidi w:val="0"/>
        <w:spacing w:line="300" w:lineRule="auto"/>
        <w:ind w:firstLine="480" w:firstLineChars="200"/>
        <w:rPr>
          <w:rFonts w:hint="eastAsia" w:ascii="宋体" w:hAnsi="宋体" w:cs="宋体"/>
          <w:sz w:val="24"/>
          <w:lang w:val="en-GB" w:eastAsia="zh-CN"/>
        </w:rPr>
      </w:pPr>
      <w:r>
        <w:rPr>
          <w:rFonts w:hint="eastAsia" w:ascii="宋体" w:hAnsi="宋体" w:eastAsia="宋体" w:cs="宋体"/>
          <w:sz w:val="24"/>
          <w:szCs w:val="24"/>
          <w:lang w:val="en-GB"/>
        </w:rPr>
        <w:t>性能测试目标：评估</w:t>
      </w:r>
      <w:r>
        <w:rPr>
          <w:rFonts w:hint="eastAsia" w:ascii="宋体" w:hAnsi="宋体" w:eastAsia="宋体" w:cs="宋体"/>
          <w:sz w:val="24"/>
          <w:szCs w:val="24"/>
          <w:lang w:val="en-GB"/>
        </w:rPr>
        <w:t>海南</w:t>
      </w:r>
      <w:r>
        <w:rPr>
          <w:rFonts w:hint="eastAsia" w:ascii="宋体" w:hAnsi="宋体" w:eastAsia="宋体" w:cs="宋体"/>
          <w:sz w:val="24"/>
          <w:szCs w:val="24"/>
          <w:lang w:val="en-GB" w:eastAsia="zh-CN"/>
        </w:rPr>
        <w:t>省教育省域网</w:t>
      </w:r>
      <w:r>
        <w:rPr>
          <w:rFonts w:hint="eastAsia" w:ascii="宋体" w:hAnsi="宋体" w:eastAsia="宋体" w:cs="宋体"/>
          <w:sz w:val="24"/>
          <w:szCs w:val="24"/>
          <w:lang w:val="en-GB"/>
        </w:rPr>
        <w:t>软件在不同负载条件下的性能表现，主要包括响应时间和吞吐率，确保软件在预期用户并发量和数据量下能够稳定、高效运行，满足业务高峰时期的性能需求。</w:t>
      </w:r>
    </w:p>
    <w:p w14:paraId="712FB39F">
      <w:pPr>
        <w:numPr>
          <w:ilvl w:val="0"/>
          <w:numId w:val="0"/>
        </w:numPr>
        <w:adjustRightInd w:val="0"/>
        <w:snapToGrid w:val="0"/>
        <w:spacing w:line="300" w:lineRule="auto"/>
        <w:ind w:firstLine="588" w:firstLineChars="245"/>
        <w:rPr>
          <w:rFonts w:hint="default" w:ascii="宋体" w:hAnsi="Times New Roman" w:eastAsia="宋体" w:cs="Times New Roman"/>
          <w:b/>
          <w:bCs/>
          <w:kern w:val="0"/>
          <w:sz w:val="24"/>
          <w:lang w:val="en-US" w:eastAsia="zh-CN"/>
        </w:rPr>
      </w:pPr>
      <w:r>
        <w:rPr>
          <w:rFonts w:hint="eastAsia" w:ascii="宋体" w:hAnsi="Times New Roman" w:eastAsia="宋体" w:cs="Times New Roman"/>
          <w:b/>
          <w:bCs/>
          <w:kern w:val="0"/>
          <w:sz w:val="24"/>
          <w:szCs w:val="24"/>
          <w:lang w:val="en-US" w:eastAsia="zh-CN" w:bidi="ar-SA"/>
        </w:rPr>
        <w:t>二</w:t>
      </w:r>
      <w:r>
        <w:rPr>
          <w:rFonts w:hint="default" w:ascii="宋体" w:hAnsi="Times New Roman" w:eastAsia="宋体" w:cs="Times New Roman"/>
          <w:b/>
          <w:bCs/>
          <w:kern w:val="0"/>
          <w:sz w:val="24"/>
          <w:szCs w:val="24"/>
          <w:lang w:val="en-US" w:eastAsia="zh-CN" w:bidi="ar-SA"/>
        </w:rPr>
        <w:t>、</w:t>
      </w:r>
      <w:r>
        <w:rPr>
          <w:rFonts w:hint="eastAsia" w:ascii="宋体" w:hAnsi="Times New Roman" w:eastAsia="宋体" w:cs="Times New Roman"/>
          <w:b/>
          <w:bCs/>
          <w:kern w:val="0"/>
          <w:sz w:val="24"/>
          <w:lang w:val="en-US" w:eastAsia="zh-CN"/>
        </w:rPr>
        <w:t>技术要求：</w:t>
      </w:r>
    </w:p>
    <w:p w14:paraId="323E9D1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根据国家等级保护相关标准</w:t>
      </w:r>
      <w:r>
        <w:rPr>
          <w:rFonts w:hint="eastAsia" w:ascii="宋体" w:hAnsi="宋体" w:eastAsia="宋体" w:cs="宋体"/>
          <w:sz w:val="24"/>
          <w:szCs w:val="24"/>
          <w:lang w:val="en-GB"/>
        </w:rPr>
        <w:t>对</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指导</w:t>
      </w:r>
      <w:r>
        <w:rPr>
          <w:rFonts w:hint="eastAsia" w:ascii="宋体" w:hAnsi="宋体" w:eastAsia="宋体" w:cs="宋体"/>
          <w:sz w:val="24"/>
          <w:szCs w:val="24"/>
          <w:lang w:val="en-GB"/>
        </w:rPr>
        <w:t>海南省教育厅</w:t>
      </w:r>
      <w:r>
        <w:rPr>
          <w:rFonts w:hint="eastAsia" w:ascii="宋体" w:hAnsi="宋体" w:eastAsia="宋体" w:cs="宋体"/>
          <w:sz w:val="24"/>
          <w:szCs w:val="24"/>
          <w:lang w:val="en-US"/>
        </w:rPr>
        <w:t>对检测评估过程中发现的安全问题进行整改，整改完成后对相关问题进行复测，以确认发现的安全问题均已经得到修复或抑制，并出具</w:t>
      </w:r>
      <w:r>
        <w:rPr>
          <w:rFonts w:hint="eastAsia" w:ascii="宋体" w:hAnsi="宋体" w:eastAsia="宋体" w:cs="宋体"/>
          <w:sz w:val="24"/>
          <w:szCs w:val="24"/>
          <w:lang w:val="en-US" w:eastAsia="zh-CN"/>
        </w:rPr>
        <w:t>结论为</w:t>
      </w:r>
      <w:r>
        <w:rPr>
          <w:rFonts w:hint="eastAsia" w:ascii="宋体" w:hAnsi="宋体" w:eastAsia="宋体" w:cs="宋体"/>
          <w:b/>
          <w:bCs/>
          <w:sz w:val="24"/>
          <w:szCs w:val="24"/>
          <w:lang w:val="en-US" w:eastAsia="zh-CN"/>
        </w:rPr>
        <w:t>基本符合及以上</w:t>
      </w:r>
      <w:r>
        <w:rPr>
          <w:rFonts w:hint="eastAsia" w:ascii="宋体" w:hAnsi="宋体" w:eastAsia="宋体" w:cs="宋体"/>
          <w:sz w:val="24"/>
          <w:szCs w:val="24"/>
          <w:lang w:val="en-US" w:eastAsia="zh-CN"/>
        </w:rPr>
        <w:t>等级的</w:t>
      </w:r>
      <w:r>
        <w:rPr>
          <w:rFonts w:hint="eastAsia" w:ascii="宋体" w:hAnsi="宋体" w:eastAsia="宋体" w:cs="宋体"/>
          <w:sz w:val="24"/>
          <w:szCs w:val="24"/>
          <w:lang w:val="en-US"/>
        </w:rPr>
        <w:t>最终报告。</w:t>
      </w:r>
    </w:p>
    <w:p w14:paraId="271CCD8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（一）</w:t>
      </w:r>
      <w:r>
        <w:rPr>
          <w:rFonts w:hint="eastAsia" w:ascii="楷体" w:hAnsi="楷体" w:eastAsia="楷体" w:cs="楷体"/>
          <w:sz w:val="24"/>
          <w:szCs w:val="24"/>
          <w:lang w:val="en-US"/>
        </w:rPr>
        <w:t>等级保护测评</w:t>
      </w:r>
    </w:p>
    <w:p w14:paraId="17047B0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对</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安全技术测评包括：安全物理环境、安全通信网络、安全区域边界、安全计算环境、安全管理中心五个层面上的安全控制测评；安全管理测评包括：安全管理制度、安全管理机构、安全管理人员、安全建设管理、安全运维管理五个方面的安全控制测评。</w:t>
      </w:r>
    </w:p>
    <w:p w14:paraId="21F1432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drawing>
          <wp:inline distT="0" distB="0" distL="0" distR="0">
            <wp:extent cx="5178425" cy="2733675"/>
            <wp:effectExtent l="0" t="0" r="3175" b="9525"/>
            <wp:docPr id="2"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img"/>
                    <pic:cNvPicPr>
                      <a:picLocks noChangeAspect="1"/>
                    </pic:cNvPicPr>
                  </pic:nvPicPr>
                  <pic:blipFill>
                    <a:blip r:embed="rId7"/>
                    <a:stretch>
                      <a:fillRect/>
                    </a:stretch>
                  </pic:blipFill>
                  <pic:spPr>
                    <a:xfrm>
                      <a:off x="0" y="0"/>
                      <a:ext cx="5178425" cy="2733675"/>
                    </a:xfrm>
                    <a:prstGeom prst="rect">
                      <a:avLst/>
                    </a:prstGeom>
                    <a:noFill/>
                    <a:ln>
                      <a:noFill/>
                    </a:ln>
                  </pic:spPr>
                </pic:pic>
              </a:graphicData>
            </a:graphic>
          </wp:inline>
        </w:drawing>
      </w:r>
    </w:p>
    <w:p w14:paraId="3FA9965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等级测评过程包括四个基本测评活动：测评准备活动、方案编制活动、现场测评活动、报告编制活动。具体如下：</w:t>
      </w:r>
    </w:p>
    <w:p w14:paraId="67FA6944">
      <w:pPr>
        <w:keepNext w:val="0"/>
        <w:keepLines w:val="0"/>
        <w:pageBreakBefore w:val="0"/>
        <w:widowControl w:val="0"/>
        <w:numPr>
          <w:ilvl w:val="-1"/>
          <w:numId w:val="0"/>
        </w:numPr>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rPr>
        <w:t>测评准备活动</w:t>
      </w:r>
    </w:p>
    <w:p w14:paraId="0CA53CB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测评准备活动的目标是顺利启动测评项目，收集定级对象相关资料，准备测评所需资料，为编制测评方案打下良好的基础。测评准备活动包括工作启动、信息收集和分析、工具和表单准备三项主要任务。</w:t>
      </w:r>
    </w:p>
    <w:p w14:paraId="3A17A26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在工作启动任务中，测评机构组建等级测评项目组，获取测评委托单位及定级对象的基本情况，从基本资料、人员、计划安排等方面为整个等级测评项目的实施做好充分准备。</w:t>
      </w:r>
    </w:p>
    <w:p w14:paraId="37BE4CC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测评机构通过查阅被测定级对象已有资料或使用系统调查表格的方式，了解整个系统的构成和保护情况以及责任部门相关情况，为编写测评方案、开展现场测评和安全评估工作奠定基础。</w:t>
      </w:r>
    </w:p>
    <w:p w14:paraId="1A93E501">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测评项目组成员在进行现场测评之前，应熟悉被测定级对象、调试测评工具、准备各种表单等。</w:t>
      </w:r>
    </w:p>
    <w:p w14:paraId="36C51D1F">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rPr>
        <w:t>测评方案编制</w:t>
      </w:r>
    </w:p>
    <w:p w14:paraId="42FB0C3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方案编制活动的目标是整理测评准备活动中获取的定级对象相关资料，为现场测评活动提供最基本的文档和指导方案。方案编制活动包括测评对象确定、测评指标确定、测评内容确定、工具测试方法确定、测评指导书开发及测评方案编制六项主要任务。</w:t>
      </w:r>
    </w:p>
    <w:p w14:paraId="3410B801">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根据系统调查结果，分析整个被测定级对象业务流程、数据流程、范围、特点及各个设备及组件的主要功能，确定出本次测评的测评对象。</w:t>
      </w:r>
    </w:p>
    <w:p w14:paraId="006FDB4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根据被测定级对象定级结果确定出本次测评的基本测评指标，根据测评委托单位及被测定级对象业务自身需求确定出本次测评的特殊测评指标。</w:t>
      </w:r>
    </w:p>
    <w:p w14:paraId="5E3BEF42">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确定现场测评的具体实施内容，即单项测评内容。</w:t>
      </w:r>
    </w:p>
    <w:p w14:paraId="3C56A73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使用测试工具进行测试，测试工具可能用到漏洞扫描器、渗透测试工具集、协议分析仪等。</w:t>
      </w:r>
    </w:p>
    <w:p w14:paraId="6359F86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编制测评指导书，指导测评人员如何进行测评活动的文档，应尽可能详实、充分。</w:t>
      </w:r>
    </w:p>
    <w:p w14:paraId="0D9B077F">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形成测评方案，指导等级测评工作的现场实施活动。测评方案应包括但不局限于以下内容：项目概述、测评对象、测评指标、测评内容、测评方法等。</w:t>
      </w:r>
    </w:p>
    <w:p w14:paraId="0F7B4D9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rPr>
        <w:t>现场测评活动</w:t>
      </w:r>
    </w:p>
    <w:p w14:paraId="085C1AAF">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现场测评活动通过与测评委托单位进行沟通和协调，为现场测评的顺利开展打下良好基础，依据测评方案实施现场测评工作，将测评方案和测评方法等内容具体落实到现场测评活动中。现场测评活动包括现场测评准备、现场测评和结果记录、结果确认和资料归还三项主要任务。</w:t>
      </w:r>
    </w:p>
    <w:p w14:paraId="50785EF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启动现场测评，保证测评机构能够顺利实施测评。</w:t>
      </w:r>
    </w:p>
    <w:p w14:paraId="34E0678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测评人员按照测评指导书实施测评，并将测评过程中获取的证据源进行详细、准确记录。</w:t>
      </w:r>
    </w:p>
    <w:p w14:paraId="1FF05D31">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将测评过程中得到的证据源记录进行确认，并将测评过程中借阅的文档归还。</w:t>
      </w:r>
    </w:p>
    <w:p w14:paraId="6333EEA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en-US"/>
        </w:rPr>
        <w:t>报告编制活动</w:t>
      </w:r>
    </w:p>
    <w:p w14:paraId="5A574BF1">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在现场测评工作结束后，测评机构应对现场测评获得的测评结果（或称测评证据）进行汇总分析，形成等级测评结论，并编制测评报告。分析与报告编制活动包括单项测评结果判定、单元测评结果判定、 整体测评、系统安全保障评估、安全问题风险评估、等级测评结论形成及测评报告编制七项主要任务。</w:t>
      </w:r>
    </w:p>
    <w:p w14:paraId="62093D22">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针对单个测评项，结合具体测评对象，客观、准确地分析测评证据，形成初步单项测评结果。</w:t>
      </w:r>
    </w:p>
    <w:p w14:paraId="177B205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将单项测评结果进行汇总，分别统计不同测评对象的单项测评结果，从而判定单元测评结果。</w:t>
      </w:r>
    </w:p>
    <w:p w14:paraId="69954F8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针对单项测评结果的不符合项及部分符合项，采取逐条判定的方法，从安全控制点间、层面间出发考虑，给出整体测评的具体结果。</w:t>
      </w:r>
    </w:p>
    <w:p w14:paraId="20199DC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综合单项测评和整体测评结果，计算修正后的安全控制点得分和层面得分，并根据得分情况对被测定级对象的安全保障情况进行总体评价。</w:t>
      </w:r>
    </w:p>
    <w:p w14:paraId="11C7A98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测评人员依据等级保护的相关规范和标准，采用风险分析的方法分析等级测评结果中存在的安全问题可能对被测定级对象安全造成的影响。</w:t>
      </w:r>
    </w:p>
    <w:p w14:paraId="33C0452A">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在系统安全保障评估、安全问题风险评估的基础上，找出系统保护现状与GB/T-22239之间的差距，并形成等级测评结论。</w:t>
      </w:r>
    </w:p>
    <w:p w14:paraId="722A25E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根据报告编制活动各分析过程形成等级测评报告。等级测评报告格式应符合公安机关发布的《信息安全等级保护测评报告模版》。</w:t>
      </w:r>
    </w:p>
    <w:p w14:paraId="55FD4AB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drawing>
          <wp:inline distT="0" distB="0" distL="0" distR="0">
            <wp:extent cx="4720590" cy="684022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a:stretch>
                      <a:fillRect/>
                    </a:stretch>
                  </pic:blipFill>
                  <pic:spPr>
                    <a:xfrm>
                      <a:off x="0" y="0"/>
                      <a:ext cx="4720590" cy="6840220"/>
                    </a:xfrm>
                    <a:prstGeom prst="rect">
                      <a:avLst/>
                    </a:prstGeom>
                    <a:noFill/>
                    <a:ln>
                      <a:noFill/>
                    </a:ln>
                  </pic:spPr>
                </pic:pic>
              </a:graphicData>
            </a:graphic>
          </wp:inline>
        </w:drawing>
      </w:r>
    </w:p>
    <w:p w14:paraId="7127234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本项服务完成后，需提交项目最终成果文档，该成果文档应满足</w:t>
      </w:r>
      <w:r>
        <w:rPr>
          <w:rFonts w:hint="eastAsia" w:ascii="宋体" w:hAnsi="宋体" w:eastAsia="宋体" w:cs="宋体"/>
          <w:sz w:val="24"/>
          <w:szCs w:val="24"/>
          <w:lang w:val="en-GB"/>
        </w:rPr>
        <w:t>《信息安全技术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网络安全等级保护基本要求》、《信息安全技术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网络安全等级保护测评要求》、《信息安全技术</w:t>
      </w:r>
      <w:r>
        <w:rPr>
          <w:rFonts w:hint="eastAsia" w:ascii="宋体" w:hAnsi="宋体" w:eastAsia="宋体" w:cs="宋体"/>
          <w:sz w:val="24"/>
          <w:szCs w:val="24"/>
          <w:lang w:val="en-US"/>
        </w:rPr>
        <w:t xml:space="preserve"> </w:t>
      </w:r>
      <w:r>
        <w:rPr>
          <w:rFonts w:hint="eastAsia" w:ascii="宋体" w:hAnsi="宋体" w:eastAsia="宋体" w:cs="宋体"/>
          <w:sz w:val="24"/>
          <w:szCs w:val="24"/>
          <w:lang w:val="en-GB"/>
        </w:rPr>
        <w:t>网络安全等级保护安全设计技术要求》等</w:t>
      </w:r>
      <w:r>
        <w:rPr>
          <w:rFonts w:hint="eastAsia" w:ascii="宋体" w:hAnsi="宋体" w:eastAsia="宋体" w:cs="宋体"/>
          <w:sz w:val="24"/>
          <w:szCs w:val="24"/>
          <w:lang w:val="en-US"/>
        </w:rPr>
        <w:t>国家标准的相关格式和内容要求，最终成果文档如下：</w:t>
      </w:r>
    </w:p>
    <w:p w14:paraId="0580E60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的《***系统安全等级测评方案》（电子版）。</w:t>
      </w:r>
    </w:p>
    <w:p w14:paraId="3D05A456">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的《***系统安全等级测评整改报告》（电子版）。</w:t>
      </w:r>
    </w:p>
    <w:p w14:paraId="1C7E5282">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rPr>
        <w:t>海南</w:t>
      </w:r>
      <w:r>
        <w:rPr>
          <w:rFonts w:hint="eastAsia" w:ascii="宋体" w:hAnsi="宋体" w:eastAsia="宋体" w:cs="宋体"/>
          <w:sz w:val="24"/>
          <w:szCs w:val="24"/>
          <w:lang w:val="en-US" w:eastAsia="zh-CN"/>
        </w:rPr>
        <w:t>省教育省域网</w:t>
      </w:r>
      <w:r>
        <w:rPr>
          <w:rFonts w:hint="eastAsia" w:ascii="宋体" w:hAnsi="宋体" w:eastAsia="宋体" w:cs="宋体"/>
          <w:sz w:val="24"/>
          <w:szCs w:val="24"/>
          <w:lang w:val="en-GB"/>
        </w:rPr>
        <w:t>网络安全等级保护测评</w:t>
      </w:r>
      <w:r>
        <w:rPr>
          <w:rFonts w:hint="eastAsia" w:ascii="宋体" w:hAnsi="宋体" w:eastAsia="宋体" w:cs="宋体"/>
          <w:sz w:val="24"/>
          <w:szCs w:val="24"/>
          <w:lang w:val="en-US"/>
        </w:rPr>
        <w:t>的《***系统安全等级测评报告》（纸质版）。</w:t>
      </w:r>
    </w:p>
    <w:p w14:paraId="353001D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（二）</w:t>
      </w:r>
      <w:r>
        <w:rPr>
          <w:rFonts w:hint="eastAsia" w:ascii="楷体" w:hAnsi="楷体" w:eastAsia="楷体" w:cs="楷体"/>
          <w:sz w:val="24"/>
          <w:szCs w:val="24"/>
          <w:lang w:val="en-US"/>
        </w:rPr>
        <w:t>软件测试</w:t>
      </w:r>
    </w:p>
    <w:p w14:paraId="22F62CD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软件测试是对系统的各项功能、性能等参数、硬件配置、环境部署和用户的体验度进行覆盖系统建设涉及的所有模块和关键功能节点的测试。以发现系统问题为目的，查找系统存在的漏洞和风险，并在测评的过程中对存在的问题进行梳理与分析，协助采购人对应用软件的开发进行整体测评。测评内容主要包含以下几个方面：依据《系统与软件工程 系统与软件质量要求和评价（SQuaRE）第51部分：就绪可用软件产品（RUSP）的质量要求和</w:t>
      </w:r>
      <w:r>
        <w:rPr>
          <w:rFonts w:hint="eastAsia" w:ascii="宋体" w:hAnsi="宋体" w:cs="宋体"/>
          <w:sz w:val="24"/>
          <w:szCs w:val="24"/>
          <w:lang w:val="en-US" w:eastAsia="zh-CN"/>
        </w:rPr>
        <w:t>《</w:t>
      </w:r>
      <w:r>
        <w:rPr>
          <w:rFonts w:hint="eastAsia" w:ascii="宋体" w:hAnsi="宋体" w:eastAsia="宋体" w:cs="宋体"/>
          <w:sz w:val="24"/>
          <w:szCs w:val="24"/>
          <w:lang w:val="en-US"/>
        </w:rPr>
        <w:t>测试细则》及平台设计文档等材料，对平台软件主要针对功能性、性能效率方面测试。</w:t>
      </w:r>
    </w:p>
    <w:p w14:paraId="72451B8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rPr>
        <w:t>功能性测试</w:t>
      </w:r>
    </w:p>
    <w:p w14:paraId="603E5DB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对系统功能的适合性、准确性、互操作性、保密安全性等进行全面的测试，利用专业的测试模型，设计合理的测试用例，测试发现系统存在的功能问题和安全漏洞，并提出合理的改进建议。</w:t>
      </w:r>
    </w:p>
    <w:p w14:paraId="539E149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具体测试内容如下表所示：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96"/>
        <w:gridCol w:w="1486"/>
        <w:gridCol w:w="4415"/>
        <w:gridCol w:w="1532"/>
      </w:tblGrid>
      <w:tr w14:paraId="4FE9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7" w:type="dxa"/>
            <w:shd w:val="clear" w:color="auto" w:fill="D9D9D9"/>
            <w:vAlign w:val="center"/>
          </w:tcPr>
          <w:p w14:paraId="7287C568">
            <w:pPr>
              <w:pStyle w:val="264"/>
              <w:keepNext w:val="0"/>
              <w:keepLines w:val="0"/>
              <w:pageBreakBefore w:val="0"/>
              <w:widowControl w:val="0"/>
              <w:kinsoku/>
              <w:wordWrap/>
              <w:overflowPunct/>
              <w:topLinePunct w:val="0"/>
              <w:bidi w:val="0"/>
              <w:adjustRightInd/>
              <w:snapToGrid/>
              <w:spacing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82" w:type="dxa"/>
            <w:gridSpan w:val="2"/>
            <w:shd w:val="clear" w:color="auto" w:fill="D9D9D9"/>
            <w:vAlign w:val="center"/>
          </w:tcPr>
          <w:p w14:paraId="5DAD129A">
            <w:pPr>
              <w:pStyle w:val="264"/>
              <w:keepNext w:val="0"/>
              <w:keepLines w:val="0"/>
              <w:pageBreakBefore w:val="0"/>
              <w:widowControl w:val="0"/>
              <w:kinsoku/>
              <w:wordWrap/>
              <w:overflowPunct/>
              <w:topLinePunct w:val="0"/>
              <w:bidi w:val="0"/>
              <w:adjustRightInd/>
              <w:snapToGrid/>
              <w:spacing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测试项</w:t>
            </w:r>
          </w:p>
        </w:tc>
        <w:tc>
          <w:tcPr>
            <w:tcW w:w="4415" w:type="dxa"/>
            <w:shd w:val="clear" w:color="auto" w:fill="D9D9D9"/>
            <w:vAlign w:val="center"/>
          </w:tcPr>
          <w:p w14:paraId="53AF8678">
            <w:pPr>
              <w:pStyle w:val="264"/>
              <w:keepNext w:val="0"/>
              <w:keepLines w:val="0"/>
              <w:pageBreakBefore w:val="0"/>
              <w:widowControl w:val="0"/>
              <w:kinsoku/>
              <w:wordWrap/>
              <w:overflowPunct/>
              <w:topLinePunct w:val="0"/>
              <w:bidi w:val="0"/>
              <w:adjustRightInd/>
              <w:snapToGrid/>
              <w:spacing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测试内容</w:t>
            </w:r>
          </w:p>
        </w:tc>
        <w:tc>
          <w:tcPr>
            <w:tcW w:w="1532" w:type="dxa"/>
            <w:shd w:val="clear" w:color="auto" w:fill="D9D9D9"/>
            <w:vAlign w:val="center"/>
          </w:tcPr>
          <w:p w14:paraId="0FC69259">
            <w:pPr>
              <w:pStyle w:val="264"/>
              <w:keepNext w:val="0"/>
              <w:keepLines w:val="0"/>
              <w:pageBreakBefore w:val="0"/>
              <w:widowControl w:val="0"/>
              <w:kinsoku/>
              <w:wordWrap/>
              <w:overflowPunct/>
              <w:topLinePunct w:val="0"/>
              <w:bidi w:val="0"/>
              <w:adjustRightInd/>
              <w:snapToGrid/>
              <w:spacing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评测要求</w:t>
            </w:r>
          </w:p>
        </w:tc>
      </w:tr>
      <w:tr w14:paraId="6B72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3B480245">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restart"/>
            <w:shd w:val="clear" w:color="auto" w:fill="auto"/>
            <w:vAlign w:val="center"/>
          </w:tcPr>
          <w:p w14:paraId="548BDD1E">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p w14:paraId="14AEAFC1">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p w14:paraId="0C992927">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功能模块测评</w:t>
            </w:r>
          </w:p>
        </w:tc>
        <w:tc>
          <w:tcPr>
            <w:tcW w:w="1486" w:type="dxa"/>
            <w:shd w:val="clear" w:color="auto" w:fill="auto"/>
            <w:vAlign w:val="center"/>
          </w:tcPr>
          <w:p w14:paraId="6ACC6CD2">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功能完整性</w:t>
            </w:r>
          </w:p>
        </w:tc>
        <w:tc>
          <w:tcPr>
            <w:tcW w:w="4415" w:type="dxa"/>
            <w:shd w:val="clear" w:color="auto" w:fill="auto"/>
            <w:vAlign w:val="center"/>
          </w:tcPr>
          <w:p w14:paraId="3F77A236">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功能是否满足用户的需求，功能实现是否覆盖了系统需求分析说明书的全部内容。</w:t>
            </w:r>
          </w:p>
        </w:tc>
        <w:tc>
          <w:tcPr>
            <w:tcW w:w="1532" w:type="dxa"/>
            <w:vMerge w:val="restart"/>
            <w:shd w:val="clear" w:color="auto" w:fill="auto"/>
            <w:vAlign w:val="center"/>
          </w:tcPr>
          <w:p w14:paraId="6B96B713">
            <w:pPr>
              <w:pStyle w:val="264"/>
              <w:keepNext w:val="0"/>
              <w:keepLines w:val="0"/>
              <w:pageBreakBefore w:val="0"/>
              <w:widowControl w:val="0"/>
              <w:kinsoku/>
              <w:wordWrap/>
              <w:overflowPunct/>
              <w:topLinePunct w:val="0"/>
              <w:bidi w:val="0"/>
              <w:adjustRightInd/>
              <w:snapToGrid/>
              <w:spacing w:before="156" w:after="316" w:afterLines="100" w:line="300" w:lineRule="auto"/>
              <w:ind w:firstLine="0" w:firstLineChars="0"/>
              <w:textAlignment w:val="auto"/>
              <w:rPr>
                <w:rFonts w:hint="eastAsia" w:ascii="宋体" w:hAnsi="宋体" w:eastAsia="宋体" w:cs="宋体"/>
                <w:sz w:val="24"/>
                <w:szCs w:val="24"/>
              </w:rPr>
            </w:pPr>
          </w:p>
          <w:p w14:paraId="0FFA3C5B">
            <w:pPr>
              <w:pStyle w:val="264"/>
              <w:keepNext w:val="0"/>
              <w:keepLines w:val="0"/>
              <w:pageBreakBefore w:val="0"/>
              <w:widowControl w:val="0"/>
              <w:kinsoku/>
              <w:wordWrap/>
              <w:overflowPunct/>
              <w:topLinePunct w:val="0"/>
              <w:bidi w:val="0"/>
              <w:adjustRightInd/>
              <w:snapToGrid/>
              <w:spacing w:before="156" w:after="316" w:afterLines="100" w:line="300" w:lineRule="auto"/>
              <w:ind w:firstLine="0" w:firstLineChars="0"/>
              <w:textAlignment w:val="auto"/>
              <w:rPr>
                <w:rFonts w:hint="eastAsia" w:ascii="宋体" w:hAnsi="宋体" w:eastAsia="宋体" w:cs="宋体"/>
                <w:sz w:val="24"/>
                <w:szCs w:val="24"/>
              </w:rPr>
            </w:pPr>
          </w:p>
          <w:p w14:paraId="0DEA2AA1">
            <w:pPr>
              <w:pStyle w:val="264"/>
              <w:keepNext w:val="0"/>
              <w:keepLines w:val="0"/>
              <w:pageBreakBefore w:val="0"/>
              <w:widowControl w:val="0"/>
              <w:kinsoku/>
              <w:wordWrap/>
              <w:overflowPunct/>
              <w:topLinePunct w:val="0"/>
              <w:bidi w:val="0"/>
              <w:adjustRightInd/>
              <w:snapToGrid/>
              <w:spacing w:before="156" w:after="316" w:afterLines="100"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覆盖被测系统全部功能和业务流程</w:t>
            </w:r>
          </w:p>
        </w:tc>
      </w:tr>
      <w:tr w14:paraId="258B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15147BA3">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continue"/>
            <w:shd w:val="clear" w:color="auto" w:fill="auto"/>
            <w:vAlign w:val="center"/>
          </w:tcPr>
          <w:p w14:paraId="4DD7C640">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c>
          <w:tcPr>
            <w:tcW w:w="1486" w:type="dxa"/>
            <w:shd w:val="clear" w:color="auto" w:fill="auto"/>
            <w:vAlign w:val="center"/>
          </w:tcPr>
          <w:p w14:paraId="69DD5B44">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功能适合性</w:t>
            </w:r>
          </w:p>
        </w:tc>
        <w:tc>
          <w:tcPr>
            <w:tcW w:w="4415" w:type="dxa"/>
            <w:shd w:val="clear" w:color="auto" w:fill="auto"/>
            <w:vAlign w:val="center"/>
          </w:tcPr>
          <w:p w14:paraId="6C032D9F">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软件在运行过程中，功能或操作能否提供合理的和可接受的结果，以实现用户期望的特定目标。</w:t>
            </w:r>
          </w:p>
        </w:tc>
        <w:tc>
          <w:tcPr>
            <w:tcW w:w="1532" w:type="dxa"/>
            <w:vMerge w:val="continue"/>
            <w:shd w:val="clear" w:color="auto" w:fill="auto"/>
            <w:vAlign w:val="center"/>
          </w:tcPr>
          <w:p w14:paraId="50FA1882">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r w14:paraId="2748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63AC0965">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continue"/>
            <w:shd w:val="clear" w:color="auto" w:fill="auto"/>
            <w:vAlign w:val="center"/>
          </w:tcPr>
          <w:p w14:paraId="59F160D9">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c>
          <w:tcPr>
            <w:tcW w:w="1486" w:type="dxa"/>
            <w:shd w:val="clear" w:color="auto" w:fill="auto"/>
            <w:vAlign w:val="center"/>
          </w:tcPr>
          <w:p w14:paraId="1C1D5A06">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功能正确性</w:t>
            </w:r>
          </w:p>
        </w:tc>
        <w:tc>
          <w:tcPr>
            <w:tcW w:w="4415" w:type="dxa"/>
            <w:shd w:val="clear" w:color="auto" w:fill="auto"/>
            <w:vAlign w:val="center"/>
          </w:tcPr>
          <w:p w14:paraId="2D134EF4">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功能实现是否正确，程序和数据是否与需求说明书及用户文档的全部内容相对应。</w:t>
            </w:r>
          </w:p>
        </w:tc>
        <w:tc>
          <w:tcPr>
            <w:tcW w:w="1532" w:type="dxa"/>
            <w:vMerge w:val="continue"/>
            <w:shd w:val="clear" w:color="auto" w:fill="auto"/>
            <w:vAlign w:val="center"/>
          </w:tcPr>
          <w:p w14:paraId="58C8B803">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r w14:paraId="6462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173EBECE">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continue"/>
            <w:shd w:val="clear" w:color="auto" w:fill="auto"/>
            <w:vAlign w:val="center"/>
          </w:tcPr>
          <w:p w14:paraId="5D2AAF17">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c>
          <w:tcPr>
            <w:tcW w:w="1486" w:type="dxa"/>
            <w:shd w:val="clear" w:color="auto" w:fill="auto"/>
            <w:vAlign w:val="center"/>
          </w:tcPr>
          <w:p w14:paraId="498BDF6B">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互操作性</w:t>
            </w:r>
          </w:p>
        </w:tc>
        <w:tc>
          <w:tcPr>
            <w:tcW w:w="4415" w:type="dxa"/>
            <w:shd w:val="clear" w:color="auto" w:fill="auto"/>
            <w:vAlign w:val="center"/>
          </w:tcPr>
          <w:p w14:paraId="1606F273">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系统与一个或更多的规定系统能否进行交互以及交互的能力。</w:t>
            </w:r>
          </w:p>
        </w:tc>
        <w:tc>
          <w:tcPr>
            <w:tcW w:w="1532" w:type="dxa"/>
            <w:vMerge w:val="continue"/>
            <w:shd w:val="clear" w:color="auto" w:fill="auto"/>
            <w:vAlign w:val="center"/>
          </w:tcPr>
          <w:p w14:paraId="238FF2CE">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r w14:paraId="2E29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35752AA0">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continue"/>
            <w:shd w:val="clear" w:color="auto" w:fill="auto"/>
            <w:vAlign w:val="center"/>
          </w:tcPr>
          <w:p w14:paraId="6AF11703">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c>
          <w:tcPr>
            <w:tcW w:w="1486" w:type="dxa"/>
            <w:shd w:val="clear" w:color="auto" w:fill="auto"/>
            <w:vAlign w:val="center"/>
          </w:tcPr>
          <w:p w14:paraId="3E0CB498">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一致性</w:t>
            </w:r>
          </w:p>
        </w:tc>
        <w:tc>
          <w:tcPr>
            <w:tcW w:w="4415" w:type="dxa"/>
            <w:shd w:val="clear" w:color="auto" w:fill="auto"/>
            <w:vAlign w:val="center"/>
          </w:tcPr>
          <w:p w14:paraId="0878F148">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程序和数据实现是否与需求说明书和用户文档一致。</w:t>
            </w:r>
          </w:p>
        </w:tc>
        <w:tc>
          <w:tcPr>
            <w:tcW w:w="1532" w:type="dxa"/>
            <w:vMerge w:val="continue"/>
            <w:shd w:val="clear" w:color="auto" w:fill="auto"/>
            <w:vAlign w:val="center"/>
          </w:tcPr>
          <w:p w14:paraId="22CD0444">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r w14:paraId="2E62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0528575E">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696" w:type="dxa"/>
            <w:vMerge w:val="continue"/>
            <w:shd w:val="clear" w:color="auto" w:fill="auto"/>
            <w:vAlign w:val="center"/>
          </w:tcPr>
          <w:p w14:paraId="77AC5F87">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c>
          <w:tcPr>
            <w:tcW w:w="1486" w:type="dxa"/>
            <w:shd w:val="clear" w:color="auto" w:fill="auto"/>
            <w:vAlign w:val="center"/>
          </w:tcPr>
          <w:p w14:paraId="2AD9A898">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用户界面测评</w:t>
            </w:r>
          </w:p>
        </w:tc>
        <w:tc>
          <w:tcPr>
            <w:tcW w:w="4415" w:type="dxa"/>
            <w:shd w:val="clear" w:color="auto" w:fill="auto"/>
            <w:vAlign w:val="center"/>
          </w:tcPr>
          <w:p w14:paraId="7B258E15">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对用户界面的布局、界面文字、操作步骤、操作方式、快捷方式进行测评和验证，必要时通过用户调研或用户测试验证用户界面是否满足用户要求。</w:t>
            </w:r>
          </w:p>
        </w:tc>
        <w:tc>
          <w:tcPr>
            <w:tcW w:w="1532" w:type="dxa"/>
            <w:vMerge w:val="continue"/>
            <w:shd w:val="clear" w:color="auto" w:fill="auto"/>
            <w:vAlign w:val="center"/>
          </w:tcPr>
          <w:p w14:paraId="6AC8A4AD">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r w14:paraId="0B17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shd w:val="clear" w:color="auto" w:fill="auto"/>
            <w:vAlign w:val="center"/>
          </w:tcPr>
          <w:p w14:paraId="120F37B7">
            <w:pPr>
              <w:pStyle w:val="264"/>
              <w:keepNext w:val="0"/>
              <w:keepLines w:val="0"/>
              <w:pageBreakBefore w:val="0"/>
              <w:widowControl w:val="0"/>
              <w:numPr>
                <w:ilvl w:val="0"/>
                <w:numId w:val="2"/>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2182" w:type="dxa"/>
            <w:gridSpan w:val="2"/>
            <w:shd w:val="clear" w:color="auto" w:fill="auto"/>
            <w:vAlign w:val="center"/>
          </w:tcPr>
          <w:p w14:paraId="6CD933C1">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业务流程测试</w:t>
            </w:r>
          </w:p>
        </w:tc>
        <w:tc>
          <w:tcPr>
            <w:tcW w:w="4415" w:type="dxa"/>
            <w:shd w:val="clear" w:color="auto" w:fill="auto"/>
            <w:vAlign w:val="center"/>
          </w:tcPr>
          <w:p w14:paraId="63A36FDE">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对应用系统的所有业务流程进行测试，测试系统是否能够贯通各个业务流程。</w:t>
            </w:r>
          </w:p>
        </w:tc>
        <w:tc>
          <w:tcPr>
            <w:tcW w:w="1532" w:type="dxa"/>
            <w:vMerge w:val="continue"/>
            <w:shd w:val="clear" w:color="auto" w:fill="auto"/>
            <w:vAlign w:val="center"/>
          </w:tcPr>
          <w:p w14:paraId="10078220">
            <w:pPr>
              <w:pStyle w:val="264"/>
              <w:keepNext w:val="0"/>
              <w:keepLines w:val="0"/>
              <w:pageBreakBefore w:val="0"/>
              <w:widowControl w:val="0"/>
              <w:kinsoku/>
              <w:wordWrap/>
              <w:overflowPunct/>
              <w:topLinePunct w:val="0"/>
              <w:bidi w:val="0"/>
              <w:adjustRightInd/>
              <w:snapToGrid/>
              <w:spacing w:before="156" w:line="300" w:lineRule="auto"/>
              <w:ind w:firstLine="0" w:firstLineChars="0"/>
              <w:jc w:val="center"/>
              <w:textAlignment w:val="auto"/>
              <w:rPr>
                <w:rFonts w:hint="eastAsia" w:ascii="宋体" w:hAnsi="宋体" w:eastAsia="宋体" w:cs="宋体"/>
                <w:sz w:val="24"/>
                <w:szCs w:val="24"/>
              </w:rPr>
            </w:pPr>
          </w:p>
        </w:tc>
      </w:tr>
    </w:tbl>
    <w:p w14:paraId="28C8C4BF">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rPr>
        <w:t>效率（性能）测试</w:t>
      </w:r>
    </w:p>
    <w:p w14:paraId="3930A80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应用系统的性能测试主要包括：执行效率测试、设备效率测试和网络效率测试。对系统性能需求中要求的指标进行测试，并提供专业的性能测试数据。具体内容包括：</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08"/>
        <w:gridCol w:w="1418"/>
        <w:gridCol w:w="4536"/>
        <w:gridCol w:w="1326"/>
      </w:tblGrid>
      <w:tr w14:paraId="027E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4" w:type="dxa"/>
            <w:shd w:val="clear" w:color="auto" w:fill="D9D9D9"/>
            <w:vAlign w:val="center"/>
          </w:tcPr>
          <w:p w14:paraId="1AAC04AB">
            <w:pPr>
              <w:pStyle w:val="264"/>
              <w:keepNext w:val="0"/>
              <w:keepLines w:val="0"/>
              <w:pageBreakBefore w:val="0"/>
              <w:widowControl w:val="0"/>
              <w:kinsoku/>
              <w:wordWrap/>
              <w:overflowPunct/>
              <w:topLinePunct w:val="0"/>
              <w:autoSpaceDE/>
              <w:autoSpaceDN/>
              <w:bidi w:val="0"/>
              <w:adjustRightInd/>
              <w:snapToGrid/>
              <w:spacing w:before="0"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26" w:type="dxa"/>
            <w:gridSpan w:val="2"/>
            <w:shd w:val="clear" w:color="auto" w:fill="D9D9D9"/>
            <w:vAlign w:val="center"/>
          </w:tcPr>
          <w:p w14:paraId="543BD6F5">
            <w:pPr>
              <w:pStyle w:val="264"/>
              <w:keepNext w:val="0"/>
              <w:keepLines w:val="0"/>
              <w:pageBreakBefore w:val="0"/>
              <w:widowControl w:val="0"/>
              <w:kinsoku/>
              <w:wordWrap/>
              <w:overflowPunct/>
              <w:topLinePunct w:val="0"/>
              <w:autoSpaceDE/>
              <w:autoSpaceDN/>
              <w:bidi w:val="0"/>
              <w:adjustRightInd/>
              <w:snapToGrid/>
              <w:spacing w:before="0"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测试项</w:t>
            </w:r>
          </w:p>
        </w:tc>
        <w:tc>
          <w:tcPr>
            <w:tcW w:w="4536" w:type="dxa"/>
            <w:shd w:val="clear" w:color="auto" w:fill="D9D9D9"/>
            <w:vAlign w:val="center"/>
          </w:tcPr>
          <w:p w14:paraId="16B24FBF">
            <w:pPr>
              <w:pStyle w:val="264"/>
              <w:keepNext w:val="0"/>
              <w:keepLines w:val="0"/>
              <w:pageBreakBefore w:val="0"/>
              <w:widowControl w:val="0"/>
              <w:kinsoku/>
              <w:wordWrap/>
              <w:overflowPunct/>
              <w:topLinePunct w:val="0"/>
              <w:autoSpaceDE/>
              <w:autoSpaceDN/>
              <w:bidi w:val="0"/>
              <w:adjustRightInd/>
              <w:snapToGrid/>
              <w:spacing w:before="0"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测试内容</w:t>
            </w:r>
          </w:p>
        </w:tc>
        <w:tc>
          <w:tcPr>
            <w:tcW w:w="1326" w:type="dxa"/>
            <w:shd w:val="clear" w:color="auto" w:fill="D9D9D9"/>
            <w:vAlign w:val="center"/>
          </w:tcPr>
          <w:p w14:paraId="51AA0497">
            <w:pPr>
              <w:pStyle w:val="264"/>
              <w:keepNext w:val="0"/>
              <w:keepLines w:val="0"/>
              <w:pageBreakBefore w:val="0"/>
              <w:widowControl w:val="0"/>
              <w:kinsoku/>
              <w:wordWrap/>
              <w:overflowPunct/>
              <w:topLinePunct w:val="0"/>
              <w:autoSpaceDE/>
              <w:autoSpaceDN/>
              <w:bidi w:val="0"/>
              <w:adjustRightInd/>
              <w:snapToGrid/>
              <w:spacing w:before="0" w:line="30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评测要求</w:t>
            </w:r>
          </w:p>
        </w:tc>
      </w:tr>
      <w:tr w14:paraId="4DE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58DD4840">
            <w:pPr>
              <w:pStyle w:val="264"/>
              <w:keepNext w:val="0"/>
              <w:keepLines w:val="0"/>
              <w:pageBreakBefore w:val="0"/>
              <w:widowControl w:val="0"/>
              <w:numPr>
                <w:ilvl w:val="0"/>
                <w:numId w:val="3"/>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708" w:type="dxa"/>
            <w:vMerge w:val="restart"/>
            <w:shd w:val="clear" w:color="auto" w:fill="auto"/>
            <w:vAlign w:val="center"/>
          </w:tcPr>
          <w:p w14:paraId="3C29AD79">
            <w:pPr>
              <w:pStyle w:val="264"/>
              <w:keepNext w:val="0"/>
              <w:keepLines w:val="0"/>
              <w:pageBreakBefore w:val="0"/>
              <w:widowControl w:val="0"/>
              <w:kinsoku/>
              <w:wordWrap/>
              <w:overflowPunct/>
              <w:topLinePunct w:val="0"/>
              <w:bidi w:val="0"/>
              <w:adjustRightInd/>
              <w:snapToGrid/>
              <w:spacing w:before="156" w:after="316" w:afterLines="100" w:line="300" w:lineRule="auto"/>
              <w:ind w:firstLine="0" w:firstLineChars="0"/>
              <w:textAlignment w:val="auto"/>
              <w:rPr>
                <w:rFonts w:hint="eastAsia" w:ascii="宋体" w:hAnsi="宋体" w:eastAsia="宋体" w:cs="宋体"/>
                <w:sz w:val="24"/>
                <w:szCs w:val="24"/>
              </w:rPr>
            </w:pPr>
          </w:p>
          <w:p w14:paraId="25F0CCDB">
            <w:pPr>
              <w:pStyle w:val="264"/>
              <w:keepNext w:val="0"/>
              <w:keepLines w:val="0"/>
              <w:pageBreakBefore w:val="0"/>
              <w:widowControl w:val="0"/>
              <w:kinsoku/>
              <w:wordWrap/>
              <w:overflowPunct/>
              <w:topLinePunct w:val="0"/>
              <w:bidi w:val="0"/>
              <w:adjustRightInd/>
              <w:snapToGrid/>
              <w:spacing w:before="156" w:after="316" w:afterLines="100"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执行效率测试</w:t>
            </w:r>
          </w:p>
        </w:tc>
        <w:tc>
          <w:tcPr>
            <w:tcW w:w="1418" w:type="dxa"/>
            <w:shd w:val="clear" w:color="auto" w:fill="auto"/>
            <w:vAlign w:val="center"/>
          </w:tcPr>
          <w:p w14:paraId="21EFB57E">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测试脚本</w:t>
            </w:r>
          </w:p>
        </w:tc>
        <w:tc>
          <w:tcPr>
            <w:tcW w:w="4536" w:type="dxa"/>
            <w:shd w:val="clear" w:color="auto" w:fill="auto"/>
            <w:vAlign w:val="center"/>
          </w:tcPr>
          <w:p w14:paraId="041264A4">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选择影响系统执行效率的功能模块，制定典型的业务脚本作为执行效率测试的基础案例。</w:t>
            </w:r>
          </w:p>
        </w:tc>
        <w:tc>
          <w:tcPr>
            <w:tcW w:w="1326" w:type="dxa"/>
            <w:vMerge w:val="restart"/>
            <w:shd w:val="clear" w:color="auto" w:fill="auto"/>
            <w:vAlign w:val="center"/>
          </w:tcPr>
          <w:p w14:paraId="50AB8E17">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p w14:paraId="6076F021">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覆盖被测系统全部功能和业务流程</w:t>
            </w:r>
          </w:p>
        </w:tc>
      </w:tr>
      <w:tr w14:paraId="17E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34A1FFCC">
            <w:pPr>
              <w:pStyle w:val="264"/>
              <w:keepNext w:val="0"/>
              <w:keepLines w:val="0"/>
              <w:pageBreakBefore w:val="0"/>
              <w:widowControl w:val="0"/>
              <w:numPr>
                <w:ilvl w:val="0"/>
                <w:numId w:val="3"/>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708" w:type="dxa"/>
            <w:vMerge w:val="continue"/>
            <w:shd w:val="clear" w:color="auto" w:fill="auto"/>
            <w:vAlign w:val="center"/>
          </w:tcPr>
          <w:p w14:paraId="45DEFC4B">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c>
          <w:tcPr>
            <w:tcW w:w="1418" w:type="dxa"/>
            <w:shd w:val="clear" w:color="auto" w:fill="auto"/>
            <w:vAlign w:val="center"/>
          </w:tcPr>
          <w:p w14:paraId="16819227">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并发用户数量</w:t>
            </w:r>
          </w:p>
        </w:tc>
        <w:tc>
          <w:tcPr>
            <w:tcW w:w="4536" w:type="dxa"/>
            <w:shd w:val="clear" w:color="auto" w:fill="auto"/>
            <w:vAlign w:val="center"/>
          </w:tcPr>
          <w:p w14:paraId="03D0B1E5">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分为负载测试和压力测试。通过负载测试，掌握系统能够承受的正常用户并发数量。通过压力测试，掌握系统能够承受的最大用户并发数量。</w:t>
            </w:r>
          </w:p>
        </w:tc>
        <w:tc>
          <w:tcPr>
            <w:tcW w:w="1326" w:type="dxa"/>
            <w:vMerge w:val="continue"/>
            <w:shd w:val="clear" w:color="auto" w:fill="auto"/>
            <w:vAlign w:val="center"/>
          </w:tcPr>
          <w:p w14:paraId="78455BDB">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r>
      <w:tr w14:paraId="33BA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4C8A2C6A">
            <w:pPr>
              <w:pStyle w:val="264"/>
              <w:keepNext w:val="0"/>
              <w:keepLines w:val="0"/>
              <w:pageBreakBefore w:val="0"/>
              <w:widowControl w:val="0"/>
              <w:numPr>
                <w:ilvl w:val="0"/>
                <w:numId w:val="3"/>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708" w:type="dxa"/>
            <w:vMerge w:val="continue"/>
            <w:shd w:val="clear" w:color="auto" w:fill="auto"/>
            <w:vAlign w:val="center"/>
          </w:tcPr>
          <w:p w14:paraId="6BD6C741">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c>
          <w:tcPr>
            <w:tcW w:w="1418" w:type="dxa"/>
            <w:shd w:val="clear" w:color="auto" w:fill="auto"/>
            <w:vAlign w:val="center"/>
          </w:tcPr>
          <w:p w14:paraId="29A70645">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并发方式</w:t>
            </w:r>
          </w:p>
        </w:tc>
        <w:tc>
          <w:tcPr>
            <w:tcW w:w="4536" w:type="dxa"/>
            <w:shd w:val="clear" w:color="auto" w:fill="auto"/>
            <w:vAlign w:val="center"/>
          </w:tcPr>
          <w:p w14:paraId="07A85013">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主要指用户并发过程中与真实情况相似程度，包括并发用户数量变化方式、并发过程使用的真实客户端数量、对于并发峰值的模拟等。</w:t>
            </w:r>
          </w:p>
        </w:tc>
        <w:tc>
          <w:tcPr>
            <w:tcW w:w="1326" w:type="dxa"/>
            <w:vMerge w:val="continue"/>
            <w:shd w:val="clear" w:color="auto" w:fill="auto"/>
            <w:vAlign w:val="center"/>
          </w:tcPr>
          <w:p w14:paraId="5F14958F">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r>
      <w:tr w14:paraId="7DE9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12CE4DFD">
            <w:pPr>
              <w:pStyle w:val="264"/>
              <w:keepNext w:val="0"/>
              <w:keepLines w:val="0"/>
              <w:pageBreakBefore w:val="0"/>
              <w:widowControl w:val="0"/>
              <w:numPr>
                <w:ilvl w:val="0"/>
                <w:numId w:val="3"/>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2126" w:type="dxa"/>
            <w:gridSpan w:val="2"/>
            <w:shd w:val="clear" w:color="auto" w:fill="auto"/>
            <w:vAlign w:val="center"/>
          </w:tcPr>
          <w:p w14:paraId="0F928F0C">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设备效率测试</w:t>
            </w:r>
          </w:p>
        </w:tc>
        <w:tc>
          <w:tcPr>
            <w:tcW w:w="4536" w:type="dxa"/>
            <w:shd w:val="clear" w:color="auto" w:fill="auto"/>
            <w:vAlign w:val="center"/>
          </w:tcPr>
          <w:p w14:paraId="04867251">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测试系统CPU占用率、内存占用率、磁盘占用率、输入输出效率等，包括软件在不工作状态下对于硬件资源的占用情况和进行业务处理过程中对于硬件资源的占用情况，包括数据库服务器、应用服务器和客户端等。</w:t>
            </w:r>
          </w:p>
        </w:tc>
        <w:tc>
          <w:tcPr>
            <w:tcW w:w="1326" w:type="dxa"/>
            <w:vMerge w:val="continue"/>
            <w:shd w:val="clear" w:color="auto" w:fill="auto"/>
            <w:vAlign w:val="center"/>
          </w:tcPr>
          <w:p w14:paraId="34DC2E52">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r>
      <w:tr w14:paraId="5D4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14:paraId="0DD0785D">
            <w:pPr>
              <w:pStyle w:val="264"/>
              <w:keepNext w:val="0"/>
              <w:keepLines w:val="0"/>
              <w:pageBreakBefore w:val="0"/>
              <w:widowControl w:val="0"/>
              <w:numPr>
                <w:ilvl w:val="0"/>
                <w:numId w:val="3"/>
              </w:numPr>
              <w:kinsoku/>
              <w:wordWrap/>
              <w:overflowPunct/>
              <w:topLinePunct w:val="0"/>
              <w:bidi w:val="0"/>
              <w:adjustRightInd/>
              <w:snapToGrid/>
              <w:spacing w:before="156" w:line="300" w:lineRule="auto"/>
              <w:ind w:firstLineChars="0"/>
              <w:jc w:val="center"/>
              <w:textAlignment w:val="auto"/>
              <w:rPr>
                <w:rFonts w:hint="eastAsia" w:ascii="宋体" w:hAnsi="宋体" w:eastAsia="宋体" w:cs="宋体"/>
                <w:sz w:val="24"/>
                <w:szCs w:val="24"/>
              </w:rPr>
            </w:pPr>
          </w:p>
        </w:tc>
        <w:tc>
          <w:tcPr>
            <w:tcW w:w="2126" w:type="dxa"/>
            <w:gridSpan w:val="2"/>
            <w:shd w:val="clear" w:color="auto" w:fill="auto"/>
            <w:vAlign w:val="center"/>
          </w:tcPr>
          <w:p w14:paraId="11A645E7">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网络效率测试</w:t>
            </w:r>
          </w:p>
        </w:tc>
        <w:tc>
          <w:tcPr>
            <w:tcW w:w="4536" w:type="dxa"/>
            <w:shd w:val="clear" w:color="auto" w:fill="auto"/>
            <w:vAlign w:val="center"/>
          </w:tcPr>
          <w:p w14:paraId="32D478A6">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主要测试网络吞吐量，网络的使用频度与带宽占用。</w:t>
            </w:r>
          </w:p>
        </w:tc>
        <w:tc>
          <w:tcPr>
            <w:tcW w:w="1326" w:type="dxa"/>
            <w:vMerge w:val="continue"/>
            <w:shd w:val="clear" w:color="auto" w:fill="auto"/>
            <w:vAlign w:val="center"/>
          </w:tcPr>
          <w:p w14:paraId="1C2547F5">
            <w:pPr>
              <w:pStyle w:val="264"/>
              <w:keepNext w:val="0"/>
              <w:keepLines w:val="0"/>
              <w:pageBreakBefore w:val="0"/>
              <w:widowControl w:val="0"/>
              <w:kinsoku/>
              <w:wordWrap/>
              <w:overflowPunct/>
              <w:topLinePunct w:val="0"/>
              <w:bidi w:val="0"/>
              <w:adjustRightInd/>
              <w:snapToGrid/>
              <w:spacing w:before="156" w:line="300" w:lineRule="auto"/>
              <w:ind w:firstLine="0" w:firstLineChars="0"/>
              <w:textAlignment w:val="auto"/>
              <w:rPr>
                <w:rFonts w:hint="eastAsia" w:ascii="宋体" w:hAnsi="宋体" w:eastAsia="宋体" w:cs="宋体"/>
                <w:sz w:val="24"/>
                <w:szCs w:val="24"/>
              </w:rPr>
            </w:pPr>
          </w:p>
        </w:tc>
      </w:tr>
    </w:tbl>
    <w:p w14:paraId="267BB11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p>
    <w:p w14:paraId="455D719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软件测试执行过程中，通常包括如下关键过程：</w:t>
      </w:r>
    </w:p>
    <w:p w14:paraId="4549BA9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（1）测试准备：</w:t>
      </w:r>
      <w:r>
        <w:rPr>
          <w:rFonts w:hint="eastAsia" w:ascii="宋体" w:hAnsi="宋体" w:eastAsia="宋体" w:cs="宋体"/>
          <w:sz w:val="24"/>
          <w:szCs w:val="24"/>
          <w:lang w:val="en-US"/>
        </w:rPr>
        <w:t>收集测试所需的各类文件材料，根据系统设计文档、软件开发合同、合同附件和合同变更过程中产生的各类功能点确定软件测试需求，对被测对象、测试范围、测试级别、测试类型、测评内容、测评进度、测评质量控制、结束条件、测评资料、风险等进行分析。确定测试策略和测评采用的软件问题分类方法，如未满足需求、设计缺陷、程序错误、文档错误、其他问题等，对每类问题给出定义，确定软件问题严重性分类方法，如致命、严重、一般、轻微等，并说明每一个等级的划分标准。根据项目招标书、委托书、合同或其他等效文件的要求，确定被测软件满足项目建设要求。明确测评工作正常结束和中止的条件。从技术、管理、资源等方面对项目的风险进行分析，并提出相应的应对措施。建立测评计划制定结果与测评依据的追踪关系，以证明测评策划确定的结果是合适和充分的，能够满足要求。</w:t>
      </w:r>
    </w:p>
    <w:p w14:paraId="3888D20E">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（2）方案编制、测试设计</w:t>
      </w:r>
      <w:r>
        <w:rPr>
          <w:rFonts w:hint="eastAsia" w:ascii="宋体" w:hAnsi="宋体" w:eastAsia="宋体" w:cs="宋体"/>
          <w:sz w:val="24"/>
          <w:szCs w:val="24"/>
          <w:lang w:val="en-US"/>
        </w:rPr>
        <w:t>：根据测试需求编制开发软件测试方案并提交采购人确认，依据测试需求及实际系统进行用例设计，编制测试用例。</w:t>
      </w:r>
    </w:p>
    <w:p w14:paraId="73EF45B0">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w:t>
      </w:r>
      <w:r>
        <w:rPr>
          <w:rFonts w:hint="eastAsia" w:ascii="楷体" w:hAnsi="楷体" w:eastAsia="楷体" w:cs="楷体"/>
          <w:sz w:val="24"/>
          <w:szCs w:val="24"/>
          <w:lang w:val="en-US"/>
        </w:rPr>
        <w:t>3）测试执行、提交缺陷</w:t>
      </w:r>
      <w:r>
        <w:rPr>
          <w:rFonts w:hint="eastAsia" w:ascii="宋体" w:hAnsi="宋体" w:eastAsia="宋体" w:cs="宋体"/>
          <w:sz w:val="24"/>
          <w:szCs w:val="24"/>
          <w:lang w:val="en-US"/>
        </w:rPr>
        <w:t>：测评工程师依据经确认后的测试方案严格执行经过内部审核的测试用例，并记录测试过程中发生的缺陷；完成一轮测试后生成问题报告及缺陷列表，并进行内部评审确认。</w:t>
      </w:r>
    </w:p>
    <w:p w14:paraId="3D5172A4">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（4）回归测试</w:t>
      </w:r>
      <w:r>
        <w:rPr>
          <w:rFonts w:hint="eastAsia" w:ascii="宋体" w:hAnsi="宋体" w:eastAsia="宋体" w:cs="宋体"/>
          <w:sz w:val="24"/>
          <w:szCs w:val="24"/>
          <w:lang w:val="en-US"/>
        </w:rPr>
        <w:t>：系统修复后，根据提交的问题报告及缺陷列表进行回归测试，并记录测试结果。</w:t>
      </w:r>
    </w:p>
    <w:p w14:paraId="24FC24A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（5）分析及报告编制</w:t>
      </w:r>
      <w:r>
        <w:rPr>
          <w:rFonts w:hint="eastAsia" w:ascii="宋体" w:hAnsi="宋体" w:eastAsia="宋体" w:cs="宋体"/>
          <w:sz w:val="24"/>
          <w:szCs w:val="24"/>
          <w:lang w:val="en-US"/>
        </w:rPr>
        <w:t>：在测试结束后，对全部测试结果进行汇总分析，形成软件测试结论，产出《软件测试报告》。</w:t>
      </w:r>
    </w:p>
    <w:p w14:paraId="781788C9">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rPr>
        <w:t>管理要求</w:t>
      </w:r>
    </w:p>
    <w:p w14:paraId="39E790F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服务过程中应遵守以下管理要求：</w:t>
      </w:r>
    </w:p>
    <w:p w14:paraId="03B116A5">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1、依据标准，遵循原则</w:t>
      </w:r>
    </w:p>
    <w:p w14:paraId="3BBE7349">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等级测评实施应依据等级保护的相关技术标准进行。相关技术标准主要包括GB/T-28448、GB/T-28449，其中等级测评目标和内容应依据GB/T-28449，对具体测评项的测评实施方法则依据GB/T-28448。在等级测评实施活动中，应遵循客观性和公正性、经济性和可重用性、可重复性和可再现性、结果完善性的原则，保证测评工作公正、科学、合理和完善。</w:t>
      </w:r>
    </w:p>
    <w:p w14:paraId="14598BF7">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2、恰当选取，保证强度</w:t>
      </w:r>
    </w:p>
    <w:p w14:paraId="4A5B5168">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恰当选取是指对具体测评对象的选择要恰当，既要避免重要的对象、可能存在安全隐患的对象没有被选择，也要避免过多选择，使得工作量增大。保证强度是指对被测定级对象应实施与其等级相适应的测评强度。</w:t>
      </w:r>
    </w:p>
    <w:p w14:paraId="2C4ED1FB">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3、规范行为，规避风险</w:t>
      </w:r>
    </w:p>
    <w:p w14:paraId="66DA63CC">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测评机构实施等级测评的过程应规范，包括：制定内部保密制度；制定过程控制制度；规定相关文档评审流程；指定专人负责保管等级测评的归档文件等。 测评人员的行为应规范，包括：测评人员进入现场佩戴工作牌；使用测评专用的电脑和工具；严格按照测评指导书使用规范的测评技术进行测评；准确记录测评证据；不擅自评价测评结果；不将测评结果复制给非测评人员；涉及到测评委托单位的工作秘密或敏感信息的相关资料，只在指定场所查看，查看完成后立即归还等。规避风险，是指要充分估计测评可能给被测定级对象带来的影响，向被测定级对象运营／使用单位揭示风险，要求其提前采取预防措施进行规避。同时，测评机构也应采取与测评委托单位签署委托测评协议、保密协议、现场测评授权书、要求测评委托单位进行系统备份、规范测评活动、及时与测评委托单位沟通等措施规避风险，尽量避免给被测定级对象和单位带来影响。</w:t>
      </w:r>
    </w:p>
    <w:p w14:paraId="63336C3D">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rPr>
        <w:t>人员要求</w:t>
      </w:r>
    </w:p>
    <w:p w14:paraId="46CC45EA">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测评实施人员最少安排1名高级等保测评师、2名中级测等保评师、5名初级等保测评师及软件测试工程师2名</w:t>
      </w:r>
    </w:p>
    <w:p w14:paraId="25A2EF1C">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rPr>
        <w:t>、验收要求</w:t>
      </w:r>
    </w:p>
    <w:p w14:paraId="76BBDB7C">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rPr>
        <w:t xml:space="preserve">验收主体： </w:t>
      </w:r>
      <w:r>
        <w:rPr>
          <w:rFonts w:hint="eastAsia"/>
          <w:sz w:val="24"/>
          <w:szCs w:val="24"/>
          <w:lang w:val="en-US" w:eastAsia="zh-CN"/>
        </w:rPr>
        <w:t>海南省电化教育馆</w:t>
      </w:r>
    </w:p>
    <w:p w14:paraId="1FE02DD8">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验收时间：合同约定的服务期结束前</w:t>
      </w:r>
    </w:p>
    <w:p w14:paraId="764B6C71">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验收方式：现场验收</w:t>
      </w:r>
    </w:p>
    <w:p w14:paraId="468C1500">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验收程序：提交验收申请-材料审查-验收评审</w:t>
      </w:r>
    </w:p>
    <w:p w14:paraId="070E74D9">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验收内容和验收标准：</w:t>
      </w:r>
    </w:p>
    <w:p w14:paraId="50A5661F">
      <w:pPr>
        <w:pStyle w:val="156"/>
        <w:keepNext w:val="0"/>
        <w:keepLines w:val="0"/>
        <w:pageBreakBefore w:val="0"/>
        <w:widowControl w:val="0"/>
        <w:kinsoku/>
        <w:wordWrap/>
        <w:overflowPunct/>
        <w:topLinePunct w:val="0"/>
        <w:bidi w:val="0"/>
        <w:adjustRightInd/>
        <w:snapToGrid/>
        <w:spacing w:line="300" w:lineRule="auto"/>
        <w:ind w:firstLine="560"/>
        <w:textAlignment w:val="auto"/>
        <w:rPr>
          <w:rFonts w:hint="eastAsia" w:ascii="宋体" w:hAnsi="宋体" w:eastAsia="宋体" w:cs="宋体"/>
          <w:sz w:val="24"/>
          <w:szCs w:val="24"/>
        </w:rPr>
      </w:pPr>
      <w:r>
        <w:rPr>
          <w:rFonts w:hint="eastAsia" w:ascii="宋体" w:hAnsi="宋体" w:eastAsia="宋体" w:cs="宋体"/>
          <w:sz w:val="24"/>
          <w:szCs w:val="24"/>
        </w:rPr>
        <w:t>1．服务验收清单</w:t>
      </w:r>
    </w:p>
    <w:p w14:paraId="744BA36D">
      <w:pPr>
        <w:keepNext w:val="0"/>
        <w:keepLines w:val="0"/>
        <w:pageBreakBefore w:val="0"/>
        <w:widowControl w:val="0"/>
        <w:kinsoku/>
        <w:wordWrap/>
        <w:overflowPunct/>
        <w:topLinePunct w:val="0"/>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2．服务考核指标</w:t>
      </w:r>
    </w:p>
    <w:p w14:paraId="7D26A987">
      <w:pPr>
        <w:keepNext w:val="0"/>
        <w:keepLines w:val="0"/>
        <w:pageBreakBefore w:val="0"/>
        <w:widowControl w:val="0"/>
        <w:kinsoku/>
        <w:wordWrap/>
        <w:overflowPunct/>
        <w:topLinePunct w:val="0"/>
        <w:bidi w:val="0"/>
        <w:adjustRightInd/>
        <w:snapToGrid/>
        <w:spacing w:before="316" w:beforeLines="100" w:line="300" w:lineRule="auto"/>
        <w:ind w:left="0" w:right="0" w:firstLine="480" w:firstLineChars="200"/>
        <w:jc w:val="left"/>
        <w:textAlignment w:val="auto"/>
        <w:outlineLvl w:val="9"/>
        <w:rPr>
          <w:rFonts w:hint="eastAsia" w:ascii="宋体" w:hAnsi="宋体" w:eastAsia="宋体" w:cs="宋体"/>
          <w:b/>
          <w:bCs/>
          <w:sz w:val="24"/>
          <w:szCs w:val="24"/>
          <w:lang w:val="en-US"/>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rPr>
        <w:t>、信息安全及保密要求</w:t>
      </w:r>
    </w:p>
    <w:p w14:paraId="4F42AAE2">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1、供应商应签订保密协议，对其因身份、职务、职业或技术关系而知悉的采购人商业秘密和党政机关保密信息应严格保守，保证不被披露或使用，包括意外或过失。</w:t>
      </w:r>
    </w:p>
    <w:p w14:paraId="4BA29045">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2、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供应商在从事政府项目时，不得擅自记录、复制、拍摄、摘抄、收藏在工作中涉及的保密信息，严禁将涉及政府项目的任何资料、数据透露或以其他方式提供给项目以外的其他方或供应商内部与该项目无关的任何人员。 </w:t>
      </w:r>
    </w:p>
    <w:p w14:paraId="36857DAF">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3、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3A337B84">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4、严禁泄露在工作中接触到的政府机关科技研究、发明、装备器材及其技术资料和政府工作信息。</w:t>
      </w:r>
    </w:p>
    <w:p w14:paraId="641641BB">
      <w:pPr>
        <w:pStyle w:val="89"/>
        <w:keepNext w:val="0"/>
        <w:keepLines w:val="0"/>
        <w:pageBreakBefore w:val="0"/>
        <w:widowControl w:val="0"/>
        <w:tabs>
          <w:tab w:val="left" w:pos="313"/>
          <w:tab w:val="left" w:pos="3300"/>
        </w:tabs>
        <w:kinsoku/>
        <w:wordWrap/>
        <w:overflowPunct/>
        <w:topLinePunct w:val="0"/>
        <w:bidi w:val="0"/>
        <w:adjustRightInd/>
        <w:snapToGrid/>
        <w:spacing w:before="0" w:line="300" w:lineRule="auto"/>
        <w:ind w:left="0" w:firstLine="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5、供应商所有参与本项目的服务人员必须严格遵守保密守则，不得向其它公司和人员泄露被维护系统的任何技术资料和业务资料，尤其是网络结构、配置情况、服务器的密码等关键的技术资料，违反者将严肃处理，如因此造成业主经济损失或名誉损失的，保留追究供应商和相关责任人法律责任的权利。</w:t>
      </w:r>
    </w:p>
    <w:p w14:paraId="45BB09D4">
      <w:pPr>
        <w:adjustRightInd w:val="0"/>
        <w:snapToGrid w:val="0"/>
        <w:spacing w:line="300" w:lineRule="auto"/>
        <w:ind w:firstLine="480" w:firstLineChars="200"/>
        <w:rPr>
          <w:rFonts w:hint="eastAsia" w:ascii="宋体"/>
          <w:kern w:val="0"/>
          <w:sz w:val="24"/>
        </w:rPr>
      </w:pPr>
    </w:p>
    <w:p w14:paraId="4A382037">
      <w:pPr>
        <w:bidi w:val="0"/>
        <w:rPr>
          <w:rFonts w:hint="eastAsia"/>
        </w:rPr>
      </w:pPr>
    </w:p>
    <w:p w14:paraId="234C2D93">
      <w:pPr>
        <w:rPr>
          <w:rFonts w:hint="eastAsia"/>
        </w:rPr>
        <w:sectPr>
          <w:headerReference r:id="rId3" w:type="default"/>
          <w:footerReference r:id="rId4" w:type="default"/>
          <w:footerReference r:id="rId5" w:type="even"/>
          <w:pgSz w:w="11906" w:h="16838"/>
          <w:pgMar w:top="1134" w:right="1134" w:bottom="1134" w:left="1134" w:header="851" w:footer="992" w:gutter="0"/>
          <w:cols w:space="720" w:num="1"/>
          <w:docGrid w:type="linesAndChars" w:linePitch="312" w:charSpace="0"/>
        </w:sectPr>
      </w:pPr>
    </w:p>
    <w:p w14:paraId="209511CB">
      <w:pPr>
        <w:numPr>
          <w:ilvl w:val="0"/>
          <w:numId w:val="0"/>
        </w:numPr>
        <w:adjustRightInd w:val="0"/>
        <w:snapToGrid w:val="0"/>
        <w:spacing w:line="300" w:lineRule="auto"/>
        <w:ind w:leftChars="200"/>
        <w:jc w:val="center"/>
        <w:outlineLvl w:val="1"/>
        <w:rPr>
          <w:rFonts w:hint="default" w:ascii="宋体" w:hAnsi="Times New Roman" w:eastAsia="宋体" w:cs="Times New Roman"/>
          <w:b/>
          <w:bCs/>
          <w:kern w:val="0"/>
          <w:sz w:val="32"/>
          <w:szCs w:val="32"/>
          <w:lang w:val="en-US" w:eastAsia="zh-CN"/>
        </w:rPr>
      </w:pPr>
      <w:r>
        <w:rPr>
          <w:rFonts w:hint="eastAsia" w:ascii="宋体" w:hAnsi="Times New Roman" w:eastAsia="宋体" w:cs="Times New Roman"/>
          <w:b/>
          <w:bCs/>
          <w:kern w:val="0"/>
          <w:sz w:val="32"/>
          <w:szCs w:val="32"/>
          <w:lang w:val="en-US" w:eastAsia="zh-CN"/>
        </w:rPr>
        <w:t>3包：海南省智慧教育平台网络安全等级保护测评（包含海南省教育数字底座、海南省智慧教育应用中心、海教通三个系统）及第三方软件测试</w:t>
      </w:r>
    </w:p>
    <w:p w14:paraId="28B33144">
      <w:pPr>
        <w:bidi w:val="0"/>
        <w:rPr>
          <w:rFonts w:hint="eastAsia"/>
          <w:lang w:val="en-US" w:eastAsia="zh-CN"/>
        </w:rPr>
      </w:pPr>
    </w:p>
    <w:p w14:paraId="5B4E3441">
      <w:pPr>
        <w:numPr>
          <w:ilvl w:val="0"/>
          <w:numId w:val="0"/>
        </w:num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一、建设目标：</w:t>
      </w:r>
    </w:p>
    <w:p w14:paraId="0A4A532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（一）等保测评</w:t>
      </w:r>
    </w:p>
    <w:p w14:paraId="195A59C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根据《信息安全等级保护管理办法》（公通字【2007】43号）的精神，《信息安全技术 网络安全等级保护基本要求》、《信息安全技术 网络安全等级保护测评要求》、《信息安全技术 网络安全等级保护安全设计技术要求》等国家标准要求，对海南省智慧教育平台（包含海南省教育数字底座、海南省智慧教育应用中心、海教通三个系统）开展等级保护测评；通过检测评估工作促进安全整改与安全建设，提升省教育厅网络安全防护能力及人员安全意识，完善网络安全保障体系。</w:t>
      </w:r>
    </w:p>
    <w:p w14:paraId="3C4D008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（二）软件测试</w:t>
      </w:r>
    </w:p>
    <w:p w14:paraId="54858C9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测试目标：全面验证海南省智慧教育平台（包含海南省教育数字底座、海南省智慧教育应用中心、海教通三个系统）软件各项功能是否按照需求规格说明书准确实现，确保无功能缺失、逻辑错误、数据处理异常等问题，保证软件功能的完整性、正确性和可用性。</w:t>
      </w:r>
    </w:p>
    <w:p w14:paraId="52A0F52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测试目标：评估海南省智慧教育平台（包含海南省教育数字底座、海南省智慧教育应用中心、海教通三个系统）软件在不同负载条件下的性能表现，主要包括响应时间和吞吐率，确保软件在预期用户并发量和数据量下能够稳定、高效运行，满足业务高峰时期的性能需求。</w:t>
      </w:r>
    </w:p>
    <w:p w14:paraId="2813EADE">
      <w:pPr>
        <w:bidi w:val="0"/>
        <w:rPr>
          <w:rFonts w:hint="eastAsia"/>
        </w:rPr>
      </w:pPr>
    </w:p>
    <w:p w14:paraId="19F5DD26">
      <w:pPr>
        <w:numPr>
          <w:ilvl w:val="0"/>
          <w:numId w:val="0"/>
        </w:numPr>
        <w:adjustRightInd w:val="0"/>
        <w:snapToGrid w:val="0"/>
        <w:spacing w:line="300" w:lineRule="auto"/>
        <w:ind w:firstLine="588" w:firstLineChars="245"/>
        <w:rPr>
          <w:rFonts w:hint="eastAsia" w:ascii="宋体" w:hAnsi="Times New Roman" w:eastAsia="宋体" w:cs="Times New Roman"/>
          <w:b/>
          <w:bCs/>
          <w:kern w:val="0"/>
          <w:sz w:val="24"/>
          <w:lang w:val="en-US" w:eastAsia="zh-CN"/>
        </w:rPr>
      </w:pPr>
      <w:r>
        <w:rPr>
          <w:rFonts w:hint="eastAsia" w:ascii="宋体" w:hAnsi="Times New Roman" w:eastAsia="宋体" w:cs="Times New Roman"/>
          <w:b/>
          <w:bCs/>
          <w:kern w:val="0"/>
          <w:sz w:val="24"/>
          <w:lang w:val="en-US" w:eastAsia="zh-CN"/>
        </w:rPr>
        <w:t>二、技术要求：</w:t>
      </w:r>
    </w:p>
    <w:p w14:paraId="2946CAAD">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根据国家等级保护相关标准</w:t>
      </w:r>
      <w:r>
        <w:rPr>
          <w:rFonts w:hint="eastAsia" w:ascii="宋体" w:hAnsi="宋体" w:eastAsia="宋体" w:cs="宋体"/>
          <w:sz w:val="24"/>
          <w:szCs w:val="24"/>
          <w:lang w:val="en-GB"/>
        </w:rPr>
        <w:t>对</w:t>
      </w:r>
      <w:r>
        <w:rPr>
          <w:rFonts w:hint="eastAsia" w:ascii="宋体" w:hAnsi="宋体" w:eastAsia="宋体" w:cs="宋体"/>
          <w:sz w:val="24"/>
          <w:szCs w:val="24"/>
          <w:lang w:eastAsia="zh-CN"/>
        </w:rPr>
        <w:t>海南省智慧教育平台（包含海南省教育数字底座、海南省智慧教育应用中心、海教通三个系统）</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指导</w:t>
      </w:r>
      <w:r>
        <w:rPr>
          <w:rFonts w:hint="eastAsia" w:ascii="宋体" w:hAnsi="宋体" w:eastAsia="宋体" w:cs="宋体"/>
          <w:sz w:val="24"/>
          <w:szCs w:val="24"/>
          <w:lang w:val="en-GB"/>
        </w:rPr>
        <w:t>海南省教育厅</w:t>
      </w:r>
      <w:r>
        <w:rPr>
          <w:rFonts w:hint="eastAsia" w:ascii="宋体" w:hAnsi="宋体" w:eastAsia="宋体" w:cs="宋体"/>
          <w:sz w:val="24"/>
          <w:szCs w:val="24"/>
          <w:lang w:val="en-US"/>
        </w:rPr>
        <w:t>对检测评估过程中发现的安全问题进行整改，整改完成后对相关问题进行复测，以确认发现的安全问题均已经得到修复或抑制，并出具</w:t>
      </w:r>
      <w:r>
        <w:rPr>
          <w:rFonts w:hint="eastAsia" w:ascii="宋体" w:hAnsi="宋体" w:eastAsia="宋体" w:cs="宋体"/>
          <w:sz w:val="24"/>
          <w:szCs w:val="24"/>
          <w:lang w:val="en-US" w:eastAsia="zh-CN"/>
        </w:rPr>
        <w:t>结论为</w:t>
      </w:r>
      <w:r>
        <w:rPr>
          <w:rFonts w:hint="eastAsia" w:ascii="宋体" w:hAnsi="宋体" w:eastAsia="宋体" w:cs="宋体"/>
          <w:b/>
          <w:bCs/>
          <w:sz w:val="24"/>
          <w:szCs w:val="24"/>
          <w:lang w:val="en-US" w:eastAsia="zh-CN"/>
        </w:rPr>
        <w:t>基本符合及以上</w:t>
      </w:r>
      <w:r>
        <w:rPr>
          <w:rFonts w:hint="eastAsia" w:ascii="宋体" w:hAnsi="宋体" w:eastAsia="宋体" w:cs="宋体"/>
          <w:sz w:val="24"/>
          <w:szCs w:val="24"/>
          <w:lang w:val="en-US" w:eastAsia="zh-CN"/>
        </w:rPr>
        <w:t>等级的</w:t>
      </w:r>
      <w:r>
        <w:rPr>
          <w:rFonts w:hint="eastAsia" w:ascii="宋体" w:hAnsi="宋体" w:eastAsia="宋体" w:cs="宋体"/>
          <w:sz w:val="24"/>
          <w:szCs w:val="24"/>
          <w:lang w:val="en-US"/>
        </w:rPr>
        <w:t>最终报告。</w:t>
      </w:r>
    </w:p>
    <w:p w14:paraId="03B1948D">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（一）</w:t>
      </w:r>
      <w:r>
        <w:rPr>
          <w:rFonts w:hint="eastAsia" w:ascii="楷体" w:hAnsi="楷体" w:eastAsia="楷体" w:cs="楷体"/>
          <w:sz w:val="24"/>
          <w:szCs w:val="24"/>
          <w:lang w:val="en-US"/>
        </w:rPr>
        <w:t>等级保护测评</w:t>
      </w:r>
    </w:p>
    <w:p w14:paraId="1437D07C">
      <w:pPr>
        <w:adjustRightInd w:val="0"/>
        <w:snapToGrid w:val="0"/>
        <w:spacing w:line="30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对</w:t>
      </w:r>
      <w:r>
        <w:rPr>
          <w:rFonts w:hint="eastAsia" w:ascii="宋体" w:hAnsi="宋体" w:eastAsia="宋体" w:cs="宋体"/>
          <w:sz w:val="24"/>
          <w:szCs w:val="24"/>
          <w:lang w:eastAsia="zh-CN"/>
        </w:rPr>
        <w:t>海南省智慧教育平台（包含海南省教育数字底座、海南省智慧教育应用中心、海教通三个系统）</w:t>
      </w:r>
      <w:r>
        <w:rPr>
          <w:rFonts w:hint="eastAsia" w:ascii="宋体" w:hAnsi="宋体" w:eastAsia="宋体" w:cs="宋体"/>
          <w:sz w:val="24"/>
          <w:szCs w:val="24"/>
          <w:lang w:val="en-US"/>
        </w:rPr>
        <w:t>开展等级保护</w:t>
      </w:r>
      <w:r>
        <w:rPr>
          <w:rFonts w:hint="eastAsia" w:ascii="宋体" w:hAnsi="宋体" w:eastAsia="宋体" w:cs="宋体"/>
          <w:sz w:val="24"/>
          <w:szCs w:val="24"/>
          <w:lang w:val="en-GB"/>
        </w:rPr>
        <w:t>测评</w:t>
      </w:r>
      <w:r>
        <w:rPr>
          <w:rFonts w:hint="eastAsia" w:ascii="宋体" w:hAnsi="宋体" w:eastAsia="宋体" w:cs="宋体"/>
          <w:sz w:val="24"/>
          <w:szCs w:val="24"/>
          <w:lang w:val="en-US"/>
        </w:rPr>
        <w:t>，安全技术测评包括：安全物理环境、安全通信网络、安全区域边界、安全计算环境、安全管理中心五个层面上的安全控制测评；安全管理测评包括：安全管理制度、安全管理机构、安全管理人员、安全建设管理、安全运维管理五个方面的安全控制测评。</w:t>
      </w:r>
    </w:p>
    <w:p w14:paraId="620E4FAE">
      <w:pPr>
        <w:adjustRightInd w:val="0"/>
        <w:snapToGrid w:val="0"/>
        <w:spacing w:line="300" w:lineRule="auto"/>
        <w:ind w:firstLine="420" w:firstLineChars="200"/>
        <w:jc w:val="center"/>
        <w:rPr>
          <w:rFonts w:hint="eastAsia" w:ascii="宋体"/>
          <w:kern w:val="0"/>
          <w:sz w:val="24"/>
        </w:rPr>
      </w:pPr>
      <w:r>
        <w:drawing>
          <wp:inline distT="0" distB="0" distL="0" distR="0">
            <wp:extent cx="5178425" cy="2733675"/>
            <wp:effectExtent l="0" t="0" r="3175" b="9525"/>
            <wp:docPr id="4"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1" descr="img"/>
                    <pic:cNvPicPr>
                      <a:picLocks noChangeAspect="1"/>
                    </pic:cNvPicPr>
                  </pic:nvPicPr>
                  <pic:blipFill>
                    <a:blip r:embed="rId7"/>
                    <a:stretch>
                      <a:fillRect/>
                    </a:stretch>
                  </pic:blipFill>
                  <pic:spPr>
                    <a:xfrm>
                      <a:off x="0" y="0"/>
                      <a:ext cx="5178425" cy="2733675"/>
                    </a:xfrm>
                    <a:prstGeom prst="rect">
                      <a:avLst/>
                    </a:prstGeom>
                    <a:noFill/>
                    <a:ln>
                      <a:noFill/>
                    </a:ln>
                  </pic:spPr>
                </pic:pic>
              </a:graphicData>
            </a:graphic>
          </wp:inline>
        </w:drawing>
      </w:r>
    </w:p>
    <w:p w14:paraId="15D477C4">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等级测评过程包括四个基本测评活动：测评准备活动、方案编制活动、现场测评活动、报告编制活动。具体如下：</w:t>
      </w:r>
    </w:p>
    <w:p w14:paraId="2036186B">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80" w:firstLineChars="200"/>
        <w:textAlignment w:val="auto"/>
        <w:rPr>
          <w:rFonts w:hint="eastAsia"/>
          <w:b/>
          <w:bCs/>
          <w:sz w:val="24"/>
          <w:szCs w:val="24"/>
          <w:lang w:val="en-US"/>
        </w:rPr>
      </w:pPr>
      <w:r>
        <w:rPr>
          <w:rFonts w:hint="eastAsia"/>
          <w:b/>
          <w:bCs/>
          <w:sz w:val="24"/>
          <w:szCs w:val="24"/>
          <w:lang w:val="en-US" w:eastAsia="zh-CN"/>
        </w:rPr>
        <w:t>1.</w:t>
      </w:r>
      <w:r>
        <w:rPr>
          <w:rFonts w:hint="eastAsia"/>
          <w:b/>
          <w:bCs/>
          <w:sz w:val="24"/>
          <w:szCs w:val="24"/>
          <w:lang w:val="en-US"/>
        </w:rPr>
        <w:t>测评准备活动</w:t>
      </w:r>
    </w:p>
    <w:p w14:paraId="361BC588">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测评准备活动的目标是顺利启动测评项目，收集定级对象相关资料，准备测评所需资料，为编制测评方案打下良好的基础。测评准备活动包括工作启动、信息收集和分析、工具和表单准备三项主要任务。</w:t>
      </w:r>
    </w:p>
    <w:p w14:paraId="4E946DEF">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在工作启动任务中，测评机构组建等级测评项目组，获取测评委托单位及定级对象的基本情况，从基本资料、人员、计划安排等方面为整个等级测评项目的实施做好充分准备。</w:t>
      </w:r>
    </w:p>
    <w:p w14:paraId="34F1767C">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测评机构通过查阅被测定级对象已有资料或使用系统调查表格的方式，了解整个系统的构成和保护情况以及责任部门相关情况，为编写测评方案、开展现场测评和安全评估工作奠定基础。</w:t>
      </w:r>
    </w:p>
    <w:p w14:paraId="0A5DD89C">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测评项目组成员在进行现场测评之前，应熟悉被测定级对象、调试测评工具、准备各种表单等。</w:t>
      </w:r>
    </w:p>
    <w:p w14:paraId="0E28556E">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b/>
          <w:bCs/>
          <w:sz w:val="24"/>
          <w:szCs w:val="24"/>
          <w:lang w:val="en-US"/>
        </w:rPr>
      </w:pPr>
      <w:r>
        <w:rPr>
          <w:rFonts w:hint="eastAsia"/>
          <w:b/>
          <w:bCs/>
          <w:sz w:val="24"/>
          <w:szCs w:val="24"/>
          <w:lang w:val="en-US" w:eastAsia="zh-CN"/>
        </w:rPr>
        <w:t>2.</w:t>
      </w:r>
      <w:r>
        <w:rPr>
          <w:rFonts w:hint="eastAsia"/>
          <w:b/>
          <w:bCs/>
          <w:sz w:val="24"/>
          <w:szCs w:val="24"/>
          <w:lang w:val="en-US"/>
        </w:rPr>
        <w:t>测评方案编制</w:t>
      </w:r>
    </w:p>
    <w:p w14:paraId="12C0AB36">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方案编制活动的目标是整理测评准备活动中获取的定级对象相关资料，为现场测评活动提供最基本的文档和指导方案。方案编制活动包括测评对象确定、测评指标确定、测评内容确定、工具测试方法确定、测评指导书开发及测评方案编制六项主要任务。</w:t>
      </w:r>
    </w:p>
    <w:p w14:paraId="617C749B">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根据系统调查结果，分析整个被测定级对象业务流程、数据流程、范围、特点及各个设备及组件的主要功能，确定出本次测评的测评对象。</w:t>
      </w:r>
    </w:p>
    <w:p w14:paraId="77E2D24A">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根据被测定级对象定级结果确定出本次测评的基本测评指标，根据测评委托单位及被测定级对象业务自身需求确定出本次测评的特殊测评指标。</w:t>
      </w:r>
    </w:p>
    <w:p w14:paraId="1506985F">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确定现场测评的具体实施内容，即单项测评内容。</w:t>
      </w:r>
    </w:p>
    <w:p w14:paraId="208A69C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使用测试工具进行测试，测试工具可能用到漏洞扫描器、渗透测试工具集、协议分析仪等。</w:t>
      </w:r>
    </w:p>
    <w:p w14:paraId="244E0416">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编制测评指导书，指导测评人员如何进行测评活动的文档，应尽可能详实、充分。</w:t>
      </w:r>
    </w:p>
    <w:p w14:paraId="7F49983F">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形成测评方案，指导等级测评工作的现场实施活动。测评方案应包括但不局限于以下内容：项目概述、测评对象、测评指标、测评内容、测评方法等。</w:t>
      </w:r>
    </w:p>
    <w:p w14:paraId="7809D556">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b/>
          <w:bCs/>
          <w:sz w:val="24"/>
          <w:szCs w:val="24"/>
          <w:lang w:val="en-US"/>
        </w:rPr>
      </w:pPr>
      <w:r>
        <w:rPr>
          <w:rFonts w:hint="eastAsia"/>
          <w:b/>
          <w:bCs/>
          <w:sz w:val="24"/>
          <w:szCs w:val="24"/>
          <w:lang w:val="en-US" w:eastAsia="zh-CN"/>
        </w:rPr>
        <w:t>3.</w:t>
      </w:r>
      <w:r>
        <w:rPr>
          <w:rFonts w:hint="eastAsia"/>
          <w:b/>
          <w:bCs/>
          <w:sz w:val="24"/>
          <w:szCs w:val="24"/>
          <w:lang w:val="en-US"/>
        </w:rPr>
        <w:t>现场测评活动</w:t>
      </w:r>
    </w:p>
    <w:p w14:paraId="22044921">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现场测评活动通过与测评委托单位进行沟通和协调，为现场测评的顺利开展打下良好基础，依据测评方案实施现场测评工作，将测评方案和测评方法等内容具体落实到现场测评活动中。现场测评活动包括现场测评准备、现场测评和结果记录、结果确认和资料归还三项主要任务。</w:t>
      </w:r>
    </w:p>
    <w:p w14:paraId="2FA754FB">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启动现场测评，保证测评机构能够顺利实施测评。</w:t>
      </w:r>
    </w:p>
    <w:p w14:paraId="0A1A4AFF">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测评人员按照测评指导书实施测评，并将测评过程中获取的证据源进行详细、准确记录。</w:t>
      </w:r>
    </w:p>
    <w:p w14:paraId="6DE81422">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将测评过程中得到的证据源记录进行确认，并将测评过程中借阅的文档归还。</w:t>
      </w:r>
    </w:p>
    <w:p w14:paraId="13EF68E5">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b/>
          <w:bCs/>
          <w:sz w:val="24"/>
          <w:szCs w:val="24"/>
          <w:lang w:val="en-US"/>
        </w:rPr>
      </w:pPr>
      <w:r>
        <w:rPr>
          <w:rFonts w:hint="eastAsia"/>
          <w:b/>
          <w:bCs/>
          <w:sz w:val="24"/>
          <w:szCs w:val="24"/>
          <w:lang w:val="en-US" w:eastAsia="zh-CN"/>
        </w:rPr>
        <w:t>4.</w:t>
      </w:r>
      <w:r>
        <w:rPr>
          <w:rFonts w:hint="eastAsia"/>
          <w:b/>
          <w:bCs/>
          <w:sz w:val="24"/>
          <w:szCs w:val="24"/>
          <w:lang w:val="en-US"/>
        </w:rPr>
        <w:t>报告编制活动</w:t>
      </w:r>
    </w:p>
    <w:p w14:paraId="7528263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在现场测评工作结束后，测评机构应对现场测评获得的测评结果（或称测评证据）进行汇总分析，形成等级测评结论，并编制测评报告。分析与报告编制活动包括单项测评结果判定、单元测评结果判定、 整体测评、系统安全保障评估、安全问题风险评估、等级测评结论形成及测评报告编制七项主要任务。</w:t>
      </w:r>
    </w:p>
    <w:p w14:paraId="3C5B430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针对单个测评项，</w:t>
      </w:r>
      <w:r>
        <w:rPr>
          <w:sz w:val="24"/>
          <w:szCs w:val="24"/>
          <w:lang w:val="en-US"/>
        </w:rPr>
        <w:t>结合具体测评对象，客观、准确地分析测评证据，形成初步单项测评</w:t>
      </w:r>
      <w:r>
        <w:rPr>
          <w:rFonts w:hint="eastAsia"/>
          <w:sz w:val="24"/>
          <w:szCs w:val="24"/>
          <w:lang w:val="en-US"/>
        </w:rPr>
        <w:t>结果。</w:t>
      </w:r>
    </w:p>
    <w:p w14:paraId="1B5524DE">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将单项测评结果进行汇总，分别统计不同测评对象的单项测评结果，从而判定单元测评结果。</w:t>
      </w:r>
    </w:p>
    <w:p w14:paraId="1FFF115B">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针对单项测评结果的不符合项及部分符合项，采取逐条判定的方法，从安全控制点间、层面间出发考虑，给出整体测评的具体结果。</w:t>
      </w:r>
    </w:p>
    <w:p w14:paraId="790E1528">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综合单项测评和整体测评结果，计算修正后的安全控制点得分和层面得分，并根据得分情况对被测定级对象的安全保障情况进行总体评价。</w:t>
      </w:r>
    </w:p>
    <w:p w14:paraId="67D664F0">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测评人员依据等级保护的相关规范和标准，采用风险分析的方法分析等级测评结果中存在的安全问题可能对被测定级对象安全造成的影响。</w:t>
      </w:r>
    </w:p>
    <w:p w14:paraId="28103D1F">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在系统安全保障评估、安全问题风险评估的基础上，找出系统保护现状与GB/T-22239之间的差距，并形成等级测评结论。</w:t>
      </w:r>
    </w:p>
    <w:p w14:paraId="1B7F3B29">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根据报告编制活动各分析过程形成等级测评报告。等级测评报告格式应符合公安机关发布的《信息安全等级保护测评报告模版》</w:t>
      </w:r>
      <w:r>
        <w:rPr>
          <w:rFonts w:hint="eastAsia"/>
          <w:sz w:val="24"/>
          <w:szCs w:val="24"/>
          <w:lang w:val="en-US"/>
        </w:rPr>
        <w:t>。</w:t>
      </w:r>
    </w:p>
    <w:p w14:paraId="5FBE494F">
      <w:pPr>
        <w:adjustRightInd w:val="0"/>
        <w:snapToGrid w:val="0"/>
        <w:spacing w:line="300" w:lineRule="auto"/>
        <w:ind w:firstLine="420" w:firstLineChars="200"/>
        <w:jc w:val="center"/>
      </w:pPr>
      <w:r>
        <w:drawing>
          <wp:inline distT="0" distB="0" distL="0" distR="0">
            <wp:extent cx="4720590" cy="6840220"/>
            <wp:effectExtent l="0" t="0" r="3810"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8"/>
                    <a:srcRect/>
                    <a:stretch>
                      <a:fillRect/>
                    </a:stretch>
                  </pic:blipFill>
                  <pic:spPr>
                    <a:xfrm>
                      <a:off x="0" y="0"/>
                      <a:ext cx="4720590" cy="6840220"/>
                    </a:xfrm>
                    <a:prstGeom prst="rect">
                      <a:avLst/>
                    </a:prstGeom>
                    <a:noFill/>
                    <a:ln>
                      <a:noFill/>
                    </a:ln>
                  </pic:spPr>
                </pic:pic>
              </a:graphicData>
            </a:graphic>
          </wp:inline>
        </w:drawing>
      </w:r>
    </w:p>
    <w:p w14:paraId="0DD6600D">
      <w:pPr>
        <w:bidi w:val="0"/>
        <w:rPr>
          <w:rFonts w:hint="eastAsia"/>
        </w:rPr>
      </w:pPr>
    </w:p>
    <w:p w14:paraId="7BE00DD2">
      <w:pPr>
        <w:adjustRightInd w:val="0"/>
        <w:snapToGrid w:val="0"/>
        <w:spacing w:line="300" w:lineRule="auto"/>
        <w:ind w:firstLine="480" w:firstLineChars="200"/>
        <w:rPr>
          <w:rFonts w:hint="eastAsia" w:ascii="宋体"/>
          <w:kern w:val="0"/>
          <w:sz w:val="24"/>
        </w:rPr>
      </w:pPr>
    </w:p>
    <w:p w14:paraId="2AA6C8EE">
      <w:pPr>
        <w:adjustRightInd w:val="0"/>
        <w:snapToGrid w:val="0"/>
        <w:spacing w:line="300" w:lineRule="auto"/>
        <w:ind w:firstLine="480" w:firstLineChars="200"/>
        <w:rPr>
          <w:rFonts w:hint="eastAsia" w:ascii="宋体"/>
          <w:kern w:val="0"/>
          <w:sz w:val="24"/>
        </w:rPr>
      </w:pPr>
    </w:p>
    <w:p w14:paraId="3064C423">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本项服务完成后，需提交项目最终成果文档，该成果文档应满足</w:t>
      </w:r>
      <w:r>
        <w:rPr>
          <w:rFonts w:hint="eastAsia" w:cs="Times New Roman"/>
          <w:sz w:val="24"/>
          <w:szCs w:val="24"/>
          <w:lang w:val="en-GB"/>
        </w:rPr>
        <w:t>《信息安全技术</w:t>
      </w:r>
      <w:r>
        <w:rPr>
          <w:rFonts w:hint="eastAsia" w:cs="Times New Roman"/>
          <w:sz w:val="24"/>
          <w:szCs w:val="24"/>
          <w:lang w:val="en-US"/>
        </w:rPr>
        <w:t xml:space="preserve"> </w:t>
      </w:r>
      <w:r>
        <w:rPr>
          <w:rFonts w:hint="eastAsia" w:cs="Times New Roman"/>
          <w:sz w:val="24"/>
          <w:szCs w:val="24"/>
          <w:lang w:val="en-GB"/>
        </w:rPr>
        <w:t>网络安全等级保护基本要求》、《信息安全技术</w:t>
      </w:r>
      <w:r>
        <w:rPr>
          <w:rFonts w:hint="eastAsia" w:cs="Times New Roman"/>
          <w:sz w:val="24"/>
          <w:szCs w:val="24"/>
          <w:lang w:val="en-US"/>
        </w:rPr>
        <w:t xml:space="preserve"> </w:t>
      </w:r>
      <w:r>
        <w:rPr>
          <w:rFonts w:hint="eastAsia" w:cs="Times New Roman"/>
          <w:sz w:val="24"/>
          <w:szCs w:val="24"/>
          <w:lang w:val="en-GB"/>
        </w:rPr>
        <w:t>网络安全等级保护测评要求》、《信息安全技术</w:t>
      </w:r>
      <w:r>
        <w:rPr>
          <w:rFonts w:hint="eastAsia" w:cs="Times New Roman"/>
          <w:sz w:val="24"/>
          <w:szCs w:val="24"/>
          <w:lang w:val="en-US"/>
        </w:rPr>
        <w:t xml:space="preserve"> </w:t>
      </w:r>
      <w:r>
        <w:rPr>
          <w:rFonts w:hint="eastAsia" w:cs="Times New Roman"/>
          <w:sz w:val="24"/>
          <w:szCs w:val="24"/>
          <w:lang w:val="en-GB"/>
        </w:rPr>
        <w:t>网络安全等级保护安全设计技术要求》等</w:t>
      </w:r>
      <w:r>
        <w:rPr>
          <w:rFonts w:hint="eastAsia" w:cs="Times New Roman"/>
          <w:sz w:val="24"/>
          <w:szCs w:val="24"/>
          <w:lang w:val="en-US"/>
        </w:rPr>
        <w:t>国家标准</w:t>
      </w:r>
      <w:r>
        <w:rPr>
          <w:rFonts w:hint="eastAsia"/>
          <w:sz w:val="24"/>
          <w:szCs w:val="24"/>
          <w:lang w:val="en-US"/>
        </w:rPr>
        <w:t>的相关格式和内容要求，最终成果文档如下：</w:t>
      </w:r>
    </w:p>
    <w:p w14:paraId="4862AD03">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（1）</w:t>
      </w:r>
      <w:r>
        <w:rPr>
          <w:rFonts w:hint="eastAsia"/>
          <w:sz w:val="24"/>
          <w:szCs w:val="24"/>
          <w:lang w:eastAsia="zh-CN"/>
        </w:rPr>
        <w:t>海南省智慧教育平台（包含海南省教育数字底座、海南省智慧教育应用中心、海教通三个系统）</w:t>
      </w:r>
      <w:r>
        <w:rPr>
          <w:rFonts w:hint="eastAsia" w:cs="Times New Roman"/>
          <w:sz w:val="24"/>
          <w:szCs w:val="24"/>
          <w:lang w:val="en-GB"/>
        </w:rPr>
        <w:t>网络安全等级保护测评</w:t>
      </w:r>
      <w:r>
        <w:rPr>
          <w:rFonts w:hint="eastAsia"/>
          <w:sz w:val="24"/>
          <w:szCs w:val="24"/>
          <w:lang w:val="en-US"/>
        </w:rPr>
        <w:t>的《***系统安全等级测评方案》，每系统提交至少1份（电子版）。</w:t>
      </w:r>
    </w:p>
    <w:p w14:paraId="34A9C94C">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（2）</w:t>
      </w:r>
      <w:r>
        <w:rPr>
          <w:rFonts w:hint="eastAsia"/>
          <w:sz w:val="24"/>
          <w:szCs w:val="24"/>
          <w:lang w:eastAsia="zh-CN"/>
        </w:rPr>
        <w:t>海南省智慧教育平台（包含海南省教育数字底座、海南省智慧教育应用中心、海教通三个系统）</w:t>
      </w:r>
      <w:r>
        <w:rPr>
          <w:rFonts w:hint="eastAsia" w:cs="Times New Roman"/>
          <w:sz w:val="24"/>
          <w:szCs w:val="24"/>
          <w:lang w:val="en-GB"/>
        </w:rPr>
        <w:t>网络安全等级保护测评</w:t>
      </w:r>
      <w:r>
        <w:rPr>
          <w:rFonts w:hint="eastAsia"/>
          <w:sz w:val="24"/>
          <w:szCs w:val="24"/>
          <w:lang w:val="en-US"/>
        </w:rPr>
        <w:t>的《***系统安全等级测评整改报告》，每系统提交至少1份（电子版）。</w:t>
      </w:r>
    </w:p>
    <w:p w14:paraId="588034F5">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（3）</w:t>
      </w:r>
      <w:r>
        <w:rPr>
          <w:rFonts w:hint="eastAsia"/>
          <w:sz w:val="24"/>
          <w:szCs w:val="24"/>
          <w:lang w:eastAsia="zh-CN"/>
        </w:rPr>
        <w:t>海南省智慧教育平台（包含海南省教育数字底座、海南省智慧教育应用中心、海教通三个系统）</w:t>
      </w:r>
      <w:r>
        <w:rPr>
          <w:rFonts w:hint="eastAsia" w:cs="Times New Roman"/>
          <w:sz w:val="24"/>
          <w:szCs w:val="24"/>
          <w:lang w:val="en-GB"/>
        </w:rPr>
        <w:t>网络安全等级保护测评</w:t>
      </w:r>
      <w:r>
        <w:rPr>
          <w:rFonts w:hint="eastAsia"/>
          <w:sz w:val="24"/>
          <w:szCs w:val="24"/>
          <w:lang w:val="en-US"/>
        </w:rPr>
        <w:t>的《***系统安全等级测评报告》，每系统提交至少1份（纸质版）。</w:t>
      </w:r>
    </w:p>
    <w:p w14:paraId="2CD9F890">
      <w:pPr>
        <w:bidi w:val="0"/>
        <w:rPr>
          <w:rFonts w:hint="eastAsia"/>
          <w:lang w:val="en-US"/>
        </w:rPr>
      </w:pPr>
    </w:p>
    <w:p w14:paraId="509ACC74">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（二）</w:t>
      </w:r>
      <w:r>
        <w:rPr>
          <w:rFonts w:hint="eastAsia" w:ascii="楷体" w:hAnsi="楷体" w:eastAsia="楷体" w:cs="楷体"/>
          <w:sz w:val="24"/>
          <w:szCs w:val="24"/>
          <w:lang w:val="en-US"/>
        </w:rPr>
        <w:t>软件测试</w:t>
      </w:r>
    </w:p>
    <w:p w14:paraId="4D4DAED5">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软件测试是对系统的各项功能、性能等参数、硬件配置、环境部署和用户的体验度进行覆盖系统建设涉及的所有模块和关键功能节点的测试。以发现系统问题为目的，查找系统存在的漏洞和风险，并在测评的过程中对存在的问题进行梳理与分析，协助采购人对应用软件的开发进行整体测评。测评内容主要包含以下几个方面：依据《系统与软件工程 系统与软件质量要求和评价（SQuaRE）第51部分：就绪可用软件产品（RUSP）的质量要求和测试细则》及平台设计文档等材料，对平台软件主要针对功能性、性能效率方面测试。</w:t>
      </w:r>
    </w:p>
    <w:p w14:paraId="52BAAC96">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rPr>
        <w:t>功能性测试</w:t>
      </w:r>
    </w:p>
    <w:p w14:paraId="6534B78C">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对系统功能的适合性、准确性、互操作性、保密安全性等进行全面的测试，利用专业的测试模型，设计合理的测试用例，测试发现系统存在的功能问题和安全漏洞，并提出合理的改进建议。</w:t>
      </w:r>
    </w:p>
    <w:p w14:paraId="1667E23A">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具体测试内容如下表所示：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25"/>
        <w:gridCol w:w="1175"/>
        <w:gridCol w:w="22"/>
        <w:gridCol w:w="4393"/>
        <w:gridCol w:w="22"/>
        <w:gridCol w:w="1510"/>
        <w:gridCol w:w="22"/>
      </w:tblGrid>
      <w:tr w14:paraId="64AC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blHeader/>
          <w:jc w:val="center"/>
        </w:trPr>
        <w:tc>
          <w:tcPr>
            <w:tcW w:w="875" w:type="dxa"/>
            <w:shd w:val="clear" w:color="auto" w:fill="D9D9D9"/>
            <w:vAlign w:val="center"/>
          </w:tcPr>
          <w:p w14:paraId="50A0447B">
            <w:pPr>
              <w:pStyle w:val="264"/>
              <w:ind w:firstLine="0" w:firstLineChars="0"/>
              <w:jc w:val="center"/>
              <w:rPr>
                <w:rFonts w:ascii="宋体" w:hAnsi="宋体"/>
                <w:sz w:val="24"/>
                <w:szCs w:val="24"/>
              </w:rPr>
            </w:pPr>
            <w:r>
              <w:rPr>
                <w:rFonts w:hint="default" w:ascii="宋体" w:hAnsi="宋体"/>
                <w:sz w:val="24"/>
                <w:szCs w:val="24"/>
              </w:rPr>
              <w:t>序号</w:t>
            </w:r>
          </w:p>
        </w:tc>
        <w:tc>
          <w:tcPr>
            <w:tcW w:w="1700" w:type="dxa"/>
            <w:gridSpan w:val="2"/>
            <w:shd w:val="clear" w:color="auto" w:fill="D9D9D9"/>
            <w:vAlign w:val="center"/>
          </w:tcPr>
          <w:p w14:paraId="2A69EBC3">
            <w:pPr>
              <w:pStyle w:val="264"/>
              <w:ind w:firstLine="0" w:firstLineChars="0"/>
              <w:jc w:val="center"/>
              <w:rPr>
                <w:rFonts w:ascii="宋体" w:hAnsi="宋体"/>
                <w:sz w:val="24"/>
                <w:szCs w:val="24"/>
              </w:rPr>
            </w:pPr>
            <w:r>
              <w:rPr>
                <w:rFonts w:hint="default" w:ascii="宋体" w:hAnsi="宋体"/>
                <w:sz w:val="24"/>
                <w:szCs w:val="24"/>
              </w:rPr>
              <w:t>测试项</w:t>
            </w:r>
          </w:p>
        </w:tc>
        <w:tc>
          <w:tcPr>
            <w:tcW w:w="4415" w:type="dxa"/>
            <w:gridSpan w:val="2"/>
            <w:shd w:val="clear" w:color="auto" w:fill="D9D9D9"/>
            <w:vAlign w:val="center"/>
          </w:tcPr>
          <w:p w14:paraId="654E51F6">
            <w:pPr>
              <w:pStyle w:val="264"/>
              <w:ind w:firstLine="0" w:firstLineChars="0"/>
              <w:jc w:val="center"/>
              <w:rPr>
                <w:rFonts w:ascii="宋体" w:hAnsi="宋体"/>
                <w:sz w:val="24"/>
                <w:szCs w:val="24"/>
              </w:rPr>
            </w:pPr>
            <w:r>
              <w:rPr>
                <w:rFonts w:hint="default" w:ascii="宋体" w:hAnsi="宋体"/>
                <w:sz w:val="24"/>
                <w:szCs w:val="24"/>
              </w:rPr>
              <w:t>测试内容</w:t>
            </w:r>
          </w:p>
        </w:tc>
        <w:tc>
          <w:tcPr>
            <w:tcW w:w="1532" w:type="dxa"/>
            <w:gridSpan w:val="2"/>
            <w:shd w:val="clear" w:color="auto" w:fill="D9D9D9"/>
            <w:vAlign w:val="center"/>
          </w:tcPr>
          <w:p w14:paraId="3AADE2B8">
            <w:pPr>
              <w:pStyle w:val="264"/>
              <w:ind w:firstLine="0" w:firstLineChars="0"/>
              <w:jc w:val="center"/>
              <w:rPr>
                <w:rFonts w:ascii="宋体" w:hAnsi="宋体"/>
                <w:sz w:val="24"/>
                <w:szCs w:val="24"/>
              </w:rPr>
            </w:pPr>
            <w:r>
              <w:rPr>
                <w:rFonts w:hint="default" w:ascii="宋体" w:hAnsi="宋体"/>
                <w:sz w:val="24"/>
                <w:szCs w:val="24"/>
              </w:rPr>
              <w:t>评测要求</w:t>
            </w:r>
          </w:p>
        </w:tc>
      </w:tr>
      <w:tr w14:paraId="6437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00A0F7F6">
            <w:pPr>
              <w:pStyle w:val="264"/>
              <w:numPr>
                <w:ilvl w:val="0"/>
                <w:numId w:val="4"/>
              </w:numPr>
              <w:spacing w:before="156"/>
              <w:ind w:firstLineChars="0"/>
              <w:jc w:val="center"/>
              <w:rPr>
                <w:rFonts w:ascii="宋体" w:hAnsi="宋体"/>
                <w:sz w:val="24"/>
                <w:szCs w:val="24"/>
              </w:rPr>
            </w:pPr>
          </w:p>
        </w:tc>
        <w:tc>
          <w:tcPr>
            <w:tcW w:w="525" w:type="dxa"/>
            <w:vMerge w:val="restart"/>
            <w:shd w:val="clear" w:color="auto" w:fill="auto"/>
            <w:vAlign w:val="center"/>
          </w:tcPr>
          <w:p w14:paraId="26A61B96">
            <w:pPr>
              <w:pStyle w:val="264"/>
              <w:spacing w:before="156"/>
              <w:ind w:firstLine="0" w:firstLineChars="0"/>
              <w:jc w:val="center"/>
              <w:rPr>
                <w:rFonts w:ascii="宋体" w:hAnsi="宋体"/>
                <w:sz w:val="24"/>
                <w:szCs w:val="24"/>
              </w:rPr>
            </w:pPr>
          </w:p>
          <w:p w14:paraId="09B23614">
            <w:pPr>
              <w:pStyle w:val="264"/>
              <w:spacing w:before="156"/>
              <w:ind w:firstLine="0" w:firstLineChars="0"/>
              <w:jc w:val="center"/>
              <w:rPr>
                <w:rFonts w:ascii="宋体" w:hAnsi="宋体"/>
                <w:sz w:val="24"/>
                <w:szCs w:val="24"/>
              </w:rPr>
            </w:pPr>
          </w:p>
          <w:p w14:paraId="7CC4B4D2">
            <w:pPr>
              <w:pStyle w:val="264"/>
              <w:spacing w:before="156"/>
              <w:ind w:firstLine="0" w:firstLineChars="0"/>
              <w:jc w:val="center"/>
              <w:rPr>
                <w:rFonts w:ascii="宋体" w:hAnsi="宋体"/>
                <w:sz w:val="24"/>
                <w:szCs w:val="24"/>
              </w:rPr>
            </w:pPr>
            <w:r>
              <w:rPr>
                <w:rFonts w:hint="default" w:ascii="宋体" w:hAnsi="宋体"/>
                <w:sz w:val="24"/>
                <w:szCs w:val="24"/>
              </w:rPr>
              <w:t>功能模块</w:t>
            </w:r>
            <w:r>
              <w:rPr>
                <w:rFonts w:ascii="宋体" w:hAnsi="宋体"/>
                <w:sz w:val="24"/>
                <w:szCs w:val="24"/>
              </w:rPr>
              <w:t>测评</w:t>
            </w:r>
          </w:p>
        </w:tc>
        <w:tc>
          <w:tcPr>
            <w:tcW w:w="1197" w:type="dxa"/>
            <w:gridSpan w:val="2"/>
            <w:shd w:val="clear" w:color="auto" w:fill="auto"/>
            <w:vAlign w:val="center"/>
          </w:tcPr>
          <w:p w14:paraId="73BDD886">
            <w:pPr>
              <w:pStyle w:val="264"/>
              <w:spacing w:before="156"/>
              <w:ind w:firstLine="0" w:firstLineChars="0"/>
              <w:rPr>
                <w:rFonts w:ascii="宋体" w:hAnsi="宋体"/>
                <w:sz w:val="24"/>
                <w:szCs w:val="24"/>
              </w:rPr>
            </w:pPr>
            <w:r>
              <w:rPr>
                <w:rFonts w:ascii="宋体" w:hAnsi="宋体"/>
                <w:sz w:val="24"/>
                <w:szCs w:val="24"/>
              </w:rPr>
              <w:t>功能完整性</w:t>
            </w:r>
          </w:p>
        </w:tc>
        <w:tc>
          <w:tcPr>
            <w:tcW w:w="4415" w:type="dxa"/>
            <w:gridSpan w:val="2"/>
            <w:shd w:val="clear" w:color="auto" w:fill="auto"/>
            <w:vAlign w:val="center"/>
          </w:tcPr>
          <w:p w14:paraId="7053C831">
            <w:pPr>
              <w:pStyle w:val="264"/>
              <w:spacing w:before="156"/>
              <w:ind w:firstLine="0" w:firstLineChars="0"/>
              <w:rPr>
                <w:rFonts w:ascii="宋体" w:hAnsi="宋体"/>
                <w:sz w:val="24"/>
                <w:szCs w:val="24"/>
              </w:rPr>
            </w:pPr>
            <w:r>
              <w:rPr>
                <w:rFonts w:ascii="宋体" w:hAnsi="宋体"/>
                <w:sz w:val="24"/>
                <w:szCs w:val="24"/>
              </w:rPr>
              <w:t>功能是否满足用户的需求，功能实现是否覆盖了系统需求分析说明书的全部内容。</w:t>
            </w:r>
          </w:p>
        </w:tc>
        <w:tc>
          <w:tcPr>
            <w:tcW w:w="1532" w:type="dxa"/>
            <w:gridSpan w:val="2"/>
            <w:vMerge w:val="restart"/>
            <w:shd w:val="clear" w:color="auto" w:fill="auto"/>
            <w:vAlign w:val="center"/>
          </w:tcPr>
          <w:p w14:paraId="691EAC20">
            <w:pPr>
              <w:pStyle w:val="264"/>
              <w:spacing w:before="156" w:after="316" w:afterLines="100"/>
              <w:ind w:firstLine="0" w:firstLineChars="0"/>
              <w:rPr>
                <w:rFonts w:ascii="宋体" w:hAnsi="宋体"/>
                <w:sz w:val="24"/>
                <w:szCs w:val="24"/>
              </w:rPr>
            </w:pPr>
          </w:p>
          <w:p w14:paraId="5365CC3A">
            <w:pPr>
              <w:pStyle w:val="264"/>
              <w:spacing w:before="156" w:after="316" w:afterLines="100"/>
              <w:ind w:firstLine="0" w:firstLineChars="0"/>
              <w:rPr>
                <w:rFonts w:ascii="宋体" w:hAnsi="宋体"/>
                <w:sz w:val="24"/>
                <w:szCs w:val="24"/>
              </w:rPr>
            </w:pPr>
          </w:p>
          <w:p w14:paraId="68BE5085">
            <w:pPr>
              <w:pStyle w:val="264"/>
              <w:spacing w:before="156" w:after="316" w:afterLines="100"/>
              <w:ind w:firstLine="0" w:firstLineChars="0"/>
              <w:rPr>
                <w:rFonts w:ascii="宋体" w:hAnsi="宋体"/>
                <w:sz w:val="24"/>
                <w:szCs w:val="24"/>
              </w:rPr>
            </w:pPr>
            <w:r>
              <w:rPr>
                <w:rFonts w:ascii="宋体" w:hAnsi="宋体"/>
                <w:sz w:val="24"/>
                <w:szCs w:val="24"/>
              </w:rPr>
              <w:t>覆盖被测系统全部功能和业务流程</w:t>
            </w:r>
          </w:p>
        </w:tc>
      </w:tr>
      <w:tr w14:paraId="1381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2CED9E60">
            <w:pPr>
              <w:pStyle w:val="264"/>
              <w:numPr>
                <w:ilvl w:val="0"/>
                <w:numId w:val="4"/>
              </w:numPr>
              <w:spacing w:before="156"/>
              <w:ind w:firstLineChars="0"/>
              <w:jc w:val="center"/>
              <w:rPr>
                <w:rFonts w:ascii="宋体" w:hAnsi="宋体"/>
                <w:sz w:val="24"/>
                <w:szCs w:val="24"/>
              </w:rPr>
            </w:pPr>
          </w:p>
        </w:tc>
        <w:tc>
          <w:tcPr>
            <w:tcW w:w="525" w:type="dxa"/>
            <w:vMerge w:val="continue"/>
            <w:shd w:val="clear" w:color="auto" w:fill="auto"/>
            <w:vAlign w:val="center"/>
          </w:tcPr>
          <w:p w14:paraId="0CEF930E">
            <w:pPr>
              <w:pStyle w:val="264"/>
              <w:spacing w:before="156"/>
              <w:ind w:firstLine="0" w:firstLineChars="0"/>
              <w:jc w:val="center"/>
              <w:rPr>
                <w:rFonts w:ascii="宋体" w:hAnsi="宋体"/>
                <w:sz w:val="24"/>
                <w:szCs w:val="24"/>
              </w:rPr>
            </w:pPr>
          </w:p>
        </w:tc>
        <w:tc>
          <w:tcPr>
            <w:tcW w:w="1197" w:type="dxa"/>
            <w:gridSpan w:val="2"/>
            <w:shd w:val="clear" w:color="auto" w:fill="auto"/>
            <w:vAlign w:val="center"/>
          </w:tcPr>
          <w:p w14:paraId="281B14E9">
            <w:pPr>
              <w:pStyle w:val="264"/>
              <w:spacing w:before="156"/>
              <w:ind w:firstLine="0" w:firstLineChars="0"/>
              <w:rPr>
                <w:rFonts w:ascii="宋体" w:hAnsi="宋体"/>
                <w:sz w:val="24"/>
                <w:szCs w:val="24"/>
              </w:rPr>
            </w:pPr>
            <w:r>
              <w:rPr>
                <w:rFonts w:ascii="宋体" w:hAnsi="宋体"/>
                <w:sz w:val="24"/>
                <w:szCs w:val="24"/>
              </w:rPr>
              <w:t>功能适合性</w:t>
            </w:r>
          </w:p>
        </w:tc>
        <w:tc>
          <w:tcPr>
            <w:tcW w:w="4415" w:type="dxa"/>
            <w:gridSpan w:val="2"/>
            <w:shd w:val="clear" w:color="auto" w:fill="auto"/>
            <w:vAlign w:val="center"/>
          </w:tcPr>
          <w:p w14:paraId="588E742A">
            <w:pPr>
              <w:pStyle w:val="264"/>
              <w:spacing w:before="156"/>
              <w:ind w:firstLine="0" w:firstLineChars="0"/>
              <w:rPr>
                <w:rFonts w:ascii="宋体" w:hAnsi="宋体"/>
                <w:sz w:val="24"/>
                <w:szCs w:val="24"/>
              </w:rPr>
            </w:pPr>
            <w:r>
              <w:rPr>
                <w:rFonts w:ascii="宋体" w:hAnsi="宋体"/>
                <w:sz w:val="24"/>
                <w:szCs w:val="24"/>
              </w:rPr>
              <w:t>软件在运行过程中，功能或操作能否提供合理的和可接受的结果，以实现用户期望的特定目标。</w:t>
            </w:r>
          </w:p>
        </w:tc>
        <w:tc>
          <w:tcPr>
            <w:tcW w:w="1532" w:type="dxa"/>
            <w:gridSpan w:val="2"/>
            <w:vMerge w:val="continue"/>
            <w:shd w:val="clear" w:color="auto" w:fill="auto"/>
            <w:vAlign w:val="center"/>
          </w:tcPr>
          <w:p w14:paraId="5A0F6F01">
            <w:pPr>
              <w:pStyle w:val="264"/>
              <w:spacing w:before="156"/>
              <w:ind w:firstLine="0" w:firstLineChars="0"/>
              <w:jc w:val="center"/>
              <w:rPr>
                <w:rFonts w:ascii="宋体" w:hAnsi="宋体"/>
                <w:sz w:val="24"/>
                <w:szCs w:val="24"/>
              </w:rPr>
            </w:pPr>
          </w:p>
        </w:tc>
      </w:tr>
      <w:tr w14:paraId="715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1D7BE9EF">
            <w:pPr>
              <w:pStyle w:val="264"/>
              <w:numPr>
                <w:ilvl w:val="0"/>
                <w:numId w:val="4"/>
              </w:numPr>
              <w:spacing w:before="156"/>
              <w:ind w:firstLineChars="0"/>
              <w:jc w:val="center"/>
              <w:rPr>
                <w:rFonts w:ascii="宋体" w:hAnsi="宋体"/>
                <w:sz w:val="24"/>
                <w:szCs w:val="24"/>
              </w:rPr>
            </w:pPr>
          </w:p>
        </w:tc>
        <w:tc>
          <w:tcPr>
            <w:tcW w:w="525" w:type="dxa"/>
            <w:vMerge w:val="continue"/>
            <w:shd w:val="clear" w:color="auto" w:fill="auto"/>
            <w:vAlign w:val="center"/>
          </w:tcPr>
          <w:p w14:paraId="2C2D95CB">
            <w:pPr>
              <w:pStyle w:val="264"/>
              <w:spacing w:before="156"/>
              <w:ind w:firstLine="0" w:firstLineChars="0"/>
              <w:jc w:val="center"/>
              <w:rPr>
                <w:rFonts w:ascii="宋体" w:hAnsi="宋体"/>
                <w:sz w:val="24"/>
                <w:szCs w:val="24"/>
              </w:rPr>
            </w:pPr>
          </w:p>
        </w:tc>
        <w:tc>
          <w:tcPr>
            <w:tcW w:w="1197" w:type="dxa"/>
            <w:gridSpan w:val="2"/>
            <w:shd w:val="clear" w:color="auto" w:fill="auto"/>
            <w:vAlign w:val="center"/>
          </w:tcPr>
          <w:p w14:paraId="2D1184F0">
            <w:pPr>
              <w:pStyle w:val="264"/>
              <w:spacing w:before="156"/>
              <w:ind w:firstLine="0" w:firstLineChars="0"/>
              <w:rPr>
                <w:rFonts w:ascii="宋体" w:hAnsi="宋体"/>
                <w:sz w:val="24"/>
                <w:szCs w:val="24"/>
              </w:rPr>
            </w:pPr>
            <w:r>
              <w:rPr>
                <w:rFonts w:hint="default" w:ascii="宋体" w:hAnsi="宋体"/>
                <w:sz w:val="24"/>
                <w:szCs w:val="24"/>
              </w:rPr>
              <w:t>功能正确性</w:t>
            </w:r>
          </w:p>
        </w:tc>
        <w:tc>
          <w:tcPr>
            <w:tcW w:w="4415" w:type="dxa"/>
            <w:gridSpan w:val="2"/>
            <w:shd w:val="clear" w:color="auto" w:fill="auto"/>
            <w:vAlign w:val="center"/>
          </w:tcPr>
          <w:p w14:paraId="47B6FB14">
            <w:pPr>
              <w:pStyle w:val="264"/>
              <w:spacing w:before="156"/>
              <w:ind w:firstLine="0" w:firstLineChars="0"/>
              <w:rPr>
                <w:rFonts w:ascii="宋体" w:hAnsi="宋体"/>
                <w:sz w:val="24"/>
                <w:szCs w:val="24"/>
              </w:rPr>
            </w:pPr>
            <w:r>
              <w:rPr>
                <w:rFonts w:hint="default" w:ascii="宋体" w:hAnsi="宋体"/>
                <w:sz w:val="24"/>
                <w:szCs w:val="24"/>
              </w:rPr>
              <w:t>功能实现是否正确</w:t>
            </w:r>
            <w:r>
              <w:rPr>
                <w:rFonts w:ascii="宋体" w:hAnsi="宋体"/>
                <w:sz w:val="24"/>
                <w:szCs w:val="24"/>
              </w:rPr>
              <w:t>，</w:t>
            </w:r>
            <w:r>
              <w:rPr>
                <w:rFonts w:hint="default" w:ascii="宋体" w:hAnsi="宋体"/>
                <w:sz w:val="24"/>
                <w:szCs w:val="24"/>
              </w:rPr>
              <w:t>程序和数据是否与需求说明书及用户文档的全部内容相对应</w:t>
            </w:r>
            <w:r>
              <w:rPr>
                <w:rFonts w:ascii="宋体" w:hAnsi="宋体"/>
                <w:sz w:val="24"/>
                <w:szCs w:val="24"/>
              </w:rPr>
              <w:t>。</w:t>
            </w:r>
          </w:p>
        </w:tc>
        <w:tc>
          <w:tcPr>
            <w:tcW w:w="1532" w:type="dxa"/>
            <w:gridSpan w:val="2"/>
            <w:vMerge w:val="continue"/>
            <w:shd w:val="clear" w:color="auto" w:fill="auto"/>
            <w:vAlign w:val="center"/>
          </w:tcPr>
          <w:p w14:paraId="79A85041">
            <w:pPr>
              <w:pStyle w:val="264"/>
              <w:spacing w:before="156"/>
              <w:ind w:firstLine="0" w:firstLineChars="0"/>
              <w:jc w:val="center"/>
              <w:rPr>
                <w:rFonts w:ascii="宋体" w:hAnsi="宋体"/>
                <w:sz w:val="24"/>
                <w:szCs w:val="24"/>
              </w:rPr>
            </w:pPr>
          </w:p>
        </w:tc>
      </w:tr>
      <w:tr w14:paraId="6799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6E5AEF06">
            <w:pPr>
              <w:pStyle w:val="264"/>
              <w:numPr>
                <w:ilvl w:val="0"/>
                <w:numId w:val="4"/>
              </w:numPr>
              <w:spacing w:before="156"/>
              <w:ind w:firstLineChars="0"/>
              <w:jc w:val="center"/>
              <w:rPr>
                <w:rFonts w:ascii="宋体" w:hAnsi="宋体"/>
                <w:sz w:val="24"/>
                <w:szCs w:val="24"/>
              </w:rPr>
            </w:pPr>
          </w:p>
        </w:tc>
        <w:tc>
          <w:tcPr>
            <w:tcW w:w="525" w:type="dxa"/>
            <w:vMerge w:val="continue"/>
            <w:shd w:val="clear" w:color="auto" w:fill="auto"/>
            <w:vAlign w:val="center"/>
          </w:tcPr>
          <w:p w14:paraId="5E1C4D0F">
            <w:pPr>
              <w:pStyle w:val="264"/>
              <w:spacing w:before="156"/>
              <w:ind w:firstLine="0" w:firstLineChars="0"/>
              <w:jc w:val="center"/>
              <w:rPr>
                <w:rFonts w:ascii="宋体" w:hAnsi="宋体"/>
                <w:sz w:val="24"/>
                <w:szCs w:val="24"/>
              </w:rPr>
            </w:pPr>
          </w:p>
        </w:tc>
        <w:tc>
          <w:tcPr>
            <w:tcW w:w="1197" w:type="dxa"/>
            <w:gridSpan w:val="2"/>
            <w:shd w:val="clear" w:color="auto" w:fill="auto"/>
            <w:vAlign w:val="center"/>
          </w:tcPr>
          <w:p w14:paraId="288E467F">
            <w:pPr>
              <w:pStyle w:val="264"/>
              <w:spacing w:before="156"/>
              <w:ind w:firstLine="0" w:firstLineChars="0"/>
              <w:rPr>
                <w:rFonts w:ascii="宋体" w:hAnsi="宋体"/>
                <w:sz w:val="24"/>
                <w:szCs w:val="24"/>
              </w:rPr>
            </w:pPr>
            <w:r>
              <w:rPr>
                <w:rFonts w:hint="default" w:ascii="宋体" w:hAnsi="宋体"/>
                <w:sz w:val="24"/>
                <w:szCs w:val="24"/>
              </w:rPr>
              <w:t>互操作性</w:t>
            </w:r>
          </w:p>
        </w:tc>
        <w:tc>
          <w:tcPr>
            <w:tcW w:w="4415" w:type="dxa"/>
            <w:gridSpan w:val="2"/>
            <w:shd w:val="clear" w:color="auto" w:fill="auto"/>
            <w:vAlign w:val="center"/>
          </w:tcPr>
          <w:p w14:paraId="044EDD60">
            <w:pPr>
              <w:pStyle w:val="264"/>
              <w:spacing w:before="156"/>
              <w:ind w:firstLine="0" w:firstLineChars="0"/>
              <w:rPr>
                <w:rFonts w:ascii="宋体" w:hAnsi="宋体"/>
                <w:sz w:val="24"/>
                <w:szCs w:val="24"/>
              </w:rPr>
            </w:pPr>
            <w:r>
              <w:rPr>
                <w:rFonts w:hint="default" w:ascii="宋体" w:hAnsi="宋体"/>
                <w:sz w:val="24"/>
                <w:szCs w:val="24"/>
              </w:rPr>
              <w:t>系统与一个或更多的规定系统能否进行交互以及交互的能力</w:t>
            </w:r>
            <w:r>
              <w:rPr>
                <w:rFonts w:ascii="宋体" w:hAnsi="宋体"/>
                <w:sz w:val="24"/>
                <w:szCs w:val="24"/>
              </w:rPr>
              <w:t>。</w:t>
            </w:r>
          </w:p>
        </w:tc>
        <w:tc>
          <w:tcPr>
            <w:tcW w:w="1532" w:type="dxa"/>
            <w:gridSpan w:val="2"/>
            <w:vMerge w:val="continue"/>
            <w:shd w:val="clear" w:color="auto" w:fill="auto"/>
            <w:vAlign w:val="center"/>
          </w:tcPr>
          <w:p w14:paraId="23D903EB">
            <w:pPr>
              <w:pStyle w:val="264"/>
              <w:spacing w:before="156"/>
              <w:ind w:firstLine="0" w:firstLineChars="0"/>
              <w:jc w:val="center"/>
              <w:rPr>
                <w:rFonts w:ascii="宋体" w:hAnsi="宋体"/>
                <w:sz w:val="24"/>
                <w:szCs w:val="24"/>
              </w:rPr>
            </w:pPr>
          </w:p>
        </w:tc>
      </w:tr>
      <w:tr w14:paraId="468C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03CC3F76">
            <w:pPr>
              <w:pStyle w:val="264"/>
              <w:numPr>
                <w:ilvl w:val="0"/>
                <w:numId w:val="4"/>
              </w:numPr>
              <w:spacing w:before="156"/>
              <w:ind w:firstLineChars="0"/>
              <w:jc w:val="center"/>
              <w:rPr>
                <w:rFonts w:ascii="宋体" w:hAnsi="宋体"/>
                <w:sz w:val="24"/>
                <w:szCs w:val="24"/>
              </w:rPr>
            </w:pPr>
          </w:p>
        </w:tc>
        <w:tc>
          <w:tcPr>
            <w:tcW w:w="525" w:type="dxa"/>
            <w:vMerge w:val="continue"/>
            <w:shd w:val="clear" w:color="auto" w:fill="auto"/>
            <w:vAlign w:val="center"/>
          </w:tcPr>
          <w:p w14:paraId="538C7F7B">
            <w:pPr>
              <w:pStyle w:val="264"/>
              <w:spacing w:before="156"/>
              <w:ind w:firstLine="0" w:firstLineChars="0"/>
              <w:jc w:val="center"/>
              <w:rPr>
                <w:rFonts w:ascii="宋体" w:hAnsi="宋体"/>
                <w:sz w:val="24"/>
                <w:szCs w:val="24"/>
              </w:rPr>
            </w:pPr>
          </w:p>
        </w:tc>
        <w:tc>
          <w:tcPr>
            <w:tcW w:w="1197" w:type="dxa"/>
            <w:gridSpan w:val="2"/>
            <w:shd w:val="clear" w:color="auto" w:fill="auto"/>
            <w:vAlign w:val="center"/>
          </w:tcPr>
          <w:p w14:paraId="13EE76CC">
            <w:pPr>
              <w:pStyle w:val="264"/>
              <w:spacing w:before="156"/>
              <w:ind w:firstLine="0" w:firstLineChars="0"/>
              <w:rPr>
                <w:rFonts w:ascii="宋体" w:hAnsi="宋体"/>
                <w:sz w:val="24"/>
                <w:szCs w:val="24"/>
              </w:rPr>
            </w:pPr>
            <w:r>
              <w:rPr>
                <w:rFonts w:hint="default" w:ascii="宋体" w:hAnsi="宋体"/>
                <w:sz w:val="24"/>
                <w:szCs w:val="24"/>
              </w:rPr>
              <w:t>一致性</w:t>
            </w:r>
          </w:p>
        </w:tc>
        <w:tc>
          <w:tcPr>
            <w:tcW w:w="4415" w:type="dxa"/>
            <w:gridSpan w:val="2"/>
            <w:shd w:val="clear" w:color="auto" w:fill="auto"/>
            <w:vAlign w:val="center"/>
          </w:tcPr>
          <w:p w14:paraId="63D2D586">
            <w:pPr>
              <w:pStyle w:val="264"/>
              <w:spacing w:before="156"/>
              <w:ind w:firstLine="0" w:firstLineChars="0"/>
              <w:rPr>
                <w:rFonts w:ascii="宋体" w:hAnsi="宋体"/>
                <w:sz w:val="24"/>
                <w:szCs w:val="24"/>
              </w:rPr>
            </w:pPr>
            <w:r>
              <w:rPr>
                <w:rFonts w:hint="default" w:ascii="宋体" w:hAnsi="宋体"/>
                <w:sz w:val="24"/>
                <w:szCs w:val="24"/>
              </w:rPr>
              <w:t>程序和数据实现是否与需求说明书和用户文档一</w:t>
            </w:r>
            <w:r>
              <w:rPr>
                <w:rFonts w:ascii="宋体" w:hAnsi="宋体"/>
                <w:sz w:val="24"/>
                <w:szCs w:val="24"/>
              </w:rPr>
              <w:t>致。</w:t>
            </w:r>
          </w:p>
        </w:tc>
        <w:tc>
          <w:tcPr>
            <w:tcW w:w="1532" w:type="dxa"/>
            <w:gridSpan w:val="2"/>
            <w:vMerge w:val="continue"/>
            <w:shd w:val="clear" w:color="auto" w:fill="auto"/>
            <w:vAlign w:val="center"/>
          </w:tcPr>
          <w:p w14:paraId="0F7B1338">
            <w:pPr>
              <w:pStyle w:val="264"/>
              <w:spacing w:before="156"/>
              <w:ind w:firstLine="0" w:firstLineChars="0"/>
              <w:jc w:val="center"/>
              <w:rPr>
                <w:rFonts w:ascii="宋体" w:hAnsi="宋体"/>
                <w:sz w:val="24"/>
                <w:szCs w:val="24"/>
              </w:rPr>
            </w:pPr>
          </w:p>
        </w:tc>
      </w:tr>
      <w:tr w14:paraId="0840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shd w:val="clear" w:color="auto" w:fill="auto"/>
            <w:vAlign w:val="center"/>
          </w:tcPr>
          <w:p w14:paraId="4A75CE35">
            <w:pPr>
              <w:pStyle w:val="264"/>
              <w:numPr>
                <w:ilvl w:val="0"/>
                <w:numId w:val="4"/>
              </w:numPr>
              <w:spacing w:before="156"/>
              <w:ind w:firstLineChars="0"/>
              <w:jc w:val="center"/>
              <w:rPr>
                <w:rFonts w:ascii="宋体" w:hAnsi="宋体"/>
                <w:sz w:val="24"/>
                <w:szCs w:val="24"/>
              </w:rPr>
            </w:pPr>
          </w:p>
        </w:tc>
        <w:tc>
          <w:tcPr>
            <w:tcW w:w="525" w:type="dxa"/>
            <w:vMerge w:val="continue"/>
            <w:shd w:val="clear" w:color="auto" w:fill="auto"/>
            <w:vAlign w:val="center"/>
          </w:tcPr>
          <w:p w14:paraId="66089FBC">
            <w:pPr>
              <w:pStyle w:val="264"/>
              <w:spacing w:before="156"/>
              <w:ind w:firstLine="0" w:firstLineChars="0"/>
              <w:jc w:val="center"/>
              <w:rPr>
                <w:rFonts w:ascii="宋体" w:hAnsi="宋体"/>
                <w:sz w:val="24"/>
                <w:szCs w:val="24"/>
              </w:rPr>
            </w:pPr>
          </w:p>
        </w:tc>
        <w:tc>
          <w:tcPr>
            <w:tcW w:w="1197" w:type="dxa"/>
            <w:gridSpan w:val="2"/>
            <w:shd w:val="clear" w:color="auto" w:fill="auto"/>
            <w:vAlign w:val="center"/>
          </w:tcPr>
          <w:p w14:paraId="44D91EE1">
            <w:pPr>
              <w:pStyle w:val="264"/>
              <w:spacing w:before="156"/>
              <w:ind w:firstLine="0" w:firstLineChars="0"/>
              <w:rPr>
                <w:rFonts w:ascii="宋体" w:hAnsi="宋体"/>
                <w:sz w:val="24"/>
                <w:szCs w:val="24"/>
              </w:rPr>
            </w:pPr>
            <w:r>
              <w:rPr>
                <w:rFonts w:hint="default" w:ascii="宋体" w:hAnsi="宋体"/>
                <w:sz w:val="24"/>
                <w:szCs w:val="24"/>
              </w:rPr>
              <w:t>用户界面测评</w:t>
            </w:r>
          </w:p>
        </w:tc>
        <w:tc>
          <w:tcPr>
            <w:tcW w:w="4415" w:type="dxa"/>
            <w:gridSpan w:val="2"/>
            <w:shd w:val="clear" w:color="auto" w:fill="auto"/>
            <w:vAlign w:val="center"/>
          </w:tcPr>
          <w:p w14:paraId="2546635D">
            <w:pPr>
              <w:pStyle w:val="264"/>
              <w:spacing w:before="156"/>
              <w:ind w:firstLine="0" w:firstLineChars="0"/>
              <w:rPr>
                <w:rFonts w:ascii="宋体" w:hAnsi="宋体"/>
                <w:sz w:val="24"/>
                <w:szCs w:val="24"/>
              </w:rPr>
            </w:pPr>
            <w:r>
              <w:rPr>
                <w:rFonts w:hint="default" w:ascii="宋体" w:hAnsi="宋体"/>
                <w:sz w:val="24"/>
                <w:szCs w:val="24"/>
              </w:rPr>
              <w:t>对用户界面的布局</w:t>
            </w:r>
            <w:r>
              <w:rPr>
                <w:rFonts w:ascii="宋体" w:hAnsi="宋体"/>
                <w:sz w:val="24"/>
                <w:szCs w:val="24"/>
              </w:rPr>
              <w:t>、</w:t>
            </w:r>
            <w:r>
              <w:rPr>
                <w:rFonts w:hint="default" w:ascii="宋体" w:hAnsi="宋体"/>
                <w:sz w:val="24"/>
                <w:szCs w:val="24"/>
              </w:rPr>
              <w:t>界面文字</w:t>
            </w:r>
            <w:r>
              <w:rPr>
                <w:rFonts w:ascii="宋体" w:hAnsi="宋体"/>
                <w:sz w:val="24"/>
                <w:szCs w:val="24"/>
              </w:rPr>
              <w:t>、</w:t>
            </w:r>
            <w:r>
              <w:rPr>
                <w:rFonts w:hint="default" w:ascii="宋体" w:hAnsi="宋体"/>
                <w:sz w:val="24"/>
                <w:szCs w:val="24"/>
              </w:rPr>
              <w:t>操作步骤</w:t>
            </w:r>
            <w:r>
              <w:rPr>
                <w:rFonts w:ascii="宋体" w:hAnsi="宋体"/>
                <w:sz w:val="24"/>
                <w:szCs w:val="24"/>
              </w:rPr>
              <w:t>、</w:t>
            </w:r>
            <w:r>
              <w:rPr>
                <w:rFonts w:hint="default" w:ascii="宋体" w:hAnsi="宋体"/>
                <w:sz w:val="24"/>
                <w:szCs w:val="24"/>
              </w:rPr>
              <w:t>操作方式</w:t>
            </w:r>
            <w:r>
              <w:rPr>
                <w:rFonts w:ascii="宋体" w:hAnsi="宋体"/>
                <w:sz w:val="24"/>
                <w:szCs w:val="24"/>
              </w:rPr>
              <w:t>、</w:t>
            </w:r>
            <w:r>
              <w:rPr>
                <w:rFonts w:hint="default" w:ascii="宋体" w:hAnsi="宋体"/>
                <w:sz w:val="24"/>
                <w:szCs w:val="24"/>
              </w:rPr>
              <w:t>快捷方式进行测评和验证</w:t>
            </w:r>
            <w:r>
              <w:rPr>
                <w:rFonts w:ascii="宋体" w:hAnsi="宋体"/>
                <w:sz w:val="24"/>
                <w:szCs w:val="24"/>
              </w:rPr>
              <w:t>，</w:t>
            </w:r>
            <w:r>
              <w:rPr>
                <w:rFonts w:hint="default" w:ascii="宋体" w:hAnsi="宋体"/>
                <w:sz w:val="24"/>
                <w:szCs w:val="24"/>
              </w:rPr>
              <w:t>必要时通过用户调研或用户测试验证用户界面是否满足用户要求</w:t>
            </w:r>
            <w:r>
              <w:rPr>
                <w:rFonts w:ascii="宋体" w:hAnsi="宋体"/>
                <w:sz w:val="24"/>
                <w:szCs w:val="24"/>
              </w:rPr>
              <w:t>。</w:t>
            </w:r>
          </w:p>
        </w:tc>
        <w:tc>
          <w:tcPr>
            <w:tcW w:w="1532" w:type="dxa"/>
            <w:gridSpan w:val="2"/>
            <w:vMerge w:val="continue"/>
            <w:shd w:val="clear" w:color="auto" w:fill="auto"/>
            <w:vAlign w:val="center"/>
          </w:tcPr>
          <w:p w14:paraId="30C06181">
            <w:pPr>
              <w:pStyle w:val="264"/>
              <w:spacing w:before="156"/>
              <w:ind w:firstLine="0" w:firstLineChars="0"/>
              <w:jc w:val="center"/>
              <w:rPr>
                <w:rFonts w:ascii="宋体" w:hAnsi="宋体"/>
                <w:sz w:val="24"/>
                <w:szCs w:val="24"/>
              </w:rPr>
            </w:pPr>
          </w:p>
        </w:tc>
      </w:tr>
      <w:tr w14:paraId="64EE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875" w:type="dxa"/>
            <w:shd w:val="clear" w:color="auto" w:fill="auto"/>
            <w:vAlign w:val="center"/>
          </w:tcPr>
          <w:p w14:paraId="7DFF5CA6">
            <w:pPr>
              <w:pStyle w:val="264"/>
              <w:numPr>
                <w:ilvl w:val="0"/>
                <w:numId w:val="4"/>
              </w:numPr>
              <w:spacing w:before="156"/>
              <w:ind w:firstLineChars="0"/>
              <w:jc w:val="center"/>
              <w:rPr>
                <w:rFonts w:ascii="宋体" w:hAnsi="宋体"/>
                <w:sz w:val="24"/>
                <w:szCs w:val="24"/>
              </w:rPr>
            </w:pPr>
          </w:p>
        </w:tc>
        <w:tc>
          <w:tcPr>
            <w:tcW w:w="1700" w:type="dxa"/>
            <w:gridSpan w:val="2"/>
            <w:shd w:val="clear" w:color="auto" w:fill="auto"/>
            <w:vAlign w:val="center"/>
          </w:tcPr>
          <w:p w14:paraId="7195C51D">
            <w:pPr>
              <w:pStyle w:val="264"/>
              <w:spacing w:before="156"/>
              <w:ind w:firstLine="0" w:firstLineChars="0"/>
              <w:jc w:val="center"/>
              <w:rPr>
                <w:rFonts w:ascii="宋体" w:hAnsi="宋体"/>
                <w:sz w:val="24"/>
                <w:szCs w:val="24"/>
              </w:rPr>
            </w:pPr>
            <w:r>
              <w:rPr>
                <w:rFonts w:hint="default" w:ascii="宋体" w:hAnsi="宋体"/>
                <w:sz w:val="24"/>
                <w:szCs w:val="24"/>
              </w:rPr>
              <w:t>业务流程测试</w:t>
            </w:r>
          </w:p>
        </w:tc>
        <w:tc>
          <w:tcPr>
            <w:tcW w:w="4415" w:type="dxa"/>
            <w:gridSpan w:val="2"/>
            <w:shd w:val="clear" w:color="auto" w:fill="auto"/>
            <w:vAlign w:val="center"/>
          </w:tcPr>
          <w:p w14:paraId="1D87B0D1">
            <w:pPr>
              <w:pStyle w:val="264"/>
              <w:spacing w:before="156"/>
              <w:ind w:firstLine="0" w:firstLineChars="0"/>
              <w:rPr>
                <w:rFonts w:ascii="宋体" w:hAnsi="宋体"/>
                <w:sz w:val="24"/>
                <w:szCs w:val="24"/>
              </w:rPr>
            </w:pPr>
            <w:r>
              <w:rPr>
                <w:rFonts w:hint="default" w:ascii="宋体" w:hAnsi="宋体"/>
                <w:sz w:val="24"/>
                <w:szCs w:val="24"/>
              </w:rPr>
              <w:t>对应用系统的</w:t>
            </w:r>
            <w:r>
              <w:rPr>
                <w:rFonts w:ascii="宋体" w:hAnsi="宋体"/>
                <w:sz w:val="24"/>
                <w:szCs w:val="24"/>
              </w:rPr>
              <w:t>所有业务流程进行测试，测试系统是否能够贯通各个业务流程。</w:t>
            </w:r>
          </w:p>
        </w:tc>
        <w:tc>
          <w:tcPr>
            <w:tcW w:w="1532" w:type="dxa"/>
            <w:gridSpan w:val="2"/>
            <w:shd w:val="clear" w:color="auto" w:fill="auto"/>
            <w:vAlign w:val="center"/>
          </w:tcPr>
          <w:p w14:paraId="6DA5DAF7">
            <w:pPr>
              <w:pStyle w:val="264"/>
              <w:spacing w:before="156"/>
              <w:ind w:firstLine="0" w:firstLineChars="0"/>
              <w:jc w:val="center"/>
              <w:rPr>
                <w:rFonts w:ascii="宋体" w:hAnsi="宋体"/>
                <w:sz w:val="24"/>
                <w:szCs w:val="24"/>
              </w:rPr>
            </w:pPr>
          </w:p>
        </w:tc>
      </w:tr>
    </w:tbl>
    <w:p w14:paraId="178B0563">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b/>
          <w:bCs/>
          <w:sz w:val="24"/>
          <w:szCs w:val="24"/>
          <w:lang w:val="en-US"/>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rPr>
        <w:t>效率（性能）测试</w:t>
      </w:r>
    </w:p>
    <w:p w14:paraId="39B5E20C">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应用系统的性能测试主要包括：执行效率测试、设备效率测试和网络效率测试。对系统性能需求中要求的指标进行测试，并提供专业的性能测试数据。具体内容包括：</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23"/>
        <w:gridCol w:w="1418"/>
        <w:gridCol w:w="4536"/>
        <w:gridCol w:w="1326"/>
      </w:tblGrid>
      <w:tr w14:paraId="67A9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19" w:type="dxa"/>
            <w:shd w:val="clear" w:color="auto" w:fill="D9D9D9"/>
            <w:vAlign w:val="center"/>
          </w:tcPr>
          <w:p w14:paraId="1D7906F0">
            <w:pPr>
              <w:pStyle w:val="264"/>
              <w:spacing w:before="156"/>
              <w:ind w:firstLine="0" w:firstLineChars="0"/>
              <w:jc w:val="center"/>
              <w:rPr>
                <w:rFonts w:ascii="宋体" w:hAnsi="宋体"/>
              </w:rPr>
            </w:pPr>
            <w:r>
              <w:rPr>
                <w:rFonts w:ascii="宋体" w:hAnsi="宋体"/>
              </w:rPr>
              <w:t>序号</w:t>
            </w:r>
          </w:p>
        </w:tc>
        <w:tc>
          <w:tcPr>
            <w:tcW w:w="1941" w:type="dxa"/>
            <w:gridSpan w:val="2"/>
            <w:shd w:val="clear" w:color="auto" w:fill="D9D9D9"/>
            <w:vAlign w:val="center"/>
          </w:tcPr>
          <w:p w14:paraId="37EE19B8">
            <w:pPr>
              <w:pStyle w:val="264"/>
              <w:spacing w:before="156"/>
              <w:ind w:firstLine="0" w:firstLineChars="0"/>
              <w:jc w:val="center"/>
              <w:rPr>
                <w:rFonts w:ascii="宋体" w:hAnsi="宋体"/>
              </w:rPr>
            </w:pPr>
            <w:r>
              <w:rPr>
                <w:rFonts w:ascii="宋体" w:hAnsi="宋体"/>
              </w:rPr>
              <w:t>测试项</w:t>
            </w:r>
          </w:p>
        </w:tc>
        <w:tc>
          <w:tcPr>
            <w:tcW w:w="4536" w:type="dxa"/>
            <w:shd w:val="clear" w:color="auto" w:fill="D9D9D9"/>
            <w:vAlign w:val="center"/>
          </w:tcPr>
          <w:p w14:paraId="0C23A365">
            <w:pPr>
              <w:pStyle w:val="264"/>
              <w:spacing w:before="156"/>
              <w:ind w:firstLine="0" w:firstLineChars="0"/>
              <w:jc w:val="center"/>
              <w:rPr>
                <w:rFonts w:ascii="宋体" w:hAnsi="宋体"/>
              </w:rPr>
            </w:pPr>
            <w:r>
              <w:rPr>
                <w:rFonts w:ascii="宋体" w:hAnsi="宋体"/>
              </w:rPr>
              <w:t>测试内容</w:t>
            </w:r>
          </w:p>
        </w:tc>
        <w:tc>
          <w:tcPr>
            <w:tcW w:w="1326" w:type="dxa"/>
            <w:shd w:val="clear" w:color="auto" w:fill="D9D9D9"/>
            <w:vAlign w:val="center"/>
          </w:tcPr>
          <w:p w14:paraId="79AFE197">
            <w:pPr>
              <w:pStyle w:val="264"/>
              <w:spacing w:before="156"/>
              <w:ind w:firstLine="0" w:firstLineChars="0"/>
              <w:jc w:val="center"/>
              <w:rPr>
                <w:rFonts w:ascii="宋体" w:hAnsi="宋体"/>
              </w:rPr>
            </w:pPr>
            <w:r>
              <w:rPr>
                <w:rFonts w:ascii="宋体" w:hAnsi="宋体"/>
              </w:rPr>
              <w:t>评测要求</w:t>
            </w:r>
          </w:p>
        </w:tc>
      </w:tr>
      <w:tr w14:paraId="6B5A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14:paraId="7C3463CD">
            <w:pPr>
              <w:pStyle w:val="264"/>
              <w:numPr>
                <w:ilvl w:val="0"/>
                <w:numId w:val="5"/>
              </w:numPr>
              <w:spacing w:before="156"/>
              <w:ind w:firstLineChars="0"/>
              <w:jc w:val="center"/>
              <w:rPr>
                <w:rFonts w:ascii="宋体" w:hAnsi="宋体"/>
              </w:rPr>
            </w:pPr>
          </w:p>
        </w:tc>
        <w:tc>
          <w:tcPr>
            <w:tcW w:w="523" w:type="dxa"/>
            <w:vMerge w:val="restart"/>
            <w:shd w:val="clear" w:color="auto" w:fill="auto"/>
            <w:vAlign w:val="center"/>
          </w:tcPr>
          <w:p w14:paraId="005622EB">
            <w:pPr>
              <w:pStyle w:val="264"/>
              <w:spacing w:before="156" w:after="316" w:afterLines="100"/>
              <w:ind w:firstLine="0" w:firstLineChars="0"/>
              <w:rPr>
                <w:rFonts w:ascii="宋体" w:hAnsi="宋体"/>
              </w:rPr>
            </w:pPr>
          </w:p>
          <w:p w14:paraId="65A12BBD">
            <w:pPr>
              <w:pStyle w:val="264"/>
              <w:spacing w:before="156" w:after="316" w:afterLines="100"/>
              <w:ind w:firstLine="0" w:firstLineChars="0"/>
              <w:rPr>
                <w:rFonts w:ascii="宋体" w:hAnsi="宋体"/>
              </w:rPr>
            </w:pPr>
            <w:r>
              <w:rPr>
                <w:rFonts w:ascii="宋体" w:hAnsi="宋体"/>
              </w:rPr>
              <w:t>执行效率测试</w:t>
            </w:r>
          </w:p>
        </w:tc>
        <w:tc>
          <w:tcPr>
            <w:tcW w:w="1418" w:type="dxa"/>
            <w:shd w:val="clear" w:color="auto" w:fill="auto"/>
            <w:vAlign w:val="center"/>
          </w:tcPr>
          <w:p w14:paraId="2296C07C">
            <w:pPr>
              <w:pStyle w:val="264"/>
              <w:spacing w:before="156"/>
              <w:ind w:firstLine="0" w:firstLineChars="0"/>
              <w:rPr>
                <w:rFonts w:ascii="宋体" w:hAnsi="宋体"/>
              </w:rPr>
            </w:pPr>
            <w:r>
              <w:rPr>
                <w:rFonts w:ascii="宋体" w:hAnsi="宋体"/>
              </w:rPr>
              <w:t>测试脚本</w:t>
            </w:r>
          </w:p>
        </w:tc>
        <w:tc>
          <w:tcPr>
            <w:tcW w:w="4536" w:type="dxa"/>
            <w:shd w:val="clear" w:color="auto" w:fill="auto"/>
            <w:vAlign w:val="center"/>
          </w:tcPr>
          <w:p w14:paraId="62C28951">
            <w:pPr>
              <w:pStyle w:val="264"/>
              <w:spacing w:before="156"/>
              <w:ind w:firstLine="0" w:firstLineChars="0"/>
              <w:rPr>
                <w:rFonts w:ascii="宋体" w:hAnsi="宋体"/>
              </w:rPr>
            </w:pPr>
            <w:r>
              <w:rPr>
                <w:rFonts w:ascii="宋体" w:hAnsi="宋体"/>
              </w:rPr>
              <w:t>选择影响系统执行效率的功能模块，制定典型的业务脚本作为执行效率测试的基础案例。</w:t>
            </w:r>
          </w:p>
        </w:tc>
        <w:tc>
          <w:tcPr>
            <w:tcW w:w="1326" w:type="dxa"/>
            <w:vMerge w:val="restart"/>
            <w:shd w:val="clear" w:color="auto" w:fill="auto"/>
            <w:vAlign w:val="center"/>
          </w:tcPr>
          <w:p w14:paraId="7C581A46">
            <w:pPr>
              <w:pStyle w:val="264"/>
              <w:spacing w:before="156"/>
              <w:ind w:firstLine="0" w:firstLineChars="0"/>
              <w:rPr>
                <w:rFonts w:ascii="宋体" w:hAnsi="宋体"/>
              </w:rPr>
            </w:pPr>
          </w:p>
          <w:p w14:paraId="456BA021">
            <w:pPr>
              <w:pStyle w:val="264"/>
              <w:spacing w:before="156"/>
              <w:ind w:firstLine="0" w:firstLineChars="0"/>
              <w:rPr>
                <w:rFonts w:ascii="宋体" w:hAnsi="宋体"/>
              </w:rPr>
            </w:pPr>
            <w:r>
              <w:rPr>
                <w:rFonts w:ascii="宋体" w:hAnsi="宋体"/>
              </w:rPr>
              <w:t>覆盖被测系统全部功能和业务流程</w:t>
            </w:r>
          </w:p>
        </w:tc>
      </w:tr>
      <w:tr w14:paraId="38F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14:paraId="63DA5472">
            <w:pPr>
              <w:pStyle w:val="264"/>
              <w:numPr>
                <w:ilvl w:val="0"/>
                <w:numId w:val="5"/>
              </w:numPr>
              <w:spacing w:before="156"/>
              <w:ind w:firstLineChars="0"/>
              <w:jc w:val="center"/>
              <w:rPr>
                <w:rFonts w:ascii="宋体" w:hAnsi="宋体"/>
              </w:rPr>
            </w:pPr>
          </w:p>
        </w:tc>
        <w:tc>
          <w:tcPr>
            <w:tcW w:w="523" w:type="dxa"/>
            <w:vMerge w:val="continue"/>
            <w:shd w:val="clear" w:color="auto" w:fill="auto"/>
            <w:vAlign w:val="center"/>
          </w:tcPr>
          <w:p w14:paraId="2E1A2A47">
            <w:pPr>
              <w:pStyle w:val="264"/>
              <w:spacing w:before="156"/>
              <w:ind w:firstLine="0" w:firstLineChars="0"/>
              <w:rPr>
                <w:rFonts w:ascii="宋体" w:hAnsi="宋体"/>
              </w:rPr>
            </w:pPr>
          </w:p>
        </w:tc>
        <w:tc>
          <w:tcPr>
            <w:tcW w:w="1418" w:type="dxa"/>
            <w:shd w:val="clear" w:color="auto" w:fill="auto"/>
            <w:vAlign w:val="center"/>
          </w:tcPr>
          <w:p w14:paraId="6EAFB11B">
            <w:pPr>
              <w:pStyle w:val="264"/>
              <w:spacing w:before="156"/>
              <w:ind w:firstLine="0" w:firstLineChars="0"/>
              <w:rPr>
                <w:rFonts w:ascii="宋体" w:hAnsi="宋体"/>
              </w:rPr>
            </w:pPr>
            <w:r>
              <w:rPr>
                <w:rFonts w:ascii="宋体" w:hAnsi="宋体"/>
              </w:rPr>
              <w:t>并发用户数量</w:t>
            </w:r>
          </w:p>
        </w:tc>
        <w:tc>
          <w:tcPr>
            <w:tcW w:w="4536" w:type="dxa"/>
            <w:shd w:val="clear" w:color="auto" w:fill="auto"/>
            <w:vAlign w:val="center"/>
          </w:tcPr>
          <w:p w14:paraId="45E2AECC">
            <w:pPr>
              <w:pStyle w:val="264"/>
              <w:spacing w:before="156"/>
              <w:ind w:firstLine="0" w:firstLineChars="0"/>
              <w:rPr>
                <w:rFonts w:ascii="宋体" w:hAnsi="宋体"/>
              </w:rPr>
            </w:pPr>
            <w:r>
              <w:rPr>
                <w:rFonts w:ascii="宋体" w:hAnsi="宋体"/>
              </w:rPr>
              <w:t>分为负载测试和压力测试。通过负载测试，掌握系统能够承受的正常用户并发数量。通过压力测试，掌握系统能够承受的最大用户并发数量。</w:t>
            </w:r>
          </w:p>
        </w:tc>
        <w:tc>
          <w:tcPr>
            <w:tcW w:w="1326" w:type="dxa"/>
            <w:vMerge w:val="continue"/>
            <w:shd w:val="clear" w:color="auto" w:fill="auto"/>
            <w:vAlign w:val="center"/>
          </w:tcPr>
          <w:p w14:paraId="25396E49">
            <w:pPr>
              <w:pStyle w:val="264"/>
              <w:spacing w:before="156"/>
              <w:ind w:firstLine="0" w:firstLineChars="0"/>
              <w:rPr>
                <w:rFonts w:ascii="宋体" w:hAnsi="宋体"/>
              </w:rPr>
            </w:pPr>
          </w:p>
        </w:tc>
      </w:tr>
      <w:tr w14:paraId="1ADC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14:paraId="7D35E3B4">
            <w:pPr>
              <w:pStyle w:val="264"/>
              <w:numPr>
                <w:ilvl w:val="0"/>
                <w:numId w:val="5"/>
              </w:numPr>
              <w:spacing w:before="156"/>
              <w:ind w:firstLineChars="0"/>
              <w:jc w:val="center"/>
              <w:rPr>
                <w:rFonts w:ascii="宋体" w:hAnsi="宋体"/>
              </w:rPr>
            </w:pPr>
          </w:p>
        </w:tc>
        <w:tc>
          <w:tcPr>
            <w:tcW w:w="523" w:type="dxa"/>
            <w:vMerge w:val="continue"/>
            <w:shd w:val="clear" w:color="auto" w:fill="auto"/>
            <w:vAlign w:val="center"/>
          </w:tcPr>
          <w:p w14:paraId="3713B893">
            <w:pPr>
              <w:pStyle w:val="264"/>
              <w:spacing w:before="156"/>
              <w:ind w:firstLine="0" w:firstLineChars="0"/>
              <w:rPr>
                <w:rFonts w:ascii="宋体" w:hAnsi="宋体"/>
              </w:rPr>
            </w:pPr>
          </w:p>
        </w:tc>
        <w:tc>
          <w:tcPr>
            <w:tcW w:w="1418" w:type="dxa"/>
            <w:shd w:val="clear" w:color="auto" w:fill="auto"/>
            <w:vAlign w:val="center"/>
          </w:tcPr>
          <w:p w14:paraId="3133C9C2">
            <w:pPr>
              <w:pStyle w:val="264"/>
              <w:spacing w:before="156"/>
              <w:ind w:firstLine="0" w:firstLineChars="0"/>
              <w:rPr>
                <w:rFonts w:ascii="宋体" w:hAnsi="宋体"/>
              </w:rPr>
            </w:pPr>
            <w:r>
              <w:rPr>
                <w:rFonts w:ascii="宋体" w:hAnsi="宋体"/>
              </w:rPr>
              <w:t>并发方式</w:t>
            </w:r>
          </w:p>
        </w:tc>
        <w:tc>
          <w:tcPr>
            <w:tcW w:w="4536" w:type="dxa"/>
            <w:shd w:val="clear" w:color="auto" w:fill="auto"/>
            <w:vAlign w:val="center"/>
          </w:tcPr>
          <w:p w14:paraId="76B996D0">
            <w:pPr>
              <w:pStyle w:val="264"/>
              <w:spacing w:before="156"/>
              <w:ind w:firstLine="0" w:firstLineChars="0"/>
              <w:rPr>
                <w:rFonts w:ascii="宋体" w:hAnsi="宋体"/>
              </w:rPr>
            </w:pPr>
            <w:r>
              <w:rPr>
                <w:rFonts w:ascii="宋体" w:hAnsi="宋体"/>
              </w:rPr>
              <w:t>主要指用户并发过程中与真实情况相似程度，包括并发用户数量变化方式、并发过程使用的真实客户端数量、对于并发峰值的模拟等。</w:t>
            </w:r>
          </w:p>
        </w:tc>
        <w:tc>
          <w:tcPr>
            <w:tcW w:w="1326" w:type="dxa"/>
            <w:vMerge w:val="continue"/>
            <w:shd w:val="clear" w:color="auto" w:fill="auto"/>
            <w:vAlign w:val="center"/>
          </w:tcPr>
          <w:p w14:paraId="73805D69">
            <w:pPr>
              <w:pStyle w:val="264"/>
              <w:spacing w:before="156"/>
              <w:ind w:firstLine="0" w:firstLineChars="0"/>
              <w:rPr>
                <w:rFonts w:ascii="宋体" w:hAnsi="宋体"/>
              </w:rPr>
            </w:pPr>
          </w:p>
        </w:tc>
      </w:tr>
      <w:tr w14:paraId="59EE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14:paraId="7CA7FBC2">
            <w:pPr>
              <w:pStyle w:val="264"/>
              <w:numPr>
                <w:ilvl w:val="0"/>
                <w:numId w:val="5"/>
              </w:numPr>
              <w:spacing w:before="156"/>
              <w:ind w:firstLineChars="0"/>
              <w:jc w:val="center"/>
              <w:rPr>
                <w:rFonts w:ascii="宋体" w:hAnsi="宋体"/>
              </w:rPr>
            </w:pPr>
          </w:p>
        </w:tc>
        <w:tc>
          <w:tcPr>
            <w:tcW w:w="1941" w:type="dxa"/>
            <w:gridSpan w:val="2"/>
            <w:shd w:val="clear" w:color="auto" w:fill="auto"/>
            <w:vAlign w:val="center"/>
          </w:tcPr>
          <w:p w14:paraId="7B180E7E">
            <w:pPr>
              <w:pStyle w:val="264"/>
              <w:spacing w:before="156"/>
              <w:ind w:firstLine="0" w:firstLineChars="0"/>
              <w:rPr>
                <w:rFonts w:ascii="宋体" w:hAnsi="宋体"/>
              </w:rPr>
            </w:pPr>
            <w:r>
              <w:rPr>
                <w:rFonts w:ascii="宋体" w:hAnsi="宋体"/>
              </w:rPr>
              <w:t>设备效率测试</w:t>
            </w:r>
          </w:p>
        </w:tc>
        <w:tc>
          <w:tcPr>
            <w:tcW w:w="4536" w:type="dxa"/>
            <w:shd w:val="clear" w:color="auto" w:fill="auto"/>
            <w:vAlign w:val="center"/>
          </w:tcPr>
          <w:p w14:paraId="17C54A12">
            <w:pPr>
              <w:pStyle w:val="264"/>
              <w:spacing w:before="156"/>
              <w:ind w:firstLine="0" w:firstLineChars="0"/>
              <w:rPr>
                <w:rFonts w:ascii="宋体" w:hAnsi="宋体"/>
              </w:rPr>
            </w:pPr>
            <w:r>
              <w:rPr>
                <w:rFonts w:ascii="宋体" w:hAnsi="宋体"/>
              </w:rPr>
              <w:t>主要测试系统CPU占用率、内存占用率、磁盘占用率、输入输出效率等，包括软件在不工作状态下对于硬件资源的占用情况和进行业务处理过程中对于硬件资源的占用情况，包括数据库服务器、应用服务器和客户端等。</w:t>
            </w:r>
          </w:p>
        </w:tc>
        <w:tc>
          <w:tcPr>
            <w:tcW w:w="1326" w:type="dxa"/>
            <w:vMerge w:val="continue"/>
            <w:shd w:val="clear" w:color="auto" w:fill="auto"/>
            <w:vAlign w:val="center"/>
          </w:tcPr>
          <w:p w14:paraId="03B27C5F">
            <w:pPr>
              <w:pStyle w:val="264"/>
              <w:spacing w:before="156"/>
              <w:ind w:firstLine="0" w:firstLineChars="0"/>
              <w:rPr>
                <w:rFonts w:ascii="宋体" w:hAnsi="宋体"/>
              </w:rPr>
            </w:pPr>
          </w:p>
        </w:tc>
      </w:tr>
      <w:tr w14:paraId="1505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auto"/>
            <w:vAlign w:val="center"/>
          </w:tcPr>
          <w:p w14:paraId="2189D9EF">
            <w:pPr>
              <w:pStyle w:val="264"/>
              <w:numPr>
                <w:ilvl w:val="0"/>
                <w:numId w:val="5"/>
              </w:numPr>
              <w:spacing w:before="156"/>
              <w:ind w:firstLineChars="0"/>
              <w:jc w:val="center"/>
              <w:rPr>
                <w:rFonts w:ascii="宋体" w:hAnsi="宋体"/>
              </w:rPr>
            </w:pPr>
          </w:p>
        </w:tc>
        <w:tc>
          <w:tcPr>
            <w:tcW w:w="1941" w:type="dxa"/>
            <w:gridSpan w:val="2"/>
            <w:shd w:val="clear" w:color="auto" w:fill="auto"/>
            <w:vAlign w:val="center"/>
          </w:tcPr>
          <w:p w14:paraId="624CDF00">
            <w:pPr>
              <w:pStyle w:val="264"/>
              <w:spacing w:before="156"/>
              <w:ind w:firstLine="0" w:firstLineChars="0"/>
              <w:rPr>
                <w:rFonts w:ascii="宋体" w:hAnsi="宋体"/>
              </w:rPr>
            </w:pPr>
            <w:r>
              <w:rPr>
                <w:rFonts w:ascii="宋体" w:hAnsi="宋体"/>
              </w:rPr>
              <w:t>网络效率测试</w:t>
            </w:r>
          </w:p>
        </w:tc>
        <w:tc>
          <w:tcPr>
            <w:tcW w:w="4536" w:type="dxa"/>
            <w:shd w:val="clear" w:color="auto" w:fill="auto"/>
            <w:vAlign w:val="center"/>
          </w:tcPr>
          <w:p w14:paraId="44232135">
            <w:pPr>
              <w:pStyle w:val="264"/>
              <w:spacing w:before="156"/>
              <w:ind w:firstLine="0" w:firstLineChars="0"/>
              <w:rPr>
                <w:rFonts w:ascii="宋体" w:hAnsi="宋体"/>
              </w:rPr>
            </w:pPr>
            <w:r>
              <w:rPr>
                <w:rFonts w:ascii="宋体" w:hAnsi="宋体"/>
              </w:rPr>
              <w:t>主要测试网络吞吐量，网络的使用频度与带宽占用。</w:t>
            </w:r>
          </w:p>
        </w:tc>
        <w:tc>
          <w:tcPr>
            <w:tcW w:w="1326" w:type="dxa"/>
            <w:vMerge w:val="continue"/>
            <w:shd w:val="clear" w:color="auto" w:fill="auto"/>
            <w:vAlign w:val="center"/>
          </w:tcPr>
          <w:p w14:paraId="26D170E1">
            <w:pPr>
              <w:pStyle w:val="264"/>
              <w:spacing w:before="156"/>
              <w:ind w:firstLine="0" w:firstLineChars="0"/>
              <w:rPr>
                <w:rFonts w:ascii="宋体" w:hAnsi="宋体"/>
              </w:rPr>
            </w:pPr>
          </w:p>
        </w:tc>
      </w:tr>
    </w:tbl>
    <w:p w14:paraId="54E22F1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p>
    <w:p w14:paraId="7874B74E">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软件测试执行过程中，通常包括如下关键过程：</w:t>
      </w:r>
    </w:p>
    <w:p w14:paraId="7BE101ED">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（1）测试准备</w:t>
      </w:r>
      <w:r>
        <w:rPr>
          <w:rFonts w:hint="eastAsia" w:ascii="宋体" w:hAnsi="宋体" w:eastAsia="宋体" w:cs="宋体"/>
          <w:sz w:val="24"/>
          <w:szCs w:val="24"/>
          <w:lang w:val="en-US"/>
        </w:rPr>
        <w:t>：收集测试所需的各类文件材料，根据系统设计文档、软件开发合同、合同附件和合同变更过程中产生的各类功能点确定软件测试需求，对被测对象、测试范围、测试级别、测试类型、测评内容、测评进度、测评质量控制、结束条件、测评资料、风险等进行分析。确定测试策略和测评采用的软件问题分类方法，如未满足需求、设计缺陷、程序错误、文档错误、其他问题等，对每类问题给出定义，确定软件问题严重性分类方法，如致命、严重、一般、轻微等，并说明每一个等级的划分标准。根据项目招标书、委托书、合同或其他等效文件的要求，确定被测软件满足项目建设要求。明确测评工作正常结束和中止的条件。从技术、管理、资源等方面对项目的风险进行分析，并提出相应的应对措施。建立测评计划制定结果与测评依据的追踪关系，以证明测评策划确定的结果是合适和充分的，能够满足要求。</w:t>
      </w:r>
    </w:p>
    <w:p w14:paraId="0605F0CA">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（2）方案编制、测试设计</w:t>
      </w:r>
      <w:r>
        <w:rPr>
          <w:rFonts w:hint="eastAsia" w:ascii="宋体" w:hAnsi="宋体" w:eastAsia="宋体" w:cs="宋体"/>
          <w:sz w:val="24"/>
          <w:szCs w:val="24"/>
          <w:lang w:val="en-US"/>
        </w:rPr>
        <w:t>：根据测试需求编制开发软件测试方案并提交采购人确认，依据测试需求及实际系统进行用例设计，编制测试用例。</w:t>
      </w:r>
    </w:p>
    <w:p w14:paraId="3C6C7448">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（3）测试执行、提交缺陷：</w:t>
      </w:r>
      <w:r>
        <w:rPr>
          <w:rFonts w:hint="eastAsia" w:ascii="宋体" w:hAnsi="宋体" w:eastAsia="宋体" w:cs="宋体"/>
          <w:sz w:val="24"/>
          <w:szCs w:val="24"/>
          <w:lang w:val="en-US"/>
        </w:rPr>
        <w:t>测评工程师依据经确认后的测试方案严格执行经过内部审核的测试用例，并记录测试过程中发生的缺陷；完成一轮测试后生成问题报告及缺陷列表，并进行内部评审确认。</w:t>
      </w:r>
    </w:p>
    <w:p w14:paraId="0CF06B19">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（4）回归测试：</w:t>
      </w:r>
      <w:r>
        <w:rPr>
          <w:rFonts w:hint="eastAsia" w:ascii="宋体" w:hAnsi="宋体" w:eastAsia="宋体" w:cs="宋体"/>
          <w:sz w:val="24"/>
          <w:szCs w:val="24"/>
          <w:lang w:val="en-US"/>
        </w:rPr>
        <w:t>系统修复后，根据提交的问题报告及缺陷列表进行回归测试，并记录测试结果。</w:t>
      </w:r>
    </w:p>
    <w:p w14:paraId="5CDF7829">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宋体"/>
          <w:sz w:val="24"/>
          <w:szCs w:val="24"/>
          <w:lang w:val="en-US"/>
        </w:rPr>
      </w:pPr>
      <w:r>
        <w:rPr>
          <w:rFonts w:hint="eastAsia" w:ascii="楷体" w:hAnsi="楷体" w:eastAsia="楷体" w:cs="楷体"/>
          <w:sz w:val="24"/>
          <w:szCs w:val="24"/>
          <w:lang w:val="en-US"/>
        </w:rPr>
        <w:t>（5）分析及报告编制：</w:t>
      </w:r>
      <w:r>
        <w:rPr>
          <w:rFonts w:hint="eastAsia" w:ascii="宋体" w:hAnsi="宋体" w:eastAsia="宋体" w:cs="宋体"/>
          <w:sz w:val="24"/>
          <w:szCs w:val="24"/>
          <w:lang w:val="en-US"/>
        </w:rPr>
        <w:t>在测试结束后，对全部测试结果进行汇总分析，形成软件测试结论，产出《软件测试报告》。</w:t>
      </w:r>
    </w:p>
    <w:p w14:paraId="507DFE93">
      <w:pPr>
        <w:keepNext w:val="0"/>
        <w:keepLines w:val="0"/>
        <w:pageBreakBefore w:val="0"/>
        <w:widowControl w:val="0"/>
        <w:kinsoku/>
        <w:wordWrap/>
        <w:overflowPunct/>
        <w:topLinePunct w:val="0"/>
        <w:autoSpaceDE w:val="0"/>
        <w:autoSpaceDN w:val="0"/>
        <w:bidi w:val="0"/>
        <w:adjustRightInd/>
        <w:snapToGrid/>
        <w:spacing w:before="316" w:beforeLines="100" w:line="300" w:lineRule="auto"/>
        <w:ind w:left="0" w:right="0" w:firstLine="480" w:firstLineChars="200"/>
        <w:jc w:val="left"/>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三</w:t>
      </w:r>
      <w:r>
        <w:rPr>
          <w:rFonts w:hint="eastAsia" w:ascii="黑体" w:hAnsi="黑体" w:eastAsia="黑体" w:cs="黑体"/>
          <w:sz w:val="24"/>
          <w:szCs w:val="24"/>
        </w:rPr>
        <w:t>、</w:t>
      </w:r>
      <w:r>
        <w:rPr>
          <w:rFonts w:hint="eastAsia" w:ascii="黑体" w:hAnsi="黑体" w:eastAsia="黑体" w:cs="黑体"/>
          <w:sz w:val="24"/>
          <w:szCs w:val="24"/>
          <w:lang w:val="en-US"/>
        </w:rPr>
        <w:t>管理要求</w:t>
      </w:r>
    </w:p>
    <w:p w14:paraId="0EC5D9D0">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服务过程中应遵守以下管理要求：</w:t>
      </w:r>
    </w:p>
    <w:p w14:paraId="1AABE04D">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1、</w:t>
      </w:r>
      <w:r>
        <w:rPr>
          <w:sz w:val="24"/>
          <w:szCs w:val="24"/>
          <w:lang w:val="en-US"/>
        </w:rPr>
        <w:t>依据标准，遵循原则</w:t>
      </w:r>
    </w:p>
    <w:p w14:paraId="6523B814">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等级测评实施应依据等级保护的相关技术标准进行。相关技术标准主要包括</w:t>
      </w:r>
      <w:r>
        <w:rPr>
          <w:rFonts w:hint="eastAsia"/>
          <w:sz w:val="24"/>
          <w:szCs w:val="24"/>
          <w:lang w:val="en-US"/>
        </w:rPr>
        <w:t>GB/T-28448、GB/T-28449</w:t>
      </w:r>
      <w:r>
        <w:rPr>
          <w:sz w:val="24"/>
          <w:szCs w:val="24"/>
          <w:lang w:val="en-US"/>
        </w:rPr>
        <w:t>，其中等级测评目标和内容应依据</w:t>
      </w:r>
      <w:r>
        <w:rPr>
          <w:rFonts w:hint="eastAsia"/>
          <w:sz w:val="24"/>
          <w:szCs w:val="24"/>
          <w:lang w:val="en-US"/>
        </w:rPr>
        <w:t>GB/T-28449</w:t>
      </w:r>
      <w:r>
        <w:rPr>
          <w:sz w:val="24"/>
          <w:szCs w:val="24"/>
          <w:lang w:val="en-US"/>
        </w:rPr>
        <w:t>，对具体测评项的测评实施方法则依据</w:t>
      </w:r>
      <w:r>
        <w:rPr>
          <w:rFonts w:hint="eastAsia"/>
          <w:sz w:val="24"/>
          <w:szCs w:val="24"/>
          <w:lang w:val="en-US"/>
        </w:rPr>
        <w:t>GB/T-28448</w:t>
      </w:r>
      <w:r>
        <w:rPr>
          <w:sz w:val="24"/>
          <w:szCs w:val="24"/>
          <w:lang w:val="en-US"/>
        </w:rPr>
        <w:t>。在等级测评实施活动中，应遵循客观性和公正性、经济性和可重用性、可重复性和可再现性、结果完善性的原则，保证测评工作公正、科学、合理和完善。</w:t>
      </w:r>
    </w:p>
    <w:p w14:paraId="6799E5D9">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2、</w:t>
      </w:r>
      <w:r>
        <w:rPr>
          <w:sz w:val="24"/>
          <w:szCs w:val="24"/>
          <w:lang w:val="en-US"/>
        </w:rPr>
        <w:t>恰当选取，保证强度</w:t>
      </w:r>
    </w:p>
    <w:p w14:paraId="084DF45A">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恰当选取是指对具体测评对象的选择要恰当，既要避免重要的对象、可能存在安全隐患的对象没有被选择，也要避免过多选择，使得工作量增大。保证强度是指对被测定级对象应实施与其等级相适应的测评强度。</w:t>
      </w:r>
    </w:p>
    <w:p w14:paraId="5E6987E4">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rFonts w:hint="eastAsia"/>
          <w:sz w:val="24"/>
          <w:szCs w:val="24"/>
          <w:lang w:val="en-US"/>
        </w:rPr>
        <w:t>3、</w:t>
      </w:r>
      <w:r>
        <w:rPr>
          <w:sz w:val="24"/>
          <w:szCs w:val="24"/>
          <w:lang w:val="en-US"/>
        </w:rPr>
        <w:t>规范行为，规避风险</w:t>
      </w:r>
    </w:p>
    <w:p w14:paraId="43D4B327">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sz w:val="24"/>
          <w:szCs w:val="24"/>
          <w:lang w:val="en-US"/>
        </w:rPr>
      </w:pPr>
      <w:r>
        <w:rPr>
          <w:sz w:val="24"/>
          <w:szCs w:val="24"/>
          <w:lang w:val="en-US"/>
        </w:rPr>
        <w:t>测评机构实施等级测评的过程应规范，包括：制定内部保密制度；制定过程控制制度；规定相关文档评审流程；指定专人负责保管等级测评的归档文件等。 测评人员的行为应规范，包括：测评人员进入现场佩戴工作牌；使用测评专用的电脑和工具；严格按照测评指导书使用规范的测评技术进行测评；准确记录测评证据；不擅自评价测评结果；不将测评结果复制给非测评人员；涉及到测评委托单位的工作秘密或敏感信息的相关资料，只在指定场所查看，查看完成后立即归还等。规避风险，是指要充分估计测评可能给被测定级对象带来的影响，向被测定级对象运营／使用单位揭示风险，要求其提前采取预防措施进行规避。同时，测评机构也应采取与测评委托单位签署委托测评协议、保密协议、现场测评授权书、要求测评委托单位进行系统备份、规范测评活动、及时与测评委托单位沟通等措施规避风险，尽量避免给被测定级对象和单位带来影响。</w:t>
      </w:r>
    </w:p>
    <w:p w14:paraId="7F04BAF1">
      <w:pPr>
        <w:keepNext w:val="0"/>
        <w:keepLines w:val="0"/>
        <w:pageBreakBefore w:val="0"/>
        <w:widowControl w:val="0"/>
        <w:kinsoku/>
        <w:wordWrap/>
        <w:overflowPunct/>
        <w:topLinePunct w:val="0"/>
        <w:autoSpaceDE w:val="0"/>
        <w:autoSpaceDN w:val="0"/>
        <w:bidi w:val="0"/>
        <w:adjustRightInd/>
        <w:snapToGrid/>
        <w:spacing w:before="316" w:beforeLines="100" w:line="300" w:lineRule="auto"/>
        <w:ind w:left="0" w:right="0" w:firstLine="480" w:firstLineChars="200"/>
        <w:jc w:val="left"/>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四</w:t>
      </w:r>
      <w:r>
        <w:rPr>
          <w:rFonts w:hint="eastAsia" w:ascii="黑体" w:hAnsi="黑体" w:eastAsia="黑体" w:cs="黑体"/>
          <w:sz w:val="24"/>
          <w:szCs w:val="24"/>
        </w:rPr>
        <w:t>、</w:t>
      </w:r>
      <w:r>
        <w:rPr>
          <w:rFonts w:hint="eastAsia" w:ascii="黑体" w:hAnsi="黑体" w:eastAsia="黑体" w:cs="黑体"/>
          <w:sz w:val="24"/>
          <w:szCs w:val="24"/>
          <w:lang w:val="en-US"/>
        </w:rPr>
        <w:t>人员要求</w:t>
      </w:r>
    </w:p>
    <w:p w14:paraId="2A22398B">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测评实施人员最少安排1名高级等保测评师、2名中级测等保评师、5名初级等保测评师及软件测试工程师2名</w:t>
      </w:r>
    </w:p>
    <w:p w14:paraId="7D166A54">
      <w:pPr>
        <w:keepNext w:val="0"/>
        <w:keepLines w:val="0"/>
        <w:pageBreakBefore w:val="0"/>
        <w:widowControl w:val="0"/>
        <w:kinsoku/>
        <w:wordWrap/>
        <w:overflowPunct/>
        <w:topLinePunct w:val="0"/>
        <w:autoSpaceDE w:val="0"/>
        <w:autoSpaceDN w:val="0"/>
        <w:bidi w:val="0"/>
        <w:adjustRightInd/>
        <w:snapToGrid/>
        <w:spacing w:before="316" w:beforeLines="100" w:line="300" w:lineRule="auto"/>
        <w:ind w:left="0" w:right="0" w:firstLine="480" w:firstLineChars="200"/>
        <w:jc w:val="left"/>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五</w:t>
      </w:r>
      <w:r>
        <w:rPr>
          <w:rFonts w:hint="eastAsia" w:ascii="黑体" w:hAnsi="黑体" w:eastAsia="黑体" w:cs="黑体"/>
          <w:sz w:val="24"/>
          <w:szCs w:val="24"/>
          <w:lang w:val="en-US"/>
        </w:rPr>
        <w:t>、验收要求</w:t>
      </w:r>
    </w:p>
    <w:p w14:paraId="10D48EE5">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default" w:eastAsia="宋体"/>
          <w:sz w:val="24"/>
          <w:szCs w:val="24"/>
          <w:lang w:val="en-US" w:eastAsia="zh-CN"/>
        </w:rPr>
      </w:pPr>
      <w:r>
        <w:rPr>
          <w:rFonts w:hint="eastAsia"/>
          <w:sz w:val="24"/>
          <w:szCs w:val="24"/>
          <w:lang w:val="en-US"/>
        </w:rPr>
        <w:t xml:space="preserve">验收主体： </w:t>
      </w:r>
      <w:r>
        <w:rPr>
          <w:rFonts w:hint="eastAsia"/>
          <w:sz w:val="24"/>
          <w:szCs w:val="24"/>
          <w:lang w:val="en-US" w:eastAsia="zh-CN"/>
        </w:rPr>
        <w:t>海南省电化教育馆</w:t>
      </w:r>
    </w:p>
    <w:p w14:paraId="5136B743">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验收时间：合同约定的服务期结束前</w:t>
      </w:r>
    </w:p>
    <w:p w14:paraId="797D79D8">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验收方式：现场验收</w:t>
      </w:r>
    </w:p>
    <w:p w14:paraId="3045A249">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验收程序：提交验收申请-材料审查-验收评审</w:t>
      </w:r>
    </w:p>
    <w:p w14:paraId="1123AB88">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验收内容和验收标准：</w:t>
      </w:r>
    </w:p>
    <w:p w14:paraId="122A4768">
      <w:pPr>
        <w:pStyle w:val="156"/>
        <w:keepNext w:val="0"/>
        <w:keepLines w:val="0"/>
        <w:pageBreakBefore w:val="0"/>
        <w:widowControl w:val="0"/>
        <w:kinsoku/>
        <w:wordWrap/>
        <w:overflowPunct/>
        <w:topLinePunct w:val="0"/>
        <w:autoSpaceDE w:val="0"/>
        <w:autoSpaceDN w:val="0"/>
        <w:bidi w:val="0"/>
        <w:adjustRightInd/>
        <w:snapToGrid/>
        <w:spacing w:line="300" w:lineRule="auto"/>
        <w:ind w:firstLine="560"/>
        <w:textAlignment w:val="auto"/>
        <w:rPr>
          <w:rFonts w:hint="eastAsia" w:cs="Times New Roman"/>
          <w:sz w:val="24"/>
          <w:szCs w:val="24"/>
        </w:rPr>
      </w:pPr>
      <w:r>
        <w:rPr>
          <w:rFonts w:cs="Times New Roman"/>
          <w:sz w:val="24"/>
          <w:szCs w:val="24"/>
        </w:rPr>
        <w:t>1．服务验收清单</w:t>
      </w:r>
    </w:p>
    <w:p w14:paraId="3F7A51BA">
      <w:pPr>
        <w:keepNext w:val="0"/>
        <w:keepLines w:val="0"/>
        <w:pageBreakBefore w:val="0"/>
        <w:widowControl w:val="0"/>
        <w:kinsoku/>
        <w:wordWrap/>
        <w:overflowPunct/>
        <w:topLinePunct w:val="0"/>
        <w:autoSpaceDE w:val="0"/>
        <w:autoSpaceDN w:val="0"/>
        <w:bidi w:val="0"/>
        <w:adjustRightInd/>
        <w:snapToGrid/>
        <w:spacing w:line="300" w:lineRule="auto"/>
        <w:ind w:firstLine="480" w:firstLineChars="200"/>
        <w:textAlignment w:val="auto"/>
        <w:rPr>
          <w:rFonts w:hint="eastAsia" w:cs="Times New Roman"/>
          <w:sz w:val="24"/>
          <w:szCs w:val="24"/>
        </w:rPr>
      </w:pPr>
      <w:r>
        <w:rPr>
          <w:rFonts w:cs="Times New Roman"/>
          <w:sz w:val="24"/>
          <w:szCs w:val="24"/>
        </w:rPr>
        <w:t>2．服务考核指标</w:t>
      </w:r>
    </w:p>
    <w:p w14:paraId="67B94C78">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p>
    <w:p w14:paraId="5DCCEF78">
      <w:pPr>
        <w:keepNext w:val="0"/>
        <w:keepLines w:val="0"/>
        <w:pageBreakBefore w:val="0"/>
        <w:widowControl w:val="0"/>
        <w:kinsoku/>
        <w:wordWrap/>
        <w:overflowPunct/>
        <w:topLinePunct w:val="0"/>
        <w:autoSpaceDE w:val="0"/>
        <w:autoSpaceDN w:val="0"/>
        <w:bidi w:val="0"/>
        <w:adjustRightInd/>
        <w:snapToGrid/>
        <w:spacing w:before="316" w:beforeLines="100" w:line="300" w:lineRule="auto"/>
        <w:ind w:left="0" w:right="0" w:firstLine="480" w:firstLineChars="200"/>
        <w:jc w:val="left"/>
        <w:textAlignment w:val="auto"/>
        <w:outlineLvl w:val="9"/>
        <w:rPr>
          <w:rFonts w:hint="eastAsia" w:ascii="黑体" w:hAnsi="黑体" w:eastAsia="黑体" w:cs="黑体"/>
          <w:sz w:val="24"/>
          <w:szCs w:val="24"/>
          <w:lang w:val="en-US"/>
        </w:rPr>
      </w:pPr>
      <w:r>
        <w:rPr>
          <w:rFonts w:hint="eastAsia" w:ascii="黑体" w:hAnsi="黑体" w:eastAsia="黑体" w:cs="黑体"/>
          <w:sz w:val="24"/>
          <w:szCs w:val="24"/>
          <w:lang w:val="en-US" w:eastAsia="zh-CN"/>
        </w:rPr>
        <w:t>六</w:t>
      </w:r>
      <w:r>
        <w:rPr>
          <w:rFonts w:hint="eastAsia" w:ascii="黑体" w:hAnsi="黑体" w:eastAsia="黑体" w:cs="黑体"/>
          <w:sz w:val="24"/>
          <w:szCs w:val="24"/>
          <w:lang w:val="en-US"/>
        </w:rPr>
        <w:t>、信息安全及保密要求</w:t>
      </w:r>
    </w:p>
    <w:p w14:paraId="2B3595CF">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1、供应商应签订保密协议，对其因身份、职务、职业或技术关系而知悉的采购人商业秘密和党政机关保密信息应严格保守，保证不被披露或使用，包括意外或过失。</w:t>
      </w:r>
    </w:p>
    <w:p w14:paraId="3790AFBC">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 xml:space="preserve">2、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供应商在从事政府项目时，不得擅自记录、复制、拍摄、摘抄、收藏在工作中涉及的保密信息，严禁将涉及政府项目的任何资料、数据透露或以其他方式提供给项目以外的其他方或供应商内部与该项目无关的任何人员。 </w:t>
      </w:r>
    </w:p>
    <w:p w14:paraId="0F55156E">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 xml:space="preserve">3、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5FBEEAD5">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4、严禁泄露在工作中接触到的政府机关科技研究、发明、装备器材及其技术资料和政府工作信息。</w:t>
      </w:r>
    </w:p>
    <w:p w14:paraId="0228BE02">
      <w:pPr>
        <w:pStyle w:val="89"/>
        <w:keepNext w:val="0"/>
        <w:keepLines w:val="0"/>
        <w:pageBreakBefore w:val="0"/>
        <w:widowControl w:val="0"/>
        <w:tabs>
          <w:tab w:val="left" w:pos="313"/>
          <w:tab w:val="left" w:pos="3300"/>
        </w:tabs>
        <w:kinsoku/>
        <w:wordWrap/>
        <w:overflowPunct/>
        <w:topLinePunct w:val="0"/>
        <w:autoSpaceDE w:val="0"/>
        <w:autoSpaceDN w:val="0"/>
        <w:bidi w:val="0"/>
        <w:adjustRightInd/>
        <w:snapToGrid/>
        <w:spacing w:before="0" w:line="300" w:lineRule="auto"/>
        <w:ind w:left="0" w:firstLine="0"/>
        <w:textAlignment w:val="auto"/>
        <w:rPr>
          <w:rFonts w:hint="eastAsia"/>
          <w:sz w:val="24"/>
          <w:szCs w:val="24"/>
          <w:lang w:val="en-US"/>
        </w:rPr>
      </w:pPr>
      <w:r>
        <w:rPr>
          <w:rFonts w:hint="eastAsia"/>
          <w:sz w:val="24"/>
          <w:szCs w:val="24"/>
          <w:lang w:val="en-US"/>
        </w:rPr>
        <w:t>5、供应商所有参与本项目的服务人员必须严格遵守保密守则，不得向其它公司和人员泄露被维护系统的任何技术资料和业务资料，尤其是网络结构、配置情况、服务器的密码等关键的技术资料，违反者将严肃处理，如因此造成业主经济损失或名誉损失的，保留追究供应商和相关责任人法律责任的权利。</w:t>
      </w:r>
    </w:p>
    <w:p w14:paraId="3B539E37">
      <w:pPr>
        <w:adjustRightInd w:val="0"/>
        <w:snapToGrid w:val="0"/>
        <w:spacing w:line="300" w:lineRule="auto"/>
        <w:ind w:firstLine="480" w:firstLineChars="200"/>
        <w:rPr>
          <w:rFonts w:hint="eastAsia" w:ascii="宋体"/>
          <w:kern w:val="0"/>
          <w:sz w:val="24"/>
        </w:rPr>
      </w:pPr>
    </w:p>
    <w:p w14:paraId="783BD322">
      <w:pPr>
        <w:adjustRightInd w:val="0"/>
        <w:snapToGrid w:val="0"/>
        <w:spacing w:line="300" w:lineRule="auto"/>
        <w:ind w:firstLine="480" w:firstLineChars="200"/>
        <w:rPr>
          <w:rFonts w:hint="eastAsia" w:ascii="宋体"/>
          <w:kern w:val="0"/>
          <w:sz w:val="24"/>
        </w:rPr>
      </w:pPr>
    </w:p>
    <w:p w14:paraId="2B4702E8">
      <w:pPr>
        <w:adjustRightInd w:val="0"/>
        <w:snapToGrid w:val="0"/>
        <w:spacing w:line="300" w:lineRule="auto"/>
        <w:ind w:firstLine="480" w:firstLineChars="200"/>
        <w:rPr>
          <w:rFonts w:hint="eastAsia" w:ascii="宋体"/>
          <w:kern w:val="0"/>
          <w:sz w:val="24"/>
        </w:rPr>
      </w:pPr>
    </w:p>
    <w:p w14:paraId="4A73E0F5">
      <w:pPr>
        <w:adjustRightInd w:val="0"/>
        <w:snapToGrid w:val="0"/>
        <w:spacing w:line="300" w:lineRule="auto"/>
        <w:ind w:firstLine="480" w:firstLineChars="200"/>
        <w:rPr>
          <w:rFonts w:hint="eastAsia" w:ascii="宋体"/>
          <w:kern w:val="0"/>
          <w:sz w:val="24"/>
        </w:rPr>
      </w:pPr>
    </w:p>
    <w:p w14:paraId="2EB7B88D">
      <w:pPr>
        <w:adjustRightInd w:val="0"/>
        <w:snapToGrid w:val="0"/>
        <w:spacing w:line="300" w:lineRule="auto"/>
        <w:ind w:firstLine="480" w:firstLineChars="200"/>
        <w:rPr>
          <w:rFonts w:hint="eastAsia" w:ascii="宋体"/>
          <w:kern w:val="0"/>
          <w:sz w:val="24"/>
        </w:rPr>
      </w:pPr>
    </w:p>
    <w:p w14:paraId="2D5D20D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ascii="宋体" w:hAnsi="宋体"/>
          <w:b/>
          <w:kern w:val="0"/>
          <w:sz w:val="32"/>
        </w:rPr>
      </w:pPr>
      <w:r>
        <w:rPr>
          <w:rFonts w:hint="eastAsia" w:ascii="宋体" w:hAnsi="宋体"/>
          <w:b/>
          <w:kern w:val="0"/>
          <w:sz w:val="32"/>
        </w:rPr>
        <w:t xml:space="preserve">第三部分 </w:t>
      </w:r>
      <w:r>
        <w:rPr>
          <w:rFonts w:hint="eastAsia" w:ascii="宋体" w:hAnsi="宋体"/>
          <w:b/>
          <w:kern w:val="0"/>
          <w:sz w:val="32"/>
          <w:lang w:val="en-US" w:eastAsia="zh-CN"/>
        </w:rPr>
        <w:t xml:space="preserve">  </w:t>
      </w:r>
      <w:r>
        <w:rPr>
          <w:rFonts w:hint="eastAsia" w:ascii="宋体" w:hAnsi="宋体"/>
          <w:b/>
          <w:kern w:val="0"/>
          <w:sz w:val="32"/>
        </w:rPr>
        <w:t>供应商须知</w:t>
      </w:r>
    </w:p>
    <w:p w14:paraId="21C3446F">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一、说明</w:t>
      </w:r>
    </w:p>
    <w:p w14:paraId="5A6FA5AD">
      <w:pPr>
        <w:adjustRightInd w:val="0"/>
        <w:snapToGrid w:val="0"/>
        <w:spacing w:line="36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3883CCB">
      <w:pPr>
        <w:adjustRightInd w:val="0"/>
        <w:snapToGrid w:val="0"/>
        <w:spacing w:line="360" w:lineRule="auto"/>
        <w:ind w:firstLine="588" w:firstLineChars="245"/>
        <w:rPr>
          <w:rFonts w:ascii="宋体"/>
          <w:kern w:val="0"/>
          <w:sz w:val="24"/>
        </w:rPr>
      </w:pPr>
      <w:r>
        <w:rPr>
          <w:rFonts w:hint="eastAsia" w:ascii="宋体"/>
          <w:kern w:val="0"/>
          <w:sz w:val="24"/>
        </w:rPr>
        <w:t>2、合格的供应商</w:t>
      </w:r>
    </w:p>
    <w:p w14:paraId="794AA528">
      <w:pPr>
        <w:adjustRightInd w:val="0"/>
        <w:snapToGrid w:val="0"/>
        <w:spacing w:line="36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18880109">
      <w:pPr>
        <w:adjustRightInd w:val="0"/>
        <w:snapToGrid w:val="0"/>
        <w:spacing w:line="360" w:lineRule="auto"/>
        <w:ind w:firstLine="588" w:firstLineChars="245"/>
        <w:rPr>
          <w:rFonts w:ascii="宋体"/>
          <w:color w:val="000000"/>
          <w:kern w:val="0"/>
          <w:sz w:val="24"/>
        </w:rPr>
      </w:pPr>
      <w:r>
        <w:rPr>
          <w:rFonts w:hint="eastAsia" w:ascii="宋体"/>
          <w:color w:val="000000"/>
          <w:kern w:val="0"/>
          <w:sz w:val="24"/>
        </w:rPr>
        <w:t>2.2本项目不接受联合体投标</w:t>
      </w:r>
    </w:p>
    <w:p w14:paraId="30D57580">
      <w:pPr>
        <w:adjustRightInd w:val="0"/>
        <w:snapToGrid w:val="0"/>
        <w:spacing w:line="36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165B98A7">
      <w:pPr>
        <w:adjustRightInd w:val="0"/>
        <w:snapToGrid w:val="0"/>
        <w:spacing w:line="36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46E2B9DD">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二、磋商文件</w:t>
      </w:r>
    </w:p>
    <w:p w14:paraId="2CDC686C">
      <w:pPr>
        <w:adjustRightInd w:val="0"/>
        <w:snapToGrid w:val="0"/>
        <w:spacing w:line="360" w:lineRule="auto"/>
        <w:ind w:firstLine="480" w:firstLineChars="200"/>
        <w:rPr>
          <w:rFonts w:hint="eastAsia" w:ascii="楷体" w:hAnsi="楷体" w:eastAsia="楷体" w:cs="楷体"/>
          <w:kern w:val="0"/>
          <w:sz w:val="24"/>
          <w:lang w:val="en-US" w:eastAsia="zh-CN"/>
        </w:rPr>
      </w:pPr>
      <w:r>
        <w:rPr>
          <w:rFonts w:hint="eastAsia" w:ascii="楷体" w:hAnsi="楷体" w:eastAsia="楷体" w:cs="楷体"/>
          <w:kern w:val="0"/>
          <w:sz w:val="24"/>
        </w:rPr>
        <w:t>（一）磋商文件</w:t>
      </w:r>
      <w:r>
        <w:rPr>
          <w:rFonts w:hint="eastAsia" w:ascii="楷体" w:hAnsi="楷体" w:eastAsia="楷体" w:cs="楷体"/>
          <w:kern w:val="0"/>
          <w:sz w:val="24"/>
          <w:lang w:val="en-US" w:eastAsia="zh-CN"/>
        </w:rPr>
        <w:t>说明</w:t>
      </w:r>
    </w:p>
    <w:p w14:paraId="199A610E">
      <w:pPr>
        <w:adjustRightInd w:val="0"/>
        <w:snapToGrid w:val="0"/>
        <w:spacing w:line="360" w:lineRule="auto"/>
        <w:ind w:firstLine="480" w:firstLineChars="200"/>
        <w:rPr>
          <w:rFonts w:ascii="宋体"/>
          <w:kern w:val="0"/>
          <w:sz w:val="24"/>
        </w:rPr>
      </w:pPr>
      <w:r>
        <w:rPr>
          <w:rFonts w:hint="eastAsia" w:ascii="宋体"/>
          <w:kern w:val="0"/>
          <w:sz w:val="24"/>
          <w:lang w:val="en-US" w:eastAsia="zh-CN"/>
        </w:rPr>
        <w:t>磋商文件</w:t>
      </w:r>
      <w:r>
        <w:rPr>
          <w:rFonts w:hint="eastAsia" w:ascii="宋体"/>
          <w:kern w:val="0"/>
          <w:sz w:val="24"/>
        </w:rPr>
        <w:t>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1315A02C">
      <w:pPr>
        <w:adjustRightInd w:val="0"/>
        <w:snapToGrid w:val="0"/>
        <w:spacing w:line="360" w:lineRule="auto"/>
        <w:ind w:firstLine="480" w:firstLineChars="200"/>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5A133DA">
      <w:pPr>
        <w:adjustRightInd w:val="0"/>
        <w:snapToGrid w:val="0"/>
        <w:spacing w:line="360" w:lineRule="auto"/>
        <w:ind w:firstLine="480" w:firstLineChars="2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4C47CCEA">
      <w:pPr>
        <w:adjustRightInd w:val="0"/>
        <w:snapToGrid w:val="0"/>
        <w:spacing w:line="360" w:lineRule="auto"/>
        <w:ind w:firstLine="480" w:firstLineChars="2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0F7D30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（二）磋商文件的质疑</w:t>
      </w:r>
    </w:p>
    <w:p w14:paraId="7DF29E0E">
      <w:pPr>
        <w:adjustRightInd w:val="0"/>
        <w:snapToGrid w:val="0"/>
        <w:spacing w:line="36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12F66199">
      <w:pPr>
        <w:spacing w:line="360" w:lineRule="auto"/>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B7BEEFE">
      <w:pPr>
        <w:spacing w:line="360" w:lineRule="auto"/>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F5E9F64">
      <w:pPr>
        <w:spacing w:line="360" w:lineRule="auto"/>
        <w:ind w:firstLine="480" w:firstLineChars="200"/>
        <w:rPr>
          <w:rFonts w:ascii="宋体" w:hAnsi="宋体"/>
          <w:sz w:val="24"/>
        </w:rPr>
      </w:pPr>
      <w:r>
        <w:rPr>
          <w:rFonts w:hint="eastAsia" w:ascii="宋体" w:hAnsi="宋体"/>
          <w:sz w:val="24"/>
        </w:rPr>
        <w:t>3.1供应商的姓名或者名称、地址、邮编、联系人及联系电话；</w:t>
      </w:r>
    </w:p>
    <w:p w14:paraId="56C1902B">
      <w:pPr>
        <w:spacing w:line="360" w:lineRule="auto"/>
        <w:ind w:firstLine="480" w:firstLineChars="200"/>
        <w:rPr>
          <w:rFonts w:ascii="宋体" w:hAnsi="宋体"/>
          <w:sz w:val="24"/>
        </w:rPr>
      </w:pPr>
      <w:r>
        <w:rPr>
          <w:rFonts w:hint="eastAsia" w:ascii="宋体" w:hAnsi="宋体"/>
          <w:sz w:val="24"/>
        </w:rPr>
        <w:t>3.2质疑项目的名称、编号；</w:t>
      </w:r>
    </w:p>
    <w:p w14:paraId="18390249">
      <w:pPr>
        <w:spacing w:line="360" w:lineRule="auto"/>
        <w:ind w:firstLine="480" w:firstLineChars="200"/>
        <w:rPr>
          <w:rFonts w:ascii="宋体" w:hAnsi="宋体"/>
          <w:sz w:val="24"/>
        </w:rPr>
      </w:pPr>
      <w:r>
        <w:rPr>
          <w:rFonts w:hint="eastAsia" w:ascii="宋体" w:hAnsi="宋体"/>
          <w:sz w:val="24"/>
        </w:rPr>
        <w:t>3.3具体、明确的质疑事项和与质疑事项相关的请求；</w:t>
      </w:r>
    </w:p>
    <w:p w14:paraId="08332E2D">
      <w:pPr>
        <w:spacing w:line="360" w:lineRule="auto"/>
        <w:ind w:firstLine="480" w:firstLineChars="200"/>
        <w:rPr>
          <w:rFonts w:ascii="宋体" w:hAnsi="宋体"/>
          <w:sz w:val="24"/>
        </w:rPr>
      </w:pPr>
      <w:r>
        <w:rPr>
          <w:rFonts w:hint="eastAsia" w:ascii="宋体" w:hAnsi="宋体"/>
          <w:sz w:val="24"/>
        </w:rPr>
        <w:t>3.4事实依据；</w:t>
      </w:r>
    </w:p>
    <w:p w14:paraId="0989701D">
      <w:pPr>
        <w:spacing w:line="360" w:lineRule="auto"/>
        <w:ind w:firstLine="480" w:firstLineChars="200"/>
        <w:rPr>
          <w:rFonts w:ascii="宋体" w:hAnsi="宋体"/>
          <w:sz w:val="24"/>
        </w:rPr>
      </w:pPr>
      <w:r>
        <w:rPr>
          <w:rFonts w:hint="eastAsia" w:ascii="宋体" w:hAnsi="宋体"/>
          <w:sz w:val="24"/>
        </w:rPr>
        <w:t>3.5必要的法律依据；</w:t>
      </w:r>
    </w:p>
    <w:p w14:paraId="7C5CD33F">
      <w:pPr>
        <w:spacing w:line="360" w:lineRule="auto"/>
        <w:ind w:firstLine="480" w:firstLineChars="200"/>
        <w:rPr>
          <w:rFonts w:ascii="宋体" w:hAnsi="宋体"/>
          <w:sz w:val="24"/>
        </w:rPr>
      </w:pPr>
      <w:r>
        <w:rPr>
          <w:rFonts w:hint="eastAsia" w:ascii="宋体" w:hAnsi="宋体"/>
          <w:sz w:val="24"/>
        </w:rPr>
        <w:t>3.6提出质疑的日期。</w:t>
      </w:r>
    </w:p>
    <w:p w14:paraId="13B3EB31">
      <w:pPr>
        <w:spacing w:line="360" w:lineRule="auto"/>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53F51F31">
      <w:pPr>
        <w:spacing w:line="360" w:lineRule="auto"/>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55ED130">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01BBE27">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（三）磋商文件的澄清或者修改</w:t>
      </w:r>
    </w:p>
    <w:p w14:paraId="3CD4800E">
      <w:pPr>
        <w:adjustRightInd w:val="0"/>
        <w:snapToGrid w:val="0"/>
        <w:spacing w:line="36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1819AB7">
      <w:pPr>
        <w:adjustRightInd w:val="0"/>
        <w:snapToGrid w:val="0"/>
        <w:spacing w:line="36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8B74EFF">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三、响应文件</w:t>
      </w:r>
    </w:p>
    <w:p w14:paraId="48B951E2">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w:t>
      </w:r>
      <w:r>
        <w:rPr>
          <w:rFonts w:hint="eastAsia" w:ascii="楷体" w:hAnsi="楷体" w:eastAsia="楷体" w:cs="楷体"/>
          <w:sz w:val="24"/>
          <w:shd w:val="clear" w:color="auto" w:fill="FFFFFF"/>
        </w:rPr>
        <w:t>响应文件</w:t>
      </w:r>
      <w:r>
        <w:rPr>
          <w:rFonts w:hint="eastAsia" w:ascii="楷体" w:hAnsi="楷体" w:eastAsia="楷体" w:cs="楷体"/>
          <w:kern w:val="0"/>
          <w:sz w:val="24"/>
        </w:rPr>
        <w:t>的要求</w:t>
      </w:r>
    </w:p>
    <w:p w14:paraId="7AC38339">
      <w:pPr>
        <w:adjustRightInd w:val="0"/>
        <w:snapToGrid w:val="0"/>
        <w:spacing w:line="36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2E90FAA2">
      <w:pPr>
        <w:adjustRightInd w:val="0"/>
        <w:snapToGrid w:val="0"/>
        <w:spacing w:line="36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6D34E9F4">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w:t>
      </w:r>
      <w:r>
        <w:rPr>
          <w:rFonts w:hint="eastAsia" w:ascii="楷体" w:hAnsi="楷体" w:eastAsia="楷体" w:cs="楷体"/>
          <w:sz w:val="24"/>
          <w:shd w:val="clear" w:color="auto" w:fill="FFFFFF"/>
        </w:rPr>
        <w:t>响应文件</w:t>
      </w:r>
      <w:r>
        <w:rPr>
          <w:rFonts w:hint="eastAsia" w:ascii="楷体" w:hAnsi="楷体" w:eastAsia="楷体" w:cs="楷体"/>
          <w:kern w:val="0"/>
          <w:sz w:val="24"/>
        </w:rPr>
        <w:t>的组成</w:t>
      </w:r>
    </w:p>
    <w:p w14:paraId="187A4361">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DD8BF0F">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（三）成交服务费</w:t>
      </w:r>
    </w:p>
    <w:p w14:paraId="4C2A7336">
      <w:pPr>
        <w:pStyle w:val="21"/>
        <w:adjustRightInd w:val="0"/>
        <w:snapToGrid w:val="0"/>
        <w:spacing w:line="36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成交供应商应向海南省教学仪器设备招标中心有限公司支付的成交服务费，以成交金额为基数，成交服务费参照国家有关部门文件(计价格〔2002〕1980号文及发改价格〔2011〕534号文)规定收取，</w:t>
      </w:r>
      <w:r>
        <w:rPr>
          <w:rFonts w:hint="eastAsia" w:ascii="宋体" w:hAnsi="Courier New" w:eastAsia="宋体"/>
          <w:kern w:val="0"/>
          <w:lang w:val="en-US" w:eastAsia="zh-CN"/>
        </w:rPr>
        <w:t>不足</w:t>
      </w:r>
      <w:r>
        <w:rPr>
          <w:rFonts w:hint="eastAsia"/>
          <w:kern w:val="0"/>
          <w:lang w:val="en-US" w:eastAsia="zh-CN"/>
        </w:rPr>
        <w:t>3500</w:t>
      </w:r>
      <w:r>
        <w:rPr>
          <w:rFonts w:hint="eastAsia" w:ascii="宋体" w:hAnsi="Courier New" w:eastAsia="宋体"/>
          <w:kern w:val="0"/>
          <w:lang w:val="en-US" w:eastAsia="zh-CN"/>
        </w:rPr>
        <w:t>.00元的按最低</w:t>
      </w:r>
      <w:r>
        <w:rPr>
          <w:rFonts w:hint="eastAsia"/>
          <w:kern w:val="0"/>
          <w:lang w:val="en-US" w:eastAsia="zh-CN"/>
        </w:rPr>
        <w:t>3500</w:t>
      </w:r>
      <w:r>
        <w:rPr>
          <w:rFonts w:hint="eastAsia" w:ascii="宋体" w:hAnsi="Courier New" w:eastAsia="宋体"/>
          <w:kern w:val="0"/>
          <w:lang w:val="en-US" w:eastAsia="zh-CN"/>
        </w:rPr>
        <w:t>.00元收取</w:t>
      </w:r>
      <w:r>
        <w:rPr>
          <w:rFonts w:hint="eastAsia" w:ascii="宋体" w:hAnsi="Courier New" w:eastAsia="宋体"/>
          <w:kern w:val="0"/>
        </w:rPr>
        <w:t>。</w:t>
      </w:r>
    </w:p>
    <w:p w14:paraId="3CC38DE8">
      <w:pPr>
        <w:adjustRightInd w:val="0"/>
        <w:snapToGrid w:val="0"/>
        <w:spacing w:line="360" w:lineRule="auto"/>
        <w:ind w:firstLine="480" w:firstLineChars="200"/>
        <w:rPr>
          <w:rFonts w:ascii="宋体"/>
          <w:kern w:val="0"/>
          <w:sz w:val="24"/>
        </w:rPr>
      </w:pPr>
      <w:r>
        <w:rPr>
          <w:rFonts w:hint="eastAsia" w:ascii="楷体" w:hAnsi="楷体" w:eastAsia="楷体" w:cs="楷体"/>
          <w:kern w:val="0"/>
          <w:sz w:val="24"/>
        </w:rPr>
        <w:t>（四）</w:t>
      </w:r>
      <w:r>
        <w:rPr>
          <w:rFonts w:hint="eastAsia" w:ascii="楷体" w:hAnsi="楷体" w:eastAsia="楷体" w:cs="楷体"/>
          <w:sz w:val="24"/>
          <w:shd w:val="clear" w:color="auto" w:fill="FFFFFF"/>
        </w:rPr>
        <w:t>响应文件</w:t>
      </w:r>
      <w:r>
        <w:rPr>
          <w:rFonts w:hint="eastAsia" w:ascii="楷体" w:hAnsi="楷体" w:eastAsia="楷体" w:cs="楷体"/>
          <w:kern w:val="0"/>
          <w:sz w:val="24"/>
        </w:rPr>
        <w:t>的有效期</w:t>
      </w:r>
    </w:p>
    <w:p w14:paraId="4BD07F74">
      <w:pPr>
        <w:adjustRightInd w:val="0"/>
        <w:snapToGrid w:val="0"/>
        <w:spacing w:line="36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4E7DA02">
      <w:pPr>
        <w:adjustRightInd w:val="0"/>
        <w:snapToGrid w:val="0"/>
        <w:spacing w:line="36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642C806">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51EF255D">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四、</w:t>
      </w:r>
      <w:r>
        <w:rPr>
          <w:rFonts w:hint="eastAsia" w:ascii="黑体" w:hAnsi="黑体" w:eastAsia="黑体" w:cs="黑体"/>
          <w:b w:val="0"/>
          <w:kern w:val="0"/>
          <w:sz w:val="24"/>
          <w:shd w:val="clear" w:color="auto" w:fill="auto"/>
        </w:rPr>
        <w:t>响应文件</w:t>
      </w:r>
      <w:r>
        <w:rPr>
          <w:rFonts w:hint="eastAsia" w:ascii="黑体" w:hAnsi="黑体" w:eastAsia="黑体" w:cs="黑体"/>
          <w:b w:val="0"/>
          <w:kern w:val="0"/>
          <w:sz w:val="24"/>
        </w:rPr>
        <w:t>的递交</w:t>
      </w:r>
    </w:p>
    <w:p w14:paraId="7AE14B2F">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488B8F1B">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77E1C076">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1193298E">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1AE26D37">
      <w:pPr>
        <w:adjustRightInd w:val="0"/>
        <w:snapToGrid w:val="0"/>
        <w:spacing w:line="36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5A23F8B">
      <w:pPr>
        <w:pStyle w:val="30"/>
        <w:adjustRightInd w:val="0"/>
        <w:snapToGrid w:val="0"/>
        <w:spacing w:line="36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4D75D20F">
      <w:pPr>
        <w:pStyle w:val="30"/>
        <w:adjustRightInd w:val="0"/>
        <w:snapToGrid w:val="0"/>
        <w:spacing w:line="36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6F6086DB">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五、磋商和评审</w:t>
      </w:r>
    </w:p>
    <w:p w14:paraId="1719AF33">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（一）磋商小组</w:t>
      </w:r>
    </w:p>
    <w:p w14:paraId="0A626AE8">
      <w:pPr>
        <w:adjustRightInd w:val="0"/>
        <w:snapToGrid w:val="0"/>
        <w:spacing w:line="36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2608CCDE">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（二）磋商、评审</w:t>
      </w:r>
    </w:p>
    <w:p w14:paraId="222455BA">
      <w:pPr>
        <w:pStyle w:val="35"/>
        <w:spacing w:line="360" w:lineRule="auto"/>
        <w:rPr>
          <w:rFonts w:hint="eastAsia" w:ascii="宋体"/>
          <w:kern w:val="0"/>
          <w:sz w:val="24"/>
          <w:szCs w:val="24"/>
        </w:rPr>
      </w:pPr>
      <w:r>
        <w:rPr>
          <w:rFonts w:hint="eastAsia" w:ascii="宋体"/>
          <w:kern w:val="0"/>
          <w:sz w:val="24"/>
          <w:szCs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01261783">
      <w:pPr>
        <w:pStyle w:val="35"/>
        <w:spacing w:line="360" w:lineRule="auto"/>
        <w:rPr>
          <w:rFonts w:hint="eastAsia" w:ascii="宋体"/>
          <w:kern w:val="0"/>
          <w:sz w:val="24"/>
          <w:szCs w:val="24"/>
        </w:rPr>
      </w:pPr>
      <w:r>
        <w:rPr>
          <w:rFonts w:hint="eastAsia" w:ascii="宋体"/>
          <w:kern w:val="0"/>
          <w:sz w:val="24"/>
          <w:szCs w:val="24"/>
        </w:rPr>
        <w:t>2.主持人按下列程序推进磋商相关工作：</w:t>
      </w:r>
    </w:p>
    <w:p w14:paraId="4791F256">
      <w:pPr>
        <w:pStyle w:val="35"/>
        <w:spacing w:line="360" w:lineRule="auto"/>
        <w:rPr>
          <w:rFonts w:ascii="宋体"/>
          <w:kern w:val="0"/>
          <w:sz w:val="24"/>
        </w:rPr>
      </w:pPr>
      <w:r>
        <w:rPr>
          <w:rFonts w:hint="eastAsia" w:ascii="宋体"/>
          <w:kern w:val="0"/>
          <w:sz w:val="24"/>
        </w:rPr>
        <w:t>（1）宣布纪律；</w:t>
      </w:r>
    </w:p>
    <w:p w14:paraId="1351A6C4">
      <w:pPr>
        <w:pStyle w:val="35"/>
        <w:spacing w:line="360" w:lineRule="auto"/>
        <w:rPr>
          <w:rFonts w:ascii="宋体"/>
          <w:kern w:val="0"/>
          <w:sz w:val="24"/>
        </w:rPr>
      </w:pPr>
      <w:r>
        <w:rPr>
          <w:rFonts w:hint="eastAsia" w:ascii="宋体"/>
          <w:kern w:val="0"/>
          <w:sz w:val="24"/>
        </w:rPr>
        <w:t>（2）公布在截止时间前提交响应文件的供应商名称，并点名确认供应商是否派人到场；</w:t>
      </w:r>
    </w:p>
    <w:p w14:paraId="2D1B1018">
      <w:pPr>
        <w:pStyle w:val="35"/>
        <w:spacing w:line="360" w:lineRule="auto"/>
        <w:rPr>
          <w:rFonts w:ascii="宋体"/>
          <w:kern w:val="0"/>
          <w:sz w:val="24"/>
        </w:rPr>
      </w:pPr>
      <w:r>
        <w:rPr>
          <w:rFonts w:hint="eastAsia" w:ascii="宋体"/>
          <w:kern w:val="0"/>
          <w:sz w:val="24"/>
        </w:rPr>
        <w:t>（3）宣布主持人、唱价人、记录人、监督人等有关人员姓名；</w:t>
      </w:r>
    </w:p>
    <w:p w14:paraId="78C3E63B">
      <w:pPr>
        <w:pStyle w:val="35"/>
        <w:spacing w:line="360" w:lineRule="auto"/>
        <w:rPr>
          <w:rFonts w:ascii="宋体"/>
          <w:kern w:val="0"/>
          <w:sz w:val="24"/>
        </w:rPr>
      </w:pPr>
      <w:r>
        <w:rPr>
          <w:rFonts w:hint="eastAsia" w:ascii="宋体"/>
          <w:kern w:val="0"/>
          <w:sz w:val="24"/>
        </w:rPr>
        <w:t>（4）按照供应商须知规定检查响应文件的密封等情况；</w:t>
      </w:r>
    </w:p>
    <w:p w14:paraId="7A0C5D95">
      <w:pPr>
        <w:pStyle w:val="35"/>
        <w:spacing w:line="360" w:lineRule="auto"/>
        <w:rPr>
          <w:rFonts w:ascii="宋体"/>
          <w:kern w:val="0"/>
          <w:sz w:val="24"/>
        </w:rPr>
      </w:pPr>
      <w:r>
        <w:rPr>
          <w:rFonts w:hint="eastAsia" w:ascii="宋体"/>
          <w:kern w:val="0"/>
          <w:sz w:val="24"/>
        </w:rPr>
        <w:t>（5）按照随机顺序开启密封的响应文件；</w:t>
      </w:r>
    </w:p>
    <w:p w14:paraId="214C3B3A">
      <w:pPr>
        <w:pStyle w:val="35"/>
        <w:spacing w:line="360" w:lineRule="auto"/>
        <w:rPr>
          <w:rFonts w:ascii="宋体"/>
          <w:kern w:val="0"/>
          <w:sz w:val="24"/>
        </w:rPr>
      </w:pPr>
      <w:r>
        <w:rPr>
          <w:rFonts w:hint="eastAsia" w:ascii="宋体"/>
          <w:kern w:val="0"/>
          <w:sz w:val="24"/>
        </w:rPr>
        <w:t>（6）按照宣布的磋商顺序，当众公布供应商名称、响应文件份数及其他内容，并记录在案；</w:t>
      </w:r>
    </w:p>
    <w:p w14:paraId="2B4105A9">
      <w:pPr>
        <w:pStyle w:val="35"/>
        <w:spacing w:line="360" w:lineRule="auto"/>
        <w:rPr>
          <w:rFonts w:ascii="宋体"/>
          <w:kern w:val="0"/>
          <w:sz w:val="24"/>
        </w:rPr>
      </w:pPr>
      <w:r>
        <w:rPr>
          <w:rFonts w:hint="eastAsia" w:ascii="宋体"/>
          <w:kern w:val="0"/>
          <w:sz w:val="24"/>
        </w:rPr>
        <w:t>（7）供应商代表、采购人代表、主持人、监督人、记录人等有关人员在记录上签字确认。</w:t>
      </w:r>
    </w:p>
    <w:p w14:paraId="7DF6B968">
      <w:pPr>
        <w:pStyle w:val="35"/>
        <w:spacing w:line="360" w:lineRule="auto"/>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1FC19F1">
      <w:pPr>
        <w:pStyle w:val="35"/>
        <w:spacing w:line="360" w:lineRule="auto"/>
        <w:rPr>
          <w:rFonts w:ascii="宋体"/>
          <w:kern w:val="0"/>
          <w:sz w:val="24"/>
        </w:rPr>
      </w:pPr>
      <w:r>
        <w:rPr>
          <w:rFonts w:hint="eastAsia" w:ascii="宋体"/>
          <w:kern w:val="0"/>
          <w:sz w:val="24"/>
        </w:rPr>
        <w:t>4.响应文件的澄清</w:t>
      </w:r>
    </w:p>
    <w:p w14:paraId="0ABB0771">
      <w:pPr>
        <w:pStyle w:val="35"/>
        <w:spacing w:line="360" w:lineRule="auto"/>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A5DD7C">
      <w:pPr>
        <w:pStyle w:val="35"/>
        <w:spacing w:line="360" w:lineRule="auto"/>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ABD2C7">
      <w:pPr>
        <w:pStyle w:val="35"/>
        <w:spacing w:line="360" w:lineRule="auto"/>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3ED65521">
      <w:pPr>
        <w:pStyle w:val="35"/>
        <w:spacing w:line="360" w:lineRule="auto"/>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1F53F250">
      <w:pPr>
        <w:pStyle w:val="35"/>
        <w:spacing w:line="360" w:lineRule="auto"/>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0A79147">
      <w:pPr>
        <w:pStyle w:val="35"/>
        <w:spacing w:line="360" w:lineRule="auto"/>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B177D69">
      <w:pPr>
        <w:pStyle w:val="35"/>
        <w:spacing w:line="360" w:lineRule="auto"/>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6AF96C3D">
      <w:pPr>
        <w:pStyle w:val="35"/>
        <w:spacing w:line="360" w:lineRule="auto"/>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C5A4D4">
      <w:pPr>
        <w:pStyle w:val="35"/>
        <w:spacing w:line="360" w:lineRule="auto"/>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4CD48DEB">
      <w:pPr>
        <w:pStyle w:val="35"/>
        <w:spacing w:line="360" w:lineRule="auto"/>
        <w:rPr>
          <w:rFonts w:ascii="宋体"/>
          <w:kern w:val="0"/>
          <w:sz w:val="24"/>
        </w:rPr>
      </w:pPr>
      <w:r>
        <w:rPr>
          <w:rFonts w:hint="eastAsia" w:ascii="宋体"/>
          <w:kern w:val="0"/>
          <w:sz w:val="24"/>
        </w:rPr>
        <w:t>9.已提交响应文件的供应商，在提交最后报价之前，可以根据磋商情况退出磋商。</w:t>
      </w:r>
    </w:p>
    <w:p w14:paraId="74373602">
      <w:pPr>
        <w:pStyle w:val="35"/>
        <w:spacing w:line="360" w:lineRule="auto"/>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478BF971">
      <w:pPr>
        <w:pStyle w:val="35"/>
        <w:spacing w:line="360" w:lineRule="auto"/>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CE5C2D">
      <w:pPr>
        <w:pStyle w:val="35"/>
        <w:spacing w:line="360" w:lineRule="auto"/>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55595E7">
      <w:pPr>
        <w:pStyle w:val="35"/>
        <w:spacing w:line="360" w:lineRule="auto"/>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2FD3A75B">
      <w:pPr>
        <w:pStyle w:val="35"/>
        <w:spacing w:line="360" w:lineRule="auto"/>
        <w:rPr>
          <w:rFonts w:ascii="宋体"/>
          <w:kern w:val="0"/>
          <w:sz w:val="24"/>
        </w:rPr>
      </w:pPr>
      <w:r>
        <w:rPr>
          <w:rFonts w:hint="eastAsia" w:ascii="宋体"/>
          <w:kern w:val="0"/>
          <w:sz w:val="24"/>
        </w:rPr>
        <w:t>14.出现下列情形之一的，按无效响应处理：</w:t>
      </w:r>
    </w:p>
    <w:p w14:paraId="790A57A1">
      <w:pPr>
        <w:pStyle w:val="35"/>
        <w:spacing w:line="360" w:lineRule="auto"/>
        <w:rPr>
          <w:rFonts w:ascii="宋体"/>
          <w:kern w:val="0"/>
          <w:sz w:val="24"/>
        </w:rPr>
      </w:pPr>
      <w:r>
        <w:rPr>
          <w:rFonts w:hint="eastAsia" w:ascii="宋体"/>
          <w:kern w:val="0"/>
          <w:sz w:val="24"/>
        </w:rPr>
        <w:t>（1）未按照磋商文件规定要求装订、密封、签署、盖章的；</w:t>
      </w:r>
    </w:p>
    <w:p w14:paraId="71A0B651">
      <w:pPr>
        <w:pStyle w:val="35"/>
        <w:spacing w:line="360" w:lineRule="auto"/>
        <w:rPr>
          <w:rFonts w:ascii="宋体"/>
          <w:kern w:val="0"/>
          <w:sz w:val="24"/>
        </w:rPr>
      </w:pPr>
      <w:r>
        <w:rPr>
          <w:rFonts w:hint="eastAsia" w:ascii="宋体"/>
          <w:kern w:val="0"/>
          <w:sz w:val="24"/>
        </w:rPr>
        <w:t>（2）不具备磋商文件中规定的供应商资格要求的；</w:t>
      </w:r>
    </w:p>
    <w:p w14:paraId="6B67FF35">
      <w:pPr>
        <w:pStyle w:val="35"/>
        <w:spacing w:line="360" w:lineRule="auto"/>
        <w:rPr>
          <w:rFonts w:ascii="宋体"/>
          <w:kern w:val="0"/>
          <w:sz w:val="24"/>
        </w:rPr>
      </w:pPr>
      <w:r>
        <w:rPr>
          <w:rFonts w:hint="eastAsia" w:ascii="宋体"/>
          <w:kern w:val="0"/>
          <w:sz w:val="24"/>
        </w:rPr>
        <w:t>（3）响应报价超出采购预算的；</w:t>
      </w:r>
    </w:p>
    <w:p w14:paraId="078F849D">
      <w:pPr>
        <w:pStyle w:val="35"/>
        <w:spacing w:line="360" w:lineRule="auto"/>
        <w:rPr>
          <w:rFonts w:ascii="宋体"/>
          <w:kern w:val="0"/>
          <w:sz w:val="24"/>
        </w:rPr>
      </w:pPr>
      <w:r>
        <w:rPr>
          <w:rFonts w:hint="eastAsia" w:ascii="宋体"/>
          <w:kern w:val="0"/>
          <w:sz w:val="24"/>
        </w:rPr>
        <w:t>（4）不符合法律、法规或竞争性磋商文件中规定的其他实质性要求的；</w:t>
      </w:r>
    </w:p>
    <w:p w14:paraId="644BE336">
      <w:pPr>
        <w:pStyle w:val="35"/>
        <w:spacing w:line="360" w:lineRule="auto"/>
        <w:rPr>
          <w:rFonts w:ascii="宋体"/>
          <w:kern w:val="0"/>
          <w:sz w:val="24"/>
        </w:rPr>
      </w:pPr>
      <w:r>
        <w:rPr>
          <w:rFonts w:hint="eastAsia" w:ascii="宋体"/>
          <w:kern w:val="0"/>
          <w:sz w:val="24"/>
        </w:rPr>
        <w:t>（5）磋商文件中规定的其他情形。</w:t>
      </w:r>
    </w:p>
    <w:p w14:paraId="10BAED37">
      <w:pPr>
        <w:pStyle w:val="35"/>
        <w:spacing w:line="360" w:lineRule="auto"/>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6BD252EE">
      <w:pPr>
        <w:pStyle w:val="35"/>
        <w:spacing w:line="360" w:lineRule="auto"/>
        <w:rPr>
          <w:rFonts w:ascii="宋体"/>
          <w:kern w:val="0"/>
          <w:sz w:val="24"/>
        </w:rPr>
      </w:pPr>
      <w:r>
        <w:rPr>
          <w:rFonts w:hint="eastAsia" w:ascii="宋体"/>
          <w:kern w:val="0"/>
          <w:sz w:val="24"/>
        </w:rPr>
        <w:t>（一）因情况变化，不再符合规定的竞争性磋商采购方式适用情形的；</w:t>
      </w:r>
    </w:p>
    <w:p w14:paraId="38C18050">
      <w:pPr>
        <w:pStyle w:val="35"/>
        <w:spacing w:line="360" w:lineRule="auto"/>
        <w:rPr>
          <w:rFonts w:ascii="宋体"/>
          <w:kern w:val="0"/>
          <w:sz w:val="24"/>
        </w:rPr>
      </w:pPr>
      <w:r>
        <w:rPr>
          <w:rFonts w:hint="eastAsia" w:ascii="宋体"/>
          <w:kern w:val="0"/>
          <w:sz w:val="24"/>
        </w:rPr>
        <w:t>（二）出现影响采购公正的违法、违规行为的；</w:t>
      </w:r>
    </w:p>
    <w:p w14:paraId="08D2396A">
      <w:pPr>
        <w:pStyle w:val="35"/>
        <w:spacing w:line="360" w:lineRule="auto"/>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41909675">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六、成交通知书授予合同</w:t>
      </w:r>
    </w:p>
    <w:p w14:paraId="5517A22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（一）成交通知书</w:t>
      </w:r>
    </w:p>
    <w:p w14:paraId="48DB55F2">
      <w:pPr>
        <w:adjustRightInd w:val="0"/>
        <w:snapToGrid w:val="0"/>
        <w:spacing w:line="360" w:lineRule="auto"/>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994493A">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（二）签订合同</w:t>
      </w:r>
    </w:p>
    <w:p w14:paraId="4B4F84DB">
      <w:pPr>
        <w:adjustRightInd w:val="0"/>
        <w:snapToGrid w:val="0"/>
        <w:spacing w:line="360" w:lineRule="auto"/>
        <w:ind w:firstLine="480" w:firstLineChars="200"/>
        <w:rPr>
          <w:rFonts w:ascii="宋体"/>
          <w:kern w:val="0"/>
          <w:sz w:val="24"/>
        </w:rPr>
      </w:pPr>
      <w:r>
        <w:rPr>
          <w:rFonts w:hint="eastAsia" w:ascii="宋体"/>
          <w:kern w:val="0"/>
          <w:sz w:val="24"/>
        </w:rPr>
        <w:t>1.成交供应商应按规定签订合同。</w:t>
      </w:r>
    </w:p>
    <w:p w14:paraId="1DCA527C">
      <w:pPr>
        <w:adjustRightInd w:val="0"/>
        <w:snapToGrid w:val="0"/>
        <w:spacing w:line="360" w:lineRule="auto"/>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93BBEF6">
      <w:pPr>
        <w:adjustRightInd w:val="0"/>
        <w:snapToGrid w:val="0"/>
        <w:spacing w:line="360" w:lineRule="auto"/>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DD5315F">
      <w:pPr>
        <w:adjustRightInd w:val="0"/>
        <w:snapToGrid w:val="0"/>
        <w:spacing w:line="360" w:lineRule="auto"/>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6D2307D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EABCA6B">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0B60DDC">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26D69CF9">
      <w:pPr>
        <w:spacing w:line="520" w:lineRule="exact"/>
        <w:ind w:firstLine="480" w:firstLineChars="200"/>
        <w:rPr>
          <w:rFonts w:ascii="宋体"/>
          <w:kern w:val="0"/>
          <w:sz w:val="24"/>
        </w:rPr>
      </w:pPr>
      <w:r>
        <w:rPr>
          <w:rFonts w:hint="eastAsia" w:ascii="宋体"/>
          <w:kern w:val="0"/>
          <w:sz w:val="24"/>
        </w:rPr>
        <w:t>三、评审办法</w:t>
      </w:r>
    </w:p>
    <w:p w14:paraId="441C321F">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032A6E72">
      <w:pPr>
        <w:spacing w:line="360" w:lineRule="exact"/>
        <w:jc w:val="center"/>
        <w:rPr>
          <w:rFonts w:hint="eastAsia" w:ascii="宋体" w:eastAsia="宋体"/>
          <w:b/>
          <w:bCs/>
          <w:kern w:val="0"/>
          <w:sz w:val="30"/>
          <w:szCs w:val="30"/>
          <w:lang w:eastAsia="zh-CN"/>
        </w:rPr>
      </w:pPr>
      <w:r>
        <w:rPr>
          <w:rFonts w:hint="eastAsia" w:ascii="宋体"/>
          <w:b/>
          <w:bCs/>
          <w:kern w:val="0"/>
          <w:sz w:val="30"/>
          <w:szCs w:val="30"/>
          <w:lang w:val="en-US" w:eastAsia="zh-CN"/>
        </w:rPr>
        <w:t xml:space="preserve">  </w:t>
      </w:r>
      <w:r>
        <w:rPr>
          <w:rFonts w:hint="eastAsia" w:ascii="宋体"/>
          <w:b/>
          <w:bCs/>
          <w:kern w:val="0"/>
          <w:sz w:val="30"/>
          <w:szCs w:val="30"/>
        </w:rPr>
        <w:t>初步审查表</w:t>
      </w:r>
      <w:r>
        <w:rPr>
          <w:rFonts w:hint="eastAsia" w:ascii="宋体"/>
          <w:b/>
          <w:bCs/>
          <w:kern w:val="0"/>
          <w:sz w:val="30"/>
          <w:szCs w:val="30"/>
          <w:lang w:eastAsia="zh-CN"/>
        </w:rPr>
        <w:t>（</w:t>
      </w:r>
      <w:r>
        <w:rPr>
          <w:rFonts w:hint="eastAsia" w:ascii="宋体"/>
          <w:b/>
          <w:bCs/>
          <w:kern w:val="0"/>
          <w:sz w:val="30"/>
          <w:szCs w:val="30"/>
          <w:lang w:val="en-US" w:eastAsia="zh-CN"/>
        </w:rPr>
        <w:t>1包、2包3包</w:t>
      </w:r>
      <w:r>
        <w:rPr>
          <w:rFonts w:hint="eastAsia" w:ascii="宋体"/>
          <w:b/>
          <w:bCs/>
          <w:kern w:val="0"/>
          <w:sz w:val="30"/>
          <w:szCs w:val="30"/>
          <w:lang w:eastAsia="zh-CN"/>
        </w:rPr>
        <w:t>）</w:t>
      </w:r>
    </w:p>
    <w:p w14:paraId="26010579">
      <w:pPr>
        <w:spacing w:line="360" w:lineRule="exact"/>
        <w:rPr>
          <w:rFonts w:ascii="宋体"/>
          <w:bCs/>
          <w:kern w:val="0"/>
          <w:sz w:val="24"/>
        </w:rPr>
      </w:pPr>
      <w:r>
        <w:rPr>
          <w:rFonts w:hint="eastAsia" w:ascii="宋体"/>
          <w:bCs/>
          <w:kern w:val="0"/>
          <w:sz w:val="24"/>
        </w:rPr>
        <w:t>项目名称：</w:t>
      </w:r>
    </w:p>
    <w:p w14:paraId="709B12B4">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0E6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45926C6">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1DAFA555">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F0B3C12">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71E6682">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04AADDE4">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162C76A9">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50269C70">
            <w:pPr>
              <w:spacing w:line="520" w:lineRule="exact"/>
              <w:rPr>
                <w:rFonts w:ascii="宋体"/>
                <w:bCs/>
                <w:color w:val="000000"/>
                <w:kern w:val="0"/>
                <w:sz w:val="24"/>
              </w:rPr>
            </w:pPr>
            <w:r>
              <w:rPr>
                <w:rFonts w:hint="eastAsia" w:ascii="宋体"/>
                <w:bCs/>
                <w:color w:val="000000"/>
                <w:kern w:val="0"/>
                <w:sz w:val="24"/>
              </w:rPr>
              <w:t>供应商4</w:t>
            </w:r>
          </w:p>
        </w:tc>
      </w:tr>
      <w:tr w14:paraId="418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83493D">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03EBEB64">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6C662746">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370A5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3F83BE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8E3491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414E06">
            <w:pPr>
              <w:spacing w:line="520" w:lineRule="exact"/>
              <w:ind w:firstLine="720" w:firstLineChars="300"/>
              <w:rPr>
                <w:rFonts w:ascii="宋体"/>
                <w:bCs/>
                <w:color w:val="000000"/>
                <w:kern w:val="0"/>
                <w:sz w:val="24"/>
              </w:rPr>
            </w:pPr>
          </w:p>
        </w:tc>
      </w:tr>
      <w:tr w14:paraId="4136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107E436">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34CF96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33E154E">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08F5E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EDFED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5729E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F30107">
            <w:pPr>
              <w:spacing w:line="520" w:lineRule="exact"/>
              <w:ind w:firstLine="720" w:firstLineChars="300"/>
              <w:rPr>
                <w:rFonts w:ascii="宋体"/>
                <w:bCs/>
                <w:color w:val="000000"/>
                <w:kern w:val="0"/>
                <w:sz w:val="24"/>
              </w:rPr>
            </w:pPr>
          </w:p>
        </w:tc>
      </w:tr>
      <w:tr w14:paraId="35B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81EE3D8">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2EF9B57">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5A3C96D3">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32E5982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371A3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2B5E32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8ACBB7">
            <w:pPr>
              <w:spacing w:line="520" w:lineRule="exact"/>
              <w:ind w:firstLine="720" w:firstLineChars="300"/>
              <w:rPr>
                <w:rFonts w:ascii="宋体"/>
                <w:bCs/>
                <w:color w:val="000000"/>
                <w:kern w:val="0"/>
                <w:sz w:val="24"/>
              </w:rPr>
            </w:pPr>
          </w:p>
        </w:tc>
      </w:tr>
      <w:tr w14:paraId="63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38C3F6D">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62A658F2">
            <w:pPr>
              <w:spacing w:line="520" w:lineRule="exact"/>
              <w:jc w:val="center"/>
              <w:rPr>
                <w:rFonts w:hint="eastAsia" w:ascii="宋体" w:eastAsia="宋体"/>
                <w:bCs/>
                <w:color w:val="000000"/>
                <w:kern w:val="0"/>
                <w:sz w:val="24"/>
                <w:lang w:eastAsia="zh-CN"/>
              </w:rPr>
            </w:pPr>
            <w:r>
              <w:rPr>
                <w:rFonts w:hint="eastAsia" w:ascii="宋体"/>
                <w:bCs/>
                <w:color w:val="000000"/>
                <w:kern w:val="0"/>
                <w:sz w:val="24"/>
                <w:lang w:eastAsia="zh-CN"/>
              </w:rPr>
              <w:t>服务期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4E82E708">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0CD4452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6E95A3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6F7950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A35FB7">
            <w:pPr>
              <w:spacing w:line="520" w:lineRule="exact"/>
              <w:ind w:firstLine="720" w:firstLineChars="300"/>
              <w:rPr>
                <w:rFonts w:ascii="宋体"/>
                <w:bCs/>
                <w:color w:val="000000"/>
                <w:kern w:val="0"/>
                <w:sz w:val="24"/>
              </w:rPr>
            </w:pPr>
          </w:p>
        </w:tc>
      </w:tr>
      <w:tr w14:paraId="16F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8038EDC">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349A6D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1DF16633">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252746D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DB84C0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6485B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6CC45F2">
            <w:pPr>
              <w:spacing w:line="520" w:lineRule="exact"/>
              <w:ind w:firstLine="720" w:firstLineChars="300"/>
              <w:rPr>
                <w:rFonts w:ascii="宋体"/>
                <w:bCs/>
                <w:color w:val="000000"/>
                <w:kern w:val="0"/>
                <w:sz w:val="24"/>
              </w:rPr>
            </w:pPr>
          </w:p>
        </w:tc>
      </w:tr>
      <w:tr w14:paraId="1E0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76B8D6F">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D3A1B5F">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574BC30D">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A26FA6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F9908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5B7B2D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D28D8">
            <w:pPr>
              <w:spacing w:line="520" w:lineRule="exact"/>
              <w:ind w:firstLine="720" w:firstLineChars="300"/>
              <w:rPr>
                <w:rFonts w:ascii="宋体"/>
                <w:bCs/>
                <w:color w:val="000000"/>
                <w:kern w:val="0"/>
                <w:sz w:val="24"/>
              </w:rPr>
            </w:pPr>
          </w:p>
        </w:tc>
      </w:tr>
      <w:tr w14:paraId="6BE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D1AC553">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3C04E1FD">
            <w:pPr>
              <w:spacing w:line="520" w:lineRule="exact"/>
              <w:ind w:firstLine="720" w:firstLineChars="300"/>
              <w:rPr>
                <w:rFonts w:ascii="宋体"/>
                <w:bCs/>
                <w:color w:val="000000"/>
                <w:kern w:val="0"/>
                <w:sz w:val="24"/>
              </w:rPr>
            </w:pPr>
          </w:p>
        </w:tc>
      </w:tr>
    </w:tbl>
    <w:p w14:paraId="57A15817">
      <w:pPr>
        <w:spacing w:line="360" w:lineRule="exact"/>
        <w:rPr>
          <w:rFonts w:ascii="宋体"/>
          <w:kern w:val="0"/>
          <w:sz w:val="24"/>
        </w:rPr>
      </w:pPr>
    </w:p>
    <w:p w14:paraId="3444DCCC">
      <w:pPr>
        <w:spacing w:line="240" w:lineRule="atLeast"/>
        <w:rPr>
          <w:rFonts w:ascii="宋体"/>
          <w:kern w:val="0"/>
          <w:sz w:val="24"/>
        </w:rPr>
      </w:pPr>
      <w:r>
        <w:rPr>
          <w:rFonts w:hint="eastAsia" w:ascii="宋体"/>
          <w:kern w:val="0"/>
          <w:sz w:val="24"/>
        </w:rPr>
        <w:t>1、表中只需填写“√/通过”或“×/不通过”。</w:t>
      </w:r>
    </w:p>
    <w:p w14:paraId="3E92F8AB">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221B72CE">
      <w:pPr>
        <w:spacing w:line="240" w:lineRule="atLeast"/>
        <w:rPr>
          <w:rFonts w:ascii="宋体"/>
          <w:kern w:val="0"/>
          <w:sz w:val="24"/>
        </w:rPr>
      </w:pPr>
      <w:r>
        <w:rPr>
          <w:rFonts w:hint="eastAsia" w:ascii="宋体"/>
          <w:kern w:val="0"/>
          <w:sz w:val="24"/>
        </w:rPr>
        <w:t>3、只有结论是合格的供应商，才能进入下一轮；不合格的被淘汰。</w:t>
      </w:r>
    </w:p>
    <w:p w14:paraId="3DF1C681">
      <w:pPr>
        <w:spacing w:line="240" w:lineRule="atLeast"/>
        <w:rPr>
          <w:rFonts w:ascii="宋体"/>
          <w:kern w:val="0"/>
          <w:sz w:val="24"/>
        </w:rPr>
      </w:pPr>
      <w:r>
        <w:rPr>
          <w:rFonts w:hint="eastAsia" w:ascii="宋体"/>
          <w:kern w:val="0"/>
          <w:sz w:val="24"/>
        </w:rPr>
        <w:t>评委：                                                  日期：</w:t>
      </w:r>
    </w:p>
    <w:p w14:paraId="52574EDF">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0139C7E9">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p w14:paraId="46CDFEDC">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r>
        <w:rPr>
          <w:rFonts w:hint="eastAsia" w:ascii="宋体" w:hAnsi="宋体" w:cs="宋体"/>
          <w:b/>
          <w:bCs/>
          <w:sz w:val="40"/>
          <w:szCs w:val="40"/>
          <w:lang w:eastAsia="zh-CN"/>
        </w:rPr>
        <w:t>（</w:t>
      </w:r>
      <w:r>
        <w:rPr>
          <w:rFonts w:hint="eastAsia" w:ascii="宋体" w:hAnsi="宋体" w:cs="宋体"/>
          <w:b/>
          <w:bCs/>
          <w:sz w:val="40"/>
          <w:szCs w:val="40"/>
          <w:lang w:val="en-US" w:eastAsia="zh-CN"/>
        </w:rPr>
        <w:t>1包</w:t>
      </w:r>
      <w:r>
        <w:rPr>
          <w:rFonts w:hint="eastAsia" w:ascii="宋体" w:hAnsi="宋体" w:cs="宋体"/>
          <w:b/>
          <w:bCs/>
          <w:sz w:val="40"/>
          <w:szCs w:val="40"/>
          <w:lang w:eastAsia="zh-CN"/>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0C76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304E40D8">
            <w:pPr>
              <w:widowControl/>
              <w:jc w:val="center"/>
              <w:rPr>
                <w:rFonts w:ascii="宋体" w:hAnsi="宋体" w:cs="宋体"/>
                <w:b/>
                <w:bCs/>
                <w:kern w:val="0"/>
                <w:szCs w:val="21"/>
              </w:rPr>
            </w:pPr>
            <w:r>
              <w:rPr>
                <w:rFonts w:hint="eastAsia" w:ascii="宋体" w:hAnsi="宋体" w:cs="宋体"/>
                <w:b/>
                <w:bCs/>
                <w:kern w:val="0"/>
                <w:szCs w:val="21"/>
              </w:rPr>
              <w:t>评标指标</w:t>
            </w:r>
          </w:p>
        </w:tc>
        <w:tc>
          <w:tcPr>
            <w:tcW w:w="5767" w:type="dxa"/>
            <w:vAlign w:val="center"/>
          </w:tcPr>
          <w:p w14:paraId="6EB2A744">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14:paraId="055AF140">
            <w:pPr>
              <w:widowControl/>
              <w:jc w:val="center"/>
              <w:rPr>
                <w:rFonts w:ascii="宋体" w:hAnsi="宋体" w:cs="宋体"/>
                <w:b/>
                <w:bCs/>
                <w:kern w:val="0"/>
                <w:szCs w:val="21"/>
              </w:rPr>
            </w:pPr>
            <w:r>
              <w:rPr>
                <w:rFonts w:hint="eastAsia" w:ascii="宋体" w:hAnsi="宋体" w:cs="宋体"/>
                <w:b/>
                <w:bCs/>
                <w:kern w:val="0"/>
                <w:szCs w:val="21"/>
              </w:rPr>
              <w:t>分值</w:t>
            </w:r>
          </w:p>
        </w:tc>
        <w:tc>
          <w:tcPr>
            <w:tcW w:w="851" w:type="dxa"/>
            <w:vAlign w:val="center"/>
          </w:tcPr>
          <w:p w14:paraId="1CCC8860">
            <w:pPr>
              <w:widowControl/>
              <w:jc w:val="center"/>
              <w:rPr>
                <w:rFonts w:ascii="宋体" w:hAnsi="宋体" w:cs="宋体"/>
                <w:b/>
                <w:bCs/>
                <w:kern w:val="0"/>
                <w:szCs w:val="21"/>
              </w:rPr>
            </w:pPr>
            <w:r>
              <w:rPr>
                <w:rFonts w:hint="eastAsia" w:ascii="宋体" w:hAnsi="宋体" w:cs="宋体"/>
                <w:b/>
                <w:bCs/>
                <w:kern w:val="0"/>
                <w:szCs w:val="21"/>
              </w:rPr>
              <w:t>得分</w:t>
            </w:r>
          </w:p>
        </w:tc>
      </w:tr>
      <w:tr w14:paraId="1BB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67EEEB33">
            <w:pPr>
              <w:widowControl/>
              <w:jc w:val="center"/>
              <w:rPr>
                <w:rFonts w:ascii="宋体" w:hAnsi="宋体" w:cs="宋体"/>
                <w:kern w:val="0"/>
                <w:szCs w:val="21"/>
              </w:rPr>
            </w:pPr>
            <w:r>
              <w:rPr>
                <w:rFonts w:hint="eastAsia" w:ascii="宋体" w:hAnsi="宋体" w:cs="宋体"/>
                <w:kern w:val="0"/>
                <w:szCs w:val="21"/>
              </w:rPr>
              <w:t>价格</w:t>
            </w:r>
          </w:p>
          <w:p w14:paraId="7DAA0779">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lang w:val="en-US" w:eastAsia="zh-CN"/>
              </w:rPr>
              <w:t>1</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5A9201E9">
            <w:pPr>
              <w:widowControl/>
              <w:jc w:val="center"/>
              <w:rPr>
                <w:rFonts w:ascii="宋体" w:hAnsi="宋体" w:cs="宋体"/>
                <w:kern w:val="0"/>
                <w:szCs w:val="21"/>
              </w:rPr>
            </w:pPr>
            <w:r>
              <w:rPr>
                <w:rFonts w:hint="eastAsia" w:ascii="宋体" w:hAnsi="宋体" w:cs="宋体"/>
                <w:kern w:val="0"/>
                <w:szCs w:val="21"/>
              </w:rPr>
              <w:t>报价</w:t>
            </w:r>
          </w:p>
          <w:p w14:paraId="01C87028">
            <w:pPr>
              <w:widowControl/>
              <w:jc w:val="center"/>
              <w:rPr>
                <w:rFonts w:ascii="宋体" w:hAnsi="宋体" w:cs="宋体"/>
                <w:kern w:val="0"/>
                <w:szCs w:val="21"/>
              </w:rPr>
            </w:pPr>
          </w:p>
        </w:tc>
        <w:tc>
          <w:tcPr>
            <w:tcW w:w="5767" w:type="dxa"/>
            <w:vAlign w:val="center"/>
          </w:tcPr>
          <w:p w14:paraId="4B7AC123">
            <w:pPr>
              <w:widowControl/>
              <w:jc w:val="left"/>
              <w:rPr>
                <w:rFonts w:ascii="宋体" w:hAnsi="宋体" w:cs="宋体"/>
                <w:kern w:val="0"/>
                <w:szCs w:val="21"/>
              </w:rPr>
            </w:pPr>
            <w:r>
              <w:rPr>
                <w:rFonts w:hint="eastAsia" w:ascii="宋体" w:hAnsi="宋体" w:cs="宋体"/>
                <w:kern w:val="0"/>
                <w:szCs w:val="21"/>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3F429B4A">
            <w:pPr>
              <w:widowControl/>
              <w:jc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0分</w:t>
            </w:r>
          </w:p>
        </w:tc>
        <w:tc>
          <w:tcPr>
            <w:tcW w:w="851" w:type="dxa"/>
            <w:vAlign w:val="center"/>
          </w:tcPr>
          <w:p w14:paraId="70CE91FA">
            <w:pPr>
              <w:widowControl/>
              <w:jc w:val="center"/>
              <w:rPr>
                <w:rFonts w:ascii="宋体" w:hAnsi="宋体" w:cs="宋体"/>
                <w:kern w:val="0"/>
                <w:szCs w:val="21"/>
              </w:rPr>
            </w:pPr>
          </w:p>
        </w:tc>
      </w:tr>
      <w:tr w14:paraId="0CED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46837681">
            <w:pPr>
              <w:widowControl/>
              <w:jc w:val="center"/>
              <w:rPr>
                <w:rFonts w:ascii="宋体" w:hAnsi="宋体" w:cs="宋体"/>
                <w:kern w:val="0"/>
                <w:szCs w:val="21"/>
              </w:rPr>
            </w:pPr>
            <w:r>
              <w:rPr>
                <w:rFonts w:hint="eastAsia" w:ascii="宋体" w:hAnsi="宋体" w:cs="宋体"/>
                <w:kern w:val="0"/>
                <w:szCs w:val="21"/>
              </w:rPr>
              <w:t>技术评分</w:t>
            </w:r>
          </w:p>
          <w:p w14:paraId="035C963C">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lang w:val="en-US" w:eastAsia="zh-CN"/>
              </w:rPr>
              <w:t>6</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1FDB002E">
            <w:pPr>
              <w:widowControl/>
              <w:jc w:val="center"/>
              <w:rPr>
                <w:rFonts w:ascii="宋体" w:hAnsi="宋体" w:cs="宋体"/>
                <w:kern w:val="0"/>
                <w:szCs w:val="21"/>
              </w:rPr>
            </w:pPr>
            <w:r>
              <w:rPr>
                <w:rFonts w:hint="eastAsia" w:ascii="宋体" w:hAnsi="宋体" w:cs="宋体"/>
                <w:kern w:val="0"/>
                <w:szCs w:val="21"/>
              </w:rPr>
              <w:t>网络安全等级保护测评实施方案</w:t>
            </w:r>
          </w:p>
        </w:tc>
        <w:tc>
          <w:tcPr>
            <w:tcW w:w="5767" w:type="dxa"/>
            <w:vAlign w:val="center"/>
          </w:tcPr>
          <w:p w14:paraId="6EEE62F9">
            <w:pPr>
              <w:widowControl/>
              <w:jc w:val="left"/>
              <w:rPr>
                <w:rFonts w:hint="eastAsia"/>
              </w:rPr>
            </w:pPr>
            <w:r>
              <w:rPr>
                <w:rFonts w:hint="eastAsia"/>
              </w:rPr>
              <w:t>按照投标文件中针对测评内容、测评方法、测评流程、测评步骤、测评工作要求等策略的响应情况进行评审打分。</w:t>
            </w:r>
          </w:p>
          <w:p w14:paraId="2EC0AC30">
            <w:pPr>
              <w:widowControl/>
              <w:jc w:val="left"/>
              <w:rPr>
                <w:rFonts w:hint="eastAsia"/>
              </w:rPr>
            </w:pPr>
            <w:r>
              <w:rPr>
                <w:rFonts w:hint="eastAsia"/>
              </w:rPr>
              <w:t>评分标准：方案全部覆盖5个方面内容，每个方案内容2分，满分10分；每个方案内容，每出现1处缺项或缺陷的扣0.5分，扣完2分为止。不提供不得分。</w:t>
            </w:r>
          </w:p>
          <w:p w14:paraId="65462BF9">
            <w:pPr>
              <w:widowControl/>
              <w:jc w:val="left"/>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4F07CAF3">
            <w:pPr>
              <w:widowControl/>
              <w:jc w:val="center"/>
              <w:rPr>
                <w:rFonts w:ascii="宋体" w:hAnsi="宋体" w:cs="宋体"/>
                <w:kern w:val="0"/>
                <w:szCs w:val="21"/>
              </w:rPr>
            </w:pPr>
            <w:r>
              <w:rPr>
                <w:rFonts w:hint="eastAsia" w:ascii="宋体" w:hAnsi="宋体" w:cs="宋体"/>
                <w:b w:val="0"/>
                <w:bCs/>
                <w:kern w:val="0"/>
                <w:szCs w:val="21"/>
                <w:lang w:val="en-US" w:eastAsia="zh-CN"/>
              </w:rPr>
              <w:t>10</w:t>
            </w:r>
            <w:r>
              <w:rPr>
                <w:rFonts w:hint="eastAsia" w:ascii="宋体" w:hAnsi="宋体" w:cs="宋体"/>
                <w:kern w:val="0"/>
                <w:szCs w:val="21"/>
              </w:rPr>
              <w:t>分</w:t>
            </w:r>
          </w:p>
        </w:tc>
        <w:tc>
          <w:tcPr>
            <w:tcW w:w="851" w:type="dxa"/>
            <w:vAlign w:val="center"/>
          </w:tcPr>
          <w:p w14:paraId="1EB8C3CE">
            <w:pPr>
              <w:widowControl/>
              <w:jc w:val="center"/>
              <w:rPr>
                <w:rFonts w:ascii="宋体" w:hAnsi="宋体" w:cs="宋体"/>
                <w:kern w:val="0"/>
                <w:szCs w:val="21"/>
              </w:rPr>
            </w:pPr>
          </w:p>
        </w:tc>
      </w:tr>
      <w:tr w14:paraId="5DF4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7DE957EF">
            <w:pPr>
              <w:widowControl/>
              <w:jc w:val="center"/>
            </w:pPr>
          </w:p>
        </w:tc>
        <w:tc>
          <w:tcPr>
            <w:tcW w:w="1037" w:type="dxa"/>
            <w:vAlign w:val="center"/>
          </w:tcPr>
          <w:p w14:paraId="4E25C5A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项目理解</w:t>
            </w:r>
          </w:p>
        </w:tc>
        <w:tc>
          <w:tcPr>
            <w:tcW w:w="5767" w:type="dxa"/>
            <w:vAlign w:val="center"/>
          </w:tcPr>
          <w:p w14:paraId="26F60C1E">
            <w:pPr>
              <w:widowControl/>
              <w:jc w:val="left"/>
              <w:rPr>
                <w:rFonts w:hint="eastAsia"/>
              </w:rPr>
            </w:pPr>
            <w:r>
              <w:rPr>
                <w:rFonts w:hint="eastAsia" w:ascii="宋体" w:hAnsi="宋体" w:eastAsia="宋体" w:cs="宋体"/>
                <w:sz w:val="24"/>
                <w:szCs w:val="24"/>
              </w:rPr>
              <w:t>按照投标文件针对项目背景、建设目标、测评要求</w:t>
            </w:r>
            <w:r>
              <w:rPr>
                <w:rFonts w:hint="eastAsia" w:ascii="宋体" w:hAnsi="宋体" w:eastAsia="宋体" w:cs="宋体"/>
                <w:sz w:val="24"/>
                <w:szCs w:val="24"/>
                <w:lang w:eastAsia="zh-CN"/>
              </w:rPr>
              <w:t>、</w:t>
            </w:r>
            <w:r>
              <w:rPr>
                <w:rFonts w:hint="eastAsia" w:ascii="宋体" w:hAnsi="宋体" w:eastAsia="宋体" w:cs="宋体"/>
                <w:color w:val="auto"/>
                <w:sz w:val="24"/>
                <w:szCs w:val="24"/>
              </w:rPr>
              <w:t>项目管理制度</w:t>
            </w:r>
            <w:r>
              <w:rPr>
                <w:rFonts w:hint="eastAsia" w:ascii="宋体" w:hAnsi="宋体" w:eastAsia="宋体" w:cs="宋体"/>
                <w:sz w:val="24"/>
                <w:szCs w:val="24"/>
              </w:rPr>
              <w:t>等</w:t>
            </w:r>
            <w:r>
              <w:rPr>
                <w:rFonts w:hint="eastAsia" w:ascii="宋体" w:hAnsi="宋体" w:eastAsia="宋体" w:cs="宋体"/>
                <w:sz w:val="24"/>
                <w:szCs w:val="24"/>
                <w:lang w:eastAsia="zh-CN"/>
              </w:rPr>
              <w:t>四</w:t>
            </w:r>
            <w:r>
              <w:rPr>
                <w:rFonts w:hint="eastAsia" w:ascii="宋体" w:hAnsi="宋体" w:eastAsia="宋体" w:cs="宋体"/>
                <w:sz w:val="24"/>
                <w:szCs w:val="24"/>
              </w:rPr>
              <w:t>项的理解响应情况进行评审打分。内容每缺一项扣</w:t>
            </w:r>
            <w:r>
              <w:rPr>
                <w:rFonts w:hint="eastAsia" w:ascii="宋体" w:hAnsi="宋体" w:eastAsia="宋体" w:cs="宋体"/>
                <w:sz w:val="24"/>
                <w:szCs w:val="24"/>
                <w:lang w:val="en-US" w:eastAsia="zh-CN"/>
              </w:rPr>
              <w:t>2.5</w:t>
            </w:r>
            <w:r>
              <w:rPr>
                <w:rFonts w:hint="eastAsia" w:ascii="宋体" w:hAnsi="宋体" w:eastAsia="宋体" w:cs="宋体"/>
                <w:sz w:val="24"/>
                <w:szCs w:val="24"/>
              </w:rPr>
              <w:t>分；方案有缺陷的 ，有一处扣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 。满分</w:t>
            </w:r>
            <w:r>
              <w:rPr>
                <w:rFonts w:hint="eastAsia" w:ascii="宋体" w:hAnsi="宋体" w:eastAsia="宋体" w:cs="宋体"/>
                <w:sz w:val="24"/>
                <w:szCs w:val="24"/>
                <w:lang w:val="en-US" w:eastAsia="zh-CN"/>
              </w:rPr>
              <w:t>10</w:t>
            </w:r>
            <w:r>
              <w:rPr>
                <w:rFonts w:hint="eastAsia" w:ascii="宋体" w:hAnsi="宋体" w:eastAsia="宋体" w:cs="宋体"/>
                <w:sz w:val="24"/>
                <w:szCs w:val="24"/>
              </w:rPr>
              <w:t>分，扣完为止。（内容缺陷是指：  内容非专门针对本项目或不适用项目特性的情形、 内容不够完整或缺少关键节点、套用其他项目方案、 内容前后矛盾、涉及的规范及标准错误、不利于项目实施、不可能实现的情形等任意一种情形）</w:t>
            </w:r>
          </w:p>
        </w:tc>
        <w:tc>
          <w:tcPr>
            <w:tcW w:w="850" w:type="dxa"/>
            <w:vAlign w:val="center"/>
          </w:tcPr>
          <w:p w14:paraId="01887F5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r>
              <w:rPr>
                <w:rFonts w:hint="eastAsia" w:ascii="宋体" w:hAnsi="宋体" w:cs="宋体"/>
                <w:kern w:val="0"/>
                <w:szCs w:val="21"/>
              </w:rPr>
              <w:t>分</w:t>
            </w:r>
          </w:p>
        </w:tc>
        <w:tc>
          <w:tcPr>
            <w:tcW w:w="851" w:type="dxa"/>
            <w:vAlign w:val="center"/>
          </w:tcPr>
          <w:p w14:paraId="13C16540">
            <w:pPr>
              <w:widowControl/>
              <w:jc w:val="center"/>
              <w:rPr>
                <w:rFonts w:hint="eastAsia" w:ascii="宋体" w:hAnsi="宋体" w:cs="宋体"/>
                <w:kern w:val="0"/>
                <w:szCs w:val="21"/>
              </w:rPr>
            </w:pPr>
          </w:p>
        </w:tc>
      </w:tr>
      <w:tr w14:paraId="228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2548B1F0">
            <w:pPr>
              <w:widowControl/>
              <w:jc w:val="center"/>
              <w:rPr>
                <w:rFonts w:hint="eastAsia" w:ascii="宋体" w:hAnsi="宋体" w:cs="宋体"/>
                <w:kern w:val="0"/>
                <w:szCs w:val="21"/>
              </w:rPr>
            </w:pPr>
          </w:p>
        </w:tc>
        <w:tc>
          <w:tcPr>
            <w:tcW w:w="1037" w:type="dxa"/>
            <w:vAlign w:val="center"/>
          </w:tcPr>
          <w:p w14:paraId="41E9A915">
            <w:pPr>
              <w:widowControl/>
              <w:jc w:val="center"/>
              <w:rPr>
                <w:rFonts w:hint="eastAsia" w:ascii="宋体" w:hAnsi="宋体" w:cs="宋体"/>
                <w:kern w:val="0"/>
                <w:szCs w:val="21"/>
              </w:rPr>
            </w:pPr>
            <w:r>
              <w:rPr>
                <w:rFonts w:hint="eastAsia" w:ascii="宋体" w:hAnsi="宋体" w:cs="宋体"/>
                <w:kern w:val="0"/>
                <w:szCs w:val="21"/>
              </w:rPr>
              <w:t>渗透测试方案</w:t>
            </w:r>
          </w:p>
        </w:tc>
        <w:tc>
          <w:tcPr>
            <w:tcW w:w="5767" w:type="dxa"/>
            <w:vAlign w:val="center"/>
          </w:tcPr>
          <w:p w14:paraId="50B14CBF">
            <w:pPr>
              <w:widowControl/>
              <w:jc w:val="left"/>
              <w:rPr>
                <w:rFonts w:hint="eastAsia"/>
              </w:rPr>
            </w:pPr>
            <w:r>
              <w:rPr>
                <w:rFonts w:hint="eastAsia"/>
              </w:rPr>
              <w:t>按照投标文件中针对措施、方法进行评审打分。</w:t>
            </w:r>
          </w:p>
          <w:p w14:paraId="75A4081F">
            <w:pPr>
              <w:widowControl/>
              <w:jc w:val="left"/>
              <w:rPr>
                <w:rFonts w:hint="eastAsia"/>
              </w:rPr>
            </w:pPr>
            <w:r>
              <w:rPr>
                <w:rFonts w:hint="eastAsia"/>
              </w:rPr>
              <w:t>评分标准：方案内容，每出现1处缺项或缺陷的扣1分，扣完5分为止。不提供不得分。</w:t>
            </w:r>
          </w:p>
          <w:p w14:paraId="4E9CB687">
            <w:pPr>
              <w:widowControl/>
              <w:jc w:val="left"/>
              <w:rPr>
                <w:rFonts w:hint="eastAsia"/>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4C244BB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5分</w:t>
            </w:r>
          </w:p>
        </w:tc>
        <w:tc>
          <w:tcPr>
            <w:tcW w:w="851" w:type="dxa"/>
            <w:vAlign w:val="center"/>
          </w:tcPr>
          <w:p w14:paraId="4BD08608">
            <w:pPr>
              <w:widowControl/>
              <w:jc w:val="center"/>
              <w:rPr>
                <w:rFonts w:hint="eastAsia" w:ascii="宋体" w:hAnsi="宋体" w:cs="宋体"/>
                <w:kern w:val="0"/>
                <w:szCs w:val="21"/>
              </w:rPr>
            </w:pPr>
          </w:p>
        </w:tc>
      </w:tr>
      <w:tr w14:paraId="09D2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7D9426A">
            <w:pPr>
              <w:widowControl/>
              <w:jc w:val="center"/>
              <w:rPr>
                <w:rFonts w:hint="eastAsia" w:ascii="宋体" w:hAnsi="宋体" w:cs="宋体"/>
                <w:kern w:val="0"/>
                <w:szCs w:val="21"/>
              </w:rPr>
            </w:pPr>
          </w:p>
        </w:tc>
        <w:tc>
          <w:tcPr>
            <w:tcW w:w="1037" w:type="dxa"/>
            <w:vAlign w:val="center"/>
          </w:tcPr>
          <w:p w14:paraId="75DDF45F">
            <w:pPr>
              <w:widowControl/>
              <w:jc w:val="center"/>
              <w:rPr>
                <w:rFonts w:hint="eastAsia" w:ascii="宋体" w:hAnsi="宋体" w:cs="宋体"/>
                <w:kern w:val="0"/>
                <w:szCs w:val="21"/>
              </w:rPr>
            </w:pPr>
            <w:r>
              <w:rPr>
                <w:rFonts w:hint="eastAsia" w:ascii="宋体" w:hAnsi="宋体" w:cs="宋体"/>
                <w:kern w:val="0"/>
                <w:szCs w:val="21"/>
              </w:rPr>
              <w:t>合理的进度计划</w:t>
            </w:r>
          </w:p>
        </w:tc>
        <w:tc>
          <w:tcPr>
            <w:tcW w:w="5767" w:type="dxa"/>
            <w:vAlign w:val="center"/>
          </w:tcPr>
          <w:p w14:paraId="0E51E2B9">
            <w:pPr>
              <w:widowControl/>
              <w:jc w:val="left"/>
              <w:rPr>
                <w:rFonts w:hint="eastAsia"/>
              </w:rPr>
            </w:pPr>
            <w:r>
              <w:rPr>
                <w:rFonts w:hint="eastAsia"/>
              </w:rPr>
              <w:t>供应商针对本项目需求提供实施总体进度计划和保障措施，实施进度计划应满足招标文件技术部分要求，提供实施进度节点图，根据供应商提供的方案进行打分。</w:t>
            </w:r>
          </w:p>
          <w:p w14:paraId="2C9CC8D9">
            <w:pPr>
              <w:widowControl/>
              <w:jc w:val="left"/>
              <w:rPr>
                <w:rFonts w:hint="eastAsia"/>
              </w:rPr>
            </w:pPr>
            <w:r>
              <w:rPr>
                <w:rFonts w:hint="eastAsia"/>
              </w:rPr>
              <w:t>评分标准：方案全部覆盖</w:t>
            </w:r>
            <w:r>
              <w:rPr>
                <w:rFonts w:hint="eastAsia" w:ascii="宋体" w:hAnsi="宋体" w:cs="宋体"/>
                <w:kern w:val="0"/>
                <w:szCs w:val="21"/>
              </w:rPr>
              <w:t>等保测评</w:t>
            </w:r>
            <w:r>
              <w:rPr>
                <w:rFonts w:hint="eastAsia" w:ascii="宋体" w:hAnsi="宋体" w:cs="宋体"/>
                <w:kern w:val="0"/>
                <w:szCs w:val="21"/>
                <w:lang w:eastAsia="zh-CN"/>
              </w:rPr>
              <w:t>、</w:t>
            </w:r>
            <w:r>
              <w:rPr>
                <w:rFonts w:hint="eastAsia" w:ascii="宋体" w:hAnsi="宋体" w:cs="宋体"/>
                <w:kern w:val="0"/>
                <w:szCs w:val="21"/>
              </w:rPr>
              <w:t>网络安全服务</w:t>
            </w:r>
            <w:r>
              <w:rPr>
                <w:rFonts w:hint="eastAsia"/>
              </w:rPr>
              <w:t>2个方面内容，每个方案内容2.5分，满分5分；每个方案内容，每出现1处缺项或缺陷的扣1分，扣完2.5分为止。不提供不得分。</w:t>
            </w:r>
          </w:p>
          <w:p w14:paraId="08B29480">
            <w:pPr>
              <w:widowControl/>
              <w:jc w:val="left"/>
              <w:rPr>
                <w:rFonts w:hint="eastAsia"/>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1D2B1716">
            <w:pPr>
              <w:widowControl/>
              <w:jc w:val="center"/>
              <w:rPr>
                <w:rFonts w:hint="eastAsia" w:ascii="宋体" w:hAnsi="宋体" w:cs="宋体"/>
                <w:kern w:val="0"/>
                <w:szCs w:val="21"/>
              </w:rPr>
            </w:pPr>
            <w:r>
              <w:rPr>
                <w:rFonts w:hint="eastAsia" w:ascii="宋体" w:hAnsi="宋体" w:cs="宋体"/>
                <w:kern w:val="0"/>
                <w:szCs w:val="21"/>
                <w:lang w:val="en-US" w:eastAsia="zh-CN"/>
              </w:rPr>
              <w:t>5分</w:t>
            </w:r>
          </w:p>
        </w:tc>
        <w:tc>
          <w:tcPr>
            <w:tcW w:w="851" w:type="dxa"/>
            <w:vAlign w:val="center"/>
          </w:tcPr>
          <w:p w14:paraId="08D7DBB7">
            <w:pPr>
              <w:widowControl/>
              <w:jc w:val="center"/>
              <w:rPr>
                <w:rFonts w:hint="eastAsia" w:ascii="宋体" w:hAnsi="宋体" w:cs="宋体"/>
                <w:kern w:val="0"/>
                <w:szCs w:val="21"/>
              </w:rPr>
            </w:pPr>
          </w:p>
        </w:tc>
      </w:tr>
      <w:tr w14:paraId="30E8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4A06EB62">
            <w:pPr>
              <w:widowControl/>
              <w:jc w:val="center"/>
              <w:rPr>
                <w:rFonts w:hint="eastAsia" w:ascii="宋体" w:hAnsi="宋体" w:cs="宋体"/>
                <w:kern w:val="0"/>
                <w:szCs w:val="21"/>
              </w:rPr>
            </w:pPr>
          </w:p>
        </w:tc>
        <w:tc>
          <w:tcPr>
            <w:tcW w:w="1037" w:type="dxa"/>
            <w:vMerge w:val="restart"/>
            <w:vAlign w:val="center"/>
          </w:tcPr>
          <w:p w14:paraId="05616C87">
            <w:pPr>
              <w:widowControl/>
              <w:jc w:val="center"/>
              <w:rPr>
                <w:rFonts w:hint="eastAsia" w:ascii="宋体" w:hAnsi="宋体" w:cs="宋体"/>
                <w:kern w:val="0"/>
                <w:szCs w:val="21"/>
              </w:rPr>
            </w:pPr>
            <w:r>
              <w:rPr>
                <w:rFonts w:hint="eastAsia" w:ascii="宋体" w:hAnsi="宋体" w:cs="宋体"/>
                <w:kern w:val="0"/>
                <w:szCs w:val="21"/>
              </w:rPr>
              <w:t>项目实施能力</w:t>
            </w:r>
          </w:p>
        </w:tc>
        <w:tc>
          <w:tcPr>
            <w:tcW w:w="5767" w:type="dxa"/>
            <w:vAlign w:val="center"/>
          </w:tcPr>
          <w:p w14:paraId="37EE0971">
            <w:pPr>
              <w:widowControl/>
              <w:jc w:val="left"/>
              <w:rPr>
                <w:rFonts w:hint="eastAsia" w:ascii="宋体" w:hAnsi="宋体" w:cs="宋体"/>
                <w:kern w:val="0"/>
                <w:szCs w:val="21"/>
              </w:rPr>
            </w:pPr>
            <w:r>
              <w:rPr>
                <w:rFonts w:hint="eastAsia" w:ascii="宋体" w:hAnsi="宋体" w:cs="宋体"/>
                <w:kern w:val="0"/>
                <w:szCs w:val="21"/>
              </w:rPr>
              <w:t>项目技术负责人具有等保测评高级测评师资质</w:t>
            </w:r>
            <w:r>
              <w:rPr>
                <w:rFonts w:hint="eastAsia" w:ascii="宋体" w:hAnsi="宋体" w:cs="宋体"/>
                <w:kern w:val="0"/>
                <w:szCs w:val="21"/>
                <w:lang w:val="en-US" w:eastAsia="zh-CN"/>
              </w:rPr>
              <w:t>和高级职称证书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14448820">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1C6F315C">
            <w:pPr>
              <w:widowControl/>
              <w:jc w:val="center"/>
              <w:rPr>
                <w:rFonts w:hint="eastAsia" w:ascii="宋体" w:hAnsi="宋体" w:cs="宋体"/>
                <w:kern w:val="0"/>
                <w:szCs w:val="21"/>
              </w:rPr>
            </w:pPr>
          </w:p>
        </w:tc>
      </w:tr>
      <w:tr w14:paraId="1106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5653F2C6">
            <w:pPr>
              <w:widowControl/>
              <w:jc w:val="center"/>
              <w:rPr>
                <w:rFonts w:hint="eastAsia" w:ascii="宋体" w:hAnsi="宋体" w:cs="宋体"/>
                <w:kern w:val="0"/>
                <w:szCs w:val="21"/>
              </w:rPr>
            </w:pPr>
          </w:p>
        </w:tc>
        <w:tc>
          <w:tcPr>
            <w:tcW w:w="1037" w:type="dxa"/>
            <w:vMerge w:val="continue"/>
            <w:vAlign w:val="center"/>
          </w:tcPr>
          <w:p w14:paraId="7AF2254D">
            <w:pPr>
              <w:widowControl/>
              <w:jc w:val="center"/>
              <w:rPr>
                <w:rFonts w:hint="eastAsia" w:ascii="宋体" w:hAnsi="宋体" w:cs="宋体"/>
                <w:kern w:val="0"/>
                <w:szCs w:val="21"/>
              </w:rPr>
            </w:pPr>
          </w:p>
        </w:tc>
        <w:tc>
          <w:tcPr>
            <w:tcW w:w="5767" w:type="dxa"/>
            <w:vAlign w:val="center"/>
          </w:tcPr>
          <w:p w14:paraId="78C398C8">
            <w:pPr>
              <w:widowControl/>
              <w:jc w:val="left"/>
              <w:rPr>
                <w:rFonts w:hint="eastAsia" w:ascii="宋体" w:hAnsi="宋体" w:cs="宋体"/>
                <w:kern w:val="0"/>
                <w:szCs w:val="21"/>
              </w:rPr>
            </w:pPr>
            <w:r>
              <w:rPr>
                <w:rFonts w:hint="eastAsia" w:ascii="宋体" w:hAnsi="宋体" w:cs="宋体"/>
                <w:kern w:val="0"/>
                <w:szCs w:val="21"/>
              </w:rPr>
              <w:t>项目质量负责人具备中级（含）以上测评师资质和</w:t>
            </w:r>
            <w:r>
              <w:rPr>
                <w:rFonts w:hint="eastAsia" w:ascii="宋体" w:hAnsi="宋体" w:cs="宋体"/>
                <w:kern w:val="0"/>
                <w:szCs w:val="21"/>
                <w:lang w:val="en-US" w:eastAsia="zh-CN"/>
              </w:rPr>
              <w:t>计算机软件水平考试(软考)高级证书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5EA926AE">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08C8C2DE">
            <w:pPr>
              <w:widowControl/>
              <w:jc w:val="center"/>
              <w:rPr>
                <w:rFonts w:hint="eastAsia" w:ascii="宋体" w:hAnsi="宋体" w:cs="宋体"/>
                <w:kern w:val="0"/>
                <w:szCs w:val="21"/>
              </w:rPr>
            </w:pPr>
          </w:p>
        </w:tc>
      </w:tr>
      <w:tr w14:paraId="5B1A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F5B4A19">
            <w:pPr>
              <w:widowControl/>
              <w:jc w:val="center"/>
              <w:rPr>
                <w:rFonts w:hint="eastAsia" w:ascii="宋体" w:hAnsi="宋体" w:cs="宋体"/>
                <w:kern w:val="0"/>
                <w:szCs w:val="21"/>
              </w:rPr>
            </w:pPr>
          </w:p>
        </w:tc>
        <w:tc>
          <w:tcPr>
            <w:tcW w:w="1037" w:type="dxa"/>
            <w:vMerge w:val="continue"/>
            <w:vAlign w:val="center"/>
          </w:tcPr>
          <w:p w14:paraId="63465AC7">
            <w:pPr>
              <w:widowControl/>
              <w:jc w:val="center"/>
              <w:rPr>
                <w:rFonts w:hint="eastAsia" w:ascii="宋体" w:hAnsi="宋体" w:cs="宋体"/>
                <w:kern w:val="0"/>
                <w:szCs w:val="21"/>
              </w:rPr>
            </w:pPr>
          </w:p>
        </w:tc>
        <w:tc>
          <w:tcPr>
            <w:tcW w:w="5767" w:type="dxa"/>
            <w:vAlign w:val="center"/>
          </w:tcPr>
          <w:p w14:paraId="59F14758">
            <w:pPr>
              <w:widowControl/>
              <w:jc w:val="left"/>
              <w:rPr>
                <w:rFonts w:hint="eastAsia" w:ascii="宋体" w:hAnsi="宋体" w:eastAsia="宋体" w:cs="宋体"/>
                <w:kern w:val="0"/>
                <w:szCs w:val="21"/>
                <w:lang w:eastAsia="zh-CN"/>
              </w:rPr>
            </w:pPr>
            <w:r>
              <w:rPr>
                <w:rFonts w:hint="eastAsia" w:ascii="宋体" w:hAnsi="宋体" w:cs="宋体"/>
                <w:kern w:val="0"/>
                <w:szCs w:val="21"/>
              </w:rPr>
              <w:t>等保测评师具有网络安全保障专业人员培训证书（</w:t>
            </w:r>
            <w:r>
              <w:rPr>
                <w:rFonts w:hint="eastAsia" w:ascii="宋体" w:hAnsi="宋体" w:cs="宋体"/>
                <w:kern w:val="0"/>
                <w:szCs w:val="21"/>
                <w:lang w:val="en-US" w:eastAsia="zh-CN"/>
              </w:rPr>
              <w:t>CISP</w:t>
            </w:r>
            <w:r>
              <w:rPr>
                <w:rFonts w:hint="eastAsia" w:ascii="宋体" w:hAnsi="宋体" w:cs="宋体"/>
                <w:kern w:val="0"/>
                <w:szCs w:val="21"/>
                <w:lang w:eastAsia="zh-CN"/>
              </w:rPr>
              <w:t>、</w:t>
            </w:r>
            <w:r>
              <w:rPr>
                <w:rFonts w:hint="eastAsia" w:ascii="宋体" w:hAnsi="宋体" w:cs="宋体"/>
                <w:kern w:val="0"/>
                <w:szCs w:val="21"/>
              </w:rPr>
              <w:t>ECSP），每满足1个人</w:t>
            </w:r>
            <w:r>
              <w:rPr>
                <w:rFonts w:hint="eastAsia" w:ascii="宋体" w:hAnsi="宋体" w:cs="宋体"/>
                <w:kern w:val="0"/>
                <w:szCs w:val="21"/>
                <w:lang w:val="en-US" w:eastAsia="zh-CN"/>
              </w:rPr>
              <w:t>有CISP</w:t>
            </w:r>
            <w:r>
              <w:rPr>
                <w:rFonts w:hint="eastAsia" w:ascii="宋体" w:hAnsi="宋体" w:cs="宋体"/>
                <w:kern w:val="0"/>
                <w:szCs w:val="21"/>
              </w:rPr>
              <w:t>得2分，满分</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每满足1个人</w:t>
            </w:r>
            <w:r>
              <w:rPr>
                <w:rFonts w:hint="eastAsia" w:ascii="宋体" w:hAnsi="宋体" w:cs="宋体"/>
                <w:kern w:val="0"/>
                <w:szCs w:val="21"/>
                <w:lang w:val="en-US" w:eastAsia="zh-CN"/>
              </w:rPr>
              <w:t>有</w:t>
            </w:r>
            <w:r>
              <w:rPr>
                <w:rFonts w:hint="eastAsia" w:ascii="宋体" w:hAnsi="宋体" w:cs="宋体"/>
                <w:kern w:val="0"/>
                <w:szCs w:val="21"/>
              </w:rPr>
              <w:t>ECSP得2分，满分</w:t>
            </w:r>
            <w:r>
              <w:rPr>
                <w:rFonts w:hint="eastAsia" w:ascii="宋体" w:hAnsi="宋体" w:cs="宋体"/>
                <w:kern w:val="0"/>
                <w:szCs w:val="21"/>
                <w:lang w:val="en-US" w:eastAsia="zh-CN"/>
              </w:rPr>
              <w:t>6</w:t>
            </w:r>
            <w:r>
              <w:rPr>
                <w:rFonts w:hint="eastAsia" w:ascii="宋体" w:hAnsi="宋体" w:cs="宋体"/>
                <w:kern w:val="0"/>
                <w:szCs w:val="21"/>
              </w:rPr>
              <w:t>分</w:t>
            </w:r>
            <w:r>
              <w:rPr>
                <w:rFonts w:hint="eastAsia" w:ascii="宋体" w:hAnsi="宋体" w:cs="宋体"/>
                <w:kern w:val="0"/>
                <w:szCs w:val="21"/>
                <w:lang w:eastAsia="zh-CN"/>
              </w:rPr>
              <w:t>。</w:t>
            </w:r>
          </w:p>
        </w:tc>
        <w:tc>
          <w:tcPr>
            <w:tcW w:w="850" w:type="dxa"/>
            <w:vAlign w:val="center"/>
          </w:tcPr>
          <w:p w14:paraId="1EF99BED">
            <w:pPr>
              <w:widowControl/>
              <w:jc w:val="center"/>
              <w:rPr>
                <w:rFonts w:hint="eastAsia" w:ascii="宋体" w:hAnsi="宋体" w:cs="宋体"/>
                <w:kern w:val="0"/>
                <w:szCs w:val="21"/>
              </w:rPr>
            </w:pPr>
            <w:r>
              <w:rPr>
                <w:rFonts w:hint="eastAsia" w:ascii="宋体" w:hAnsi="宋体" w:cs="宋体"/>
                <w:kern w:val="0"/>
                <w:szCs w:val="21"/>
                <w:lang w:val="en-US" w:eastAsia="zh-CN"/>
              </w:rPr>
              <w:t>10分</w:t>
            </w:r>
          </w:p>
        </w:tc>
        <w:tc>
          <w:tcPr>
            <w:tcW w:w="851" w:type="dxa"/>
            <w:vAlign w:val="center"/>
          </w:tcPr>
          <w:p w14:paraId="34748215">
            <w:pPr>
              <w:widowControl/>
              <w:jc w:val="center"/>
              <w:rPr>
                <w:rFonts w:hint="eastAsia" w:ascii="宋体" w:hAnsi="宋体" w:cs="宋体"/>
                <w:kern w:val="0"/>
                <w:szCs w:val="21"/>
              </w:rPr>
            </w:pPr>
          </w:p>
        </w:tc>
      </w:tr>
      <w:tr w14:paraId="5673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265DDEE">
            <w:pPr>
              <w:widowControl/>
              <w:jc w:val="center"/>
              <w:rPr>
                <w:rFonts w:hint="eastAsia" w:ascii="宋体" w:hAnsi="宋体" w:cs="宋体"/>
                <w:kern w:val="0"/>
                <w:szCs w:val="21"/>
              </w:rPr>
            </w:pPr>
          </w:p>
        </w:tc>
        <w:tc>
          <w:tcPr>
            <w:tcW w:w="1037" w:type="dxa"/>
            <w:vAlign w:val="center"/>
          </w:tcPr>
          <w:p w14:paraId="70BD2F6B">
            <w:pPr>
              <w:widowControl/>
              <w:jc w:val="center"/>
              <w:rPr>
                <w:rFonts w:hint="eastAsia" w:ascii="宋体" w:hAnsi="宋体" w:cs="宋体"/>
                <w:kern w:val="0"/>
                <w:szCs w:val="21"/>
              </w:rPr>
            </w:pPr>
            <w:r>
              <w:rPr>
                <w:rFonts w:hint="eastAsia" w:ascii="宋体" w:hAnsi="宋体" w:cs="宋体"/>
                <w:kern w:val="0"/>
                <w:szCs w:val="21"/>
              </w:rPr>
              <w:t>项目团队的组成结构</w:t>
            </w:r>
          </w:p>
        </w:tc>
        <w:tc>
          <w:tcPr>
            <w:tcW w:w="5767" w:type="dxa"/>
            <w:vAlign w:val="center"/>
          </w:tcPr>
          <w:p w14:paraId="4D289BC1">
            <w:pPr>
              <w:widowControl/>
              <w:jc w:val="left"/>
              <w:rPr>
                <w:rFonts w:hint="eastAsia"/>
              </w:rPr>
            </w:pPr>
            <w:r>
              <w:rPr>
                <w:rFonts w:hint="eastAsia"/>
              </w:rPr>
              <w:t>应满足招标文件人员要求</w:t>
            </w:r>
            <w:r>
              <w:rPr>
                <w:rFonts w:hint="eastAsia"/>
                <w:lang w:eastAsia="zh-CN"/>
              </w:rPr>
              <w:t>，</w:t>
            </w:r>
            <w:r>
              <w:rPr>
                <w:rFonts w:hint="eastAsia"/>
              </w:rPr>
              <w:t>根据供应商提供的</w:t>
            </w:r>
            <w:r>
              <w:rPr>
                <w:rFonts w:hint="eastAsia"/>
                <w:lang w:val="en-US" w:eastAsia="zh-CN"/>
              </w:rPr>
              <w:t>团队</w:t>
            </w:r>
            <w:r>
              <w:rPr>
                <w:rFonts w:hint="eastAsia"/>
              </w:rPr>
              <w:t>方案进行打分</w:t>
            </w:r>
            <w:r>
              <w:rPr>
                <w:rFonts w:hint="eastAsia"/>
                <w:lang w:eastAsia="zh-CN"/>
              </w:rPr>
              <w:t>。</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工明确、质量保障团队配备齐全得8分；</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w:t>
            </w:r>
            <w:r>
              <w:rPr>
                <w:rFonts w:hint="eastAsia" w:ascii="宋体" w:hAnsi="宋体" w:cs="宋体"/>
                <w:kern w:val="0"/>
                <w:szCs w:val="21"/>
                <w:lang w:val="en-US" w:eastAsia="zh-CN"/>
              </w:rPr>
              <w:t>不</w:t>
            </w:r>
            <w:r>
              <w:rPr>
                <w:rFonts w:hint="eastAsia" w:ascii="宋体" w:hAnsi="宋体" w:cs="宋体"/>
                <w:kern w:val="0"/>
                <w:szCs w:val="21"/>
              </w:rPr>
              <w:t>明确、质量保障团队配备</w:t>
            </w:r>
            <w:r>
              <w:rPr>
                <w:rFonts w:hint="eastAsia" w:ascii="宋体" w:hAnsi="宋体" w:cs="宋体"/>
                <w:kern w:val="0"/>
                <w:szCs w:val="21"/>
                <w:lang w:val="en-US" w:eastAsia="zh-CN"/>
              </w:rPr>
              <w:t>不</w:t>
            </w:r>
            <w:r>
              <w:rPr>
                <w:rFonts w:hint="eastAsia" w:ascii="宋体" w:hAnsi="宋体" w:cs="宋体"/>
                <w:kern w:val="0"/>
                <w:szCs w:val="21"/>
              </w:rPr>
              <w:t>齐全得4分；</w:t>
            </w:r>
            <w:r>
              <w:rPr>
                <w:rFonts w:hint="eastAsia"/>
                <w:lang w:val="en-US"/>
              </w:rPr>
              <w:t>高级中级初级等保测评师</w:t>
            </w:r>
            <w:r>
              <w:rPr>
                <w:rFonts w:hint="eastAsia"/>
                <w:lang w:val="en-US" w:eastAsia="zh-CN"/>
              </w:rPr>
              <w:t>未按要求人数配备、团队无</w:t>
            </w:r>
            <w:r>
              <w:rPr>
                <w:rFonts w:hint="eastAsia"/>
              </w:rPr>
              <w:t>分</w:t>
            </w:r>
            <w:r>
              <w:rPr>
                <w:rFonts w:hint="eastAsia" w:ascii="宋体" w:hAnsi="宋体" w:cs="宋体"/>
                <w:kern w:val="0"/>
                <w:szCs w:val="21"/>
              </w:rPr>
              <w:t>工明确、质量保障团队</w:t>
            </w:r>
            <w:r>
              <w:rPr>
                <w:rFonts w:hint="eastAsia" w:ascii="宋体" w:hAnsi="宋体" w:cs="宋体"/>
                <w:kern w:val="0"/>
                <w:szCs w:val="21"/>
                <w:lang w:val="en-US" w:eastAsia="zh-CN"/>
              </w:rPr>
              <w:t>未</w:t>
            </w:r>
            <w:r>
              <w:rPr>
                <w:rFonts w:hint="eastAsia" w:ascii="宋体" w:hAnsi="宋体" w:cs="宋体"/>
                <w:kern w:val="0"/>
                <w:szCs w:val="21"/>
              </w:rPr>
              <w:t>配备齐全得0分</w:t>
            </w:r>
          </w:p>
        </w:tc>
        <w:tc>
          <w:tcPr>
            <w:tcW w:w="850" w:type="dxa"/>
            <w:vAlign w:val="center"/>
          </w:tcPr>
          <w:p w14:paraId="6A86F3F1">
            <w:pPr>
              <w:widowControl/>
              <w:jc w:val="center"/>
              <w:rPr>
                <w:rFonts w:hint="eastAsia" w:ascii="宋体" w:hAnsi="宋体" w:cs="宋体"/>
                <w:kern w:val="0"/>
                <w:szCs w:val="21"/>
              </w:rPr>
            </w:pPr>
            <w:r>
              <w:rPr>
                <w:rFonts w:hint="eastAsia" w:ascii="宋体" w:hAnsi="宋体" w:cs="宋体"/>
                <w:kern w:val="0"/>
                <w:szCs w:val="21"/>
                <w:lang w:val="en-US" w:eastAsia="zh-CN"/>
              </w:rPr>
              <w:t>8分</w:t>
            </w:r>
          </w:p>
        </w:tc>
        <w:tc>
          <w:tcPr>
            <w:tcW w:w="851" w:type="dxa"/>
            <w:vAlign w:val="center"/>
          </w:tcPr>
          <w:p w14:paraId="0136136E">
            <w:pPr>
              <w:widowControl/>
              <w:jc w:val="center"/>
              <w:rPr>
                <w:rFonts w:hint="eastAsia" w:ascii="宋体" w:hAnsi="宋体" w:cs="宋体"/>
                <w:kern w:val="0"/>
                <w:szCs w:val="21"/>
              </w:rPr>
            </w:pPr>
          </w:p>
        </w:tc>
      </w:tr>
      <w:tr w14:paraId="7860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4EFAAD8F">
            <w:pPr>
              <w:widowControl/>
              <w:jc w:val="center"/>
              <w:rPr>
                <w:rFonts w:ascii="宋体" w:hAnsi="宋体" w:cs="宋体"/>
                <w:kern w:val="0"/>
                <w:szCs w:val="21"/>
              </w:rPr>
            </w:pPr>
            <w:r>
              <w:rPr>
                <w:rFonts w:hint="eastAsia" w:ascii="宋体" w:hAnsi="宋体" w:cs="宋体"/>
                <w:kern w:val="0"/>
                <w:szCs w:val="21"/>
              </w:rPr>
              <w:t>商务评分（</w:t>
            </w:r>
            <w:r>
              <w:rPr>
                <w:rFonts w:ascii="宋体" w:hAnsi="宋体" w:cs="宋体"/>
                <w:b/>
                <w:kern w:val="0"/>
                <w:szCs w:val="21"/>
              </w:rPr>
              <w:t>30</w:t>
            </w:r>
            <w:r>
              <w:rPr>
                <w:rFonts w:hint="eastAsia" w:ascii="宋体" w:hAnsi="宋体" w:cs="宋体"/>
                <w:kern w:val="0"/>
                <w:szCs w:val="21"/>
              </w:rPr>
              <w:t>分）</w:t>
            </w:r>
          </w:p>
        </w:tc>
        <w:tc>
          <w:tcPr>
            <w:tcW w:w="1037" w:type="dxa"/>
            <w:vAlign w:val="center"/>
          </w:tcPr>
          <w:p w14:paraId="1E3606EF">
            <w:pPr>
              <w:widowControl/>
              <w:jc w:val="center"/>
              <w:rPr>
                <w:rFonts w:ascii="宋体" w:hAnsi="宋体" w:cs="宋体"/>
                <w:kern w:val="0"/>
                <w:szCs w:val="21"/>
              </w:rPr>
            </w:pPr>
            <w:r>
              <w:rPr>
                <w:rFonts w:hint="eastAsia" w:ascii="宋体" w:hAnsi="宋体" w:cs="宋体"/>
                <w:kern w:val="0"/>
                <w:szCs w:val="21"/>
              </w:rPr>
              <w:t>综合实力</w:t>
            </w:r>
          </w:p>
        </w:tc>
        <w:tc>
          <w:tcPr>
            <w:tcW w:w="5767" w:type="dxa"/>
            <w:vAlign w:val="center"/>
          </w:tcPr>
          <w:p w14:paraId="08D4626E">
            <w:pPr>
              <w:widowControl/>
              <w:jc w:val="left"/>
              <w:rPr>
                <w:rFonts w:hint="eastAsia" w:ascii="宋体" w:hAnsi="宋体" w:cs="宋体"/>
                <w:kern w:val="0"/>
                <w:szCs w:val="21"/>
              </w:rPr>
            </w:pPr>
            <w:r>
              <w:rPr>
                <w:rFonts w:hint="eastAsia" w:ascii="宋体" w:hAnsi="宋体" w:cs="宋体"/>
                <w:kern w:val="0"/>
                <w:szCs w:val="21"/>
              </w:rPr>
              <w:t>1.供应商具有国家认证认可监督管理委员会颁发的检验检测机构资质认定证书（CMA）（非实验室证书）且检验检测能力范围覆盖信息系统安全等级保护测评，并提供认定证书和证书附表复印件并加盖供应商公章，得4分，否则不得分。</w:t>
            </w:r>
          </w:p>
          <w:p w14:paraId="4C4B85D5">
            <w:pPr>
              <w:widowControl/>
              <w:jc w:val="left"/>
              <w:rPr>
                <w:rFonts w:hint="eastAsia" w:ascii="宋体" w:hAnsi="宋体" w:cs="宋体"/>
                <w:kern w:val="0"/>
                <w:szCs w:val="21"/>
              </w:rPr>
            </w:pPr>
            <w:r>
              <w:rPr>
                <w:rFonts w:hint="eastAsia" w:ascii="宋体" w:hAnsi="宋体" w:cs="宋体"/>
                <w:kern w:val="0"/>
                <w:szCs w:val="21"/>
              </w:rPr>
              <w:t>2.供应商拥有中国合格评定国家认可委员会颁发的CNAS检验机构认可证书（不含实验室认可证书），检验检测能力范围覆盖信息系统安全等级保护测评及风险评估，并提供认可证书复印件并加盖供应商公章，得4分，否则不得分。</w:t>
            </w:r>
          </w:p>
          <w:p w14:paraId="76A0EEA9">
            <w:pPr>
              <w:widowControl/>
              <w:jc w:val="left"/>
              <w:rPr>
                <w:rFonts w:hint="eastAsia" w:ascii="宋体" w:hAnsi="宋体" w:cs="宋体"/>
                <w:kern w:val="0"/>
                <w:szCs w:val="21"/>
              </w:rPr>
            </w:pPr>
            <w:r>
              <w:rPr>
                <w:rFonts w:hint="eastAsia" w:ascii="宋体" w:hAnsi="宋体" w:cs="宋体"/>
                <w:kern w:val="0"/>
                <w:szCs w:val="21"/>
              </w:rPr>
              <w:t>3.供应商拥有质量管理体系认证证书ISO 9001，通用认证范围涵盖信息系统安全等级保护测评、风险评估、安全运维及应急处理服务，并提供认证证书复印件并加盖供应商公章，得4分，否则不得分。</w:t>
            </w:r>
          </w:p>
          <w:p w14:paraId="3022F49C">
            <w:pPr>
              <w:widowControl/>
              <w:jc w:val="left"/>
              <w:rPr>
                <w:rFonts w:hint="eastAsia" w:ascii="宋体" w:hAnsi="宋体" w:cs="宋体"/>
                <w:kern w:val="0"/>
                <w:szCs w:val="21"/>
              </w:rPr>
            </w:pPr>
            <w:r>
              <w:rPr>
                <w:rFonts w:hint="eastAsia" w:ascii="宋体" w:hAnsi="宋体" w:cs="宋体"/>
                <w:kern w:val="0"/>
                <w:szCs w:val="21"/>
              </w:rPr>
              <w:t>4.供应商拥有业务连续性管理体系认证证书ISO 22301.通用认证范围涵盖信息系统安全等级保护测评、风险评估、安全运维及应急处理服务并提供认证证书复印件并加盖供应商公章，得4分，否则不得分。</w:t>
            </w:r>
          </w:p>
          <w:p w14:paraId="45C3DE1D">
            <w:pPr>
              <w:widowControl/>
              <w:jc w:val="left"/>
              <w:rPr>
                <w:rFonts w:ascii="宋体" w:hAnsi="宋体" w:cs="宋体"/>
                <w:kern w:val="0"/>
                <w:szCs w:val="21"/>
              </w:rPr>
            </w:pPr>
            <w:r>
              <w:rPr>
                <w:rFonts w:hint="eastAsia" w:ascii="宋体" w:hAnsi="宋体" w:cs="宋体"/>
                <w:kern w:val="0"/>
                <w:szCs w:val="21"/>
              </w:rPr>
              <w:t>5.供应商拥有信息安全管理体系认证证书ISO 27001，通用认证范围涵盖信息系统安全等级保护测评、风险评估、安全运维及应急处理服务，并提供认证证书复印件并加盖供应商公章，得4分，否则不得分。</w:t>
            </w:r>
          </w:p>
        </w:tc>
        <w:tc>
          <w:tcPr>
            <w:tcW w:w="850" w:type="dxa"/>
            <w:vAlign w:val="center"/>
          </w:tcPr>
          <w:p w14:paraId="581290AD">
            <w:pPr>
              <w:widowControl/>
              <w:jc w:val="center"/>
              <w:rPr>
                <w:rFonts w:ascii="宋体" w:hAnsi="宋体" w:cs="宋体"/>
                <w:kern w:val="0"/>
                <w:szCs w:val="21"/>
              </w:rPr>
            </w:pPr>
            <w:r>
              <w:rPr>
                <w:rFonts w:hint="eastAsia" w:ascii="宋体" w:hAnsi="宋体" w:cs="宋体"/>
                <w:b w:val="0"/>
                <w:bCs/>
                <w:kern w:val="0"/>
                <w:szCs w:val="21"/>
                <w:lang w:val="en-US" w:eastAsia="zh-CN"/>
              </w:rPr>
              <w:t>20</w:t>
            </w:r>
            <w:r>
              <w:rPr>
                <w:rFonts w:hint="eastAsia" w:ascii="宋体" w:hAnsi="宋体" w:cs="宋体"/>
                <w:kern w:val="0"/>
                <w:szCs w:val="21"/>
              </w:rPr>
              <w:t>分</w:t>
            </w:r>
          </w:p>
        </w:tc>
        <w:tc>
          <w:tcPr>
            <w:tcW w:w="851" w:type="dxa"/>
            <w:vAlign w:val="center"/>
          </w:tcPr>
          <w:p w14:paraId="49AF10B1">
            <w:pPr>
              <w:widowControl/>
              <w:jc w:val="center"/>
              <w:rPr>
                <w:rFonts w:ascii="宋体" w:hAnsi="宋体" w:cs="宋体"/>
                <w:kern w:val="0"/>
                <w:szCs w:val="21"/>
              </w:rPr>
            </w:pPr>
          </w:p>
        </w:tc>
      </w:tr>
      <w:tr w14:paraId="0986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008E889">
            <w:pPr>
              <w:widowControl/>
              <w:jc w:val="center"/>
              <w:rPr>
                <w:rFonts w:ascii="宋体" w:hAnsi="宋体" w:cs="宋体"/>
                <w:kern w:val="0"/>
                <w:szCs w:val="21"/>
              </w:rPr>
            </w:pPr>
          </w:p>
        </w:tc>
        <w:tc>
          <w:tcPr>
            <w:tcW w:w="1037" w:type="dxa"/>
            <w:vAlign w:val="center"/>
          </w:tcPr>
          <w:p w14:paraId="58B71218">
            <w:pPr>
              <w:widowControl/>
              <w:jc w:val="center"/>
              <w:rPr>
                <w:rFonts w:ascii="宋体" w:hAnsi="宋体" w:cs="宋体"/>
                <w:kern w:val="0"/>
                <w:szCs w:val="21"/>
              </w:rPr>
            </w:pPr>
            <w:r>
              <w:rPr>
                <w:rFonts w:hint="eastAsia" w:ascii="宋体" w:hAnsi="宋体" w:cs="宋体"/>
                <w:kern w:val="0"/>
                <w:szCs w:val="21"/>
              </w:rPr>
              <w:t>类似业绩（</w:t>
            </w:r>
            <w:r>
              <w:rPr>
                <w:rFonts w:ascii="宋体" w:hAnsi="宋体" w:cs="宋体"/>
                <w:b/>
                <w:kern w:val="0"/>
                <w:szCs w:val="21"/>
              </w:rPr>
              <w:t>10</w:t>
            </w:r>
            <w:r>
              <w:rPr>
                <w:rFonts w:hint="eastAsia" w:ascii="宋体" w:hAnsi="宋体" w:cs="宋体"/>
                <w:kern w:val="0"/>
                <w:szCs w:val="21"/>
              </w:rPr>
              <w:t>分）</w:t>
            </w:r>
          </w:p>
        </w:tc>
        <w:tc>
          <w:tcPr>
            <w:tcW w:w="5767" w:type="dxa"/>
            <w:vAlign w:val="center"/>
          </w:tcPr>
          <w:p w14:paraId="0C548856">
            <w:pPr>
              <w:widowControl/>
              <w:jc w:val="left"/>
              <w:rPr>
                <w:rFonts w:hint="eastAsia" w:ascii="宋体" w:hAnsi="宋体" w:cs="宋体"/>
                <w:kern w:val="0"/>
                <w:szCs w:val="21"/>
              </w:rPr>
            </w:pPr>
            <w:r>
              <w:rPr>
                <w:rFonts w:hint="eastAsia" w:ascii="宋体" w:hAnsi="宋体" w:cs="宋体"/>
                <w:kern w:val="0"/>
                <w:szCs w:val="21"/>
              </w:rPr>
              <w:t>提供近两年</w:t>
            </w:r>
            <w:r>
              <w:rPr>
                <w:rFonts w:hint="eastAsia" w:ascii="宋体" w:hAnsi="宋体" w:cs="宋体"/>
                <w:kern w:val="0"/>
                <w:szCs w:val="21"/>
                <w:lang w:eastAsia="zh-CN"/>
              </w:rPr>
              <w:t>（</w:t>
            </w:r>
            <w:r>
              <w:rPr>
                <w:rFonts w:hint="eastAsia" w:ascii="宋体" w:hAnsi="宋体" w:cs="宋体"/>
                <w:kern w:val="0"/>
                <w:szCs w:val="21"/>
                <w:lang w:val="en-US" w:eastAsia="zh-CN"/>
              </w:rPr>
              <w:t>2023年6月1日</w:t>
            </w:r>
            <w:r>
              <w:rPr>
                <w:rFonts w:hint="eastAsia" w:ascii="宋体" w:hAnsi="宋体" w:cs="宋体"/>
                <w:kern w:val="0"/>
                <w:szCs w:val="21"/>
                <w:lang w:eastAsia="zh-CN"/>
              </w:rPr>
              <w:t>）</w:t>
            </w:r>
            <w:r>
              <w:rPr>
                <w:rFonts w:hint="eastAsia" w:ascii="宋体" w:hAnsi="宋体" w:cs="宋体"/>
                <w:kern w:val="0"/>
                <w:szCs w:val="21"/>
              </w:rPr>
              <w:t>以来的等保测评项目案例，每个案例得1分，最高5分；(须提供合同复印件</w:t>
            </w:r>
            <w:r>
              <w:rPr>
                <w:rFonts w:hint="eastAsia"/>
                <w:lang w:val="en-US" w:eastAsia="zh-CN"/>
              </w:rPr>
              <w:t>，包含：</w:t>
            </w:r>
            <w:r>
              <w:rPr>
                <w:rFonts w:hint="eastAsia" w:ascii="宋体" w:hAnsi="宋体" w:cs="宋体"/>
                <w:kern w:val="0"/>
                <w:szCs w:val="21"/>
              </w:rPr>
              <w:t>合同首页、签字盖章页、服务内容页、金额所在页</w:t>
            </w:r>
            <w:r>
              <w:rPr>
                <w:rFonts w:hint="eastAsia" w:ascii="宋体" w:hAnsi="宋体" w:cs="宋体"/>
                <w:kern w:val="0"/>
                <w:szCs w:val="21"/>
                <w:lang w:eastAsia="zh-CN"/>
              </w:rPr>
              <w:t>，</w:t>
            </w:r>
            <w:r>
              <w:rPr>
                <w:rFonts w:hint="eastAsia" w:ascii="宋体" w:hAnsi="宋体" w:cs="宋体"/>
                <w:kern w:val="0"/>
                <w:szCs w:val="21"/>
              </w:rPr>
              <w:t>并加盖公章，未提供或未盖章不得分)</w:t>
            </w:r>
          </w:p>
          <w:p w14:paraId="6F03BF83">
            <w:pPr>
              <w:widowControl/>
              <w:jc w:val="left"/>
              <w:rPr>
                <w:rFonts w:ascii="宋体" w:hAnsi="宋体" w:cs="宋体"/>
                <w:kern w:val="0"/>
                <w:szCs w:val="21"/>
              </w:rPr>
            </w:pPr>
            <w:r>
              <w:rPr>
                <w:rFonts w:hint="eastAsia" w:ascii="宋体" w:hAnsi="宋体" w:cs="宋体"/>
                <w:kern w:val="0"/>
                <w:szCs w:val="21"/>
              </w:rPr>
              <w:t>提供近两年</w:t>
            </w:r>
            <w:r>
              <w:rPr>
                <w:rFonts w:hint="eastAsia" w:ascii="宋体" w:hAnsi="宋体" w:cs="宋体"/>
                <w:kern w:val="0"/>
                <w:szCs w:val="21"/>
                <w:lang w:eastAsia="zh-CN"/>
              </w:rPr>
              <w:t>（</w:t>
            </w:r>
            <w:r>
              <w:rPr>
                <w:rFonts w:hint="eastAsia" w:ascii="宋体" w:hAnsi="宋体" w:cs="宋体"/>
                <w:kern w:val="0"/>
                <w:szCs w:val="21"/>
                <w:lang w:val="en-US" w:eastAsia="zh-CN"/>
              </w:rPr>
              <w:t>2023年6月1日</w:t>
            </w:r>
            <w:r>
              <w:rPr>
                <w:rFonts w:hint="eastAsia" w:ascii="宋体" w:hAnsi="宋体" w:cs="宋体"/>
                <w:kern w:val="0"/>
                <w:szCs w:val="21"/>
                <w:lang w:eastAsia="zh-CN"/>
              </w:rPr>
              <w:t>）</w:t>
            </w:r>
            <w:r>
              <w:rPr>
                <w:rFonts w:hint="eastAsia" w:ascii="宋体" w:hAnsi="宋体" w:cs="宋体"/>
                <w:kern w:val="0"/>
                <w:szCs w:val="21"/>
              </w:rPr>
              <w:t>以来的网络安全服务项目案例，每个案例得1分，最高5分；(须提供合同复印件</w:t>
            </w:r>
            <w:r>
              <w:rPr>
                <w:rFonts w:hint="eastAsia"/>
                <w:lang w:val="en-US" w:eastAsia="zh-CN"/>
              </w:rPr>
              <w:t>，包含：</w:t>
            </w:r>
            <w:r>
              <w:rPr>
                <w:rFonts w:hint="eastAsia" w:ascii="宋体" w:hAnsi="宋体" w:cs="宋体"/>
                <w:kern w:val="0"/>
                <w:szCs w:val="21"/>
              </w:rPr>
              <w:t>合同首页、签字盖章页、服务内容页、金额所在页</w:t>
            </w:r>
            <w:r>
              <w:rPr>
                <w:rFonts w:hint="eastAsia" w:ascii="宋体" w:hAnsi="宋体" w:cs="宋体"/>
                <w:kern w:val="0"/>
                <w:szCs w:val="21"/>
                <w:lang w:eastAsia="zh-CN"/>
              </w:rPr>
              <w:t>，</w:t>
            </w:r>
            <w:r>
              <w:rPr>
                <w:rFonts w:hint="eastAsia" w:ascii="宋体" w:hAnsi="宋体" w:cs="宋体"/>
                <w:kern w:val="0"/>
                <w:szCs w:val="21"/>
              </w:rPr>
              <w:t>并加盖公章，未提供或未盖章不得分)</w:t>
            </w:r>
          </w:p>
        </w:tc>
        <w:tc>
          <w:tcPr>
            <w:tcW w:w="850" w:type="dxa"/>
            <w:vAlign w:val="center"/>
          </w:tcPr>
          <w:p w14:paraId="6F2500D6">
            <w:pPr>
              <w:widowControl/>
              <w:jc w:val="center"/>
              <w:rPr>
                <w:rFonts w:ascii="宋体" w:hAnsi="宋体" w:cs="宋体"/>
                <w:kern w:val="0"/>
                <w:szCs w:val="21"/>
              </w:rPr>
            </w:pPr>
            <w:r>
              <w:rPr>
                <w:rFonts w:ascii="宋体" w:hAnsi="宋体" w:cs="宋体"/>
                <w:b w:val="0"/>
                <w:bCs/>
                <w:kern w:val="0"/>
                <w:szCs w:val="21"/>
              </w:rPr>
              <w:t>10</w:t>
            </w:r>
            <w:r>
              <w:rPr>
                <w:rFonts w:hint="eastAsia" w:ascii="宋体" w:hAnsi="宋体" w:cs="宋体"/>
                <w:kern w:val="0"/>
                <w:szCs w:val="21"/>
              </w:rPr>
              <w:t>分</w:t>
            </w:r>
          </w:p>
        </w:tc>
        <w:tc>
          <w:tcPr>
            <w:tcW w:w="851" w:type="dxa"/>
            <w:vAlign w:val="center"/>
          </w:tcPr>
          <w:p w14:paraId="1F1A96F2">
            <w:pPr>
              <w:widowControl/>
              <w:jc w:val="center"/>
              <w:rPr>
                <w:rFonts w:ascii="宋体" w:hAnsi="宋体" w:cs="宋体"/>
                <w:kern w:val="0"/>
                <w:szCs w:val="21"/>
              </w:rPr>
            </w:pPr>
          </w:p>
        </w:tc>
      </w:tr>
      <w:tr w14:paraId="73B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9" w:type="dxa"/>
            <w:gridSpan w:val="3"/>
            <w:vAlign w:val="center"/>
          </w:tcPr>
          <w:p w14:paraId="0C4902A6">
            <w:pPr>
              <w:widowControl/>
              <w:jc w:val="center"/>
              <w:rPr>
                <w:rFonts w:ascii="宋体" w:hAnsi="宋体" w:cs="宋体"/>
                <w:kern w:val="0"/>
                <w:szCs w:val="21"/>
              </w:rPr>
            </w:pPr>
            <w:r>
              <w:rPr>
                <w:rFonts w:hint="eastAsia" w:ascii="宋体" w:hAnsi="宋体" w:cs="宋体"/>
                <w:kern w:val="0"/>
                <w:szCs w:val="21"/>
              </w:rPr>
              <w:t>总 分</w:t>
            </w:r>
          </w:p>
        </w:tc>
        <w:tc>
          <w:tcPr>
            <w:tcW w:w="850" w:type="dxa"/>
            <w:vAlign w:val="center"/>
          </w:tcPr>
          <w:p w14:paraId="27074947">
            <w:pPr>
              <w:widowControl/>
              <w:jc w:val="center"/>
              <w:rPr>
                <w:rFonts w:ascii="宋体" w:hAnsi="宋体" w:cs="宋体"/>
                <w:kern w:val="0"/>
                <w:szCs w:val="21"/>
              </w:rPr>
            </w:pPr>
            <w:r>
              <w:rPr>
                <w:rFonts w:hint="eastAsia" w:ascii="宋体" w:hAnsi="宋体" w:cs="宋体"/>
                <w:kern w:val="0"/>
                <w:szCs w:val="21"/>
              </w:rPr>
              <w:t>100分</w:t>
            </w:r>
          </w:p>
        </w:tc>
        <w:tc>
          <w:tcPr>
            <w:tcW w:w="851" w:type="dxa"/>
            <w:vAlign w:val="center"/>
          </w:tcPr>
          <w:p w14:paraId="4A41EE65">
            <w:pPr>
              <w:widowControl/>
              <w:jc w:val="center"/>
              <w:rPr>
                <w:rFonts w:ascii="宋体" w:hAnsi="宋体" w:cs="宋体"/>
                <w:kern w:val="0"/>
                <w:szCs w:val="21"/>
              </w:rPr>
            </w:pPr>
          </w:p>
        </w:tc>
      </w:tr>
    </w:tbl>
    <w:p w14:paraId="4DA3435F">
      <w:pPr>
        <w:autoSpaceDE w:val="0"/>
        <w:autoSpaceDN w:val="0"/>
        <w:adjustRightInd w:val="0"/>
        <w:spacing w:line="440" w:lineRule="exact"/>
        <w:jc w:val="center"/>
        <w:rPr>
          <w:rFonts w:hint="eastAsia" w:ascii="宋体" w:hAnsi="宋体" w:cs="宋体"/>
          <w:b/>
          <w:bCs/>
          <w:sz w:val="40"/>
          <w:szCs w:val="40"/>
        </w:rPr>
      </w:pPr>
    </w:p>
    <w:p w14:paraId="770DA1C2">
      <w:pPr>
        <w:autoSpaceDE w:val="0"/>
        <w:autoSpaceDN w:val="0"/>
        <w:adjustRightInd w:val="0"/>
        <w:spacing w:line="440" w:lineRule="exact"/>
        <w:jc w:val="center"/>
        <w:rPr>
          <w:rFonts w:hint="eastAsia" w:ascii="宋体" w:hAnsi="宋体" w:cs="宋体"/>
          <w:b/>
          <w:bCs/>
          <w:sz w:val="40"/>
          <w:szCs w:val="40"/>
        </w:rPr>
      </w:pPr>
    </w:p>
    <w:p w14:paraId="0D0C16C3">
      <w:pPr>
        <w:autoSpaceDE w:val="0"/>
        <w:autoSpaceDN w:val="0"/>
        <w:adjustRightInd w:val="0"/>
        <w:spacing w:line="440" w:lineRule="exact"/>
        <w:jc w:val="center"/>
        <w:rPr>
          <w:rFonts w:hint="eastAsia" w:ascii="宋体" w:hAnsi="宋体" w:cs="宋体"/>
          <w:b/>
          <w:bCs/>
          <w:sz w:val="40"/>
          <w:szCs w:val="40"/>
        </w:rPr>
      </w:pPr>
    </w:p>
    <w:p w14:paraId="6B461BF7">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r>
        <w:rPr>
          <w:rFonts w:hint="eastAsia" w:ascii="宋体" w:hAnsi="宋体" w:cs="宋体"/>
          <w:b/>
          <w:bCs/>
          <w:sz w:val="40"/>
          <w:szCs w:val="40"/>
          <w:lang w:eastAsia="zh-CN"/>
        </w:rPr>
        <w:t>（</w:t>
      </w:r>
      <w:r>
        <w:rPr>
          <w:rFonts w:hint="eastAsia" w:cs="宋体"/>
          <w:b/>
          <w:bCs/>
          <w:sz w:val="40"/>
          <w:szCs w:val="40"/>
          <w:lang w:val="en-US" w:eastAsia="zh-CN"/>
        </w:rPr>
        <w:t>2</w:t>
      </w:r>
      <w:r>
        <w:rPr>
          <w:rFonts w:hint="eastAsia" w:ascii="宋体" w:hAnsi="宋体" w:cs="宋体"/>
          <w:b/>
          <w:bCs/>
          <w:sz w:val="40"/>
          <w:szCs w:val="40"/>
          <w:lang w:val="en-US" w:eastAsia="zh-CN"/>
        </w:rPr>
        <w:t>包</w:t>
      </w:r>
      <w:r>
        <w:rPr>
          <w:rFonts w:hint="eastAsia" w:ascii="宋体" w:hAnsi="宋体" w:cs="宋体"/>
          <w:b/>
          <w:bCs/>
          <w:sz w:val="40"/>
          <w:szCs w:val="40"/>
          <w:lang w:eastAsia="zh-CN"/>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465A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4449A5F8">
            <w:pPr>
              <w:widowControl/>
              <w:jc w:val="center"/>
              <w:rPr>
                <w:rFonts w:ascii="宋体" w:hAnsi="宋体" w:cs="宋体"/>
                <w:b/>
                <w:bCs/>
                <w:kern w:val="0"/>
                <w:szCs w:val="21"/>
              </w:rPr>
            </w:pPr>
            <w:r>
              <w:rPr>
                <w:rFonts w:hint="eastAsia" w:ascii="宋体" w:hAnsi="宋体" w:cs="宋体"/>
                <w:b/>
                <w:bCs/>
                <w:kern w:val="0"/>
                <w:szCs w:val="21"/>
              </w:rPr>
              <w:t>评标指标</w:t>
            </w:r>
          </w:p>
        </w:tc>
        <w:tc>
          <w:tcPr>
            <w:tcW w:w="5767" w:type="dxa"/>
            <w:vAlign w:val="center"/>
          </w:tcPr>
          <w:p w14:paraId="051BF80E">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14:paraId="0B1A2385">
            <w:pPr>
              <w:widowControl/>
              <w:jc w:val="center"/>
              <w:rPr>
                <w:rFonts w:ascii="宋体" w:hAnsi="宋体" w:cs="宋体"/>
                <w:b/>
                <w:bCs/>
                <w:kern w:val="0"/>
                <w:szCs w:val="21"/>
              </w:rPr>
            </w:pPr>
            <w:r>
              <w:rPr>
                <w:rFonts w:hint="eastAsia" w:ascii="宋体" w:hAnsi="宋体" w:cs="宋体"/>
                <w:b/>
                <w:bCs/>
                <w:kern w:val="0"/>
                <w:szCs w:val="21"/>
              </w:rPr>
              <w:t>分值</w:t>
            </w:r>
          </w:p>
        </w:tc>
        <w:tc>
          <w:tcPr>
            <w:tcW w:w="851" w:type="dxa"/>
            <w:vAlign w:val="center"/>
          </w:tcPr>
          <w:p w14:paraId="4C4D00E7">
            <w:pPr>
              <w:widowControl/>
              <w:jc w:val="center"/>
              <w:rPr>
                <w:rFonts w:ascii="宋体" w:hAnsi="宋体" w:cs="宋体"/>
                <w:b/>
                <w:bCs/>
                <w:kern w:val="0"/>
                <w:szCs w:val="21"/>
              </w:rPr>
            </w:pPr>
            <w:r>
              <w:rPr>
                <w:rFonts w:hint="eastAsia" w:ascii="宋体" w:hAnsi="宋体" w:cs="宋体"/>
                <w:b/>
                <w:bCs/>
                <w:kern w:val="0"/>
                <w:szCs w:val="21"/>
              </w:rPr>
              <w:t>得分</w:t>
            </w:r>
          </w:p>
        </w:tc>
      </w:tr>
      <w:tr w14:paraId="48C8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03C2BF35">
            <w:pPr>
              <w:widowControl/>
              <w:jc w:val="center"/>
              <w:rPr>
                <w:rFonts w:ascii="宋体" w:hAnsi="宋体" w:cs="宋体"/>
                <w:kern w:val="0"/>
                <w:szCs w:val="21"/>
              </w:rPr>
            </w:pPr>
            <w:r>
              <w:rPr>
                <w:rFonts w:hint="eastAsia" w:ascii="宋体" w:hAnsi="宋体" w:cs="宋体"/>
                <w:kern w:val="0"/>
                <w:szCs w:val="21"/>
              </w:rPr>
              <w:t>价格</w:t>
            </w:r>
          </w:p>
          <w:p w14:paraId="2CFACA11">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lang w:val="en-US" w:eastAsia="zh-CN"/>
              </w:rPr>
              <w:t>1</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6C28EDFF">
            <w:pPr>
              <w:widowControl/>
              <w:jc w:val="center"/>
              <w:rPr>
                <w:rFonts w:ascii="宋体" w:hAnsi="宋体" w:cs="宋体"/>
                <w:kern w:val="0"/>
                <w:szCs w:val="21"/>
              </w:rPr>
            </w:pPr>
            <w:r>
              <w:rPr>
                <w:rFonts w:hint="eastAsia" w:ascii="宋体" w:hAnsi="宋体" w:cs="宋体"/>
                <w:kern w:val="0"/>
                <w:szCs w:val="21"/>
              </w:rPr>
              <w:t>报价</w:t>
            </w:r>
          </w:p>
          <w:p w14:paraId="3ED775AF">
            <w:pPr>
              <w:widowControl/>
              <w:jc w:val="center"/>
              <w:rPr>
                <w:rFonts w:ascii="宋体" w:hAnsi="宋体" w:cs="宋体"/>
                <w:kern w:val="0"/>
                <w:szCs w:val="21"/>
              </w:rPr>
            </w:pPr>
          </w:p>
        </w:tc>
        <w:tc>
          <w:tcPr>
            <w:tcW w:w="5767" w:type="dxa"/>
            <w:vAlign w:val="center"/>
          </w:tcPr>
          <w:p w14:paraId="4FC4BA57">
            <w:pPr>
              <w:widowControl/>
              <w:jc w:val="left"/>
              <w:rPr>
                <w:rFonts w:ascii="宋体" w:hAnsi="宋体" w:cs="宋体"/>
                <w:kern w:val="0"/>
                <w:szCs w:val="21"/>
              </w:rPr>
            </w:pPr>
            <w:r>
              <w:rPr>
                <w:rFonts w:hint="eastAsia" w:ascii="宋体" w:hAnsi="宋体" w:cs="宋体"/>
                <w:kern w:val="0"/>
                <w:szCs w:val="21"/>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2EC15CFC">
            <w:pPr>
              <w:widowControl/>
              <w:jc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0分</w:t>
            </w:r>
          </w:p>
        </w:tc>
        <w:tc>
          <w:tcPr>
            <w:tcW w:w="851" w:type="dxa"/>
            <w:vAlign w:val="center"/>
          </w:tcPr>
          <w:p w14:paraId="5E4C29B2">
            <w:pPr>
              <w:widowControl/>
              <w:jc w:val="center"/>
              <w:rPr>
                <w:rFonts w:ascii="宋体" w:hAnsi="宋体" w:cs="宋体"/>
                <w:kern w:val="0"/>
                <w:szCs w:val="21"/>
              </w:rPr>
            </w:pPr>
          </w:p>
        </w:tc>
      </w:tr>
      <w:tr w14:paraId="4A6E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3C4218B0">
            <w:pPr>
              <w:widowControl/>
              <w:jc w:val="center"/>
              <w:rPr>
                <w:rFonts w:ascii="宋体" w:hAnsi="宋体" w:cs="宋体"/>
                <w:kern w:val="0"/>
                <w:szCs w:val="21"/>
              </w:rPr>
            </w:pPr>
            <w:r>
              <w:rPr>
                <w:rFonts w:hint="eastAsia" w:ascii="宋体" w:hAnsi="宋体" w:cs="宋体"/>
                <w:kern w:val="0"/>
                <w:szCs w:val="21"/>
              </w:rPr>
              <w:t>技术评分</w:t>
            </w:r>
          </w:p>
          <w:p w14:paraId="1FCB4C6E">
            <w:pPr>
              <w:widowControl/>
              <w:jc w:val="center"/>
              <w:rPr>
                <w:rFonts w:ascii="宋体" w:hAnsi="宋体" w:cs="宋体"/>
                <w:kern w:val="0"/>
                <w:szCs w:val="21"/>
              </w:rPr>
            </w:pPr>
            <w:r>
              <w:rPr>
                <w:rFonts w:hint="eastAsia" w:ascii="宋体" w:hAnsi="宋体" w:cs="宋体"/>
                <w:kern w:val="0"/>
                <w:szCs w:val="21"/>
              </w:rPr>
              <w:t>（</w:t>
            </w:r>
            <w:r>
              <w:rPr>
                <w:rFonts w:hint="eastAsia" w:cs="宋体"/>
                <w:b/>
                <w:kern w:val="0"/>
                <w:szCs w:val="21"/>
                <w:lang w:val="en-US" w:eastAsia="zh-CN"/>
              </w:rPr>
              <w:t>6</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3BB4059B">
            <w:pPr>
              <w:widowControl/>
              <w:jc w:val="center"/>
              <w:rPr>
                <w:rFonts w:ascii="宋体" w:hAnsi="宋体" w:cs="宋体"/>
                <w:kern w:val="0"/>
                <w:szCs w:val="21"/>
              </w:rPr>
            </w:pPr>
            <w:r>
              <w:rPr>
                <w:rFonts w:hint="eastAsia" w:ascii="宋体" w:hAnsi="宋体" w:cs="宋体"/>
                <w:kern w:val="0"/>
                <w:szCs w:val="21"/>
              </w:rPr>
              <w:t>网络安全等级保护及软件测试方案</w:t>
            </w:r>
          </w:p>
        </w:tc>
        <w:tc>
          <w:tcPr>
            <w:tcW w:w="5767" w:type="dxa"/>
            <w:vAlign w:val="center"/>
          </w:tcPr>
          <w:p w14:paraId="2A735FA6">
            <w:pPr>
              <w:widowControl/>
              <w:jc w:val="left"/>
              <w:rPr>
                <w:rFonts w:hint="eastAsia"/>
              </w:rPr>
            </w:pPr>
            <w:r>
              <w:rPr>
                <w:rFonts w:hint="eastAsia"/>
              </w:rPr>
              <w:t>按照投标文件中针对测评内容、测评方法、测评流程、测评步骤、测评工作要求等策略的响应情况进行评审打分。</w:t>
            </w:r>
          </w:p>
          <w:p w14:paraId="312541B7">
            <w:pPr>
              <w:widowControl/>
              <w:jc w:val="left"/>
              <w:rPr>
                <w:rFonts w:hint="eastAsia"/>
              </w:rPr>
            </w:pPr>
            <w:r>
              <w:rPr>
                <w:rFonts w:hint="eastAsia"/>
              </w:rPr>
              <w:t>评分标准：方案全部覆盖5个方面内容，每个方案内容2分，满分10分；每个方案内容，每出现1处缺项或缺陷的扣0.5分，扣完2分为止。不提供不得分。</w:t>
            </w:r>
          </w:p>
          <w:p w14:paraId="765328F2">
            <w:pPr>
              <w:widowControl/>
              <w:jc w:val="left"/>
              <w:rPr>
                <w:rFonts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55CC0251">
            <w:pPr>
              <w:widowControl/>
              <w:jc w:val="center"/>
              <w:rPr>
                <w:rFonts w:ascii="宋体" w:hAnsi="宋体" w:cs="宋体"/>
                <w:kern w:val="0"/>
                <w:szCs w:val="21"/>
              </w:rPr>
            </w:pPr>
            <w:r>
              <w:rPr>
                <w:rFonts w:hint="eastAsia" w:ascii="宋体" w:hAnsi="宋体" w:cs="宋体"/>
                <w:b w:val="0"/>
                <w:bCs/>
                <w:kern w:val="0"/>
                <w:szCs w:val="21"/>
                <w:lang w:val="en-US" w:eastAsia="zh-CN"/>
              </w:rPr>
              <w:t>10</w:t>
            </w:r>
            <w:r>
              <w:rPr>
                <w:rFonts w:hint="eastAsia" w:ascii="宋体" w:hAnsi="宋体" w:cs="宋体"/>
                <w:kern w:val="0"/>
                <w:szCs w:val="21"/>
              </w:rPr>
              <w:t>分</w:t>
            </w:r>
          </w:p>
        </w:tc>
        <w:tc>
          <w:tcPr>
            <w:tcW w:w="851" w:type="dxa"/>
            <w:vAlign w:val="center"/>
          </w:tcPr>
          <w:p w14:paraId="093CDA90">
            <w:pPr>
              <w:widowControl/>
              <w:jc w:val="center"/>
              <w:rPr>
                <w:rFonts w:ascii="宋体" w:hAnsi="宋体" w:cs="宋体"/>
                <w:kern w:val="0"/>
                <w:szCs w:val="21"/>
              </w:rPr>
            </w:pPr>
          </w:p>
        </w:tc>
      </w:tr>
      <w:tr w14:paraId="4C45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E218752">
            <w:pPr>
              <w:widowControl/>
              <w:jc w:val="center"/>
            </w:pPr>
          </w:p>
        </w:tc>
        <w:tc>
          <w:tcPr>
            <w:tcW w:w="1037" w:type="dxa"/>
            <w:vAlign w:val="center"/>
          </w:tcPr>
          <w:p w14:paraId="7A38F99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项目理解</w:t>
            </w:r>
          </w:p>
        </w:tc>
        <w:tc>
          <w:tcPr>
            <w:tcW w:w="5767" w:type="dxa"/>
            <w:vAlign w:val="center"/>
          </w:tcPr>
          <w:p w14:paraId="7795F00B">
            <w:pPr>
              <w:widowControl/>
              <w:jc w:val="left"/>
              <w:rPr>
                <w:rFonts w:hint="eastAsia" w:ascii="宋体" w:hAnsi="宋体" w:cs="宋体"/>
                <w:kern w:val="0"/>
                <w:szCs w:val="21"/>
              </w:rPr>
            </w:pPr>
            <w:r>
              <w:rPr>
                <w:rFonts w:hint="eastAsia" w:ascii="宋体" w:hAnsi="宋体" w:eastAsia="宋体" w:cs="宋体"/>
                <w:sz w:val="24"/>
                <w:szCs w:val="24"/>
              </w:rPr>
              <w:t>按照投标文件针对项目背景、建设目标、测评要求</w:t>
            </w:r>
            <w:r>
              <w:rPr>
                <w:rFonts w:hint="eastAsia" w:ascii="宋体" w:hAnsi="宋体" w:eastAsia="宋体" w:cs="宋体"/>
                <w:sz w:val="24"/>
                <w:szCs w:val="24"/>
                <w:lang w:eastAsia="zh-CN"/>
              </w:rPr>
              <w:t>、</w:t>
            </w:r>
            <w:r>
              <w:rPr>
                <w:rFonts w:hint="eastAsia" w:ascii="宋体" w:hAnsi="宋体" w:eastAsia="宋体" w:cs="宋体"/>
                <w:color w:val="auto"/>
                <w:sz w:val="24"/>
                <w:szCs w:val="24"/>
              </w:rPr>
              <w:t>项目管理制度</w:t>
            </w:r>
            <w:r>
              <w:rPr>
                <w:rFonts w:hint="eastAsia" w:ascii="宋体" w:hAnsi="宋体" w:eastAsia="宋体" w:cs="宋体"/>
                <w:sz w:val="24"/>
                <w:szCs w:val="24"/>
              </w:rPr>
              <w:t>等</w:t>
            </w:r>
            <w:r>
              <w:rPr>
                <w:rFonts w:hint="eastAsia" w:ascii="宋体" w:hAnsi="宋体" w:eastAsia="宋体" w:cs="宋体"/>
                <w:sz w:val="24"/>
                <w:szCs w:val="24"/>
                <w:lang w:eastAsia="zh-CN"/>
              </w:rPr>
              <w:t>四</w:t>
            </w:r>
            <w:r>
              <w:rPr>
                <w:rFonts w:hint="eastAsia" w:ascii="宋体" w:hAnsi="宋体" w:eastAsia="宋体" w:cs="宋体"/>
                <w:sz w:val="24"/>
                <w:szCs w:val="24"/>
              </w:rPr>
              <w:t>项的理解响应情况进行评审打分。内容每缺一项扣</w:t>
            </w:r>
            <w:r>
              <w:rPr>
                <w:rFonts w:hint="eastAsia" w:ascii="宋体" w:hAnsi="宋体" w:eastAsia="宋体" w:cs="宋体"/>
                <w:sz w:val="24"/>
                <w:szCs w:val="24"/>
                <w:lang w:val="en-US" w:eastAsia="zh-CN"/>
              </w:rPr>
              <w:t>2.5</w:t>
            </w:r>
            <w:r>
              <w:rPr>
                <w:rFonts w:hint="eastAsia" w:ascii="宋体" w:hAnsi="宋体" w:eastAsia="宋体" w:cs="宋体"/>
                <w:sz w:val="24"/>
                <w:szCs w:val="24"/>
              </w:rPr>
              <w:t>分；方案有缺陷的 ，有一处扣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 。满分</w:t>
            </w:r>
            <w:r>
              <w:rPr>
                <w:rFonts w:hint="eastAsia" w:ascii="宋体" w:hAnsi="宋体" w:eastAsia="宋体" w:cs="宋体"/>
                <w:sz w:val="24"/>
                <w:szCs w:val="24"/>
                <w:lang w:val="en-US" w:eastAsia="zh-CN"/>
              </w:rPr>
              <w:t>10</w:t>
            </w:r>
            <w:r>
              <w:rPr>
                <w:rFonts w:hint="eastAsia" w:ascii="宋体" w:hAnsi="宋体" w:eastAsia="宋体" w:cs="宋体"/>
                <w:sz w:val="24"/>
                <w:szCs w:val="24"/>
              </w:rPr>
              <w:t>分，扣完为止。（内容缺陷是指：  内容非专门针对本项目或不适用项目特性的情形、 内容不够完整或缺少关键节点、套用其他项目方案、 内容前后矛盾、涉及的规范及标准错误、不利于项目实施、不可能实现的情形等任意一种情形）</w:t>
            </w:r>
          </w:p>
        </w:tc>
        <w:tc>
          <w:tcPr>
            <w:tcW w:w="850" w:type="dxa"/>
            <w:vAlign w:val="center"/>
          </w:tcPr>
          <w:p w14:paraId="5AA5664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r>
              <w:rPr>
                <w:rFonts w:hint="eastAsia" w:ascii="宋体" w:hAnsi="宋体" w:cs="宋体"/>
                <w:kern w:val="0"/>
                <w:szCs w:val="21"/>
              </w:rPr>
              <w:t>分</w:t>
            </w:r>
          </w:p>
        </w:tc>
        <w:tc>
          <w:tcPr>
            <w:tcW w:w="851" w:type="dxa"/>
            <w:vAlign w:val="center"/>
          </w:tcPr>
          <w:p w14:paraId="286E58ED">
            <w:pPr>
              <w:widowControl/>
              <w:jc w:val="center"/>
              <w:rPr>
                <w:rFonts w:hint="eastAsia" w:ascii="宋体" w:hAnsi="宋体" w:cs="宋体"/>
                <w:kern w:val="0"/>
                <w:szCs w:val="21"/>
              </w:rPr>
            </w:pPr>
          </w:p>
        </w:tc>
      </w:tr>
      <w:tr w14:paraId="0A87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4C56C72">
            <w:pPr>
              <w:widowControl/>
              <w:jc w:val="center"/>
              <w:rPr>
                <w:rFonts w:hint="eastAsia" w:ascii="宋体" w:hAnsi="宋体" w:cs="宋体"/>
                <w:kern w:val="0"/>
                <w:szCs w:val="21"/>
              </w:rPr>
            </w:pPr>
          </w:p>
        </w:tc>
        <w:tc>
          <w:tcPr>
            <w:tcW w:w="1037" w:type="dxa"/>
            <w:vAlign w:val="center"/>
          </w:tcPr>
          <w:p w14:paraId="5D54FFF6">
            <w:pPr>
              <w:widowControl/>
              <w:jc w:val="center"/>
              <w:rPr>
                <w:rFonts w:hint="eastAsia" w:ascii="宋体" w:hAnsi="宋体" w:cs="宋体"/>
                <w:kern w:val="0"/>
                <w:szCs w:val="21"/>
              </w:rPr>
            </w:pPr>
            <w:r>
              <w:rPr>
                <w:rFonts w:hint="eastAsia" w:ascii="宋体" w:hAnsi="宋体" w:cs="宋体"/>
                <w:kern w:val="0"/>
                <w:szCs w:val="21"/>
              </w:rPr>
              <w:t>渗透测试方案</w:t>
            </w:r>
          </w:p>
        </w:tc>
        <w:tc>
          <w:tcPr>
            <w:tcW w:w="5767" w:type="dxa"/>
            <w:vAlign w:val="center"/>
          </w:tcPr>
          <w:p w14:paraId="3FB6AA34">
            <w:pPr>
              <w:widowControl/>
              <w:jc w:val="left"/>
              <w:rPr>
                <w:rFonts w:hint="eastAsia"/>
              </w:rPr>
            </w:pPr>
            <w:r>
              <w:rPr>
                <w:rFonts w:hint="eastAsia"/>
              </w:rPr>
              <w:t>按照投标文件中针对措施、方法进行评审打分。</w:t>
            </w:r>
          </w:p>
          <w:p w14:paraId="226CDD78">
            <w:pPr>
              <w:widowControl/>
              <w:jc w:val="left"/>
              <w:rPr>
                <w:rFonts w:hint="eastAsia"/>
              </w:rPr>
            </w:pPr>
            <w:r>
              <w:rPr>
                <w:rFonts w:hint="eastAsia"/>
              </w:rPr>
              <w:t>评分标准：方案内容，每出现1处缺项或缺陷的扣1分，扣完5分为止。不提供不得分。</w:t>
            </w:r>
          </w:p>
          <w:p w14:paraId="030DC691">
            <w:pPr>
              <w:widowControl/>
              <w:jc w:val="left"/>
              <w:rPr>
                <w:rFonts w:hint="eastAsia"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619E484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5分</w:t>
            </w:r>
          </w:p>
        </w:tc>
        <w:tc>
          <w:tcPr>
            <w:tcW w:w="851" w:type="dxa"/>
            <w:vAlign w:val="center"/>
          </w:tcPr>
          <w:p w14:paraId="48BBC1CE">
            <w:pPr>
              <w:widowControl/>
              <w:jc w:val="center"/>
              <w:rPr>
                <w:rFonts w:hint="eastAsia" w:ascii="宋体" w:hAnsi="宋体" w:cs="宋体"/>
                <w:kern w:val="0"/>
                <w:szCs w:val="21"/>
              </w:rPr>
            </w:pPr>
          </w:p>
        </w:tc>
      </w:tr>
      <w:tr w14:paraId="060C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704D7E0A">
            <w:pPr>
              <w:widowControl/>
              <w:jc w:val="center"/>
              <w:rPr>
                <w:rFonts w:hint="eastAsia" w:ascii="宋体" w:hAnsi="宋体" w:cs="宋体"/>
                <w:kern w:val="0"/>
                <w:szCs w:val="21"/>
              </w:rPr>
            </w:pPr>
          </w:p>
        </w:tc>
        <w:tc>
          <w:tcPr>
            <w:tcW w:w="1037" w:type="dxa"/>
            <w:vAlign w:val="center"/>
          </w:tcPr>
          <w:p w14:paraId="523990BA">
            <w:pPr>
              <w:widowControl/>
              <w:jc w:val="center"/>
              <w:rPr>
                <w:rFonts w:hint="eastAsia" w:ascii="宋体" w:hAnsi="宋体" w:cs="宋体"/>
                <w:kern w:val="0"/>
                <w:szCs w:val="21"/>
              </w:rPr>
            </w:pPr>
            <w:r>
              <w:rPr>
                <w:rFonts w:hint="eastAsia" w:ascii="宋体" w:hAnsi="宋体" w:cs="宋体"/>
                <w:kern w:val="0"/>
                <w:szCs w:val="21"/>
              </w:rPr>
              <w:t>合理的进度计划</w:t>
            </w:r>
          </w:p>
        </w:tc>
        <w:tc>
          <w:tcPr>
            <w:tcW w:w="5767" w:type="dxa"/>
            <w:vAlign w:val="center"/>
          </w:tcPr>
          <w:p w14:paraId="737942D0">
            <w:pPr>
              <w:widowControl/>
              <w:jc w:val="left"/>
              <w:rPr>
                <w:rFonts w:hint="eastAsia"/>
              </w:rPr>
            </w:pPr>
            <w:r>
              <w:rPr>
                <w:rFonts w:hint="eastAsia"/>
              </w:rPr>
              <w:t>供应商针对本项目需求提供实施总体进度计划和保障措施，实施进度计划应满足招标文件技术部分要求，提供实施进度节点图，根据供应商提供的方案进行打分。</w:t>
            </w:r>
          </w:p>
          <w:p w14:paraId="283E6E28">
            <w:pPr>
              <w:widowControl/>
              <w:jc w:val="left"/>
              <w:rPr>
                <w:rFonts w:hint="eastAsia"/>
              </w:rPr>
            </w:pPr>
            <w:r>
              <w:rPr>
                <w:rFonts w:hint="eastAsia"/>
              </w:rPr>
              <w:t>评分标准：方案全部覆盖</w:t>
            </w:r>
            <w:r>
              <w:rPr>
                <w:rFonts w:hint="eastAsia" w:ascii="宋体" w:hAnsi="宋体" w:cs="宋体"/>
                <w:kern w:val="0"/>
                <w:szCs w:val="21"/>
              </w:rPr>
              <w:t>等保测评</w:t>
            </w:r>
            <w:r>
              <w:rPr>
                <w:rFonts w:hint="eastAsia" w:ascii="宋体" w:hAnsi="宋体" w:cs="宋体"/>
                <w:kern w:val="0"/>
                <w:szCs w:val="21"/>
                <w:lang w:eastAsia="zh-CN"/>
              </w:rPr>
              <w:t>、</w:t>
            </w:r>
            <w:r>
              <w:rPr>
                <w:rFonts w:hint="eastAsia" w:ascii="宋体" w:hAnsi="宋体" w:cs="宋体"/>
                <w:kern w:val="0"/>
                <w:szCs w:val="21"/>
              </w:rPr>
              <w:t>软件测试</w:t>
            </w:r>
            <w:r>
              <w:rPr>
                <w:rFonts w:hint="eastAsia"/>
              </w:rPr>
              <w:t>2个方面内容，每个方案内容2.5分，满分5分；每个方案内容，每出现1处缺项或缺陷的扣1分，扣完2.5分为止。不提供不得分。</w:t>
            </w:r>
          </w:p>
          <w:p w14:paraId="0699C21A">
            <w:pPr>
              <w:widowControl/>
              <w:jc w:val="left"/>
              <w:rPr>
                <w:rFonts w:hint="eastAsia"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579EA941">
            <w:pPr>
              <w:widowControl/>
              <w:jc w:val="center"/>
              <w:rPr>
                <w:rFonts w:hint="eastAsia" w:ascii="宋体" w:hAnsi="宋体" w:cs="宋体"/>
                <w:kern w:val="0"/>
                <w:szCs w:val="21"/>
              </w:rPr>
            </w:pPr>
            <w:r>
              <w:rPr>
                <w:rFonts w:hint="eastAsia" w:ascii="宋体" w:hAnsi="宋体" w:cs="宋体"/>
                <w:kern w:val="0"/>
                <w:szCs w:val="21"/>
                <w:lang w:val="en-US" w:eastAsia="zh-CN"/>
              </w:rPr>
              <w:t>5分</w:t>
            </w:r>
          </w:p>
        </w:tc>
        <w:tc>
          <w:tcPr>
            <w:tcW w:w="851" w:type="dxa"/>
            <w:vAlign w:val="center"/>
          </w:tcPr>
          <w:p w14:paraId="295634A1">
            <w:pPr>
              <w:widowControl/>
              <w:jc w:val="center"/>
              <w:rPr>
                <w:rFonts w:hint="eastAsia" w:ascii="宋体" w:hAnsi="宋体" w:cs="宋体"/>
                <w:kern w:val="0"/>
                <w:szCs w:val="21"/>
              </w:rPr>
            </w:pPr>
          </w:p>
        </w:tc>
      </w:tr>
      <w:tr w14:paraId="76D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AB66D1A">
            <w:pPr>
              <w:widowControl/>
              <w:jc w:val="center"/>
              <w:rPr>
                <w:rFonts w:hint="eastAsia" w:ascii="宋体" w:hAnsi="宋体" w:cs="宋体"/>
                <w:kern w:val="0"/>
                <w:szCs w:val="21"/>
              </w:rPr>
            </w:pPr>
          </w:p>
        </w:tc>
        <w:tc>
          <w:tcPr>
            <w:tcW w:w="1037" w:type="dxa"/>
            <w:vMerge w:val="restart"/>
            <w:vAlign w:val="center"/>
          </w:tcPr>
          <w:p w14:paraId="2A0F9F54">
            <w:pPr>
              <w:widowControl/>
              <w:jc w:val="center"/>
              <w:rPr>
                <w:rFonts w:hint="eastAsia" w:ascii="宋体" w:hAnsi="宋体" w:cs="宋体"/>
                <w:kern w:val="0"/>
                <w:szCs w:val="21"/>
              </w:rPr>
            </w:pPr>
            <w:r>
              <w:rPr>
                <w:rFonts w:hint="eastAsia" w:ascii="宋体" w:hAnsi="宋体" w:cs="宋体"/>
                <w:kern w:val="0"/>
                <w:szCs w:val="21"/>
              </w:rPr>
              <w:t>项目实施能力</w:t>
            </w:r>
          </w:p>
        </w:tc>
        <w:tc>
          <w:tcPr>
            <w:tcW w:w="5767" w:type="dxa"/>
            <w:vAlign w:val="center"/>
          </w:tcPr>
          <w:p w14:paraId="038B43ED">
            <w:pPr>
              <w:widowControl/>
              <w:jc w:val="left"/>
              <w:rPr>
                <w:rFonts w:hint="eastAsia" w:ascii="宋体" w:hAnsi="宋体" w:cs="宋体"/>
                <w:kern w:val="0"/>
                <w:szCs w:val="21"/>
              </w:rPr>
            </w:pPr>
            <w:r>
              <w:rPr>
                <w:rFonts w:hint="eastAsia" w:ascii="宋体" w:hAnsi="宋体" w:cs="宋体"/>
                <w:kern w:val="0"/>
                <w:szCs w:val="21"/>
              </w:rPr>
              <w:t>项目技术负责人具有等保测评高级测评师资质</w:t>
            </w:r>
            <w:r>
              <w:rPr>
                <w:rFonts w:hint="eastAsia" w:ascii="宋体" w:hAnsi="宋体" w:cs="宋体"/>
                <w:kern w:val="0"/>
                <w:szCs w:val="21"/>
                <w:lang w:val="en-US" w:eastAsia="zh-CN"/>
              </w:rPr>
              <w:t>和高级职称证书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489EE6CC">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32F50478">
            <w:pPr>
              <w:widowControl/>
              <w:jc w:val="center"/>
              <w:rPr>
                <w:rFonts w:hint="eastAsia" w:ascii="宋体" w:hAnsi="宋体" w:cs="宋体"/>
                <w:kern w:val="0"/>
                <w:szCs w:val="21"/>
              </w:rPr>
            </w:pPr>
          </w:p>
        </w:tc>
      </w:tr>
      <w:tr w14:paraId="099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2209FA00">
            <w:pPr>
              <w:widowControl/>
              <w:jc w:val="center"/>
              <w:rPr>
                <w:rFonts w:hint="eastAsia" w:ascii="宋体" w:hAnsi="宋体" w:cs="宋体"/>
                <w:kern w:val="0"/>
                <w:szCs w:val="21"/>
              </w:rPr>
            </w:pPr>
          </w:p>
        </w:tc>
        <w:tc>
          <w:tcPr>
            <w:tcW w:w="1037" w:type="dxa"/>
            <w:vMerge w:val="continue"/>
            <w:vAlign w:val="center"/>
          </w:tcPr>
          <w:p w14:paraId="7A89C417">
            <w:pPr>
              <w:widowControl/>
              <w:jc w:val="center"/>
              <w:rPr>
                <w:rFonts w:hint="eastAsia" w:ascii="宋体" w:hAnsi="宋体" w:cs="宋体"/>
                <w:kern w:val="0"/>
                <w:szCs w:val="21"/>
              </w:rPr>
            </w:pPr>
          </w:p>
        </w:tc>
        <w:tc>
          <w:tcPr>
            <w:tcW w:w="5767" w:type="dxa"/>
            <w:vAlign w:val="center"/>
          </w:tcPr>
          <w:p w14:paraId="1DAA2320">
            <w:pPr>
              <w:widowControl/>
              <w:jc w:val="left"/>
              <w:rPr>
                <w:rFonts w:hint="eastAsia" w:ascii="宋体" w:hAnsi="宋体" w:cs="宋体"/>
                <w:kern w:val="0"/>
                <w:szCs w:val="21"/>
              </w:rPr>
            </w:pPr>
            <w:r>
              <w:rPr>
                <w:rFonts w:hint="eastAsia" w:ascii="宋体" w:hAnsi="宋体" w:cs="宋体"/>
                <w:kern w:val="0"/>
                <w:szCs w:val="21"/>
              </w:rPr>
              <w:t>项目质量负责人具备中级（含）以上测评师资质和</w:t>
            </w:r>
            <w:r>
              <w:rPr>
                <w:rFonts w:hint="eastAsia" w:ascii="宋体" w:hAnsi="宋体" w:cs="宋体"/>
                <w:kern w:val="0"/>
                <w:szCs w:val="21"/>
                <w:lang w:val="en-US" w:eastAsia="zh-CN"/>
              </w:rPr>
              <w:t>计算机软件水平考试(软考)高级证书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163E7518">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563AFE9E">
            <w:pPr>
              <w:widowControl/>
              <w:jc w:val="center"/>
              <w:rPr>
                <w:rFonts w:hint="eastAsia" w:ascii="宋体" w:hAnsi="宋体" w:cs="宋体"/>
                <w:kern w:val="0"/>
                <w:szCs w:val="21"/>
              </w:rPr>
            </w:pPr>
          </w:p>
        </w:tc>
      </w:tr>
      <w:tr w14:paraId="028D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14:paraId="335176EF">
            <w:pPr>
              <w:widowControl/>
              <w:jc w:val="center"/>
              <w:rPr>
                <w:rFonts w:hint="eastAsia" w:ascii="宋体" w:hAnsi="宋体" w:cs="宋体"/>
                <w:kern w:val="0"/>
                <w:szCs w:val="21"/>
              </w:rPr>
            </w:pPr>
          </w:p>
        </w:tc>
        <w:tc>
          <w:tcPr>
            <w:tcW w:w="1037" w:type="dxa"/>
            <w:vMerge w:val="continue"/>
            <w:vAlign w:val="center"/>
          </w:tcPr>
          <w:p w14:paraId="20AB93ED">
            <w:pPr>
              <w:widowControl/>
              <w:jc w:val="center"/>
              <w:rPr>
                <w:rFonts w:hint="eastAsia" w:ascii="宋体" w:hAnsi="宋体" w:cs="宋体"/>
                <w:kern w:val="0"/>
                <w:szCs w:val="21"/>
              </w:rPr>
            </w:pPr>
          </w:p>
        </w:tc>
        <w:tc>
          <w:tcPr>
            <w:tcW w:w="5767" w:type="dxa"/>
            <w:vAlign w:val="center"/>
          </w:tcPr>
          <w:p w14:paraId="0EA4C9A7">
            <w:pPr>
              <w:widowControl/>
              <w:jc w:val="left"/>
              <w:rPr>
                <w:rFonts w:hint="eastAsia" w:ascii="宋体" w:hAnsi="宋体" w:cs="宋体"/>
                <w:kern w:val="0"/>
                <w:szCs w:val="21"/>
              </w:rPr>
            </w:pPr>
            <w:r>
              <w:rPr>
                <w:rFonts w:hint="eastAsia" w:ascii="宋体" w:hAnsi="宋体" w:cs="宋体"/>
                <w:kern w:val="0"/>
                <w:szCs w:val="21"/>
              </w:rPr>
              <w:t>等保测评师具有网络安全保障专业人员培训证书（</w:t>
            </w:r>
            <w:r>
              <w:rPr>
                <w:rFonts w:hint="eastAsia" w:ascii="宋体" w:hAnsi="宋体" w:cs="宋体"/>
                <w:kern w:val="0"/>
                <w:szCs w:val="21"/>
                <w:lang w:val="en-US" w:eastAsia="zh-CN"/>
              </w:rPr>
              <w:t>CISP</w:t>
            </w:r>
            <w:r>
              <w:rPr>
                <w:rFonts w:hint="eastAsia" w:ascii="宋体" w:hAnsi="宋体" w:cs="宋体"/>
                <w:kern w:val="0"/>
                <w:szCs w:val="21"/>
                <w:lang w:eastAsia="zh-CN"/>
              </w:rPr>
              <w:t>、</w:t>
            </w:r>
            <w:r>
              <w:rPr>
                <w:rFonts w:hint="eastAsia" w:ascii="宋体" w:hAnsi="宋体" w:cs="宋体"/>
                <w:kern w:val="0"/>
                <w:szCs w:val="21"/>
              </w:rPr>
              <w:t>ECSP），每满足1个人</w:t>
            </w:r>
            <w:r>
              <w:rPr>
                <w:rFonts w:hint="eastAsia" w:ascii="宋体" w:hAnsi="宋体" w:cs="宋体"/>
                <w:kern w:val="0"/>
                <w:szCs w:val="21"/>
                <w:lang w:val="en-US" w:eastAsia="zh-CN"/>
              </w:rPr>
              <w:t>有CISP</w:t>
            </w:r>
            <w:r>
              <w:rPr>
                <w:rFonts w:hint="eastAsia" w:ascii="宋体" w:hAnsi="宋体" w:cs="宋体"/>
                <w:kern w:val="0"/>
                <w:szCs w:val="21"/>
              </w:rPr>
              <w:t>得2分，满分</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每满足1个人</w:t>
            </w:r>
            <w:r>
              <w:rPr>
                <w:rFonts w:hint="eastAsia" w:ascii="宋体" w:hAnsi="宋体" w:cs="宋体"/>
                <w:kern w:val="0"/>
                <w:szCs w:val="21"/>
                <w:lang w:val="en-US" w:eastAsia="zh-CN"/>
              </w:rPr>
              <w:t>有</w:t>
            </w:r>
            <w:r>
              <w:rPr>
                <w:rFonts w:hint="eastAsia" w:ascii="宋体" w:hAnsi="宋体" w:cs="宋体"/>
                <w:kern w:val="0"/>
                <w:szCs w:val="21"/>
              </w:rPr>
              <w:t>ECSP得2分，满分</w:t>
            </w:r>
            <w:r>
              <w:rPr>
                <w:rFonts w:hint="eastAsia" w:ascii="宋体" w:hAnsi="宋体" w:cs="宋体"/>
                <w:kern w:val="0"/>
                <w:szCs w:val="21"/>
                <w:lang w:val="en-US" w:eastAsia="zh-CN"/>
              </w:rPr>
              <w:t>6</w:t>
            </w:r>
            <w:r>
              <w:rPr>
                <w:rFonts w:hint="eastAsia" w:ascii="宋体" w:hAnsi="宋体" w:cs="宋体"/>
                <w:kern w:val="0"/>
                <w:szCs w:val="21"/>
              </w:rPr>
              <w:t>分</w:t>
            </w:r>
            <w:r>
              <w:rPr>
                <w:rFonts w:hint="eastAsia" w:ascii="宋体" w:hAnsi="宋体" w:cs="宋体"/>
                <w:kern w:val="0"/>
                <w:szCs w:val="21"/>
                <w:lang w:eastAsia="zh-CN"/>
              </w:rPr>
              <w:t>。</w:t>
            </w:r>
          </w:p>
        </w:tc>
        <w:tc>
          <w:tcPr>
            <w:tcW w:w="850" w:type="dxa"/>
            <w:vAlign w:val="center"/>
          </w:tcPr>
          <w:p w14:paraId="1DD7ACCF">
            <w:pPr>
              <w:widowControl/>
              <w:jc w:val="center"/>
              <w:rPr>
                <w:rFonts w:hint="eastAsia" w:ascii="宋体" w:hAnsi="宋体" w:cs="宋体"/>
                <w:kern w:val="0"/>
                <w:szCs w:val="21"/>
              </w:rPr>
            </w:pPr>
            <w:r>
              <w:rPr>
                <w:rFonts w:hint="eastAsia" w:ascii="宋体" w:hAnsi="宋体" w:cs="宋体"/>
                <w:kern w:val="0"/>
                <w:szCs w:val="21"/>
                <w:lang w:val="en-US" w:eastAsia="zh-CN"/>
              </w:rPr>
              <w:t>10分</w:t>
            </w:r>
          </w:p>
        </w:tc>
        <w:tc>
          <w:tcPr>
            <w:tcW w:w="851" w:type="dxa"/>
            <w:vAlign w:val="center"/>
          </w:tcPr>
          <w:p w14:paraId="08D6DA5E">
            <w:pPr>
              <w:widowControl/>
              <w:jc w:val="center"/>
              <w:rPr>
                <w:rFonts w:hint="eastAsia" w:ascii="宋体" w:hAnsi="宋体" w:cs="宋体"/>
                <w:kern w:val="0"/>
                <w:szCs w:val="21"/>
              </w:rPr>
            </w:pPr>
          </w:p>
        </w:tc>
      </w:tr>
      <w:tr w14:paraId="13B4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0324BBC">
            <w:pPr>
              <w:widowControl/>
              <w:jc w:val="center"/>
              <w:rPr>
                <w:rFonts w:hint="eastAsia" w:ascii="宋体" w:hAnsi="宋体" w:cs="宋体"/>
                <w:kern w:val="0"/>
                <w:szCs w:val="21"/>
              </w:rPr>
            </w:pPr>
          </w:p>
        </w:tc>
        <w:tc>
          <w:tcPr>
            <w:tcW w:w="1037" w:type="dxa"/>
            <w:vAlign w:val="center"/>
          </w:tcPr>
          <w:p w14:paraId="5B90DA3E">
            <w:pPr>
              <w:widowControl/>
              <w:jc w:val="center"/>
              <w:rPr>
                <w:rFonts w:hint="eastAsia" w:ascii="宋体" w:hAnsi="宋体" w:cs="宋体"/>
                <w:kern w:val="0"/>
                <w:szCs w:val="21"/>
              </w:rPr>
            </w:pPr>
            <w:r>
              <w:rPr>
                <w:rFonts w:hint="eastAsia" w:ascii="宋体" w:hAnsi="宋体" w:cs="宋体"/>
                <w:kern w:val="0"/>
                <w:szCs w:val="21"/>
              </w:rPr>
              <w:t>项目团队的组成结构</w:t>
            </w:r>
          </w:p>
        </w:tc>
        <w:tc>
          <w:tcPr>
            <w:tcW w:w="5767" w:type="dxa"/>
            <w:vAlign w:val="center"/>
          </w:tcPr>
          <w:p w14:paraId="4D626E53">
            <w:pPr>
              <w:widowControl/>
              <w:jc w:val="left"/>
              <w:rPr>
                <w:rFonts w:hint="eastAsia" w:ascii="宋体" w:hAnsi="宋体" w:cs="宋体"/>
                <w:kern w:val="0"/>
                <w:szCs w:val="21"/>
              </w:rPr>
            </w:pPr>
            <w:r>
              <w:rPr>
                <w:rFonts w:hint="eastAsia"/>
              </w:rPr>
              <w:t>应满足招标文件人员要求</w:t>
            </w:r>
            <w:r>
              <w:rPr>
                <w:rFonts w:hint="eastAsia"/>
                <w:lang w:eastAsia="zh-CN"/>
              </w:rPr>
              <w:t>，</w:t>
            </w:r>
            <w:r>
              <w:rPr>
                <w:rFonts w:hint="eastAsia"/>
              </w:rPr>
              <w:t>根据供应商提供的</w:t>
            </w:r>
            <w:r>
              <w:rPr>
                <w:rFonts w:hint="eastAsia"/>
                <w:lang w:val="en-US" w:eastAsia="zh-CN"/>
              </w:rPr>
              <w:t>团队</w:t>
            </w:r>
            <w:r>
              <w:rPr>
                <w:rFonts w:hint="eastAsia"/>
              </w:rPr>
              <w:t>方案进行打分</w:t>
            </w:r>
            <w:r>
              <w:rPr>
                <w:rFonts w:hint="eastAsia"/>
                <w:lang w:eastAsia="zh-CN"/>
              </w:rPr>
              <w:t>。</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工明确、质量保障团队配备齐全得8分；</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w:t>
            </w:r>
            <w:r>
              <w:rPr>
                <w:rFonts w:hint="eastAsia" w:ascii="宋体" w:hAnsi="宋体" w:cs="宋体"/>
                <w:kern w:val="0"/>
                <w:szCs w:val="21"/>
                <w:lang w:val="en-US" w:eastAsia="zh-CN"/>
              </w:rPr>
              <w:t>不</w:t>
            </w:r>
            <w:r>
              <w:rPr>
                <w:rFonts w:hint="eastAsia" w:ascii="宋体" w:hAnsi="宋体" w:cs="宋体"/>
                <w:kern w:val="0"/>
                <w:szCs w:val="21"/>
              </w:rPr>
              <w:t>明确、质量保障团队配备</w:t>
            </w:r>
            <w:r>
              <w:rPr>
                <w:rFonts w:hint="eastAsia" w:ascii="宋体" w:hAnsi="宋体" w:cs="宋体"/>
                <w:kern w:val="0"/>
                <w:szCs w:val="21"/>
                <w:lang w:val="en-US" w:eastAsia="zh-CN"/>
              </w:rPr>
              <w:t>不</w:t>
            </w:r>
            <w:r>
              <w:rPr>
                <w:rFonts w:hint="eastAsia" w:ascii="宋体" w:hAnsi="宋体" w:cs="宋体"/>
                <w:kern w:val="0"/>
                <w:szCs w:val="21"/>
              </w:rPr>
              <w:t>齐全得4分；</w:t>
            </w:r>
            <w:r>
              <w:rPr>
                <w:rFonts w:hint="eastAsia"/>
                <w:lang w:val="en-US"/>
              </w:rPr>
              <w:t>高级中级初级等保测评师</w:t>
            </w:r>
            <w:r>
              <w:rPr>
                <w:rFonts w:hint="eastAsia"/>
                <w:lang w:val="en-US" w:eastAsia="zh-CN"/>
              </w:rPr>
              <w:t>未按要求人数配备、团队无</w:t>
            </w:r>
            <w:r>
              <w:rPr>
                <w:rFonts w:hint="eastAsia"/>
              </w:rPr>
              <w:t>分</w:t>
            </w:r>
            <w:r>
              <w:rPr>
                <w:rFonts w:hint="eastAsia" w:ascii="宋体" w:hAnsi="宋体" w:cs="宋体"/>
                <w:kern w:val="0"/>
                <w:szCs w:val="21"/>
              </w:rPr>
              <w:t>工明确、质量保障团队</w:t>
            </w:r>
            <w:r>
              <w:rPr>
                <w:rFonts w:hint="eastAsia" w:ascii="宋体" w:hAnsi="宋体" w:cs="宋体"/>
                <w:kern w:val="0"/>
                <w:szCs w:val="21"/>
                <w:lang w:val="en-US" w:eastAsia="zh-CN"/>
              </w:rPr>
              <w:t>未</w:t>
            </w:r>
            <w:r>
              <w:rPr>
                <w:rFonts w:hint="eastAsia" w:ascii="宋体" w:hAnsi="宋体" w:cs="宋体"/>
                <w:kern w:val="0"/>
                <w:szCs w:val="21"/>
              </w:rPr>
              <w:t>配备齐全得0分</w:t>
            </w:r>
          </w:p>
        </w:tc>
        <w:tc>
          <w:tcPr>
            <w:tcW w:w="850" w:type="dxa"/>
            <w:vAlign w:val="center"/>
          </w:tcPr>
          <w:p w14:paraId="229FA90D">
            <w:pPr>
              <w:widowControl/>
              <w:jc w:val="center"/>
              <w:rPr>
                <w:rFonts w:hint="eastAsia" w:ascii="宋体" w:hAnsi="宋体" w:cs="宋体"/>
                <w:kern w:val="0"/>
                <w:szCs w:val="21"/>
              </w:rPr>
            </w:pPr>
            <w:r>
              <w:rPr>
                <w:rFonts w:hint="eastAsia" w:ascii="宋体" w:hAnsi="宋体" w:cs="宋体"/>
                <w:kern w:val="0"/>
                <w:szCs w:val="21"/>
                <w:lang w:val="en-US" w:eastAsia="zh-CN"/>
              </w:rPr>
              <w:t>8分</w:t>
            </w:r>
          </w:p>
        </w:tc>
        <w:tc>
          <w:tcPr>
            <w:tcW w:w="851" w:type="dxa"/>
            <w:vAlign w:val="center"/>
          </w:tcPr>
          <w:p w14:paraId="7B734247">
            <w:pPr>
              <w:widowControl/>
              <w:jc w:val="center"/>
              <w:rPr>
                <w:rFonts w:hint="eastAsia" w:ascii="宋体" w:hAnsi="宋体" w:cs="宋体"/>
                <w:kern w:val="0"/>
                <w:szCs w:val="21"/>
              </w:rPr>
            </w:pPr>
          </w:p>
        </w:tc>
      </w:tr>
      <w:tr w14:paraId="4DDD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11CF3D9B">
            <w:pPr>
              <w:widowControl/>
              <w:jc w:val="center"/>
              <w:rPr>
                <w:rFonts w:ascii="宋体" w:hAnsi="宋体" w:cs="宋体"/>
                <w:kern w:val="0"/>
                <w:szCs w:val="21"/>
              </w:rPr>
            </w:pPr>
            <w:r>
              <w:rPr>
                <w:rFonts w:hint="eastAsia" w:ascii="宋体" w:hAnsi="宋体" w:cs="宋体"/>
                <w:kern w:val="0"/>
                <w:szCs w:val="21"/>
              </w:rPr>
              <w:t>商务评分（</w:t>
            </w:r>
            <w:r>
              <w:rPr>
                <w:rFonts w:ascii="宋体" w:hAnsi="宋体" w:cs="宋体"/>
                <w:b/>
                <w:kern w:val="0"/>
                <w:szCs w:val="21"/>
              </w:rPr>
              <w:t>30</w:t>
            </w:r>
            <w:r>
              <w:rPr>
                <w:rFonts w:hint="eastAsia" w:ascii="宋体" w:hAnsi="宋体" w:cs="宋体"/>
                <w:kern w:val="0"/>
                <w:szCs w:val="21"/>
              </w:rPr>
              <w:t>分）</w:t>
            </w:r>
          </w:p>
        </w:tc>
        <w:tc>
          <w:tcPr>
            <w:tcW w:w="1037" w:type="dxa"/>
            <w:vAlign w:val="center"/>
          </w:tcPr>
          <w:p w14:paraId="1BCFE036">
            <w:pPr>
              <w:widowControl/>
              <w:jc w:val="center"/>
              <w:rPr>
                <w:rFonts w:ascii="宋体" w:hAnsi="宋体" w:cs="宋体"/>
                <w:kern w:val="0"/>
                <w:szCs w:val="21"/>
              </w:rPr>
            </w:pPr>
            <w:r>
              <w:rPr>
                <w:rFonts w:hint="eastAsia" w:ascii="宋体" w:hAnsi="宋体" w:cs="宋体"/>
                <w:kern w:val="0"/>
                <w:szCs w:val="21"/>
              </w:rPr>
              <w:t>综合实力</w:t>
            </w:r>
          </w:p>
        </w:tc>
        <w:tc>
          <w:tcPr>
            <w:tcW w:w="5767" w:type="dxa"/>
            <w:vAlign w:val="center"/>
          </w:tcPr>
          <w:p w14:paraId="55C46D25">
            <w:pPr>
              <w:widowControl/>
              <w:jc w:val="left"/>
              <w:rPr>
                <w:rFonts w:hint="eastAsia" w:ascii="宋体" w:hAnsi="宋体" w:cs="宋体"/>
                <w:kern w:val="0"/>
                <w:szCs w:val="21"/>
              </w:rPr>
            </w:pPr>
            <w:r>
              <w:rPr>
                <w:rFonts w:hint="eastAsia" w:ascii="宋体" w:hAnsi="宋体" w:cs="宋体"/>
                <w:kern w:val="0"/>
                <w:szCs w:val="21"/>
              </w:rPr>
              <w:t>1.供应商具有国家认证认可监督管理委员会颁发的检验检测机构资质认定证书（CMA）（非实验室证书）且检验检测能力范围覆盖信息系统安全等级保护测评，并提供认定证书和证书附表复印件并加盖供应商公章，得5分，否则不得分。</w:t>
            </w:r>
          </w:p>
          <w:p w14:paraId="683FB1A6">
            <w:pPr>
              <w:widowControl/>
              <w:jc w:val="left"/>
              <w:rPr>
                <w:rFonts w:hint="eastAsia" w:ascii="宋体" w:hAnsi="宋体" w:cs="宋体"/>
                <w:kern w:val="0"/>
                <w:szCs w:val="21"/>
              </w:rPr>
            </w:pPr>
            <w:r>
              <w:rPr>
                <w:rFonts w:hint="eastAsia" w:ascii="宋体" w:hAnsi="宋体" w:cs="宋体"/>
                <w:kern w:val="0"/>
                <w:szCs w:val="21"/>
              </w:rPr>
              <w:t>2.供应商拥有中国合格评定国家认可委员会颁发的CNAS检验机构认可证书（不含实验室认可证书），检验检测能力范围覆盖信息系统安全等级保护测评及风险评估，并提供认可证书复印件并加盖供应商公章，得5分，否则不得分。</w:t>
            </w:r>
          </w:p>
          <w:p w14:paraId="20D1D654">
            <w:pPr>
              <w:widowControl/>
              <w:jc w:val="left"/>
              <w:rPr>
                <w:rFonts w:hint="eastAsia" w:ascii="宋体" w:hAnsi="宋体" w:cs="宋体"/>
                <w:kern w:val="0"/>
                <w:szCs w:val="21"/>
              </w:rPr>
            </w:pPr>
            <w:r>
              <w:rPr>
                <w:rFonts w:hint="eastAsia" w:ascii="宋体" w:hAnsi="宋体" w:cs="宋体"/>
                <w:kern w:val="0"/>
                <w:szCs w:val="21"/>
              </w:rPr>
              <w:t>3.供应商拥有质量管理体系认证证书ISO 9001，通用认证范围涵盖信息系统安全等级保护测评、风险评估、安全运维及应急处理服务，并提供认证证书复印件并加盖供应商公章，得5分，否则不得分。</w:t>
            </w:r>
          </w:p>
          <w:p w14:paraId="06CB5F96">
            <w:pPr>
              <w:widowControl/>
              <w:jc w:val="left"/>
              <w:rPr>
                <w:rFonts w:hint="eastAsia" w:ascii="宋体" w:hAnsi="宋体" w:cs="宋体"/>
                <w:kern w:val="0"/>
                <w:szCs w:val="21"/>
              </w:rPr>
            </w:pPr>
            <w:r>
              <w:rPr>
                <w:rFonts w:hint="eastAsia" w:ascii="宋体" w:hAnsi="宋体" w:cs="宋体"/>
                <w:kern w:val="0"/>
                <w:szCs w:val="21"/>
              </w:rPr>
              <w:t>4.供应商拥有业务连续性管理体系认证证书ISO 22301.通用认证范围涵盖信息系统安全等级保护测评、风险评估、安全运维及应急处理服务并提供认证证书复印件并加盖供应商公章，得5分，否则不得分。</w:t>
            </w:r>
          </w:p>
          <w:p w14:paraId="1BCF7C2C">
            <w:pPr>
              <w:widowControl/>
              <w:jc w:val="left"/>
              <w:rPr>
                <w:rFonts w:ascii="宋体" w:hAnsi="宋体" w:cs="宋体"/>
                <w:kern w:val="0"/>
                <w:szCs w:val="21"/>
              </w:rPr>
            </w:pPr>
            <w:r>
              <w:rPr>
                <w:rFonts w:hint="eastAsia" w:ascii="宋体" w:hAnsi="宋体" w:cs="宋体"/>
                <w:kern w:val="0"/>
                <w:szCs w:val="21"/>
              </w:rPr>
              <w:t>5.供应商拥有信息安全管理体系认证证书ISO 27001，通用认证范围涵盖信息系统安全等级保护测评、风险评估、安全运维及应急处理服务，并提供认证证书复印件并加盖供应商公章，得5分，否则不得分。</w:t>
            </w:r>
          </w:p>
        </w:tc>
        <w:tc>
          <w:tcPr>
            <w:tcW w:w="850" w:type="dxa"/>
            <w:vAlign w:val="center"/>
          </w:tcPr>
          <w:p w14:paraId="05171855">
            <w:pPr>
              <w:widowControl/>
              <w:jc w:val="center"/>
              <w:rPr>
                <w:rFonts w:ascii="宋体" w:hAnsi="宋体" w:cs="宋体"/>
                <w:kern w:val="0"/>
                <w:szCs w:val="21"/>
              </w:rPr>
            </w:pPr>
            <w:r>
              <w:rPr>
                <w:rFonts w:hint="eastAsia" w:ascii="宋体" w:hAnsi="宋体" w:cs="宋体"/>
                <w:b w:val="0"/>
                <w:bCs/>
                <w:kern w:val="0"/>
                <w:szCs w:val="21"/>
                <w:lang w:val="en-US" w:eastAsia="zh-CN"/>
              </w:rPr>
              <w:t>2</w:t>
            </w:r>
            <w:r>
              <w:rPr>
                <w:rFonts w:hint="eastAsia" w:cs="宋体"/>
                <w:b w:val="0"/>
                <w:bCs/>
                <w:kern w:val="0"/>
                <w:szCs w:val="21"/>
                <w:lang w:val="en-US" w:eastAsia="zh-CN"/>
              </w:rPr>
              <w:t>5</w:t>
            </w:r>
            <w:r>
              <w:rPr>
                <w:rFonts w:hint="eastAsia" w:ascii="宋体" w:hAnsi="宋体" w:cs="宋体"/>
                <w:kern w:val="0"/>
                <w:szCs w:val="21"/>
              </w:rPr>
              <w:t>分</w:t>
            </w:r>
          </w:p>
        </w:tc>
        <w:tc>
          <w:tcPr>
            <w:tcW w:w="851" w:type="dxa"/>
            <w:vAlign w:val="center"/>
          </w:tcPr>
          <w:p w14:paraId="11AA83CD">
            <w:pPr>
              <w:widowControl/>
              <w:jc w:val="center"/>
              <w:rPr>
                <w:rFonts w:ascii="宋体" w:hAnsi="宋体" w:cs="宋体"/>
                <w:kern w:val="0"/>
                <w:szCs w:val="21"/>
              </w:rPr>
            </w:pPr>
          </w:p>
        </w:tc>
      </w:tr>
      <w:tr w14:paraId="7E2A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235C5998">
            <w:pPr>
              <w:widowControl/>
              <w:jc w:val="center"/>
              <w:rPr>
                <w:rFonts w:ascii="宋体" w:hAnsi="宋体" w:cs="宋体"/>
                <w:kern w:val="0"/>
                <w:szCs w:val="21"/>
              </w:rPr>
            </w:pPr>
          </w:p>
        </w:tc>
        <w:tc>
          <w:tcPr>
            <w:tcW w:w="1037" w:type="dxa"/>
            <w:vAlign w:val="center"/>
          </w:tcPr>
          <w:p w14:paraId="4FEDDE2F">
            <w:pPr>
              <w:widowControl/>
              <w:jc w:val="center"/>
              <w:rPr>
                <w:rFonts w:ascii="宋体" w:hAnsi="宋体" w:cs="宋体"/>
                <w:kern w:val="0"/>
                <w:szCs w:val="21"/>
              </w:rPr>
            </w:pPr>
            <w:r>
              <w:rPr>
                <w:rFonts w:hint="eastAsia" w:ascii="宋体" w:hAnsi="宋体" w:cs="宋体"/>
                <w:kern w:val="0"/>
                <w:szCs w:val="21"/>
              </w:rPr>
              <w:t>类似业绩（</w:t>
            </w:r>
            <w:r>
              <w:rPr>
                <w:rFonts w:hint="eastAsia" w:cs="宋体"/>
                <w:b/>
                <w:kern w:val="0"/>
                <w:szCs w:val="21"/>
                <w:lang w:val="en-US" w:eastAsia="zh-CN"/>
              </w:rPr>
              <w:t>5</w:t>
            </w:r>
            <w:r>
              <w:rPr>
                <w:rFonts w:hint="eastAsia" w:ascii="宋体" w:hAnsi="宋体" w:cs="宋体"/>
                <w:kern w:val="0"/>
                <w:szCs w:val="21"/>
              </w:rPr>
              <w:t>分）</w:t>
            </w:r>
          </w:p>
        </w:tc>
        <w:tc>
          <w:tcPr>
            <w:tcW w:w="5767" w:type="dxa"/>
            <w:vAlign w:val="center"/>
          </w:tcPr>
          <w:p w14:paraId="075A31EF">
            <w:pPr>
              <w:widowControl/>
              <w:jc w:val="left"/>
              <w:rPr>
                <w:rFonts w:hint="eastAsia" w:ascii="宋体" w:hAnsi="宋体" w:cs="宋体"/>
                <w:kern w:val="0"/>
                <w:szCs w:val="21"/>
              </w:rPr>
            </w:pPr>
            <w:r>
              <w:rPr>
                <w:rFonts w:hint="eastAsia" w:ascii="宋体" w:hAnsi="宋体" w:cs="宋体"/>
                <w:kern w:val="0"/>
                <w:szCs w:val="21"/>
                <w:lang w:val="en-US" w:eastAsia="zh-CN"/>
              </w:rPr>
              <w:t>供应商</w:t>
            </w:r>
            <w:r>
              <w:rPr>
                <w:rFonts w:hint="eastAsia" w:ascii="宋体" w:hAnsi="宋体" w:cs="宋体"/>
                <w:kern w:val="0"/>
                <w:szCs w:val="21"/>
              </w:rPr>
              <w:t>近三年（从2023年</w:t>
            </w:r>
            <w:r>
              <w:rPr>
                <w:rFonts w:hint="eastAsia" w:ascii="宋体" w:hAnsi="宋体" w:cs="宋体"/>
                <w:kern w:val="0"/>
                <w:szCs w:val="21"/>
                <w:lang w:val="en-US" w:eastAsia="zh-CN"/>
              </w:rPr>
              <w:t>6</w:t>
            </w:r>
            <w:r>
              <w:rPr>
                <w:rFonts w:hint="eastAsia" w:ascii="宋体" w:hAnsi="宋体" w:cs="宋体"/>
                <w:kern w:val="0"/>
                <w:szCs w:val="21"/>
              </w:rPr>
              <w:t>月1日—至今）独立承担的同类项目案例，每个得1分，最多得5分。</w:t>
            </w:r>
          </w:p>
          <w:p w14:paraId="5D8DE226">
            <w:pPr>
              <w:widowControl/>
              <w:jc w:val="left"/>
              <w:rPr>
                <w:rFonts w:ascii="宋体" w:hAnsi="宋体" w:cs="宋体"/>
                <w:kern w:val="0"/>
                <w:szCs w:val="21"/>
              </w:rPr>
            </w:pPr>
            <w:r>
              <w:rPr>
                <w:rFonts w:hint="eastAsia" w:ascii="宋体" w:hAnsi="宋体" w:cs="宋体"/>
                <w:kern w:val="0"/>
                <w:szCs w:val="21"/>
              </w:rPr>
              <w:t>(须提供合同复印件</w:t>
            </w:r>
            <w:r>
              <w:rPr>
                <w:rFonts w:hint="eastAsia"/>
                <w:lang w:val="en-US" w:eastAsia="zh-CN"/>
              </w:rPr>
              <w:t>，包含：</w:t>
            </w:r>
            <w:r>
              <w:rPr>
                <w:rFonts w:hint="eastAsia" w:ascii="宋体" w:hAnsi="宋体" w:cs="宋体"/>
                <w:kern w:val="0"/>
                <w:szCs w:val="21"/>
              </w:rPr>
              <w:t>合同首页、签字盖章页、服务内容页、金额所在页</w:t>
            </w:r>
            <w:r>
              <w:rPr>
                <w:rFonts w:hint="eastAsia" w:ascii="宋体" w:hAnsi="宋体" w:cs="宋体"/>
                <w:kern w:val="0"/>
                <w:szCs w:val="21"/>
                <w:lang w:eastAsia="zh-CN"/>
              </w:rPr>
              <w:t>，</w:t>
            </w:r>
            <w:r>
              <w:rPr>
                <w:rFonts w:hint="eastAsia" w:ascii="宋体" w:hAnsi="宋体" w:cs="宋体"/>
                <w:kern w:val="0"/>
                <w:szCs w:val="21"/>
              </w:rPr>
              <w:t>并加盖公章，未提供或未盖章不得分)</w:t>
            </w:r>
          </w:p>
        </w:tc>
        <w:tc>
          <w:tcPr>
            <w:tcW w:w="850" w:type="dxa"/>
            <w:vAlign w:val="center"/>
          </w:tcPr>
          <w:p w14:paraId="1A3DAEF2">
            <w:pPr>
              <w:widowControl/>
              <w:jc w:val="center"/>
              <w:rPr>
                <w:rFonts w:ascii="宋体" w:hAnsi="宋体" w:cs="宋体"/>
                <w:kern w:val="0"/>
                <w:szCs w:val="21"/>
              </w:rPr>
            </w:pPr>
            <w:r>
              <w:rPr>
                <w:rFonts w:hint="eastAsia" w:cs="宋体"/>
                <w:b w:val="0"/>
                <w:bCs/>
                <w:kern w:val="0"/>
                <w:szCs w:val="21"/>
                <w:lang w:val="en-US" w:eastAsia="zh-CN"/>
              </w:rPr>
              <w:t>5</w:t>
            </w:r>
            <w:r>
              <w:rPr>
                <w:rFonts w:hint="eastAsia" w:ascii="宋体" w:hAnsi="宋体" w:cs="宋体"/>
                <w:kern w:val="0"/>
                <w:szCs w:val="21"/>
              </w:rPr>
              <w:t>分</w:t>
            </w:r>
          </w:p>
        </w:tc>
        <w:tc>
          <w:tcPr>
            <w:tcW w:w="851" w:type="dxa"/>
            <w:vAlign w:val="center"/>
          </w:tcPr>
          <w:p w14:paraId="4757A05F">
            <w:pPr>
              <w:widowControl/>
              <w:jc w:val="center"/>
              <w:rPr>
                <w:rFonts w:ascii="宋体" w:hAnsi="宋体" w:cs="宋体"/>
                <w:kern w:val="0"/>
                <w:szCs w:val="21"/>
              </w:rPr>
            </w:pPr>
          </w:p>
        </w:tc>
      </w:tr>
      <w:tr w14:paraId="552B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9" w:type="dxa"/>
            <w:gridSpan w:val="3"/>
            <w:vAlign w:val="center"/>
          </w:tcPr>
          <w:p w14:paraId="23B7FF49">
            <w:pPr>
              <w:widowControl/>
              <w:jc w:val="center"/>
              <w:rPr>
                <w:rFonts w:ascii="宋体" w:hAnsi="宋体" w:cs="宋体"/>
                <w:kern w:val="0"/>
                <w:szCs w:val="21"/>
              </w:rPr>
            </w:pPr>
            <w:r>
              <w:rPr>
                <w:rFonts w:hint="eastAsia" w:ascii="宋体" w:hAnsi="宋体" w:cs="宋体"/>
                <w:kern w:val="0"/>
                <w:szCs w:val="21"/>
              </w:rPr>
              <w:t>总 分</w:t>
            </w:r>
          </w:p>
        </w:tc>
        <w:tc>
          <w:tcPr>
            <w:tcW w:w="850" w:type="dxa"/>
            <w:vAlign w:val="center"/>
          </w:tcPr>
          <w:p w14:paraId="0E3C939B">
            <w:pPr>
              <w:widowControl/>
              <w:jc w:val="center"/>
              <w:rPr>
                <w:rFonts w:ascii="宋体" w:hAnsi="宋体" w:cs="宋体"/>
                <w:kern w:val="0"/>
                <w:szCs w:val="21"/>
              </w:rPr>
            </w:pPr>
            <w:r>
              <w:rPr>
                <w:rFonts w:hint="eastAsia" w:ascii="宋体" w:hAnsi="宋体" w:cs="宋体"/>
                <w:kern w:val="0"/>
                <w:szCs w:val="21"/>
              </w:rPr>
              <w:t>100分</w:t>
            </w:r>
          </w:p>
        </w:tc>
        <w:tc>
          <w:tcPr>
            <w:tcW w:w="851" w:type="dxa"/>
            <w:vAlign w:val="center"/>
          </w:tcPr>
          <w:p w14:paraId="50817626">
            <w:pPr>
              <w:widowControl/>
              <w:jc w:val="center"/>
              <w:rPr>
                <w:rFonts w:ascii="宋体" w:hAnsi="宋体" w:cs="宋体"/>
                <w:kern w:val="0"/>
                <w:szCs w:val="21"/>
              </w:rPr>
            </w:pPr>
          </w:p>
        </w:tc>
      </w:tr>
    </w:tbl>
    <w:p w14:paraId="1F35CB08"/>
    <w:p w14:paraId="07D8B99F">
      <w:pPr>
        <w:autoSpaceDE w:val="0"/>
        <w:autoSpaceDN w:val="0"/>
        <w:adjustRightInd w:val="0"/>
        <w:spacing w:line="440" w:lineRule="exact"/>
        <w:jc w:val="center"/>
        <w:rPr>
          <w:rFonts w:hint="eastAsia" w:ascii="宋体" w:hAnsi="宋体" w:cs="宋体"/>
          <w:b/>
          <w:bCs/>
          <w:sz w:val="40"/>
          <w:szCs w:val="40"/>
        </w:rPr>
      </w:pPr>
    </w:p>
    <w:p w14:paraId="5B4DF14E">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r>
        <w:rPr>
          <w:rFonts w:hint="eastAsia" w:ascii="宋体" w:hAnsi="宋体" w:cs="宋体"/>
          <w:b/>
          <w:bCs/>
          <w:sz w:val="40"/>
          <w:szCs w:val="40"/>
          <w:lang w:eastAsia="zh-CN"/>
        </w:rPr>
        <w:t>（</w:t>
      </w:r>
      <w:r>
        <w:rPr>
          <w:rFonts w:hint="eastAsia" w:cs="宋体"/>
          <w:b/>
          <w:bCs/>
          <w:sz w:val="40"/>
          <w:szCs w:val="40"/>
          <w:lang w:val="en-US" w:eastAsia="zh-CN"/>
        </w:rPr>
        <w:t>3</w:t>
      </w:r>
      <w:r>
        <w:rPr>
          <w:rFonts w:hint="eastAsia" w:ascii="宋体" w:hAnsi="宋体" w:cs="宋体"/>
          <w:b/>
          <w:bCs/>
          <w:sz w:val="40"/>
          <w:szCs w:val="40"/>
          <w:lang w:val="en-US" w:eastAsia="zh-CN"/>
        </w:rPr>
        <w:t>包</w:t>
      </w:r>
      <w:r>
        <w:rPr>
          <w:rFonts w:hint="eastAsia" w:ascii="宋体" w:hAnsi="宋体" w:cs="宋体"/>
          <w:b/>
          <w:bCs/>
          <w:sz w:val="40"/>
          <w:szCs w:val="40"/>
          <w:lang w:eastAsia="zh-CN"/>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7F4F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40D0B332">
            <w:pPr>
              <w:widowControl/>
              <w:jc w:val="center"/>
              <w:rPr>
                <w:rFonts w:ascii="宋体" w:hAnsi="宋体" w:cs="宋体"/>
                <w:b/>
                <w:bCs/>
                <w:kern w:val="0"/>
                <w:szCs w:val="21"/>
              </w:rPr>
            </w:pPr>
            <w:r>
              <w:rPr>
                <w:rFonts w:hint="eastAsia" w:ascii="宋体" w:hAnsi="宋体" w:cs="宋体"/>
                <w:b/>
                <w:bCs/>
                <w:kern w:val="0"/>
                <w:szCs w:val="21"/>
              </w:rPr>
              <w:t>评标指标</w:t>
            </w:r>
          </w:p>
        </w:tc>
        <w:tc>
          <w:tcPr>
            <w:tcW w:w="5767" w:type="dxa"/>
            <w:vAlign w:val="center"/>
          </w:tcPr>
          <w:p w14:paraId="606FC637">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14:paraId="6CD7914F">
            <w:pPr>
              <w:widowControl/>
              <w:jc w:val="center"/>
              <w:rPr>
                <w:rFonts w:ascii="宋体" w:hAnsi="宋体" w:cs="宋体"/>
                <w:b/>
                <w:bCs/>
                <w:kern w:val="0"/>
                <w:szCs w:val="21"/>
              </w:rPr>
            </w:pPr>
            <w:r>
              <w:rPr>
                <w:rFonts w:hint="eastAsia" w:ascii="宋体" w:hAnsi="宋体" w:cs="宋体"/>
                <w:b/>
                <w:bCs/>
                <w:kern w:val="0"/>
                <w:szCs w:val="21"/>
              </w:rPr>
              <w:t>分值</w:t>
            </w:r>
          </w:p>
        </w:tc>
        <w:tc>
          <w:tcPr>
            <w:tcW w:w="851" w:type="dxa"/>
            <w:vAlign w:val="center"/>
          </w:tcPr>
          <w:p w14:paraId="062B58D4">
            <w:pPr>
              <w:widowControl/>
              <w:jc w:val="center"/>
              <w:rPr>
                <w:rFonts w:ascii="宋体" w:hAnsi="宋体" w:cs="宋体"/>
                <w:b/>
                <w:bCs/>
                <w:kern w:val="0"/>
                <w:szCs w:val="21"/>
              </w:rPr>
            </w:pPr>
            <w:r>
              <w:rPr>
                <w:rFonts w:hint="eastAsia" w:ascii="宋体" w:hAnsi="宋体" w:cs="宋体"/>
                <w:b/>
                <w:bCs/>
                <w:kern w:val="0"/>
                <w:szCs w:val="21"/>
              </w:rPr>
              <w:t>得分</w:t>
            </w:r>
          </w:p>
        </w:tc>
      </w:tr>
      <w:tr w14:paraId="6230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0DC34C34">
            <w:pPr>
              <w:widowControl/>
              <w:jc w:val="center"/>
              <w:rPr>
                <w:rFonts w:ascii="宋体" w:hAnsi="宋体" w:cs="宋体"/>
                <w:kern w:val="0"/>
                <w:szCs w:val="21"/>
              </w:rPr>
            </w:pPr>
            <w:r>
              <w:rPr>
                <w:rFonts w:hint="eastAsia" w:ascii="宋体" w:hAnsi="宋体" w:cs="宋体"/>
                <w:kern w:val="0"/>
                <w:szCs w:val="21"/>
              </w:rPr>
              <w:t>价格</w:t>
            </w:r>
          </w:p>
          <w:p w14:paraId="17D29B0D">
            <w:pPr>
              <w:widowControl/>
              <w:jc w:val="center"/>
              <w:rPr>
                <w:rFonts w:ascii="宋体" w:hAnsi="宋体" w:cs="宋体"/>
                <w:kern w:val="0"/>
                <w:szCs w:val="21"/>
              </w:rPr>
            </w:pPr>
            <w:r>
              <w:rPr>
                <w:rFonts w:hint="eastAsia" w:ascii="宋体" w:hAnsi="宋体" w:cs="宋体"/>
                <w:kern w:val="0"/>
                <w:szCs w:val="21"/>
              </w:rPr>
              <w:t>（</w:t>
            </w:r>
            <w:r>
              <w:rPr>
                <w:rFonts w:hint="eastAsia" w:ascii="宋体" w:hAnsi="宋体" w:cs="宋体"/>
                <w:b/>
                <w:kern w:val="0"/>
                <w:szCs w:val="21"/>
                <w:lang w:val="en-US" w:eastAsia="zh-CN"/>
              </w:rPr>
              <w:t>1</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515A7300">
            <w:pPr>
              <w:widowControl/>
              <w:jc w:val="center"/>
              <w:rPr>
                <w:rFonts w:ascii="宋体" w:hAnsi="宋体" w:cs="宋体"/>
                <w:kern w:val="0"/>
                <w:szCs w:val="21"/>
              </w:rPr>
            </w:pPr>
            <w:r>
              <w:rPr>
                <w:rFonts w:hint="eastAsia" w:ascii="宋体" w:hAnsi="宋体" w:cs="宋体"/>
                <w:kern w:val="0"/>
                <w:szCs w:val="21"/>
              </w:rPr>
              <w:t>报价</w:t>
            </w:r>
          </w:p>
          <w:p w14:paraId="07061715">
            <w:pPr>
              <w:widowControl/>
              <w:jc w:val="center"/>
              <w:rPr>
                <w:rFonts w:ascii="宋体" w:hAnsi="宋体" w:cs="宋体"/>
                <w:kern w:val="0"/>
                <w:szCs w:val="21"/>
              </w:rPr>
            </w:pPr>
          </w:p>
        </w:tc>
        <w:tc>
          <w:tcPr>
            <w:tcW w:w="5767" w:type="dxa"/>
            <w:vAlign w:val="center"/>
          </w:tcPr>
          <w:p w14:paraId="72540C70">
            <w:pPr>
              <w:widowControl/>
              <w:jc w:val="left"/>
              <w:rPr>
                <w:rFonts w:ascii="宋体" w:hAnsi="宋体" w:cs="宋体"/>
                <w:kern w:val="0"/>
                <w:szCs w:val="21"/>
              </w:rPr>
            </w:pPr>
            <w:r>
              <w:rPr>
                <w:rFonts w:hint="eastAsia" w:ascii="宋体" w:hAnsi="宋体" w:cs="宋体"/>
                <w:kern w:val="0"/>
                <w:szCs w:val="21"/>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395D2032">
            <w:pPr>
              <w:widowControl/>
              <w:jc w:val="cente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0分</w:t>
            </w:r>
          </w:p>
        </w:tc>
        <w:tc>
          <w:tcPr>
            <w:tcW w:w="851" w:type="dxa"/>
            <w:vAlign w:val="center"/>
          </w:tcPr>
          <w:p w14:paraId="7683EEA9">
            <w:pPr>
              <w:widowControl/>
              <w:jc w:val="center"/>
              <w:rPr>
                <w:rFonts w:ascii="宋体" w:hAnsi="宋体" w:cs="宋体"/>
                <w:kern w:val="0"/>
                <w:szCs w:val="21"/>
              </w:rPr>
            </w:pPr>
          </w:p>
        </w:tc>
      </w:tr>
      <w:tr w14:paraId="7034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05F81980">
            <w:pPr>
              <w:widowControl/>
              <w:jc w:val="center"/>
              <w:rPr>
                <w:rFonts w:ascii="宋体" w:hAnsi="宋体" w:cs="宋体"/>
                <w:kern w:val="0"/>
                <w:szCs w:val="21"/>
              </w:rPr>
            </w:pPr>
            <w:r>
              <w:rPr>
                <w:rFonts w:hint="eastAsia" w:ascii="宋体" w:hAnsi="宋体" w:cs="宋体"/>
                <w:kern w:val="0"/>
                <w:szCs w:val="21"/>
              </w:rPr>
              <w:t>技术评分</w:t>
            </w:r>
          </w:p>
          <w:p w14:paraId="6D681A8C">
            <w:pPr>
              <w:widowControl/>
              <w:jc w:val="center"/>
              <w:rPr>
                <w:rFonts w:ascii="宋体" w:hAnsi="宋体" w:cs="宋体"/>
                <w:kern w:val="0"/>
                <w:szCs w:val="21"/>
              </w:rPr>
            </w:pPr>
            <w:r>
              <w:rPr>
                <w:rFonts w:hint="eastAsia" w:ascii="宋体" w:hAnsi="宋体" w:cs="宋体"/>
                <w:kern w:val="0"/>
                <w:szCs w:val="21"/>
              </w:rPr>
              <w:t>（</w:t>
            </w:r>
            <w:r>
              <w:rPr>
                <w:rFonts w:hint="eastAsia" w:cs="宋体"/>
                <w:b/>
                <w:kern w:val="0"/>
                <w:szCs w:val="21"/>
                <w:lang w:val="en-US" w:eastAsia="zh-CN"/>
              </w:rPr>
              <w:t>6</w:t>
            </w:r>
            <w:r>
              <w:rPr>
                <w:rFonts w:ascii="宋体" w:hAnsi="宋体" w:cs="宋体"/>
                <w:b/>
                <w:kern w:val="0"/>
                <w:szCs w:val="21"/>
              </w:rPr>
              <w:t>0</w:t>
            </w:r>
            <w:r>
              <w:rPr>
                <w:rFonts w:hint="eastAsia" w:ascii="宋体" w:hAnsi="宋体" w:cs="宋体"/>
                <w:kern w:val="0"/>
                <w:szCs w:val="21"/>
              </w:rPr>
              <w:t>分）</w:t>
            </w:r>
          </w:p>
        </w:tc>
        <w:tc>
          <w:tcPr>
            <w:tcW w:w="1037" w:type="dxa"/>
            <w:vAlign w:val="center"/>
          </w:tcPr>
          <w:p w14:paraId="570107F6">
            <w:pPr>
              <w:widowControl/>
              <w:jc w:val="center"/>
              <w:rPr>
                <w:rFonts w:ascii="宋体" w:hAnsi="宋体" w:cs="宋体"/>
                <w:kern w:val="0"/>
                <w:szCs w:val="21"/>
              </w:rPr>
            </w:pPr>
            <w:r>
              <w:rPr>
                <w:rFonts w:hint="eastAsia" w:ascii="宋体" w:hAnsi="宋体" w:cs="宋体"/>
                <w:kern w:val="0"/>
                <w:szCs w:val="21"/>
              </w:rPr>
              <w:t>网络安全等级保护及软件测试方案</w:t>
            </w:r>
          </w:p>
        </w:tc>
        <w:tc>
          <w:tcPr>
            <w:tcW w:w="5767" w:type="dxa"/>
            <w:vAlign w:val="center"/>
          </w:tcPr>
          <w:p w14:paraId="21E49A3F">
            <w:pPr>
              <w:widowControl/>
              <w:jc w:val="left"/>
              <w:rPr>
                <w:rFonts w:hint="eastAsia"/>
              </w:rPr>
            </w:pPr>
            <w:r>
              <w:rPr>
                <w:rFonts w:hint="eastAsia"/>
              </w:rPr>
              <w:t>按照投标文件中针对测评内容、测评方法、测评流程、测评步骤、测评工作要求等策略的响应情况进行评审打分。</w:t>
            </w:r>
          </w:p>
          <w:p w14:paraId="5829B157">
            <w:pPr>
              <w:widowControl/>
              <w:jc w:val="left"/>
              <w:rPr>
                <w:rFonts w:hint="eastAsia"/>
              </w:rPr>
            </w:pPr>
            <w:r>
              <w:rPr>
                <w:rFonts w:hint="eastAsia"/>
              </w:rPr>
              <w:t>评分标准：方案全部覆盖5个方面内容，每个方案内容2分，满分10分；每个方案内容，每出现1处缺项或缺陷的扣0.5分，扣完2分为止。不提供不得分。</w:t>
            </w:r>
          </w:p>
          <w:p w14:paraId="33FC6E22">
            <w:pPr>
              <w:widowControl/>
              <w:jc w:val="left"/>
              <w:rPr>
                <w:rFonts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00D25784">
            <w:pPr>
              <w:widowControl/>
              <w:jc w:val="center"/>
              <w:rPr>
                <w:rFonts w:ascii="宋体" w:hAnsi="宋体" w:cs="宋体"/>
                <w:kern w:val="0"/>
                <w:szCs w:val="21"/>
              </w:rPr>
            </w:pPr>
            <w:r>
              <w:rPr>
                <w:rFonts w:hint="eastAsia" w:ascii="宋体" w:hAnsi="宋体" w:cs="宋体"/>
                <w:b w:val="0"/>
                <w:bCs/>
                <w:kern w:val="0"/>
                <w:szCs w:val="21"/>
                <w:lang w:val="en-US" w:eastAsia="zh-CN"/>
              </w:rPr>
              <w:t>10</w:t>
            </w:r>
            <w:r>
              <w:rPr>
                <w:rFonts w:hint="eastAsia" w:ascii="宋体" w:hAnsi="宋体" w:cs="宋体"/>
                <w:kern w:val="0"/>
                <w:szCs w:val="21"/>
              </w:rPr>
              <w:t>分</w:t>
            </w:r>
          </w:p>
        </w:tc>
        <w:tc>
          <w:tcPr>
            <w:tcW w:w="851" w:type="dxa"/>
            <w:vAlign w:val="center"/>
          </w:tcPr>
          <w:p w14:paraId="3E38A03C">
            <w:pPr>
              <w:widowControl/>
              <w:jc w:val="center"/>
              <w:rPr>
                <w:rFonts w:ascii="宋体" w:hAnsi="宋体" w:cs="宋体"/>
                <w:kern w:val="0"/>
                <w:szCs w:val="21"/>
              </w:rPr>
            </w:pPr>
          </w:p>
        </w:tc>
      </w:tr>
      <w:tr w14:paraId="32EF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5667E610">
            <w:pPr>
              <w:widowControl/>
              <w:jc w:val="center"/>
            </w:pPr>
          </w:p>
        </w:tc>
        <w:tc>
          <w:tcPr>
            <w:tcW w:w="1037" w:type="dxa"/>
            <w:vAlign w:val="center"/>
          </w:tcPr>
          <w:p w14:paraId="43DA48F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项目理解</w:t>
            </w:r>
          </w:p>
        </w:tc>
        <w:tc>
          <w:tcPr>
            <w:tcW w:w="5767" w:type="dxa"/>
            <w:vAlign w:val="center"/>
          </w:tcPr>
          <w:p w14:paraId="68DA24C4">
            <w:pPr>
              <w:widowControl/>
              <w:jc w:val="left"/>
              <w:rPr>
                <w:rFonts w:hint="eastAsia" w:ascii="宋体" w:hAnsi="宋体" w:cs="宋体"/>
                <w:kern w:val="0"/>
                <w:szCs w:val="21"/>
              </w:rPr>
            </w:pPr>
            <w:r>
              <w:rPr>
                <w:rFonts w:hint="eastAsia" w:ascii="宋体" w:hAnsi="宋体" w:eastAsia="宋体" w:cs="宋体"/>
                <w:sz w:val="24"/>
                <w:szCs w:val="24"/>
              </w:rPr>
              <w:t>按照投标文件针对项目背景、建设目标、测评要求</w:t>
            </w:r>
            <w:r>
              <w:rPr>
                <w:rFonts w:hint="eastAsia" w:ascii="宋体" w:hAnsi="宋体" w:eastAsia="宋体" w:cs="宋体"/>
                <w:sz w:val="24"/>
                <w:szCs w:val="24"/>
                <w:lang w:eastAsia="zh-CN"/>
              </w:rPr>
              <w:t>、</w:t>
            </w:r>
            <w:r>
              <w:rPr>
                <w:rFonts w:hint="eastAsia" w:ascii="宋体" w:hAnsi="宋体" w:eastAsia="宋体" w:cs="宋体"/>
                <w:color w:val="auto"/>
                <w:sz w:val="24"/>
                <w:szCs w:val="24"/>
              </w:rPr>
              <w:t>项目管理制度</w:t>
            </w:r>
            <w:r>
              <w:rPr>
                <w:rFonts w:hint="eastAsia" w:ascii="宋体" w:hAnsi="宋体" w:eastAsia="宋体" w:cs="宋体"/>
                <w:sz w:val="24"/>
                <w:szCs w:val="24"/>
              </w:rPr>
              <w:t>等</w:t>
            </w:r>
            <w:r>
              <w:rPr>
                <w:rFonts w:hint="eastAsia" w:ascii="宋体" w:hAnsi="宋体" w:eastAsia="宋体" w:cs="宋体"/>
                <w:sz w:val="24"/>
                <w:szCs w:val="24"/>
                <w:lang w:eastAsia="zh-CN"/>
              </w:rPr>
              <w:t>四</w:t>
            </w:r>
            <w:r>
              <w:rPr>
                <w:rFonts w:hint="eastAsia" w:ascii="宋体" w:hAnsi="宋体" w:eastAsia="宋体" w:cs="宋体"/>
                <w:sz w:val="24"/>
                <w:szCs w:val="24"/>
              </w:rPr>
              <w:t>项的理解响应情况进行评审打分。内容每缺一项扣</w:t>
            </w:r>
            <w:r>
              <w:rPr>
                <w:rFonts w:hint="eastAsia" w:ascii="宋体" w:hAnsi="宋体" w:eastAsia="宋体" w:cs="宋体"/>
                <w:sz w:val="24"/>
                <w:szCs w:val="24"/>
                <w:lang w:val="en-US" w:eastAsia="zh-CN"/>
              </w:rPr>
              <w:t>2.5</w:t>
            </w:r>
            <w:r>
              <w:rPr>
                <w:rFonts w:hint="eastAsia" w:ascii="宋体" w:hAnsi="宋体" w:eastAsia="宋体" w:cs="宋体"/>
                <w:sz w:val="24"/>
                <w:szCs w:val="24"/>
              </w:rPr>
              <w:t>分；方案有缺陷的 ，有一处扣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 。满分</w:t>
            </w:r>
            <w:r>
              <w:rPr>
                <w:rFonts w:hint="eastAsia" w:ascii="宋体" w:hAnsi="宋体" w:eastAsia="宋体" w:cs="宋体"/>
                <w:sz w:val="24"/>
                <w:szCs w:val="24"/>
                <w:lang w:val="en-US" w:eastAsia="zh-CN"/>
              </w:rPr>
              <w:t>10</w:t>
            </w:r>
            <w:r>
              <w:rPr>
                <w:rFonts w:hint="eastAsia" w:ascii="宋体" w:hAnsi="宋体" w:eastAsia="宋体" w:cs="宋体"/>
                <w:sz w:val="24"/>
                <w:szCs w:val="24"/>
              </w:rPr>
              <w:t>分，扣完为止。（内容缺陷是指：  内容非专门针对本项目或不适用项目特性的情形、 内容不够完整或缺少关键节点、套用其他项目方案、 内容前后矛盾、涉及的规范及标准错误、不利于项目实施、不可能实现的情形等任意一种情形）</w:t>
            </w:r>
          </w:p>
        </w:tc>
        <w:tc>
          <w:tcPr>
            <w:tcW w:w="850" w:type="dxa"/>
            <w:vAlign w:val="center"/>
          </w:tcPr>
          <w:p w14:paraId="4D5ED73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r>
              <w:rPr>
                <w:rFonts w:hint="eastAsia" w:ascii="宋体" w:hAnsi="宋体" w:cs="宋体"/>
                <w:kern w:val="0"/>
                <w:szCs w:val="21"/>
              </w:rPr>
              <w:t>分</w:t>
            </w:r>
          </w:p>
        </w:tc>
        <w:tc>
          <w:tcPr>
            <w:tcW w:w="851" w:type="dxa"/>
            <w:vAlign w:val="center"/>
          </w:tcPr>
          <w:p w14:paraId="759B64F7">
            <w:pPr>
              <w:widowControl/>
              <w:jc w:val="center"/>
              <w:rPr>
                <w:rFonts w:hint="eastAsia" w:ascii="宋体" w:hAnsi="宋体" w:cs="宋体"/>
                <w:kern w:val="0"/>
                <w:szCs w:val="21"/>
              </w:rPr>
            </w:pPr>
          </w:p>
        </w:tc>
      </w:tr>
      <w:tr w14:paraId="77D8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63DE047">
            <w:pPr>
              <w:widowControl/>
              <w:jc w:val="center"/>
              <w:rPr>
                <w:rFonts w:hint="eastAsia" w:ascii="宋体" w:hAnsi="宋体" w:cs="宋体"/>
                <w:kern w:val="0"/>
                <w:szCs w:val="21"/>
              </w:rPr>
            </w:pPr>
          </w:p>
        </w:tc>
        <w:tc>
          <w:tcPr>
            <w:tcW w:w="1037" w:type="dxa"/>
            <w:vAlign w:val="center"/>
          </w:tcPr>
          <w:p w14:paraId="6ACBD1CE">
            <w:pPr>
              <w:widowControl/>
              <w:jc w:val="center"/>
              <w:rPr>
                <w:rFonts w:hint="eastAsia" w:ascii="宋体" w:hAnsi="宋体" w:cs="宋体"/>
                <w:kern w:val="0"/>
                <w:szCs w:val="21"/>
              </w:rPr>
            </w:pPr>
            <w:r>
              <w:rPr>
                <w:rFonts w:hint="eastAsia" w:ascii="宋体" w:hAnsi="宋体" w:cs="宋体"/>
                <w:kern w:val="0"/>
                <w:szCs w:val="21"/>
              </w:rPr>
              <w:t>渗透测试方案</w:t>
            </w:r>
          </w:p>
        </w:tc>
        <w:tc>
          <w:tcPr>
            <w:tcW w:w="5767" w:type="dxa"/>
            <w:vAlign w:val="center"/>
          </w:tcPr>
          <w:p w14:paraId="0F5A5536">
            <w:pPr>
              <w:widowControl/>
              <w:jc w:val="left"/>
              <w:rPr>
                <w:rFonts w:hint="eastAsia"/>
              </w:rPr>
            </w:pPr>
            <w:r>
              <w:rPr>
                <w:rFonts w:hint="eastAsia"/>
              </w:rPr>
              <w:t>按照投标文件中针对措施、方法进行评审打分。</w:t>
            </w:r>
          </w:p>
          <w:p w14:paraId="34DAF23F">
            <w:pPr>
              <w:widowControl/>
              <w:jc w:val="left"/>
              <w:rPr>
                <w:rFonts w:hint="eastAsia"/>
              </w:rPr>
            </w:pPr>
            <w:r>
              <w:rPr>
                <w:rFonts w:hint="eastAsia"/>
              </w:rPr>
              <w:t>评分标准：方案内容，每出现1处缺项或缺陷的扣1分，扣完5分为止。不提供不得分。</w:t>
            </w:r>
          </w:p>
          <w:p w14:paraId="6B44719E">
            <w:pPr>
              <w:widowControl/>
              <w:jc w:val="left"/>
              <w:rPr>
                <w:rFonts w:hint="eastAsia"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51EDCC1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5分</w:t>
            </w:r>
          </w:p>
        </w:tc>
        <w:tc>
          <w:tcPr>
            <w:tcW w:w="851" w:type="dxa"/>
            <w:vAlign w:val="center"/>
          </w:tcPr>
          <w:p w14:paraId="1ED95AC4">
            <w:pPr>
              <w:widowControl/>
              <w:jc w:val="center"/>
              <w:rPr>
                <w:rFonts w:hint="eastAsia" w:ascii="宋体" w:hAnsi="宋体" w:cs="宋体"/>
                <w:kern w:val="0"/>
                <w:szCs w:val="21"/>
              </w:rPr>
            </w:pPr>
          </w:p>
        </w:tc>
      </w:tr>
      <w:tr w14:paraId="3324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D3C1EFC">
            <w:pPr>
              <w:widowControl/>
              <w:jc w:val="center"/>
              <w:rPr>
                <w:rFonts w:hint="eastAsia" w:ascii="宋体" w:hAnsi="宋体" w:cs="宋体"/>
                <w:kern w:val="0"/>
                <w:szCs w:val="21"/>
              </w:rPr>
            </w:pPr>
          </w:p>
        </w:tc>
        <w:tc>
          <w:tcPr>
            <w:tcW w:w="1037" w:type="dxa"/>
            <w:vAlign w:val="center"/>
          </w:tcPr>
          <w:p w14:paraId="4AB77E4F">
            <w:pPr>
              <w:widowControl/>
              <w:jc w:val="center"/>
              <w:rPr>
                <w:rFonts w:hint="eastAsia" w:ascii="宋体" w:hAnsi="宋体" w:cs="宋体"/>
                <w:kern w:val="0"/>
                <w:szCs w:val="21"/>
              </w:rPr>
            </w:pPr>
            <w:r>
              <w:rPr>
                <w:rFonts w:hint="eastAsia" w:ascii="宋体" w:hAnsi="宋体" w:cs="宋体"/>
                <w:kern w:val="0"/>
                <w:szCs w:val="21"/>
              </w:rPr>
              <w:t>合理的进度计划</w:t>
            </w:r>
          </w:p>
        </w:tc>
        <w:tc>
          <w:tcPr>
            <w:tcW w:w="5767" w:type="dxa"/>
            <w:vAlign w:val="center"/>
          </w:tcPr>
          <w:p w14:paraId="379F1904">
            <w:pPr>
              <w:widowControl/>
              <w:jc w:val="left"/>
              <w:rPr>
                <w:rFonts w:hint="eastAsia"/>
              </w:rPr>
            </w:pPr>
            <w:r>
              <w:rPr>
                <w:rFonts w:hint="eastAsia"/>
              </w:rPr>
              <w:t>供应商针对本项目需求提供实施总体进度计划和保障措施，实施进度计划应满足招标文件技术部分要求，提供实施进度节点图，根据供应商提供的方案进行打分。</w:t>
            </w:r>
          </w:p>
          <w:p w14:paraId="038744AC">
            <w:pPr>
              <w:widowControl/>
              <w:jc w:val="left"/>
              <w:rPr>
                <w:rFonts w:hint="eastAsia"/>
              </w:rPr>
            </w:pPr>
            <w:r>
              <w:rPr>
                <w:rFonts w:hint="eastAsia"/>
              </w:rPr>
              <w:t>评分标准：方案全部覆盖</w:t>
            </w:r>
            <w:r>
              <w:rPr>
                <w:rFonts w:hint="eastAsia" w:ascii="宋体" w:hAnsi="宋体" w:cs="宋体"/>
                <w:kern w:val="0"/>
                <w:szCs w:val="21"/>
              </w:rPr>
              <w:t>等保测评</w:t>
            </w:r>
            <w:r>
              <w:rPr>
                <w:rFonts w:hint="eastAsia" w:ascii="宋体" w:hAnsi="宋体" w:cs="宋体"/>
                <w:kern w:val="0"/>
                <w:szCs w:val="21"/>
                <w:lang w:eastAsia="zh-CN"/>
              </w:rPr>
              <w:t>、</w:t>
            </w:r>
            <w:r>
              <w:rPr>
                <w:rFonts w:hint="eastAsia" w:ascii="宋体" w:hAnsi="宋体" w:cs="宋体"/>
                <w:kern w:val="0"/>
                <w:szCs w:val="21"/>
              </w:rPr>
              <w:t>软件测试</w:t>
            </w:r>
            <w:r>
              <w:rPr>
                <w:rFonts w:hint="eastAsia"/>
              </w:rPr>
              <w:t>2个方面内容，每个方案内容2.5分，满分5分；每个方案内容，每出现1处缺项或缺陷的扣1分，扣完2.5分为止。不提供不得分。</w:t>
            </w:r>
          </w:p>
          <w:p w14:paraId="4CF95FEB">
            <w:pPr>
              <w:widowControl/>
              <w:jc w:val="left"/>
              <w:rPr>
                <w:rFonts w:hint="eastAsia" w:ascii="宋体" w:hAnsi="宋体" w:cs="宋体"/>
                <w:kern w:val="0"/>
                <w:szCs w:val="21"/>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6D60F4D7">
            <w:pPr>
              <w:widowControl/>
              <w:jc w:val="center"/>
              <w:rPr>
                <w:rFonts w:hint="eastAsia" w:ascii="宋体" w:hAnsi="宋体" w:cs="宋体"/>
                <w:kern w:val="0"/>
                <w:szCs w:val="21"/>
              </w:rPr>
            </w:pPr>
            <w:r>
              <w:rPr>
                <w:rFonts w:hint="eastAsia" w:ascii="宋体" w:hAnsi="宋体" w:cs="宋体"/>
                <w:kern w:val="0"/>
                <w:szCs w:val="21"/>
                <w:lang w:val="en-US" w:eastAsia="zh-CN"/>
              </w:rPr>
              <w:t>5分</w:t>
            </w:r>
          </w:p>
        </w:tc>
        <w:tc>
          <w:tcPr>
            <w:tcW w:w="851" w:type="dxa"/>
            <w:vAlign w:val="center"/>
          </w:tcPr>
          <w:p w14:paraId="62B67966">
            <w:pPr>
              <w:widowControl/>
              <w:jc w:val="center"/>
              <w:rPr>
                <w:rFonts w:hint="eastAsia" w:ascii="宋体" w:hAnsi="宋体" w:cs="宋体"/>
                <w:kern w:val="0"/>
                <w:szCs w:val="21"/>
              </w:rPr>
            </w:pPr>
          </w:p>
        </w:tc>
      </w:tr>
      <w:tr w14:paraId="14CB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A636BDB">
            <w:pPr>
              <w:widowControl/>
              <w:jc w:val="center"/>
              <w:rPr>
                <w:rFonts w:hint="eastAsia" w:ascii="宋体" w:hAnsi="宋体" w:cs="宋体"/>
                <w:kern w:val="0"/>
                <w:szCs w:val="21"/>
              </w:rPr>
            </w:pPr>
          </w:p>
        </w:tc>
        <w:tc>
          <w:tcPr>
            <w:tcW w:w="1037" w:type="dxa"/>
            <w:vMerge w:val="restart"/>
            <w:vAlign w:val="center"/>
          </w:tcPr>
          <w:p w14:paraId="7862ED0C">
            <w:pPr>
              <w:widowControl/>
              <w:jc w:val="center"/>
              <w:rPr>
                <w:rFonts w:hint="eastAsia" w:ascii="宋体" w:hAnsi="宋体" w:cs="宋体"/>
                <w:kern w:val="0"/>
                <w:szCs w:val="21"/>
              </w:rPr>
            </w:pPr>
            <w:r>
              <w:rPr>
                <w:rFonts w:hint="eastAsia" w:ascii="宋体" w:hAnsi="宋体" w:cs="宋体"/>
                <w:kern w:val="0"/>
                <w:szCs w:val="21"/>
              </w:rPr>
              <w:t>项目实施能力</w:t>
            </w:r>
          </w:p>
        </w:tc>
        <w:tc>
          <w:tcPr>
            <w:tcW w:w="5767" w:type="dxa"/>
            <w:vAlign w:val="center"/>
          </w:tcPr>
          <w:p w14:paraId="0114E29D">
            <w:pPr>
              <w:widowControl/>
              <w:jc w:val="left"/>
              <w:rPr>
                <w:rFonts w:hint="eastAsia" w:ascii="宋体" w:hAnsi="宋体" w:cs="宋体"/>
                <w:kern w:val="0"/>
                <w:szCs w:val="21"/>
              </w:rPr>
            </w:pPr>
            <w:r>
              <w:rPr>
                <w:rFonts w:hint="eastAsia" w:ascii="宋体" w:hAnsi="宋体" w:cs="宋体"/>
                <w:kern w:val="0"/>
                <w:szCs w:val="21"/>
              </w:rPr>
              <w:t>项目技术负责人具有等保测评高级测评师资质</w:t>
            </w:r>
            <w:r>
              <w:rPr>
                <w:rFonts w:hint="eastAsia" w:ascii="宋体" w:hAnsi="宋体" w:cs="宋体"/>
                <w:kern w:val="0"/>
                <w:szCs w:val="21"/>
                <w:lang w:val="en-US" w:eastAsia="zh-CN"/>
              </w:rPr>
              <w:t>和高级职称证书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5604B2B5">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19BF1D15">
            <w:pPr>
              <w:widowControl/>
              <w:jc w:val="center"/>
              <w:rPr>
                <w:rFonts w:hint="eastAsia" w:ascii="宋体" w:hAnsi="宋体" w:cs="宋体"/>
                <w:kern w:val="0"/>
                <w:szCs w:val="21"/>
              </w:rPr>
            </w:pPr>
          </w:p>
        </w:tc>
      </w:tr>
      <w:tr w14:paraId="67D5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A6E2B17">
            <w:pPr>
              <w:widowControl/>
              <w:jc w:val="center"/>
              <w:rPr>
                <w:rFonts w:hint="eastAsia" w:ascii="宋体" w:hAnsi="宋体" w:cs="宋体"/>
                <w:kern w:val="0"/>
                <w:szCs w:val="21"/>
              </w:rPr>
            </w:pPr>
          </w:p>
        </w:tc>
        <w:tc>
          <w:tcPr>
            <w:tcW w:w="1037" w:type="dxa"/>
            <w:vMerge w:val="continue"/>
            <w:vAlign w:val="center"/>
          </w:tcPr>
          <w:p w14:paraId="64638D45">
            <w:pPr>
              <w:widowControl/>
              <w:jc w:val="center"/>
              <w:rPr>
                <w:rFonts w:hint="eastAsia" w:ascii="宋体" w:hAnsi="宋体" w:cs="宋体"/>
                <w:kern w:val="0"/>
                <w:szCs w:val="21"/>
              </w:rPr>
            </w:pPr>
          </w:p>
        </w:tc>
        <w:tc>
          <w:tcPr>
            <w:tcW w:w="5767" w:type="dxa"/>
            <w:vAlign w:val="center"/>
          </w:tcPr>
          <w:p w14:paraId="27CBD0D8">
            <w:pPr>
              <w:widowControl/>
              <w:jc w:val="left"/>
              <w:rPr>
                <w:rFonts w:hint="eastAsia" w:ascii="宋体" w:hAnsi="宋体" w:cs="宋体"/>
                <w:kern w:val="0"/>
                <w:szCs w:val="21"/>
              </w:rPr>
            </w:pPr>
            <w:r>
              <w:rPr>
                <w:rFonts w:hint="eastAsia" w:ascii="宋体" w:hAnsi="宋体" w:cs="宋体"/>
                <w:kern w:val="0"/>
                <w:szCs w:val="21"/>
              </w:rPr>
              <w:t>项目质量负责人具备中级（含）以上测评师资质和</w:t>
            </w:r>
            <w:r>
              <w:rPr>
                <w:rFonts w:hint="eastAsia" w:ascii="宋体" w:hAnsi="宋体" w:cs="宋体"/>
                <w:kern w:val="0"/>
                <w:szCs w:val="21"/>
                <w:lang w:val="en-US" w:eastAsia="zh-CN"/>
              </w:rPr>
              <w:t>计算机软件水平考试(软考)高级证书</w:t>
            </w:r>
            <w:r>
              <w:rPr>
                <w:rFonts w:hint="eastAsia" w:ascii="宋体" w:hAnsi="宋体" w:cs="宋体"/>
                <w:kern w:val="0"/>
                <w:szCs w:val="21"/>
              </w:rPr>
              <w:t>，</w:t>
            </w:r>
            <w:r>
              <w:rPr>
                <w:rFonts w:hint="eastAsia"/>
                <w:lang w:eastAsia="zh-CN"/>
              </w:rPr>
              <w:t>每获得</w:t>
            </w:r>
            <w:r>
              <w:rPr>
                <w:rFonts w:hint="eastAsia"/>
                <w:lang w:val="en-US" w:eastAsia="zh-CN"/>
              </w:rPr>
              <w:t>其中</w:t>
            </w:r>
            <w:r>
              <w:rPr>
                <w:rFonts w:hint="eastAsia"/>
                <w:lang w:eastAsia="zh-CN"/>
              </w:rPr>
              <w:t>一个证书得</w:t>
            </w:r>
            <w:r>
              <w:rPr>
                <w:rFonts w:hint="eastAsia"/>
                <w:lang w:val="en-US" w:eastAsia="zh-CN"/>
              </w:rPr>
              <w:t>3分，满分6分</w:t>
            </w:r>
          </w:p>
        </w:tc>
        <w:tc>
          <w:tcPr>
            <w:tcW w:w="850" w:type="dxa"/>
            <w:vAlign w:val="center"/>
          </w:tcPr>
          <w:p w14:paraId="347D2AA8">
            <w:pPr>
              <w:widowControl/>
              <w:jc w:val="center"/>
              <w:rPr>
                <w:rFonts w:hint="eastAsia" w:ascii="宋体" w:hAnsi="宋体" w:cs="宋体"/>
                <w:kern w:val="0"/>
                <w:szCs w:val="21"/>
              </w:rPr>
            </w:pPr>
            <w:r>
              <w:rPr>
                <w:rFonts w:hint="eastAsia" w:ascii="宋体" w:hAnsi="宋体" w:cs="宋体"/>
                <w:kern w:val="0"/>
                <w:szCs w:val="21"/>
                <w:lang w:val="en-US" w:eastAsia="zh-CN"/>
              </w:rPr>
              <w:t>6分</w:t>
            </w:r>
          </w:p>
        </w:tc>
        <w:tc>
          <w:tcPr>
            <w:tcW w:w="851" w:type="dxa"/>
            <w:vAlign w:val="center"/>
          </w:tcPr>
          <w:p w14:paraId="1D49653D">
            <w:pPr>
              <w:widowControl/>
              <w:jc w:val="center"/>
              <w:rPr>
                <w:rFonts w:hint="eastAsia" w:ascii="宋体" w:hAnsi="宋体" w:cs="宋体"/>
                <w:kern w:val="0"/>
                <w:szCs w:val="21"/>
              </w:rPr>
            </w:pPr>
          </w:p>
        </w:tc>
      </w:tr>
      <w:tr w14:paraId="0308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5B334AC">
            <w:pPr>
              <w:widowControl/>
              <w:jc w:val="center"/>
              <w:rPr>
                <w:rFonts w:hint="eastAsia" w:ascii="宋体" w:hAnsi="宋体" w:cs="宋体"/>
                <w:kern w:val="0"/>
                <w:szCs w:val="21"/>
              </w:rPr>
            </w:pPr>
          </w:p>
        </w:tc>
        <w:tc>
          <w:tcPr>
            <w:tcW w:w="1037" w:type="dxa"/>
            <w:vMerge w:val="continue"/>
            <w:vAlign w:val="center"/>
          </w:tcPr>
          <w:p w14:paraId="22ABECA5">
            <w:pPr>
              <w:widowControl/>
              <w:jc w:val="center"/>
              <w:rPr>
                <w:rFonts w:hint="eastAsia" w:ascii="宋体" w:hAnsi="宋体" w:cs="宋体"/>
                <w:kern w:val="0"/>
                <w:szCs w:val="21"/>
              </w:rPr>
            </w:pPr>
          </w:p>
        </w:tc>
        <w:tc>
          <w:tcPr>
            <w:tcW w:w="5767" w:type="dxa"/>
            <w:vAlign w:val="center"/>
          </w:tcPr>
          <w:p w14:paraId="58E099DA">
            <w:pPr>
              <w:widowControl/>
              <w:jc w:val="left"/>
              <w:rPr>
                <w:rFonts w:hint="default" w:ascii="宋体" w:hAnsi="宋体" w:cs="宋体"/>
                <w:kern w:val="0"/>
                <w:szCs w:val="21"/>
                <w:lang w:val="en-US" w:eastAsia="zh-CN"/>
              </w:rPr>
            </w:pPr>
            <w:r>
              <w:rPr>
                <w:rFonts w:hint="eastAsia" w:ascii="宋体" w:hAnsi="宋体" w:cs="宋体"/>
                <w:kern w:val="0"/>
                <w:szCs w:val="21"/>
              </w:rPr>
              <w:t>等保测评师具有网络安全保障专业人员培训证书（</w:t>
            </w:r>
            <w:r>
              <w:rPr>
                <w:rFonts w:hint="eastAsia" w:ascii="宋体" w:hAnsi="宋体" w:cs="宋体"/>
                <w:kern w:val="0"/>
                <w:szCs w:val="21"/>
                <w:lang w:val="en-US" w:eastAsia="zh-CN"/>
              </w:rPr>
              <w:t>CISP</w:t>
            </w:r>
            <w:r>
              <w:rPr>
                <w:rFonts w:hint="eastAsia" w:ascii="宋体" w:hAnsi="宋体" w:cs="宋体"/>
                <w:kern w:val="0"/>
                <w:szCs w:val="21"/>
                <w:lang w:eastAsia="zh-CN"/>
              </w:rPr>
              <w:t>、</w:t>
            </w:r>
            <w:r>
              <w:rPr>
                <w:rFonts w:hint="eastAsia" w:ascii="宋体" w:hAnsi="宋体" w:cs="宋体"/>
                <w:kern w:val="0"/>
                <w:szCs w:val="21"/>
              </w:rPr>
              <w:t>ECSP），每满足1个人</w:t>
            </w:r>
            <w:r>
              <w:rPr>
                <w:rFonts w:hint="eastAsia" w:ascii="宋体" w:hAnsi="宋体" w:cs="宋体"/>
                <w:kern w:val="0"/>
                <w:szCs w:val="21"/>
                <w:lang w:val="en-US" w:eastAsia="zh-CN"/>
              </w:rPr>
              <w:t>有CISP</w:t>
            </w:r>
            <w:r>
              <w:rPr>
                <w:rFonts w:hint="eastAsia" w:ascii="宋体" w:hAnsi="宋体" w:cs="宋体"/>
                <w:kern w:val="0"/>
                <w:szCs w:val="21"/>
              </w:rPr>
              <w:t>得2分，满分</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rPr>
              <w:t>每满足1个人</w:t>
            </w:r>
            <w:r>
              <w:rPr>
                <w:rFonts w:hint="eastAsia" w:ascii="宋体" w:hAnsi="宋体" w:cs="宋体"/>
                <w:kern w:val="0"/>
                <w:szCs w:val="21"/>
                <w:lang w:val="en-US" w:eastAsia="zh-CN"/>
              </w:rPr>
              <w:t>有</w:t>
            </w:r>
            <w:r>
              <w:rPr>
                <w:rFonts w:hint="eastAsia" w:ascii="宋体" w:hAnsi="宋体" w:cs="宋体"/>
                <w:kern w:val="0"/>
                <w:szCs w:val="21"/>
              </w:rPr>
              <w:t>ECSP得2分，满分</w:t>
            </w:r>
            <w:r>
              <w:rPr>
                <w:rFonts w:hint="eastAsia" w:ascii="宋体" w:hAnsi="宋体" w:cs="宋体"/>
                <w:kern w:val="0"/>
                <w:szCs w:val="21"/>
                <w:lang w:val="en-US" w:eastAsia="zh-CN"/>
              </w:rPr>
              <w:t>6</w:t>
            </w:r>
            <w:r>
              <w:rPr>
                <w:rFonts w:hint="eastAsia" w:ascii="宋体" w:hAnsi="宋体" w:cs="宋体"/>
                <w:kern w:val="0"/>
                <w:szCs w:val="21"/>
              </w:rPr>
              <w:t>分</w:t>
            </w:r>
            <w:r>
              <w:rPr>
                <w:rFonts w:hint="eastAsia" w:ascii="宋体" w:hAnsi="宋体" w:cs="宋体"/>
                <w:kern w:val="0"/>
                <w:szCs w:val="21"/>
                <w:lang w:eastAsia="zh-CN"/>
              </w:rPr>
              <w:t>。</w:t>
            </w:r>
          </w:p>
        </w:tc>
        <w:tc>
          <w:tcPr>
            <w:tcW w:w="850" w:type="dxa"/>
            <w:vAlign w:val="center"/>
          </w:tcPr>
          <w:p w14:paraId="1A9FF858">
            <w:pPr>
              <w:widowControl/>
              <w:jc w:val="center"/>
              <w:rPr>
                <w:rFonts w:hint="eastAsia" w:ascii="宋体" w:hAnsi="宋体" w:cs="宋体"/>
                <w:kern w:val="0"/>
                <w:szCs w:val="21"/>
              </w:rPr>
            </w:pPr>
            <w:r>
              <w:rPr>
                <w:rFonts w:hint="eastAsia" w:ascii="宋体" w:hAnsi="宋体" w:cs="宋体"/>
                <w:kern w:val="0"/>
                <w:szCs w:val="21"/>
                <w:lang w:val="en-US" w:eastAsia="zh-CN"/>
              </w:rPr>
              <w:t>10分</w:t>
            </w:r>
          </w:p>
        </w:tc>
        <w:tc>
          <w:tcPr>
            <w:tcW w:w="851" w:type="dxa"/>
            <w:vAlign w:val="center"/>
          </w:tcPr>
          <w:p w14:paraId="0CEEB671">
            <w:pPr>
              <w:widowControl/>
              <w:jc w:val="center"/>
              <w:rPr>
                <w:rFonts w:hint="eastAsia" w:ascii="宋体" w:hAnsi="宋体" w:cs="宋体"/>
                <w:kern w:val="0"/>
                <w:szCs w:val="21"/>
              </w:rPr>
            </w:pPr>
          </w:p>
        </w:tc>
      </w:tr>
      <w:tr w14:paraId="0B95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7DED103F">
            <w:pPr>
              <w:widowControl/>
              <w:jc w:val="center"/>
              <w:rPr>
                <w:rFonts w:hint="eastAsia" w:ascii="宋体" w:hAnsi="宋体" w:cs="宋体"/>
                <w:kern w:val="0"/>
                <w:szCs w:val="21"/>
              </w:rPr>
            </w:pPr>
          </w:p>
        </w:tc>
        <w:tc>
          <w:tcPr>
            <w:tcW w:w="1037" w:type="dxa"/>
            <w:vAlign w:val="center"/>
          </w:tcPr>
          <w:p w14:paraId="414F6A89">
            <w:pPr>
              <w:widowControl/>
              <w:jc w:val="center"/>
              <w:rPr>
                <w:rFonts w:hint="eastAsia" w:ascii="宋体" w:hAnsi="宋体" w:cs="宋体"/>
                <w:kern w:val="0"/>
                <w:szCs w:val="21"/>
              </w:rPr>
            </w:pPr>
            <w:r>
              <w:rPr>
                <w:rFonts w:hint="eastAsia" w:ascii="宋体" w:hAnsi="宋体" w:cs="宋体"/>
                <w:kern w:val="0"/>
                <w:szCs w:val="21"/>
              </w:rPr>
              <w:t>项目团队的组成结构</w:t>
            </w:r>
          </w:p>
        </w:tc>
        <w:tc>
          <w:tcPr>
            <w:tcW w:w="5767" w:type="dxa"/>
            <w:shd w:val="clear" w:color="auto" w:fill="auto"/>
            <w:vAlign w:val="center"/>
          </w:tcPr>
          <w:p w14:paraId="6DA8B243">
            <w:pPr>
              <w:widowControl/>
              <w:jc w:val="left"/>
              <w:rPr>
                <w:rFonts w:hint="eastAsia" w:ascii="宋体" w:hAnsi="宋体" w:eastAsia="宋体" w:cs="宋体"/>
                <w:kern w:val="0"/>
                <w:sz w:val="21"/>
                <w:szCs w:val="21"/>
                <w:lang w:val="en-US" w:eastAsia="zh-CN" w:bidi="ar-SA"/>
              </w:rPr>
            </w:pPr>
            <w:r>
              <w:rPr>
                <w:rFonts w:hint="eastAsia"/>
              </w:rPr>
              <w:t>应满足招标文件人员要求</w:t>
            </w:r>
            <w:r>
              <w:rPr>
                <w:rFonts w:hint="eastAsia"/>
                <w:lang w:eastAsia="zh-CN"/>
              </w:rPr>
              <w:t>，</w:t>
            </w:r>
            <w:r>
              <w:rPr>
                <w:rFonts w:hint="eastAsia"/>
              </w:rPr>
              <w:t>根据供应商提供的</w:t>
            </w:r>
            <w:r>
              <w:rPr>
                <w:rFonts w:hint="eastAsia"/>
                <w:lang w:val="en-US" w:eastAsia="zh-CN"/>
              </w:rPr>
              <w:t>团队</w:t>
            </w:r>
            <w:r>
              <w:rPr>
                <w:rFonts w:hint="eastAsia"/>
              </w:rPr>
              <w:t>方案进行打分</w:t>
            </w:r>
            <w:r>
              <w:rPr>
                <w:rFonts w:hint="eastAsia"/>
                <w:lang w:eastAsia="zh-CN"/>
              </w:rPr>
              <w:t>。</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工明确、质量保障团队配备齐全得8分；</w:t>
            </w:r>
            <w:r>
              <w:rPr>
                <w:rFonts w:hint="eastAsia"/>
                <w:lang w:val="en-US"/>
              </w:rPr>
              <w:t>高级中级初级等保测评师</w:t>
            </w:r>
            <w:r>
              <w:rPr>
                <w:rFonts w:hint="eastAsia"/>
                <w:lang w:val="en-US" w:eastAsia="zh-CN"/>
              </w:rPr>
              <w:t>按要求人数配备、团队</w:t>
            </w:r>
            <w:r>
              <w:rPr>
                <w:rFonts w:hint="eastAsia"/>
              </w:rPr>
              <w:t>分</w:t>
            </w:r>
            <w:r>
              <w:rPr>
                <w:rFonts w:hint="eastAsia" w:ascii="宋体" w:hAnsi="宋体" w:cs="宋体"/>
                <w:kern w:val="0"/>
                <w:szCs w:val="21"/>
              </w:rPr>
              <w:t>工</w:t>
            </w:r>
            <w:r>
              <w:rPr>
                <w:rFonts w:hint="eastAsia" w:ascii="宋体" w:hAnsi="宋体" w:cs="宋体"/>
                <w:kern w:val="0"/>
                <w:szCs w:val="21"/>
                <w:lang w:val="en-US" w:eastAsia="zh-CN"/>
              </w:rPr>
              <w:t>不</w:t>
            </w:r>
            <w:r>
              <w:rPr>
                <w:rFonts w:hint="eastAsia" w:ascii="宋体" w:hAnsi="宋体" w:cs="宋体"/>
                <w:kern w:val="0"/>
                <w:szCs w:val="21"/>
              </w:rPr>
              <w:t>明确、质量保障团队配备</w:t>
            </w:r>
            <w:r>
              <w:rPr>
                <w:rFonts w:hint="eastAsia" w:ascii="宋体" w:hAnsi="宋体" w:cs="宋体"/>
                <w:kern w:val="0"/>
                <w:szCs w:val="21"/>
                <w:lang w:val="en-US" w:eastAsia="zh-CN"/>
              </w:rPr>
              <w:t>不</w:t>
            </w:r>
            <w:r>
              <w:rPr>
                <w:rFonts w:hint="eastAsia" w:ascii="宋体" w:hAnsi="宋体" w:cs="宋体"/>
                <w:kern w:val="0"/>
                <w:szCs w:val="21"/>
              </w:rPr>
              <w:t>齐全得4分；</w:t>
            </w:r>
            <w:r>
              <w:rPr>
                <w:rFonts w:hint="eastAsia"/>
                <w:lang w:val="en-US"/>
              </w:rPr>
              <w:t>高级中级初级等保测评师</w:t>
            </w:r>
            <w:r>
              <w:rPr>
                <w:rFonts w:hint="eastAsia"/>
                <w:lang w:val="en-US" w:eastAsia="zh-CN"/>
              </w:rPr>
              <w:t>未按要求人数配备、团队无</w:t>
            </w:r>
            <w:r>
              <w:rPr>
                <w:rFonts w:hint="eastAsia"/>
              </w:rPr>
              <w:t>分</w:t>
            </w:r>
            <w:r>
              <w:rPr>
                <w:rFonts w:hint="eastAsia" w:ascii="宋体" w:hAnsi="宋体" w:cs="宋体"/>
                <w:kern w:val="0"/>
                <w:szCs w:val="21"/>
              </w:rPr>
              <w:t>工明确、质量保障团队</w:t>
            </w:r>
            <w:r>
              <w:rPr>
                <w:rFonts w:hint="eastAsia" w:ascii="宋体" w:hAnsi="宋体" w:cs="宋体"/>
                <w:kern w:val="0"/>
                <w:szCs w:val="21"/>
                <w:lang w:val="en-US" w:eastAsia="zh-CN"/>
              </w:rPr>
              <w:t>未</w:t>
            </w:r>
            <w:r>
              <w:rPr>
                <w:rFonts w:hint="eastAsia" w:ascii="宋体" w:hAnsi="宋体" w:cs="宋体"/>
                <w:kern w:val="0"/>
                <w:szCs w:val="21"/>
              </w:rPr>
              <w:t>配备齐全得0分</w:t>
            </w:r>
          </w:p>
        </w:tc>
        <w:tc>
          <w:tcPr>
            <w:tcW w:w="850" w:type="dxa"/>
            <w:vAlign w:val="center"/>
          </w:tcPr>
          <w:p w14:paraId="00F9C865">
            <w:pPr>
              <w:widowControl/>
              <w:jc w:val="center"/>
              <w:rPr>
                <w:rFonts w:hint="eastAsia" w:ascii="宋体" w:hAnsi="宋体" w:cs="宋体"/>
                <w:kern w:val="0"/>
                <w:szCs w:val="21"/>
              </w:rPr>
            </w:pPr>
            <w:r>
              <w:rPr>
                <w:rFonts w:hint="eastAsia" w:ascii="宋体" w:hAnsi="宋体" w:cs="宋体"/>
                <w:kern w:val="0"/>
                <w:szCs w:val="21"/>
                <w:lang w:val="en-US" w:eastAsia="zh-CN"/>
              </w:rPr>
              <w:t>8分</w:t>
            </w:r>
          </w:p>
        </w:tc>
        <w:tc>
          <w:tcPr>
            <w:tcW w:w="851" w:type="dxa"/>
            <w:vAlign w:val="center"/>
          </w:tcPr>
          <w:p w14:paraId="73AC4D7A">
            <w:pPr>
              <w:widowControl/>
              <w:jc w:val="center"/>
              <w:rPr>
                <w:rFonts w:hint="eastAsia" w:ascii="宋体" w:hAnsi="宋体" w:cs="宋体"/>
                <w:kern w:val="0"/>
                <w:szCs w:val="21"/>
              </w:rPr>
            </w:pPr>
          </w:p>
        </w:tc>
      </w:tr>
      <w:tr w14:paraId="533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09A57D77">
            <w:pPr>
              <w:widowControl/>
              <w:jc w:val="center"/>
              <w:rPr>
                <w:rFonts w:ascii="宋体" w:hAnsi="宋体" w:cs="宋体"/>
                <w:kern w:val="0"/>
                <w:szCs w:val="21"/>
              </w:rPr>
            </w:pPr>
            <w:r>
              <w:rPr>
                <w:rFonts w:hint="eastAsia" w:ascii="宋体" w:hAnsi="宋体" w:cs="宋体"/>
                <w:kern w:val="0"/>
                <w:szCs w:val="21"/>
              </w:rPr>
              <w:t>商务评分（</w:t>
            </w:r>
            <w:r>
              <w:rPr>
                <w:rFonts w:ascii="宋体" w:hAnsi="宋体" w:cs="宋体"/>
                <w:b/>
                <w:kern w:val="0"/>
                <w:szCs w:val="21"/>
              </w:rPr>
              <w:t>30</w:t>
            </w:r>
            <w:r>
              <w:rPr>
                <w:rFonts w:hint="eastAsia" w:ascii="宋体" w:hAnsi="宋体" w:cs="宋体"/>
                <w:kern w:val="0"/>
                <w:szCs w:val="21"/>
              </w:rPr>
              <w:t>分）</w:t>
            </w:r>
          </w:p>
        </w:tc>
        <w:tc>
          <w:tcPr>
            <w:tcW w:w="1037" w:type="dxa"/>
            <w:vAlign w:val="center"/>
          </w:tcPr>
          <w:p w14:paraId="683938C5">
            <w:pPr>
              <w:widowControl/>
              <w:jc w:val="center"/>
              <w:rPr>
                <w:rFonts w:ascii="宋体" w:hAnsi="宋体" w:cs="宋体"/>
                <w:kern w:val="0"/>
                <w:szCs w:val="21"/>
              </w:rPr>
            </w:pPr>
            <w:r>
              <w:rPr>
                <w:rFonts w:hint="eastAsia" w:ascii="宋体" w:hAnsi="宋体" w:cs="宋体"/>
                <w:kern w:val="0"/>
                <w:szCs w:val="21"/>
              </w:rPr>
              <w:t>综合实力</w:t>
            </w:r>
          </w:p>
        </w:tc>
        <w:tc>
          <w:tcPr>
            <w:tcW w:w="5767" w:type="dxa"/>
            <w:vAlign w:val="center"/>
          </w:tcPr>
          <w:p w14:paraId="2A0AD9EE">
            <w:pPr>
              <w:widowControl/>
              <w:jc w:val="left"/>
              <w:rPr>
                <w:rFonts w:hint="eastAsia" w:ascii="宋体" w:hAnsi="宋体" w:cs="宋体"/>
                <w:kern w:val="0"/>
                <w:szCs w:val="21"/>
              </w:rPr>
            </w:pPr>
            <w:r>
              <w:rPr>
                <w:rFonts w:hint="eastAsia" w:ascii="宋体" w:hAnsi="宋体" w:cs="宋体"/>
                <w:kern w:val="0"/>
                <w:szCs w:val="21"/>
              </w:rPr>
              <w:t>1.</w:t>
            </w:r>
            <w:r>
              <w:rPr>
                <w:rFonts w:hint="eastAsia" w:cs="宋体"/>
                <w:kern w:val="0"/>
                <w:szCs w:val="21"/>
                <w:lang w:eastAsia="zh-CN"/>
              </w:rPr>
              <w:t>供应商</w:t>
            </w:r>
            <w:r>
              <w:rPr>
                <w:rFonts w:hint="eastAsia" w:ascii="宋体" w:hAnsi="宋体" w:cs="宋体"/>
                <w:kern w:val="0"/>
                <w:szCs w:val="21"/>
              </w:rPr>
              <w:t>具有国家认证认可监督管理委员会颁发的检验检测机构资质认定证书（CMA）（非实验室证书）且检验检测能力范围覆盖信息系统安全等级保护测评，并提供认定证书和证书附表复印件并加盖</w:t>
            </w:r>
            <w:r>
              <w:rPr>
                <w:rFonts w:hint="eastAsia" w:cs="宋体"/>
                <w:kern w:val="0"/>
                <w:szCs w:val="21"/>
                <w:lang w:eastAsia="zh-CN"/>
              </w:rPr>
              <w:t>供应商</w:t>
            </w:r>
            <w:r>
              <w:rPr>
                <w:rFonts w:hint="eastAsia" w:ascii="宋体" w:hAnsi="宋体" w:cs="宋体"/>
                <w:kern w:val="0"/>
                <w:szCs w:val="21"/>
              </w:rPr>
              <w:t>公章，得5分，否则不得分。</w:t>
            </w:r>
          </w:p>
          <w:p w14:paraId="5007B6B6">
            <w:pPr>
              <w:widowControl/>
              <w:jc w:val="left"/>
              <w:rPr>
                <w:rFonts w:hint="eastAsia" w:ascii="宋体" w:hAnsi="宋体" w:cs="宋体"/>
                <w:kern w:val="0"/>
                <w:szCs w:val="21"/>
              </w:rPr>
            </w:pPr>
            <w:r>
              <w:rPr>
                <w:rFonts w:hint="eastAsia" w:ascii="宋体" w:hAnsi="宋体" w:cs="宋体"/>
                <w:kern w:val="0"/>
                <w:szCs w:val="21"/>
              </w:rPr>
              <w:t>2.</w:t>
            </w:r>
            <w:r>
              <w:rPr>
                <w:rFonts w:hint="eastAsia" w:cs="宋体"/>
                <w:kern w:val="0"/>
                <w:szCs w:val="21"/>
                <w:lang w:eastAsia="zh-CN"/>
              </w:rPr>
              <w:t>供应商</w:t>
            </w:r>
            <w:r>
              <w:rPr>
                <w:rFonts w:hint="eastAsia" w:ascii="宋体" w:hAnsi="宋体" w:cs="宋体"/>
                <w:kern w:val="0"/>
                <w:szCs w:val="21"/>
              </w:rPr>
              <w:t>拥有中国合格评定国家认可委员会颁发的CNAS检验机构认可证书（不含实验室认可证书），检验检测能力范围覆盖信息系统安全等级保护测评及风险评估，并提供认可证书复印件并加盖</w:t>
            </w:r>
            <w:r>
              <w:rPr>
                <w:rFonts w:hint="eastAsia" w:cs="宋体"/>
                <w:kern w:val="0"/>
                <w:szCs w:val="21"/>
                <w:lang w:eastAsia="zh-CN"/>
              </w:rPr>
              <w:t>供应商</w:t>
            </w:r>
            <w:r>
              <w:rPr>
                <w:rFonts w:hint="eastAsia" w:ascii="宋体" w:hAnsi="宋体" w:cs="宋体"/>
                <w:kern w:val="0"/>
                <w:szCs w:val="21"/>
              </w:rPr>
              <w:t>公章，得5分，否则不得分。</w:t>
            </w:r>
          </w:p>
          <w:p w14:paraId="650DC1B1">
            <w:pPr>
              <w:widowControl/>
              <w:jc w:val="left"/>
              <w:rPr>
                <w:rFonts w:hint="eastAsia" w:ascii="宋体" w:hAnsi="宋体" w:cs="宋体"/>
                <w:kern w:val="0"/>
                <w:szCs w:val="21"/>
              </w:rPr>
            </w:pPr>
            <w:r>
              <w:rPr>
                <w:rFonts w:hint="eastAsia" w:ascii="宋体" w:hAnsi="宋体" w:cs="宋体"/>
                <w:kern w:val="0"/>
                <w:szCs w:val="21"/>
              </w:rPr>
              <w:t>3.</w:t>
            </w:r>
            <w:r>
              <w:rPr>
                <w:rFonts w:hint="eastAsia" w:cs="宋体"/>
                <w:kern w:val="0"/>
                <w:szCs w:val="21"/>
                <w:lang w:eastAsia="zh-CN"/>
              </w:rPr>
              <w:t>供应商</w:t>
            </w:r>
            <w:r>
              <w:rPr>
                <w:rFonts w:hint="eastAsia" w:ascii="宋体" w:hAnsi="宋体" w:cs="宋体"/>
                <w:kern w:val="0"/>
                <w:szCs w:val="21"/>
              </w:rPr>
              <w:t>拥有质量管理体系认证证书ISO 9001，通用认证范围涵盖信息系统安全等级保护测评、风险评估、安全运维及应急处理服务，并提供认证证书复印件并加盖</w:t>
            </w:r>
            <w:r>
              <w:rPr>
                <w:rFonts w:hint="eastAsia" w:cs="宋体"/>
                <w:kern w:val="0"/>
                <w:szCs w:val="21"/>
                <w:lang w:eastAsia="zh-CN"/>
              </w:rPr>
              <w:t>供应商</w:t>
            </w:r>
            <w:r>
              <w:rPr>
                <w:rFonts w:hint="eastAsia" w:ascii="宋体" w:hAnsi="宋体" w:cs="宋体"/>
                <w:kern w:val="0"/>
                <w:szCs w:val="21"/>
              </w:rPr>
              <w:t>公章，得5分，否则不得分。</w:t>
            </w:r>
          </w:p>
          <w:p w14:paraId="2909DE78">
            <w:pPr>
              <w:widowControl/>
              <w:jc w:val="left"/>
              <w:rPr>
                <w:rFonts w:hint="eastAsia" w:ascii="宋体" w:hAnsi="宋体" w:cs="宋体"/>
                <w:kern w:val="0"/>
                <w:szCs w:val="21"/>
              </w:rPr>
            </w:pPr>
            <w:r>
              <w:rPr>
                <w:rFonts w:hint="eastAsia" w:ascii="宋体" w:hAnsi="宋体" w:cs="宋体"/>
                <w:kern w:val="0"/>
                <w:szCs w:val="21"/>
              </w:rPr>
              <w:t>4.</w:t>
            </w:r>
            <w:r>
              <w:rPr>
                <w:rFonts w:hint="eastAsia" w:cs="宋体"/>
                <w:kern w:val="0"/>
                <w:szCs w:val="21"/>
                <w:lang w:eastAsia="zh-CN"/>
              </w:rPr>
              <w:t>供应商</w:t>
            </w:r>
            <w:r>
              <w:rPr>
                <w:rFonts w:hint="eastAsia" w:ascii="宋体" w:hAnsi="宋体" w:cs="宋体"/>
                <w:kern w:val="0"/>
                <w:szCs w:val="21"/>
              </w:rPr>
              <w:t>拥有业务连续性管理体系认证证书ISO 22301.通用认证范围涵盖信息系统安全等级保护测评、风险评估、安全运维及应急处理服务并提供认证证书复印件并加盖</w:t>
            </w:r>
            <w:r>
              <w:rPr>
                <w:rFonts w:hint="eastAsia" w:cs="宋体"/>
                <w:kern w:val="0"/>
                <w:szCs w:val="21"/>
                <w:lang w:eastAsia="zh-CN"/>
              </w:rPr>
              <w:t>供应商</w:t>
            </w:r>
            <w:r>
              <w:rPr>
                <w:rFonts w:hint="eastAsia" w:ascii="宋体" w:hAnsi="宋体" w:cs="宋体"/>
                <w:kern w:val="0"/>
                <w:szCs w:val="21"/>
              </w:rPr>
              <w:t>公章，得5分，否则不得分。</w:t>
            </w:r>
          </w:p>
          <w:p w14:paraId="38585345">
            <w:pPr>
              <w:widowControl/>
              <w:jc w:val="left"/>
              <w:rPr>
                <w:rFonts w:ascii="宋体" w:hAnsi="宋体" w:cs="宋体"/>
                <w:kern w:val="0"/>
                <w:szCs w:val="21"/>
              </w:rPr>
            </w:pPr>
            <w:r>
              <w:rPr>
                <w:rFonts w:hint="eastAsia" w:ascii="宋体" w:hAnsi="宋体" w:cs="宋体"/>
                <w:kern w:val="0"/>
                <w:szCs w:val="21"/>
              </w:rPr>
              <w:t>5.</w:t>
            </w:r>
            <w:r>
              <w:rPr>
                <w:rFonts w:hint="eastAsia" w:cs="宋体"/>
                <w:kern w:val="0"/>
                <w:szCs w:val="21"/>
                <w:lang w:eastAsia="zh-CN"/>
              </w:rPr>
              <w:t>供应商</w:t>
            </w:r>
            <w:r>
              <w:rPr>
                <w:rFonts w:hint="eastAsia" w:ascii="宋体" w:hAnsi="宋体" w:cs="宋体"/>
                <w:kern w:val="0"/>
                <w:szCs w:val="21"/>
              </w:rPr>
              <w:t>拥有信息安全管理体系认证证书ISO 27001，通用认证范围涵盖信息系统安全等级保护测评、风险评估、安全运维及应急处理服务，并提供认证证书复印件并加盖</w:t>
            </w:r>
            <w:r>
              <w:rPr>
                <w:rFonts w:hint="eastAsia" w:cs="宋体"/>
                <w:kern w:val="0"/>
                <w:szCs w:val="21"/>
                <w:lang w:eastAsia="zh-CN"/>
              </w:rPr>
              <w:t>供应商</w:t>
            </w:r>
            <w:r>
              <w:rPr>
                <w:rFonts w:hint="eastAsia" w:ascii="宋体" w:hAnsi="宋体" w:cs="宋体"/>
                <w:kern w:val="0"/>
                <w:szCs w:val="21"/>
              </w:rPr>
              <w:t>公章，得5分，否则不得分。</w:t>
            </w:r>
          </w:p>
        </w:tc>
        <w:tc>
          <w:tcPr>
            <w:tcW w:w="850" w:type="dxa"/>
            <w:vAlign w:val="center"/>
          </w:tcPr>
          <w:p w14:paraId="7C3924A8">
            <w:pPr>
              <w:widowControl/>
              <w:jc w:val="center"/>
              <w:rPr>
                <w:rFonts w:ascii="宋体" w:hAnsi="宋体" w:cs="宋体"/>
                <w:kern w:val="0"/>
                <w:szCs w:val="21"/>
              </w:rPr>
            </w:pPr>
            <w:r>
              <w:rPr>
                <w:rFonts w:hint="eastAsia" w:ascii="宋体" w:hAnsi="宋体" w:cs="宋体"/>
                <w:b w:val="0"/>
                <w:bCs/>
                <w:kern w:val="0"/>
                <w:szCs w:val="21"/>
                <w:lang w:val="en-US" w:eastAsia="zh-CN"/>
              </w:rPr>
              <w:t>2</w:t>
            </w:r>
            <w:r>
              <w:rPr>
                <w:rFonts w:hint="eastAsia" w:cs="宋体"/>
                <w:b w:val="0"/>
                <w:bCs/>
                <w:kern w:val="0"/>
                <w:szCs w:val="21"/>
                <w:lang w:val="en-US" w:eastAsia="zh-CN"/>
              </w:rPr>
              <w:t>5</w:t>
            </w:r>
            <w:r>
              <w:rPr>
                <w:rFonts w:hint="eastAsia" w:ascii="宋体" w:hAnsi="宋体" w:cs="宋体"/>
                <w:kern w:val="0"/>
                <w:szCs w:val="21"/>
              </w:rPr>
              <w:t>分</w:t>
            </w:r>
          </w:p>
        </w:tc>
        <w:tc>
          <w:tcPr>
            <w:tcW w:w="851" w:type="dxa"/>
            <w:vAlign w:val="center"/>
          </w:tcPr>
          <w:p w14:paraId="195F6394">
            <w:pPr>
              <w:widowControl/>
              <w:jc w:val="center"/>
              <w:rPr>
                <w:rFonts w:ascii="宋体" w:hAnsi="宋体" w:cs="宋体"/>
                <w:kern w:val="0"/>
                <w:szCs w:val="21"/>
              </w:rPr>
            </w:pPr>
          </w:p>
        </w:tc>
      </w:tr>
      <w:tr w14:paraId="753D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8CC80F9">
            <w:pPr>
              <w:widowControl/>
              <w:jc w:val="center"/>
              <w:rPr>
                <w:rFonts w:ascii="宋体" w:hAnsi="宋体" w:cs="宋体"/>
                <w:kern w:val="0"/>
                <w:szCs w:val="21"/>
              </w:rPr>
            </w:pPr>
          </w:p>
        </w:tc>
        <w:tc>
          <w:tcPr>
            <w:tcW w:w="1037" w:type="dxa"/>
            <w:vAlign w:val="center"/>
          </w:tcPr>
          <w:p w14:paraId="1B0684A4">
            <w:pPr>
              <w:widowControl/>
              <w:jc w:val="center"/>
              <w:rPr>
                <w:rFonts w:ascii="宋体" w:hAnsi="宋体" w:cs="宋体"/>
                <w:kern w:val="0"/>
                <w:szCs w:val="21"/>
              </w:rPr>
            </w:pPr>
            <w:r>
              <w:rPr>
                <w:rFonts w:hint="eastAsia" w:ascii="宋体" w:hAnsi="宋体" w:cs="宋体"/>
                <w:kern w:val="0"/>
                <w:szCs w:val="21"/>
              </w:rPr>
              <w:t>类似业绩（</w:t>
            </w:r>
            <w:r>
              <w:rPr>
                <w:rFonts w:hint="eastAsia" w:cs="宋体"/>
                <w:b/>
                <w:kern w:val="0"/>
                <w:szCs w:val="21"/>
                <w:lang w:val="en-US" w:eastAsia="zh-CN"/>
              </w:rPr>
              <w:t>5</w:t>
            </w:r>
            <w:r>
              <w:rPr>
                <w:rFonts w:hint="eastAsia" w:ascii="宋体" w:hAnsi="宋体" w:cs="宋体"/>
                <w:kern w:val="0"/>
                <w:szCs w:val="21"/>
              </w:rPr>
              <w:t>分）</w:t>
            </w:r>
          </w:p>
        </w:tc>
        <w:tc>
          <w:tcPr>
            <w:tcW w:w="5767" w:type="dxa"/>
            <w:vAlign w:val="center"/>
          </w:tcPr>
          <w:p w14:paraId="0CCCBF53">
            <w:pPr>
              <w:widowControl/>
              <w:jc w:val="left"/>
              <w:rPr>
                <w:rFonts w:hint="eastAsia" w:ascii="宋体" w:hAnsi="宋体" w:cs="宋体"/>
                <w:kern w:val="0"/>
                <w:szCs w:val="21"/>
              </w:rPr>
            </w:pPr>
            <w:r>
              <w:rPr>
                <w:rFonts w:hint="eastAsia" w:cs="宋体"/>
                <w:kern w:val="0"/>
                <w:szCs w:val="21"/>
                <w:lang w:eastAsia="zh-CN"/>
              </w:rPr>
              <w:t>供应商</w:t>
            </w:r>
            <w:r>
              <w:rPr>
                <w:rFonts w:hint="eastAsia" w:ascii="宋体" w:hAnsi="宋体" w:cs="宋体"/>
                <w:kern w:val="0"/>
                <w:szCs w:val="21"/>
              </w:rPr>
              <w:t>近三年（从2023年</w:t>
            </w:r>
            <w:r>
              <w:rPr>
                <w:rFonts w:hint="eastAsia" w:ascii="宋体" w:hAnsi="宋体" w:cs="宋体"/>
                <w:kern w:val="0"/>
                <w:szCs w:val="21"/>
                <w:lang w:val="en-US" w:eastAsia="zh-CN"/>
              </w:rPr>
              <w:t>6</w:t>
            </w:r>
            <w:r>
              <w:rPr>
                <w:rFonts w:hint="eastAsia" w:ascii="宋体" w:hAnsi="宋体" w:cs="宋体"/>
                <w:kern w:val="0"/>
                <w:szCs w:val="21"/>
              </w:rPr>
              <w:t>月1日—至今）独立承担的同类项目案例，每个得1分，最多得5分。</w:t>
            </w:r>
          </w:p>
          <w:p w14:paraId="41F688D3">
            <w:pPr>
              <w:widowControl/>
              <w:jc w:val="left"/>
              <w:rPr>
                <w:rFonts w:ascii="宋体" w:hAnsi="宋体" w:cs="宋体"/>
                <w:kern w:val="0"/>
                <w:szCs w:val="21"/>
              </w:rPr>
            </w:pPr>
            <w:r>
              <w:rPr>
                <w:rFonts w:hint="eastAsia" w:ascii="宋体" w:hAnsi="宋体" w:cs="宋体"/>
                <w:kern w:val="0"/>
                <w:szCs w:val="21"/>
              </w:rPr>
              <w:t>(须提供合同复印件</w:t>
            </w:r>
            <w:r>
              <w:rPr>
                <w:rFonts w:hint="eastAsia"/>
                <w:lang w:val="en-US" w:eastAsia="zh-CN"/>
              </w:rPr>
              <w:t>，包含：</w:t>
            </w:r>
            <w:r>
              <w:rPr>
                <w:rFonts w:hint="eastAsia" w:ascii="宋体" w:hAnsi="宋体" w:cs="宋体"/>
                <w:kern w:val="0"/>
                <w:szCs w:val="21"/>
              </w:rPr>
              <w:t>合同首页、签字盖章页、服务内容页、金额所在页</w:t>
            </w:r>
            <w:r>
              <w:rPr>
                <w:rFonts w:hint="eastAsia" w:ascii="宋体" w:hAnsi="宋体" w:cs="宋体"/>
                <w:kern w:val="0"/>
                <w:szCs w:val="21"/>
                <w:lang w:eastAsia="zh-CN"/>
              </w:rPr>
              <w:t>，</w:t>
            </w:r>
            <w:r>
              <w:rPr>
                <w:rFonts w:hint="eastAsia" w:ascii="宋体" w:hAnsi="宋体" w:cs="宋体"/>
                <w:kern w:val="0"/>
                <w:szCs w:val="21"/>
              </w:rPr>
              <w:t>并加盖公章，未提供或未盖章不得分)。</w:t>
            </w:r>
          </w:p>
        </w:tc>
        <w:tc>
          <w:tcPr>
            <w:tcW w:w="850" w:type="dxa"/>
            <w:vAlign w:val="center"/>
          </w:tcPr>
          <w:p w14:paraId="2160A97B">
            <w:pPr>
              <w:widowControl/>
              <w:jc w:val="center"/>
              <w:rPr>
                <w:rFonts w:ascii="宋体" w:hAnsi="宋体" w:cs="宋体"/>
                <w:kern w:val="0"/>
                <w:szCs w:val="21"/>
              </w:rPr>
            </w:pPr>
            <w:r>
              <w:rPr>
                <w:rFonts w:hint="eastAsia" w:cs="宋体"/>
                <w:b w:val="0"/>
                <w:bCs/>
                <w:kern w:val="0"/>
                <w:szCs w:val="21"/>
                <w:lang w:val="en-US" w:eastAsia="zh-CN"/>
              </w:rPr>
              <w:t>5</w:t>
            </w:r>
            <w:r>
              <w:rPr>
                <w:rFonts w:hint="eastAsia" w:ascii="宋体" w:hAnsi="宋体" w:cs="宋体"/>
                <w:kern w:val="0"/>
                <w:szCs w:val="21"/>
              </w:rPr>
              <w:t>分</w:t>
            </w:r>
          </w:p>
        </w:tc>
        <w:tc>
          <w:tcPr>
            <w:tcW w:w="851" w:type="dxa"/>
            <w:vAlign w:val="center"/>
          </w:tcPr>
          <w:p w14:paraId="3F6C8EF5">
            <w:pPr>
              <w:widowControl/>
              <w:jc w:val="center"/>
              <w:rPr>
                <w:rFonts w:ascii="宋体" w:hAnsi="宋体" w:cs="宋体"/>
                <w:kern w:val="0"/>
                <w:szCs w:val="21"/>
              </w:rPr>
            </w:pPr>
          </w:p>
        </w:tc>
      </w:tr>
      <w:tr w14:paraId="1D9A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9" w:type="dxa"/>
            <w:gridSpan w:val="3"/>
            <w:vAlign w:val="center"/>
          </w:tcPr>
          <w:p w14:paraId="4DCFE837">
            <w:pPr>
              <w:widowControl/>
              <w:jc w:val="center"/>
              <w:rPr>
                <w:rFonts w:ascii="宋体" w:hAnsi="宋体" w:cs="宋体"/>
                <w:kern w:val="0"/>
                <w:szCs w:val="21"/>
              </w:rPr>
            </w:pPr>
            <w:r>
              <w:rPr>
                <w:rFonts w:hint="eastAsia" w:ascii="宋体" w:hAnsi="宋体" w:cs="宋体"/>
                <w:kern w:val="0"/>
                <w:szCs w:val="21"/>
              </w:rPr>
              <w:t>总 分</w:t>
            </w:r>
          </w:p>
        </w:tc>
        <w:tc>
          <w:tcPr>
            <w:tcW w:w="850" w:type="dxa"/>
            <w:vAlign w:val="center"/>
          </w:tcPr>
          <w:p w14:paraId="1D407DBE">
            <w:pPr>
              <w:widowControl/>
              <w:jc w:val="center"/>
              <w:rPr>
                <w:rFonts w:ascii="宋体" w:hAnsi="宋体" w:cs="宋体"/>
                <w:kern w:val="0"/>
                <w:szCs w:val="21"/>
              </w:rPr>
            </w:pPr>
            <w:r>
              <w:rPr>
                <w:rFonts w:hint="eastAsia" w:ascii="宋体" w:hAnsi="宋体" w:cs="宋体"/>
                <w:kern w:val="0"/>
                <w:szCs w:val="21"/>
              </w:rPr>
              <w:t>100分</w:t>
            </w:r>
          </w:p>
        </w:tc>
        <w:tc>
          <w:tcPr>
            <w:tcW w:w="851" w:type="dxa"/>
            <w:vAlign w:val="center"/>
          </w:tcPr>
          <w:p w14:paraId="1E1B5683">
            <w:pPr>
              <w:widowControl/>
              <w:jc w:val="center"/>
              <w:rPr>
                <w:rFonts w:ascii="宋体" w:hAnsi="宋体" w:cs="宋体"/>
                <w:kern w:val="0"/>
                <w:szCs w:val="21"/>
              </w:rPr>
            </w:pPr>
          </w:p>
        </w:tc>
      </w:tr>
    </w:tbl>
    <w:p w14:paraId="19F32E94">
      <w:pPr>
        <w:spacing w:beforeLines="50" w:afterLines="50" w:line="440" w:lineRule="exact"/>
        <w:jc w:val="center"/>
        <w:rPr>
          <w:rFonts w:ascii="宋体" w:hAnsi="宋体"/>
          <w:b/>
          <w:sz w:val="32"/>
          <w:szCs w:val="32"/>
        </w:rPr>
      </w:pPr>
    </w:p>
    <w:p w14:paraId="378F3022">
      <w:pPr>
        <w:spacing w:beforeLines="50" w:afterLines="50" w:line="440" w:lineRule="exact"/>
        <w:jc w:val="center"/>
        <w:rPr>
          <w:rFonts w:hint="eastAsia" w:ascii="宋体" w:hAnsi="宋体"/>
          <w:b/>
          <w:sz w:val="32"/>
          <w:szCs w:val="32"/>
        </w:rPr>
      </w:pPr>
    </w:p>
    <w:p w14:paraId="1B71D475">
      <w:pPr>
        <w:numPr>
          <w:ilvl w:val="0"/>
          <w:numId w:val="6"/>
        </w:numPr>
        <w:spacing w:beforeLines="50" w:afterLines="50" w:line="440" w:lineRule="exact"/>
        <w:jc w:val="center"/>
        <w:outlineLvl w:val="0"/>
        <w:rPr>
          <w:rFonts w:hint="eastAsia" w:ascii="宋体" w:hAnsi="宋体"/>
          <w:b/>
          <w:sz w:val="30"/>
          <w:szCs w:val="30"/>
        </w:rPr>
      </w:pPr>
      <w:r>
        <w:rPr>
          <w:rFonts w:ascii="宋体" w:hAnsi="宋体"/>
          <w:b/>
          <w:sz w:val="30"/>
          <w:szCs w:val="30"/>
        </w:rPr>
        <w:t>合同</w:t>
      </w:r>
      <w:r>
        <w:rPr>
          <w:rFonts w:hint="eastAsia" w:ascii="宋体" w:hAnsi="宋体"/>
          <w:b/>
          <w:sz w:val="30"/>
          <w:szCs w:val="30"/>
        </w:rPr>
        <w:t>条款格式</w:t>
      </w:r>
    </w:p>
    <w:p w14:paraId="14BD77A5">
      <w:pPr>
        <w:numPr>
          <w:ilvl w:val="0"/>
          <w:numId w:val="0"/>
        </w:numPr>
        <w:spacing w:beforeLines="50" w:afterLines="50" w:line="440" w:lineRule="exact"/>
        <w:ind w:firstLine="3000" w:firstLineChars="1000"/>
        <w:jc w:val="both"/>
        <w:rPr>
          <w:rFonts w:hint="eastAsia" w:ascii="宋体" w:hAnsi="宋体"/>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以实际签订合同为准</w:t>
      </w:r>
      <w:r>
        <w:rPr>
          <w:rFonts w:hint="eastAsia" w:ascii="宋体" w:hAnsi="宋体"/>
          <w:b/>
          <w:sz w:val="30"/>
          <w:szCs w:val="30"/>
          <w:lang w:eastAsia="zh-CN"/>
        </w:rPr>
        <w:t>）</w:t>
      </w:r>
    </w:p>
    <w:p w14:paraId="433ABB8F">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以下合同适用1包：</w:t>
      </w:r>
    </w:p>
    <w:p w14:paraId="5CA2E78F">
      <w:pPr>
        <w:spacing w:line="360" w:lineRule="exact"/>
        <w:ind w:firstLine="480" w:firstLineChars="200"/>
        <w:rPr>
          <w:rFonts w:ascii="宋体" w:hAnsi="宋体"/>
          <w:sz w:val="24"/>
        </w:rPr>
      </w:pPr>
      <w:r>
        <w:rPr>
          <w:rFonts w:hint="eastAsia" w:ascii="宋体" w:hAnsi="宋体"/>
          <w:sz w:val="24"/>
        </w:rPr>
        <w:t>甲方：</w:t>
      </w:r>
    </w:p>
    <w:p w14:paraId="64BD53A8">
      <w:pPr>
        <w:spacing w:line="360" w:lineRule="exact"/>
        <w:ind w:firstLine="480" w:firstLineChars="200"/>
        <w:rPr>
          <w:rFonts w:ascii="宋体" w:hAnsi="宋体"/>
          <w:sz w:val="24"/>
        </w:rPr>
      </w:pPr>
      <w:r>
        <w:rPr>
          <w:rFonts w:hint="eastAsia" w:ascii="宋体" w:hAnsi="宋体"/>
          <w:sz w:val="24"/>
        </w:rPr>
        <w:t>乙方：</w:t>
      </w:r>
    </w:p>
    <w:p w14:paraId="701E71B7">
      <w:pPr>
        <w:spacing w:line="360" w:lineRule="exact"/>
        <w:ind w:left="279" w:leftChars="133" w:firstLine="480" w:firstLineChars="200"/>
        <w:rPr>
          <w:rFonts w:ascii="宋体" w:hAnsi="宋体"/>
          <w:sz w:val="24"/>
        </w:rPr>
      </w:pPr>
    </w:p>
    <w:p w14:paraId="639EF0B7">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23B7A511">
      <w:pPr>
        <w:spacing w:line="360" w:lineRule="exact"/>
        <w:ind w:firstLine="480" w:firstLineChars="200"/>
        <w:rPr>
          <w:rFonts w:ascii="宋体" w:hAnsi="宋体"/>
          <w:sz w:val="24"/>
        </w:rPr>
      </w:pPr>
    </w:p>
    <w:p w14:paraId="27DEA1E0">
      <w:pPr>
        <w:spacing w:line="360" w:lineRule="exact"/>
        <w:ind w:firstLine="480" w:firstLineChars="200"/>
        <w:rPr>
          <w:rFonts w:ascii="宋体" w:hAnsi="宋体"/>
          <w:sz w:val="24"/>
        </w:rPr>
      </w:pPr>
      <w:r>
        <w:rPr>
          <w:rFonts w:hint="eastAsia" w:ascii="宋体" w:hAnsi="宋体"/>
          <w:sz w:val="24"/>
        </w:rPr>
        <w:t>一、合同文件</w:t>
      </w:r>
    </w:p>
    <w:p w14:paraId="4303B097">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BCE9C37">
      <w:pPr>
        <w:spacing w:line="360" w:lineRule="exact"/>
        <w:ind w:firstLine="960" w:firstLineChars="400"/>
        <w:rPr>
          <w:rFonts w:ascii="宋体" w:hAnsi="宋体"/>
          <w:sz w:val="24"/>
        </w:rPr>
      </w:pPr>
      <w:r>
        <w:rPr>
          <w:rFonts w:hint="eastAsia" w:ascii="宋体" w:hAnsi="宋体"/>
          <w:sz w:val="24"/>
        </w:rPr>
        <w:t>采购文件合同条款</w:t>
      </w:r>
    </w:p>
    <w:p w14:paraId="2FEAAF1A">
      <w:pPr>
        <w:spacing w:line="360" w:lineRule="exact"/>
        <w:ind w:firstLine="960" w:firstLineChars="400"/>
        <w:rPr>
          <w:rFonts w:ascii="宋体" w:hAnsi="宋体"/>
          <w:sz w:val="24"/>
        </w:rPr>
      </w:pPr>
      <w:r>
        <w:rPr>
          <w:rFonts w:hint="eastAsia" w:ascii="宋体" w:hAnsi="宋体"/>
          <w:sz w:val="24"/>
        </w:rPr>
        <w:t>投标人提交的投标函和投标报价表</w:t>
      </w:r>
    </w:p>
    <w:p w14:paraId="046567DD">
      <w:pPr>
        <w:spacing w:line="360" w:lineRule="exact"/>
        <w:ind w:firstLine="960" w:firstLineChars="400"/>
        <w:rPr>
          <w:rFonts w:ascii="宋体" w:hAnsi="宋体"/>
          <w:sz w:val="24"/>
        </w:rPr>
      </w:pPr>
      <w:r>
        <w:rPr>
          <w:rFonts w:hint="eastAsia" w:ascii="宋体" w:hAnsi="宋体"/>
          <w:sz w:val="24"/>
        </w:rPr>
        <w:t>招标采购成交品目清单</w:t>
      </w:r>
    </w:p>
    <w:p w14:paraId="544B4A93">
      <w:pPr>
        <w:spacing w:line="360" w:lineRule="exact"/>
        <w:ind w:firstLine="960" w:firstLineChars="400"/>
        <w:rPr>
          <w:rFonts w:ascii="宋体" w:hAnsi="宋体"/>
          <w:sz w:val="24"/>
        </w:rPr>
      </w:pPr>
      <w:r>
        <w:rPr>
          <w:rFonts w:hint="eastAsia" w:ascii="宋体" w:hAnsi="宋体"/>
          <w:sz w:val="24"/>
        </w:rPr>
        <w:t>服务要求</w:t>
      </w:r>
    </w:p>
    <w:p w14:paraId="23B3C973">
      <w:pPr>
        <w:spacing w:line="360" w:lineRule="exact"/>
        <w:ind w:firstLine="960" w:firstLineChars="400"/>
        <w:rPr>
          <w:rFonts w:ascii="宋体" w:hAnsi="宋体"/>
          <w:sz w:val="24"/>
        </w:rPr>
      </w:pPr>
      <w:r>
        <w:rPr>
          <w:rFonts w:hint="eastAsia" w:ascii="宋体" w:hAnsi="宋体"/>
          <w:sz w:val="24"/>
        </w:rPr>
        <w:t>规格响应表（如果有的话）</w:t>
      </w:r>
    </w:p>
    <w:p w14:paraId="384603B7">
      <w:pPr>
        <w:spacing w:line="360" w:lineRule="exact"/>
        <w:ind w:firstLine="960" w:firstLineChars="400"/>
        <w:rPr>
          <w:rFonts w:ascii="宋体" w:hAnsi="宋体"/>
          <w:sz w:val="24"/>
        </w:rPr>
      </w:pPr>
      <w:r>
        <w:rPr>
          <w:rFonts w:hint="eastAsia" w:ascii="宋体" w:hAnsi="宋体"/>
          <w:sz w:val="24"/>
        </w:rPr>
        <w:t>成交通知书</w:t>
      </w:r>
    </w:p>
    <w:p w14:paraId="7BAE4063">
      <w:pPr>
        <w:spacing w:line="360" w:lineRule="exact"/>
        <w:ind w:firstLine="480" w:firstLineChars="200"/>
        <w:rPr>
          <w:rFonts w:ascii="宋体" w:hAnsi="宋体"/>
          <w:sz w:val="24"/>
        </w:rPr>
      </w:pPr>
    </w:p>
    <w:p w14:paraId="1CF01698">
      <w:pPr>
        <w:spacing w:line="360" w:lineRule="exact"/>
        <w:ind w:firstLine="480" w:firstLineChars="200"/>
        <w:rPr>
          <w:rFonts w:ascii="宋体" w:hAnsi="宋体"/>
          <w:sz w:val="24"/>
        </w:rPr>
      </w:pPr>
      <w:r>
        <w:rPr>
          <w:rFonts w:hint="eastAsia" w:ascii="宋体" w:hAnsi="宋体"/>
          <w:sz w:val="24"/>
        </w:rPr>
        <w:t>二、服务内容：</w:t>
      </w:r>
    </w:p>
    <w:p w14:paraId="2DE3389E">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5944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52153EED">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2C816646">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1B88E925">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199636B">
            <w:pPr>
              <w:spacing w:line="360" w:lineRule="exact"/>
              <w:jc w:val="center"/>
              <w:rPr>
                <w:rFonts w:ascii="宋体" w:hAnsi="宋体"/>
                <w:sz w:val="24"/>
              </w:rPr>
            </w:pPr>
            <w:r>
              <w:rPr>
                <w:rFonts w:hint="eastAsia" w:ascii="宋体" w:hAnsi="宋体"/>
                <w:sz w:val="24"/>
              </w:rPr>
              <w:t>服务期限</w:t>
            </w:r>
          </w:p>
        </w:tc>
      </w:tr>
      <w:tr w14:paraId="5A32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ADC64B9">
            <w:pPr>
              <w:spacing w:line="360" w:lineRule="exact"/>
              <w:rPr>
                <w:rFonts w:ascii="宋体" w:hAnsi="宋体"/>
                <w:sz w:val="24"/>
              </w:rPr>
            </w:pPr>
          </w:p>
        </w:tc>
        <w:tc>
          <w:tcPr>
            <w:tcW w:w="4536" w:type="dxa"/>
            <w:noWrap/>
          </w:tcPr>
          <w:p w14:paraId="649E9AC7">
            <w:pPr>
              <w:spacing w:line="360" w:lineRule="exact"/>
              <w:rPr>
                <w:rFonts w:ascii="宋体" w:hAnsi="宋体"/>
                <w:sz w:val="24"/>
              </w:rPr>
            </w:pPr>
          </w:p>
        </w:tc>
        <w:tc>
          <w:tcPr>
            <w:tcW w:w="1612" w:type="dxa"/>
            <w:noWrap/>
          </w:tcPr>
          <w:p w14:paraId="0E288B07">
            <w:pPr>
              <w:spacing w:line="360" w:lineRule="exact"/>
              <w:rPr>
                <w:rFonts w:ascii="宋体" w:hAnsi="宋体"/>
                <w:sz w:val="24"/>
              </w:rPr>
            </w:pPr>
          </w:p>
        </w:tc>
        <w:tc>
          <w:tcPr>
            <w:tcW w:w="2464" w:type="dxa"/>
            <w:noWrap/>
          </w:tcPr>
          <w:p w14:paraId="73A87EAA">
            <w:pPr>
              <w:spacing w:line="360" w:lineRule="exact"/>
              <w:rPr>
                <w:rFonts w:ascii="宋体" w:hAnsi="宋体"/>
                <w:sz w:val="24"/>
              </w:rPr>
            </w:pPr>
          </w:p>
        </w:tc>
      </w:tr>
      <w:tr w14:paraId="0EAB3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8D4636F">
            <w:pPr>
              <w:spacing w:line="360" w:lineRule="exact"/>
              <w:rPr>
                <w:rFonts w:ascii="宋体" w:hAnsi="宋体"/>
                <w:sz w:val="24"/>
              </w:rPr>
            </w:pPr>
          </w:p>
        </w:tc>
        <w:tc>
          <w:tcPr>
            <w:tcW w:w="4536" w:type="dxa"/>
            <w:noWrap/>
          </w:tcPr>
          <w:p w14:paraId="667017B4">
            <w:pPr>
              <w:spacing w:line="360" w:lineRule="exact"/>
              <w:rPr>
                <w:rFonts w:ascii="宋体" w:hAnsi="宋体"/>
                <w:sz w:val="24"/>
              </w:rPr>
            </w:pPr>
            <w:r>
              <w:rPr>
                <w:rFonts w:hint="eastAsia" w:ascii="宋体" w:hAnsi="宋体"/>
                <w:sz w:val="24"/>
              </w:rPr>
              <w:t>合计</w:t>
            </w:r>
          </w:p>
        </w:tc>
        <w:tc>
          <w:tcPr>
            <w:tcW w:w="4076" w:type="dxa"/>
            <w:gridSpan w:val="2"/>
            <w:noWrap/>
          </w:tcPr>
          <w:p w14:paraId="00111B08">
            <w:pPr>
              <w:spacing w:line="360" w:lineRule="exact"/>
              <w:rPr>
                <w:rFonts w:ascii="宋体" w:hAnsi="宋体"/>
                <w:sz w:val="24"/>
              </w:rPr>
            </w:pPr>
          </w:p>
        </w:tc>
      </w:tr>
      <w:tr w14:paraId="6EF4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66C3D07A">
            <w:pPr>
              <w:spacing w:line="360" w:lineRule="exact"/>
              <w:rPr>
                <w:rFonts w:ascii="宋体" w:hAnsi="宋体"/>
                <w:sz w:val="24"/>
              </w:rPr>
            </w:pPr>
            <w:r>
              <w:rPr>
                <w:rFonts w:hint="eastAsia" w:ascii="宋体" w:hAnsi="宋体"/>
                <w:sz w:val="24"/>
              </w:rPr>
              <w:t>项目地点：</w:t>
            </w:r>
          </w:p>
          <w:p w14:paraId="73CD9D52">
            <w:pPr>
              <w:spacing w:line="360" w:lineRule="exact"/>
              <w:rPr>
                <w:rFonts w:ascii="宋体" w:hAnsi="宋体"/>
                <w:sz w:val="24"/>
              </w:rPr>
            </w:pPr>
            <w:r>
              <w:rPr>
                <w:rFonts w:hint="eastAsia" w:ascii="宋体" w:hAnsi="宋体"/>
                <w:sz w:val="24"/>
              </w:rPr>
              <w:t>投标报价总计：</w:t>
            </w:r>
          </w:p>
          <w:p w14:paraId="01FDC421">
            <w:pPr>
              <w:spacing w:line="360" w:lineRule="exact"/>
              <w:rPr>
                <w:rFonts w:ascii="宋体" w:hAnsi="宋体"/>
                <w:sz w:val="24"/>
              </w:rPr>
            </w:pPr>
            <w:r>
              <w:rPr>
                <w:rFonts w:hint="eastAsia" w:ascii="宋体" w:hAnsi="宋体"/>
                <w:sz w:val="24"/>
              </w:rPr>
              <w:t>大写：</w:t>
            </w:r>
          </w:p>
        </w:tc>
      </w:tr>
    </w:tbl>
    <w:p w14:paraId="29F21420">
      <w:pPr>
        <w:numPr>
          <w:ilvl w:val="0"/>
          <w:numId w:val="7"/>
        </w:numPr>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付款时间、方式及条件：</w:t>
      </w:r>
    </w:p>
    <w:p w14:paraId="2284CD2B">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1.本项目合同签订后，甲方凭乙方开具的正式有效发票，在10个工作日内向乙方支付合同总金额的50%的首付款。</w:t>
      </w:r>
    </w:p>
    <w:p w14:paraId="21B8DBF1">
      <w:pPr>
        <w:spacing w:line="300" w:lineRule="auto"/>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2.乙方向甲方出具符合要求的网络安全等级保护测评报告后，甲方凭乙方开具的正式有效发票、质量保函（期限为12个月，金额为合同总金额的10%）和测评报告，在10个工作日内向乙方支付50%的尾款。</w:t>
      </w:r>
    </w:p>
    <w:p w14:paraId="24AECC9A">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若甲方年底封账，延迟至下一年经费重新下达后支付。</w:t>
      </w:r>
    </w:p>
    <w:p w14:paraId="74FA1429">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16033778">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368422E5">
      <w:pPr>
        <w:spacing w:line="360" w:lineRule="exact"/>
        <w:ind w:firstLine="480" w:firstLineChars="200"/>
        <w:rPr>
          <w:rFonts w:ascii="宋体" w:hAnsi="宋体"/>
          <w:sz w:val="24"/>
        </w:rPr>
      </w:pPr>
      <w:r>
        <w:rPr>
          <w:rFonts w:hint="eastAsia" w:ascii="宋体" w:hAnsi="宋体"/>
          <w:sz w:val="24"/>
        </w:rPr>
        <w:t>六、本合同壹式叁份，买、卖、招标机构三方各执壹份，均具同等效力。</w:t>
      </w:r>
    </w:p>
    <w:p w14:paraId="65A3C4C7">
      <w:pPr>
        <w:spacing w:line="360" w:lineRule="exact"/>
        <w:ind w:firstLine="480" w:firstLineChars="200"/>
        <w:rPr>
          <w:rFonts w:ascii="宋体" w:hAnsi="宋体"/>
          <w:sz w:val="24"/>
        </w:rPr>
      </w:pPr>
      <w:r>
        <w:rPr>
          <w:rFonts w:hint="eastAsia" w:ascii="宋体" w:hAnsi="宋体"/>
          <w:sz w:val="24"/>
        </w:rPr>
        <w:t>七、本合同经甲、乙、鉴证三方签字、盖章并后，合同即生效。</w:t>
      </w:r>
    </w:p>
    <w:p w14:paraId="3E5BA062">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7E85E93B">
      <w:pPr>
        <w:pStyle w:val="18"/>
        <w:rPr>
          <w:rFonts w:ascii="宋体" w:hAnsi="宋体"/>
        </w:rPr>
      </w:pPr>
    </w:p>
    <w:p w14:paraId="1D09979B">
      <w:pPr>
        <w:pStyle w:val="18"/>
        <w:rPr>
          <w:rFonts w:ascii="宋体" w:hAnsi="宋体"/>
        </w:rPr>
      </w:pPr>
    </w:p>
    <w:p w14:paraId="20B952BE">
      <w:pPr>
        <w:spacing w:line="400" w:lineRule="exact"/>
        <w:ind w:firstLine="628" w:firstLineChars="262"/>
        <w:rPr>
          <w:rFonts w:ascii="宋体" w:hAnsi="宋体"/>
          <w:sz w:val="24"/>
        </w:rPr>
      </w:pPr>
      <w:r>
        <w:rPr>
          <w:rFonts w:hint="eastAsia" w:ascii="宋体" w:hAnsi="宋体"/>
          <w:sz w:val="24"/>
        </w:rPr>
        <w:t>附：成交通知书、成交清单</w:t>
      </w:r>
    </w:p>
    <w:p w14:paraId="47BBA1A8">
      <w:pPr>
        <w:spacing w:line="400" w:lineRule="exact"/>
        <w:rPr>
          <w:rFonts w:ascii="宋体" w:hAnsi="宋体"/>
          <w:sz w:val="24"/>
        </w:rPr>
      </w:pPr>
    </w:p>
    <w:p w14:paraId="424E84E4">
      <w:pPr>
        <w:spacing w:line="400" w:lineRule="exact"/>
        <w:rPr>
          <w:rFonts w:ascii="宋体" w:hAnsi="宋体"/>
          <w:sz w:val="24"/>
        </w:rPr>
      </w:pPr>
    </w:p>
    <w:p w14:paraId="78D1F98A">
      <w:pPr>
        <w:spacing w:line="400" w:lineRule="exact"/>
        <w:rPr>
          <w:rFonts w:ascii="宋体" w:hAnsi="宋体"/>
          <w:sz w:val="24"/>
        </w:rPr>
      </w:pPr>
    </w:p>
    <w:p w14:paraId="299B9FB9">
      <w:pPr>
        <w:spacing w:line="400" w:lineRule="exact"/>
        <w:ind w:firstLine="523" w:firstLineChars="218"/>
        <w:rPr>
          <w:rFonts w:ascii="宋体" w:hAnsi="宋体"/>
          <w:sz w:val="24"/>
        </w:rPr>
      </w:pPr>
    </w:p>
    <w:p w14:paraId="2FE4D059">
      <w:pPr>
        <w:spacing w:line="400" w:lineRule="exact"/>
        <w:ind w:firstLine="523" w:firstLineChars="218"/>
        <w:rPr>
          <w:rFonts w:ascii="宋体" w:hAnsi="宋体"/>
          <w:sz w:val="24"/>
        </w:rPr>
      </w:pPr>
      <w:r>
        <w:rPr>
          <w:rFonts w:hint="eastAsia" w:ascii="宋体" w:hAnsi="宋体"/>
          <w:sz w:val="24"/>
        </w:rPr>
        <w:t xml:space="preserve">甲方：                            乙方： </w:t>
      </w:r>
    </w:p>
    <w:p w14:paraId="1ED89449">
      <w:pPr>
        <w:spacing w:line="400" w:lineRule="exact"/>
        <w:ind w:firstLine="523" w:firstLineChars="218"/>
        <w:rPr>
          <w:rFonts w:ascii="宋体" w:hAnsi="宋体"/>
          <w:sz w:val="24"/>
        </w:rPr>
      </w:pPr>
      <w:r>
        <w:rPr>
          <w:rFonts w:hint="eastAsia" w:ascii="宋体" w:hAnsi="宋体"/>
          <w:sz w:val="24"/>
        </w:rPr>
        <w:t>地址：                            地址：</w:t>
      </w:r>
    </w:p>
    <w:p w14:paraId="71DE9431">
      <w:pPr>
        <w:spacing w:line="400" w:lineRule="exact"/>
        <w:ind w:firstLine="523" w:firstLineChars="218"/>
        <w:rPr>
          <w:rFonts w:ascii="宋体" w:hAnsi="宋体"/>
          <w:sz w:val="24"/>
        </w:rPr>
      </w:pPr>
      <w:r>
        <w:rPr>
          <w:rFonts w:hint="eastAsia" w:ascii="宋体" w:hAnsi="宋体"/>
          <w:sz w:val="24"/>
        </w:rPr>
        <w:t>法定代表人：                      法定代表人：</w:t>
      </w:r>
    </w:p>
    <w:p w14:paraId="320E37AE">
      <w:pPr>
        <w:spacing w:line="400" w:lineRule="exact"/>
        <w:ind w:firstLine="523" w:firstLineChars="218"/>
        <w:rPr>
          <w:rFonts w:ascii="宋体" w:hAnsi="宋体"/>
          <w:sz w:val="24"/>
        </w:rPr>
      </w:pPr>
      <w:r>
        <w:rPr>
          <w:rFonts w:hint="eastAsia" w:ascii="宋体" w:hAnsi="宋体"/>
          <w:sz w:val="24"/>
        </w:rPr>
        <w:t>委托代理人：                      委托代理人：</w:t>
      </w:r>
    </w:p>
    <w:p w14:paraId="15DC52DE">
      <w:pPr>
        <w:spacing w:line="400" w:lineRule="exact"/>
        <w:ind w:firstLine="523" w:firstLineChars="218"/>
        <w:rPr>
          <w:rFonts w:ascii="宋体" w:hAnsi="宋体"/>
          <w:sz w:val="24"/>
        </w:rPr>
      </w:pPr>
      <w:r>
        <w:rPr>
          <w:rFonts w:hint="eastAsia"/>
          <w:sz w:val="24"/>
        </w:rPr>
        <w:t>使用单位确认签名：</w:t>
      </w:r>
    </w:p>
    <w:p w14:paraId="50FC8D58">
      <w:pPr>
        <w:spacing w:line="400" w:lineRule="exact"/>
        <w:ind w:firstLine="523" w:firstLineChars="218"/>
        <w:rPr>
          <w:rFonts w:ascii="宋体" w:hAnsi="宋体"/>
          <w:sz w:val="24"/>
        </w:rPr>
      </w:pPr>
      <w:r>
        <w:rPr>
          <w:rFonts w:hint="eastAsia" w:ascii="宋体" w:hAnsi="宋体"/>
          <w:sz w:val="24"/>
        </w:rPr>
        <w:t>电话：                            电话：</w:t>
      </w:r>
    </w:p>
    <w:p w14:paraId="576FCA1E">
      <w:pPr>
        <w:spacing w:line="400" w:lineRule="exact"/>
        <w:ind w:firstLine="523" w:firstLineChars="218"/>
        <w:rPr>
          <w:rFonts w:ascii="宋体" w:hAnsi="宋体"/>
          <w:sz w:val="24"/>
        </w:rPr>
      </w:pPr>
      <w:r>
        <w:rPr>
          <w:rFonts w:hint="eastAsia" w:ascii="宋体" w:hAnsi="宋体"/>
          <w:sz w:val="24"/>
        </w:rPr>
        <w:t xml:space="preserve">开户银行：                        开户银行： </w:t>
      </w:r>
    </w:p>
    <w:p w14:paraId="530E580A">
      <w:pPr>
        <w:spacing w:line="400" w:lineRule="exact"/>
        <w:ind w:firstLine="523" w:firstLineChars="218"/>
        <w:rPr>
          <w:rFonts w:ascii="宋体" w:hAnsi="宋体"/>
          <w:sz w:val="24"/>
        </w:rPr>
      </w:pPr>
      <w:r>
        <w:rPr>
          <w:rFonts w:hint="eastAsia" w:ascii="宋体" w:hAnsi="宋体"/>
          <w:sz w:val="24"/>
        </w:rPr>
        <w:t>银行帐号：                        银行帐号：</w:t>
      </w:r>
    </w:p>
    <w:p w14:paraId="3C93AA4F">
      <w:pPr>
        <w:spacing w:line="400" w:lineRule="exact"/>
        <w:ind w:firstLine="523" w:firstLineChars="218"/>
        <w:rPr>
          <w:rFonts w:ascii="宋体" w:hAnsi="宋体"/>
          <w:sz w:val="24"/>
        </w:rPr>
      </w:pPr>
      <w:r>
        <w:rPr>
          <w:rFonts w:hint="eastAsia" w:ascii="宋体" w:hAnsi="宋体"/>
          <w:sz w:val="24"/>
        </w:rPr>
        <w:t xml:space="preserve">  年  月  日                        年  月  日</w:t>
      </w:r>
    </w:p>
    <w:p w14:paraId="72B4BBE9">
      <w:pPr>
        <w:spacing w:line="320" w:lineRule="exact"/>
        <w:rPr>
          <w:sz w:val="24"/>
        </w:rPr>
      </w:pPr>
    </w:p>
    <w:p w14:paraId="11CA6BF0">
      <w:pPr>
        <w:spacing w:line="320" w:lineRule="exact"/>
        <w:ind w:left="541" w:leftChars="258"/>
        <w:rPr>
          <w:sz w:val="24"/>
        </w:rPr>
      </w:pPr>
      <w:r>
        <w:rPr>
          <w:rFonts w:hint="eastAsia"/>
          <w:sz w:val="24"/>
        </w:rPr>
        <w:t>招标机构：海南省教学仪器设备招标中心有限公司</w:t>
      </w:r>
    </w:p>
    <w:p w14:paraId="54173761">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4397A180">
      <w:pPr>
        <w:spacing w:line="320" w:lineRule="exact"/>
        <w:ind w:left="541" w:leftChars="258"/>
        <w:rPr>
          <w:rFonts w:ascii="宋体" w:hAnsi="宋体"/>
          <w:sz w:val="24"/>
        </w:rPr>
      </w:pPr>
      <w:r>
        <w:rPr>
          <w:rFonts w:hint="eastAsia" w:ascii="宋体" w:hAnsi="宋体"/>
          <w:sz w:val="24"/>
        </w:rPr>
        <w:t>电  话：0898－66757906</w:t>
      </w:r>
    </w:p>
    <w:p w14:paraId="5EEAE095">
      <w:pPr>
        <w:spacing w:line="320" w:lineRule="exact"/>
        <w:ind w:left="541" w:leftChars="258"/>
        <w:rPr>
          <w:rFonts w:ascii="宋体" w:hAnsi="宋体"/>
          <w:sz w:val="24"/>
        </w:rPr>
      </w:pPr>
      <w:r>
        <w:rPr>
          <w:rFonts w:hint="eastAsia" w:ascii="宋体" w:hAnsi="宋体"/>
          <w:sz w:val="24"/>
        </w:rPr>
        <w:t>法定或授权代表：</w:t>
      </w:r>
    </w:p>
    <w:p w14:paraId="14F4B619">
      <w:pPr>
        <w:spacing w:line="320" w:lineRule="exact"/>
        <w:ind w:left="541" w:leftChars="258"/>
        <w:rPr>
          <w:rFonts w:ascii="宋体" w:hAnsi="宋体"/>
          <w:sz w:val="24"/>
        </w:rPr>
      </w:pPr>
      <w:r>
        <w:rPr>
          <w:rFonts w:hint="eastAsia" w:ascii="宋体" w:hAnsi="宋体"/>
          <w:sz w:val="24"/>
        </w:rPr>
        <w:t>日期：  年  月  日</w:t>
      </w:r>
    </w:p>
    <w:p w14:paraId="0E25C776">
      <w:pPr>
        <w:snapToGrid w:val="0"/>
        <w:spacing w:before="19" w:line="340" w:lineRule="exact"/>
        <w:rPr>
          <w:rFonts w:ascii="宋体" w:hAnsi="宋体"/>
          <w:b/>
          <w:szCs w:val="21"/>
        </w:rPr>
      </w:pPr>
    </w:p>
    <w:p w14:paraId="76AB7DB2">
      <w:pPr>
        <w:bidi w:val="0"/>
      </w:pPr>
      <w:r>
        <w:rPr>
          <w:rFonts w:hint="eastAsia"/>
        </w:rPr>
        <w:t>采购代理机构声明：本合同标的经采购代理机构依法定程序采购，合同主要条款内容与招响应文件的内容一致。</w:t>
      </w:r>
    </w:p>
    <w:p w14:paraId="76CAAC5E">
      <w:pPr>
        <w:bidi w:val="0"/>
        <w:rPr>
          <w:rFonts w:hint="eastAsia"/>
          <w:lang w:eastAsia="zh-CN"/>
        </w:rPr>
      </w:pPr>
    </w:p>
    <w:p w14:paraId="5871703C">
      <w:pPr>
        <w:bidi w:val="0"/>
        <w:rPr>
          <w:rFonts w:hint="eastAsia"/>
          <w:lang w:eastAsia="zh-CN"/>
        </w:rPr>
        <w:sectPr>
          <w:pgSz w:w="11906" w:h="16838"/>
          <w:pgMar w:top="1134" w:right="1134" w:bottom="1134" w:left="1134" w:header="851" w:footer="992" w:gutter="0"/>
          <w:cols w:space="720" w:num="1"/>
          <w:docGrid w:type="linesAndChars" w:linePitch="312" w:charSpace="0"/>
        </w:sectPr>
      </w:pPr>
    </w:p>
    <w:p w14:paraId="336A74D3">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以下合同适用2包：</w:t>
      </w:r>
    </w:p>
    <w:p w14:paraId="53E89D8B">
      <w:pPr>
        <w:spacing w:line="360" w:lineRule="exact"/>
        <w:ind w:firstLine="480" w:firstLineChars="200"/>
        <w:rPr>
          <w:rFonts w:ascii="宋体" w:hAnsi="宋体"/>
          <w:sz w:val="24"/>
        </w:rPr>
      </w:pPr>
      <w:r>
        <w:rPr>
          <w:rFonts w:hint="eastAsia" w:ascii="宋体" w:hAnsi="宋体"/>
          <w:sz w:val="24"/>
        </w:rPr>
        <w:t>甲方：</w:t>
      </w:r>
    </w:p>
    <w:p w14:paraId="5153E75F">
      <w:pPr>
        <w:spacing w:line="360" w:lineRule="exact"/>
        <w:ind w:firstLine="480" w:firstLineChars="200"/>
        <w:rPr>
          <w:rFonts w:ascii="宋体" w:hAnsi="宋体"/>
          <w:sz w:val="24"/>
        </w:rPr>
      </w:pPr>
      <w:r>
        <w:rPr>
          <w:rFonts w:hint="eastAsia" w:ascii="宋体" w:hAnsi="宋体"/>
          <w:sz w:val="24"/>
        </w:rPr>
        <w:t>乙方：</w:t>
      </w:r>
    </w:p>
    <w:p w14:paraId="146906EB">
      <w:pPr>
        <w:spacing w:line="360" w:lineRule="exact"/>
        <w:ind w:left="279" w:leftChars="133" w:firstLine="480" w:firstLineChars="200"/>
        <w:rPr>
          <w:rFonts w:ascii="宋体" w:hAnsi="宋体"/>
          <w:sz w:val="24"/>
        </w:rPr>
      </w:pPr>
    </w:p>
    <w:p w14:paraId="005A5279">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7E814971">
      <w:pPr>
        <w:spacing w:line="360" w:lineRule="exact"/>
        <w:ind w:firstLine="480" w:firstLineChars="200"/>
        <w:rPr>
          <w:rFonts w:ascii="宋体" w:hAnsi="宋体"/>
          <w:sz w:val="24"/>
        </w:rPr>
      </w:pPr>
    </w:p>
    <w:p w14:paraId="5ED4F681">
      <w:pPr>
        <w:spacing w:line="360" w:lineRule="exact"/>
        <w:ind w:firstLine="480" w:firstLineChars="200"/>
        <w:rPr>
          <w:rFonts w:ascii="宋体" w:hAnsi="宋体"/>
          <w:sz w:val="24"/>
        </w:rPr>
      </w:pPr>
      <w:r>
        <w:rPr>
          <w:rFonts w:hint="eastAsia" w:ascii="宋体" w:hAnsi="宋体"/>
          <w:sz w:val="24"/>
        </w:rPr>
        <w:t>一、合同文件</w:t>
      </w:r>
    </w:p>
    <w:p w14:paraId="4CCA66F9">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78210165">
      <w:pPr>
        <w:spacing w:line="360" w:lineRule="exact"/>
        <w:ind w:firstLine="960" w:firstLineChars="400"/>
        <w:rPr>
          <w:rFonts w:ascii="宋体" w:hAnsi="宋体"/>
          <w:sz w:val="24"/>
        </w:rPr>
      </w:pPr>
      <w:r>
        <w:rPr>
          <w:rFonts w:hint="eastAsia" w:ascii="宋体" w:hAnsi="宋体"/>
          <w:sz w:val="24"/>
        </w:rPr>
        <w:t>采购文件合同条款</w:t>
      </w:r>
    </w:p>
    <w:p w14:paraId="04006268">
      <w:pPr>
        <w:spacing w:line="360" w:lineRule="exact"/>
        <w:ind w:firstLine="960" w:firstLineChars="400"/>
        <w:rPr>
          <w:rFonts w:ascii="宋体" w:hAnsi="宋体"/>
          <w:sz w:val="24"/>
        </w:rPr>
      </w:pPr>
      <w:r>
        <w:rPr>
          <w:rFonts w:hint="eastAsia" w:ascii="宋体" w:hAnsi="宋体"/>
          <w:sz w:val="24"/>
        </w:rPr>
        <w:t>投标人提交的投标函和投标报价表</w:t>
      </w:r>
    </w:p>
    <w:p w14:paraId="66D38116">
      <w:pPr>
        <w:spacing w:line="360" w:lineRule="exact"/>
        <w:ind w:firstLine="960" w:firstLineChars="400"/>
        <w:rPr>
          <w:rFonts w:ascii="宋体" w:hAnsi="宋体"/>
          <w:sz w:val="24"/>
        </w:rPr>
      </w:pPr>
      <w:r>
        <w:rPr>
          <w:rFonts w:hint="eastAsia" w:ascii="宋体" w:hAnsi="宋体"/>
          <w:sz w:val="24"/>
        </w:rPr>
        <w:t>招标采购成交品目清单</w:t>
      </w:r>
    </w:p>
    <w:p w14:paraId="1CD06EAF">
      <w:pPr>
        <w:spacing w:line="360" w:lineRule="exact"/>
        <w:ind w:firstLine="960" w:firstLineChars="400"/>
        <w:rPr>
          <w:rFonts w:ascii="宋体" w:hAnsi="宋体"/>
          <w:sz w:val="24"/>
        </w:rPr>
      </w:pPr>
      <w:r>
        <w:rPr>
          <w:rFonts w:hint="eastAsia" w:ascii="宋体" w:hAnsi="宋体"/>
          <w:sz w:val="24"/>
        </w:rPr>
        <w:t>服务要求</w:t>
      </w:r>
    </w:p>
    <w:p w14:paraId="382ADA8F">
      <w:pPr>
        <w:spacing w:line="360" w:lineRule="exact"/>
        <w:ind w:firstLine="960" w:firstLineChars="400"/>
        <w:rPr>
          <w:rFonts w:ascii="宋体" w:hAnsi="宋体"/>
          <w:sz w:val="24"/>
        </w:rPr>
      </w:pPr>
      <w:r>
        <w:rPr>
          <w:rFonts w:hint="eastAsia" w:ascii="宋体" w:hAnsi="宋体"/>
          <w:sz w:val="24"/>
        </w:rPr>
        <w:t>规格响应表（如果有的话）</w:t>
      </w:r>
    </w:p>
    <w:p w14:paraId="0CF2360E">
      <w:pPr>
        <w:spacing w:line="360" w:lineRule="exact"/>
        <w:ind w:firstLine="960" w:firstLineChars="400"/>
        <w:rPr>
          <w:rFonts w:ascii="宋体" w:hAnsi="宋体"/>
          <w:sz w:val="24"/>
        </w:rPr>
      </w:pPr>
      <w:r>
        <w:rPr>
          <w:rFonts w:hint="eastAsia" w:ascii="宋体" w:hAnsi="宋体"/>
          <w:sz w:val="24"/>
        </w:rPr>
        <w:t>成交通知书</w:t>
      </w:r>
    </w:p>
    <w:p w14:paraId="44450FFC">
      <w:pPr>
        <w:spacing w:line="360" w:lineRule="exact"/>
        <w:ind w:firstLine="480" w:firstLineChars="200"/>
        <w:rPr>
          <w:rFonts w:ascii="宋体" w:hAnsi="宋体"/>
          <w:sz w:val="24"/>
        </w:rPr>
      </w:pPr>
    </w:p>
    <w:p w14:paraId="38F5CEC7">
      <w:pPr>
        <w:spacing w:line="360" w:lineRule="exact"/>
        <w:ind w:firstLine="480" w:firstLineChars="200"/>
        <w:rPr>
          <w:rFonts w:ascii="宋体" w:hAnsi="宋体"/>
          <w:sz w:val="24"/>
        </w:rPr>
      </w:pPr>
      <w:r>
        <w:rPr>
          <w:rFonts w:hint="eastAsia" w:ascii="宋体" w:hAnsi="宋体"/>
          <w:sz w:val="24"/>
        </w:rPr>
        <w:t>二、服务内容：</w:t>
      </w:r>
    </w:p>
    <w:p w14:paraId="42538FEE">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316C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21F733AB">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51D602FC">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7FC884A3">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60DA6E89">
            <w:pPr>
              <w:spacing w:line="360" w:lineRule="exact"/>
              <w:jc w:val="center"/>
              <w:rPr>
                <w:rFonts w:ascii="宋体" w:hAnsi="宋体"/>
                <w:sz w:val="24"/>
              </w:rPr>
            </w:pPr>
            <w:r>
              <w:rPr>
                <w:rFonts w:hint="eastAsia" w:ascii="宋体" w:hAnsi="宋体"/>
                <w:sz w:val="24"/>
              </w:rPr>
              <w:t>服务期限</w:t>
            </w:r>
          </w:p>
        </w:tc>
      </w:tr>
      <w:tr w14:paraId="1534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203231C">
            <w:pPr>
              <w:spacing w:line="360" w:lineRule="exact"/>
              <w:rPr>
                <w:rFonts w:ascii="宋体" w:hAnsi="宋体"/>
                <w:sz w:val="24"/>
              </w:rPr>
            </w:pPr>
          </w:p>
        </w:tc>
        <w:tc>
          <w:tcPr>
            <w:tcW w:w="4536" w:type="dxa"/>
            <w:noWrap/>
          </w:tcPr>
          <w:p w14:paraId="5A26889D">
            <w:pPr>
              <w:spacing w:line="360" w:lineRule="exact"/>
              <w:rPr>
                <w:rFonts w:ascii="宋体" w:hAnsi="宋体"/>
                <w:sz w:val="24"/>
              </w:rPr>
            </w:pPr>
          </w:p>
        </w:tc>
        <w:tc>
          <w:tcPr>
            <w:tcW w:w="1612" w:type="dxa"/>
            <w:noWrap/>
          </w:tcPr>
          <w:p w14:paraId="07AE299B">
            <w:pPr>
              <w:spacing w:line="360" w:lineRule="exact"/>
              <w:rPr>
                <w:rFonts w:ascii="宋体" w:hAnsi="宋体"/>
                <w:sz w:val="24"/>
              </w:rPr>
            </w:pPr>
          </w:p>
        </w:tc>
        <w:tc>
          <w:tcPr>
            <w:tcW w:w="2464" w:type="dxa"/>
            <w:noWrap/>
          </w:tcPr>
          <w:p w14:paraId="2F73827A">
            <w:pPr>
              <w:spacing w:line="360" w:lineRule="exact"/>
              <w:rPr>
                <w:rFonts w:ascii="宋体" w:hAnsi="宋体"/>
                <w:sz w:val="24"/>
              </w:rPr>
            </w:pPr>
          </w:p>
        </w:tc>
      </w:tr>
      <w:tr w14:paraId="28F1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21A11A6">
            <w:pPr>
              <w:spacing w:line="360" w:lineRule="exact"/>
              <w:rPr>
                <w:rFonts w:ascii="宋体" w:hAnsi="宋体"/>
                <w:sz w:val="24"/>
              </w:rPr>
            </w:pPr>
          </w:p>
        </w:tc>
        <w:tc>
          <w:tcPr>
            <w:tcW w:w="4536" w:type="dxa"/>
            <w:noWrap/>
          </w:tcPr>
          <w:p w14:paraId="519BB0B3">
            <w:pPr>
              <w:spacing w:line="360" w:lineRule="exact"/>
              <w:rPr>
                <w:rFonts w:ascii="宋体" w:hAnsi="宋体"/>
                <w:sz w:val="24"/>
              </w:rPr>
            </w:pPr>
            <w:r>
              <w:rPr>
                <w:rFonts w:hint="eastAsia" w:ascii="宋体" w:hAnsi="宋体"/>
                <w:sz w:val="24"/>
              </w:rPr>
              <w:t>合计</w:t>
            </w:r>
          </w:p>
        </w:tc>
        <w:tc>
          <w:tcPr>
            <w:tcW w:w="4076" w:type="dxa"/>
            <w:gridSpan w:val="2"/>
            <w:noWrap/>
          </w:tcPr>
          <w:p w14:paraId="4BC60112">
            <w:pPr>
              <w:spacing w:line="360" w:lineRule="exact"/>
              <w:rPr>
                <w:rFonts w:ascii="宋体" w:hAnsi="宋体"/>
                <w:sz w:val="24"/>
              </w:rPr>
            </w:pPr>
          </w:p>
        </w:tc>
      </w:tr>
      <w:tr w14:paraId="67B4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0C20A8FA">
            <w:pPr>
              <w:spacing w:line="360" w:lineRule="exact"/>
              <w:rPr>
                <w:rFonts w:ascii="宋体" w:hAnsi="宋体"/>
                <w:sz w:val="24"/>
              </w:rPr>
            </w:pPr>
            <w:r>
              <w:rPr>
                <w:rFonts w:hint="eastAsia" w:ascii="宋体" w:hAnsi="宋体"/>
                <w:sz w:val="24"/>
              </w:rPr>
              <w:t>项目地点：</w:t>
            </w:r>
          </w:p>
          <w:p w14:paraId="05DDEE46">
            <w:pPr>
              <w:spacing w:line="360" w:lineRule="exact"/>
              <w:rPr>
                <w:rFonts w:ascii="宋体" w:hAnsi="宋体"/>
                <w:sz w:val="24"/>
              </w:rPr>
            </w:pPr>
            <w:r>
              <w:rPr>
                <w:rFonts w:hint="eastAsia" w:ascii="宋体" w:hAnsi="宋体"/>
                <w:sz w:val="24"/>
              </w:rPr>
              <w:t>投标报价总计：</w:t>
            </w:r>
          </w:p>
          <w:p w14:paraId="6C397F10">
            <w:pPr>
              <w:spacing w:line="360" w:lineRule="exact"/>
              <w:rPr>
                <w:rFonts w:ascii="宋体" w:hAnsi="宋体"/>
                <w:sz w:val="24"/>
              </w:rPr>
            </w:pPr>
            <w:r>
              <w:rPr>
                <w:rFonts w:hint="eastAsia" w:ascii="宋体" w:hAnsi="宋体"/>
                <w:sz w:val="24"/>
              </w:rPr>
              <w:t>大写：</w:t>
            </w:r>
          </w:p>
        </w:tc>
      </w:tr>
    </w:tbl>
    <w:p w14:paraId="057E9740">
      <w:pPr>
        <w:numPr>
          <w:ilvl w:val="0"/>
          <w:numId w:val="0"/>
        </w:numPr>
        <w:spacing w:line="360" w:lineRule="exact"/>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付款时间、方式及条件：</w:t>
      </w:r>
    </w:p>
    <w:p w14:paraId="22186FED">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1.本项目合同签订后，甲方凭乙方开具的正式有效发票，在10个工作日内向乙方支付合同总金额的50%的首付款。</w:t>
      </w:r>
    </w:p>
    <w:p w14:paraId="075F0339">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2.乙方向甲方出具符合要求的网络安全等级保护测评报告及软件测试报告后，甲方凭乙方开具的正式有效发票、质量保函（期限为12个月，金额为合同总金额的10%）、《网络安全等级保护测评报告》和《软件测试报告》，在10个工作日内向乙方支付50%的尾款。</w:t>
      </w:r>
    </w:p>
    <w:p w14:paraId="0E9E0157">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若甲方年底封账，延迟至下一年经费重新下达后支付。若甲方年底封账，延迟至下一年经费重新下达后支付。</w:t>
      </w:r>
    </w:p>
    <w:p w14:paraId="288397D9">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6692453F">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390C5C66">
      <w:pPr>
        <w:spacing w:line="360" w:lineRule="exact"/>
        <w:ind w:firstLine="480" w:firstLineChars="200"/>
        <w:rPr>
          <w:rFonts w:ascii="宋体" w:hAnsi="宋体"/>
          <w:sz w:val="24"/>
        </w:rPr>
      </w:pPr>
      <w:r>
        <w:rPr>
          <w:rFonts w:hint="eastAsia" w:ascii="宋体" w:hAnsi="宋体"/>
          <w:sz w:val="24"/>
        </w:rPr>
        <w:t>六、本合同壹式叁份，买、卖、招标机构三方各执壹份，均具同等效力。</w:t>
      </w:r>
    </w:p>
    <w:p w14:paraId="029B19A9">
      <w:pPr>
        <w:spacing w:line="360" w:lineRule="exact"/>
        <w:ind w:firstLine="480" w:firstLineChars="200"/>
        <w:rPr>
          <w:rFonts w:ascii="宋体" w:hAnsi="宋体"/>
          <w:sz w:val="24"/>
        </w:rPr>
      </w:pPr>
      <w:r>
        <w:rPr>
          <w:rFonts w:hint="eastAsia" w:ascii="宋体" w:hAnsi="宋体"/>
          <w:sz w:val="24"/>
        </w:rPr>
        <w:t>七、本合同经甲、乙、鉴证三方签字、盖章并后，合同即生效。</w:t>
      </w:r>
    </w:p>
    <w:p w14:paraId="590E13DE">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7C9DB647">
      <w:pPr>
        <w:pStyle w:val="18"/>
        <w:rPr>
          <w:rFonts w:ascii="宋体" w:hAnsi="宋体"/>
        </w:rPr>
      </w:pPr>
    </w:p>
    <w:p w14:paraId="3E3CD60C">
      <w:pPr>
        <w:pStyle w:val="18"/>
        <w:rPr>
          <w:rFonts w:ascii="宋体" w:hAnsi="宋体"/>
        </w:rPr>
      </w:pPr>
    </w:p>
    <w:p w14:paraId="7B5AD199">
      <w:pPr>
        <w:spacing w:line="400" w:lineRule="exact"/>
        <w:ind w:firstLine="628" w:firstLineChars="262"/>
        <w:rPr>
          <w:rFonts w:ascii="宋体" w:hAnsi="宋体"/>
          <w:sz w:val="24"/>
        </w:rPr>
      </w:pPr>
      <w:r>
        <w:rPr>
          <w:rFonts w:hint="eastAsia" w:ascii="宋体" w:hAnsi="宋体"/>
          <w:sz w:val="24"/>
        </w:rPr>
        <w:t>附：成交通知书、成交清单</w:t>
      </w:r>
    </w:p>
    <w:p w14:paraId="544A3689">
      <w:pPr>
        <w:spacing w:line="400" w:lineRule="exact"/>
        <w:rPr>
          <w:rFonts w:ascii="宋体" w:hAnsi="宋体"/>
          <w:sz w:val="24"/>
        </w:rPr>
      </w:pPr>
    </w:p>
    <w:p w14:paraId="0F07CC69">
      <w:pPr>
        <w:spacing w:line="400" w:lineRule="exact"/>
        <w:rPr>
          <w:rFonts w:ascii="宋体" w:hAnsi="宋体"/>
          <w:sz w:val="24"/>
        </w:rPr>
      </w:pPr>
    </w:p>
    <w:p w14:paraId="0FD6A676">
      <w:pPr>
        <w:spacing w:line="400" w:lineRule="exact"/>
        <w:rPr>
          <w:rFonts w:ascii="宋体" w:hAnsi="宋体"/>
          <w:sz w:val="24"/>
        </w:rPr>
      </w:pPr>
    </w:p>
    <w:p w14:paraId="234B172B">
      <w:pPr>
        <w:spacing w:line="400" w:lineRule="exact"/>
        <w:ind w:firstLine="523" w:firstLineChars="218"/>
        <w:rPr>
          <w:rFonts w:ascii="宋体" w:hAnsi="宋体"/>
          <w:sz w:val="24"/>
        </w:rPr>
      </w:pPr>
    </w:p>
    <w:p w14:paraId="4D4F001E">
      <w:pPr>
        <w:spacing w:line="400" w:lineRule="exact"/>
        <w:ind w:firstLine="523" w:firstLineChars="218"/>
        <w:rPr>
          <w:rFonts w:ascii="宋体" w:hAnsi="宋体"/>
          <w:sz w:val="24"/>
        </w:rPr>
      </w:pPr>
      <w:r>
        <w:rPr>
          <w:rFonts w:hint="eastAsia" w:ascii="宋体" w:hAnsi="宋体"/>
          <w:sz w:val="24"/>
        </w:rPr>
        <w:t xml:space="preserve">甲方：                            乙方： </w:t>
      </w:r>
    </w:p>
    <w:p w14:paraId="303BFF89">
      <w:pPr>
        <w:spacing w:line="400" w:lineRule="exact"/>
        <w:ind w:firstLine="523" w:firstLineChars="218"/>
        <w:rPr>
          <w:rFonts w:ascii="宋体" w:hAnsi="宋体"/>
          <w:sz w:val="24"/>
        </w:rPr>
      </w:pPr>
      <w:r>
        <w:rPr>
          <w:rFonts w:hint="eastAsia" w:ascii="宋体" w:hAnsi="宋体"/>
          <w:sz w:val="24"/>
        </w:rPr>
        <w:t>地址：                            地址：</w:t>
      </w:r>
    </w:p>
    <w:p w14:paraId="13FF82B4">
      <w:pPr>
        <w:spacing w:line="400" w:lineRule="exact"/>
        <w:ind w:firstLine="523" w:firstLineChars="218"/>
        <w:rPr>
          <w:rFonts w:ascii="宋体" w:hAnsi="宋体"/>
          <w:sz w:val="24"/>
        </w:rPr>
      </w:pPr>
      <w:r>
        <w:rPr>
          <w:rFonts w:hint="eastAsia" w:ascii="宋体" w:hAnsi="宋体"/>
          <w:sz w:val="24"/>
        </w:rPr>
        <w:t>法定代表人：                      法定代表人：</w:t>
      </w:r>
    </w:p>
    <w:p w14:paraId="2FA38F8A">
      <w:pPr>
        <w:spacing w:line="400" w:lineRule="exact"/>
        <w:ind w:firstLine="523" w:firstLineChars="218"/>
        <w:rPr>
          <w:rFonts w:ascii="宋体" w:hAnsi="宋体"/>
          <w:sz w:val="24"/>
        </w:rPr>
      </w:pPr>
      <w:r>
        <w:rPr>
          <w:rFonts w:hint="eastAsia" w:ascii="宋体" w:hAnsi="宋体"/>
          <w:sz w:val="24"/>
        </w:rPr>
        <w:t>委托代理人：                      委托代理人：</w:t>
      </w:r>
    </w:p>
    <w:p w14:paraId="2E96941E">
      <w:pPr>
        <w:spacing w:line="400" w:lineRule="exact"/>
        <w:ind w:firstLine="523" w:firstLineChars="218"/>
        <w:rPr>
          <w:rFonts w:ascii="宋体" w:hAnsi="宋体"/>
          <w:sz w:val="24"/>
        </w:rPr>
      </w:pPr>
      <w:r>
        <w:rPr>
          <w:rFonts w:hint="eastAsia"/>
          <w:sz w:val="24"/>
        </w:rPr>
        <w:t>使用单位确认签名：</w:t>
      </w:r>
    </w:p>
    <w:p w14:paraId="7EAC8FCD">
      <w:pPr>
        <w:spacing w:line="400" w:lineRule="exact"/>
        <w:ind w:firstLine="523" w:firstLineChars="218"/>
        <w:rPr>
          <w:rFonts w:ascii="宋体" w:hAnsi="宋体"/>
          <w:sz w:val="24"/>
        </w:rPr>
      </w:pPr>
      <w:r>
        <w:rPr>
          <w:rFonts w:hint="eastAsia" w:ascii="宋体" w:hAnsi="宋体"/>
          <w:sz w:val="24"/>
        </w:rPr>
        <w:t>电话：                            电话：</w:t>
      </w:r>
    </w:p>
    <w:p w14:paraId="4DE76BD9">
      <w:pPr>
        <w:spacing w:line="400" w:lineRule="exact"/>
        <w:ind w:firstLine="523" w:firstLineChars="218"/>
        <w:rPr>
          <w:rFonts w:ascii="宋体" w:hAnsi="宋体"/>
          <w:sz w:val="24"/>
        </w:rPr>
      </w:pPr>
      <w:r>
        <w:rPr>
          <w:rFonts w:hint="eastAsia" w:ascii="宋体" w:hAnsi="宋体"/>
          <w:sz w:val="24"/>
        </w:rPr>
        <w:t xml:space="preserve">开户银行：                        开户银行： </w:t>
      </w:r>
    </w:p>
    <w:p w14:paraId="1503230B">
      <w:pPr>
        <w:spacing w:line="400" w:lineRule="exact"/>
        <w:ind w:firstLine="523" w:firstLineChars="218"/>
        <w:rPr>
          <w:rFonts w:ascii="宋体" w:hAnsi="宋体"/>
          <w:sz w:val="24"/>
        </w:rPr>
      </w:pPr>
      <w:r>
        <w:rPr>
          <w:rFonts w:hint="eastAsia" w:ascii="宋体" w:hAnsi="宋体"/>
          <w:sz w:val="24"/>
        </w:rPr>
        <w:t>银行帐号：                        银行帐号：</w:t>
      </w:r>
    </w:p>
    <w:p w14:paraId="48146982">
      <w:pPr>
        <w:spacing w:line="400" w:lineRule="exact"/>
        <w:ind w:firstLine="523" w:firstLineChars="218"/>
        <w:rPr>
          <w:rFonts w:ascii="宋体" w:hAnsi="宋体"/>
          <w:sz w:val="24"/>
        </w:rPr>
      </w:pPr>
      <w:r>
        <w:rPr>
          <w:rFonts w:hint="eastAsia" w:ascii="宋体" w:hAnsi="宋体"/>
          <w:sz w:val="24"/>
        </w:rPr>
        <w:t xml:space="preserve">  年  月  日                        年  月  日</w:t>
      </w:r>
    </w:p>
    <w:p w14:paraId="32171368">
      <w:pPr>
        <w:spacing w:line="320" w:lineRule="exact"/>
        <w:rPr>
          <w:sz w:val="24"/>
        </w:rPr>
      </w:pPr>
    </w:p>
    <w:p w14:paraId="0B243751">
      <w:pPr>
        <w:spacing w:line="320" w:lineRule="exact"/>
        <w:ind w:left="541" w:leftChars="258"/>
        <w:rPr>
          <w:sz w:val="24"/>
        </w:rPr>
      </w:pPr>
      <w:r>
        <w:rPr>
          <w:rFonts w:hint="eastAsia"/>
          <w:sz w:val="24"/>
        </w:rPr>
        <w:t>招标机构：海南省教学仪器设备招标中心有限公司</w:t>
      </w:r>
    </w:p>
    <w:p w14:paraId="2CF3E935">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663C618">
      <w:pPr>
        <w:spacing w:line="320" w:lineRule="exact"/>
        <w:ind w:left="541" w:leftChars="258"/>
        <w:rPr>
          <w:rFonts w:ascii="宋体" w:hAnsi="宋体"/>
          <w:sz w:val="24"/>
        </w:rPr>
      </w:pPr>
      <w:r>
        <w:rPr>
          <w:rFonts w:hint="eastAsia" w:ascii="宋体" w:hAnsi="宋体"/>
          <w:sz w:val="24"/>
        </w:rPr>
        <w:t>电  话：0898－66757906</w:t>
      </w:r>
    </w:p>
    <w:p w14:paraId="23A42A84">
      <w:pPr>
        <w:spacing w:line="320" w:lineRule="exact"/>
        <w:ind w:left="541" w:leftChars="258"/>
        <w:rPr>
          <w:rFonts w:ascii="宋体" w:hAnsi="宋体"/>
          <w:sz w:val="24"/>
        </w:rPr>
      </w:pPr>
      <w:r>
        <w:rPr>
          <w:rFonts w:hint="eastAsia" w:ascii="宋体" w:hAnsi="宋体"/>
          <w:sz w:val="24"/>
        </w:rPr>
        <w:t>法定或授权代表：</w:t>
      </w:r>
    </w:p>
    <w:p w14:paraId="7EED5B09">
      <w:pPr>
        <w:spacing w:line="320" w:lineRule="exact"/>
        <w:ind w:left="541" w:leftChars="258"/>
        <w:rPr>
          <w:rFonts w:ascii="宋体" w:hAnsi="宋体"/>
          <w:sz w:val="24"/>
        </w:rPr>
      </w:pPr>
      <w:r>
        <w:rPr>
          <w:rFonts w:hint="eastAsia" w:ascii="宋体" w:hAnsi="宋体"/>
          <w:sz w:val="24"/>
        </w:rPr>
        <w:t>日期：  年  月  日</w:t>
      </w:r>
    </w:p>
    <w:p w14:paraId="3AF58B45">
      <w:pPr>
        <w:snapToGrid w:val="0"/>
        <w:spacing w:before="19" w:line="340" w:lineRule="exact"/>
        <w:rPr>
          <w:rFonts w:ascii="宋体" w:hAnsi="宋体"/>
          <w:b/>
          <w:szCs w:val="21"/>
        </w:rPr>
      </w:pPr>
    </w:p>
    <w:p w14:paraId="188B634C">
      <w:pPr>
        <w:bidi w:val="0"/>
      </w:pPr>
      <w:r>
        <w:rPr>
          <w:rFonts w:hint="eastAsia"/>
        </w:rPr>
        <w:t>采购代理机构声明：本合同标的经采购代理机构依法定程序采购，合同主要条款内容与招响应文件的内容一致。</w:t>
      </w:r>
    </w:p>
    <w:p w14:paraId="727DCD1F">
      <w:pPr>
        <w:pStyle w:val="3"/>
        <w:rPr>
          <w:rFonts w:hint="eastAsia"/>
          <w:lang w:eastAsia="zh-CN"/>
        </w:rPr>
        <w:sectPr>
          <w:pgSz w:w="11906" w:h="16838"/>
          <w:pgMar w:top="1134" w:right="1134" w:bottom="1134" w:left="1134" w:header="851" w:footer="992" w:gutter="0"/>
          <w:cols w:space="720" w:num="1"/>
          <w:docGrid w:type="linesAndChars" w:linePitch="312" w:charSpace="0"/>
        </w:sectPr>
      </w:pPr>
    </w:p>
    <w:p w14:paraId="71873C4B">
      <w:pPr>
        <w:rPr>
          <w:rFonts w:hint="eastAsia"/>
          <w:lang w:eastAsia="zh-CN"/>
        </w:rPr>
      </w:pPr>
    </w:p>
    <w:p w14:paraId="225C4A34">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以下合同适用3包：</w:t>
      </w:r>
    </w:p>
    <w:p w14:paraId="7ECF7C0F">
      <w:pPr>
        <w:spacing w:line="360" w:lineRule="exact"/>
        <w:ind w:firstLine="480" w:firstLineChars="200"/>
        <w:rPr>
          <w:rFonts w:ascii="宋体" w:hAnsi="宋体"/>
          <w:sz w:val="24"/>
        </w:rPr>
      </w:pPr>
      <w:r>
        <w:rPr>
          <w:rFonts w:hint="eastAsia" w:ascii="宋体" w:hAnsi="宋体"/>
          <w:sz w:val="24"/>
        </w:rPr>
        <w:t>甲方：</w:t>
      </w:r>
    </w:p>
    <w:p w14:paraId="4CB98CB3">
      <w:pPr>
        <w:spacing w:line="360" w:lineRule="exact"/>
        <w:ind w:firstLine="480" w:firstLineChars="200"/>
        <w:rPr>
          <w:rFonts w:ascii="宋体" w:hAnsi="宋体"/>
          <w:sz w:val="24"/>
        </w:rPr>
      </w:pPr>
      <w:r>
        <w:rPr>
          <w:rFonts w:hint="eastAsia" w:ascii="宋体" w:hAnsi="宋体"/>
          <w:sz w:val="24"/>
        </w:rPr>
        <w:t>乙方：</w:t>
      </w:r>
    </w:p>
    <w:p w14:paraId="1D0B5218">
      <w:pPr>
        <w:spacing w:line="360" w:lineRule="exact"/>
        <w:ind w:left="279" w:leftChars="133" w:firstLine="480" w:firstLineChars="200"/>
        <w:rPr>
          <w:rFonts w:ascii="宋体" w:hAnsi="宋体"/>
          <w:sz w:val="24"/>
        </w:rPr>
      </w:pPr>
    </w:p>
    <w:p w14:paraId="5B912A2E">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445A4B29">
      <w:pPr>
        <w:spacing w:line="360" w:lineRule="exact"/>
        <w:ind w:firstLine="480" w:firstLineChars="200"/>
        <w:rPr>
          <w:rFonts w:ascii="宋体" w:hAnsi="宋体"/>
          <w:sz w:val="24"/>
        </w:rPr>
      </w:pPr>
    </w:p>
    <w:p w14:paraId="2B9F5CA0">
      <w:pPr>
        <w:spacing w:line="360" w:lineRule="exact"/>
        <w:ind w:firstLine="480" w:firstLineChars="200"/>
        <w:rPr>
          <w:rFonts w:ascii="宋体" w:hAnsi="宋体"/>
          <w:sz w:val="24"/>
        </w:rPr>
      </w:pPr>
      <w:r>
        <w:rPr>
          <w:rFonts w:hint="eastAsia" w:ascii="宋体" w:hAnsi="宋体"/>
          <w:sz w:val="24"/>
        </w:rPr>
        <w:t>一、合同文件</w:t>
      </w:r>
    </w:p>
    <w:p w14:paraId="7584C02C">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C066129">
      <w:pPr>
        <w:spacing w:line="360" w:lineRule="exact"/>
        <w:ind w:firstLine="960" w:firstLineChars="400"/>
        <w:rPr>
          <w:rFonts w:ascii="宋体" w:hAnsi="宋体"/>
          <w:sz w:val="24"/>
        </w:rPr>
      </w:pPr>
      <w:r>
        <w:rPr>
          <w:rFonts w:hint="eastAsia" w:ascii="宋体" w:hAnsi="宋体"/>
          <w:sz w:val="24"/>
        </w:rPr>
        <w:t>采购文件合同条款</w:t>
      </w:r>
    </w:p>
    <w:p w14:paraId="46E8291E">
      <w:pPr>
        <w:spacing w:line="360" w:lineRule="exact"/>
        <w:ind w:firstLine="960" w:firstLineChars="400"/>
        <w:rPr>
          <w:rFonts w:ascii="宋体" w:hAnsi="宋体"/>
          <w:sz w:val="24"/>
        </w:rPr>
      </w:pPr>
      <w:r>
        <w:rPr>
          <w:rFonts w:hint="eastAsia" w:ascii="宋体" w:hAnsi="宋体"/>
          <w:sz w:val="24"/>
        </w:rPr>
        <w:t>投标人提交的投标函和投标报价表</w:t>
      </w:r>
    </w:p>
    <w:p w14:paraId="61402994">
      <w:pPr>
        <w:spacing w:line="360" w:lineRule="exact"/>
        <w:ind w:firstLine="960" w:firstLineChars="400"/>
        <w:rPr>
          <w:rFonts w:ascii="宋体" w:hAnsi="宋体"/>
          <w:sz w:val="24"/>
        </w:rPr>
      </w:pPr>
      <w:r>
        <w:rPr>
          <w:rFonts w:hint="eastAsia" w:ascii="宋体" w:hAnsi="宋体"/>
          <w:sz w:val="24"/>
        </w:rPr>
        <w:t>招标采购成交品目清单</w:t>
      </w:r>
    </w:p>
    <w:p w14:paraId="47FF8452">
      <w:pPr>
        <w:spacing w:line="360" w:lineRule="exact"/>
        <w:ind w:firstLine="960" w:firstLineChars="400"/>
        <w:rPr>
          <w:rFonts w:ascii="宋体" w:hAnsi="宋体"/>
          <w:sz w:val="24"/>
        </w:rPr>
      </w:pPr>
      <w:r>
        <w:rPr>
          <w:rFonts w:hint="eastAsia" w:ascii="宋体" w:hAnsi="宋体"/>
          <w:sz w:val="24"/>
        </w:rPr>
        <w:t>服务要求</w:t>
      </w:r>
    </w:p>
    <w:p w14:paraId="48D2687E">
      <w:pPr>
        <w:spacing w:line="360" w:lineRule="exact"/>
        <w:ind w:firstLine="960" w:firstLineChars="400"/>
        <w:rPr>
          <w:rFonts w:ascii="宋体" w:hAnsi="宋体"/>
          <w:sz w:val="24"/>
        </w:rPr>
      </w:pPr>
      <w:r>
        <w:rPr>
          <w:rFonts w:hint="eastAsia" w:ascii="宋体" w:hAnsi="宋体"/>
          <w:sz w:val="24"/>
        </w:rPr>
        <w:t>规格响应表（如果有的话）</w:t>
      </w:r>
    </w:p>
    <w:p w14:paraId="3035A26D">
      <w:pPr>
        <w:spacing w:line="360" w:lineRule="exact"/>
        <w:ind w:firstLine="960" w:firstLineChars="400"/>
        <w:rPr>
          <w:rFonts w:ascii="宋体" w:hAnsi="宋体"/>
          <w:sz w:val="24"/>
        </w:rPr>
      </w:pPr>
      <w:r>
        <w:rPr>
          <w:rFonts w:hint="eastAsia" w:ascii="宋体" w:hAnsi="宋体"/>
          <w:sz w:val="24"/>
        </w:rPr>
        <w:t>成交通知书</w:t>
      </w:r>
    </w:p>
    <w:p w14:paraId="748680E0">
      <w:pPr>
        <w:spacing w:line="360" w:lineRule="exact"/>
        <w:ind w:firstLine="480" w:firstLineChars="200"/>
        <w:rPr>
          <w:rFonts w:ascii="宋体" w:hAnsi="宋体"/>
          <w:sz w:val="24"/>
        </w:rPr>
      </w:pPr>
    </w:p>
    <w:p w14:paraId="3F48DB38">
      <w:pPr>
        <w:spacing w:line="360" w:lineRule="exact"/>
        <w:ind w:firstLine="480" w:firstLineChars="200"/>
        <w:rPr>
          <w:rFonts w:ascii="宋体" w:hAnsi="宋体"/>
          <w:sz w:val="24"/>
        </w:rPr>
      </w:pPr>
      <w:r>
        <w:rPr>
          <w:rFonts w:hint="eastAsia" w:ascii="宋体" w:hAnsi="宋体"/>
          <w:sz w:val="24"/>
        </w:rPr>
        <w:t>二、服务内容：</w:t>
      </w:r>
    </w:p>
    <w:p w14:paraId="2F1B1959">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1CA5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7646C13E">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1DC998D4">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3907A845">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D1ED84C">
            <w:pPr>
              <w:spacing w:line="360" w:lineRule="exact"/>
              <w:jc w:val="center"/>
              <w:rPr>
                <w:rFonts w:ascii="宋体" w:hAnsi="宋体"/>
                <w:sz w:val="24"/>
              </w:rPr>
            </w:pPr>
            <w:r>
              <w:rPr>
                <w:rFonts w:hint="eastAsia" w:ascii="宋体" w:hAnsi="宋体"/>
                <w:sz w:val="24"/>
              </w:rPr>
              <w:t>服务期限</w:t>
            </w:r>
          </w:p>
        </w:tc>
      </w:tr>
      <w:tr w14:paraId="549C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43BD870">
            <w:pPr>
              <w:spacing w:line="360" w:lineRule="exact"/>
              <w:rPr>
                <w:rFonts w:ascii="宋体" w:hAnsi="宋体"/>
                <w:sz w:val="24"/>
              </w:rPr>
            </w:pPr>
          </w:p>
        </w:tc>
        <w:tc>
          <w:tcPr>
            <w:tcW w:w="4536" w:type="dxa"/>
            <w:noWrap/>
          </w:tcPr>
          <w:p w14:paraId="1DD167AA">
            <w:pPr>
              <w:spacing w:line="360" w:lineRule="exact"/>
              <w:rPr>
                <w:rFonts w:ascii="宋体" w:hAnsi="宋体"/>
                <w:sz w:val="24"/>
              </w:rPr>
            </w:pPr>
          </w:p>
        </w:tc>
        <w:tc>
          <w:tcPr>
            <w:tcW w:w="1612" w:type="dxa"/>
            <w:noWrap/>
          </w:tcPr>
          <w:p w14:paraId="104E8FB0">
            <w:pPr>
              <w:spacing w:line="360" w:lineRule="exact"/>
              <w:rPr>
                <w:rFonts w:ascii="宋体" w:hAnsi="宋体"/>
                <w:sz w:val="24"/>
              </w:rPr>
            </w:pPr>
          </w:p>
        </w:tc>
        <w:tc>
          <w:tcPr>
            <w:tcW w:w="2464" w:type="dxa"/>
            <w:noWrap/>
          </w:tcPr>
          <w:p w14:paraId="1D27FEEB">
            <w:pPr>
              <w:spacing w:line="360" w:lineRule="exact"/>
              <w:rPr>
                <w:rFonts w:ascii="宋体" w:hAnsi="宋体"/>
                <w:sz w:val="24"/>
              </w:rPr>
            </w:pPr>
          </w:p>
        </w:tc>
      </w:tr>
      <w:tr w14:paraId="6D2A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259BE059">
            <w:pPr>
              <w:spacing w:line="360" w:lineRule="exact"/>
              <w:rPr>
                <w:rFonts w:ascii="宋体" w:hAnsi="宋体"/>
                <w:sz w:val="24"/>
              </w:rPr>
            </w:pPr>
          </w:p>
        </w:tc>
        <w:tc>
          <w:tcPr>
            <w:tcW w:w="4536" w:type="dxa"/>
            <w:noWrap/>
          </w:tcPr>
          <w:p w14:paraId="4432CE72">
            <w:pPr>
              <w:spacing w:line="360" w:lineRule="exact"/>
              <w:rPr>
                <w:rFonts w:ascii="宋体" w:hAnsi="宋体"/>
                <w:sz w:val="24"/>
              </w:rPr>
            </w:pPr>
            <w:r>
              <w:rPr>
                <w:rFonts w:hint="eastAsia" w:ascii="宋体" w:hAnsi="宋体"/>
                <w:sz w:val="24"/>
              </w:rPr>
              <w:t>合计</w:t>
            </w:r>
          </w:p>
        </w:tc>
        <w:tc>
          <w:tcPr>
            <w:tcW w:w="4076" w:type="dxa"/>
            <w:gridSpan w:val="2"/>
            <w:noWrap/>
          </w:tcPr>
          <w:p w14:paraId="25F72DD1">
            <w:pPr>
              <w:spacing w:line="360" w:lineRule="exact"/>
              <w:rPr>
                <w:rFonts w:ascii="宋体" w:hAnsi="宋体"/>
                <w:sz w:val="24"/>
              </w:rPr>
            </w:pPr>
          </w:p>
        </w:tc>
      </w:tr>
      <w:tr w14:paraId="2DD9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4BED9951">
            <w:pPr>
              <w:spacing w:line="360" w:lineRule="exact"/>
              <w:rPr>
                <w:rFonts w:ascii="宋体" w:hAnsi="宋体"/>
                <w:sz w:val="24"/>
              </w:rPr>
            </w:pPr>
            <w:r>
              <w:rPr>
                <w:rFonts w:hint="eastAsia" w:ascii="宋体" w:hAnsi="宋体"/>
                <w:sz w:val="24"/>
              </w:rPr>
              <w:t>项目地点：</w:t>
            </w:r>
          </w:p>
          <w:p w14:paraId="748A7756">
            <w:pPr>
              <w:spacing w:line="360" w:lineRule="exact"/>
              <w:rPr>
                <w:rFonts w:ascii="宋体" w:hAnsi="宋体"/>
                <w:sz w:val="24"/>
              </w:rPr>
            </w:pPr>
            <w:r>
              <w:rPr>
                <w:rFonts w:hint="eastAsia" w:ascii="宋体" w:hAnsi="宋体"/>
                <w:sz w:val="24"/>
              </w:rPr>
              <w:t>投标报价总计：</w:t>
            </w:r>
          </w:p>
          <w:p w14:paraId="429D6678">
            <w:pPr>
              <w:spacing w:line="360" w:lineRule="exact"/>
              <w:rPr>
                <w:rFonts w:ascii="宋体" w:hAnsi="宋体"/>
                <w:sz w:val="24"/>
              </w:rPr>
            </w:pPr>
            <w:r>
              <w:rPr>
                <w:rFonts w:hint="eastAsia" w:ascii="宋体" w:hAnsi="宋体"/>
                <w:sz w:val="24"/>
              </w:rPr>
              <w:t>大写：</w:t>
            </w:r>
          </w:p>
        </w:tc>
      </w:tr>
    </w:tbl>
    <w:p w14:paraId="42DE91C4">
      <w:pPr>
        <w:numPr>
          <w:ilvl w:val="0"/>
          <w:numId w:val="0"/>
        </w:numPr>
        <w:spacing w:line="360" w:lineRule="exact"/>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付款时间、方式及条件：</w:t>
      </w:r>
    </w:p>
    <w:p w14:paraId="4D226BA0">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1.本项目合同签订后，甲方凭乙方开具的正式有效发票，在10个工作日内向乙方支付合同总金额的50%的首付款。</w:t>
      </w:r>
    </w:p>
    <w:p w14:paraId="4471F591">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2.乙方向甲方出具符合要求的网络安全等级保护测评报告及软件测试报告后，甲方凭乙方开具的正式有效发票、质量保函（期限为12个月，金额为合同总金额的10%）、《网络安全等级保护测评报告》和《软件测试报告》，在10个工作日内向乙方支付50%的尾款。</w:t>
      </w:r>
    </w:p>
    <w:p w14:paraId="2E6C2C85">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若甲方年底封账，延迟至下一年经费重新下达后支付。</w:t>
      </w:r>
    </w:p>
    <w:p w14:paraId="4EF64606">
      <w:pPr>
        <w:spacing w:line="360" w:lineRule="exact"/>
        <w:ind w:firstLine="480" w:firstLineChars="200"/>
        <w:rPr>
          <w:rFonts w:ascii="宋体" w:hAnsi="宋体"/>
          <w:sz w:val="24"/>
        </w:rPr>
      </w:pPr>
      <w:r>
        <w:rPr>
          <w:rFonts w:hint="eastAsia" w:ascii="宋体" w:hAnsi="宋体"/>
          <w:sz w:val="24"/>
        </w:rPr>
        <w:t>四、违约责任：按《中华人民共和国民法典》执行。</w:t>
      </w:r>
    </w:p>
    <w:p w14:paraId="74F6A921">
      <w:pPr>
        <w:spacing w:line="360" w:lineRule="exact"/>
        <w:ind w:firstLine="480" w:firstLineChars="200"/>
        <w:rPr>
          <w:rFonts w:ascii="宋体" w:hAnsi="宋体"/>
          <w:sz w:val="24"/>
        </w:rPr>
      </w:pPr>
      <w:r>
        <w:rPr>
          <w:rFonts w:hint="eastAsia" w:ascii="宋体" w:hAnsi="宋体"/>
          <w:sz w:val="24"/>
        </w:rPr>
        <w:t>五、本合同发生争议产生的诉讼，由合同签订所在地人民法院管辖。</w:t>
      </w:r>
    </w:p>
    <w:p w14:paraId="3D6DF0F6">
      <w:pPr>
        <w:spacing w:line="360" w:lineRule="exact"/>
        <w:ind w:firstLine="480" w:firstLineChars="200"/>
        <w:rPr>
          <w:rFonts w:ascii="宋体" w:hAnsi="宋体"/>
          <w:sz w:val="24"/>
        </w:rPr>
      </w:pPr>
      <w:r>
        <w:rPr>
          <w:rFonts w:hint="eastAsia" w:ascii="宋体" w:hAnsi="宋体"/>
          <w:sz w:val="24"/>
        </w:rPr>
        <w:t>六、本合同壹式叁份，买、卖、招标机构三方各执壹份，均具同等效力。</w:t>
      </w:r>
    </w:p>
    <w:p w14:paraId="363683A5">
      <w:pPr>
        <w:spacing w:line="360" w:lineRule="exact"/>
        <w:ind w:firstLine="480" w:firstLineChars="200"/>
        <w:rPr>
          <w:rFonts w:ascii="宋体" w:hAnsi="宋体"/>
          <w:sz w:val="24"/>
        </w:rPr>
      </w:pPr>
      <w:r>
        <w:rPr>
          <w:rFonts w:hint="eastAsia" w:ascii="宋体" w:hAnsi="宋体"/>
          <w:sz w:val="24"/>
        </w:rPr>
        <w:t>七、本合同经甲、乙、鉴证三方签字、盖章并后，合同即生效。</w:t>
      </w:r>
    </w:p>
    <w:p w14:paraId="07BF0148">
      <w:pPr>
        <w:spacing w:line="360" w:lineRule="exact"/>
        <w:ind w:firstLine="480" w:firstLineChars="200"/>
        <w:rPr>
          <w:rFonts w:ascii="宋体" w:hAnsi="宋体"/>
          <w:sz w:val="24"/>
        </w:rPr>
      </w:pPr>
      <w:r>
        <w:rPr>
          <w:rFonts w:hint="eastAsia" w:ascii="宋体" w:hAnsi="宋体"/>
          <w:sz w:val="24"/>
        </w:rPr>
        <w:t>八、甲乙双方应当自成交通知书发出之日起30日内，按照采购文件和成交人响应文件的规定，双方签订书面合同。如超过期限未签合同，应重新招标或顺延下一成交候选人。</w:t>
      </w:r>
    </w:p>
    <w:p w14:paraId="6B849CB9">
      <w:pPr>
        <w:pStyle w:val="18"/>
        <w:rPr>
          <w:rFonts w:ascii="宋体" w:hAnsi="宋体"/>
        </w:rPr>
      </w:pPr>
    </w:p>
    <w:p w14:paraId="726167B5">
      <w:pPr>
        <w:pStyle w:val="18"/>
        <w:rPr>
          <w:rFonts w:ascii="宋体" w:hAnsi="宋体"/>
        </w:rPr>
      </w:pPr>
    </w:p>
    <w:p w14:paraId="3AF11E5A">
      <w:pPr>
        <w:spacing w:line="400" w:lineRule="exact"/>
        <w:ind w:firstLine="628" w:firstLineChars="262"/>
        <w:rPr>
          <w:rFonts w:ascii="宋体" w:hAnsi="宋体"/>
          <w:sz w:val="24"/>
        </w:rPr>
      </w:pPr>
      <w:r>
        <w:rPr>
          <w:rFonts w:hint="eastAsia" w:ascii="宋体" w:hAnsi="宋体"/>
          <w:sz w:val="24"/>
        </w:rPr>
        <w:t>附：成交通知书、成交清单</w:t>
      </w:r>
    </w:p>
    <w:p w14:paraId="3CFD40AE">
      <w:pPr>
        <w:spacing w:line="400" w:lineRule="exact"/>
        <w:rPr>
          <w:rFonts w:ascii="宋体" w:hAnsi="宋体"/>
          <w:sz w:val="24"/>
        </w:rPr>
      </w:pPr>
    </w:p>
    <w:p w14:paraId="203C1F43">
      <w:pPr>
        <w:spacing w:line="400" w:lineRule="exact"/>
        <w:rPr>
          <w:rFonts w:ascii="宋体" w:hAnsi="宋体"/>
          <w:sz w:val="24"/>
        </w:rPr>
      </w:pPr>
    </w:p>
    <w:p w14:paraId="6C3CD49F">
      <w:pPr>
        <w:spacing w:line="400" w:lineRule="exact"/>
        <w:rPr>
          <w:rFonts w:ascii="宋体" w:hAnsi="宋体"/>
          <w:sz w:val="24"/>
        </w:rPr>
      </w:pPr>
    </w:p>
    <w:p w14:paraId="1B1A8281">
      <w:pPr>
        <w:spacing w:line="400" w:lineRule="exact"/>
        <w:ind w:firstLine="523" w:firstLineChars="218"/>
        <w:rPr>
          <w:rFonts w:ascii="宋体" w:hAnsi="宋体"/>
          <w:sz w:val="24"/>
        </w:rPr>
      </w:pPr>
    </w:p>
    <w:p w14:paraId="0766AC9C">
      <w:pPr>
        <w:spacing w:line="400" w:lineRule="exact"/>
        <w:ind w:firstLine="523" w:firstLineChars="218"/>
        <w:rPr>
          <w:rFonts w:ascii="宋体" w:hAnsi="宋体"/>
          <w:sz w:val="24"/>
        </w:rPr>
      </w:pPr>
      <w:r>
        <w:rPr>
          <w:rFonts w:hint="eastAsia" w:ascii="宋体" w:hAnsi="宋体"/>
          <w:sz w:val="24"/>
        </w:rPr>
        <w:t xml:space="preserve">甲方：                            乙方： </w:t>
      </w:r>
    </w:p>
    <w:p w14:paraId="7ABCF9F2">
      <w:pPr>
        <w:spacing w:line="400" w:lineRule="exact"/>
        <w:ind w:firstLine="523" w:firstLineChars="218"/>
        <w:rPr>
          <w:rFonts w:ascii="宋体" w:hAnsi="宋体"/>
          <w:sz w:val="24"/>
        </w:rPr>
      </w:pPr>
      <w:r>
        <w:rPr>
          <w:rFonts w:hint="eastAsia" w:ascii="宋体" w:hAnsi="宋体"/>
          <w:sz w:val="24"/>
        </w:rPr>
        <w:t>地址：                            地址：</w:t>
      </w:r>
    </w:p>
    <w:p w14:paraId="3DDA6EEB">
      <w:pPr>
        <w:spacing w:line="400" w:lineRule="exact"/>
        <w:ind w:firstLine="523" w:firstLineChars="218"/>
        <w:rPr>
          <w:rFonts w:ascii="宋体" w:hAnsi="宋体"/>
          <w:sz w:val="24"/>
        </w:rPr>
      </w:pPr>
      <w:r>
        <w:rPr>
          <w:rFonts w:hint="eastAsia" w:ascii="宋体" w:hAnsi="宋体"/>
          <w:sz w:val="24"/>
        </w:rPr>
        <w:t>法定代表人：                      法定代表人：</w:t>
      </w:r>
    </w:p>
    <w:p w14:paraId="32C61C71">
      <w:pPr>
        <w:spacing w:line="400" w:lineRule="exact"/>
        <w:ind w:firstLine="523" w:firstLineChars="218"/>
        <w:rPr>
          <w:rFonts w:ascii="宋体" w:hAnsi="宋体"/>
          <w:sz w:val="24"/>
        </w:rPr>
      </w:pPr>
      <w:r>
        <w:rPr>
          <w:rFonts w:hint="eastAsia" w:ascii="宋体" w:hAnsi="宋体"/>
          <w:sz w:val="24"/>
        </w:rPr>
        <w:t>委托代理人：                      委托代理人：</w:t>
      </w:r>
    </w:p>
    <w:p w14:paraId="7937EF25">
      <w:pPr>
        <w:spacing w:line="400" w:lineRule="exact"/>
        <w:ind w:firstLine="523" w:firstLineChars="218"/>
        <w:rPr>
          <w:rFonts w:ascii="宋体" w:hAnsi="宋体"/>
          <w:sz w:val="24"/>
        </w:rPr>
      </w:pPr>
      <w:r>
        <w:rPr>
          <w:rFonts w:hint="eastAsia"/>
          <w:sz w:val="24"/>
        </w:rPr>
        <w:t>使用单位确认签名：</w:t>
      </w:r>
    </w:p>
    <w:p w14:paraId="749EBD77">
      <w:pPr>
        <w:spacing w:line="400" w:lineRule="exact"/>
        <w:ind w:firstLine="523" w:firstLineChars="218"/>
        <w:rPr>
          <w:rFonts w:ascii="宋体" w:hAnsi="宋体"/>
          <w:sz w:val="24"/>
        </w:rPr>
      </w:pPr>
      <w:r>
        <w:rPr>
          <w:rFonts w:hint="eastAsia" w:ascii="宋体" w:hAnsi="宋体"/>
          <w:sz w:val="24"/>
        </w:rPr>
        <w:t>电话：                            电话：</w:t>
      </w:r>
    </w:p>
    <w:p w14:paraId="35B11F1A">
      <w:pPr>
        <w:spacing w:line="400" w:lineRule="exact"/>
        <w:ind w:firstLine="523" w:firstLineChars="218"/>
        <w:rPr>
          <w:rFonts w:ascii="宋体" w:hAnsi="宋体"/>
          <w:sz w:val="24"/>
        </w:rPr>
      </w:pPr>
      <w:r>
        <w:rPr>
          <w:rFonts w:hint="eastAsia" w:ascii="宋体" w:hAnsi="宋体"/>
          <w:sz w:val="24"/>
        </w:rPr>
        <w:t xml:space="preserve">开户银行：                        开户银行： </w:t>
      </w:r>
    </w:p>
    <w:p w14:paraId="0F2368A8">
      <w:pPr>
        <w:spacing w:line="400" w:lineRule="exact"/>
        <w:ind w:firstLine="523" w:firstLineChars="218"/>
        <w:rPr>
          <w:rFonts w:ascii="宋体" w:hAnsi="宋体"/>
          <w:sz w:val="24"/>
        </w:rPr>
      </w:pPr>
      <w:r>
        <w:rPr>
          <w:rFonts w:hint="eastAsia" w:ascii="宋体" w:hAnsi="宋体"/>
          <w:sz w:val="24"/>
        </w:rPr>
        <w:t>银行帐号：                        银行帐号：</w:t>
      </w:r>
    </w:p>
    <w:p w14:paraId="27BBD667">
      <w:pPr>
        <w:spacing w:line="400" w:lineRule="exact"/>
        <w:ind w:firstLine="523" w:firstLineChars="218"/>
        <w:rPr>
          <w:rFonts w:ascii="宋体" w:hAnsi="宋体"/>
          <w:sz w:val="24"/>
        </w:rPr>
      </w:pPr>
      <w:r>
        <w:rPr>
          <w:rFonts w:hint="eastAsia" w:ascii="宋体" w:hAnsi="宋体"/>
          <w:sz w:val="24"/>
        </w:rPr>
        <w:t xml:space="preserve">  年  月  日                        年  月  日</w:t>
      </w:r>
    </w:p>
    <w:p w14:paraId="31BB4902">
      <w:pPr>
        <w:spacing w:line="320" w:lineRule="exact"/>
        <w:rPr>
          <w:sz w:val="24"/>
        </w:rPr>
      </w:pPr>
    </w:p>
    <w:p w14:paraId="26BDDB7B">
      <w:pPr>
        <w:spacing w:line="320" w:lineRule="exact"/>
        <w:ind w:left="541" w:leftChars="258"/>
        <w:rPr>
          <w:sz w:val="24"/>
        </w:rPr>
      </w:pPr>
      <w:r>
        <w:rPr>
          <w:rFonts w:hint="eastAsia"/>
          <w:sz w:val="24"/>
        </w:rPr>
        <w:t>招标机构：海南省教学仪器设备招标中心有限公司</w:t>
      </w:r>
    </w:p>
    <w:p w14:paraId="596D65F1">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4AC6AF8">
      <w:pPr>
        <w:spacing w:line="320" w:lineRule="exact"/>
        <w:ind w:left="541" w:leftChars="258"/>
        <w:rPr>
          <w:rFonts w:ascii="宋体" w:hAnsi="宋体"/>
          <w:sz w:val="24"/>
        </w:rPr>
      </w:pPr>
      <w:r>
        <w:rPr>
          <w:rFonts w:hint="eastAsia" w:ascii="宋体" w:hAnsi="宋体"/>
          <w:sz w:val="24"/>
        </w:rPr>
        <w:t>电  话：0898－66757906</w:t>
      </w:r>
    </w:p>
    <w:p w14:paraId="68C5452B">
      <w:pPr>
        <w:spacing w:line="320" w:lineRule="exact"/>
        <w:ind w:left="541" w:leftChars="258"/>
        <w:rPr>
          <w:rFonts w:ascii="宋体" w:hAnsi="宋体"/>
          <w:sz w:val="24"/>
        </w:rPr>
      </w:pPr>
      <w:r>
        <w:rPr>
          <w:rFonts w:hint="eastAsia" w:ascii="宋体" w:hAnsi="宋体"/>
          <w:sz w:val="24"/>
        </w:rPr>
        <w:t>法定或授权代表：</w:t>
      </w:r>
    </w:p>
    <w:p w14:paraId="0AC6B7CB">
      <w:pPr>
        <w:spacing w:line="320" w:lineRule="exact"/>
        <w:ind w:left="541" w:leftChars="258"/>
        <w:rPr>
          <w:rFonts w:ascii="宋体" w:hAnsi="宋体"/>
          <w:sz w:val="24"/>
        </w:rPr>
      </w:pPr>
      <w:r>
        <w:rPr>
          <w:rFonts w:hint="eastAsia" w:ascii="宋体" w:hAnsi="宋体"/>
          <w:sz w:val="24"/>
        </w:rPr>
        <w:t>日期：  年  月  日</w:t>
      </w:r>
    </w:p>
    <w:p w14:paraId="74CBB791">
      <w:pPr>
        <w:snapToGrid w:val="0"/>
        <w:spacing w:before="19" w:line="340" w:lineRule="exact"/>
        <w:rPr>
          <w:rFonts w:ascii="宋体" w:hAnsi="宋体"/>
          <w:b/>
          <w:szCs w:val="21"/>
        </w:rPr>
      </w:pPr>
    </w:p>
    <w:p w14:paraId="2485EC1A">
      <w:pPr>
        <w:bidi w:val="0"/>
      </w:pPr>
      <w:r>
        <w:rPr>
          <w:rFonts w:hint="eastAsia"/>
        </w:rPr>
        <w:t>采购代理机构声明：本合同标的经采购代理机构依法定程序采购，合同主要条款内容与招响应文件的内容一致。</w:t>
      </w:r>
    </w:p>
    <w:p w14:paraId="2AA586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58F7F2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9E593B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2A3137DF">
      <w:pPr>
        <w:bidi w:val="0"/>
        <w:rPr>
          <w:rFonts w:hint="eastAsia"/>
        </w:rPr>
      </w:pPr>
    </w:p>
    <w:p w14:paraId="45E4901B">
      <w:pPr>
        <w:rPr>
          <w:rFonts w:hint="eastAsia"/>
        </w:rPr>
      </w:pPr>
    </w:p>
    <w:p w14:paraId="32EF62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13233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146EC74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3959C5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7E6F7C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5BB939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ascii="宋体"/>
          <w:b/>
          <w:bCs/>
          <w:kern w:val="0"/>
          <w:sz w:val="32"/>
          <w:szCs w:val="32"/>
        </w:rPr>
      </w:pPr>
      <w:r>
        <w:rPr>
          <w:rFonts w:hint="eastAsia" w:ascii="宋体"/>
          <w:b/>
          <w:bCs/>
          <w:kern w:val="0"/>
          <w:sz w:val="32"/>
          <w:szCs w:val="32"/>
        </w:rPr>
        <w:t>第六部分  响应文件格式</w:t>
      </w:r>
    </w:p>
    <w:p w14:paraId="26869E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1BA68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4280335">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0A4F4EB3">
      <w:pPr>
        <w:snapToGrid w:val="0"/>
        <w:spacing w:line="240" w:lineRule="atLeast"/>
        <w:jc w:val="center"/>
        <w:rPr>
          <w:rStyle w:val="63"/>
          <w:rFonts w:hAnsi="宋体"/>
          <w:b/>
          <w:kern w:val="0"/>
          <w:sz w:val="32"/>
          <w:szCs w:val="32"/>
        </w:rPr>
      </w:pPr>
    </w:p>
    <w:p w14:paraId="76314CE3">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0005C075">
      <w:pPr>
        <w:pStyle w:val="104"/>
        <w:snapToGrid w:val="0"/>
        <w:rPr>
          <w:rStyle w:val="63"/>
          <w:rFonts w:hAnsi="宋体"/>
          <w:b/>
          <w:kern w:val="0"/>
          <w:sz w:val="32"/>
          <w:szCs w:val="32"/>
        </w:rPr>
      </w:pPr>
    </w:p>
    <w:p w14:paraId="0DB122FC">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32B36561">
      <w:pPr>
        <w:snapToGrid w:val="0"/>
        <w:ind w:right="2279"/>
        <w:rPr>
          <w:rStyle w:val="63"/>
          <w:rFonts w:hAnsi="宋体"/>
          <w:b/>
          <w:kern w:val="0"/>
          <w:sz w:val="32"/>
          <w:szCs w:val="32"/>
        </w:rPr>
      </w:pPr>
    </w:p>
    <w:p w14:paraId="5000C4C8">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135A6ED7">
      <w:pPr>
        <w:snapToGrid w:val="0"/>
        <w:spacing w:line="320" w:lineRule="exact"/>
        <w:ind w:right="2278"/>
        <w:rPr>
          <w:rStyle w:val="63"/>
          <w:rFonts w:hAnsi="宋体"/>
          <w:b/>
          <w:sz w:val="30"/>
          <w:szCs w:val="30"/>
        </w:rPr>
      </w:pPr>
    </w:p>
    <w:p w14:paraId="7C3A0C8B">
      <w:pPr>
        <w:snapToGrid w:val="0"/>
        <w:spacing w:line="320" w:lineRule="exact"/>
        <w:ind w:right="2278"/>
        <w:rPr>
          <w:rStyle w:val="63"/>
          <w:rFonts w:hAnsi="宋体"/>
          <w:b/>
          <w:sz w:val="30"/>
          <w:szCs w:val="30"/>
        </w:rPr>
      </w:pPr>
    </w:p>
    <w:p w14:paraId="62F2FFB7">
      <w:pPr>
        <w:snapToGrid w:val="0"/>
        <w:spacing w:line="320" w:lineRule="exact"/>
        <w:ind w:right="2278"/>
        <w:rPr>
          <w:rStyle w:val="63"/>
          <w:rFonts w:hAnsi="宋体"/>
          <w:b/>
          <w:sz w:val="30"/>
          <w:szCs w:val="30"/>
        </w:rPr>
      </w:pPr>
    </w:p>
    <w:p w14:paraId="1464147E">
      <w:pPr>
        <w:pStyle w:val="104"/>
      </w:pPr>
    </w:p>
    <w:p w14:paraId="65CAF22F">
      <w:pPr>
        <w:pStyle w:val="104"/>
      </w:pPr>
    </w:p>
    <w:p w14:paraId="1065789D">
      <w:pPr>
        <w:pStyle w:val="104"/>
      </w:pPr>
    </w:p>
    <w:p w14:paraId="23C8A22F">
      <w:pPr>
        <w:snapToGrid w:val="0"/>
        <w:spacing w:line="320" w:lineRule="exact"/>
        <w:ind w:right="2278"/>
        <w:rPr>
          <w:rStyle w:val="63"/>
          <w:rFonts w:hAnsi="宋体"/>
          <w:b/>
          <w:sz w:val="30"/>
          <w:szCs w:val="30"/>
        </w:rPr>
      </w:pPr>
    </w:p>
    <w:p w14:paraId="19F00E3C">
      <w:pPr>
        <w:snapToGrid w:val="0"/>
        <w:spacing w:line="320" w:lineRule="exact"/>
        <w:ind w:right="2278"/>
        <w:rPr>
          <w:rStyle w:val="63"/>
          <w:rFonts w:hAnsi="宋体"/>
          <w:b/>
          <w:sz w:val="30"/>
          <w:szCs w:val="30"/>
        </w:rPr>
      </w:pPr>
    </w:p>
    <w:p w14:paraId="2994D681">
      <w:pPr>
        <w:snapToGrid w:val="0"/>
        <w:spacing w:line="320" w:lineRule="exact"/>
        <w:ind w:right="2278"/>
        <w:rPr>
          <w:rStyle w:val="63"/>
          <w:rFonts w:hAnsi="宋体"/>
          <w:b/>
          <w:sz w:val="30"/>
          <w:szCs w:val="30"/>
        </w:rPr>
      </w:pPr>
    </w:p>
    <w:p w14:paraId="70B1FB70">
      <w:pPr>
        <w:snapToGrid w:val="0"/>
        <w:spacing w:line="320" w:lineRule="exact"/>
        <w:ind w:right="2278"/>
        <w:rPr>
          <w:rStyle w:val="63"/>
          <w:rFonts w:hAnsi="宋体"/>
          <w:b/>
          <w:sz w:val="30"/>
          <w:szCs w:val="30"/>
        </w:rPr>
      </w:pPr>
    </w:p>
    <w:p w14:paraId="56739C61">
      <w:pPr>
        <w:snapToGrid w:val="0"/>
        <w:spacing w:line="320" w:lineRule="exact"/>
        <w:ind w:right="2278"/>
        <w:rPr>
          <w:rStyle w:val="63"/>
          <w:rFonts w:hAnsi="宋体"/>
          <w:b/>
          <w:sz w:val="30"/>
          <w:szCs w:val="30"/>
        </w:rPr>
      </w:pPr>
    </w:p>
    <w:p w14:paraId="6BEE3233">
      <w:pPr>
        <w:snapToGrid w:val="0"/>
        <w:spacing w:line="320" w:lineRule="exact"/>
        <w:ind w:right="2278"/>
        <w:rPr>
          <w:rStyle w:val="63"/>
          <w:rFonts w:hAnsi="宋体"/>
          <w:b/>
          <w:sz w:val="30"/>
          <w:szCs w:val="30"/>
        </w:rPr>
      </w:pPr>
    </w:p>
    <w:p w14:paraId="4F7AE69C">
      <w:pPr>
        <w:snapToGrid w:val="0"/>
        <w:ind w:right="2279"/>
        <w:rPr>
          <w:rStyle w:val="63"/>
          <w:rFonts w:hAnsi="宋体"/>
          <w:b/>
          <w:sz w:val="30"/>
          <w:szCs w:val="30"/>
        </w:rPr>
      </w:pPr>
      <w:r>
        <w:rPr>
          <w:rStyle w:val="63"/>
          <w:rFonts w:hAnsi="宋体"/>
          <w:b/>
          <w:sz w:val="30"/>
          <w:szCs w:val="30"/>
        </w:rPr>
        <w:t>供应商名称：               （盖章）</w:t>
      </w:r>
    </w:p>
    <w:p w14:paraId="7D2B76B7">
      <w:pPr>
        <w:snapToGrid w:val="0"/>
        <w:ind w:right="2279"/>
        <w:rPr>
          <w:rStyle w:val="63"/>
          <w:rFonts w:hAnsi="宋体"/>
          <w:b/>
          <w:sz w:val="30"/>
          <w:szCs w:val="30"/>
        </w:rPr>
      </w:pPr>
      <w:r>
        <w:rPr>
          <w:rStyle w:val="63"/>
          <w:rFonts w:hAnsi="宋体"/>
          <w:b/>
          <w:sz w:val="30"/>
          <w:szCs w:val="30"/>
        </w:rPr>
        <w:t>公司地址：</w:t>
      </w:r>
    </w:p>
    <w:p w14:paraId="3812B468">
      <w:pPr>
        <w:snapToGrid w:val="0"/>
        <w:ind w:right="2279"/>
        <w:rPr>
          <w:rStyle w:val="63"/>
          <w:rFonts w:hAnsi="宋体"/>
          <w:b/>
          <w:sz w:val="30"/>
          <w:szCs w:val="30"/>
        </w:rPr>
      </w:pPr>
      <w:r>
        <w:rPr>
          <w:rStyle w:val="63"/>
          <w:rFonts w:hAnsi="宋体"/>
          <w:b/>
          <w:sz w:val="30"/>
          <w:szCs w:val="30"/>
        </w:rPr>
        <w:t>联系人：</w:t>
      </w:r>
    </w:p>
    <w:p w14:paraId="3FF80BED">
      <w:pPr>
        <w:snapToGrid w:val="0"/>
        <w:ind w:right="2279"/>
        <w:rPr>
          <w:rStyle w:val="63"/>
          <w:rFonts w:hAnsi="宋体"/>
          <w:b/>
          <w:sz w:val="30"/>
          <w:szCs w:val="30"/>
        </w:rPr>
      </w:pPr>
      <w:r>
        <w:rPr>
          <w:rStyle w:val="63"/>
          <w:rFonts w:hAnsi="宋体"/>
          <w:b/>
          <w:sz w:val="30"/>
          <w:szCs w:val="30"/>
        </w:rPr>
        <w:t>联系电话：</w:t>
      </w:r>
    </w:p>
    <w:p w14:paraId="545CD7FA">
      <w:pPr>
        <w:snapToGrid w:val="0"/>
        <w:spacing w:line="320" w:lineRule="exact"/>
        <w:ind w:right="2278"/>
        <w:rPr>
          <w:rStyle w:val="63"/>
          <w:rFonts w:hAnsi="宋体"/>
          <w:b/>
          <w:sz w:val="30"/>
          <w:szCs w:val="30"/>
        </w:rPr>
      </w:pPr>
      <w:r>
        <w:rPr>
          <w:rStyle w:val="63"/>
          <w:rFonts w:hAnsi="宋体"/>
          <w:b/>
          <w:sz w:val="30"/>
          <w:szCs w:val="30"/>
        </w:rPr>
        <w:t>日期：</w:t>
      </w:r>
    </w:p>
    <w:p w14:paraId="00F94F99">
      <w:pPr>
        <w:snapToGrid w:val="0"/>
        <w:spacing w:line="320" w:lineRule="exact"/>
        <w:ind w:right="2278"/>
        <w:rPr>
          <w:rStyle w:val="63"/>
          <w:rFonts w:hAnsi="宋体"/>
          <w:b/>
          <w:sz w:val="30"/>
          <w:szCs w:val="30"/>
        </w:rPr>
      </w:pPr>
    </w:p>
    <w:p w14:paraId="4E11BD05">
      <w:pPr>
        <w:pStyle w:val="104"/>
      </w:pPr>
    </w:p>
    <w:p w14:paraId="1AD7DFC2">
      <w:pPr>
        <w:pStyle w:val="104"/>
      </w:pPr>
    </w:p>
    <w:p w14:paraId="2E0799BA">
      <w:pPr>
        <w:pStyle w:val="104"/>
      </w:pPr>
    </w:p>
    <w:p w14:paraId="7F2ECA75">
      <w:pPr>
        <w:pStyle w:val="104"/>
      </w:pPr>
    </w:p>
    <w:p w14:paraId="496AFC78">
      <w:pPr>
        <w:pStyle w:val="104"/>
      </w:pPr>
    </w:p>
    <w:p w14:paraId="7908534D">
      <w:pPr>
        <w:pStyle w:val="104"/>
      </w:pPr>
    </w:p>
    <w:p w14:paraId="530C0207">
      <w:pPr>
        <w:pStyle w:val="104"/>
      </w:pPr>
    </w:p>
    <w:p w14:paraId="608B7C00">
      <w:pPr>
        <w:pStyle w:val="104"/>
      </w:pPr>
    </w:p>
    <w:p w14:paraId="713BAC8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7237E46">
      <w:pPr>
        <w:pStyle w:val="104"/>
        <w:ind w:firstLine="3600" w:firstLineChars="1200"/>
        <w:rPr>
          <w:rStyle w:val="63"/>
          <w:rFonts w:hAnsi="宋体"/>
          <w:b/>
          <w:sz w:val="30"/>
          <w:szCs w:val="30"/>
        </w:rPr>
        <w:sectPr>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2ED1F3A5">
      <w:pPr>
        <w:spacing w:line="320" w:lineRule="exact"/>
        <w:ind w:right="2278"/>
        <w:outlineLvl w:val="0"/>
        <w:rPr>
          <w:rFonts w:ascii="宋体" w:hAnsi="宋体"/>
          <w:b/>
          <w:sz w:val="24"/>
        </w:rPr>
      </w:pPr>
      <w:r>
        <w:rPr>
          <w:rFonts w:hint="eastAsia" w:ascii="宋体" w:hAnsi="宋体"/>
          <w:b/>
          <w:sz w:val="24"/>
        </w:rPr>
        <w:t>附件1</w:t>
      </w:r>
    </w:p>
    <w:p w14:paraId="15B0D2EF">
      <w:pPr>
        <w:jc w:val="center"/>
        <w:rPr>
          <w:b/>
          <w:bCs/>
          <w:sz w:val="24"/>
          <w:szCs w:val="32"/>
        </w:rPr>
      </w:pPr>
      <w:r>
        <w:rPr>
          <w:rFonts w:hint="eastAsia"/>
          <w:b/>
          <w:bCs/>
          <w:sz w:val="24"/>
          <w:szCs w:val="32"/>
        </w:rPr>
        <w:t>响应函</w:t>
      </w:r>
    </w:p>
    <w:p w14:paraId="3EE03A6F">
      <w:pPr>
        <w:jc w:val="center"/>
      </w:pPr>
    </w:p>
    <w:p w14:paraId="694FDF4F">
      <w:pPr>
        <w:rPr>
          <w:sz w:val="24"/>
          <w:szCs w:val="32"/>
        </w:rPr>
      </w:pPr>
      <w:r>
        <w:rPr>
          <w:rFonts w:hint="eastAsia"/>
          <w:sz w:val="24"/>
          <w:szCs w:val="32"/>
        </w:rPr>
        <w:t>致：海南省教学仪器设备招标中心有限公司：</w:t>
      </w:r>
    </w:p>
    <w:p w14:paraId="632DBB33"/>
    <w:p w14:paraId="3CCD7963">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2C70DEB5">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0C0855D3">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CD3BC06">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78CBBC0E">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339F84A5">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784802A2">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55775C44">
      <w:pPr>
        <w:snapToGrid w:val="0"/>
        <w:spacing w:line="480" w:lineRule="exact"/>
        <w:ind w:firstLine="570"/>
        <w:rPr>
          <w:rFonts w:ascii="宋体" w:hAnsi="宋体"/>
          <w:sz w:val="24"/>
        </w:rPr>
      </w:pPr>
    </w:p>
    <w:p w14:paraId="70FCF964">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463DD7A">
      <w:pPr>
        <w:snapToGrid w:val="0"/>
        <w:spacing w:line="480" w:lineRule="exact"/>
        <w:rPr>
          <w:rFonts w:ascii="宋体" w:hAnsi="宋体"/>
          <w:sz w:val="24"/>
          <w:u w:val="single"/>
        </w:rPr>
      </w:pPr>
      <w:r>
        <w:rPr>
          <w:rFonts w:hint="eastAsia" w:ascii="宋体" w:hAnsi="宋体"/>
          <w:sz w:val="24"/>
        </w:rPr>
        <w:t xml:space="preserve">        地址：邮编：</w:t>
      </w:r>
    </w:p>
    <w:p w14:paraId="71248447">
      <w:pPr>
        <w:snapToGrid w:val="0"/>
        <w:spacing w:line="480" w:lineRule="exact"/>
        <w:rPr>
          <w:rFonts w:ascii="宋体" w:hAnsi="宋体"/>
          <w:sz w:val="24"/>
          <w:u w:val="single"/>
        </w:rPr>
      </w:pPr>
      <w:r>
        <w:rPr>
          <w:rFonts w:hint="eastAsia" w:ascii="宋体" w:hAnsi="宋体"/>
          <w:sz w:val="24"/>
        </w:rPr>
        <w:t xml:space="preserve">        电话：传真：</w:t>
      </w:r>
    </w:p>
    <w:p w14:paraId="00A698E8">
      <w:pPr>
        <w:snapToGrid w:val="0"/>
        <w:spacing w:line="480" w:lineRule="exact"/>
        <w:rPr>
          <w:rFonts w:ascii="宋体" w:hAnsi="宋体"/>
          <w:sz w:val="24"/>
          <w:u w:val="single"/>
        </w:rPr>
      </w:pPr>
      <w:r>
        <w:rPr>
          <w:rFonts w:hint="eastAsia" w:ascii="宋体" w:hAnsi="宋体"/>
          <w:sz w:val="24"/>
        </w:rPr>
        <w:t xml:space="preserve">        授权代表签字：   职务：</w:t>
      </w:r>
    </w:p>
    <w:p w14:paraId="08148562">
      <w:pPr>
        <w:snapToGrid w:val="0"/>
        <w:spacing w:line="480" w:lineRule="exact"/>
        <w:rPr>
          <w:rFonts w:ascii="宋体" w:hAnsi="宋体"/>
          <w:sz w:val="24"/>
          <w:u w:val="single"/>
        </w:rPr>
      </w:pPr>
      <w:r>
        <w:rPr>
          <w:rFonts w:hint="eastAsia" w:ascii="宋体" w:hAnsi="宋体"/>
          <w:sz w:val="24"/>
        </w:rPr>
        <w:t xml:space="preserve">        日期：</w:t>
      </w:r>
    </w:p>
    <w:p w14:paraId="6ACBBDD9">
      <w:pPr>
        <w:spacing w:line="360" w:lineRule="exact"/>
        <w:rPr>
          <w:rFonts w:ascii="宋体" w:hAnsi="宋体"/>
          <w:sz w:val="24"/>
        </w:rPr>
      </w:pPr>
    </w:p>
    <w:p w14:paraId="7A8DB086">
      <w:pPr>
        <w:spacing w:line="360" w:lineRule="exact"/>
        <w:rPr>
          <w:rFonts w:ascii="宋体" w:hAnsi="宋体"/>
          <w:sz w:val="24"/>
        </w:rPr>
      </w:pPr>
    </w:p>
    <w:p w14:paraId="57692A3F">
      <w:pPr>
        <w:sectPr>
          <w:pgSz w:w="11906" w:h="16838"/>
          <w:pgMar w:top="1134" w:right="1134" w:bottom="1134" w:left="1134" w:header="851" w:footer="992" w:gutter="0"/>
          <w:cols w:space="720" w:num="1"/>
          <w:docGrid w:type="linesAndChars" w:linePitch="312" w:charSpace="0"/>
        </w:sectPr>
      </w:pPr>
    </w:p>
    <w:p w14:paraId="150BF2A4">
      <w:pPr>
        <w:pStyle w:val="22"/>
        <w:spacing w:line="360" w:lineRule="exact"/>
        <w:ind w:left="480" w:right="508" w:hanging="480"/>
        <w:jc w:val="both"/>
        <w:outlineLvl w:val="0"/>
        <w:rPr>
          <w:b/>
          <w:kern w:val="2"/>
          <w:szCs w:val="24"/>
        </w:rPr>
      </w:pPr>
      <w:r>
        <w:rPr>
          <w:rFonts w:hint="eastAsia"/>
          <w:b/>
          <w:kern w:val="2"/>
          <w:szCs w:val="24"/>
        </w:rPr>
        <w:t>附件2</w:t>
      </w:r>
    </w:p>
    <w:p w14:paraId="0BBF0113">
      <w:pPr>
        <w:pStyle w:val="86"/>
        <w:ind w:firstLine="482"/>
        <w:jc w:val="center"/>
        <w:rPr>
          <w:rFonts w:ascii="宋体" w:hAnsi="宋体"/>
          <w:b/>
          <w:bCs/>
          <w:kern w:val="2"/>
        </w:rPr>
      </w:pPr>
      <w:r>
        <w:rPr>
          <w:rFonts w:hint="eastAsia" w:ascii="宋体" w:hAnsi="宋体"/>
          <w:b/>
          <w:bCs/>
          <w:kern w:val="2"/>
        </w:rPr>
        <w:t>报价一览表</w:t>
      </w:r>
    </w:p>
    <w:p w14:paraId="18E21575">
      <w:pPr>
        <w:bidi w:val="0"/>
        <w:rPr>
          <w:rFonts w:hint="eastAsia"/>
        </w:rPr>
      </w:pPr>
    </w:p>
    <w:p w14:paraId="3CFFA0BF">
      <w:pPr>
        <w:bidi w:val="0"/>
        <w:rPr>
          <w:rFonts w:hint="eastAsia"/>
        </w:rPr>
      </w:pPr>
      <w:r>
        <w:rPr>
          <w:rFonts w:hint="eastAsia"/>
        </w:rPr>
        <w:t>项目名称：</w:t>
      </w:r>
    </w:p>
    <w:p w14:paraId="54AC4E2C">
      <w:pPr>
        <w:spacing w:line="360" w:lineRule="exact"/>
        <w:rPr>
          <w:rFonts w:hint="eastAsia" w:ascii="宋体" w:hAnsi="宋体"/>
          <w:sz w:val="24"/>
        </w:rPr>
      </w:pPr>
      <w:r>
        <w:rPr>
          <w:rFonts w:hint="eastAsia" w:ascii="宋体" w:hAnsi="宋体"/>
          <w:sz w:val="24"/>
        </w:rPr>
        <w:t xml:space="preserve">供应商名称： （盖章）                           </w:t>
      </w:r>
    </w:p>
    <w:p w14:paraId="0CCCC559">
      <w:pPr>
        <w:spacing w:line="360" w:lineRule="exact"/>
        <w:rPr>
          <w:rFonts w:hint="eastAsia" w:ascii="宋体" w:hAnsi="宋体"/>
          <w:sz w:val="24"/>
        </w:rPr>
      </w:pPr>
    </w:p>
    <w:tbl>
      <w:tblPr>
        <w:tblStyle w:val="37"/>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hint="eastAsia"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hint="eastAsia" w:ascii="宋体" w:hAnsi="宋体"/>
                <w:sz w:val="24"/>
              </w:rPr>
            </w:pPr>
            <w:r>
              <w:rPr>
                <w:rFonts w:hint="eastAsia" w:ascii="宋体" w:hAnsi="宋体"/>
                <w:sz w:val="24"/>
                <w:lang w:eastAsia="zh-CN"/>
              </w:rPr>
              <w:t>服务</w:t>
            </w:r>
            <w:r>
              <w:rPr>
                <w:rFonts w:hint="eastAsia" w:ascii="宋体" w:hAnsi="宋体"/>
                <w:sz w:val="24"/>
              </w:rPr>
              <w:t>期</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hint="eastAsia"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hint="eastAsia"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hint="eastAsia"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hint="eastAsia"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hint="eastAsia"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hint="eastAsia"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hint="eastAsia" w:ascii="宋体" w:hAnsi="宋体"/>
                <w:sz w:val="24"/>
              </w:rPr>
            </w:pPr>
          </w:p>
        </w:tc>
      </w:tr>
    </w:tbl>
    <w:p w14:paraId="327D8634">
      <w:pPr>
        <w:spacing w:line="360" w:lineRule="exact"/>
        <w:rPr>
          <w:rFonts w:hint="eastAsia" w:ascii="宋体" w:hAnsi="宋体"/>
          <w:sz w:val="24"/>
        </w:rPr>
      </w:pPr>
    </w:p>
    <w:p w14:paraId="5B8EEF4C">
      <w:pPr>
        <w:spacing w:line="360" w:lineRule="exact"/>
        <w:rPr>
          <w:rFonts w:hint="eastAsia" w:ascii="宋体" w:hAnsi="宋体"/>
          <w:sz w:val="24"/>
        </w:rPr>
      </w:pPr>
      <w:r>
        <w:rPr>
          <w:rFonts w:hint="eastAsia" w:ascii="宋体" w:hAnsi="宋体"/>
          <w:sz w:val="24"/>
        </w:rPr>
        <w:t>1、供应商是否小微型企业产品:是（   ）；否（   ）。</w:t>
      </w:r>
    </w:p>
    <w:p w14:paraId="1709C3D1">
      <w:pPr>
        <w:spacing w:line="360" w:lineRule="exact"/>
        <w:rPr>
          <w:rFonts w:hint="eastAsia" w:ascii="宋体" w:hAnsi="宋体"/>
          <w:sz w:val="24"/>
        </w:rPr>
      </w:pPr>
      <w:r>
        <w:rPr>
          <w:rFonts w:hint="eastAsia" w:ascii="宋体" w:hAnsi="宋体"/>
          <w:sz w:val="24"/>
        </w:rPr>
        <w:t>2、供应商是否为监狱企业：是（    ）    否（    ）</w:t>
      </w:r>
    </w:p>
    <w:p w14:paraId="0543F012">
      <w:pPr>
        <w:spacing w:line="360" w:lineRule="exact"/>
        <w:rPr>
          <w:rFonts w:hint="eastAsia" w:ascii="宋体" w:hAnsi="宋体"/>
          <w:sz w:val="24"/>
        </w:rPr>
      </w:pPr>
      <w:r>
        <w:rPr>
          <w:rFonts w:hint="eastAsia" w:ascii="宋体" w:hAnsi="宋体"/>
          <w:sz w:val="24"/>
        </w:rPr>
        <w:t>3、供应商是否为残疾人福利性单位：是（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bidi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6DA007DA">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144762FE">
      <w:pPr>
        <w:spacing w:line="360" w:lineRule="exact"/>
        <w:ind w:firstLine="480" w:firstLineChars="200"/>
        <w:rPr>
          <w:rFonts w:ascii="宋体" w:hAnsi="宋体"/>
          <w:bCs/>
          <w:sz w:val="24"/>
        </w:rPr>
      </w:pPr>
    </w:p>
    <w:p w14:paraId="56B2F786">
      <w:pPr>
        <w:pStyle w:val="86"/>
        <w:ind w:firstLine="480"/>
        <w:sectPr>
          <w:pgSz w:w="11906" w:h="16838"/>
          <w:pgMar w:top="1134" w:right="1134" w:bottom="1134" w:left="1134" w:header="851" w:footer="992" w:gutter="0"/>
          <w:cols w:space="720" w:num="1"/>
          <w:docGrid w:type="linesAndChars" w:linePitch="312" w:charSpace="0"/>
        </w:sectPr>
      </w:pPr>
    </w:p>
    <w:p w14:paraId="65359E63">
      <w:pPr>
        <w:pStyle w:val="22"/>
        <w:spacing w:line="360" w:lineRule="exact"/>
        <w:ind w:left="480" w:right="508" w:hanging="480"/>
        <w:jc w:val="both"/>
        <w:outlineLvl w:val="0"/>
        <w:rPr>
          <w:b/>
          <w:kern w:val="2"/>
          <w:szCs w:val="24"/>
        </w:rPr>
      </w:pPr>
      <w:r>
        <w:rPr>
          <w:rFonts w:hint="eastAsia"/>
          <w:b/>
          <w:kern w:val="2"/>
          <w:szCs w:val="24"/>
        </w:rPr>
        <w:t>附件3</w:t>
      </w:r>
    </w:p>
    <w:p w14:paraId="3F41341F">
      <w:pPr>
        <w:spacing w:after="100" w:afterAutospacing="1"/>
        <w:jc w:val="center"/>
        <w:rPr>
          <w:rFonts w:ascii="宋体" w:hAnsi="宋体"/>
          <w:b/>
          <w:sz w:val="32"/>
          <w:szCs w:val="32"/>
        </w:rPr>
      </w:pPr>
      <w:r>
        <w:rPr>
          <w:rFonts w:ascii="宋体" w:hAnsi="宋体"/>
          <w:b/>
          <w:sz w:val="32"/>
          <w:szCs w:val="32"/>
        </w:rPr>
        <w:t>需求响应表</w:t>
      </w:r>
    </w:p>
    <w:p w14:paraId="1E866D7D">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160C3B87">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58DEB13F">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0152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4FF09F4">
            <w:pPr>
              <w:pStyle w:val="21"/>
              <w:wordWrap w:val="0"/>
              <w:snapToGrid w:val="0"/>
              <w:spacing w:line="320" w:lineRule="exact"/>
              <w:jc w:val="center"/>
              <w:rPr>
                <w:rFonts w:ascii="Times New Roman" w:hAnsi="Times New Roman"/>
                <w:b/>
                <w:szCs w:val="24"/>
                <w:lang w:val="en-US" w:eastAsia="zh-CN"/>
              </w:rPr>
            </w:pPr>
            <w:bookmarkStart w:id="74" w:name="_Toc2018"/>
            <w:bookmarkStart w:id="75" w:name="_Toc254970699"/>
            <w:bookmarkStart w:id="76" w:name="_Toc254970558"/>
            <w:r>
              <w:rPr>
                <w:rFonts w:ascii="Times New Roman" w:hAnsi="宋体"/>
                <w:b/>
                <w:szCs w:val="24"/>
                <w:lang w:val="en-US" w:eastAsia="zh-CN"/>
              </w:rPr>
              <w:t>采购文件要求</w:t>
            </w:r>
            <w:bookmarkEnd w:id="74"/>
            <w:bookmarkEnd w:id="75"/>
            <w:bookmarkEnd w:id="76"/>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3648FD2F">
            <w:pPr>
              <w:pStyle w:val="21"/>
              <w:wordWrap w:val="0"/>
              <w:snapToGrid w:val="0"/>
              <w:spacing w:line="320" w:lineRule="exact"/>
              <w:jc w:val="center"/>
              <w:rPr>
                <w:rFonts w:ascii="Times New Roman" w:hAnsi="Times New Roman"/>
                <w:b/>
                <w:szCs w:val="24"/>
                <w:lang w:val="en-US" w:eastAsia="zh-CN"/>
              </w:rPr>
            </w:pPr>
            <w:bookmarkStart w:id="77" w:name="_Toc25093"/>
            <w:bookmarkStart w:id="78" w:name="_Toc254970559"/>
            <w:bookmarkStart w:id="79" w:name="_Toc254970700"/>
            <w:r>
              <w:rPr>
                <w:rFonts w:hint="eastAsia" w:ascii="Times New Roman" w:hAnsi="宋体"/>
                <w:b/>
                <w:szCs w:val="24"/>
                <w:lang w:val="en-US" w:eastAsia="zh-CN"/>
              </w:rPr>
              <w:t>响应</w:t>
            </w:r>
            <w:r>
              <w:rPr>
                <w:rFonts w:ascii="Times New Roman" w:hAnsi="宋体"/>
                <w:b/>
                <w:szCs w:val="24"/>
                <w:lang w:val="en-US" w:eastAsia="zh-CN"/>
              </w:rPr>
              <w:t>文件响应</w:t>
            </w:r>
            <w:bookmarkEnd w:id="77"/>
            <w:bookmarkEnd w:id="78"/>
            <w:bookmarkEnd w:id="79"/>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1D302A4C">
            <w:pPr>
              <w:pStyle w:val="21"/>
              <w:wordWrap w:val="0"/>
              <w:snapToGrid w:val="0"/>
              <w:spacing w:line="320" w:lineRule="exact"/>
              <w:jc w:val="center"/>
              <w:rPr>
                <w:rFonts w:ascii="Times New Roman" w:hAnsi="Times New Roman"/>
                <w:szCs w:val="24"/>
                <w:lang w:val="en-US" w:eastAsia="zh-CN"/>
              </w:rPr>
            </w:pPr>
            <w:bookmarkStart w:id="80" w:name="_Toc11893"/>
            <w:bookmarkStart w:id="81" w:name="_Toc254970560"/>
            <w:bookmarkStart w:id="82" w:name="_Toc254970701"/>
            <w:bookmarkStart w:id="83" w:name="_Toc68178630"/>
            <w:r>
              <w:rPr>
                <w:rFonts w:ascii="Times New Roman" w:hAnsi="宋体"/>
                <w:szCs w:val="24"/>
                <w:lang w:val="en-US" w:eastAsia="zh-CN"/>
              </w:rPr>
              <w:t>偏离情况</w:t>
            </w:r>
            <w:bookmarkEnd w:id="80"/>
            <w:bookmarkEnd w:id="81"/>
            <w:bookmarkEnd w:id="82"/>
            <w:bookmarkEnd w:id="83"/>
          </w:p>
        </w:tc>
      </w:tr>
      <w:tr w14:paraId="1EA1E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5465FAF">
            <w:pPr>
              <w:pStyle w:val="21"/>
              <w:wordWrap w:val="0"/>
              <w:snapToGrid w:val="0"/>
              <w:spacing w:line="320" w:lineRule="exact"/>
              <w:jc w:val="center"/>
              <w:rPr>
                <w:rFonts w:ascii="Times New Roman" w:hAnsi="Times New Roman"/>
                <w:szCs w:val="24"/>
                <w:lang w:val="en-US" w:eastAsia="zh-CN"/>
              </w:rPr>
            </w:pPr>
            <w:bookmarkStart w:id="84" w:name="_Toc6343"/>
            <w:bookmarkStart w:id="85" w:name="_Toc68178631"/>
            <w:r>
              <w:rPr>
                <w:rFonts w:ascii="Times New Roman" w:hAnsi="宋体"/>
                <w:szCs w:val="24"/>
                <w:lang w:val="en-US" w:eastAsia="zh-CN"/>
              </w:rPr>
              <w:t>项号</w:t>
            </w:r>
            <w:bookmarkEnd w:id="84"/>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19FF2384">
            <w:pPr>
              <w:pStyle w:val="21"/>
              <w:wordWrap w:val="0"/>
              <w:snapToGrid w:val="0"/>
              <w:spacing w:line="320" w:lineRule="exact"/>
              <w:jc w:val="center"/>
              <w:rPr>
                <w:rFonts w:ascii="Times New Roman" w:hAnsi="Times New Roman"/>
                <w:szCs w:val="24"/>
                <w:lang w:val="en-US" w:eastAsia="zh-CN"/>
              </w:rPr>
            </w:pPr>
            <w:bookmarkStart w:id="86" w:name="_Toc2655"/>
            <w:bookmarkStart w:id="87" w:name="_Toc68178632"/>
            <w:r>
              <w:rPr>
                <w:rFonts w:hint="eastAsia" w:ascii="Times New Roman" w:hAnsi="宋体"/>
                <w:szCs w:val="24"/>
                <w:lang w:val="en-US" w:eastAsia="zh-CN"/>
              </w:rPr>
              <w:t>服务</w:t>
            </w:r>
            <w:r>
              <w:rPr>
                <w:rFonts w:ascii="Times New Roman" w:hAnsi="宋体"/>
                <w:szCs w:val="24"/>
                <w:lang w:val="en-US" w:eastAsia="zh-CN"/>
              </w:rPr>
              <w:t>名称</w:t>
            </w:r>
            <w:bookmarkEnd w:id="86"/>
            <w:bookmarkEnd w:id="87"/>
          </w:p>
        </w:tc>
        <w:tc>
          <w:tcPr>
            <w:tcW w:w="1911" w:type="dxa"/>
            <w:tcBorders>
              <w:top w:val="single" w:color="auto" w:sz="4" w:space="0"/>
              <w:left w:val="single" w:color="auto" w:sz="4" w:space="0"/>
              <w:bottom w:val="single" w:color="auto" w:sz="4" w:space="0"/>
              <w:right w:val="single" w:color="auto" w:sz="4" w:space="0"/>
            </w:tcBorders>
            <w:noWrap/>
            <w:vAlign w:val="center"/>
          </w:tcPr>
          <w:p w14:paraId="61936112">
            <w:pPr>
              <w:pStyle w:val="21"/>
              <w:wordWrap w:val="0"/>
              <w:snapToGrid w:val="0"/>
              <w:spacing w:line="320" w:lineRule="exact"/>
              <w:jc w:val="center"/>
              <w:rPr>
                <w:rFonts w:ascii="Times New Roman" w:hAnsi="Times New Roman"/>
                <w:szCs w:val="24"/>
                <w:lang w:val="en-US" w:eastAsia="zh-CN"/>
              </w:rPr>
            </w:pPr>
            <w:bookmarkStart w:id="88" w:name="_Toc68178633"/>
            <w:bookmarkStart w:id="89" w:name="_Toc1441"/>
            <w:r>
              <w:rPr>
                <w:rFonts w:hint="eastAsia" w:ascii="Times New Roman" w:hAnsi="宋体"/>
                <w:szCs w:val="24"/>
                <w:lang w:val="en-US" w:eastAsia="zh-CN"/>
              </w:rPr>
              <w:t>服务</w:t>
            </w:r>
            <w:r>
              <w:rPr>
                <w:rFonts w:ascii="Times New Roman" w:hAnsi="宋体"/>
                <w:szCs w:val="24"/>
                <w:lang w:val="en-US" w:eastAsia="zh-CN"/>
              </w:rPr>
              <w:t>需求及要求</w:t>
            </w:r>
            <w:bookmarkEnd w:id="88"/>
            <w:bookmarkEnd w:id="89"/>
          </w:p>
        </w:tc>
        <w:tc>
          <w:tcPr>
            <w:tcW w:w="1491" w:type="dxa"/>
            <w:tcBorders>
              <w:top w:val="single" w:color="auto" w:sz="4" w:space="0"/>
              <w:left w:val="single" w:color="auto" w:sz="4" w:space="0"/>
              <w:bottom w:val="single" w:color="auto" w:sz="4" w:space="0"/>
              <w:right w:val="single" w:color="auto" w:sz="4" w:space="0"/>
            </w:tcBorders>
            <w:noWrap/>
            <w:vAlign w:val="center"/>
          </w:tcPr>
          <w:p w14:paraId="7D698AF0">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DF0FDF5">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71D86F3">
            <w:pPr>
              <w:widowControl/>
              <w:wordWrap w:val="0"/>
              <w:spacing w:line="320" w:lineRule="exact"/>
              <w:jc w:val="center"/>
              <w:rPr>
                <w:sz w:val="24"/>
              </w:rPr>
            </w:pPr>
          </w:p>
        </w:tc>
      </w:tr>
      <w:tr w14:paraId="5675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998613E">
            <w:pPr>
              <w:pStyle w:val="21"/>
              <w:wordWrap w:val="0"/>
              <w:snapToGrid w:val="0"/>
              <w:spacing w:before="295" w:after="295" w:line="200" w:lineRule="exact"/>
              <w:jc w:val="center"/>
              <w:rPr>
                <w:rFonts w:ascii="Times New Roman" w:hAnsi="Times New Roman"/>
                <w:szCs w:val="24"/>
                <w:lang w:val="en-US" w:eastAsia="zh-CN"/>
              </w:rPr>
            </w:pPr>
            <w:bookmarkStart w:id="90" w:name="_Toc24012"/>
            <w:r>
              <w:rPr>
                <w:rFonts w:ascii="Times New Roman" w:hAnsi="Times New Roman"/>
                <w:szCs w:val="24"/>
                <w:lang w:val="en-US" w:eastAsia="zh-CN"/>
              </w:rPr>
              <w:t>1</w:t>
            </w:r>
            <w:bookmarkEnd w:id="90"/>
          </w:p>
        </w:tc>
        <w:tc>
          <w:tcPr>
            <w:tcW w:w="1701" w:type="dxa"/>
            <w:tcBorders>
              <w:top w:val="single" w:color="auto" w:sz="4" w:space="0"/>
              <w:left w:val="single" w:color="auto" w:sz="4" w:space="0"/>
              <w:bottom w:val="single" w:color="auto" w:sz="4" w:space="0"/>
              <w:right w:val="single" w:color="auto" w:sz="4" w:space="0"/>
            </w:tcBorders>
            <w:noWrap/>
            <w:vAlign w:val="center"/>
          </w:tcPr>
          <w:p w14:paraId="05D9F28D">
            <w:pPr>
              <w:pStyle w:val="21"/>
              <w:wordWrap w:val="0"/>
              <w:snapToGrid w:val="0"/>
              <w:spacing w:line="200" w:lineRule="exact"/>
              <w:jc w:val="center"/>
              <w:rPr>
                <w:rFonts w:ascii="Times New Roman" w:hAnsi="Times New Roman"/>
                <w:szCs w:val="24"/>
                <w:lang w:val="en-US" w:eastAsia="zh-CN"/>
              </w:rPr>
            </w:pPr>
            <w:bookmarkStart w:id="91" w:name="_Toc16655"/>
            <w:r>
              <w:rPr>
                <w:rFonts w:ascii="Times New Roman" w:hAnsi="Times New Roman"/>
                <w:szCs w:val="24"/>
                <w:lang w:val="en-US" w:eastAsia="zh-CN"/>
              </w:rPr>
              <w:t>……</w:t>
            </w:r>
            <w:bookmarkEnd w:id="91"/>
          </w:p>
        </w:tc>
        <w:tc>
          <w:tcPr>
            <w:tcW w:w="1911" w:type="dxa"/>
            <w:tcBorders>
              <w:top w:val="single" w:color="auto" w:sz="4" w:space="0"/>
              <w:left w:val="single" w:color="auto" w:sz="4" w:space="0"/>
              <w:bottom w:val="single" w:color="auto" w:sz="4" w:space="0"/>
              <w:right w:val="single" w:color="auto" w:sz="4" w:space="0"/>
            </w:tcBorders>
            <w:noWrap/>
            <w:vAlign w:val="center"/>
          </w:tcPr>
          <w:p w14:paraId="3A96740E">
            <w:pPr>
              <w:pStyle w:val="21"/>
              <w:wordWrap w:val="0"/>
              <w:snapToGrid w:val="0"/>
              <w:spacing w:line="200" w:lineRule="exact"/>
              <w:jc w:val="center"/>
              <w:rPr>
                <w:rFonts w:ascii="Times New Roman" w:hAnsi="Times New Roman"/>
                <w:szCs w:val="24"/>
                <w:lang w:val="en-US" w:eastAsia="zh-CN"/>
              </w:rPr>
            </w:pPr>
            <w:bookmarkStart w:id="92" w:name="_Toc15228"/>
            <w:r>
              <w:rPr>
                <w:rFonts w:ascii="Times New Roman" w:hAnsi="Times New Roman"/>
                <w:szCs w:val="24"/>
                <w:lang w:val="en-US" w:eastAsia="zh-CN"/>
              </w:rPr>
              <w:t>1  ……</w:t>
            </w:r>
            <w:bookmarkEnd w:id="92"/>
          </w:p>
          <w:p w14:paraId="6F66AEDF">
            <w:pPr>
              <w:pStyle w:val="21"/>
              <w:wordWrap w:val="0"/>
              <w:snapToGrid w:val="0"/>
              <w:spacing w:line="200" w:lineRule="exact"/>
              <w:jc w:val="center"/>
              <w:rPr>
                <w:rFonts w:ascii="Times New Roman" w:hAnsi="Times New Roman"/>
                <w:szCs w:val="24"/>
                <w:lang w:val="en-US" w:eastAsia="zh-CN"/>
              </w:rPr>
            </w:pPr>
            <w:bookmarkStart w:id="93" w:name="_Toc3525"/>
            <w:r>
              <w:rPr>
                <w:rFonts w:ascii="Times New Roman" w:hAnsi="Times New Roman"/>
                <w:szCs w:val="24"/>
                <w:lang w:val="en-US" w:eastAsia="zh-CN"/>
              </w:rPr>
              <w:t>2  ……</w:t>
            </w:r>
            <w:bookmarkEnd w:id="93"/>
          </w:p>
          <w:p w14:paraId="3EAE82AE">
            <w:pPr>
              <w:pStyle w:val="21"/>
              <w:wordWrap w:val="0"/>
              <w:snapToGrid w:val="0"/>
              <w:spacing w:line="200" w:lineRule="exact"/>
              <w:jc w:val="center"/>
              <w:rPr>
                <w:rFonts w:ascii="Times New Roman" w:hAnsi="Times New Roman"/>
                <w:szCs w:val="24"/>
                <w:lang w:val="en-US" w:eastAsia="zh-CN"/>
              </w:rPr>
            </w:pPr>
            <w:bookmarkStart w:id="94" w:name="_Toc1966"/>
            <w:r>
              <w:rPr>
                <w:rFonts w:ascii="Times New Roman" w:hAnsi="Times New Roman"/>
                <w:szCs w:val="24"/>
                <w:lang w:val="en-US" w:eastAsia="zh-CN"/>
              </w:rPr>
              <w:t>3  ……</w:t>
            </w:r>
            <w:bookmarkEnd w:id="94"/>
          </w:p>
          <w:p w14:paraId="2F583D96">
            <w:pPr>
              <w:pStyle w:val="21"/>
              <w:wordWrap w:val="0"/>
              <w:snapToGrid w:val="0"/>
              <w:spacing w:line="200" w:lineRule="exact"/>
              <w:jc w:val="center"/>
              <w:rPr>
                <w:rFonts w:ascii="Times New Roman" w:hAnsi="Times New Roman"/>
                <w:szCs w:val="24"/>
                <w:lang w:val="en-US" w:eastAsia="zh-CN"/>
              </w:rPr>
            </w:pPr>
            <w:bookmarkStart w:id="95" w:name="_Toc26455"/>
            <w:r>
              <w:rPr>
                <w:rFonts w:ascii="Times New Roman" w:hAnsi="Times New Roman"/>
                <w:szCs w:val="24"/>
                <w:lang w:val="en-US" w:eastAsia="zh-CN"/>
              </w:rPr>
              <w:t>……</w:t>
            </w:r>
            <w:bookmarkEnd w:id="95"/>
          </w:p>
        </w:tc>
        <w:tc>
          <w:tcPr>
            <w:tcW w:w="1491" w:type="dxa"/>
            <w:tcBorders>
              <w:top w:val="single" w:color="auto" w:sz="4" w:space="0"/>
              <w:left w:val="single" w:color="auto" w:sz="4" w:space="0"/>
              <w:bottom w:val="single" w:color="auto" w:sz="4" w:space="0"/>
              <w:right w:val="single" w:color="auto" w:sz="4" w:space="0"/>
            </w:tcBorders>
            <w:noWrap/>
            <w:vAlign w:val="center"/>
          </w:tcPr>
          <w:p w14:paraId="7289134B">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2BAC3629">
            <w:pPr>
              <w:pStyle w:val="21"/>
              <w:wordWrap w:val="0"/>
              <w:snapToGrid w:val="0"/>
              <w:spacing w:line="200" w:lineRule="exact"/>
              <w:jc w:val="center"/>
              <w:rPr>
                <w:rFonts w:ascii="Times New Roman" w:hAnsi="Times New Roman"/>
                <w:szCs w:val="24"/>
                <w:lang w:val="en-US" w:eastAsia="zh-CN"/>
              </w:rPr>
            </w:pPr>
            <w:bookmarkStart w:id="96" w:name="_Toc16672"/>
            <w:r>
              <w:rPr>
                <w:rFonts w:ascii="Times New Roman" w:hAnsi="Times New Roman"/>
                <w:szCs w:val="24"/>
                <w:lang w:val="en-US" w:eastAsia="zh-CN"/>
              </w:rPr>
              <w:t>1  ……</w:t>
            </w:r>
            <w:bookmarkEnd w:id="96"/>
          </w:p>
          <w:p w14:paraId="26ACD92F">
            <w:pPr>
              <w:pStyle w:val="21"/>
              <w:wordWrap w:val="0"/>
              <w:snapToGrid w:val="0"/>
              <w:spacing w:line="200" w:lineRule="exact"/>
              <w:jc w:val="center"/>
              <w:rPr>
                <w:rFonts w:ascii="Times New Roman" w:hAnsi="Times New Roman"/>
                <w:szCs w:val="24"/>
                <w:lang w:val="en-US" w:eastAsia="zh-CN"/>
              </w:rPr>
            </w:pPr>
            <w:bookmarkStart w:id="97" w:name="_Toc26276"/>
            <w:r>
              <w:rPr>
                <w:rFonts w:ascii="Times New Roman" w:hAnsi="Times New Roman"/>
                <w:szCs w:val="24"/>
                <w:lang w:val="en-US" w:eastAsia="zh-CN"/>
              </w:rPr>
              <w:t>2  ……</w:t>
            </w:r>
            <w:bookmarkEnd w:id="97"/>
          </w:p>
          <w:p w14:paraId="0D8FB652">
            <w:pPr>
              <w:pStyle w:val="21"/>
              <w:wordWrap w:val="0"/>
              <w:snapToGrid w:val="0"/>
              <w:spacing w:line="200" w:lineRule="exact"/>
              <w:jc w:val="center"/>
              <w:rPr>
                <w:rFonts w:ascii="Times New Roman" w:hAnsi="Times New Roman"/>
                <w:szCs w:val="24"/>
                <w:lang w:val="en-US" w:eastAsia="zh-CN"/>
              </w:rPr>
            </w:pPr>
            <w:bookmarkStart w:id="98" w:name="_Toc17898"/>
            <w:r>
              <w:rPr>
                <w:rFonts w:ascii="Times New Roman" w:hAnsi="Times New Roman"/>
                <w:szCs w:val="24"/>
                <w:lang w:val="en-US" w:eastAsia="zh-CN"/>
              </w:rPr>
              <w:t>3  ……</w:t>
            </w:r>
            <w:bookmarkEnd w:id="98"/>
          </w:p>
          <w:p w14:paraId="5E7B07C6">
            <w:pPr>
              <w:pStyle w:val="21"/>
              <w:wordWrap w:val="0"/>
              <w:snapToGrid w:val="0"/>
              <w:spacing w:line="200" w:lineRule="exact"/>
              <w:jc w:val="center"/>
              <w:rPr>
                <w:rFonts w:ascii="Times New Roman" w:hAnsi="Times New Roman"/>
                <w:szCs w:val="24"/>
                <w:lang w:val="en-US" w:eastAsia="zh-CN"/>
              </w:rPr>
            </w:pPr>
            <w:bookmarkStart w:id="99" w:name="_Toc16211"/>
            <w:r>
              <w:rPr>
                <w:rFonts w:ascii="Times New Roman" w:hAnsi="Times New Roman"/>
                <w:szCs w:val="24"/>
                <w:lang w:val="en-US" w:eastAsia="zh-CN"/>
              </w:rPr>
              <w:t>……</w:t>
            </w:r>
            <w:bookmarkEnd w:id="99"/>
          </w:p>
        </w:tc>
        <w:tc>
          <w:tcPr>
            <w:tcW w:w="1276" w:type="dxa"/>
            <w:tcBorders>
              <w:top w:val="single" w:color="auto" w:sz="4" w:space="0"/>
              <w:left w:val="single" w:color="auto" w:sz="4" w:space="0"/>
              <w:bottom w:val="single" w:color="auto" w:sz="4" w:space="0"/>
              <w:right w:val="single" w:color="auto" w:sz="4" w:space="0"/>
            </w:tcBorders>
            <w:noWrap/>
            <w:vAlign w:val="center"/>
          </w:tcPr>
          <w:p w14:paraId="69607DC3">
            <w:pPr>
              <w:pStyle w:val="21"/>
              <w:wordWrap w:val="0"/>
              <w:snapToGrid w:val="0"/>
              <w:spacing w:line="200" w:lineRule="exact"/>
              <w:rPr>
                <w:rFonts w:ascii="Times New Roman" w:hAnsi="Times New Roman"/>
                <w:szCs w:val="24"/>
                <w:lang w:val="en-US" w:eastAsia="zh-CN"/>
              </w:rPr>
            </w:pPr>
          </w:p>
        </w:tc>
      </w:tr>
      <w:tr w14:paraId="657B8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128164BD">
            <w:pPr>
              <w:pStyle w:val="21"/>
              <w:wordWrap w:val="0"/>
              <w:snapToGrid w:val="0"/>
              <w:spacing w:line="200" w:lineRule="exact"/>
              <w:jc w:val="center"/>
              <w:rPr>
                <w:rFonts w:ascii="Times New Roman" w:hAnsi="Times New Roman"/>
                <w:szCs w:val="24"/>
                <w:lang w:val="en-US" w:eastAsia="zh-CN"/>
              </w:rPr>
            </w:pPr>
            <w:bookmarkStart w:id="100" w:name="_Toc14681"/>
            <w:r>
              <w:rPr>
                <w:rFonts w:ascii="Times New Roman" w:hAnsi="Times New Roman"/>
                <w:szCs w:val="24"/>
                <w:lang w:val="en-US" w:eastAsia="zh-CN"/>
              </w:rPr>
              <w:t>2</w:t>
            </w:r>
            <w:bookmarkEnd w:id="100"/>
          </w:p>
        </w:tc>
        <w:tc>
          <w:tcPr>
            <w:tcW w:w="1701" w:type="dxa"/>
            <w:tcBorders>
              <w:top w:val="single" w:color="auto" w:sz="4" w:space="0"/>
              <w:left w:val="single" w:color="auto" w:sz="4" w:space="0"/>
              <w:bottom w:val="single" w:color="auto" w:sz="4" w:space="0"/>
              <w:right w:val="single" w:color="auto" w:sz="4" w:space="0"/>
            </w:tcBorders>
            <w:noWrap/>
            <w:vAlign w:val="center"/>
          </w:tcPr>
          <w:p w14:paraId="02C3D7EF">
            <w:pPr>
              <w:pStyle w:val="21"/>
              <w:wordWrap w:val="0"/>
              <w:snapToGrid w:val="0"/>
              <w:spacing w:line="200" w:lineRule="exact"/>
              <w:jc w:val="center"/>
              <w:rPr>
                <w:rFonts w:ascii="Times New Roman" w:hAnsi="Times New Roman"/>
                <w:szCs w:val="24"/>
                <w:lang w:val="en-US" w:eastAsia="zh-CN"/>
              </w:rPr>
            </w:pPr>
            <w:bookmarkStart w:id="101" w:name="_Toc21684"/>
            <w:r>
              <w:rPr>
                <w:rFonts w:ascii="Times New Roman" w:hAnsi="Times New Roman"/>
                <w:szCs w:val="24"/>
                <w:lang w:val="en-US" w:eastAsia="zh-CN"/>
              </w:rPr>
              <w:t>……</w:t>
            </w:r>
            <w:bookmarkEnd w:id="101"/>
          </w:p>
        </w:tc>
        <w:tc>
          <w:tcPr>
            <w:tcW w:w="1911" w:type="dxa"/>
            <w:tcBorders>
              <w:top w:val="single" w:color="auto" w:sz="4" w:space="0"/>
              <w:left w:val="single" w:color="auto" w:sz="4" w:space="0"/>
              <w:bottom w:val="single" w:color="auto" w:sz="4" w:space="0"/>
              <w:right w:val="single" w:color="auto" w:sz="4" w:space="0"/>
            </w:tcBorders>
            <w:noWrap/>
            <w:vAlign w:val="center"/>
          </w:tcPr>
          <w:p w14:paraId="5622CB71">
            <w:pPr>
              <w:pStyle w:val="21"/>
              <w:wordWrap w:val="0"/>
              <w:snapToGrid w:val="0"/>
              <w:spacing w:line="200" w:lineRule="exact"/>
              <w:jc w:val="center"/>
              <w:rPr>
                <w:rFonts w:ascii="Times New Roman" w:hAnsi="Times New Roman"/>
                <w:szCs w:val="24"/>
                <w:lang w:val="en-US" w:eastAsia="zh-CN"/>
              </w:rPr>
            </w:pPr>
            <w:bookmarkStart w:id="102" w:name="_Toc29135"/>
            <w:r>
              <w:rPr>
                <w:rFonts w:ascii="Times New Roman" w:hAnsi="Times New Roman"/>
                <w:szCs w:val="24"/>
                <w:lang w:val="en-US" w:eastAsia="zh-CN"/>
              </w:rPr>
              <w:t>1  ……</w:t>
            </w:r>
            <w:bookmarkEnd w:id="102"/>
          </w:p>
          <w:p w14:paraId="6104405A">
            <w:pPr>
              <w:pStyle w:val="21"/>
              <w:wordWrap w:val="0"/>
              <w:snapToGrid w:val="0"/>
              <w:spacing w:line="200" w:lineRule="exact"/>
              <w:jc w:val="center"/>
              <w:rPr>
                <w:rFonts w:ascii="Times New Roman" w:hAnsi="Times New Roman"/>
                <w:szCs w:val="24"/>
                <w:lang w:val="en-US" w:eastAsia="zh-CN"/>
              </w:rPr>
            </w:pPr>
            <w:bookmarkStart w:id="103" w:name="_Toc27305"/>
            <w:r>
              <w:rPr>
                <w:rFonts w:ascii="Times New Roman" w:hAnsi="Times New Roman"/>
                <w:szCs w:val="24"/>
                <w:lang w:val="en-US" w:eastAsia="zh-CN"/>
              </w:rPr>
              <w:t>2  ……</w:t>
            </w:r>
            <w:bookmarkEnd w:id="103"/>
          </w:p>
          <w:p w14:paraId="4473BAAC">
            <w:pPr>
              <w:pStyle w:val="21"/>
              <w:wordWrap w:val="0"/>
              <w:snapToGrid w:val="0"/>
              <w:spacing w:line="200" w:lineRule="exact"/>
              <w:jc w:val="center"/>
              <w:rPr>
                <w:rFonts w:ascii="Times New Roman" w:hAnsi="Times New Roman"/>
                <w:szCs w:val="24"/>
                <w:lang w:val="en-US" w:eastAsia="zh-CN"/>
              </w:rPr>
            </w:pPr>
            <w:bookmarkStart w:id="104" w:name="_Toc30341"/>
            <w:r>
              <w:rPr>
                <w:rFonts w:ascii="Times New Roman" w:hAnsi="Times New Roman"/>
                <w:szCs w:val="24"/>
                <w:lang w:val="en-US" w:eastAsia="zh-CN"/>
              </w:rPr>
              <w:t>3  ……</w:t>
            </w:r>
            <w:bookmarkEnd w:id="104"/>
          </w:p>
          <w:p w14:paraId="4BD73CF2">
            <w:pPr>
              <w:pStyle w:val="21"/>
              <w:wordWrap w:val="0"/>
              <w:snapToGrid w:val="0"/>
              <w:spacing w:line="200" w:lineRule="exact"/>
              <w:jc w:val="center"/>
              <w:rPr>
                <w:rFonts w:ascii="Times New Roman" w:hAnsi="Times New Roman"/>
                <w:szCs w:val="24"/>
                <w:lang w:val="en-US" w:eastAsia="zh-CN"/>
              </w:rPr>
            </w:pPr>
            <w:bookmarkStart w:id="105" w:name="_Toc31461"/>
            <w:r>
              <w:rPr>
                <w:rFonts w:ascii="Times New Roman" w:hAnsi="Times New Roman"/>
                <w:szCs w:val="24"/>
                <w:lang w:val="en-US" w:eastAsia="zh-CN"/>
              </w:rPr>
              <w:t>……</w:t>
            </w:r>
            <w:bookmarkEnd w:id="105"/>
          </w:p>
        </w:tc>
        <w:tc>
          <w:tcPr>
            <w:tcW w:w="1491" w:type="dxa"/>
            <w:tcBorders>
              <w:top w:val="single" w:color="auto" w:sz="4" w:space="0"/>
              <w:left w:val="single" w:color="auto" w:sz="4" w:space="0"/>
              <w:bottom w:val="single" w:color="auto" w:sz="4" w:space="0"/>
              <w:right w:val="single" w:color="auto" w:sz="4" w:space="0"/>
            </w:tcBorders>
            <w:noWrap/>
            <w:vAlign w:val="center"/>
          </w:tcPr>
          <w:p w14:paraId="6FED1FCD">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03DEE7D6">
            <w:pPr>
              <w:pStyle w:val="21"/>
              <w:wordWrap w:val="0"/>
              <w:snapToGrid w:val="0"/>
              <w:spacing w:line="200" w:lineRule="exact"/>
              <w:jc w:val="center"/>
              <w:rPr>
                <w:rFonts w:ascii="Times New Roman" w:hAnsi="Times New Roman"/>
                <w:szCs w:val="24"/>
                <w:lang w:val="en-US" w:eastAsia="zh-CN"/>
              </w:rPr>
            </w:pPr>
            <w:bookmarkStart w:id="106" w:name="_Toc5207"/>
            <w:r>
              <w:rPr>
                <w:rFonts w:ascii="Times New Roman" w:hAnsi="Times New Roman"/>
                <w:szCs w:val="24"/>
                <w:lang w:val="en-US" w:eastAsia="zh-CN"/>
              </w:rPr>
              <w:t>1  ……</w:t>
            </w:r>
            <w:bookmarkEnd w:id="106"/>
          </w:p>
          <w:p w14:paraId="15665F55">
            <w:pPr>
              <w:pStyle w:val="21"/>
              <w:wordWrap w:val="0"/>
              <w:snapToGrid w:val="0"/>
              <w:spacing w:line="200" w:lineRule="exact"/>
              <w:jc w:val="center"/>
              <w:rPr>
                <w:rFonts w:ascii="Times New Roman" w:hAnsi="Times New Roman"/>
                <w:szCs w:val="24"/>
                <w:lang w:val="en-US" w:eastAsia="zh-CN"/>
              </w:rPr>
            </w:pPr>
            <w:bookmarkStart w:id="107" w:name="_Toc14589"/>
            <w:r>
              <w:rPr>
                <w:rFonts w:ascii="Times New Roman" w:hAnsi="Times New Roman"/>
                <w:szCs w:val="24"/>
                <w:lang w:val="en-US" w:eastAsia="zh-CN"/>
              </w:rPr>
              <w:t>2  ……</w:t>
            </w:r>
            <w:bookmarkEnd w:id="107"/>
          </w:p>
          <w:p w14:paraId="4479E967">
            <w:pPr>
              <w:pStyle w:val="21"/>
              <w:wordWrap w:val="0"/>
              <w:snapToGrid w:val="0"/>
              <w:spacing w:line="200" w:lineRule="exact"/>
              <w:jc w:val="center"/>
              <w:rPr>
                <w:rFonts w:ascii="Times New Roman" w:hAnsi="Times New Roman"/>
                <w:szCs w:val="24"/>
                <w:lang w:val="en-US" w:eastAsia="zh-CN"/>
              </w:rPr>
            </w:pPr>
            <w:bookmarkStart w:id="108" w:name="_Toc2570"/>
            <w:r>
              <w:rPr>
                <w:rFonts w:ascii="Times New Roman" w:hAnsi="Times New Roman"/>
                <w:szCs w:val="24"/>
                <w:lang w:val="en-US" w:eastAsia="zh-CN"/>
              </w:rPr>
              <w:t>3  ……</w:t>
            </w:r>
            <w:bookmarkEnd w:id="108"/>
          </w:p>
          <w:p w14:paraId="7F493416">
            <w:pPr>
              <w:pStyle w:val="21"/>
              <w:wordWrap w:val="0"/>
              <w:snapToGrid w:val="0"/>
              <w:spacing w:line="200" w:lineRule="exact"/>
              <w:jc w:val="center"/>
              <w:rPr>
                <w:rFonts w:ascii="Times New Roman" w:hAnsi="Times New Roman"/>
                <w:szCs w:val="24"/>
                <w:lang w:val="en-US" w:eastAsia="zh-CN"/>
              </w:rPr>
            </w:pPr>
            <w:bookmarkStart w:id="109" w:name="_Toc25627"/>
            <w:r>
              <w:rPr>
                <w:rFonts w:ascii="Times New Roman" w:hAnsi="Times New Roman"/>
                <w:szCs w:val="24"/>
                <w:lang w:val="en-US" w:eastAsia="zh-CN"/>
              </w:rPr>
              <w:t>……</w:t>
            </w:r>
            <w:bookmarkEnd w:id="109"/>
          </w:p>
        </w:tc>
        <w:tc>
          <w:tcPr>
            <w:tcW w:w="1276" w:type="dxa"/>
            <w:tcBorders>
              <w:top w:val="single" w:color="auto" w:sz="4" w:space="0"/>
              <w:left w:val="single" w:color="auto" w:sz="4" w:space="0"/>
              <w:bottom w:val="single" w:color="auto" w:sz="4" w:space="0"/>
              <w:right w:val="single" w:color="auto" w:sz="4" w:space="0"/>
            </w:tcBorders>
            <w:noWrap/>
            <w:vAlign w:val="center"/>
          </w:tcPr>
          <w:p w14:paraId="176691BA">
            <w:pPr>
              <w:pStyle w:val="21"/>
              <w:wordWrap w:val="0"/>
              <w:snapToGrid w:val="0"/>
              <w:spacing w:line="200" w:lineRule="exact"/>
              <w:jc w:val="center"/>
              <w:rPr>
                <w:rFonts w:ascii="Times New Roman" w:hAnsi="Times New Roman"/>
                <w:szCs w:val="24"/>
                <w:lang w:val="en-US" w:eastAsia="zh-CN"/>
              </w:rPr>
            </w:pPr>
          </w:p>
        </w:tc>
      </w:tr>
      <w:tr w14:paraId="4C9E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0A98035">
            <w:pPr>
              <w:pStyle w:val="21"/>
              <w:wordWrap w:val="0"/>
              <w:snapToGrid w:val="0"/>
              <w:spacing w:line="200" w:lineRule="exact"/>
              <w:jc w:val="center"/>
              <w:rPr>
                <w:rFonts w:ascii="Times New Roman" w:hAnsi="Times New Roman"/>
                <w:szCs w:val="24"/>
                <w:lang w:val="en-US" w:eastAsia="zh-CN"/>
              </w:rPr>
            </w:pPr>
            <w:bookmarkStart w:id="110" w:name="_Toc4010"/>
            <w:r>
              <w:rPr>
                <w:rFonts w:ascii="Times New Roman" w:hAnsi="Times New Roman"/>
                <w:szCs w:val="24"/>
                <w:lang w:val="en-US" w:eastAsia="zh-CN"/>
              </w:rPr>
              <w:t>…</w:t>
            </w:r>
            <w:bookmarkEnd w:id="110"/>
          </w:p>
        </w:tc>
        <w:tc>
          <w:tcPr>
            <w:tcW w:w="1701" w:type="dxa"/>
            <w:tcBorders>
              <w:top w:val="single" w:color="auto" w:sz="4" w:space="0"/>
              <w:left w:val="single" w:color="auto" w:sz="4" w:space="0"/>
              <w:bottom w:val="single" w:color="auto" w:sz="4" w:space="0"/>
              <w:right w:val="single" w:color="auto" w:sz="4" w:space="0"/>
            </w:tcBorders>
            <w:noWrap/>
            <w:vAlign w:val="center"/>
          </w:tcPr>
          <w:p w14:paraId="330C0B49">
            <w:pPr>
              <w:pStyle w:val="21"/>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14286BF6">
            <w:pPr>
              <w:pStyle w:val="21"/>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971E14C">
            <w:pPr>
              <w:pStyle w:val="21"/>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01DBF2F2">
            <w:pPr>
              <w:pStyle w:val="21"/>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75A126D">
            <w:pPr>
              <w:pStyle w:val="21"/>
              <w:wordWrap w:val="0"/>
              <w:snapToGrid w:val="0"/>
              <w:spacing w:line="200" w:lineRule="exact"/>
              <w:jc w:val="center"/>
              <w:rPr>
                <w:rFonts w:ascii="Times New Roman" w:hAnsi="Times New Roman"/>
                <w:szCs w:val="24"/>
                <w:lang w:val="en-US" w:eastAsia="zh-CN"/>
              </w:rPr>
            </w:pPr>
          </w:p>
        </w:tc>
      </w:tr>
    </w:tbl>
    <w:p w14:paraId="1AB60E41">
      <w:pPr>
        <w:spacing w:line="360" w:lineRule="auto"/>
        <w:rPr>
          <w:rFonts w:ascii="宋体" w:hAnsi="宋体" w:cs="宋体"/>
          <w:kern w:val="0"/>
          <w:szCs w:val="21"/>
        </w:rPr>
      </w:pPr>
    </w:p>
    <w:p w14:paraId="5C4C599A">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EE2BA0B">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236D2C16">
      <w:pPr>
        <w:pStyle w:val="86"/>
        <w:ind w:firstLine="480"/>
        <w:rPr>
          <w:rFonts w:ascii="宋体" w:hAnsi="宋体"/>
          <w:kern w:val="2"/>
        </w:rPr>
      </w:pPr>
      <w:r>
        <w:rPr>
          <w:rFonts w:hint="eastAsia" w:ascii="宋体" w:hAnsi="宋体"/>
          <w:kern w:val="2"/>
        </w:rPr>
        <w:t>供应商名称：                   （盖章）</w:t>
      </w:r>
    </w:p>
    <w:p w14:paraId="2DFD8874">
      <w:pPr>
        <w:pStyle w:val="86"/>
        <w:ind w:firstLine="480"/>
        <w:rPr>
          <w:rFonts w:ascii="宋体" w:hAnsi="宋体"/>
          <w:kern w:val="2"/>
        </w:rPr>
      </w:pPr>
      <w:r>
        <w:rPr>
          <w:rFonts w:hint="eastAsia" w:ascii="宋体" w:hAnsi="宋体"/>
          <w:kern w:val="2"/>
        </w:rPr>
        <w:t>授权代表人：                （签字或盖章）</w:t>
      </w:r>
    </w:p>
    <w:p w14:paraId="1626AC56">
      <w:pPr>
        <w:pStyle w:val="86"/>
        <w:ind w:firstLine="480"/>
        <w:rPr>
          <w:rFonts w:ascii="宋体" w:hAnsi="宋体"/>
          <w:kern w:val="2"/>
        </w:rPr>
      </w:pPr>
      <w:r>
        <w:rPr>
          <w:rFonts w:hint="eastAsia" w:ascii="宋体" w:hAnsi="宋体"/>
          <w:kern w:val="2"/>
        </w:rPr>
        <w:t xml:space="preserve">日期：    年   月   日  </w:t>
      </w:r>
    </w:p>
    <w:p w14:paraId="6593279C">
      <w:pPr>
        <w:sectPr>
          <w:pgSz w:w="11906" w:h="16838"/>
          <w:pgMar w:top="1134" w:right="1134" w:bottom="1134" w:left="1134" w:header="851" w:footer="992" w:gutter="0"/>
          <w:cols w:space="720" w:num="1"/>
          <w:docGrid w:type="linesAndChars" w:linePitch="312" w:charSpace="0"/>
        </w:sectPr>
      </w:pPr>
    </w:p>
    <w:p w14:paraId="32488230">
      <w:pPr>
        <w:spacing w:after="100" w:afterAutospacing="1"/>
        <w:jc w:val="center"/>
        <w:rPr>
          <w:rFonts w:ascii="宋体" w:hAnsi="宋体"/>
          <w:b/>
          <w:sz w:val="32"/>
          <w:szCs w:val="32"/>
        </w:rPr>
      </w:pPr>
      <w:bookmarkStart w:id="111" w:name="_Toc183588706"/>
      <w:bookmarkStart w:id="112" w:name="_Toc520125061"/>
      <w:bookmarkStart w:id="113" w:name="_Toc520356229"/>
      <w:bookmarkStart w:id="114" w:name="_Ref467990100"/>
      <w:bookmarkStart w:id="115" w:name="_Ref467988479"/>
      <w:bookmarkStart w:id="116" w:name="_Ref467988485"/>
      <w:bookmarkStart w:id="117" w:name="_Ref467990101"/>
      <w:bookmarkStart w:id="118" w:name="_Toc520356228"/>
      <w:bookmarkStart w:id="119" w:name="_Ref467988471"/>
      <w:bookmarkStart w:id="120" w:name="_Ref467990064"/>
      <w:bookmarkStart w:id="121" w:name="_Toc520125062"/>
      <w:bookmarkStart w:id="122" w:name="_Toc480942357"/>
      <w:bookmarkStart w:id="123" w:name="_Toc480942358"/>
      <w:bookmarkStart w:id="124" w:name="_Ref467990058"/>
      <w:r>
        <w:rPr>
          <w:rFonts w:hint="eastAsia" w:ascii="宋体" w:hAnsi="宋体"/>
          <w:b/>
          <w:sz w:val="32"/>
          <w:szCs w:val="32"/>
        </w:rPr>
        <w:t>附件4   法定代表人授权书</w:t>
      </w:r>
      <w:bookmarkEnd w:id="111"/>
    </w:p>
    <w:p w14:paraId="49E804D6">
      <w:pPr>
        <w:pStyle w:val="5"/>
        <w:ind w:firstLine="480"/>
        <w:rPr>
          <w:rFonts w:hAnsi="宋体"/>
        </w:rPr>
      </w:pPr>
    </w:p>
    <w:p w14:paraId="6F990DD0">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2AC6539B">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5E3F736C">
      <w:pPr>
        <w:pStyle w:val="21"/>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491A4D1C">
      <w:pPr>
        <w:pStyle w:val="21"/>
        <w:tabs>
          <w:tab w:val="left" w:pos="5580"/>
        </w:tabs>
        <w:rPr>
          <w:rFonts w:hAnsi="宋体"/>
          <w:szCs w:val="24"/>
        </w:rPr>
      </w:pPr>
      <w:r>
        <w:rPr>
          <w:rFonts w:hint="eastAsia" w:hAnsi="宋体"/>
          <w:szCs w:val="24"/>
        </w:rPr>
        <w:t xml:space="preserve">公司盖章：                                 </w:t>
      </w:r>
    </w:p>
    <w:p w14:paraId="3278991E">
      <w:pPr>
        <w:pStyle w:val="21"/>
        <w:tabs>
          <w:tab w:val="left" w:pos="5580"/>
        </w:tabs>
        <w:rPr>
          <w:rFonts w:hAnsi="宋体"/>
          <w:szCs w:val="24"/>
        </w:rPr>
      </w:pPr>
      <w:r>
        <w:rPr>
          <w:rFonts w:hint="eastAsia" w:hAnsi="宋体"/>
          <w:szCs w:val="24"/>
        </w:rPr>
        <w:t>附：</w:t>
      </w:r>
    </w:p>
    <w:p w14:paraId="7B5BA0B5">
      <w:pPr>
        <w:pStyle w:val="21"/>
        <w:tabs>
          <w:tab w:val="left" w:pos="5580"/>
        </w:tabs>
        <w:rPr>
          <w:rFonts w:hAnsi="宋体"/>
          <w:szCs w:val="24"/>
        </w:rPr>
      </w:pPr>
      <w:r>
        <w:rPr>
          <w:rFonts w:hint="eastAsia" w:hAnsi="宋体"/>
          <w:szCs w:val="24"/>
        </w:rPr>
        <w:t>被授权人姓名：</w:t>
      </w:r>
    </w:p>
    <w:p w14:paraId="7888CF3C">
      <w:pPr>
        <w:pStyle w:val="21"/>
        <w:tabs>
          <w:tab w:val="left" w:pos="5580"/>
        </w:tabs>
        <w:rPr>
          <w:rFonts w:hAnsi="宋体"/>
          <w:szCs w:val="24"/>
        </w:rPr>
      </w:pPr>
      <w:r>
        <w:rPr>
          <w:rFonts w:hint="eastAsia" w:hAnsi="宋体"/>
          <w:szCs w:val="24"/>
        </w:rPr>
        <w:t>职　　　　务：</w:t>
      </w:r>
    </w:p>
    <w:p w14:paraId="36474B10">
      <w:pPr>
        <w:pStyle w:val="21"/>
        <w:tabs>
          <w:tab w:val="left" w:pos="5580"/>
        </w:tabs>
        <w:rPr>
          <w:rFonts w:hAnsi="宋体"/>
          <w:szCs w:val="24"/>
        </w:rPr>
      </w:pPr>
      <w:r>
        <w:rPr>
          <w:rFonts w:hint="eastAsia" w:hAnsi="宋体"/>
          <w:szCs w:val="24"/>
        </w:rPr>
        <w:t>详细通信地址：</w:t>
      </w:r>
    </w:p>
    <w:p w14:paraId="77C9385C">
      <w:pPr>
        <w:pStyle w:val="21"/>
        <w:tabs>
          <w:tab w:val="left" w:pos="5580"/>
        </w:tabs>
        <w:rPr>
          <w:rFonts w:hAnsi="宋体"/>
          <w:szCs w:val="24"/>
        </w:rPr>
      </w:pPr>
      <w:r>
        <w:rPr>
          <w:rFonts w:hint="eastAsia" w:hAnsi="宋体"/>
          <w:szCs w:val="24"/>
        </w:rPr>
        <w:t>邮政编码　　：</w:t>
      </w:r>
    </w:p>
    <w:p w14:paraId="59DD3A8B">
      <w:pPr>
        <w:pStyle w:val="21"/>
        <w:tabs>
          <w:tab w:val="left" w:pos="5580"/>
        </w:tabs>
        <w:rPr>
          <w:rFonts w:hAnsi="宋体"/>
          <w:szCs w:val="24"/>
        </w:rPr>
      </w:pPr>
      <w:r>
        <w:rPr>
          <w:rFonts w:hint="eastAsia" w:hAnsi="宋体"/>
          <w:szCs w:val="24"/>
        </w:rPr>
        <w:t>传　　　　真：</w:t>
      </w:r>
    </w:p>
    <w:p w14:paraId="0D6625BF">
      <w:pPr>
        <w:pStyle w:val="21"/>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3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33592B3B">
            <w:pPr>
              <w:spacing w:line="360" w:lineRule="exact"/>
              <w:jc w:val="center"/>
              <w:rPr>
                <w:rFonts w:ascii="宋体" w:hAnsi="宋体"/>
                <w:sz w:val="24"/>
              </w:rPr>
            </w:pPr>
            <w:r>
              <w:rPr>
                <w:rFonts w:hint="eastAsia" w:ascii="宋体" w:hAnsi="宋体"/>
                <w:sz w:val="24"/>
              </w:rPr>
              <w:t>粘贴</w:t>
            </w:r>
          </w:p>
          <w:p w14:paraId="2460284C">
            <w:pPr>
              <w:spacing w:line="360" w:lineRule="exact"/>
              <w:jc w:val="center"/>
              <w:rPr>
                <w:rFonts w:ascii="宋体" w:hAnsi="宋体"/>
                <w:sz w:val="24"/>
              </w:rPr>
            </w:pPr>
            <w:r>
              <w:rPr>
                <w:rFonts w:hint="eastAsia" w:ascii="宋体" w:hAnsi="宋体"/>
                <w:sz w:val="24"/>
              </w:rPr>
              <w:t>法定代表人及被授权人身份证复印件（正反面）</w:t>
            </w:r>
          </w:p>
        </w:tc>
      </w:tr>
    </w:tbl>
    <w:p w14:paraId="700A11F6">
      <w:pPr>
        <w:pStyle w:val="21"/>
        <w:tabs>
          <w:tab w:val="left" w:pos="5580"/>
        </w:tabs>
        <w:rPr>
          <w:rFonts w:hAnsi="宋体"/>
          <w:szCs w:val="24"/>
        </w:rPr>
      </w:pPr>
    </w:p>
    <w:p w14:paraId="24F9FAEF">
      <w:pPr>
        <w:pStyle w:val="21"/>
        <w:tabs>
          <w:tab w:val="left" w:pos="5580"/>
        </w:tabs>
        <w:rPr>
          <w:rFonts w:hAnsi="宋体"/>
          <w:szCs w:val="24"/>
        </w:rPr>
      </w:pPr>
    </w:p>
    <w:p w14:paraId="6DDED735">
      <w:pPr>
        <w:pStyle w:val="21"/>
        <w:tabs>
          <w:tab w:val="left" w:pos="5580"/>
        </w:tabs>
        <w:rPr>
          <w:rFonts w:hAnsi="宋体"/>
          <w:szCs w:val="24"/>
        </w:rPr>
      </w:pPr>
    </w:p>
    <w:bookmarkEnd w:id="112"/>
    <w:bookmarkEnd w:id="113"/>
    <w:bookmarkEnd w:id="114"/>
    <w:bookmarkEnd w:id="115"/>
    <w:bookmarkEnd w:id="116"/>
    <w:bookmarkEnd w:id="117"/>
    <w:bookmarkEnd w:id="118"/>
    <w:bookmarkEnd w:id="119"/>
    <w:bookmarkEnd w:id="120"/>
    <w:bookmarkEnd w:id="121"/>
    <w:bookmarkEnd w:id="122"/>
    <w:bookmarkEnd w:id="123"/>
    <w:bookmarkEnd w:id="124"/>
    <w:p w14:paraId="2EEFE134">
      <w:pPr>
        <w:spacing w:line="360" w:lineRule="auto"/>
        <w:ind w:left="875" w:leftChars="417" w:firstLine="360" w:firstLineChars="150"/>
        <w:rPr>
          <w:rFonts w:ascii="宋体" w:hAnsi="宋体"/>
          <w:sz w:val="24"/>
        </w:rPr>
      </w:pPr>
    </w:p>
    <w:p w14:paraId="35BFB582">
      <w:bookmarkStart w:id="125" w:name="_Toc183588711"/>
    </w:p>
    <w:p w14:paraId="4E4BAC6C"/>
    <w:p w14:paraId="2CA00CD3"/>
    <w:p w14:paraId="191670BE">
      <w:pPr>
        <w:rPr>
          <w:rFonts w:ascii="宋体" w:hAnsi="宋体"/>
        </w:rPr>
      </w:pPr>
    </w:p>
    <w:p w14:paraId="5796D626">
      <w:pPr>
        <w:adjustRightInd w:val="0"/>
        <w:snapToGrid w:val="0"/>
        <w:spacing w:line="360" w:lineRule="auto"/>
        <w:ind w:firstLine="480" w:firstLineChars="200"/>
        <w:rPr>
          <w:rFonts w:ascii="宋体" w:hAnsi="宋体" w:cs="宋体"/>
          <w:kern w:val="0"/>
          <w:sz w:val="24"/>
        </w:rPr>
      </w:pPr>
    </w:p>
    <w:p w14:paraId="7D487E8A">
      <w:pPr>
        <w:adjustRightInd w:val="0"/>
        <w:snapToGrid w:val="0"/>
        <w:spacing w:line="360" w:lineRule="auto"/>
        <w:ind w:firstLine="480" w:firstLineChars="200"/>
        <w:rPr>
          <w:rFonts w:ascii="宋体" w:hAnsi="宋体" w:cs="宋体"/>
          <w:kern w:val="0"/>
          <w:sz w:val="24"/>
        </w:rPr>
      </w:pPr>
    </w:p>
    <w:p w14:paraId="7E31949F">
      <w:pPr>
        <w:adjustRightInd w:val="0"/>
        <w:snapToGrid w:val="0"/>
        <w:spacing w:line="360" w:lineRule="auto"/>
        <w:ind w:firstLine="480" w:firstLineChars="200"/>
        <w:rPr>
          <w:rFonts w:ascii="宋体" w:hAnsi="宋体" w:cs="宋体"/>
          <w:kern w:val="0"/>
          <w:sz w:val="24"/>
        </w:rPr>
      </w:pPr>
    </w:p>
    <w:p w14:paraId="68155429">
      <w:pPr>
        <w:adjustRightInd w:val="0"/>
        <w:snapToGrid w:val="0"/>
        <w:spacing w:line="360" w:lineRule="auto"/>
        <w:ind w:firstLine="480" w:firstLineChars="200"/>
        <w:rPr>
          <w:rFonts w:ascii="宋体" w:hAnsi="宋体" w:cs="宋体"/>
          <w:kern w:val="0"/>
          <w:sz w:val="24"/>
        </w:rPr>
      </w:pPr>
    </w:p>
    <w:p w14:paraId="3CE82ED4">
      <w:pPr>
        <w:adjustRightInd w:val="0"/>
        <w:snapToGrid w:val="0"/>
        <w:spacing w:line="360" w:lineRule="auto"/>
        <w:ind w:firstLine="480" w:firstLineChars="200"/>
        <w:rPr>
          <w:rFonts w:ascii="宋体" w:hAnsi="宋体" w:cs="宋体"/>
          <w:kern w:val="0"/>
          <w:sz w:val="24"/>
        </w:rPr>
      </w:pPr>
    </w:p>
    <w:p w14:paraId="2F1E2751">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E5971C5">
      <w:pPr>
        <w:pStyle w:val="2"/>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26A1B4C4">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7B1374AE">
      <w:pPr>
        <w:ind w:firstLine="480" w:firstLineChars="200"/>
        <w:rPr>
          <w:rFonts w:ascii="宋体" w:hAnsi="宋体"/>
          <w:sz w:val="24"/>
        </w:rPr>
      </w:pPr>
      <w:r>
        <w:rPr>
          <w:rFonts w:hint="eastAsia" w:ascii="宋体" w:hAnsi="宋体"/>
          <w:sz w:val="24"/>
        </w:rPr>
        <w:t>海南省教学仪器设备招标中心有限公司：</w:t>
      </w:r>
    </w:p>
    <w:p w14:paraId="6644B485">
      <w:pPr>
        <w:rPr>
          <w:rFonts w:ascii="宋体" w:hAnsi="宋体"/>
          <w:sz w:val="24"/>
        </w:rPr>
      </w:pPr>
    </w:p>
    <w:p w14:paraId="1F4216BE">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3E4965AA">
      <w:pPr>
        <w:ind w:firstLine="960" w:firstLineChars="400"/>
        <w:rPr>
          <w:rFonts w:ascii="宋体" w:hAnsi="宋体"/>
          <w:sz w:val="24"/>
        </w:rPr>
      </w:pPr>
      <w:r>
        <w:rPr>
          <w:rFonts w:hint="eastAsia" w:ascii="宋体" w:hAnsi="宋体"/>
          <w:sz w:val="24"/>
        </w:rPr>
        <w:t>1.具有良好的商业信誉和健全的财务会计制度。</w:t>
      </w:r>
    </w:p>
    <w:p w14:paraId="625F6D46">
      <w:pPr>
        <w:ind w:firstLine="960" w:firstLineChars="400"/>
        <w:rPr>
          <w:rFonts w:ascii="宋体" w:hAnsi="宋体"/>
          <w:sz w:val="24"/>
        </w:rPr>
      </w:pPr>
      <w:r>
        <w:rPr>
          <w:rFonts w:hint="eastAsia" w:ascii="宋体" w:hAnsi="宋体"/>
          <w:sz w:val="24"/>
        </w:rPr>
        <w:t>2.具有履行合同所必需的设备和专业技术能力。</w:t>
      </w:r>
    </w:p>
    <w:p w14:paraId="643F841F">
      <w:pPr>
        <w:ind w:firstLine="960" w:firstLineChars="400"/>
        <w:rPr>
          <w:rFonts w:ascii="宋体" w:hAnsi="宋体"/>
          <w:sz w:val="24"/>
        </w:rPr>
      </w:pPr>
      <w:r>
        <w:rPr>
          <w:rFonts w:hint="eastAsia" w:ascii="宋体" w:hAnsi="宋体"/>
          <w:sz w:val="24"/>
        </w:rPr>
        <w:t>3.具有依法缴纳税收和社会保障资金的良好记录。</w:t>
      </w:r>
    </w:p>
    <w:p w14:paraId="3966F42B">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29B0873F">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5EFBEC20"/>
    <w:p w14:paraId="4B204D8C">
      <w:pPr>
        <w:ind w:firstLine="960" w:firstLineChars="400"/>
        <w:rPr>
          <w:rFonts w:ascii="宋体" w:hAnsi="宋体"/>
          <w:sz w:val="24"/>
        </w:rPr>
      </w:pPr>
      <w:r>
        <w:rPr>
          <w:rFonts w:hint="eastAsia" w:ascii="宋体" w:hAnsi="宋体"/>
          <w:sz w:val="24"/>
        </w:rPr>
        <w:t>特此承诺。</w:t>
      </w:r>
    </w:p>
    <w:p w14:paraId="08C0C59F">
      <w:pPr>
        <w:ind w:firstLine="480" w:firstLineChars="200"/>
        <w:rPr>
          <w:rFonts w:ascii="宋体" w:hAnsi="宋体"/>
          <w:sz w:val="24"/>
        </w:rPr>
      </w:pPr>
    </w:p>
    <w:p w14:paraId="2D82AC84">
      <w:pPr>
        <w:rPr>
          <w:rFonts w:ascii="宋体" w:hAnsi="宋体"/>
          <w:sz w:val="24"/>
        </w:rPr>
      </w:pPr>
    </w:p>
    <w:p w14:paraId="703647A1">
      <w:pPr>
        <w:ind w:firstLine="3600" w:firstLineChars="1500"/>
        <w:rPr>
          <w:rFonts w:ascii="宋体" w:hAnsi="宋体"/>
          <w:sz w:val="24"/>
        </w:rPr>
      </w:pPr>
      <w:r>
        <w:rPr>
          <w:rFonts w:hint="eastAsia" w:ascii="宋体" w:hAnsi="宋体"/>
          <w:sz w:val="24"/>
        </w:rPr>
        <w:t>法定代表人或被授权人签字：</w:t>
      </w:r>
    </w:p>
    <w:p w14:paraId="59473554">
      <w:pPr>
        <w:rPr>
          <w:rFonts w:ascii="宋体" w:hAnsi="宋体"/>
          <w:sz w:val="24"/>
        </w:rPr>
      </w:pPr>
    </w:p>
    <w:p w14:paraId="7A4FA935">
      <w:pPr>
        <w:ind w:firstLine="3840" w:firstLineChars="1600"/>
        <w:rPr>
          <w:rFonts w:ascii="宋体" w:hAnsi="宋体"/>
          <w:sz w:val="24"/>
        </w:rPr>
      </w:pPr>
      <w:r>
        <w:rPr>
          <w:rFonts w:hint="eastAsia" w:ascii="宋体" w:hAnsi="宋体"/>
          <w:sz w:val="24"/>
        </w:rPr>
        <w:t>供应商名称：（盖公章）：</w:t>
      </w:r>
    </w:p>
    <w:p w14:paraId="60DDFA7A">
      <w:pPr>
        <w:rPr>
          <w:rFonts w:ascii="宋体" w:hAnsi="宋体"/>
          <w:sz w:val="24"/>
        </w:rPr>
      </w:pPr>
    </w:p>
    <w:p w14:paraId="19FBAD0D">
      <w:pPr>
        <w:ind w:firstLine="3600" w:firstLineChars="1500"/>
        <w:rPr>
          <w:rFonts w:ascii="宋体" w:hAnsi="宋体"/>
          <w:sz w:val="24"/>
        </w:rPr>
      </w:pPr>
    </w:p>
    <w:p w14:paraId="15C73652">
      <w:pPr>
        <w:ind w:firstLine="6360" w:firstLineChars="2650"/>
        <w:rPr>
          <w:rFonts w:ascii="仿宋_GB2312" w:eastAsia="仿宋_GB2312"/>
          <w:sz w:val="24"/>
        </w:rPr>
      </w:pPr>
      <w:r>
        <w:rPr>
          <w:rFonts w:hint="eastAsia" w:ascii="宋体" w:hAnsi="宋体"/>
          <w:sz w:val="24"/>
        </w:rPr>
        <w:t>年    月    日</w:t>
      </w:r>
    </w:p>
    <w:p w14:paraId="25AADD6B">
      <w:pPr>
        <w:adjustRightInd w:val="0"/>
        <w:snapToGrid w:val="0"/>
        <w:spacing w:line="360" w:lineRule="auto"/>
        <w:ind w:firstLine="480" w:firstLineChars="200"/>
        <w:rPr>
          <w:rFonts w:ascii="宋体" w:hAnsi="宋体" w:cs="宋体"/>
          <w:kern w:val="0"/>
          <w:sz w:val="24"/>
        </w:rPr>
      </w:pPr>
    </w:p>
    <w:p w14:paraId="6B30A6BD">
      <w:pPr>
        <w:adjustRightInd w:val="0"/>
        <w:snapToGrid w:val="0"/>
        <w:spacing w:line="360" w:lineRule="auto"/>
        <w:ind w:firstLine="480" w:firstLineChars="200"/>
        <w:rPr>
          <w:rFonts w:ascii="宋体" w:hAnsi="宋体" w:cs="宋体"/>
          <w:kern w:val="0"/>
          <w:sz w:val="24"/>
        </w:rPr>
      </w:pPr>
    </w:p>
    <w:p w14:paraId="798728BD">
      <w:pPr>
        <w:pStyle w:val="2"/>
        <w:autoSpaceDE w:val="0"/>
        <w:autoSpaceDN w:val="0"/>
        <w:rPr>
          <w:kern w:val="2"/>
          <w:szCs w:val="24"/>
        </w:rPr>
      </w:pPr>
      <w:r>
        <w:rPr>
          <w:rFonts w:hint="eastAsia" w:cs="宋体"/>
          <w:bCs/>
        </w:rPr>
        <w:br w:type="page"/>
      </w:r>
      <w:r>
        <w:rPr>
          <w:rStyle w:val="48"/>
          <w:b/>
        </w:rPr>
        <w:t>附件7提供</w:t>
      </w:r>
      <w:r>
        <w:rPr>
          <w:rStyle w:val="48"/>
          <w:rFonts w:hint="eastAsia"/>
          <w:b/>
          <w:lang w:val="en-US"/>
        </w:rPr>
        <w:t xml:space="preserve"> </w:t>
      </w:r>
      <w:r>
        <w:rPr>
          <w:rStyle w:val="48"/>
          <w:b/>
        </w:rPr>
        <w:t>供应商承诺书（按格式提供）</w:t>
      </w:r>
    </w:p>
    <w:p w14:paraId="5100E220">
      <w:pPr>
        <w:adjustRightInd w:val="0"/>
        <w:snapToGrid w:val="0"/>
        <w:jc w:val="center"/>
        <w:rPr>
          <w:rFonts w:ascii="宋体" w:hAnsi="宋体"/>
          <w:b/>
          <w:bCs/>
          <w:sz w:val="24"/>
          <w:szCs w:val="20"/>
        </w:rPr>
      </w:pPr>
    </w:p>
    <w:p w14:paraId="58134D1F">
      <w:pPr>
        <w:adjustRightInd w:val="0"/>
        <w:snapToGrid w:val="0"/>
        <w:jc w:val="center"/>
        <w:rPr>
          <w:rFonts w:ascii="宋体" w:hAnsi="宋体"/>
          <w:b/>
          <w:sz w:val="24"/>
        </w:rPr>
      </w:pPr>
      <w:r>
        <w:rPr>
          <w:rFonts w:hint="eastAsia" w:ascii="宋体" w:hAnsi="宋体"/>
          <w:b/>
          <w:bCs/>
          <w:sz w:val="24"/>
          <w:szCs w:val="20"/>
        </w:rPr>
        <w:t>供应商承诺书</w:t>
      </w:r>
    </w:p>
    <w:p w14:paraId="67F207BB">
      <w:pPr>
        <w:adjustRightInd w:val="0"/>
        <w:snapToGrid w:val="0"/>
        <w:rPr>
          <w:rFonts w:ascii="宋体" w:hAnsi="宋体"/>
          <w:sz w:val="24"/>
        </w:rPr>
      </w:pPr>
      <w:r>
        <w:rPr>
          <w:rFonts w:hint="eastAsia" w:ascii="宋体" w:hAnsi="宋体"/>
          <w:sz w:val="24"/>
        </w:rPr>
        <w:t>致：海南省教学仪器设备招标中心有限公司：</w:t>
      </w:r>
    </w:p>
    <w:p w14:paraId="5DB278B3">
      <w:pPr>
        <w:rPr>
          <w:rFonts w:ascii="宋体" w:hAnsi="宋体"/>
          <w:sz w:val="24"/>
        </w:rPr>
      </w:pPr>
      <w:r>
        <w:rPr>
          <w:rFonts w:hint="eastAsia" w:ascii="宋体" w:hAnsi="宋体"/>
          <w:sz w:val="24"/>
        </w:rPr>
        <w:t>我单位在参加项目的采购活动中，郑重承诺如下：</w:t>
      </w:r>
    </w:p>
    <w:p w14:paraId="0F8C8209">
      <w:pPr>
        <w:ind w:firstLine="480" w:firstLineChars="200"/>
        <w:rPr>
          <w:rFonts w:hint="eastAsia" w:ascii="宋体" w:hAnsi="宋体" w:eastAsia="宋体"/>
          <w:sz w:val="24"/>
          <w:lang w:eastAsia="zh-CN"/>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r>
        <w:rPr>
          <w:rFonts w:hint="eastAsia" w:ascii="宋体" w:hAnsi="宋体"/>
          <w:sz w:val="24"/>
          <w:lang w:eastAsia="zh-CN"/>
        </w:rPr>
        <w:t>我方不属于</w:t>
      </w:r>
      <w:r>
        <w:rPr>
          <w:rFonts w:hint="eastAsia" w:ascii="宋体" w:hAnsi="宋体"/>
          <w:sz w:val="24"/>
        </w:rPr>
        <w:t>前期为本项目提供整体设计、规范编制或者项目管理、监理、检测等服务的供应商</w:t>
      </w:r>
      <w:r>
        <w:rPr>
          <w:rFonts w:hint="eastAsia" w:ascii="宋体" w:hAnsi="宋体"/>
          <w:sz w:val="24"/>
          <w:lang w:eastAsia="zh-CN"/>
        </w:rPr>
        <w:t>；</w:t>
      </w:r>
    </w:p>
    <w:p w14:paraId="5E9ECB1E">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4E1DD13">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15C5B2D7">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4C6DDBED">
      <w:pPr>
        <w:ind w:firstLine="480" w:firstLineChars="200"/>
        <w:rPr>
          <w:rFonts w:ascii="宋体" w:hAnsi="宋体"/>
          <w:sz w:val="24"/>
        </w:rPr>
      </w:pPr>
      <w:r>
        <w:rPr>
          <w:rFonts w:hint="eastAsia" w:ascii="宋体" w:hAnsi="宋体"/>
          <w:sz w:val="24"/>
        </w:rPr>
        <w:t>5.我方一旦成交，将按规定及时与采购人签订合同。</w:t>
      </w:r>
    </w:p>
    <w:p w14:paraId="26A18E3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63345444">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4CEC4CA4">
      <w:pPr>
        <w:ind w:firstLine="480" w:firstLineChars="200"/>
        <w:rPr>
          <w:rFonts w:ascii="宋体" w:hAnsi="宋体"/>
          <w:sz w:val="24"/>
        </w:rPr>
      </w:pPr>
      <w:r>
        <w:rPr>
          <w:rFonts w:hint="eastAsia" w:ascii="宋体" w:hAnsi="宋体"/>
          <w:sz w:val="24"/>
        </w:rPr>
        <w:t>（1）不同供应商的响应文件由同一单位或者个人编制；</w:t>
      </w:r>
    </w:p>
    <w:p w14:paraId="461DB061">
      <w:pPr>
        <w:ind w:firstLine="480" w:firstLineChars="200"/>
        <w:rPr>
          <w:rFonts w:ascii="宋体" w:hAnsi="宋体"/>
          <w:sz w:val="24"/>
        </w:rPr>
      </w:pPr>
      <w:r>
        <w:rPr>
          <w:rFonts w:hint="eastAsia" w:ascii="宋体" w:hAnsi="宋体"/>
          <w:sz w:val="24"/>
        </w:rPr>
        <w:t>（2）不同供应商委托同一单位或者个人办理响应磋商事宜；</w:t>
      </w:r>
    </w:p>
    <w:p w14:paraId="5C70D91F">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5F85F472">
      <w:pPr>
        <w:ind w:firstLine="480" w:firstLineChars="200"/>
        <w:rPr>
          <w:rFonts w:ascii="宋体" w:hAnsi="宋体"/>
          <w:sz w:val="24"/>
        </w:rPr>
      </w:pPr>
      <w:r>
        <w:rPr>
          <w:rFonts w:hint="eastAsia" w:ascii="宋体" w:hAnsi="宋体"/>
          <w:sz w:val="24"/>
        </w:rPr>
        <w:t>（4）不同供应商的响应文件异常一致或者磋商报价呈规律性差异；</w:t>
      </w:r>
    </w:p>
    <w:p w14:paraId="4066EB2E">
      <w:pPr>
        <w:ind w:firstLine="480" w:firstLineChars="200"/>
        <w:rPr>
          <w:rFonts w:ascii="宋体" w:hAnsi="宋体"/>
          <w:sz w:val="24"/>
        </w:rPr>
      </w:pPr>
      <w:r>
        <w:rPr>
          <w:rFonts w:hint="eastAsia" w:ascii="宋体" w:hAnsi="宋体"/>
          <w:sz w:val="24"/>
        </w:rPr>
        <w:t>（5）不同供应商的响应文件相互混装；</w:t>
      </w:r>
    </w:p>
    <w:p w14:paraId="2F355B14">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60A603D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6F8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02F77FD2">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2ABE6AD0">
            <w:pPr>
              <w:jc w:val="center"/>
              <w:rPr>
                <w:rFonts w:ascii="宋体" w:hAnsi="宋体"/>
                <w:szCs w:val="21"/>
              </w:rPr>
            </w:pPr>
            <w:r>
              <w:rPr>
                <w:rFonts w:hint="eastAsia" w:ascii="宋体" w:hAnsi="宋体"/>
                <w:szCs w:val="21"/>
              </w:rPr>
              <w:t>股东名称</w:t>
            </w:r>
          </w:p>
        </w:tc>
        <w:tc>
          <w:tcPr>
            <w:tcW w:w="2410" w:type="dxa"/>
            <w:noWrap/>
            <w:vAlign w:val="center"/>
          </w:tcPr>
          <w:p w14:paraId="1F294ED1">
            <w:pPr>
              <w:jc w:val="center"/>
              <w:rPr>
                <w:rFonts w:ascii="宋体" w:hAnsi="宋体"/>
                <w:szCs w:val="21"/>
              </w:rPr>
            </w:pPr>
            <w:r>
              <w:rPr>
                <w:rFonts w:hint="eastAsia" w:ascii="宋体" w:hAnsi="宋体"/>
                <w:szCs w:val="21"/>
              </w:rPr>
              <w:t>股东类型</w:t>
            </w:r>
          </w:p>
        </w:tc>
        <w:tc>
          <w:tcPr>
            <w:tcW w:w="1559" w:type="dxa"/>
            <w:noWrap/>
          </w:tcPr>
          <w:p w14:paraId="417AFD36">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5EB0772E">
            <w:pPr>
              <w:spacing w:line="400" w:lineRule="exact"/>
              <w:jc w:val="center"/>
              <w:rPr>
                <w:rFonts w:ascii="宋体" w:hAnsi="宋体"/>
                <w:szCs w:val="21"/>
              </w:rPr>
            </w:pPr>
            <w:r>
              <w:rPr>
                <w:rFonts w:hint="eastAsia" w:ascii="宋体" w:hAnsi="宋体"/>
                <w:szCs w:val="21"/>
              </w:rPr>
              <w:t>备注</w:t>
            </w:r>
          </w:p>
        </w:tc>
      </w:tr>
      <w:tr w14:paraId="7171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6765B92">
            <w:pPr>
              <w:jc w:val="center"/>
              <w:rPr>
                <w:rFonts w:ascii="宋体" w:hAnsi="宋体"/>
                <w:szCs w:val="21"/>
              </w:rPr>
            </w:pPr>
            <w:r>
              <w:rPr>
                <w:rFonts w:hint="eastAsia" w:ascii="宋体" w:hAnsi="宋体"/>
                <w:szCs w:val="21"/>
              </w:rPr>
              <w:t>1</w:t>
            </w:r>
          </w:p>
        </w:tc>
        <w:tc>
          <w:tcPr>
            <w:tcW w:w="2319" w:type="dxa"/>
            <w:noWrap/>
            <w:vAlign w:val="center"/>
          </w:tcPr>
          <w:p w14:paraId="41B996AF">
            <w:pPr>
              <w:jc w:val="center"/>
              <w:rPr>
                <w:rFonts w:ascii="宋体" w:hAnsi="宋体"/>
                <w:szCs w:val="21"/>
              </w:rPr>
            </w:pPr>
          </w:p>
        </w:tc>
        <w:tc>
          <w:tcPr>
            <w:tcW w:w="2410" w:type="dxa"/>
            <w:noWrap/>
            <w:vAlign w:val="center"/>
          </w:tcPr>
          <w:p w14:paraId="1E63C15D">
            <w:pPr>
              <w:jc w:val="center"/>
              <w:rPr>
                <w:rFonts w:ascii="宋体" w:hAnsi="宋体"/>
                <w:szCs w:val="21"/>
              </w:rPr>
            </w:pPr>
          </w:p>
        </w:tc>
        <w:tc>
          <w:tcPr>
            <w:tcW w:w="1559" w:type="dxa"/>
            <w:noWrap/>
          </w:tcPr>
          <w:p w14:paraId="07F09CFE">
            <w:pPr>
              <w:jc w:val="center"/>
              <w:rPr>
                <w:rFonts w:ascii="宋体" w:hAnsi="宋体"/>
                <w:szCs w:val="21"/>
              </w:rPr>
            </w:pPr>
          </w:p>
        </w:tc>
        <w:tc>
          <w:tcPr>
            <w:tcW w:w="1468" w:type="dxa"/>
            <w:noWrap/>
            <w:vAlign w:val="center"/>
          </w:tcPr>
          <w:p w14:paraId="7FECC478">
            <w:pPr>
              <w:jc w:val="center"/>
              <w:rPr>
                <w:rFonts w:ascii="宋体" w:hAnsi="宋体"/>
                <w:szCs w:val="21"/>
              </w:rPr>
            </w:pPr>
          </w:p>
        </w:tc>
      </w:tr>
      <w:tr w14:paraId="4F9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1806216">
            <w:pPr>
              <w:jc w:val="center"/>
              <w:rPr>
                <w:rFonts w:ascii="宋体" w:hAnsi="宋体"/>
                <w:szCs w:val="21"/>
              </w:rPr>
            </w:pPr>
            <w:r>
              <w:rPr>
                <w:rFonts w:hint="eastAsia" w:ascii="宋体" w:hAnsi="宋体"/>
                <w:szCs w:val="21"/>
              </w:rPr>
              <w:t>2</w:t>
            </w:r>
          </w:p>
        </w:tc>
        <w:tc>
          <w:tcPr>
            <w:tcW w:w="2319" w:type="dxa"/>
            <w:noWrap/>
            <w:vAlign w:val="center"/>
          </w:tcPr>
          <w:p w14:paraId="20A26D87">
            <w:pPr>
              <w:jc w:val="center"/>
              <w:rPr>
                <w:rFonts w:ascii="宋体" w:hAnsi="宋体"/>
                <w:szCs w:val="21"/>
              </w:rPr>
            </w:pPr>
          </w:p>
        </w:tc>
        <w:tc>
          <w:tcPr>
            <w:tcW w:w="2410" w:type="dxa"/>
            <w:noWrap/>
            <w:vAlign w:val="center"/>
          </w:tcPr>
          <w:p w14:paraId="263AC5D2">
            <w:pPr>
              <w:jc w:val="center"/>
              <w:rPr>
                <w:rFonts w:ascii="宋体" w:hAnsi="宋体"/>
                <w:szCs w:val="21"/>
              </w:rPr>
            </w:pPr>
          </w:p>
        </w:tc>
        <w:tc>
          <w:tcPr>
            <w:tcW w:w="1559" w:type="dxa"/>
            <w:noWrap/>
          </w:tcPr>
          <w:p w14:paraId="717FB743">
            <w:pPr>
              <w:jc w:val="center"/>
              <w:rPr>
                <w:rFonts w:ascii="宋体" w:hAnsi="宋体"/>
                <w:szCs w:val="21"/>
              </w:rPr>
            </w:pPr>
          </w:p>
        </w:tc>
        <w:tc>
          <w:tcPr>
            <w:tcW w:w="1468" w:type="dxa"/>
            <w:noWrap/>
            <w:vAlign w:val="center"/>
          </w:tcPr>
          <w:p w14:paraId="144B4ACB">
            <w:pPr>
              <w:jc w:val="center"/>
              <w:rPr>
                <w:rFonts w:ascii="宋体" w:hAnsi="宋体"/>
                <w:szCs w:val="21"/>
              </w:rPr>
            </w:pPr>
          </w:p>
        </w:tc>
      </w:tr>
      <w:tr w14:paraId="187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02D82D2">
            <w:pPr>
              <w:jc w:val="center"/>
              <w:rPr>
                <w:rFonts w:ascii="宋体" w:hAnsi="宋体"/>
                <w:szCs w:val="21"/>
              </w:rPr>
            </w:pPr>
            <w:r>
              <w:rPr>
                <w:rFonts w:hint="eastAsia" w:ascii="宋体" w:hAnsi="宋体"/>
                <w:szCs w:val="21"/>
              </w:rPr>
              <w:t>……</w:t>
            </w:r>
          </w:p>
        </w:tc>
        <w:tc>
          <w:tcPr>
            <w:tcW w:w="2319" w:type="dxa"/>
            <w:noWrap/>
            <w:vAlign w:val="center"/>
          </w:tcPr>
          <w:p w14:paraId="35F916EA">
            <w:pPr>
              <w:jc w:val="center"/>
              <w:rPr>
                <w:rFonts w:ascii="宋体" w:hAnsi="宋体"/>
                <w:szCs w:val="21"/>
              </w:rPr>
            </w:pPr>
          </w:p>
        </w:tc>
        <w:tc>
          <w:tcPr>
            <w:tcW w:w="2410" w:type="dxa"/>
            <w:noWrap/>
            <w:vAlign w:val="center"/>
          </w:tcPr>
          <w:p w14:paraId="407781E5">
            <w:pPr>
              <w:jc w:val="center"/>
              <w:rPr>
                <w:rFonts w:ascii="宋体" w:hAnsi="宋体"/>
                <w:szCs w:val="21"/>
              </w:rPr>
            </w:pPr>
          </w:p>
        </w:tc>
        <w:tc>
          <w:tcPr>
            <w:tcW w:w="1559" w:type="dxa"/>
            <w:noWrap/>
          </w:tcPr>
          <w:p w14:paraId="7617693E">
            <w:pPr>
              <w:jc w:val="center"/>
              <w:rPr>
                <w:rFonts w:ascii="宋体" w:hAnsi="宋体"/>
                <w:szCs w:val="21"/>
              </w:rPr>
            </w:pPr>
          </w:p>
        </w:tc>
        <w:tc>
          <w:tcPr>
            <w:tcW w:w="1468" w:type="dxa"/>
            <w:noWrap/>
            <w:vAlign w:val="center"/>
          </w:tcPr>
          <w:p w14:paraId="55D0BD90">
            <w:pPr>
              <w:jc w:val="center"/>
              <w:rPr>
                <w:rFonts w:ascii="宋体" w:hAnsi="宋体"/>
                <w:szCs w:val="21"/>
              </w:rPr>
            </w:pPr>
          </w:p>
        </w:tc>
      </w:tr>
    </w:tbl>
    <w:p w14:paraId="43F2BD7C">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417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CEFD3A5">
            <w:pPr>
              <w:jc w:val="center"/>
              <w:rPr>
                <w:rFonts w:ascii="宋体" w:hAnsi="宋体"/>
                <w:szCs w:val="21"/>
              </w:rPr>
            </w:pPr>
            <w:r>
              <w:rPr>
                <w:rFonts w:hint="eastAsia" w:ascii="宋体" w:hAnsi="宋体"/>
                <w:szCs w:val="21"/>
              </w:rPr>
              <w:t>序号</w:t>
            </w:r>
          </w:p>
        </w:tc>
        <w:tc>
          <w:tcPr>
            <w:tcW w:w="2340" w:type="dxa"/>
            <w:noWrap/>
            <w:vAlign w:val="center"/>
          </w:tcPr>
          <w:p w14:paraId="38235BF3">
            <w:pPr>
              <w:jc w:val="center"/>
              <w:rPr>
                <w:rFonts w:ascii="宋体" w:hAnsi="宋体"/>
                <w:szCs w:val="21"/>
              </w:rPr>
            </w:pPr>
            <w:r>
              <w:rPr>
                <w:rFonts w:hint="eastAsia" w:ascii="宋体" w:hAnsi="宋体"/>
                <w:szCs w:val="21"/>
              </w:rPr>
              <w:t>主要人员姓名</w:t>
            </w:r>
          </w:p>
        </w:tc>
        <w:tc>
          <w:tcPr>
            <w:tcW w:w="1440" w:type="dxa"/>
            <w:noWrap/>
            <w:vAlign w:val="center"/>
          </w:tcPr>
          <w:p w14:paraId="4FEB1DA5">
            <w:pPr>
              <w:jc w:val="center"/>
              <w:rPr>
                <w:rFonts w:ascii="宋体" w:hAnsi="宋体"/>
                <w:szCs w:val="21"/>
              </w:rPr>
            </w:pPr>
            <w:r>
              <w:rPr>
                <w:rFonts w:hint="eastAsia" w:ascii="宋体" w:hAnsi="宋体"/>
                <w:szCs w:val="21"/>
              </w:rPr>
              <w:t>职务</w:t>
            </w:r>
          </w:p>
        </w:tc>
        <w:tc>
          <w:tcPr>
            <w:tcW w:w="3935" w:type="dxa"/>
            <w:noWrap/>
            <w:vAlign w:val="center"/>
          </w:tcPr>
          <w:p w14:paraId="1C10486B">
            <w:pPr>
              <w:jc w:val="center"/>
              <w:rPr>
                <w:rFonts w:ascii="宋体" w:hAnsi="宋体"/>
                <w:szCs w:val="21"/>
              </w:rPr>
            </w:pPr>
            <w:r>
              <w:rPr>
                <w:rFonts w:hint="eastAsia" w:ascii="宋体" w:hAnsi="宋体"/>
                <w:szCs w:val="21"/>
              </w:rPr>
              <w:t>身份证号</w:t>
            </w:r>
          </w:p>
        </w:tc>
      </w:tr>
      <w:tr w14:paraId="0C92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BC013E7">
            <w:pPr>
              <w:jc w:val="center"/>
              <w:rPr>
                <w:rFonts w:ascii="宋体" w:hAnsi="宋体"/>
                <w:szCs w:val="21"/>
              </w:rPr>
            </w:pPr>
            <w:r>
              <w:rPr>
                <w:rFonts w:hint="eastAsia" w:ascii="宋体" w:hAnsi="宋体"/>
                <w:szCs w:val="21"/>
              </w:rPr>
              <w:t>1</w:t>
            </w:r>
          </w:p>
        </w:tc>
        <w:tc>
          <w:tcPr>
            <w:tcW w:w="2340" w:type="dxa"/>
            <w:noWrap/>
            <w:vAlign w:val="center"/>
          </w:tcPr>
          <w:p w14:paraId="415E4489">
            <w:pPr>
              <w:jc w:val="center"/>
              <w:rPr>
                <w:rFonts w:ascii="宋体" w:hAnsi="宋体"/>
                <w:szCs w:val="21"/>
              </w:rPr>
            </w:pPr>
          </w:p>
        </w:tc>
        <w:tc>
          <w:tcPr>
            <w:tcW w:w="1440" w:type="dxa"/>
            <w:noWrap/>
            <w:vAlign w:val="center"/>
          </w:tcPr>
          <w:p w14:paraId="59A2E029">
            <w:pPr>
              <w:jc w:val="center"/>
              <w:rPr>
                <w:rFonts w:ascii="宋体" w:hAnsi="宋体"/>
                <w:szCs w:val="21"/>
              </w:rPr>
            </w:pPr>
          </w:p>
        </w:tc>
        <w:tc>
          <w:tcPr>
            <w:tcW w:w="3935" w:type="dxa"/>
            <w:noWrap/>
            <w:vAlign w:val="center"/>
          </w:tcPr>
          <w:p w14:paraId="2AE26A1C">
            <w:pPr>
              <w:jc w:val="center"/>
              <w:rPr>
                <w:rFonts w:ascii="宋体" w:hAnsi="宋体"/>
                <w:szCs w:val="21"/>
              </w:rPr>
            </w:pPr>
          </w:p>
        </w:tc>
      </w:tr>
      <w:tr w14:paraId="7B5E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18B8D32">
            <w:pPr>
              <w:jc w:val="center"/>
              <w:rPr>
                <w:rFonts w:ascii="宋体" w:hAnsi="宋体"/>
                <w:szCs w:val="21"/>
              </w:rPr>
            </w:pPr>
            <w:r>
              <w:rPr>
                <w:rFonts w:hint="eastAsia" w:ascii="宋体" w:hAnsi="宋体"/>
                <w:szCs w:val="21"/>
              </w:rPr>
              <w:t>2</w:t>
            </w:r>
          </w:p>
        </w:tc>
        <w:tc>
          <w:tcPr>
            <w:tcW w:w="2340" w:type="dxa"/>
            <w:noWrap/>
            <w:vAlign w:val="center"/>
          </w:tcPr>
          <w:p w14:paraId="6615DB48">
            <w:pPr>
              <w:jc w:val="center"/>
              <w:rPr>
                <w:rFonts w:ascii="宋体" w:hAnsi="宋体"/>
                <w:szCs w:val="21"/>
              </w:rPr>
            </w:pPr>
          </w:p>
        </w:tc>
        <w:tc>
          <w:tcPr>
            <w:tcW w:w="1440" w:type="dxa"/>
            <w:noWrap/>
            <w:vAlign w:val="center"/>
          </w:tcPr>
          <w:p w14:paraId="162B5201">
            <w:pPr>
              <w:jc w:val="center"/>
              <w:rPr>
                <w:rFonts w:ascii="宋体" w:hAnsi="宋体"/>
                <w:szCs w:val="21"/>
              </w:rPr>
            </w:pPr>
          </w:p>
        </w:tc>
        <w:tc>
          <w:tcPr>
            <w:tcW w:w="3935" w:type="dxa"/>
            <w:noWrap/>
            <w:vAlign w:val="center"/>
          </w:tcPr>
          <w:p w14:paraId="7E9E536C">
            <w:pPr>
              <w:jc w:val="center"/>
              <w:rPr>
                <w:rFonts w:ascii="宋体" w:hAnsi="宋体"/>
                <w:szCs w:val="21"/>
              </w:rPr>
            </w:pPr>
          </w:p>
        </w:tc>
      </w:tr>
      <w:tr w14:paraId="314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B709D2">
            <w:pPr>
              <w:jc w:val="center"/>
              <w:rPr>
                <w:rFonts w:ascii="宋体" w:hAnsi="宋体"/>
                <w:szCs w:val="21"/>
              </w:rPr>
            </w:pPr>
            <w:r>
              <w:rPr>
                <w:rFonts w:hint="eastAsia" w:ascii="宋体" w:hAnsi="宋体"/>
                <w:szCs w:val="21"/>
              </w:rPr>
              <w:t>……</w:t>
            </w:r>
          </w:p>
        </w:tc>
        <w:tc>
          <w:tcPr>
            <w:tcW w:w="2340" w:type="dxa"/>
            <w:noWrap/>
            <w:vAlign w:val="center"/>
          </w:tcPr>
          <w:p w14:paraId="3D8C2A26">
            <w:pPr>
              <w:jc w:val="center"/>
              <w:rPr>
                <w:rFonts w:ascii="宋体" w:hAnsi="宋体"/>
                <w:szCs w:val="21"/>
              </w:rPr>
            </w:pPr>
          </w:p>
        </w:tc>
        <w:tc>
          <w:tcPr>
            <w:tcW w:w="1440" w:type="dxa"/>
            <w:noWrap/>
            <w:vAlign w:val="center"/>
          </w:tcPr>
          <w:p w14:paraId="5C67D1FC">
            <w:pPr>
              <w:jc w:val="center"/>
              <w:rPr>
                <w:rFonts w:ascii="宋体" w:hAnsi="宋体"/>
                <w:szCs w:val="21"/>
              </w:rPr>
            </w:pPr>
          </w:p>
        </w:tc>
        <w:tc>
          <w:tcPr>
            <w:tcW w:w="3935" w:type="dxa"/>
            <w:noWrap/>
            <w:vAlign w:val="center"/>
          </w:tcPr>
          <w:p w14:paraId="667E7F72">
            <w:pPr>
              <w:jc w:val="center"/>
              <w:rPr>
                <w:rFonts w:ascii="宋体" w:hAnsi="宋体"/>
                <w:szCs w:val="21"/>
              </w:rPr>
            </w:pPr>
          </w:p>
        </w:tc>
      </w:tr>
    </w:tbl>
    <w:p w14:paraId="004B01EC">
      <w:pPr>
        <w:rPr>
          <w:rFonts w:ascii="宋体" w:hAnsi="宋体"/>
          <w:sz w:val="24"/>
        </w:rPr>
      </w:pPr>
    </w:p>
    <w:p w14:paraId="66EEA889">
      <w:pPr>
        <w:ind w:left="2698" w:leftChars="1285"/>
        <w:rPr>
          <w:rFonts w:ascii="宋体" w:hAnsi="宋体"/>
          <w:sz w:val="24"/>
        </w:rPr>
      </w:pPr>
      <w:r>
        <w:rPr>
          <w:rFonts w:hint="eastAsia" w:ascii="宋体" w:hAnsi="宋体"/>
          <w:sz w:val="24"/>
        </w:rPr>
        <w:t>供应商名称： （盖公章）</w:t>
      </w:r>
    </w:p>
    <w:p w14:paraId="7BB20672">
      <w:pPr>
        <w:ind w:left="2698" w:leftChars="1285"/>
        <w:rPr>
          <w:rFonts w:ascii="宋体" w:hAnsi="宋体"/>
          <w:sz w:val="24"/>
        </w:rPr>
      </w:pPr>
      <w:r>
        <w:rPr>
          <w:rFonts w:hint="eastAsia" w:ascii="宋体" w:hAnsi="宋体"/>
          <w:sz w:val="24"/>
        </w:rPr>
        <w:t>法定代表人（或授权代理人）： （签字或盖章）</w:t>
      </w:r>
    </w:p>
    <w:p w14:paraId="54037D6F">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1C46D4C3"/>
    <w:p w14:paraId="5C3453D1">
      <w:pPr>
        <w:bidi w:val="0"/>
        <w:rPr>
          <w:rStyle w:val="48"/>
          <w:rFonts w:hint="eastAsia"/>
          <w:b/>
        </w:rPr>
      </w:pPr>
    </w:p>
    <w:p w14:paraId="68EAE55C">
      <w:pPr>
        <w:pStyle w:val="2"/>
        <w:autoSpaceDE w:val="0"/>
        <w:autoSpaceDN w:val="0"/>
        <w:rPr>
          <w:rStyle w:val="48"/>
          <w:b/>
        </w:rPr>
      </w:pPr>
      <w:r>
        <w:rPr>
          <w:rStyle w:val="48"/>
          <w:rFonts w:hint="eastAsia"/>
          <w:b/>
        </w:rPr>
        <w:t>附件8 在“信用中国”网站信用查询截图</w:t>
      </w:r>
    </w:p>
    <w:bookmarkEnd w:id="125"/>
    <w:p w14:paraId="5A3A47D6">
      <w:pPr>
        <w:rPr>
          <w:rStyle w:val="48"/>
        </w:rPr>
      </w:pPr>
    </w:p>
    <w:p w14:paraId="0D2CF9DB">
      <w:pPr>
        <w:pStyle w:val="2"/>
        <w:autoSpaceDE w:val="0"/>
        <w:autoSpaceDN w:val="0"/>
        <w:rPr>
          <w:rStyle w:val="48"/>
          <w:b/>
        </w:rPr>
      </w:pPr>
      <w:r>
        <w:rPr>
          <w:rStyle w:val="48"/>
          <w:rFonts w:hint="eastAsia"/>
          <w:b/>
        </w:rPr>
        <w:t>附件9  按资格要求和评分要求提供相应证明材料</w:t>
      </w:r>
    </w:p>
    <w:p w14:paraId="0E57B5CF"/>
    <w:p w14:paraId="4971C40C">
      <w:pPr>
        <w:spacing w:line="360" w:lineRule="exact"/>
        <w:rPr>
          <w:rFonts w:ascii="宋体" w:hAnsi="宋体"/>
          <w:b/>
          <w:sz w:val="32"/>
          <w:szCs w:val="30"/>
        </w:rPr>
      </w:pPr>
    </w:p>
    <w:p w14:paraId="6874C256">
      <w:pPr>
        <w:spacing w:line="360" w:lineRule="exact"/>
        <w:ind w:firstLine="4560" w:firstLineChars="1900"/>
        <w:rPr>
          <w:sz w:val="24"/>
        </w:rPr>
      </w:pPr>
    </w:p>
    <w:p w14:paraId="56EA65C9">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E3FE">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11B0F9C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D1D5">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12A1156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C2">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B032"/>
    <w:multiLevelType w:val="multilevel"/>
    <w:tmpl w:val="B7A1B032"/>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43D3923"/>
    <w:multiLevelType w:val="multilevel"/>
    <w:tmpl w:val="E43D3923"/>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361EA5B"/>
    <w:multiLevelType w:val="singleLevel"/>
    <w:tmpl w:val="F361EA5B"/>
    <w:lvl w:ilvl="0" w:tentative="0">
      <w:start w:val="1"/>
      <w:numFmt w:val="decimal"/>
      <w:pStyle w:val="102"/>
      <w:lvlText w:val="%1."/>
      <w:lvlJc w:val="left"/>
      <w:pPr>
        <w:tabs>
          <w:tab w:val="left" w:pos="312"/>
        </w:tabs>
      </w:pPr>
    </w:lvl>
  </w:abstractNum>
  <w:abstractNum w:abstractNumId="3">
    <w:nsid w:val="F5CF015B"/>
    <w:multiLevelType w:val="singleLevel"/>
    <w:tmpl w:val="F5CF015B"/>
    <w:lvl w:ilvl="0" w:tentative="0">
      <w:start w:val="3"/>
      <w:numFmt w:val="chineseCounting"/>
      <w:suff w:val="nothing"/>
      <w:lvlText w:val="%1、"/>
      <w:lvlJc w:val="left"/>
      <w:rPr>
        <w:rFonts w:hint="eastAsia"/>
      </w:rPr>
    </w:lvl>
  </w:abstractNum>
  <w:abstractNum w:abstractNumId="4">
    <w:nsid w:val="0761288F"/>
    <w:multiLevelType w:val="singleLevel"/>
    <w:tmpl w:val="0761288F"/>
    <w:lvl w:ilvl="0" w:tentative="0">
      <w:start w:val="5"/>
      <w:numFmt w:val="chineseCounting"/>
      <w:suff w:val="nothing"/>
      <w:lvlText w:val="第%1部分　"/>
      <w:lvlJc w:val="left"/>
      <w:rPr>
        <w:rFonts w:hint="eastAsia"/>
      </w:rPr>
    </w:lvl>
  </w:abstractNum>
  <w:abstractNum w:abstractNumId="5">
    <w:nsid w:val="4B984430"/>
    <w:multiLevelType w:val="multilevel"/>
    <w:tmpl w:val="4B984430"/>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5E77CE"/>
    <w:multiLevelType w:val="multilevel"/>
    <w:tmpl w:val="785E77CE"/>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61FA9"/>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11CCE"/>
    <w:rsid w:val="0072445D"/>
    <w:rsid w:val="00724656"/>
    <w:rsid w:val="00724CE9"/>
    <w:rsid w:val="00724F1F"/>
    <w:rsid w:val="0073641F"/>
    <w:rsid w:val="00740798"/>
    <w:rsid w:val="00743363"/>
    <w:rsid w:val="0074415B"/>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28D"/>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1DB1C83"/>
    <w:rsid w:val="030B22AF"/>
    <w:rsid w:val="03E11E2F"/>
    <w:rsid w:val="04211C07"/>
    <w:rsid w:val="048C2F16"/>
    <w:rsid w:val="06037305"/>
    <w:rsid w:val="0661309E"/>
    <w:rsid w:val="07524795"/>
    <w:rsid w:val="07936DEC"/>
    <w:rsid w:val="07D757D2"/>
    <w:rsid w:val="07FF7CC3"/>
    <w:rsid w:val="08253C58"/>
    <w:rsid w:val="09B94F9F"/>
    <w:rsid w:val="0A5E408E"/>
    <w:rsid w:val="0BE87F23"/>
    <w:rsid w:val="0CA67D96"/>
    <w:rsid w:val="0D821B4C"/>
    <w:rsid w:val="0DE6291B"/>
    <w:rsid w:val="0E157E71"/>
    <w:rsid w:val="0E362F6C"/>
    <w:rsid w:val="0E386240"/>
    <w:rsid w:val="0F1D584C"/>
    <w:rsid w:val="0FB029A1"/>
    <w:rsid w:val="10500F7A"/>
    <w:rsid w:val="10B4201D"/>
    <w:rsid w:val="11E26D7E"/>
    <w:rsid w:val="11FC29D4"/>
    <w:rsid w:val="127039FD"/>
    <w:rsid w:val="14A14FAE"/>
    <w:rsid w:val="15235F00"/>
    <w:rsid w:val="159470CB"/>
    <w:rsid w:val="16702E8A"/>
    <w:rsid w:val="16D62F97"/>
    <w:rsid w:val="1735378C"/>
    <w:rsid w:val="18E81E83"/>
    <w:rsid w:val="19BF2755"/>
    <w:rsid w:val="19C20124"/>
    <w:rsid w:val="19F8741E"/>
    <w:rsid w:val="1BCE1F90"/>
    <w:rsid w:val="1C1376ED"/>
    <w:rsid w:val="1D454C65"/>
    <w:rsid w:val="1D695934"/>
    <w:rsid w:val="1DAF669C"/>
    <w:rsid w:val="1DF13A63"/>
    <w:rsid w:val="1EBF394D"/>
    <w:rsid w:val="1F2D1751"/>
    <w:rsid w:val="1FAE3080"/>
    <w:rsid w:val="1FAF10AC"/>
    <w:rsid w:val="20027045"/>
    <w:rsid w:val="205511B7"/>
    <w:rsid w:val="208715C8"/>
    <w:rsid w:val="21A13378"/>
    <w:rsid w:val="21C80FA2"/>
    <w:rsid w:val="21CB4AC6"/>
    <w:rsid w:val="22574D34"/>
    <w:rsid w:val="225779D5"/>
    <w:rsid w:val="22862FC6"/>
    <w:rsid w:val="22D008A5"/>
    <w:rsid w:val="23153937"/>
    <w:rsid w:val="25706A02"/>
    <w:rsid w:val="26456133"/>
    <w:rsid w:val="26665B9D"/>
    <w:rsid w:val="26B75F6B"/>
    <w:rsid w:val="26C758B1"/>
    <w:rsid w:val="27DB2255"/>
    <w:rsid w:val="2865044E"/>
    <w:rsid w:val="286B4792"/>
    <w:rsid w:val="291747BA"/>
    <w:rsid w:val="2A692A82"/>
    <w:rsid w:val="2B1E480B"/>
    <w:rsid w:val="2BB62C95"/>
    <w:rsid w:val="2BBD5EBF"/>
    <w:rsid w:val="2BD54FBE"/>
    <w:rsid w:val="2C3A1E29"/>
    <w:rsid w:val="2C7E113E"/>
    <w:rsid w:val="2CB46522"/>
    <w:rsid w:val="2D8717C3"/>
    <w:rsid w:val="2E386967"/>
    <w:rsid w:val="2E837CB4"/>
    <w:rsid w:val="2FF95F46"/>
    <w:rsid w:val="317C672F"/>
    <w:rsid w:val="31EC10CE"/>
    <w:rsid w:val="32D81743"/>
    <w:rsid w:val="334F4E2A"/>
    <w:rsid w:val="33543E57"/>
    <w:rsid w:val="34554A4E"/>
    <w:rsid w:val="34C16DC2"/>
    <w:rsid w:val="34FA0097"/>
    <w:rsid w:val="350B7DCE"/>
    <w:rsid w:val="35380BBF"/>
    <w:rsid w:val="35A149B6"/>
    <w:rsid w:val="35CC4711"/>
    <w:rsid w:val="36112941"/>
    <w:rsid w:val="36714005"/>
    <w:rsid w:val="36DB422C"/>
    <w:rsid w:val="36F9612C"/>
    <w:rsid w:val="37E312B6"/>
    <w:rsid w:val="37F464E2"/>
    <w:rsid w:val="39F2758E"/>
    <w:rsid w:val="3A6A181A"/>
    <w:rsid w:val="3A951952"/>
    <w:rsid w:val="3AB34F0A"/>
    <w:rsid w:val="3C5D17C7"/>
    <w:rsid w:val="3CA408E8"/>
    <w:rsid w:val="3CE851E1"/>
    <w:rsid w:val="3CF526E9"/>
    <w:rsid w:val="3D7C548A"/>
    <w:rsid w:val="3DC21380"/>
    <w:rsid w:val="3E0529D0"/>
    <w:rsid w:val="3E7C195D"/>
    <w:rsid w:val="3F331774"/>
    <w:rsid w:val="3F52664F"/>
    <w:rsid w:val="3F582D46"/>
    <w:rsid w:val="40116E7F"/>
    <w:rsid w:val="40245174"/>
    <w:rsid w:val="424866FD"/>
    <w:rsid w:val="431402B1"/>
    <w:rsid w:val="44411C2B"/>
    <w:rsid w:val="444B4E50"/>
    <w:rsid w:val="447F5EC2"/>
    <w:rsid w:val="44D52AF7"/>
    <w:rsid w:val="45D814A9"/>
    <w:rsid w:val="47086B46"/>
    <w:rsid w:val="489F2E1F"/>
    <w:rsid w:val="49437E06"/>
    <w:rsid w:val="49917B06"/>
    <w:rsid w:val="4A7E09CA"/>
    <w:rsid w:val="4B1530DD"/>
    <w:rsid w:val="4B7B626D"/>
    <w:rsid w:val="4BEB70BC"/>
    <w:rsid w:val="4C6807BE"/>
    <w:rsid w:val="4D1F4797"/>
    <w:rsid w:val="4D855C14"/>
    <w:rsid w:val="4E4A464C"/>
    <w:rsid w:val="4F231B40"/>
    <w:rsid w:val="4F394BD8"/>
    <w:rsid w:val="4F806F93"/>
    <w:rsid w:val="4FE53EE4"/>
    <w:rsid w:val="4FFF435B"/>
    <w:rsid w:val="508F6894"/>
    <w:rsid w:val="50D457E8"/>
    <w:rsid w:val="50D92DFE"/>
    <w:rsid w:val="512B5665"/>
    <w:rsid w:val="52B66476"/>
    <w:rsid w:val="52F40FEE"/>
    <w:rsid w:val="52FB52AE"/>
    <w:rsid w:val="53366C79"/>
    <w:rsid w:val="53993E69"/>
    <w:rsid w:val="53EE4E13"/>
    <w:rsid w:val="53F021F5"/>
    <w:rsid w:val="540A435C"/>
    <w:rsid w:val="555420C8"/>
    <w:rsid w:val="557E6E29"/>
    <w:rsid w:val="557F21C6"/>
    <w:rsid w:val="55896405"/>
    <w:rsid w:val="565E3EDD"/>
    <w:rsid w:val="57272B15"/>
    <w:rsid w:val="575B631B"/>
    <w:rsid w:val="57A442AA"/>
    <w:rsid w:val="585D60C3"/>
    <w:rsid w:val="586F082C"/>
    <w:rsid w:val="58A91A2A"/>
    <w:rsid w:val="58B518B9"/>
    <w:rsid w:val="58B57CAD"/>
    <w:rsid w:val="59E234C2"/>
    <w:rsid w:val="5A4A0C19"/>
    <w:rsid w:val="5B72008C"/>
    <w:rsid w:val="5B8F0C89"/>
    <w:rsid w:val="5BDF0145"/>
    <w:rsid w:val="5D6D4FFA"/>
    <w:rsid w:val="5DA603AA"/>
    <w:rsid w:val="5E522B63"/>
    <w:rsid w:val="5E650E6B"/>
    <w:rsid w:val="5F0744FB"/>
    <w:rsid w:val="5FC20C8C"/>
    <w:rsid w:val="60360BA1"/>
    <w:rsid w:val="61314591"/>
    <w:rsid w:val="622A0E64"/>
    <w:rsid w:val="62572206"/>
    <w:rsid w:val="632D7425"/>
    <w:rsid w:val="637C38A9"/>
    <w:rsid w:val="63E43B3C"/>
    <w:rsid w:val="63F216D6"/>
    <w:rsid w:val="64FB58E5"/>
    <w:rsid w:val="65EF62A4"/>
    <w:rsid w:val="66C3135F"/>
    <w:rsid w:val="66E548C7"/>
    <w:rsid w:val="67974524"/>
    <w:rsid w:val="67B744BE"/>
    <w:rsid w:val="67BE7815"/>
    <w:rsid w:val="68030215"/>
    <w:rsid w:val="68290E7E"/>
    <w:rsid w:val="68386205"/>
    <w:rsid w:val="689D7795"/>
    <w:rsid w:val="69345C13"/>
    <w:rsid w:val="693853D1"/>
    <w:rsid w:val="697061F8"/>
    <w:rsid w:val="6A751C15"/>
    <w:rsid w:val="6A875C5B"/>
    <w:rsid w:val="6BA04935"/>
    <w:rsid w:val="6CD23D69"/>
    <w:rsid w:val="6D5663ED"/>
    <w:rsid w:val="6D6F091A"/>
    <w:rsid w:val="6DC5212E"/>
    <w:rsid w:val="6E787440"/>
    <w:rsid w:val="6F120E19"/>
    <w:rsid w:val="6F9D67D3"/>
    <w:rsid w:val="702A4113"/>
    <w:rsid w:val="708E0327"/>
    <w:rsid w:val="71F03559"/>
    <w:rsid w:val="7277483C"/>
    <w:rsid w:val="72867527"/>
    <w:rsid w:val="73B148B4"/>
    <w:rsid w:val="74065409"/>
    <w:rsid w:val="745148D6"/>
    <w:rsid w:val="74B70B38"/>
    <w:rsid w:val="75174F46"/>
    <w:rsid w:val="75262126"/>
    <w:rsid w:val="75D900B4"/>
    <w:rsid w:val="76027BFA"/>
    <w:rsid w:val="772C162A"/>
    <w:rsid w:val="78452022"/>
    <w:rsid w:val="784716A8"/>
    <w:rsid w:val="78D27468"/>
    <w:rsid w:val="79761AE5"/>
    <w:rsid w:val="79B50E56"/>
    <w:rsid w:val="79CB63FC"/>
    <w:rsid w:val="79D93CE4"/>
    <w:rsid w:val="79FC3536"/>
    <w:rsid w:val="7A565EBD"/>
    <w:rsid w:val="7A78094E"/>
    <w:rsid w:val="7A805F15"/>
    <w:rsid w:val="7AD47958"/>
    <w:rsid w:val="7C0B180E"/>
    <w:rsid w:val="7CF343A1"/>
    <w:rsid w:val="7E460C79"/>
    <w:rsid w:val="7E583C67"/>
    <w:rsid w:val="7F9C28E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1"/>
    <w:link w:val="50"/>
    <w:autoRedefine/>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link w:val="47"/>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4"/>
    <w:qFormat/>
    <w:uiPriority w:val="99"/>
    <w:rPr>
      <w:sz w:val="18"/>
      <w:szCs w:val="18"/>
    </w:rPr>
  </w:style>
  <w:style w:type="paragraph" w:styleId="25">
    <w:name w:val="footer"/>
    <w:basedOn w:val="1"/>
    <w:link w:val="55"/>
    <w:qFormat/>
    <w:uiPriority w:val="99"/>
    <w:pPr>
      <w:tabs>
        <w:tab w:val="center" w:pos="4153"/>
        <w:tab w:val="right" w:pos="8306"/>
      </w:tabs>
      <w:snapToGrid w:val="0"/>
      <w:jc w:val="left"/>
    </w:pPr>
    <w:rPr>
      <w:sz w:val="18"/>
      <w:szCs w:val="20"/>
    </w:rPr>
  </w:style>
  <w:style w:type="paragraph" w:styleId="26">
    <w:name w:val="header"/>
    <w:basedOn w:val="1"/>
    <w:link w:val="5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7"/>
    <w:qFormat/>
    <w:uiPriority w:val="0"/>
    <w:rPr>
      <w:b/>
      <w:bCs/>
    </w:rPr>
  </w:style>
  <w:style w:type="paragraph" w:styleId="35">
    <w:name w:val="Body Text First Indent"/>
    <w:basedOn w:val="17"/>
    <w:next w:val="1"/>
    <w:qFormat/>
    <w:uiPriority w:val="0"/>
    <w:pPr>
      <w:ind w:firstLine="420"/>
    </w:pPr>
    <w:rPr>
      <w:szCs w:val="20"/>
    </w:rPr>
  </w:style>
  <w:style w:type="paragraph" w:styleId="36">
    <w:name w:val="Body Text First Indent 2"/>
    <w:basedOn w:val="18"/>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autoRedefine/>
    <w:qFormat/>
    <w:uiPriority w:val="0"/>
  </w:style>
  <w:style w:type="character" w:styleId="42">
    <w:name w:val="FollowedHyperlink"/>
    <w:autoRedefine/>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3"/>
    <w:autoRedefine/>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22"/>
    <w:autoRedefine/>
    <w:qFormat/>
    <w:uiPriority w:val="99"/>
    <w:rPr>
      <w:rFonts w:ascii="宋体" w:hAnsi="宋体"/>
      <w:sz w:val="24"/>
    </w:rPr>
  </w:style>
  <w:style w:type="character" w:customStyle="1" w:styleId="54">
    <w:name w:val="批注框文本 Char"/>
    <w:link w:val="24"/>
    <w:qFormat/>
    <w:uiPriority w:val="99"/>
    <w:rPr>
      <w:kern w:val="2"/>
      <w:sz w:val="18"/>
      <w:szCs w:val="18"/>
    </w:rPr>
  </w:style>
  <w:style w:type="character" w:customStyle="1" w:styleId="55">
    <w:name w:val="页脚 Char"/>
    <w:link w:val="25"/>
    <w:qFormat/>
    <w:uiPriority w:val="99"/>
    <w:rPr>
      <w:kern w:val="2"/>
      <w:sz w:val="18"/>
    </w:rPr>
  </w:style>
  <w:style w:type="character" w:customStyle="1" w:styleId="56">
    <w:name w:val="页眉 Char"/>
    <w:link w:val="26"/>
    <w:qFormat/>
    <w:uiPriority w:val="99"/>
    <w:rPr>
      <w:kern w:val="2"/>
      <w:sz w:val="18"/>
      <w:szCs w:val="18"/>
    </w:rPr>
  </w:style>
  <w:style w:type="character" w:customStyle="1" w:styleId="57">
    <w:name w:val="批注主题 Char"/>
    <w:link w:val="34"/>
    <w:autoRedefine/>
    <w:qFormat/>
    <w:uiPriority w:val="0"/>
    <w:rPr>
      <w:rFonts w:eastAsia="宋体"/>
      <w:b/>
      <w:bCs/>
      <w:kern w:val="2"/>
      <w:sz w:val="21"/>
      <w:szCs w:val="24"/>
      <w:lang w:val="en-US" w:eastAsia="zh-CN" w:bidi="ar-SA"/>
    </w:rPr>
  </w:style>
  <w:style w:type="character" w:customStyle="1" w:styleId="58">
    <w:name w:val="无间隔 字符"/>
    <w:link w:val="59"/>
    <w:autoRedefine/>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autoRedefine/>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autoRedefine/>
    <w:qFormat/>
    <w:uiPriority w:val="0"/>
    <w:pPr>
      <w:spacing w:line="360" w:lineRule="auto"/>
      <w:ind w:firstLine="200" w:firstLineChars="200"/>
    </w:pPr>
    <w:rPr>
      <w:sz w:val="24"/>
      <w:szCs w:val="22"/>
    </w:rPr>
  </w:style>
  <w:style w:type="character" w:customStyle="1" w:styleId="67">
    <w:name w:val="列出段落 Char"/>
    <w:link w:val="68"/>
    <w:autoRedefine/>
    <w:qFormat/>
    <w:locked/>
    <w:uiPriority w:val="34"/>
    <w:rPr>
      <w:kern w:val="2"/>
      <w:sz w:val="21"/>
      <w:szCs w:val="21"/>
    </w:rPr>
  </w:style>
  <w:style w:type="paragraph" w:customStyle="1" w:styleId="68">
    <w:name w:val="列出段落1"/>
    <w:basedOn w:val="1"/>
    <w:link w:val="67"/>
    <w:autoRedefine/>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autoRedefine/>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autoRedefine/>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autoRedefine/>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autoRedefin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autoRedefine/>
    <w:qFormat/>
    <w:uiPriority w:val="0"/>
    <w:rPr>
      <w:rFonts w:ascii="宋体" w:hAnsi="Courier New" w:eastAsia="宋体"/>
      <w:kern w:val="2"/>
      <w:sz w:val="21"/>
      <w:lang w:val="en-US" w:eastAsia="zh-CN" w:bidi="ar-SA"/>
    </w:rPr>
  </w:style>
  <w:style w:type="character" w:customStyle="1" w:styleId="81">
    <w:name w:val="表正文 Char"/>
    <w:autoRedefine/>
    <w:qFormat/>
    <w:uiPriority w:val="0"/>
    <w:rPr>
      <w:rFonts w:eastAsia="宋体"/>
      <w:kern w:val="2"/>
      <w:sz w:val="21"/>
      <w:szCs w:val="24"/>
      <w:lang w:val="en-US" w:eastAsia="zh-CN" w:bidi="ar-SA"/>
    </w:rPr>
  </w:style>
  <w:style w:type="character" w:customStyle="1" w:styleId="82">
    <w:name w:val="Char Char1"/>
    <w:autoRedefine/>
    <w:qFormat/>
    <w:uiPriority w:val="0"/>
    <w:rPr>
      <w:rFonts w:ascii="宋体" w:hAnsi="Courier New" w:eastAsia="宋体"/>
      <w:kern w:val="2"/>
      <w:sz w:val="21"/>
      <w:lang w:val="en-US" w:eastAsia="zh-CN" w:bidi="ar-SA"/>
    </w:rPr>
  </w:style>
  <w:style w:type="character" w:customStyle="1" w:styleId="83">
    <w:name w:val="style1"/>
    <w:autoRedefine/>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autoRedefine/>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autoRedefine/>
    <w:qFormat/>
    <w:uiPriority w:val="34"/>
    <w:rPr>
      <w:rFonts w:ascii="Calibri" w:hAnsi="Calibri"/>
      <w:kern w:val="2"/>
      <w:sz w:val="21"/>
      <w:szCs w:val="22"/>
    </w:rPr>
  </w:style>
  <w:style w:type="paragraph" w:styleId="89">
    <w:name w:val="List Paragraph"/>
    <w:basedOn w:val="1"/>
    <w:link w:val="88"/>
    <w:autoRedefine/>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autoRedefine/>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autoRedefine/>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autoRedefine/>
    <w:qFormat/>
    <w:uiPriority w:val="0"/>
    <w:pPr>
      <w:numPr>
        <w:ilvl w:val="0"/>
        <w:numId w:val="1"/>
      </w:numPr>
      <w:spacing w:line="312" w:lineRule="auto"/>
    </w:pPr>
    <w:rPr>
      <w:rFonts w:ascii="宋体"/>
      <w:sz w:val="24"/>
      <w:szCs w:val="20"/>
    </w:rPr>
  </w:style>
  <w:style w:type="paragraph" w:customStyle="1" w:styleId="103">
    <w:name w:val="xl51"/>
    <w:basedOn w:val="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autoRedefine/>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autoRedefine/>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autoRedefine/>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autoRedefine/>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autoRedefine/>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autoRedefine/>
    <w:qFormat/>
    <w:uiPriority w:val="0"/>
    <w:pPr>
      <w:widowControl/>
      <w:spacing w:beforeAutospacing="1" w:afterAutospacing="1"/>
      <w:jc w:val="left"/>
    </w:pPr>
    <w:rPr>
      <w:kern w:val="0"/>
      <w:sz w:val="22"/>
      <w:szCs w:val="22"/>
    </w:rPr>
  </w:style>
  <w:style w:type="paragraph" w:customStyle="1" w:styleId="124">
    <w:name w:val="Char1 Char Char Char Char Char Char"/>
    <w:basedOn w:val="1"/>
    <w:autoRedefine/>
    <w:qFormat/>
    <w:uiPriority w:val="0"/>
    <w:pPr>
      <w:tabs>
        <w:tab w:val="left" w:pos="425"/>
      </w:tabs>
      <w:ind w:left="425" w:hanging="425"/>
    </w:pPr>
    <w:rPr>
      <w:rFonts w:ascii="Calibri" w:hAnsi="Calibri"/>
      <w:sz w:val="24"/>
    </w:rPr>
  </w:style>
  <w:style w:type="paragraph" w:customStyle="1" w:styleId="125">
    <w:name w:val="xl80"/>
    <w:basedOn w:val="1"/>
    <w:autoRedefine/>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autoRedefine/>
    <w:qFormat/>
    <w:uiPriority w:val="0"/>
    <w:pPr>
      <w:widowControl/>
      <w:spacing w:line="240" w:lineRule="exact"/>
      <w:jc w:val="left"/>
    </w:pPr>
  </w:style>
  <w:style w:type="paragraph" w:customStyle="1" w:styleId="127">
    <w:name w:val="xl88"/>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autoRedefine/>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autoRedefine/>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autoRedefine/>
    <w:qFormat/>
    <w:uiPriority w:val="0"/>
    <w:pPr>
      <w:widowControl/>
      <w:spacing w:line="240" w:lineRule="exact"/>
      <w:jc w:val="left"/>
    </w:pPr>
    <w:rPr>
      <w:szCs w:val="20"/>
    </w:rPr>
  </w:style>
  <w:style w:type="paragraph" w:customStyle="1" w:styleId="136">
    <w:name w:val="列表2"/>
    <w:basedOn w:val="1"/>
    <w:next w:val="1"/>
    <w:autoRedefine/>
    <w:qFormat/>
    <w:uiPriority w:val="0"/>
    <w:pPr>
      <w:tabs>
        <w:tab w:val="left" w:pos="312"/>
        <w:tab w:val="left" w:pos="1547"/>
      </w:tabs>
      <w:spacing w:line="200" w:lineRule="atLeast"/>
      <w:ind w:left="1547" w:hanging="507"/>
    </w:pPr>
    <w:rPr>
      <w:sz w:val="28"/>
    </w:rPr>
  </w:style>
  <w:style w:type="paragraph" w:customStyle="1" w:styleId="137">
    <w:name w:val="Char1"/>
    <w:basedOn w:val="1"/>
    <w:autoRedefine/>
    <w:qFormat/>
    <w:uiPriority w:val="0"/>
    <w:rPr>
      <w:rFonts w:ascii="Tahoma" w:hAnsi="Tahoma"/>
      <w:sz w:val="24"/>
      <w:szCs w:val="20"/>
    </w:rPr>
  </w:style>
  <w:style w:type="paragraph" w:customStyle="1" w:styleId="138">
    <w:name w:val="Table Body"/>
    <w:basedOn w:val="1"/>
    <w:autoRedefine/>
    <w:qFormat/>
    <w:uiPriority w:val="0"/>
    <w:pPr>
      <w:widowControl/>
      <w:jc w:val="center"/>
    </w:pPr>
    <w:rPr>
      <w:rFonts w:ascii="Arial" w:hAnsi="Arial"/>
      <w:snapToGrid w:val="0"/>
      <w:kern w:val="0"/>
      <w:sz w:val="18"/>
      <w:szCs w:val="20"/>
    </w:rPr>
  </w:style>
  <w:style w:type="paragraph" w:customStyle="1" w:styleId="139">
    <w:name w:val="Table Paragraph"/>
    <w:basedOn w:val="1"/>
    <w:autoRedefine/>
    <w:qFormat/>
    <w:uiPriority w:val="1"/>
    <w:pPr>
      <w:jc w:val="left"/>
    </w:pPr>
    <w:rPr>
      <w:rFonts w:ascii="Calibri" w:hAnsi="Calibri"/>
      <w:kern w:val="0"/>
      <w:sz w:val="22"/>
      <w:szCs w:val="22"/>
      <w:lang w:eastAsia="en-US"/>
    </w:rPr>
  </w:style>
  <w:style w:type="paragraph" w:customStyle="1" w:styleId="140">
    <w:name w:val="xl7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autoRedefine/>
    <w:qFormat/>
    <w:uiPriority w:val="0"/>
    <w:rPr>
      <w:rFonts w:ascii="Tahoma" w:hAnsi="Tahoma"/>
      <w:sz w:val="24"/>
      <w:szCs w:val="20"/>
    </w:rPr>
  </w:style>
  <w:style w:type="paragraph" w:customStyle="1" w:styleId="144">
    <w:name w:val="列出段落21"/>
    <w:basedOn w:val="1"/>
    <w:autoRedefine/>
    <w:unhideWhenUsed/>
    <w:qFormat/>
    <w:uiPriority w:val="99"/>
    <w:pPr>
      <w:ind w:firstLine="420" w:firstLineChars="200"/>
    </w:pPr>
  </w:style>
  <w:style w:type="paragraph" w:customStyle="1" w:styleId="145">
    <w:name w:val="Char1 Char Char Char Char Char Char1"/>
    <w:basedOn w:val="1"/>
    <w:autoRedefine/>
    <w:qFormat/>
    <w:uiPriority w:val="0"/>
    <w:pPr>
      <w:tabs>
        <w:tab w:val="left" w:pos="425"/>
      </w:tabs>
      <w:ind w:left="425" w:hanging="425"/>
    </w:pPr>
    <w:rPr>
      <w:sz w:val="24"/>
    </w:rPr>
  </w:style>
  <w:style w:type="paragraph" w:customStyle="1" w:styleId="146">
    <w:name w:val="font9"/>
    <w:basedOn w:val="1"/>
    <w:autoRedefine/>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autoRedefine/>
    <w:qFormat/>
    <w:uiPriority w:val="0"/>
    <w:pPr>
      <w:jc w:val="left"/>
    </w:pPr>
    <w:rPr>
      <w:spacing w:val="10"/>
      <w:kern w:val="0"/>
      <w:sz w:val="24"/>
    </w:rPr>
  </w:style>
  <w:style w:type="paragraph" w:customStyle="1" w:styleId="14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autoRedefine/>
    <w:qFormat/>
    <w:uiPriority w:val="0"/>
    <w:pPr>
      <w:widowControl/>
      <w:spacing w:beforeAutospacing="1" w:afterAutospacing="1" w:line="360" w:lineRule="auto"/>
      <w:textAlignment w:val="top"/>
    </w:pPr>
    <w:rPr>
      <w:kern w:val="0"/>
      <w:sz w:val="24"/>
    </w:rPr>
  </w:style>
  <w:style w:type="paragraph" w:customStyle="1" w:styleId="150">
    <w:name w:val="xl7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autoRedefine/>
    <w:qFormat/>
    <w:uiPriority w:val="0"/>
    <w:pPr>
      <w:widowControl/>
      <w:spacing w:line="240" w:lineRule="exact"/>
      <w:jc w:val="left"/>
    </w:pPr>
    <w:rPr>
      <w:rFonts w:ascii="宋体" w:hAnsi="宋体"/>
      <w:kern w:val="0"/>
      <w:sz w:val="20"/>
      <w:szCs w:val="20"/>
      <w:lang w:eastAsia="en-US"/>
    </w:rPr>
  </w:style>
  <w:style w:type="paragraph" w:customStyle="1" w:styleId="153">
    <w:name w:val="修订3"/>
    <w:autoRedefine/>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autoRedefine/>
    <w:qFormat/>
    <w:uiPriority w:val="0"/>
    <w:pPr>
      <w:tabs>
        <w:tab w:val="left" w:pos="360"/>
      </w:tabs>
    </w:pPr>
    <w:rPr>
      <w:sz w:val="24"/>
    </w:rPr>
  </w:style>
  <w:style w:type="paragraph" w:customStyle="1" w:styleId="156">
    <w:name w:val="列出段落2"/>
    <w:basedOn w:val="1"/>
    <w:autoRedefine/>
    <w:qFormat/>
    <w:uiPriority w:val="34"/>
    <w:pPr>
      <w:widowControl/>
      <w:ind w:firstLine="420" w:firstLineChars="200"/>
      <w:jc w:val="left"/>
    </w:pPr>
    <w:rPr>
      <w:rFonts w:ascii="Calibri" w:hAnsi="Calibri"/>
      <w:kern w:val="0"/>
      <w:szCs w:val="20"/>
    </w:rPr>
  </w:style>
  <w:style w:type="paragraph" w:customStyle="1" w:styleId="1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0"/>
    <w:autoRedefine/>
    <w:qFormat/>
    <w:uiPriority w:val="0"/>
    <w:pPr>
      <w:tabs>
        <w:tab w:val="right" w:leader="dot" w:pos="9458"/>
      </w:tabs>
    </w:pPr>
    <w:rPr>
      <w:i w:val="0"/>
    </w:rPr>
  </w:style>
  <w:style w:type="paragraph" w:customStyle="1" w:styleId="160">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autoRedefine/>
    <w:qFormat/>
    <w:uiPriority w:val="0"/>
    <w:pPr>
      <w:ind w:firstLine="567"/>
    </w:pPr>
    <w:rPr>
      <w:spacing w:val="20"/>
      <w:sz w:val="24"/>
      <w:szCs w:val="20"/>
    </w:rPr>
  </w:style>
  <w:style w:type="paragraph" w:customStyle="1" w:styleId="162">
    <w:name w:val="xl46"/>
    <w:basedOn w:val="1"/>
    <w:autoRedefine/>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autoRedefine/>
    <w:qFormat/>
    <w:uiPriority w:val="0"/>
  </w:style>
  <w:style w:type="paragraph" w:customStyle="1" w:styleId="166">
    <w:name w:val="Char Char Char Char Char Char Char Char Char Char Char Char Char Char Char Char Char Char1 Char Char Char1 Char"/>
    <w:basedOn w:val="1"/>
    <w:autoRedefine/>
    <w:qFormat/>
    <w:uiPriority w:val="0"/>
    <w:pPr>
      <w:tabs>
        <w:tab w:val="left" w:pos="360"/>
      </w:tabs>
      <w:ind w:left="360" w:hanging="360" w:hangingChars="200"/>
    </w:pPr>
    <w:rPr>
      <w:sz w:val="24"/>
    </w:rPr>
  </w:style>
  <w:style w:type="paragraph" w:customStyle="1" w:styleId="167">
    <w:name w:val="xl45"/>
    <w:basedOn w:val="1"/>
    <w:autoRedefine/>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autoRedefine/>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autoRedefine/>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autoRedefine/>
    <w:qFormat/>
    <w:uiPriority w:val="0"/>
    <w:pPr>
      <w:tabs>
        <w:tab w:val="left" w:pos="360"/>
      </w:tabs>
    </w:pPr>
    <w:rPr>
      <w:rFonts w:ascii="Calibri" w:hAnsi="Calibri"/>
      <w:sz w:val="24"/>
    </w:rPr>
  </w:style>
  <w:style w:type="paragraph" w:customStyle="1" w:styleId="175">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19"/>
    <w:autoRedefine/>
    <w:qFormat/>
    <w:uiPriority w:val="0"/>
    <w:pPr>
      <w:ind w:left="572" w:right="32" w:firstLine="478"/>
    </w:pPr>
    <w:rPr>
      <w:szCs w:val="21"/>
    </w:rPr>
  </w:style>
  <w:style w:type="paragraph" w:customStyle="1" w:styleId="178">
    <w:name w:val="xl10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autoRedefine/>
    <w:qFormat/>
    <w:uiPriority w:val="0"/>
    <w:pPr>
      <w:widowControl/>
      <w:jc w:val="center"/>
    </w:pPr>
    <w:rPr>
      <w:rFonts w:ascii="Arial" w:hAnsi="Arial"/>
      <w:b/>
      <w:kern w:val="0"/>
      <w:sz w:val="18"/>
      <w:szCs w:val="20"/>
    </w:rPr>
  </w:style>
  <w:style w:type="paragraph" w:customStyle="1" w:styleId="181">
    <w:name w:val="xl7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autoRedefine/>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autoRedefine/>
    <w:qFormat/>
    <w:uiPriority w:val="0"/>
    <w:rPr>
      <w:rFonts w:ascii="Tahoma" w:hAnsi="Tahoma"/>
      <w:sz w:val="24"/>
    </w:rPr>
  </w:style>
  <w:style w:type="paragraph" w:customStyle="1" w:styleId="189">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autoRedefine/>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autoRedefine/>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autoRedefine/>
    <w:qFormat/>
    <w:uiPriority w:val="0"/>
    <w:pPr>
      <w:tabs>
        <w:tab w:val="left" w:pos="1560"/>
      </w:tabs>
      <w:spacing w:line="300" w:lineRule="auto"/>
      <w:ind w:left="1560" w:hanging="360"/>
    </w:pPr>
    <w:rPr>
      <w:rFonts w:ascii="宋体"/>
      <w:sz w:val="24"/>
    </w:rPr>
  </w:style>
  <w:style w:type="paragraph" w:customStyle="1" w:styleId="196">
    <w:name w:val="xl10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autoRedefine/>
    <w:qFormat/>
    <w:uiPriority w:val="0"/>
    <w:rPr>
      <w:rFonts w:ascii="Arial" w:hAnsi="Arial"/>
      <w:spacing w:val="-12"/>
      <w:szCs w:val="20"/>
    </w:rPr>
  </w:style>
  <w:style w:type="paragraph" w:customStyle="1" w:styleId="19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autoRedefine/>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autoRedefine/>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autoRedefine/>
    <w:qFormat/>
    <w:uiPriority w:val="0"/>
    <w:pPr>
      <w:tabs>
        <w:tab w:val="left" w:pos="825"/>
      </w:tabs>
      <w:ind w:left="825" w:hanging="360"/>
    </w:pPr>
    <w:rPr>
      <w:rFonts w:ascii="Calibri" w:hAnsi="Calibri"/>
      <w:sz w:val="24"/>
    </w:rPr>
  </w:style>
  <w:style w:type="paragraph" w:customStyle="1" w:styleId="203">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autoRedefine/>
    <w:qFormat/>
    <w:uiPriority w:val="0"/>
  </w:style>
  <w:style w:type="paragraph" w:customStyle="1" w:styleId="205">
    <w:name w:val="修订1"/>
    <w:autoRedefine/>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autoRedefine/>
    <w:qFormat/>
    <w:uiPriority w:val="0"/>
    <w:pPr>
      <w:tabs>
        <w:tab w:val="left" w:pos="360"/>
      </w:tabs>
    </w:pPr>
    <w:rPr>
      <w:sz w:val="24"/>
    </w:rPr>
  </w:style>
  <w:style w:type="paragraph" w:customStyle="1" w:styleId="209">
    <w:name w:val="xl39"/>
    <w:basedOn w:val="1"/>
    <w:autoRedefine/>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autoRedefine/>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autoRedefine/>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autoRedefine/>
    <w:qFormat/>
    <w:uiPriority w:val="0"/>
    <w:pPr>
      <w:keepLines/>
      <w:widowControl/>
      <w:spacing w:beforeLines="50" w:afterLines="50" w:line="300" w:lineRule="auto"/>
    </w:pPr>
    <w:rPr>
      <w:rFonts w:ascii="Arial" w:hAnsi="Arial"/>
      <w:bCs/>
    </w:rPr>
  </w:style>
  <w:style w:type="paragraph" w:customStyle="1" w:styleId="216">
    <w:name w:val="正文文本缩进 21"/>
    <w:basedOn w:val="1"/>
    <w:autoRedefine/>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autoRedefine/>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autoRedefine/>
    <w:qFormat/>
    <w:uiPriority w:val="0"/>
    <w:pPr>
      <w:widowControl/>
      <w:spacing w:after="160" w:line="240" w:lineRule="exact"/>
      <w:jc w:val="left"/>
    </w:pPr>
    <w:rPr>
      <w:rFonts w:ascii="Calibri" w:hAnsi="Calibri"/>
    </w:rPr>
  </w:style>
  <w:style w:type="paragraph" w:customStyle="1" w:styleId="220">
    <w:name w:val="标题5"/>
    <w:basedOn w:val="1"/>
    <w:autoRedefine/>
    <w:qFormat/>
    <w:uiPriority w:val="0"/>
    <w:rPr>
      <w:rFonts w:ascii="宋体"/>
      <w:b/>
      <w:sz w:val="28"/>
    </w:rPr>
  </w:style>
  <w:style w:type="paragraph" w:customStyle="1" w:styleId="22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autoRedefine/>
    <w:qFormat/>
    <w:uiPriority w:val="0"/>
    <w:pPr>
      <w:adjustRightInd w:val="0"/>
      <w:ind w:firstLine="420"/>
      <w:textAlignment w:val="baseline"/>
    </w:pPr>
    <w:rPr>
      <w:sz w:val="24"/>
      <w:szCs w:val="20"/>
    </w:rPr>
  </w:style>
  <w:style w:type="paragraph" w:customStyle="1" w:styleId="223">
    <w:name w:val="xl81"/>
    <w:basedOn w:val="1"/>
    <w:autoRedefine/>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autoRedefine/>
    <w:qFormat/>
    <w:uiPriority w:val="0"/>
    <w:rPr>
      <w:rFonts w:ascii="Arial" w:hAnsi="Arial" w:cs="Arial"/>
      <w:bCs/>
      <w:sz w:val="24"/>
    </w:rPr>
  </w:style>
  <w:style w:type="paragraph" w:customStyle="1" w:styleId="226">
    <w:name w:val="xl115"/>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autoRedefine/>
    <w:qFormat/>
    <w:uiPriority w:val="0"/>
    <w:pPr>
      <w:spacing w:line="360" w:lineRule="auto"/>
      <w:ind w:firstLine="200" w:firstLineChars="200"/>
      <w:jc w:val="left"/>
    </w:pPr>
    <w:rPr>
      <w:sz w:val="24"/>
      <w:szCs w:val="21"/>
    </w:rPr>
  </w:style>
  <w:style w:type="paragraph" w:customStyle="1" w:styleId="231">
    <w:name w:val="xl32"/>
    <w:basedOn w:val="1"/>
    <w:autoRedefine/>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0"/>
    <w:autoRedefine/>
    <w:qFormat/>
    <w:uiPriority w:val="0"/>
    <w:pPr>
      <w:tabs>
        <w:tab w:val="right" w:leader="dot" w:pos="9458"/>
      </w:tabs>
    </w:pPr>
    <w:rPr>
      <w:rFonts w:ascii="Arial" w:cs="Arial"/>
      <w:i w:val="0"/>
    </w:rPr>
  </w:style>
  <w:style w:type="paragraph" w:customStyle="1" w:styleId="23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autoRedefine/>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autoRedefine/>
    <w:qFormat/>
    <w:uiPriority w:val="0"/>
    <w:pPr>
      <w:tabs>
        <w:tab w:val="left" w:pos="425"/>
      </w:tabs>
      <w:ind w:left="425" w:hanging="425"/>
    </w:pPr>
    <w:rPr>
      <w:sz w:val="24"/>
    </w:rPr>
  </w:style>
  <w:style w:type="paragraph" w:customStyle="1" w:styleId="243">
    <w:name w:val="xl110"/>
    <w:basedOn w:val="1"/>
    <w:autoRedefine/>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autoRedefine/>
    <w:qFormat/>
    <w:uiPriority w:val="0"/>
    <w:pPr>
      <w:tabs>
        <w:tab w:val="left" w:pos="360"/>
      </w:tabs>
      <w:ind w:left="360" w:hanging="360" w:hangingChars="200"/>
    </w:pPr>
    <w:rPr>
      <w:rFonts w:ascii="Calibri" w:hAnsi="Calibri"/>
      <w:sz w:val="24"/>
    </w:rPr>
  </w:style>
  <w:style w:type="paragraph" w:customStyle="1" w:styleId="247">
    <w:name w:val="xl7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autoRedefine/>
    <w:qFormat/>
    <w:uiPriority w:val="0"/>
    <w:pPr>
      <w:tabs>
        <w:tab w:val="left" w:pos="360"/>
      </w:tabs>
    </w:pPr>
    <w:rPr>
      <w:sz w:val="24"/>
    </w:rPr>
  </w:style>
  <w:style w:type="paragraph" w:customStyle="1" w:styleId="249">
    <w:name w:val="xl10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autoRedefine/>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autoRedefine/>
    <w:qFormat/>
    <w:uiPriority w:val="0"/>
    <w:pPr>
      <w:tabs>
        <w:tab w:val="left" w:pos="825"/>
      </w:tabs>
      <w:ind w:left="825" w:hanging="360"/>
    </w:pPr>
    <w:rPr>
      <w:sz w:val="24"/>
    </w:rPr>
  </w:style>
  <w:style w:type="paragraph" w:customStyle="1" w:styleId="25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autoRedefine/>
    <w:qFormat/>
    <w:uiPriority w:val="0"/>
    <w:pPr>
      <w:tabs>
        <w:tab w:val="left" w:pos="360"/>
      </w:tabs>
    </w:pPr>
    <w:rPr>
      <w:rFonts w:ascii="Calibri" w:hAnsi="Calibri"/>
      <w:sz w:val="24"/>
    </w:rPr>
  </w:style>
  <w:style w:type="paragraph" w:customStyle="1" w:styleId="258">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autoRedefine/>
    <w:qFormat/>
    <w:uiPriority w:val="0"/>
    <w:pPr>
      <w:ind w:firstLine="420"/>
    </w:pPr>
  </w:style>
  <w:style w:type="paragraph" w:customStyle="1" w:styleId="260">
    <w:name w:val="BodyTextIndent"/>
    <w:basedOn w:val="1"/>
    <w:autoRedefine/>
    <w:qFormat/>
    <w:uiPriority w:val="0"/>
    <w:pPr>
      <w:spacing w:after="120" w:line="360" w:lineRule="auto"/>
      <w:ind w:left="420" w:leftChars="200" w:firstLine="200" w:firstLineChars="200"/>
    </w:pPr>
  </w:style>
  <w:style w:type="paragraph" w:customStyle="1" w:styleId="261">
    <w:name w:val="UserStyle_13"/>
    <w:basedOn w:val="1"/>
    <w:autoRedefine/>
    <w:qFormat/>
    <w:uiPriority w:val="0"/>
    <w:pPr>
      <w:spacing w:line="360" w:lineRule="auto"/>
      <w:ind w:firstLine="200" w:firstLineChars="200"/>
    </w:pPr>
    <w:rPr>
      <w:rFonts w:ascii="宋体" w:hAnsi="宋体"/>
      <w:sz w:val="28"/>
    </w:rPr>
  </w:style>
  <w:style w:type="paragraph" w:customStyle="1" w:styleId="262">
    <w:name w:val="正文 New New New New New"/>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autoRedefine/>
    <w:unhideWhenUsed/>
    <w:qFormat/>
    <w:uiPriority w:val="2"/>
    <w:tblPr>
      <w:tblCellMar>
        <w:top w:w="0" w:type="dxa"/>
        <w:left w:w="0" w:type="dxa"/>
        <w:bottom w:w="0" w:type="dxa"/>
        <w:right w:w="0" w:type="dxa"/>
      </w:tblCellMar>
    </w:tblPr>
  </w:style>
  <w:style w:type="paragraph" w:customStyle="1" w:styleId="264">
    <w:name w:val="0正文"/>
    <w:basedOn w:val="1"/>
    <w:qFormat/>
    <w:uiPriority w:val="0"/>
    <w:pPr>
      <w:autoSpaceDE/>
      <w:autoSpaceDN/>
      <w:spacing w:line="360" w:lineRule="auto"/>
      <w:ind w:firstLine="200" w:firstLineChars="200"/>
      <w:jc w:val="both"/>
    </w:pPr>
    <w:rPr>
      <w:rFonts w:hint="eastAsia" w:ascii="Times New Roman" w:hAnsi="Times New Roman" w:cs="Times New Roman"/>
      <w:kern w:val="2"/>
      <w:sz w:val="24"/>
      <w:szCs w:val="24"/>
      <w:lang w:val="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3957</Words>
  <Characters>4202</Characters>
  <Lines>152</Lines>
  <Paragraphs>42</Paragraphs>
  <TotalTime>58</TotalTime>
  <ScaleCrop>false</ScaleCrop>
  <LinksUpToDate>false</LinksUpToDate>
  <CharactersWithSpaces>4337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2023-01-19T02:49:00Z</dcterms:created>
  <dc:creator>Lenovo User</dc:creator>
  <cp:lastModifiedBy>招标中心</cp:lastModifiedBy>
  <cp:lastPrinted>2017-04-13T08:53:00Z</cp:lastPrinted>
  <dcterms:modified xsi:type="dcterms:W3CDTF">2025-06-18T02:00:04Z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4AF229057215446EB7342BEB3BEF9E80_13</vt:lpwstr>
  </property>
  <property fmtid="{D5CDD505-2E9C-101B-9397-08002B2CF9AE}" pid="4" name="KSOTemplateDocerSaveRecord">
    <vt:lpwstr>eyJoZGlkIjoiYmY1YWVhNjBjOGUwZjNmZGJiOGZkMjUyOTA4MThkMmUiLCJ1c2VySWQiOiIxNTk1MDQ5MjkwIn0=</vt:lpwstr>
  </property>
</Properties>
</file>