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E2813">
      <w:pPr>
        <w:rPr>
          <w:rFonts w:ascii="宋体" w:hAnsi="宋体" w:cs="华文中宋"/>
          <w:sz w:val="44"/>
          <w:szCs w:val="44"/>
        </w:rPr>
      </w:pPr>
    </w:p>
    <w:p w14:paraId="2B4AF23E">
      <w:pPr>
        <w:jc w:val="center"/>
        <w:rPr>
          <w:rFonts w:asciiTheme="minorEastAsia" w:hAnsiTheme="minorEastAsia" w:eastAsiaTheme="minorEastAsia"/>
          <w:b/>
          <w:sz w:val="36"/>
          <w:szCs w:val="36"/>
        </w:rPr>
      </w:pPr>
      <w:r>
        <w:rPr>
          <w:rFonts w:hint="eastAsia" w:cs="华文中宋" w:asciiTheme="minorEastAsia" w:hAnsiTheme="minorEastAsia" w:eastAsiaTheme="minorEastAsia"/>
          <w:b/>
          <w:sz w:val="36"/>
          <w:szCs w:val="36"/>
        </w:rPr>
        <w:t>项目名称：文昌市锦山中学食堂委托经营管理</w:t>
      </w:r>
    </w:p>
    <w:p w14:paraId="65C46A58">
      <w:pPr>
        <w:pStyle w:val="4"/>
        <w:spacing w:line="440" w:lineRule="exact"/>
        <w:jc w:val="center"/>
        <w:rPr>
          <w:rFonts w:asciiTheme="minorEastAsia" w:hAnsiTheme="minorEastAsia" w:eastAsiaTheme="minorEastAsia"/>
          <w:b w:val="0"/>
          <w:sz w:val="44"/>
          <w:szCs w:val="44"/>
        </w:rPr>
      </w:pPr>
      <w:r>
        <w:rPr>
          <w:rFonts w:hint="eastAsia" w:cs="仿宋_GB2312" w:asciiTheme="minorEastAsia" w:hAnsiTheme="minorEastAsia" w:eastAsiaTheme="minorEastAsia"/>
          <w:b w:val="0"/>
        </w:rPr>
        <w:t>项目编号：HNJY2025-66-4</w:t>
      </w:r>
    </w:p>
    <w:p w14:paraId="22E69714">
      <w:pPr>
        <w:pStyle w:val="4"/>
        <w:spacing w:line="360" w:lineRule="auto"/>
        <w:jc w:val="center"/>
        <w:rPr>
          <w:rFonts w:asciiTheme="minorEastAsia" w:hAnsiTheme="minorEastAsia" w:eastAsiaTheme="minorEastAsia"/>
          <w:sz w:val="84"/>
          <w:szCs w:val="84"/>
        </w:rPr>
      </w:pPr>
      <w:r>
        <w:rPr>
          <w:rFonts w:hint="eastAsia" w:cs="宋体" w:asciiTheme="minorEastAsia" w:hAnsiTheme="minorEastAsia" w:eastAsiaTheme="minorEastAsia"/>
          <w:sz w:val="84"/>
          <w:szCs w:val="84"/>
        </w:rPr>
        <w:t>招</w:t>
      </w:r>
    </w:p>
    <w:p w14:paraId="410D40F0">
      <w:pPr>
        <w:pStyle w:val="4"/>
        <w:spacing w:line="360" w:lineRule="auto"/>
        <w:jc w:val="center"/>
        <w:rPr>
          <w:rFonts w:asciiTheme="minorEastAsia" w:hAnsiTheme="minorEastAsia" w:eastAsiaTheme="minorEastAsia"/>
          <w:sz w:val="84"/>
          <w:szCs w:val="84"/>
        </w:rPr>
      </w:pPr>
      <w:r>
        <w:rPr>
          <w:rFonts w:hint="eastAsia" w:cs="宋体" w:asciiTheme="minorEastAsia" w:hAnsiTheme="minorEastAsia" w:eastAsiaTheme="minorEastAsia"/>
          <w:sz w:val="84"/>
          <w:szCs w:val="84"/>
        </w:rPr>
        <w:t>标</w:t>
      </w:r>
    </w:p>
    <w:p w14:paraId="405FDA5B">
      <w:pPr>
        <w:pStyle w:val="4"/>
        <w:spacing w:line="360" w:lineRule="auto"/>
        <w:jc w:val="center"/>
        <w:rPr>
          <w:rFonts w:cs="宋体" w:asciiTheme="minorEastAsia" w:hAnsiTheme="minorEastAsia" w:eastAsiaTheme="minorEastAsia"/>
          <w:sz w:val="84"/>
          <w:szCs w:val="84"/>
        </w:rPr>
      </w:pPr>
      <w:r>
        <w:rPr>
          <w:rFonts w:hint="eastAsia" w:cs="宋体" w:asciiTheme="minorEastAsia" w:hAnsiTheme="minorEastAsia" w:eastAsiaTheme="minorEastAsia"/>
          <w:sz w:val="84"/>
          <w:szCs w:val="84"/>
        </w:rPr>
        <w:t>文</w:t>
      </w:r>
    </w:p>
    <w:p w14:paraId="4CAF3D81">
      <w:pPr>
        <w:pStyle w:val="4"/>
        <w:spacing w:line="360" w:lineRule="auto"/>
        <w:jc w:val="center"/>
        <w:rPr>
          <w:rFonts w:cs="宋体" w:asciiTheme="minorEastAsia" w:hAnsiTheme="minorEastAsia" w:eastAsiaTheme="minorEastAsia"/>
          <w:sz w:val="84"/>
          <w:szCs w:val="84"/>
        </w:rPr>
      </w:pPr>
      <w:r>
        <w:rPr>
          <w:rFonts w:hint="eastAsia" w:cs="宋体" w:asciiTheme="minorEastAsia" w:hAnsiTheme="minorEastAsia" w:eastAsiaTheme="minorEastAsia"/>
          <w:sz w:val="84"/>
          <w:szCs w:val="84"/>
        </w:rPr>
        <w:t>件</w:t>
      </w:r>
    </w:p>
    <w:p w14:paraId="1AB738EE">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采购人：文昌市锦山中学</w:t>
      </w:r>
    </w:p>
    <w:p w14:paraId="58A3F80F">
      <w:pPr>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采购代理机构：海南省教学仪器设备招标中心有限公司</w:t>
      </w:r>
    </w:p>
    <w:p w14:paraId="7D44CE70">
      <w:pPr>
        <w:pStyle w:val="4"/>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2025年6月</w:t>
      </w:r>
    </w:p>
    <w:p w14:paraId="4CB9E8A2">
      <w:pPr>
        <w:rPr>
          <w:rFonts w:asciiTheme="minorEastAsia" w:hAnsiTheme="minorEastAsia" w:eastAsiaTheme="minorEastAsia"/>
        </w:rPr>
      </w:pPr>
    </w:p>
    <w:p w14:paraId="5D24EE18"/>
    <w:p w14:paraId="4C79B9CB">
      <w:r>
        <w:rPr>
          <w:rFonts w:asciiTheme="minorEastAsia" w:hAnsiTheme="minorEastAsia" w:eastAsiaTheme="minorEastAsia"/>
        </w:rPr>
        <w:br w:type="page"/>
      </w:r>
    </w:p>
    <w:p w14:paraId="2AB0CCE0">
      <w:pPr>
        <w:pStyle w:val="4"/>
        <w:numPr>
          <w:ilvl w:val="0"/>
          <w:numId w:val="1"/>
        </w:numPr>
        <w:spacing w:before="0" w:after="0" w:line="700" w:lineRule="exact"/>
        <w:jc w:val="center"/>
        <w:rPr>
          <w:rFonts w:asciiTheme="minorEastAsia" w:hAnsiTheme="minorEastAsia" w:eastAsiaTheme="minorEastAsia"/>
          <w:sz w:val="44"/>
          <w:szCs w:val="44"/>
        </w:rPr>
      </w:pPr>
      <w:r>
        <w:rPr>
          <w:rFonts w:hint="eastAsia" w:cs="华文中宋" w:asciiTheme="minorEastAsia" w:hAnsiTheme="minorEastAsia" w:eastAsiaTheme="minorEastAsia"/>
          <w:sz w:val="44"/>
          <w:szCs w:val="44"/>
        </w:rPr>
        <w:t>招标邀请函</w:t>
      </w:r>
    </w:p>
    <w:p w14:paraId="14750A9A">
      <w:pPr>
        <w:spacing w:line="360" w:lineRule="auto"/>
        <w:ind w:firstLine="480" w:firstLineChars="200"/>
        <w:rPr>
          <w:rFonts w:cs="Times New Roman" w:asciiTheme="minorEastAsia" w:hAnsiTheme="minorEastAsia" w:eastAsiaTheme="minorEastAsia"/>
          <w:sz w:val="24"/>
          <w:szCs w:val="24"/>
        </w:rPr>
      </w:pP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14:paraId="672FE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3" w:hRule="atLeast"/>
          <w:jc w:val="center"/>
        </w:trPr>
        <w:tc>
          <w:tcPr>
            <w:tcW w:w="5000" w:type="pct"/>
            <w:vAlign w:val="center"/>
          </w:tcPr>
          <w:p w14:paraId="761D6B66">
            <w:pPr>
              <w:adjustRightInd w:val="0"/>
              <w:snapToGrid w:val="0"/>
              <w:spacing w:line="400" w:lineRule="exact"/>
              <w:ind w:firstLine="480" w:firstLineChars="20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项目概况</w:t>
            </w:r>
          </w:p>
          <w:p w14:paraId="2C71445E">
            <w:pPr>
              <w:pStyle w:val="18"/>
              <w:shd w:val="clear" w:color="auto" w:fill="FFFFFF"/>
              <w:adjustRightInd w:val="0"/>
              <w:snapToGrid w:val="0"/>
              <w:spacing w:before="0" w:beforeAutospacing="0" w:after="0" w:afterAutospacing="0" w:line="40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文昌市锦山中学食堂委托经营管理的潜在供应商应在海南省教学仪器设备招标中心有限公司（海南省海口市蓝天路西2-8号）</w:t>
            </w:r>
            <w:r>
              <w:rPr>
                <w:rFonts w:hint="eastAsia" w:asciiTheme="minorEastAsia" w:hAnsiTheme="minorEastAsia" w:eastAsiaTheme="minorEastAsia"/>
              </w:rPr>
              <w:t>获取采购文件，并于</w:t>
            </w:r>
            <w:r>
              <w:rPr>
                <w:rFonts w:hint="eastAsia" w:asciiTheme="minorEastAsia" w:hAnsiTheme="minorEastAsia" w:eastAsiaTheme="minorEastAsia"/>
                <w:u w:val="single"/>
              </w:rPr>
              <w:t>2025年7月2日09点00分（北京时间）</w:t>
            </w:r>
            <w:r>
              <w:rPr>
                <w:rFonts w:hint="eastAsia" w:asciiTheme="minorEastAsia" w:hAnsiTheme="minorEastAsia" w:eastAsiaTheme="minorEastAsia"/>
                <w:bCs/>
              </w:rPr>
              <w:t>前递交投标</w:t>
            </w:r>
            <w:r>
              <w:rPr>
                <w:rFonts w:asciiTheme="minorEastAsia" w:hAnsiTheme="minorEastAsia" w:eastAsiaTheme="minorEastAsia"/>
                <w:bCs/>
              </w:rPr>
              <w:t>文件</w:t>
            </w:r>
            <w:r>
              <w:rPr>
                <w:rFonts w:hint="eastAsia" w:asciiTheme="minorEastAsia" w:hAnsiTheme="minorEastAsia" w:eastAsiaTheme="minorEastAsia"/>
              </w:rPr>
              <w:t>。</w:t>
            </w:r>
          </w:p>
        </w:tc>
      </w:tr>
    </w:tbl>
    <w:p w14:paraId="7AB533BF">
      <w:pPr>
        <w:spacing w:line="540" w:lineRule="exact"/>
        <w:rPr>
          <w:rFonts w:ascii="宋体" w:hAnsi="宋体" w:cs="宋体"/>
          <w:b/>
          <w:bCs/>
          <w:sz w:val="24"/>
          <w:szCs w:val="24"/>
        </w:rPr>
      </w:pPr>
      <w:r>
        <w:rPr>
          <w:rFonts w:hint="eastAsia" w:ascii="宋体" w:hAnsi="宋体" w:cs="宋体"/>
          <w:b/>
          <w:bCs/>
          <w:sz w:val="24"/>
          <w:szCs w:val="24"/>
        </w:rPr>
        <w:t>一、招标项目的名称、数量、简要技术要求</w:t>
      </w:r>
    </w:p>
    <w:p w14:paraId="566558E5">
      <w:pPr>
        <w:spacing w:line="360" w:lineRule="auto"/>
        <w:ind w:left="420" w:leftChars="200"/>
        <w:rPr>
          <w:rFonts w:ascii="宋体" w:hAnsi="宋体" w:cs="宋体"/>
          <w:sz w:val="24"/>
          <w:szCs w:val="24"/>
        </w:rPr>
      </w:pPr>
      <w:r>
        <w:rPr>
          <w:rFonts w:hint="eastAsia" w:ascii="宋体" w:hAnsi="宋体" w:cs="宋体"/>
          <w:sz w:val="24"/>
          <w:szCs w:val="24"/>
        </w:rPr>
        <w:t>1.1项目名称：文昌市锦山中学食堂委托经营管理</w:t>
      </w:r>
    </w:p>
    <w:p w14:paraId="6A820B7A">
      <w:pPr>
        <w:spacing w:line="360" w:lineRule="auto"/>
        <w:ind w:left="420" w:leftChars="200"/>
        <w:rPr>
          <w:rFonts w:ascii="宋体" w:hAnsi="宋体" w:cs="宋体"/>
          <w:sz w:val="24"/>
          <w:szCs w:val="24"/>
        </w:rPr>
      </w:pPr>
      <w:r>
        <w:rPr>
          <w:rFonts w:hint="eastAsia" w:ascii="宋体" w:hAnsi="宋体" w:cs="宋体"/>
          <w:sz w:val="24"/>
          <w:szCs w:val="24"/>
        </w:rPr>
        <w:t>1.2项目编号:HNJY2025-66-4</w:t>
      </w:r>
    </w:p>
    <w:p w14:paraId="0EEC5B45">
      <w:pPr>
        <w:spacing w:line="360" w:lineRule="auto"/>
        <w:ind w:left="420" w:leftChars="200"/>
        <w:rPr>
          <w:rFonts w:ascii="宋体" w:hAnsi="宋体" w:cs="宋体"/>
          <w:sz w:val="24"/>
          <w:szCs w:val="24"/>
        </w:rPr>
      </w:pPr>
      <w:r>
        <w:rPr>
          <w:rFonts w:hint="eastAsia" w:ascii="宋体" w:hAnsi="宋体" w:cs="宋体"/>
          <w:sz w:val="24"/>
          <w:szCs w:val="24"/>
        </w:rPr>
        <w:t>1.3采购方式：公开招标</w:t>
      </w:r>
    </w:p>
    <w:p w14:paraId="46C389FE">
      <w:pPr>
        <w:spacing w:line="360" w:lineRule="auto"/>
        <w:ind w:left="420" w:leftChars="200"/>
        <w:rPr>
          <w:rFonts w:ascii="宋体" w:hAnsi="宋体" w:cs="宋体"/>
          <w:sz w:val="24"/>
          <w:szCs w:val="24"/>
        </w:rPr>
      </w:pPr>
      <w:r>
        <w:rPr>
          <w:rFonts w:hint="eastAsia" w:ascii="宋体" w:hAnsi="宋体" w:cs="宋体"/>
          <w:sz w:val="24"/>
          <w:szCs w:val="24"/>
        </w:rPr>
        <w:t>1.4预算金额：0元</w:t>
      </w:r>
    </w:p>
    <w:p w14:paraId="777604CA">
      <w:pPr>
        <w:spacing w:line="360" w:lineRule="auto"/>
        <w:ind w:left="420" w:leftChars="200"/>
        <w:rPr>
          <w:rFonts w:ascii="宋体" w:hAnsi="宋体" w:cs="宋体"/>
          <w:sz w:val="24"/>
          <w:szCs w:val="24"/>
        </w:rPr>
      </w:pPr>
      <w:r>
        <w:rPr>
          <w:rFonts w:hint="eastAsia" w:ascii="宋体" w:hAnsi="宋体" w:cs="宋体"/>
          <w:sz w:val="24"/>
          <w:szCs w:val="24"/>
        </w:rPr>
        <w:t>1.5数量及分包：1个标段</w:t>
      </w:r>
    </w:p>
    <w:p w14:paraId="5B3946D5">
      <w:pPr>
        <w:spacing w:line="360" w:lineRule="auto"/>
        <w:ind w:left="420" w:leftChars="200"/>
        <w:rPr>
          <w:rFonts w:ascii="宋体" w:hAnsi="宋体" w:cs="宋体"/>
          <w:sz w:val="24"/>
          <w:szCs w:val="24"/>
        </w:rPr>
      </w:pPr>
      <w:r>
        <w:rPr>
          <w:rFonts w:hint="eastAsia" w:ascii="宋体" w:hAnsi="宋体" w:cs="宋体"/>
          <w:sz w:val="24"/>
          <w:szCs w:val="24"/>
        </w:rPr>
        <w:t>1.6采购需求：文昌市锦山中学食堂委托经营管理，详见招标文件“用户需求书”。</w:t>
      </w:r>
    </w:p>
    <w:p w14:paraId="7E1C2107">
      <w:pPr>
        <w:spacing w:line="360" w:lineRule="auto"/>
        <w:ind w:left="420" w:leftChars="200"/>
        <w:rPr>
          <w:rFonts w:ascii="宋体" w:hAnsi="宋体" w:cs="宋体"/>
          <w:sz w:val="24"/>
          <w:szCs w:val="24"/>
        </w:rPr>
      </w:pPr>
      <w:r>
        <w:rPr>
          <w:rFonts w:hint="eastAsia" w:ascii="宋体" w:hAnsi="宋体" w:cs="宋体"/>
          <w:sz w:val="24"/>
          <w:szCs w:val="24"/>
        </w:rPr>
        <w:t>1.7食堂委托经营年限为：委托经营合同有效期限为三年,自签订合同之日起计算。</w:t>
      </w:r>
    </w:p>
    <w:p w14:paraId="6E47B7D2">
      <w:pPr>
        <w:spacing w:line="360" w:lineRule="auto"/>
        <w:ind w:left="420" w:leftChars="200"/>
        <w:rPr>
          <w:rFonts w:ascii="宋体" w:hAnsi="宋体" w:cs="宋体"/>
          <w:sz w:val="24"/>
          <w:szCs w:val="24"/>
        </w:rPr>
      </w:pPr>
      <w:r>
        <w:rPr>
          <w:rFonts w:hint="eastAsia" w:ascii="宋体" w:hAnsi="宋体" w:cs="宋体"/>
          <w:sz w:val="24"/>
          <w:szCs w:val="24"/>
        </w:rPr>
        <w:t>1.8项目概况：食堂采取“委托企业经营模式”。委托经营场地为食堂。实行场地“零租赁”,免收场地租赁费,免收食堂设备使用费。中标餐饮经营者自主装修、自主经营、自负盈亏。食堂经营产生的水电费、垃圾处理费、人工工资由经营企业负责。</w:t>
      </w:r>
    </w:p>
    <w:p w14:paraId="012116A7">
      <w:pPr>
        <w:spacing w:line="360" w:lineRule="auto"/>
        <w:ind w:left="420" w:leftChars="200"/>
        <w:rPr>
          <w:rFonts w:ascii="宋体" w:hAnsi="宋体" w:cs="宋体"/>
          <w:sz w:val="24"/>
          <w:szCs w:val="24"/>
        </w:rPr>
      </w:pPr>
      <w:r>
        <w:rPr>
          <w:rFonts w:hint="eastAsia" w:ascii="宋体" w:hAnsi="宋体" w:cs="宋体"/>
          <w:sz w:val="24"/>
          <w:szCs w:val="24"/>
        </w:rPr>
        <w:t>1.9本项目不接受联合体。</w:t>
      </w:r>
    </w:p>
    <w:p w14:paraId="0228607B">
      <w:pPr>
        <w:spacing w:line="540" w:lineRule="exact"/>
        <w:ind w:firstLine="482" w:firstLineChars="200"/>
        <w:rPr>
          <w:rFonts w:ascii="宋体" w:hAnsi="宋体" w:cs="宋体"/>
          <w:b/>
          <w:bCs/>
          <w:sz w:val="24"/>
          <w:szCs w:val="24"/>
        </w:rPr>
      </w:pPr>
      <w:r>
        <w:rPr>
          <w:rFonts w:hint="eastAsia" w:ascii="宋体" w:hAnsi="宋体" w:cs="宋体"/>
          <w:b/>
          <w:bCs/>
          <w:sz w:val="24"/>
          <w:szCs w:val="24"/>
        </w:rPr>
        <w:t>二、投标人资格要求</w:t>
      </w:r>
    </w:p>
    <w:p w14:paraId="52B1AFFE">
      <w:pPr>
        <w:spacing w:line="540" w:lineRule="exact"/>
        <w:ind w:firstLine="480" w:firstLineChars="200"/>
        <w:rPr>
          <w:rFonts w:ascii="宋体" w:hAnsi="宋体" w:cs="宋体"/>
          <w:sz w:val="24"/>
          <w:szCs w:val="24"/>
        </w:rPr>
      </w:pPr>
      <w:r>
        <w:rPr>
          <w:rFonts w:hint="eastAsia" w:ascii="宋体" w:hAnsi="宋体" w:cs="宋体"/>
          <w:sz w:val="24"/>
          <w:szCs w:val="24"/>
        </w:rPr>
        <w:t>2.1满足《中华人民共和国政府采购法》第二十二条规定；</w:t>
      </w:r>
    </w:p>
    <w:p w14:paraId="66756E48">
      <w:pPr>
        <w:spacing w:line="540" w:lineRule="exact"/>
        <w:ind w:firstLine="480" w:firstLineChars="200"/>
        <w:rPr>
          <w:rFonts w:ascii="宋体" w:hAnsi="宋体" w:cs="宋体"/>
          <w:sz w:val="24"/>
          <w:szCs w:val="24"/>
        </w:rPr>
      </w:pPr>
      <w:r>
        <w:rPr>
          <w:rFonts w:hint="eastAsia" w:ascii="宋体" w:hAnsi="宋体" w:cs="宋体"/>
          <w:sz w:val="24"/>
          <w:szCs w:val="24"/>
        </w:rPr>
        <w:t>2.2落实政府采购政策需满足的资格要求：无；</w:t>
      </w:r>
    </w:p>
    <w:p w14:paraId="66E65D72">
      <w:pPr>
        <w:spacing w:line="540" w:lineRule="exact"/>
        <w:ind w:firstLine="480" w:firstLineChars="200"/>
        <w:rPr>
          <w:rFonts w:ascii="宋体" w:hAnsi="宋体" w:cs="宋体"/>
          <w:sz w:val="24"/>
          <w:szCs w:val="24"/>
        </w:rPr>
      </w:pPr>
      <w:r>
        <w:rPr>
          <w:rFonts w:hint="eastAsia" w:ascii="宋体" w:hAnsi="宋体" w:cs="宋体"/>
          <w:sz w:val="24"/>
          <w:szCs w:val="24"/>
        </w:rPr>
        <w:t>2.3本项目的特定资格要求：</w:t>
      </w:r>
    </w:p>
    <w:p w14:paraId="07A8F77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2.3.1具有独立承担民事责任的能力。依法取得营业执照。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w:t>
      </w:r>
    </w:p>
    <w:p w14:paraId="5DE358B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2.3.2具有良好的商业信誉和健全的财务会计制度(提供承诺函）：</w:t>
      </w:r>
    </w:p>
    <w:p w14:paraId="0687A41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2.3.3具有履行合同所必需的设备和专业技术能力（提供承诺书）；</w:t>
      </w:r>
    </w:p>
    <w:p w14:paraId="6152273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2.3.4具有依法缴纳税收和社会保障资金的良好记录（提供承诺函）；</w:t>
      </w:r>
    </w:p>
    <w:p w14:paraId="4C955E7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2.3.5参加本次政府采购活动前三年内，在经营活动中没有重大违法记录（成立不足三年的从成立之日起计算，提供声明）；</w:t>
      </w:r>
    </w:p>
    <w:p w14:paraId="5450D25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2.3.6参加本次政府采购活动前三年内，在经营活动中没有环保类行政处罚记录（成立不足三年的从成立之日起计算，提供声明）；</w:t>
      </w:r>
    </w:p>
    <w:p w14:paraId="70084DB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2.3.7依法取得食品经营许可证，并始终保持合法有效。投标人具有在有效期内的食品经营许可证或餐饮服务许可证，或投标人正在经营的学校食堂或企事业单位食堂已取得食品经营许可证或餐饮服务许可证的，视为符合条件(投标人取得证照的提供证照复印件并加盖投标人公章，投标人取得所经营学校等食堂证照的，提供证照复印件及对应合同复印件并加盖投标人公章)。</w:t>
      </w:r>
    </w:p>
    <w:p w14:paraId="2068F339">
      <w:pPr>
        <w:pStyle w:val="16"/>
        <w:spacing w:line="240" w:lineRule="auto"/>
        <w:ind w:firstLine="480" w:firstLineChars="200"/>
        <w:rPr>
          <w:rFonts w:ascii="宋体" w:hAnsi="宋体" w:cs="宋体"/>
          <w:sz w:val="24"/>
          <w:szCs w:val="24"/>
        </w:rPr>
      </w:pPr>
      <w:r>
        <w:rPr>
          <w:rFonts w:hint="eastAsia" w:ascii="宋体" w:hAnsi="宋体" w:cs="宋体"/>
          <w:sz w:val="24"/>
          <w:szCs w:val="24"/>
        </w:rPr>
        <w:t>2.3.8社会信誉良好，近三年内未发生食品安全事故、未受到相关食品安全行政处罚、未发生消防安全事故。提供近三年内未被立案查处、未发生食物中毒事件、未发生消防安全事故等方面的不良记录承诺书。</w:t>
      </w:r>
    </w:p>
    <w:p w14:paraId="5D1F4FF0">
      <w:pPr>
        <w:pStyle w:val="16"/>
        <w:spacing w:line="240" w:lineRule="auto"/>
        <w:ind w:firstLine="480" w:firstLineChars="200"/>
        <w:rPr>
          <w:rFonts w:ascii="宋体" w:hAnsi="宋体" w:cs="宋体"/>
          <w:sz w:val="24"/>
          <w:szCs w:val="24"/>
        </w:rPr>
      </w:pPr>
      <w:r>
        <w:rPr>
          <w:rFonts w:hint="eastAsia" w:ascii="宋体" w:hAnsi="宋体" w:cs="宋体"/>
          <w:sz w:val="24"/>
          <w:szCs w:val="24"/>
        </w:rPr>
        <w:t>2.3.9应具备应对台风等自然灾害的应急处置能力，确保受灾期间正常供餐（提供承诺函）</w:t>
      </w:r>
    </w:p>
    <w:p w14:paraId="2F5A4EFA">
      <w:pPr>
        <w:spacing w:line="540" w:lineRule="exact"/>
        <w:ind w:firstLine="480" w:firstLineChars="200"/>
        <w:rPr>
          <w:rFonts w:ascii="宋体" w:hAnsi="宋体" w:cs="宋体"/>
          <w:sz w:val="24"/>
          <w:szCs w:val="24"/>
        </w:rPr>
      </w:pPr>
      <w:r>
        <w:rPr>
          <w:rFonts w:hint="eastAsia" w:ascii="宋体" w:hAnsi="宋体" w:cs="宋体"/>
          <w:sz w:val="24"/>
          <w:szCs w:val="24"/>
        </w:rPr>
        <w:t>2.4在“信用中国”网站（www.creditchina.gov.cn）、中国政府采购网（www.ccgp.gov.cn）没有列入失信被执行人、重大税收违法失信主体、政府采购严重违法失信行为记录名单的投标人。（注：采购人或采购代理机构将于本项目投标截止日前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59F098E9">
      <w:pPr>
        <w:adjustRightInd w:val="0"/>
        <w:snapToGrid w:val="0"/>
        <w:spacing w:line="400" w:lineRule="exact"/>
        <w:ind w:firstLine="482" w:firstLineChars="200"/>
        <w:rPr>
          <w:rFonts w:asciiTheme="minorEastAsia" w:hAnsiTheme="minorEastAsia" w:eastAsiaTheme="minorEastAsia"/>
          <w:b/>
          <w:sz w:val="24"/>
          <w:szCs w:val="24"/>
        </w:rPr>
      </w:pPr>
      <w:bookmarkStart w:id="0" w:name="_Toc35393631"/>
      <w:bookmarkStart w:id="1" w:name="_Toc35393800"/>
      <w:bookmarkStart w:id="2" w:name="_Toc35393804"/>
      <w:bookmarkStart w:id="3" w:name="_Toc35393635"/>
      <w:r>
        <w:rPr>
          <w:rFonts w:hint="eastAsia" w:asciiTheme="minorEastAsia" w:hAnsiTheme="minorEastAsia" w:eastAsiaTheme="minorEastAsia"/>
          <w:b/>
          <w:sz w:val="24"/>
          <w:szCs w:val="24"/>
        </w:rPr>
        <w:t>三、获取采购文件</w:t>
      </w:r>
      <w:bookmarkEnd w:id="0"/>
      <w:bookmarkEnd w:id="1"/>
    </w:p>
    <w:p w14:paraId="13AB9C72">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时间：2025年6月6日至2025年6月13日，每天上午08:30至12:00　，下午14:30至17:30　（北京时间，法定节假日除外 ）</w:t>
      </w:r>
    </w:p>
    <w:p w14:paraId="1079C8A7">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地点：海南省海口市蓝天路2-8号</w:t>
      </w:r>
    </w:p>
    <w:p w14:paraId="55847030">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方式：现场购买</w:t>
      </w:r>
    </w:p>
    <w:p w14:paraId="7CAE3F9B">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售价：300元</w:t>
      </w:r>
    </w:p>
    <w:p w14:paraId="73472FC1">
      <w:pPr>
        <w:adjustRightInd w:val="0"/>
        <w:snapToGrid w:val="0"/>
        <w:spacing w:line="400" w:lineRule="exact"/>
        <w:ind w:firstLine="482" w:firstLineChars="200"/>
        <w:rPr>
          <w:rFonts w:asciiTheme="minorEastAsia" w:hAnsiTheme="minorEastAsia" w:eastAsiaTheme="minorEastAsia"/>
          <w:b/>
          <w:sz w:val="24"/>
          <w:szCs w:val="24"/>
        </w:rPr>
      </w:pPr>
      <w:bookmarkStart w:id="4" w:name="_Toc35393801"/>
      <w:bookmarkStart w:id="5" w:name="_Toc35393632"/>
      <w:bookmarkStart w:id="6" w:name="_Toc28359015"/>
      <w:bookmarkStart w:id="7" w:name="_Toc28359092"/>
      <w:r>
        <w:rPr>
          <w:rFonts w:hint="eastAsia" w:asciiTheme="minorEastAsia" w:hAnsiTheme="minorEastAsia" w:eastAsiaTheme="minorEastAsia"/>
          <w:b/>
          <w:sz w:val="24"/>
          <w:szCs w:val="24"/>
        </w:rPr>
        <w:t>四、</w:t>
      </w:r>
      <w:bookmarkEnd w:id="4"/>
      <w:bookmarkEnd w:id="5"/>
      <w:bookmarkEnd w:id="6"/>
      <w:bookmarkEnd w:id="7"/>
      <w:r>
        <w:rPr>
          <w:rFonts w:hint="eastAsia" w:asciiTheme="minorEastAsia" w:hAnsiTheme="minorEastAsia" w:eastAsiaTheme="minorEastAsia"/>
          <w:b/>
          <w:sz w:val="24"/>
          <w:szCs w:val="24"/>
        </w:rPr>
        <w:t>提交投标文件截止时间、开标时间和地点</w:t>
      </w:r>
    </w:p>
    <w:p w14:paraId="58AC54B9">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截止时间：2025年7月2日09点00分（北京时间）</w:t>
      </w:r>
    </w:p>
    <w:p w14:paraId="78F94033">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地点：海南省海口市蓝天路西2-8号、海南省教学仪器设备招标中心有限公司</w:t>
      </w:r>
      <w:bookmarkStart w:id="8" w:name="_Toc28359007"/>
      <w:bookmarkStart w:id="9" w:name="_Toc35393625"/>
      <w:bookmarkStart w:id="10" w:name="_Toc35393794"/>
      <w:bookmarkStart w:id="11" w:name="_Toc28359084"/>
      <w:r>
        <w:rPr>
          <w:rFonts w:hint="eastAsia" w:asciiTheme="minorEastAsia" w:hAnsiTheme="minorEastAsia" w:eastAsiaTheme="minorEastAsia"/>
          <w:sz w:val="24"/>
          <w:szCs w:val="24"/>
        </w:rPr>
        <w:t>开标室。</w:t>
      </w:r>
    </w:p>
    <w:p w14:paraId="7C262519">
      <w:pPr>
        <w:adjustRightInd w:val="0"/>
        <w:snapToGrid w:val="0"/>
        <w:spacing w:line="4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五、公告期限</w:t>
      </w:r>
      <w:bookmarkEnd w:id="8"/>
      <w:bookmarkEnd w:id="9"/>
      <w:bookmarkEnd w:id="10"/>
      <w:bookmarkEnd w:id="11"/>
    </w:p>
    <w:p w14:paraId="180C45B2">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自本公告发布之日起5个工作日。</w:t>
      </w:r>
    </w:p>
    <w:bookmarkEnd w:id="2"/>
    <w:bookmarkEnd w:id="3"/>
    <w:p w14:paraId="14CD6A05">
      <w:pPr>
        <w:adjustRightInd w:val="0"/>
        <w:snapToGrid w:val="0"/>
        <w:spacing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六、其他补充事宜</w:t>
      </w:r>
    </w:p>
    <w:p w14:paraId="4C4EA33A">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1、标</w:t>
      </w:r>
      <w:r>
        <w:rPr>
          <w:rFonts w:asciiTheme="minorEastAsia" w:hAnsiTheme="minorEastAsia" w:eastAsiaTheme="minorEastAsia"/>
          <w:sz w:val="24"/>
          <w:szCs w:val="24"/>
        </w:rPr>
        <w:t>书售后不退</w:t>
      </w:r>
      <w:r>
        <w:rPr>
          <w:rFonts w:hint="eastAsia" w:asciiTheme="minorEastAsia" w:hAnsiTheme="minorEastAsia" w:eastAsiaTheme="minorEastAsia"/>
          <w:sz w:val="24"/>
          <w:szCs w:val="24"/>
        </w:rPr>
        <w:t>，购买标书时需提供以下证明资料及备案：</w:t>
      </w:r>
    </w:p>
    <w:p w14:paraId="750D8E21">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1.1营业执照复印件（加盖本单位公章）</w:t>
      </w:r>
    </w:p>
    <w:p w14:paraId="090A1EA0">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1.2法人授权函（函中内容要有报名人的联系方式及邮箱）</w:t>
      </w:r>
    </w:p>
    <w:p w14:paraId="1770ED85">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2、购买标书银行帐户：</w:t>
      </w:r>
    </w:p>
    <w:p w14:paraId="220763F3">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单位名称：海南省教学仪器设备招标中心有限公司</w:t>
      </w:r>
    </w:p>
    <w:p w14:paraId="6AA1D3FC">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开户银行：中国建设银行股份有限公司海口国兴大道支行       </w:t>
      </w:r>
    </w:p>
    <w:p w14:paraId="4EDC168D">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银行帐号：46001002537052500288</w:t>
      </w:r>
    </w:p>
    <w:p w14:paraId="175D25C4">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财务联系电话：0898-66737260</w:t>
      </w:r>
    </w:p>
    <w:p w14:paraId="284CA0C2">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3、投标方应准备壹份正本和伍份副本，并在每一份“投标文件”上要明确注明“正本”或“副本”字样。</w:t>
      </w:r>
      <w:r>
        <w:rPr>
          <w:rFonts w:hint="eastAsia" w:asciiTheme="minorEastAsia" w:hAnsiTheme="minorEastAsia" w:eastAsiaTheme="minorEastAsia"/>
          <w:b/>
          <w:bCs/>
          <w:sz w:val="24"/>
          <w:szCs w:val="24"/>
        </w:rPr>
        <w:t>（开标时递交U盘拷贝的PDF格式正本的响应文件。）</w:t>
      </w:r>
    </w:p>
    <w:p w14:paraId="17D4FA87">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4、投标方应将“投标文件”胶装成册。为了方便开标、评标，投标人应将“投标文件”的正本的 “</w:t>
      </w:r>
      <w:r>
        <w:rPr>
          <w:rFonts w:ascii="宋体" w:hAnsi="宋体" w:cs="宋体"/>
          <w:kern w:val="0"/>
          <w:sz w:val="24"/>
        </w:rPr>
        <w:t>开标一览表</w:t>
      </w:r>
      <w:r>
        <w:rPr>
          <w:rFonts w:hint="eastAsia" w:ascii="宋体" w:hAnsi="宋体" w:cs="宋体"/>
          <w:kern w:val="0"/>
          <w:sz w:val="24"/>
        </w:rPr>
        <w:t>和规格响应表打印一份</w:t>
      </w:r>
      <w:r>
        <w:rPr>
          <w:rFonts w:hint="eastAsia" w:asciiTheme="minorEastAsia" w:hAnsiTheme="minorEastAsia" w:eastAsiaTheme="minorEastAsia"/>
          <w:sz w:val="24"/>
          <w:szCs w:val="24"/>
        </w:rPr>
        <w:t>（以包为单位）”单独密封于一小信封内，并在该信封上标明“开标一览表”字样，然后再装入“投标文件”正本的密封袋中。</w:t>
      </w:r>
    </w:p>
    <w:p w14:paraId="5B1535FA">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5、招标人不接受有任何选择的报价。</w:t>
      </w:r>
    </w:p>
    <w:p w14:paraId="4C1B0AD8">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6、本项目投标有效期开标日起有效期为90天。</w:t>
      </w:r>
    </w:p>
    <w:p w14:paraId="76CB6DB1">
      <w:pPr>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7、采购信息及中标结果查询：海南省教学仪器设备招标中心有限公司</w:t>
      </w:r>
      <w:r>
        <w:rPr>
          <w:rFonts w:asciiTheme="minorEastAsia" w:hAnsiTheme="minorEastAsia" w:eastAsiaTheme="minorEastAsia"/>
          <w:sz w:val="24"/>
          <w:szCs w:val="24"/>
        </w:rPr>
        <w:t>http://www.hainjy.com/</w:t>
      </w:r>
      <w:r>
        <w:rPr>
          <w:rFonts w:hint="eastAsia" w:asciiTheme="minorEastAsia" w:hAnsiTheme="minorEastAsia" w:eastAsiaTheme="minorEastAsia"/>
          <w:sz w:val="24"/>
          <w:szCs w:val="24"/>
        </w:rPr>
        <w:t>。</w:t>
      </w:r>
    </w:p>
    <w:p w14:paraId="588ADB91">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投标人必须编制完整的投标文件，按顺序编制目录及页码并装订成册，投标文件封面必须加盖投标人单位法定印章并经</w:t>
      </w:r>
      <w:r>
        <w:rPr>
          <w:rFonts w:hint="eastAsia" w:asciiTheme="minorEastAsia" w:hAnsiTheme="minorEastAsia" w:eastAsiaTheme="minorEastAsia"/>
          <w:sz w:val="24"/>
          <w:szCs w:val="24"/>
        </w:rPr>
        <w:t>投标人代表</w:t>
      </w:r>
      <w:r>
        <w:rPr>
          <w:rFonts w:asciiTheme="minorEastAsia" w:hAnsiTheme="minorEastAsia" w:eastAsiaTheme="minorEastAsia"/>
          <w:sz w:val="24"/>
          <w:szCs w:val="24"/>
        </w:rPr>
        <w:t>签署，投标文件应骑缝加盖投标人单位公章。投标人代表可由法定代表人或其委托代理人担任。由委托代理人签署的投标文件中，须同时提交由法定代表人签署的有效的授权委托书。</w:t>
      </w:r>
    </w:p>
    <w:p w14:paraId="0C63210C">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投标书应采用胶装形式（非卡装）订装，投标文件的任何缺漏，都会导致投标无效，</w:t>
      </w:r>
      <w:r>
        <w:rPr>
          <w:rFonts w:asciiTheme="minorEastAsia" w:hAnsiTheme="minorEastAsia" w:eastAsiaTheme="minorEastAsia"/>
          <w:sz w:val="24"/>
          <w:szCs w:val="24"/>
        </w:rPr>
        <w:t>投标人必须自行承担。</w:t>
      </w:r>
      <w:r>
        <w:rPr>
          <w:rFonts w:hint="eastAsia" w:asciiTheme="minorEastAsia" w:hAnsiTheme="minorEastAsia" w:eastAsiaTheme="minorEastAsia"/>
          <w:sz w:val="24"/>
          <w:szCs w:val="24"/>
        </w:rPr>
        <w:t>招标代理机构对因投标文件未装订成册而造成的投标文件的损坏、丢失不承担任何责任。</w:t>
      </w:r>
    </w:p>
    <w:p w14:paraId="7A251883">
      <w:pPr>
        <w:spacing w:line="540" w:lineRule="exact"/>
        <w:ind w:firstLine="482" w:firstLineChars="200"/>
        <w:rPr>
          <w:rFonts w:ascii="宋体" w:hAnsi="宋体" w:cs="宋体"/>
          <w:b/>
          <w:bCs/>
          <w:sz w:val="24"/>
          <w:szCs w:val="24"/>
        </w:rPr>
      </w:pPr>
      <w:r>
        <w:rPr>
          <w:rFonts w:hint="eastAsia" w:ascii="宋体" w:hAnsi="宋体" w:cs="宋体"/>
          <w:b/>
          <w:bCs/>
          <w:sz w:val="24"/>
          <w:szCs w:val="24"/>
        </w:rPr>
        <w:t>七、</w:t>
      </w:r>
      <w:bookmarkStart w:id="12" w:name="_Toc28359019"/>
      <w:bookmarkStart w:id="13" w:name="_Toc28359096"/>
      <w:bookmarkStart w:id="14" w:name="_Toc35393637"/>
      <w:bookmarkStart w:id="15" w:name="_Toc35393806"/>
      <w:r>
        <w:rPr>
          <w:rFonts w:hint="eastAsia" w:ascii="宋体" w:hAnsi="宋体" w:cs="宋体"/>
          <w:b/>
          <w:bCs/>
          <w:sz w:val="24"/>
          <w:szCs w:val="24"/>
        </w:rPr>
        <w:t>凡对本次采购提出询问，请按以下方式联系</w:t>
      </w:r>
    </w:p>
    <w:bookmarkEnd w:id="12"/>
    <w:bookmarkEnd w:id="13"/>
    <w:bookmarkEnd w:id="14"/>
    <w:bookmarkEnd w:id="15"/>
    <w:p w14:paraId="49E9A9D1">
      <w:pPr>
        <w:spacing w:line="540" w:lineRule="exact"/>
        <w:ind w:firstLine="480" w:firstLineChars="200"/>
        <w:rPr>
          <w:rFonts w:ascii="宋体" w:hAnsi="宋体" w:cs="宋体"/>
          <w:b/>
          <w:bCs/>
          <w:sz w:val="24"/>
          <w:szCs w:val="24"/>
        </w:rPr>
      </w:pPr>
      <w:r>
        <w:rPr>
          <w:rFonts w:hint="eastAsia" w:ascii="宋体" w:hAnsi="宋体" w:cs="宋体"/>
          <w:sz w:val="24"/>
          <w:szCs w:val="24"/>
        </w:rPr>
        <w:t>1.采购人信息</w:t>
      </w:r>
    </w:p>
    <w:p w14:paraId="5AC9A805">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名    称：　文昌市锦山中学</w:t>
      </w:r>
    </w:p>
    <w:p w14:paraId="3522FC8D">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地    址：　文昌市锦山镇中山路1号</w:t>
      </w:r>
    </w:p>
    <w:p w14:paraId="3F1EA95B">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联系方式：　</w:t>
      </w:r>
      <w:bookmarkStart w:id="16" w:name="_Toc35393807"/>
      <w:bookmarkStart w:id="17" w:name="_Toc35393638"/>
      <w:bookmarkStart w:id="18" w:name="_Toc28359097"/>
      <w:bookmarkStart w:id="19" w:name="_Toc28359020"/>
      <w:r>
        <w:rPr>
          <w:rFonts w:hint="eastAsia" w:ascii="宋体" w:hAnsi="宋体" w:cs="宋体"/>
          <w:sz w:val="24"/>
          <w:szCs w:val="24"/>
        </w:rPr>
        <w:t>0898-63691068</w:t>
      </w:r>
    </w:p>
    <w:p w14:paraId="72CD234F">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2.采购代理机构信息</w:t>
      </w:r>
      <w:bookmarkEnd w:id="16"/>
      <w:bookmarkEnd w:id="17"/>
      <w:bookmarkEnd w:id="18"/>
      <w:bookmarkEnd w:id="19"/>
    </w:p>
    <w:p w14:paraId="07108D89">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名    称：　海南省教学仪器设备招标中心有限公司　　</w:t>
      </w:r>
    </w:p>
    <w:p w14:paraId="0C4DB31C">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地　　址：　海南省海口市蓝天路西2-8号　　</w:t>
      </w:r>
    </w:p>
    <w:p w14:paraId="792F2019">
      <w:pPr>
        <w:spacing w:line="540" w:lineRule="exact"/>
        <w:ind w:firstLine="480" w:firstLineChars="200"/>
        <w:rPr>
          <w:rFonts w:ascii="宋体" w:hAnsi="宋体" w:cs="宋体"/>
          <w:sz w:val="24"/>
          <w:szCs w:val="24"/>
        </w:rPr>
      </w:pPr>
      <w:r>
        <w:rPr>
          <w:rFonts w:hint="eastAsia" w:ascii="宋体" w:hAnsi="宋体" w:cs="宋体"/>
          <w:sz w:val="24"/>
          <w:szCs w:val="24"/>
        </w:rPr>
        <w:t>联系方式：　0898-66779294</w:t>
      </w:r>
    </w:p>
    <w:p w14:paraId="0CD326FC">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3.项目联系方式</w:t>
      </w:r>
    </w:p>
    <w:p w14:paraId="1E152C37">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项目联系人：林工</w:t>
      </w:r>
    </w:p>
    <w:p w14:paraId="3E3F35BE">
      <w:pPr>
        <w:spacing w:line="540" w:lineRule="exact"/>
        <w:ind w:firstLine="480" w:firstLineChars="200"/>
        <w:rPr>
          <w:rFonts w:ascii="宋体" w:hAnsi="宋体" w:cs="宋体"/>
          <w:b/>
          <w:bCs/>
          <w:kern w:val="44"/>
          <w:sz w:val="24"/>
          <w:szCs w:val="24"/>
        </w:rPr>
      </w:pPr>
      <w:r>
        <w:rPr>
          <w:rFonts w:hint="eastAsia" w:ascii="宋体" w:hAnsi="宋体" w:cs="宋体"/>
          <w:sz w:val="24"/>
          <w:szCs w:val="24"/>
        </w:rPr>
        <w:t>电话： 0898-66779294</w:t>
      </w:r>
    </w:p>
    <w:p w14:paraId="730027F1">
      <w:pPr>
        <w:rPr>
          <w:rFonts w:cs="华文中宋" w:asciiTheme="minorEastAsia" w:hAnsiTheme="minorEastAsia" w:eastAsiaTheme="minorEastAsia"/>
        </w:rPr>
      </w:pPr>
      <w:r>
        <w:rPr>
          <w:rFonts w:hint="eastAsia" w:cs="华文中宋" w:asciiTheme="minorEastAsia" w:hAnsiTheme="minorEastAsia" w:eastAsiaTheme="minorEastAsia"/>
        </w:rPr>
        <w:br w:type="page"/>
      </w:r>
    </w:p>
    <w:p w14:paraId="41FF5FD1">
      <w:pPr>
        <w:pStyle w:val="2"/>
        <w:spacing w:before="0" w:after="0" w:line="530" w:lineRule="exact"/>
        <w:jc w:val="center"/>
        <w:rPr>
          <w:rFonts w:asciiTheme="minorEastAsia" w:hAnsiTheme="minorEastAsia" w:eastAsiaTheme="minorEastAsia"/>
        </w:rPr>
      </w:pPr>
      <w:r>
        <w:rPr>
          <w:rFonts w:hint="eastAsia" w:cs="华文中宋" w:asciiTheme="minorEastAsia" w:hAnsiTheme="minorEastAsia" w:eastAsiaTheme="minorEastAsia"/>
        </w:rPr>
        <w:t>第二章投标人须知</w:t>
      </w:r>
    </w:p>
    <w:p w14:paraId="0767D5B9">
      <w:pPr>
        <w:spacing w:line="530" w:lineRule="exact"/>
        <w:ind w:firstLine="482" w:firstLineChars="200"/>
        <w:rPr>
          <w:rFonts w:ascii="宋体" w:hAnsi="宋体" w:cs="宋体"/>
          <w:b/>
          <w:bCs/>
          <w:sz w:val="24"/>
          <w:szCs w:val="24"/>
        </w:rPr>
      </w:pPr>
      <w:r>
        <w:rPr>
          <w:rFonts w:hint="eastAsia" w:ascii="宋体" w:hAnsi="宋体" w:cs="宋体"/>
          <w:b/>
          <w:bCs/>
          <w:sz w:val="24"/>
          <w:szCs w:val="24"/>
        </w:rPr>
        <w:t>一、总则</w:t>
      </w:r>
    </w:p>
    <w:p w14:paraId="610D58AC">
      <w:pPr>
        <w:spacing w:line="530" w:lineRule="exact"/>
        <w:ind w:firstLine="480" w:firstLineChars="200"/>
        <w:rPr>
          <w:rFonts w:ascii="宋体" w:hAnsi="宋体" w:cs="宋体"/>
          <w:sz w:val="24"/>
          <w:szCs w:val="24"/>
        </w:rPr>
      </w:pPr>
      <w:r>
        <w:rPr>
          <w:rFonts w:hint="eastAsia" w:ascii="宋体" w:hAnsi="宋体" w:cs="宋体"/>
          <w:sz w:val="24"/>
          <w:szCs w:val="24"/>
        </w:rPr>
        <w:t>1.1名词解释</w:t>
      </w:r>
    </w:p>
    <w:p w14:paraId="656B5659">
      <w:pPr>
        <w:spacing w:line="530" w:lineRule="exact"/>
        <w:ind w:firstLine="480" w:firstLineChars="200"/>
        <w:rPr>
          <w:rFonts w:ascii="宋体" w:hAnsi="宋体" w:cs="宋体"/>
          <w:sz w:val="24"/>
          <w:szCs w:val="24"/>
        </w:rPr>
      </w:pPr>
      <w:r>
        <w:rPr>
          <w:rFonts w:hint="eastAsia" w:ascii="宋体" w:hAnsi="宋体" w:cs="宋体"/>
          <w:sz w:val="24"/>
          <w:szCs w:val="24"/>
        </w:rPr>
        <w:t>1.1.1招标人：文昌市锦山中学</w:t>
      </w:r>
    </w:p>
    <w:p w14:paraId="6B002CAE">
      <w:pPr>
        <w:spacing w:line="530" w:lineRule="exact"/>
        <w:ind w:firstLine="480" w:firstLineChars="200"/>
        <w:rPr>
          <w:rFonts w:ascii="宋体" w:hAnsi="宋体" w:cs="宋体"/>
          <w:sz w:val="24"/>
          <w:szCs w:val="24"/>
        </w:rPr>
      </w:pPr>
      <w:r>
        <w:rPr>
          <w:rFonts w:hint="eastAsia" w:ascii="宋体" w:hAnsi="宋体" w:cs="宋体"/>
          <w:sz w:val="24"/>
          <w:szCs w:val="24"/>
        </w:rPr>
        <w:t>1.1.2招标代理机构: 海南省教学仪器设备招标中心有限公司</w:t>
      </w:r>
    </w:p>
    <w:p w14:paraId="5AC8ED52">
      <w:pPr>
        <w:spacing w:line="530" w:lineRule="exact"/>
        <w:ind w:firstLine="480" w:firstLineChars="200"/>
        <w:rPr>
          <w:rFonts w:ascii="宋体" w:hAnsi="宋体" w:cs="宋体"/>
          <w:sz w:val="24"/>
          <w:szCs w:val="24"/>
        </w:rPr>
      </w:pPr>
      <w:r>
        <w:rPr>
          <w:rFonts w:hint="eastAsia" w:ascii="宋体" w:hAnsi="宋体" w:cs="宋体"/>
          <w:sz w:val="24"/>
          <w:szCs w:val="24"/>
        </w:rPr>
        <w:t>1.1.3投标人:已从招标代理机构</w:t>
      </w:r>
      <w:r>
        <w:rPr>
          <w:rFonts w:hint="eastAsia" w:ascii="宋体" w:hAnsi="宋体" w:cs="宋体"/>
          <w:color w:val="000000" w:themeColor="text1"/>
          <w:sz w:val="24"/>
          <w:szCs w:val="24"/>
        </w:rPr>
        <w:t>购买</w:t>
      </w:r>
      <w:r>
        <w:rPr>
          <w:rFonts w:hint="eastAsia" w:ascii="宋体" w:hAnsi="宋体" w:cs="宋体"/>
          <w:sz w:val="24"/>
          <w:szCs w:val="24"/>
        </w:rPr>
        <w:t>招标文件并递交投标文件的投标人</w:t>
      </w:r>
    </w:p>
    <w:p w14:paraId="2B7014DE">
      <w:pPr>
        <w:spacing w:line="530" w:lineRule="exact"/>
        <w:ind w:firstLine="480" w:firstLineChars="200"/>
        <w:rPr>
          <w:rFonts w:ascii="宋体" w:hAnsi="宋体" w:cs="宋体"/>
          <w:sz w:val="24"/>
          <w:szCs w:val="24"/>
        </w:rPr>
      </w:pPr>
      <w:r>
        <w:rPr>
          <w:rFonts w:hint="eastAsia" w:ascii="宋体" w:hAnsi="宋体" w:cs="宋体"/>
          <w:sz w:val="24"/>
          <w:szCs w:val="24"/>
        </w:rPr>
        <w:t>1.2适用范围</w:t>
      </w:r>
    </w:p>
    <w:p w14:paraId="3901B611">
      <w:pPr>
        <w:spacing w:line="530" w:lineRule="exact"/>
        <w:ind w:firstLine="480" w:firstLineChars="200"/>
        <w:rPr>
          <w:rFonts w:ascii="宋体" w:hAnsi="宋体" w:cs="宋体"/>
          <w:sz w:val="24"/>
          <w:szCs w:val="24"/>
        </w:rPr>
      </w:pPr>
      <w:r>
        <w:rPr>
          <w:rFonts w:hint="eastAsia" w:ascii="宋体" w:hAnsi="宋体" w:cs="宋体"/>
          <w:sz w:val="24"/>
          <w:szCs w:val="24"/>
        </w:rPr>
        <w:t>本次招投标活动为以公开方式择优选定委托经营管理企业，本次招投标活动以本招标文件约定内容为主，参照相关招标投标法律法规的流程执行。</w:t>
      </w:r>
    </w:p>
    <w:p w14:paraId="4807B6F2">
      <w:pPr>
        <w:spacing w:line="530" w:lineRule="exact"/>
        <w:ind w:firstLine="480" w:firstLineChars="200"/>
        <w:rPr>
          <w:rFonts w:ascii="宋体" w:hAnsi="宋体" w:cs="宋体"/>
          <w:sz w:val="24"/>
          <w:szCs w:val="24"/>
        </w:rPr>
      </w:pPr>
      <w:r>
        <w:rPr>
          <w:rFonts w:hint="eastAsia" w:ascii="宋体" w:hAnsi="宋体" w:cs="宋体"/>
          <w:sz w:val="24"/>
          <w:szCs w:val="24"/>
        </w:rPr>
        <w:t>本招标文件仅适用于招标代理机构组织的本次招投标活动。</w:t>
      </w:r>
    </w:p>
    <w:p w14:paraId="4735AB34">
      <w:pPr>
        <w:spacing w:line="530" w:lineRule="exact"/>
        <w:ind w:firstLine="480" w:firstLineChars="200"/>
        <w:rPr>
          <w:rFonts w:ascii="宋体" w:hAnsi="宋体" w:cs="宋体"/>
          <w:sz w:val="24"/>
          <w:szCs w:val="24"/>
        </w:rPr>
      </w:pPr>
      <w:r>
        <w:rPr>
          <w:rFonts w:hint="eastAsia" w:ascii="宋体" w:hAnsi="宋体" w:cs="宋体"/>
          <w:sz w:val="24"/>
          <w:szCs w:val="24"/>
        </w:rPr>
        <w:t>1.3合格的投标人</w:t>
      </w:r>
    </w:p>
    <w:p w14:paraId="76EAF5B8">
      <w:pPr>
        <w:spacing w:line="530" w:lineRule="exact"/>
        <w:ind w:firstLine="480" w:firstLineChars="200"/>
        <w:rPr>
          <w:rFonts w:ascii="宋体" w:hAnsi="宋体" w:cs="宋体"/>
          <w:sz w:val="24"/>
          <w:szCs w:val="24"/>
        </w:rPr>
      </w:pPr>
      <w:r>
        <w:rPr>
          <w:rFonts w:hint="eastAsia" w:ascii="宋体" w:hAnsi="宋体" w:cs="宋体"/>
          <w:sz w:val="24"/>
          <w:szCs w:val="24"/>
        </w:rPr>
        <w:t>1.3.1凡有能力按照本招标文件规定的要求提供服务的供应商均为合格的投标人。</w:t>
      </w:r>
    </w:p>
    <w:p w14:paraId="7BFC0582">
      <w:pPr>
        <w:spacing w:line="530" w:lineRule="exact"/>
        <w:ind w:firstLine="480" w:firstLineChars="200"/>
        <w:rPr>
          <w:rFonts w:ascii="宋体" w:hAnsi="宋体" w:cs="宋体"/>
          <w:sz w:val="24"/>
          <w:szCs w:val="24"/>
        </w:rPr>
      </w:pPr>
      <w:r>
        <w:rPr>
          <w:rFonts w:hint="eastAsia" w:ascii="宋体" w:hAnsi="宋体" w:cs="宋体"/>
          <w:sz w:val="24"/>
          <w:szCs w:val="24"/>
        </w:rPr>
        <w:t>1.3.2投标人参加本次招投标活动应当符合《中华人民共和国政府采购法》第二十二条的规定，并具备本招标文件第一章“投标人资格要求”规定的条件。</w:t>
      </w:r>
    </w:p>
    <w:p w14:paraId="3F0B1946">
      <w:pPr>
        <w:spacing w:line="530" w:lineRule="exact"/>
        <w:ind w:firstLine="480" w:firstLineChars="200"/>
        <w:rPr>
          <w:rFonts w:ascii="宋体" w:hAnsi="宋体" w:cs="宋体"/>
          <w:sz w:val="24"/>
          <w:szCs w:val="24"/>
        </w:rPr>
      </w:pPr>
      <w:r>
        <w:rPr>
          <w:rFonts w:hint="eastAsia" w:ascii="宋体" w:hAnsi="宋体" w:cs="宋体"/>
          <w:sz w:val="24"/>
          <w:szCs w:val="24"/>
        </w:rPr>
        <w:t>1.3.3投标人应遵守中华人民共和国的有关法律、法规。</w:t>
      </w:r>
    </w:p>
    <w:p w14:paraId="03531A0B">
      <w:pPr>
        <w:spacing w:line="530" w:lineRule="exact"/>
        <w:ind w:firstLine="480" w:firstLineChars="200"/>
        <w:rPr>
          <w:rFonts w:ascii="宋体" w:hAnsi="宋体" w:cs="宋体"/>
          <w:sz w:val="24"/>
          <w:szCs w:val="24"/>
        </w:rPr>
      </w:pPr>
      <w:r>
        <w:rPr>
          <w:rFonts w:hint="eastAsia" w:ascii="宋体" w:hAnsi="宋体" w:cs="宋体"/>
          <w:sz w:val="24"/>
          <w:szCs w:val="24"/>
        </w:rPr>
        <w:t>1.3.4本项目不接受联合体投标。</w:t>
      </w:r>
    </w:p>
    <w:p w14:paraId="090A2C5C">
      <w:pPr>
        <w:spacing w:line="530" w:lineRule="exact"/>
        <w:ind w:firstLine="480" w:firstLineChars="200"/>
        <w:rPr>
          <w:rFonts w:ascii="宋体" w:hAnsi="宋体" w:cs="宋体"/>
          <w:sz w:val="24"/>
          <w:szCs w:val="24"/>
        </w:rPr>
      </w:pPr>
      <w:r>
        <w:rPr>
          <w:rFonts w:hint="eastAsia" w:ascii="宋体" w:hAnsi="宋体" w:cs="宋体"/>
          <w:sz w:val="24"/>
          <w:szCs w:val="24"/>
        </w:rPr>
        <w:t>1.4.投标费用</w:t>
      </w:r>
    </w:p>
    <w:p w14:paraId="7EC8A50B">
      <w:pPr>
        <w:spacing w:line="530" w:lineRule="exact"/>
        <w:ind w:firstLine="480" w:firstLineChars="200"/>
        <w:rPr>
          <w:rFonts w:ascii="宋体" w:hAnsi="宋体" w:cs="宋体"/>
          <w:sz w:val="24"/>
          <w:szCs w:val="24"/>
        </w:rPr>
      </w:pPr>
      <w:r>
        <w:rPr>
          <w:rFonts w:hint="eastAsia" w:ascii="宋体" w:hAnsi="宋体" w:cs="宋体"/>
          <w:sz w:val="24"/>
          <w:szCs w:val="24"/>
        </w:rPr>
        <w:t>无论招标投标过程中的做法和结果如何，投标人均自行承担所有与参加投标有关的全部费用。</w:t>
      </w:r>
    </w:p>
    <w:p w14:paraId="5B89EB58">
      <w:pPr>
        <w:spacing w:line="530" w:lineRule="exact"/>
        <w:ind w:firstLine="480" w:firstLineChars="200"/>
        <w:rPr>
          <w:rFonts w:ascii="宋体" w:hAnsi="宋体" w:cs="宋体"/>
          <w:sz w:val="24"/>
          <w:szCs w:val="24"/>
        </w:rPr>
      </w:pPr>
      <w:r>
        <w:rPr>
          <w:rFonts w:hint="eastAsia" w:ascii="宋体" w:hAnsi="宋体" w:cs="宋体"/>
          <w:sz w:val="24"/>
          <w:szCs w:val="24"/>
        </w:rPr>
        <w:t>1.5招标文件的约束力</w:t>
      </w:r>
    </w:p>
    <w:p w14:paraId="2E553642">
      <w:pPr>
        <w:spacing w:line="530" w:lineRule="exact"/>
        <w:ind w:firstLine="480" w:firstLineChars="200"/>
        <w:rPr>
          <w:rFonts w:ascii="宋体" w:hAnsi="宋体" w:cs="宋体"/>
          <w:sz w:val="24"/>
          <w:szCs w:val="24"/>
        </w:rPr>
      </w:pPr>
      <w:r>
        <w:rPr>
          <w:rFonts w:hint="eastAsia" w:ascii="宋体" w:hAnsi="宋体" w:cs="宋体"/>
          <w:sz w:val="24"/>
          <w:szCs w:val="24"/>
        </w:rPr>
        <w:t>投标人一旦参加本项目投标，即被认为接受了本招标文件中的所有条件和规定。</w:t>
      </w:r>
    </w:p>
    <w:p w14:paraId="231AC9B1">
      <w:pPr>
        <w:spacing w:line="530" w:lineRule="exact"/>
        <w:ind w:firstLine="482" w:firstLineChars="200"/>
        <w:rPr>
          <w:rFonts w:ascii="宋体" w:hAnsi="宋体" w:cs="宋体"/>
          <w:b/>
          <w:bCs/>
          <w:sz w:val="24"/>
          <w:szCs w:val="24"/>
        </w:rPr>
      </w:pPr>
      <w:r>
        <w:rPr>
          <w:rFonts w:hint="eastAsia" w:ascii="宋体" w:hAnsi="宋体" w:cs="宋体"/>
          <w:b/>
          <w:bCs/>
          <w:sz w:val="24"/>
          <w:szCs w:val="24"/>
        </w:rPr>
        <w:t>二、招标文件</w:t>
      </w:r>
    </w:p>
    <w:p w14:paraId="1E0DEF53">
      <w:pPr>
        <w:spacing w:line="530" w:lineRule="exact"/>
        <w:ind w:firstLine="480" w:firstLineChars="200"/>
        <w:rPr>
          <w:rFonts w:ascii="宋体" w:hAnsi="宋体" w:cs="宋体"/>
          <w:sz w:val="24"/>
          <w:szCs w:val="24"/>
        </w:rPr>
      </w:pPr>
      <w:r>
        <w:rPr>
          <w:rFonts w:hint="eastAsia" w:ascii="宋体" w:hAnsi="宋体" w:cs="宋体"/>
          <w:sz w:val="24"/>
          <w:szCs w:val="24"/>
        </w:rPr>
        <w:t>2.1招标文件由五部分组成，包括：</w:t>
      </w:r>
    </w:p>
    <w:p w14:paraId="524F4404">
      <w:pPr>
        <w:spacing w:line="530" w:lineRule="exact"/>
        <w:ind w:firstLine="480" w:firstLineChars="200"/>
        <w:rPr>
          <w:rFonts w:ascii="宋体" w:hAnsi="宋体" w:cs="宋体"/>
          <w:sz w:val="24"/>
          <w:szCs w:val="24"/>
        </w:rPr>
      </w:pPr>
      <w:r>
        <w:rPr>
          <w:rFonts w:hint="eastAsia" w:ascii="宋体" w:hAnsi="宋体" w:cs="宋体"/>
          <w:sz w:val="24"/>
          <w:szCs w:val="24"/>
        </w:rPr>
        <w:t>第一章招标邀请函</w:t>
      </w:r>
    </w:p>
    <w:p w14:paraId="5E078693">
      <w:pPr>
        <w:spacing w:line="530" w:lineRule="exact"/>
        <w:ind w:firstLine="480" w:firstLineChars="200"/>
        <w:rPr>
          <w:rFonts w:ascii="宋体" w:hAnsi="宋体" w:cs="宋体"/>
          <w:sz w:val="24"/>
          <w:szCs w:val="24"/>
        </w:rPr>
      </w:pPr>
      <w:r>
        <w:rPr>
          <w:rFonts w:hint="eastAsia" w:ascii="宋体" w:hAnsi="宋体" w:cs="宋体"/>
          <w:sz w:val="24"/>
          <w:szCs w:val="24"/>
        </w:rPr>
        <w:t>第二章投标人须知</w:t>
      </w:r>
    </w:p>
    <w:p w14:paraId="79F403B2">
      <w:pPr>
        <w:spacing w:line="530" w:lineRule="exact"/>
        <w:ind w:firstLine="480" w:firstLineChars="200"/>
        <w:rPr>
          <w:rFonts w:ascii="宋体" w:hAnsi="宋体" w:cs="宋体"/>
          <w:sz w:val="24"/>
          <w:szCs w:val="24"/>
        </w:rPr>
      </w:pPr>
      <w:r>
        <w:rPr>
          <w:rFonts w:hint="eastAsia" w:ascii="宋体" w:hAnsi="宋体" w:cs="宋体"/>
          <w:sz w:val="24"/>
          <w:szCs w:val="24"/>
        </w:rPr>
        <w:t>第三章用户需求书</w:t>
      </w:r>
    </w:p>
    <w:p w14:paraId="6EE09B62">
      <w:pPr>
        <w:spacing w:line="530" w:lineRule="exact"/>
        <w:ind w:firstLine="480" w:firstLineChars="200"/>
        <w:rPr>
          <w:rFonts w:ascii="宋体" w:hAnsi="宋体" w:cs="宋体"/>
          <w:sz w:val="24"/>
          <w:szCs w:val="24"/>
        </w:rPr>
      </w:pPr>
      <w:r>
        <w:rPr>
          <w:rFonts w:hint="eastAsia" w:ascii="宋体" w:hAnsi="宋体" w:cs="宋体"/>
          <w:sz w:val="24"/>
          <w:szCs w:val="24"/>
        </w:rPr>
        <w:t>第四章合同样本</w:t>
      </w:r>
    </w:p>
    <w:p w14:paraId="7CC16FBE">
      <w:pPr>
        <w:spacing w:line="530" w:lineRule="exact"/>
        <w:ind w:firstLine="480" w:firstLineChars="200"/>
        <w:rPr>
          <w:rFonts w:ascii="宋体" w:hAnsi="宋体" w:cs="宋体"/>
          <w:sz w:val="24"/>
          <w:szCs w:val="24"/>
        </w:rPr>
      </w:pPr>
      <w:r>
        <w:rPr>
          <w:rFonts w:hint="eastAsia" w:ascii="宋体" w:hAnsi="宋体" w:cs="宋体"/>
          <w:sz w:val="24"/>
          <w:szCs w:val="24"/>
        </w:rPr>
        <w:t>第五章投标文件内容和格式</w:t>
      </w:r>
    </w:p>
    <w:p w14:paraId="305147B9">
      <w:pPr>
        <w:spacing w:line="530" w:lineRule="exact"/>
        <w:ind w:firstLine="480" w:firstLineChars="200"/>
        <w:rPr>
          <w:rFonts w:ascii="宋体" w:hAnsi="宋体" w:cs="宋体"/>
          <w:sz w:val="24"/>
          <w:szCs w:val="24"/>
        </w:rPr>
      </w:pPr>
      <w:r>
        <w:rPr>
          <w:rFonts w:hint="eastAsia" w:ascii="宋体" w:hAnsi="宋体" w:cs="宋体"/>
          <w:sz w:val="24"/>
          <w:szCs w:val="24"/>
        </w:rPr>
        <w:t>请仔细检查招标文件是否齐全，如有缺漏，请立即与招标代理机构联系解决。</w:t>
      </w:r>
    </w:p>
    <w:p w14:paraId="54491782">
      <w:pPr>
        <w:spacing w:line="530" w:lineRule="exact"/>
        <w:ind w:firstLine="480" w:firstLineChars="200"/>
        <w:rPr>
          <w:rFonts w:ascii="宋体" w:hAnsi="宋体" w:cs="宋体"/>
          <w:sz w:val="24"/>
          <w:szCs w:val="24"/>
        </w:rPr>
      </w:pPr>
      <w:r>
        <w:rPr>
          <w:rFonts w:hint="eastAsia" w:ascii="宋体" w:hAnsi="宋体" w:cs="宋体"/>
          <w:sz w:val="24"/>
          <w:szCs w:val="24"/>
        </w:rPr>
        <w:t>2.2投标人被视为充分熟悉本招标项目所在地与履行合同有关的各种情况，包括自然环境、气候条件、劳动力、电力供应及公用设施设备等，本招标文件不再对上述情况进行描述。</w:t>
      </w:r>
    </w:p>
    <w:p w14:paraId="01568B33">
      <w:pPr>
        <w:spacing w:line="530" w:lineRule="exact"/>
        <w:ind w:firstLine="480" w:firstLineChars="200"/>
        <w:rPr>
          <w:rFonts w:ascii="宋体" w:hAnsi="宋体" w:cs="宋体"/>
          <w:sz w:val="24"/>
          <w:szCs w:val="24"/>
        </w:rPr>
      </w:pPr>
      <w:r>
        <w:rPr>
          <w:rFonts w:hint="eastAsia" w:ascii="宋体" w:hAnsi="宋体" w:cs="宋体"/>
          <w:sz w:val="24"/>
          <w:szCs w:val="24"/>
        </w:rPr>
        <w:t>2.3投标人必须详阅招标文件的所有条款、文件及表格格式。投标人若未按招标文件的要求和规范编制、提交投标文件，将有可能导致响应文件被拒绝接受,所造成的一切后果由投标人负责。</w:t>
      </w:r>
    </w:p>
    <w:p w14:paraId="38E4B3F6">
      <w:pPr>
        <w:spacing w:line="530" w:lineRule="exact"/>
        <w:ind w:firstLine="480" w:firstLineChars="200"/>
        <w:rPr>
          <w:rFonts w:ascii="宋体" w:hAnsi="宋体" w:cs="宋体"/>
          <w:sz w:val="24"/>
          <w:szCs w:val="24"/>
        </w:rPr>
      </w:pPr>
      <w:r>
        <w:rPr>
          <w:rFonts w:hint="eastAsia" w:ascii="宋体" w:hAnsi="宋体" w:cs="宋体"/>
          <w:sz w:val="24"/>
          <w:szCs w:val="24"/>
        </w:rPr>
        <w:t>2.4招标文件的质疑</w:t>
      </w:r>
    </w:p>
    <w:p w14:paraId="1EAE15F2">
      <w:pPr>
        <w:spacing w:line="530" w:lineRule="exact"/>
        <w:ind w:firstLine="480" w:firstLineChars="200"/>
        <w:rPr>
          <w:rFonts w:ascii="宋体" w:hAnsi="宋体" w:cs="宋体"/>
          <w:sz w:val="24"/>
          <w:szCs w:val="24"/>
        </w:rPr>
      </w:pPr>
      <w:r>
        <w:rPr>
          <w:rFonts w:hint="eastAsia" w:ascii="宋体" w:hAnsi="宋体" w:cs="宋体"/>
          <w:sz w:val="24"/>
          <w:szCs w:val="24"/>
        </w:rPr>
        <w:t>2.4.1 投标人对招标采购文件如有疑点，应按招标公告中载明的地址，以书面形式通知到采购代理机构。</w:t>
      </w:r>
    </w:p>
    <w:p w14:paraId="240087EB">
      <w:pPr>
        <w:spacing w:line="530" w:lineRule="exact"/>
        <w:ind w:firstLine="480" w:firstLineChars="200"/>
        <w:rPr>
          <w:rFonts w:ascii="宋体" w:hAnsi="宋体" w:cs="宋体"/>
          <w:sz w:val="24"/>
          <w:szCs w:val="24"/>
        </w:rPr>
      </w:pPr>
      <w:r>
        <w:rPr>
          <w:rFonts w:hint="eastAsia" w:ascii="宋体" w:hAnsi="宋体" w:cs="宋体"/>
          <w:sz w:val="24"/>
          <w:szCs w:val="24"/>
        </w:rPr>
        <w:t>2.4.2对采购过程提出质疑的，为各采购程序环节结束之日。超过七个工作日、非书面形式以及匿名的质疑将不予受理。</w:t>
      </w:r>
    </w:p>
    <w:p w14:paraId="493BCDCF">
      <w:pPr>
        <w:spacing w:line="530" w:lineRule="exact"/>
        <w:ind w:firstLine="480" w:firstLineChars="200"/>
        <w:rPr>
          <w:rFonts w:ascii="宋体" w:hAnsi="宋体" w:cs="宋体"/>
          <w:sz w:val="24"/>
          <w:szCs w:val="24"/>
        </w:rPr>
      </w:pPr>
      <w:r>
        <w:rPr>
          <w:rFonts w:hint="eastAsia" w:ascii="宋体" w:hAnsi="宋体" w:cs="宋体"/>
          <w:sz w:val="24"/>
          <w:szCs w:val="24"/>
        </w:rPr>
        <w:t>2.4.3供应商应在法定质疑期内一次性提出针对同一采购程序环节的质疑。</w:t>
      </w:r>
    </w:p>
    <w:p w14:paraId="035212B0">
      <w:pPr>
        <w:spacing w:line="530" w:lineRule="exact"/>
        <w:ind w:firstLine="480" w:firstLineChars="200"/>
        <w:rPr>
          <w:rFonts w:ascii="宋体" w:hAnsi="宋体" w:cs="宋体"/>
          <w:sz w:val="24"/>
          <w:szCs w:val="24"/>
        </w:rPr>
      </w:pPr>
      <w:r>
        <w:rPr>
          <w:rFonts w:hint="eastAsia" w:ascii="宋体" w:hAnsi="宋体" w:cs="宋体"/>
          <w:sz w:val="24"/>
          <w:szCs w:val="24"/>
        </w:rPr>
        <w:t>2.4.4质疑内容不得含有虚假、恶意成份。依照谁主张谁举证的原则，提出质疑者必须同时提交相关确凿的证据材料和注明事实的确切来源，对捏造事实、滥用维权扰乱采购秩序的恶意质疑者或举证不全查无实据被驳回次数在全国范围内12个月内达三次以上，将由财政部门纳入不良行为记录名单并承担相应的法律责任。</w:t>
      </w:r>
    </w:p>
    <w:p w14:paraId="15CC5099">
      <w:pPr>
        <w:spacing w:line="530" w:lineRule="exact"/>
        <w:ind w:firstLine="480" w:firstLineChars="200"/>
        <w:rPr>
          <w:rFonts w:ascii="宋体" w:hAnsi="宋体" w:cs="宋体"/>
          <w:sz w:val="24"/>
          <w:szCs w:val="24"/>
        </w:rPr>
      </w:pPr>
      <w:r>
        <w:rPr>
          <w:rFonts w:hint="eastAsia" w:ascii="宋体" w:hAnsi="宋体" w:cs="宋体"/>
          <w:sz w:val="24"/>
          <w:szCs w:val="24"/>
        </w:rPr>
        <w:t>2.5招标文件的澄清或者修改</w:t>
      </w:r>
    </w:p>
    <w:p w14:paraId="21FC241E">
      <w:pPr>
        <w:spacing w:line="530" w:lineRule="exact"/>
        <w:ind w:firstLine="480" w:firstLineChars="200"/>
        <w:rPr>
          <w:rFonts w:ascii="宋体" w:hAnsi="宋体" w:cs="宋体"/>
          <w:sz w:val="24"/>
          <w:szCs w:val="24"/>
        </w:rPr>
      </w:pPr>
      <w:r>
        <w:rPr>
          <w:rFonts w:hint="eastAsia" w:ascii="宋体" w:hAnsi="宋体" w:cs="宋体"/>
          <w:sz w:val="24"/>
          <w:szCs w:val="24"/>
        </w:rPr>
        <w:t>2.5.1采购人或者采购代理机构可以对已发出的招标文件、投标邀请书进行必要的澄清或者修改，但不得改变采购标的和资格条件。澄清或者修改应当在原公告发布媒体上发布澄清公告。澄清或者修改的内容为招标文件、投标邀请书的组成部分。</w:t>
      </w:r>
    </w:p>
    <w:p w14:paraId="1F307133">
      <w:pPr>
        <w:spacing w:line="530" w:lineRule="exact"/>
        <w:ind w:firstLine="480" w:firstLineChars="200"/>
        <w:rPr>
          <w:rFonts w:ascii="宋体" w:hAnsi="宋体" w:cs="宋体"/>
          <w:sz w:val="24"/>
          <w:szCs w:val="24"/>
        </w:rPr>
      </w:pPr>
      <w:r>
        <w:rPr>
          <w:rFonts w:hint="eastAsia" w:ascii="宋体" w:hAnsi="宋体" w:cs="宋体"/>
          <w:sz w:val="24"/>
          <w:szCs w:val="24"/>
        </w:rPr>
        <w:t>2.5.2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91AB1D0">
      <w:pPr>
        <w:spacing w:line="530" w:lineRule="exact"/>
        <w:ind w:firstLine="480" w:firstLineChars="200"/>
        <w:rPr>
          <w:rFonts w:ascii="宋体" w:hAnsi="宋体" w:cs="宋体"/>
          <w:sz w:val="24"/>
          <w:szCs w:val="24"/>
        </w:rPr>
      </w:pPr>
      <w:r>
        <w:rPr>
          <w:rFonts w:hint="eastAsia" w:ascii="宋体" w:hAnsi="宋体" w:cs="宋体"/>
          <w:sz w:val="24"/>
          <w:szCs w:val="24"/>
        </w:rPr>
        <w:t>2.5.3招标文件的修改书将构成招标文件的一部分，并对投标人具有约束力。</w:t>
      </w:r>
    </w:p>
    <w:p w14:paraId="58D67A30">
      <w:pPr>
        <w:spacing w:line="530" w:lineRule="exact"/>
        <w:ind w:firstLine="480" w:firstLineChars="200"/>
        <w:rPr>
          <w:rFonts w:ascii="宋体" w:hAnsi="宋体" w:cs="宋体"/>
          <w:sz w:val="24"/>
          <w:szCs w:val="24"/>
        </w:rPr>
      </w:pPr>
      <w:r>
        <w:rPr>
          <w:rFonts w:hint="eastAsia" w:ascii="宋体" w:hAnsi="宋体" w:cs="宋体"/>
          <w:sz w:val="24"/>
          <w:szCs w:val="24"/>
        </w:rPr>
        <w:t>2.5.4当招标文件与更正公告的内容相互矛盾时，以招标代理机构最后发出的更正公告为准。</w:t>
      </w:r>
    </w:p>
    <w:p w14:paraId="1A1B589E">
      <w:pPr>
        <w:spacing w:line="530" w:lineRule="exact"/>
        <w:ind w:firstLine="472" w:firstLineChars="196"/>
        <w:rPr>
          <w:rFonts w:ascii="宋体" w:hAnsi="宋体" w:cs="宋体"/>
          <w:b/>
          <w:bCs/>
          <w:sz w:val="24"/>
          <w:szCs w:val="24"/>
        </w:rPr>
      </w:pPr>
      <w:r>
        <w:rPr>
          <w:rFonts w:hint="eastAsia" w:ascii="宋体" w:hAnsi="宋体" w:cs="宋体"/>
          <w:b/>
          <w:bCs/>
          <w:sz w:val="24"/>
          <w:szCs w:val="24"/>
        </w:rPr>
        <w:t>三、投标文件</w:t>
      </w:r>
    </w:p>
    <w:p w14:paraId="09B7F60F">
      <w:pPr>
        <w:spacing w:line="530" w:lineRule="exact"/>
        <w:ind w:firstLine="480" w:firstLineChars="200"/>
        <w:rPr>
          <w:rFonts w:ascii="宋体" w:hAnsi="宋体" w:cs="宋体"/>
          <w:sz w:val="24"/>
          <w:szCs w:val="24"/>
        </w:rPr>
      </w:pPr>
      <w:r>
        <w:rPr>
          <w:rFonts w:hint="eastAsia" w:ascii="宋体" w:hAnsi="宋体" w:cs="宋体"/>
          <w:sz w:val="24"/>
          <w:szCs w:val="24"/>
        </w:rPr>
        <w:t>3.1投标文件的组成</w:t>
      </w:r>
    </w:p>
    <w:p w14:paraId="37C843D4">
      <w:pPr>
        <w:spacing w:line="530" w:lineRule="exact"/>
        <w:ind w:firstLine="480" w:firstLineChars="200"/>
        <w:rPr>
          <w:rFonts w:ascii="宋体" w:hAnsi="宋体" w:cs="宋体"/>
          <w:sz w:val="24"/>
          <w:szCs w:val="24"/>
        </w:rPr>
      </w:pPr>
      <w:r>
        <w:rPr>
          <w:rFonts w:hint="eastAsia" w:ascii="宋体" w:hAnsi="宋体" w:cs="宋体"/>
          <w:sz w:val="24"/>
          <w:szCs w:val="24"/>
        </w:rPr>
        <w:t>投标文件应按“第五章投标文件内容和格式”要求编制。</w:t>
      </w:r>
    </w:p>
    <w:p w14:paraId="18277BD4">
      <w:pPr>
        <w:spacing w:line="530" w:lineRule="exact"/>
        <w:ind w:firstLine="480" w:firstLineChars="200"/>
        <w:rPr>
          <w:rFonts w:ascii="宋体" w:hAnsi="宋体" w:cs="宋体"/>
          <w:sz w:val="24"/>
          <w:szCs w:val="24"/>
        </w:rPr>
      </w:pPr>
      <w:r>
        <w:rPr>
          <w:rFonts w:hint="eastAsia" w:ascii="宋体" w:hAnsi="宋体" w:cs="宋体"/>
          <w:sz w:val="24"/>
          <w:szCs w:val="24"/>
        </w:rPr>
        <w:t>3.2投标</w:t>
      </w:r>
    </w:p>
    <w:p w14:paraId="7FEF83F9">
      <w:pPr>
        <w:spacing w:line="530" w:lineRule="exact"/>
        <w:ind w:firstLine="480" w:firstLineChars="200"/>
        <w:rPr>
          <w:rFonts w:ascii="宋体" w:hAnsi="宋体" w:cs="宋体"/>
          <w:b/>
          <w:sz w:val="24"/>
          <w:szCs w:val="24"/>
        </w:rPr>
      </w:pPr>
      <w:r>
        <w:rPr>
          <w:rFonts w:hint="eastAsia" w:ascii="宋体" w:hAnsi="宋体" w:cs="宋体"/>
          <w:sz w:val="24"/>
          <w:szCs w:val="24"/>
        </w:rPr>
        <w:t>3.2.1本项目设有投标人承诺基本建设、设施设备等投资金额报价。</w:t>
      </w:r>
    </w:p>
    <w:p w14:paraId="28B65E36">
      <w:pPr>
        <w:spacing w:line="530" w:lineRule="exact"/>
        <w:ind w:firstLine="480" w:firstLineChars="200"/>
        <w:rPr>
          <w:rFonts w:ascii="宋体" w:hAnsi="宋体" w:cs="宋体"/>
          <w:sz w:val="24"/>
          <w:szCs w:val="24"/>
        </w:rPr>
      </w:pPr>
      <w:r>
        <w:rPr>
          <w:rFonts w:hint="eastAsia" w:ascii="宋体" w:hAnsi="宋体" w:cs="宋体"/>
          <w:sz w:val="24"/>
          <w:szCs w:val="24"/>
        </w:rPr>
        <w:t>评标委员会认为投标人的报价明显高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30D241D9">
      <w:pPr>
        <w:spacing w:line="530" w:lineRule="exact"/>
        <w:ind w:firstLine="480" w:firstLineChars="200"/>
        <w:rPr>
          <w:rFonts w:ascii="宋体" w:hAnsi="宋体" w:cs="宋体"/>
          <w:sz w:val="24"/>
          <w:szCs w:val="24"/>
        </w:rPr>
      </w:pPr>
      <w:r>
        <w:rPr>
          <w:rFonts w:hint="eastAsia" w:ascii="宋体" w:hAnsi="宋体" w:cs="宋体"/>
          <w:sz w:val="24"/>
          <w:szCs w:val="24"/>
        </w:rPr>
        <w:t>3.3投标保证金</w:t>
      </w:r>
    </w:p>
    <w:p w14:paraId="498BBDB6">
      <w:pPr>
        <w:spacing w:line="530" w:lineRule="exact"/>
        <w:ind w:firstLine="480" w:firstLineChars="200"/>
        <w:rPr>
          <w:rFonts w:ascii="宋体" w:hAnsi="宋体" w:cs="宋体"/>
          <w:sz w:val="24"/>
          <w:szCs w:val="24"/>
        </w:rPr>
      </w:pPr>
      <w:r>
        <w:rPr>
          <w:rFonts w:hint="eastAsia" w:ascii="宋体" w:hAnsi="宋体" w:cs="宋体"/>
          <w:sz w:val="24"/>
          <w:szCs w:val="24"/>
        </w:rPr>
        <w:t>本项目无需缴纳投标保证金。</w:t>
      </w:r>
    </w:p>
    <w:p w14:paraId="0B615736">
      <w:pPr>
        <w:spacing w:line="530" w:lineRule="exact"/>
        <w:ind w:firstLine="480" w:firstLineChars="200"/>
        <w:rPr>
          <w:rFonts w:ascii="宋体" w:hAnsi="宋体" w:cs="宋体"/>
          <w:sz w:val="24"/>
          <w:szCs w:val="24"/>
        </w:rPr>
      </w:pPr>
      <w:r>
        <w:rPr>
          <w:rFonts w:hint="eastAsia" w:ascii="宋体" w:hAnsi="宋体" w:cs="宋体"/>
          <w:sz w:val="24"/>
          <w:szCs w:val="24"/>
        </w:rPr>
        <w:t>3.4投标有效期</w:t>
      </w:r>
    </w:p>
    <w:p w14:paraId="04776693">
      <w:pPr>
        <w:spacing w:line="530" w:lineRule="exact"/>
        <w:ind w:firstLine="480" w:firstLineChars="200"/>
        <w:rPr>
          <w:rFonts w:ascii="宋体" w:hAnsi="宋体" w:cs="宋体"/>
          <w:sz w:val="24"/>
          <w:szCs w:val="24"/>
        </w:rPr>
      </w:pPr>
      <w:r>
        <w:rPr>
          <w:rFonts w:hint="eastAsia" w:ascii="宋体" w:hAnsi="宋体" w:cs="宋体"/>
          <w:sz w:val="24"/>
          <w:szCs w:val="24"/>
        </w:rPr>
        <w:t>3.4.1投标有效期为从开标截止之日起计算的90天，有效期短于此规定的投标文件将被视为无效。</w:t>
      </w:r>
    </w:p>
    <w:p w14:paraId="138C7862">
      <w:pPr>
        <w:spacing w:line="530" w:lineRule="exact"/>
        <w:ind w:firstLine="480" w:firstLineChars="200"/>
        <w:rPr>
          <w:rFonts w:ascii="宋体" w:hAnsi="宋体" w:cs="宋体"/>
          <w:sz w:val="24"/>
          <w:szCs w:val="24"/>
        </w:rPr>
      </w:pPr>
      <w:r>
        <w:rPr>
          <w:rFonts w:hint="eastAsia" w:ascii="宋体" w:hAnsi="宋体" w:cs="宋体"/>
          <w:sz w:val="24"/>
          <w:szCs w:val="24"/>
        </w:rPr>
        <w:t>3.4.2在特殊情况下，招标代理机构可于投标有效期满之前，征得投标人同意延长投标有效期，要求与答复均应以书面形式进行。投标人可以拒绝接受这一要求而放弃投标。同意这一要求的投标人，无需也不允许修改其投标文件。受投标有效期制约的所有权利和义务均应延长至新的有效期。</w:t>
      </w:r>
    </w:p>
    <w:p w14:paraId="3F5BD4A2">
      <w:pPr>
        <w:spacing w:line="530" w:lineRule="exact"/>
        <w:ind w:firstLine="480" w:firstLineChars="200"/>
        <w:rPr>
          <w:rFonts w:ascii="宋体" w:hAnsi="宋体" w:cs="宋体"/>
          <w:sz w:val="24"/>
          <w:szCs w:val="24"/>
        </w:rPr>
      </w:pPr>
      <w:r>
        <w:rPr>
          <w:rFonts w:hint="eastAsia" w:ascii="宋体" w:hAnsi="宋体" w:cs="宋体"/>
          <w:sz w:val="24"/>
          <w:szCs w:val="24"/>
        </w:rPr>
        <w:t>3.5投标文件的数量、签署及形式</w:t>
      </w:r>
    </w:p>
    <w:p w14:paraId="21561306">
      <w:pPr>
        <w:spacing w:line="530" w:lineRule="exact"/>
        <w:ind w:firstLine="480" w:firstLineChars="200"/>
        <w:rPr>
          <w:rFonts w:ascii="宋体" w:hAnsi="宋体" w:cs="宋体"/>
          <w:sz w:val="24"/>
          <w:szCs w:val="24"/>
        </w:rPr>
      </w:pPr>
      <w:r>
        <w:rPr>
          <w:rFonts w:hint="eastAsia" w:ascii="宋体" w:hAnsi="宋体" w:cs="宋体"/>
          <w:color w:val="FF0000"/>
          <w:sz w:val="24"/>
          <w:szCs w:val="24"/>
        </w:rPr>
        <w:t>3.5.1投标文件壹式伍份，胶装装订。其中正本壹份，副本肆份。(温馨提示：为了节约能源保护环境，制作标书时建议双面打印,如投多标段时建议做在同一本投标文件里。)（必须U盘拷贝的PDF格式正本的投标文件。开标时递交</w:t>
      </w:r>
      <w:r>
        <w:rPr>
          <w:rFonts w:hint="eastAsia" w:ascii="宋体" w:hAnsi="宋体" w:cs="宋体"/>
          <w:sz w:val="24"/>
          <w:szCs w:val="24"/>
        </w:rPr>
        <w:t>）</w:t>
      </w:r>
    </w:p>
    <w:p w14:paraId="37D1324C">
      <w:pPr>
        <w:spacing w:line="530" w:lineRule="exact"/>
        <w:ind w:firstLine="480" w:firstLineChars="200"/>
        <w:rPr>
          <w:rFonts w:ascii="宋体" w:hAnsi="宋体" w:cs="宋体"/>
          <w:sz w:val="24"/>
          <w:szCs w:val="24"/>
        </w:rPr>
      </w:pPr>
      <w:r>
        <w:rPr>
          <w:rFonts w:hint="eastAsia" w:ascii="宋体" w:hAnsi="宋体" w:cs="宋体"/>
          <w:sz w:val="24"/>
          <w:szCs w:val="24"/>
        </w:rPr>
        <w:t>3.5.2投标文件须按招标文件的要求执行，每份投标书均须在封面上清楚标明“正本”或“副本”字样，“正本”和“副本”具有同等法律效力；“正本”和“副本”之间如有差异，以正本为准。</w:t>
      </w:r>
    </w:p>
    <w:p w14:paraId="43A3B04A">
      <w:pPr>
        <w:spacing w:line="530" w:lineRule="exact"/>
        <w:ind w:firstLine="480" w:firstLineChars="200"/>
        <w:rPr>
          <w:rFonts w:ascii="宋体" w:hAnsi="宋体" w:cs="宋体"/>
          <w:sz w:val="24"/>
          <w:szCs w:val="24"/>
        </w:rPr>
      </w:pPr>
      <w:r>
        <w:rPr>
          <w:rFonts w:hint="eastAsia" w:ascii="宋体" w:hAnsi="宋体" w:cs="宋体"/>
          <w:sz w:val="24"/>
          <w:szCs w:val="24"/>
        </w:rPr>
        <w:t>3.5.3从环保角度考虑，投标文件正本方案材料建议按双面打印或用不褪色墨水双面书写。投标文件的正本须经法定代表人或授权代表签署和加盖投标人公章。</w:t>
      </w:r>
    </w:p>
    <w:p w14:paraId="60607D39">
      <w:pPr>
        <w:spacing w:line="530" w:lineRule="exact"/>
        <w:ind w:firstLine="480" w:firstLineChars="200"/>
        <w:rPr>
          <w:rFonts w:ascii="宋体" w:hAnsi="宋体" w:cs="宋体"/>
          <w:sz w:val="24"/>
          <w:szCs w:val="24"/>
        </w:rPr>
      </w:pPr>
      <w:r>
        <w:rPr>
          <w:rFonts w:hint="eastAsia" w:ascii="宋体" w:hAnsi="宋体" w:cs="宋体"/>
          <w:sz w:val="24"/>
          <w:szCs w:val="24"/>
        </w:rPr>
        <w:t>3.5.4投标文件不得涂改和增删，如要修改错漏处，必须由同一位签署人在修改处签字和盖章。</w:t>
      </w:r>
    </w:p>
    <w:p w14:paraId="6C23C09A">
      <w:pPr>
        <w:spacing w:line="530" w:lineRule="exact"/>
        <w:ind w:firstLine="482" w:firstLineChars="200"/>
        <w:rPr>
          <w:rFonts w:ascii="宋体" w:hAnsi="宋体" w:cs="宋体"/>
          <w:b/>
          <w:bCs/>
          <w:sz w:val="24"/>
          <w:szCs w:val="24"/>
        </w:rPr>
      </w:pPr>
      <w:r>
        <w:rPr>
          <w:rFonts w:hint="eastAsia" w:ascii="宋体" w:hAnsi="宋体" w:cs="宋体"/>
          <w:b/>
          <w:bCs/>
          <w:sz w:val="24"/>
          <w:szCs w:val="24"/>
        </w:rPr>
        <w:t>四、投标文件的递交</w:t>
      </w:r>
    </w:p>
    <w:p w14:paraId="2097CAA0">
      <w:pPr>
        <w:spacing w:line="530" w:lineRule="exact"/>
        <w:ind w:firstLine="480" w:firstLineChars="200"/>
        <w:rPr>
          <w:rFonts w:ascii="宋体" w:hAnsi="宋体" w:cs="宋体"/>
          <w:sz w:val="24"/>
          <w:szCs w:val="24"/>
        </w:rPr>
      </w:pPr>
      <w:r>
        <w:rPr>
          <w:rFonts w:hint="eastAsia" w:ascii="宋体" w:hAnsi="宋体" w:cs="宋体"/>
          <w:sz w:val="24"/>
          <w:szCs w:val="24"/>
        </w:rPr>
        <w:t>4．投标文件的密封及标记</w:t>
      </w:r>
    </w:p>
    <w:p w14:paraId="04CA4E1C">
      <w:pPr>
        <w:spacing w:line="530" w:lineRule="exact"/>
        <w:ind w:firstLine="480" w:firstLineChars="200"/>
        <w:rPr>
          <w:rFonts w:ascii="宋体" w:hAnsi="宋体" w:cs="宋体"/>
          <w:sz w:val="24"/>
          <w:szCs w:val="24"/>
        </w:rPr>
      </w:pPr>
      <w:r>
        <w:rPr>
          <w:rFonts w:hint="eastAsia" w:ascii="宋体" w:hAnsi="宋体" w:cs="宋体"/>
          <w:sz w:val="24"/>
          <w:szCs w:val="24"/>
        </w:rPr>
        <w:t>4.1投标人需将投标文件进行密封在投标专用袋(箱)中，封皮上均需写明：项目名称、项目编号、项目标段、投标单位名称、联系人姓名、电话。</w:t>
      </w:r>
    </w:p>
    <w:p w14:paraId="1EA65DC8">
      <w:pPr>
        <w:spacing w:line="530" w:lineRule="exact"/>
        <w:ind w:firstLine="480" w:firstLineChars="200"/>
        <w:rPr>
          <w:rFonts w:ascii="宋体" w:hAnsi="宋体" w:cs="宋体"/>
          <w:sz w:val="24"/>
          <w:szCs w:val="24"/>
        </w:rPr>
      </w:pPr>
      <w:r>
        <w:rPr>
          <w:rFonts w:hint="eastAsia" w:ascii="宋体" w:hAnsi="宋体" w:cs="宋体"/>
          <w:sz w:val="24"/>
          <w:szCs w:val="24"/>
        </w:rPr>
        <w:t>4.2投标文件未按上述规定书写标记和密封者，招标代理机构不对投标文件被错放或先期启封负责。</w:t>
      </w:r>
    </w:p>
    <w:p w14:paraId="5BCEA241">
      <w:pPr>
        <w:spacing w:line="530" w:lineRule="exact"/>
        <w:ind w:firstLine="480" w:firstLineChars="200"/>
        <w:rPr>
          <w:rFonts w:ascii="宋体" w:hAnsi="宋体" w:cs="宋体"/>
          <w:sz w:val="24"/>
          <w:szCs w:val="24"/>
        </w:rPr>
      </w:pPr>
      <w:r>
        <w:rPr>
          <w:rFonts w:hint="eastAsia" w:ascii="宋体" w:hAnsi="宋体" w:cs="宋体"/>
          <w:sz w:val="24"/>
          <w:szCs w:val="24"/>
        </w:rPr>
        <w:t>4.3投标截止时间按照招标文件规定时间。</w:t>
      </w:r>
    </w:p>
    <w:p w14:paraId="0B15C2E0">
      <w:pPr>
        <w:spacing w:line="530" w:lineRule="exact"/>
        <w:ind w:firstLine="480" w:firstLineChars="200"/>
        <w:rPr>
          <w:rFonts w:ascii="宋体" w:hAnsi="宋体" w:cs="宋体"/>
          <w:sz w:val="24"/>
          <w:szCs w:val="24"/>
        </w:rPr>
      </w:pPr>
      <w:r>
        <w:rPr>
          <w:rFonts w:hint="eastAsia" w:ascii="宋体" w:hAnsi="宋体" w:cs="宋体"/>
          <w:sz w:val="24"/>
          <w:szCs w:val="24"/>
        </w:rPr>
        <w:t>4.4投标人须在投标截止时间前将投标文件送达招标代理机构规定的投标地点。</w:t>
      </w:r>
    </w:p>
    <w:p w14:paraId="16040F70">
      <w:pPr>
        <w:spacing w:line="530" w:lineRule="exact"/>
        <w:ind w:firstLine="480" w:firstLineChars="200"/>
        <w:rPr>
          <w:rFonts w:ascii="宋体" w:hAnsi="宋体" w:cs="宋体"/>
          <w:sz w:val="24"/>
          <w:szCs w:val="24"/>
        </w:rPr>
      </w:pPr>
      <w:r>
        <w:rPr>
          <w:rFonts w:hint="eastAsia" w:ascii="宋体" w:hAnsi="宋体" w:cs="宋体"/>
          <w:sz w:val="24"/>
          <w:szCs w:val="24"/>
        </w:rPr>
        <w:t>4.5若招标代理机构推迟了投标截止时间，应以公告的形式通知所有投标人。在这种情况下，招标人和投标人的权利和义务均应以新的截止时间为准。</w:t>
      </w:r>
    </w:p>
    <w:p w14:paraId="10F30A56">
      <w:pPr>
        <w:spacing w:line="530" w:lineRule="exact"/>
        <w:ind w:firstLine="480" w:firstLineChars="200"/>
        <w:rPr>
          <w:rFonts w:ascii="宋体" w:hAnsi="宋体" w:cs="宋体"/>
          <w:sz w:val="24"/>
          <w:szCs w:val="24"/>
        </w:rPr>
      </w:pPr>
      <w:r>
        <w:rPr>
          <w:rFonts w:hint="eastAsia" w:ascii="宋体" w:hAnsi="宋体" w:cs="宋体"/>
          <w:sz w:val="24"/>
          <w:szCs w:val="24"/>
        </w:rPr>
        <w:t>4.6在投标截止时间后递交的投标文件，招标代理机构将拒绝接受。</w:t>
      </w:r>
    </w:p>
    <w:p w14:paraId="18F24104">
      <w:pPr>
        <w:spacing w:line="530" w:lineRule="exact"/>
        <w:ind w:firstLine="480" w:firstLineChars="200"/>
        <w:rPr>
          <w:rFonts w:ascii="宋体" w:hAnsi="宋体" w:cs="宋体"/>
          <w:sz w:val="24"/>
          <w:szCs w:val="24"/>
        </w:rPr>
      </w:pPr>
      <w:r>
        <w:rPr>
          <w:rFonts w:hint="eastAsia" w:ascii="宋体" w:hAnsi="宋体" w:cs="宋体"/>
          <w:sz w:val="24"/>
          <w:szCs w:val="24"/>
        </w:rPr>
        <w:t>4.7“投标文件”的标记（不作为实质性要求）</w:t>
      </w:r>
    </w:p>
    <w:p w14:paraId="2DD08C27">
      <w:pPr>
        <w:spacing w:line="530" w:lineRule="exact"/>
        <w:ind w:firstLine="480" w:firstLineChars="200"/>
        <w:rPr>
          <w:rFonts w:ascii="宋体" w:hAnsi="宋体" w:cs="宋体"/>
          <w:sz w:val="24"/>
          <w:szCs w:val="24"/>
        </w:rPr>
      </w:pPr>
      <w:r>
        <w:rPr>
          <w:rFonts w:hint="eastAsia" w:ascii="宋体" w:hAnsi="宋体" w:cs="宋体"/>
          <w:sz w:val="24"/>
          <w:szCs w:val="24"/>
        </w:rPr>
        <w:t>4.7.1不能按“招标文件”提出的要求制作的标书，被视为不完整的投标书，势必影响评标工作进行，</w:t>
      </w:r>
      <w:r>
        <w:rPr>
          <w:rFonts w:hint="eastAsia" w:ascii="宋体" w:hAnsi="宋体" w:cs="宋体"/>
          <w:bCs/>
          <w:sz w:val="24"/>
          <w:szCs w:val="24"/>
        </w:rPr>
        <w:t>是投标人潜在的风险</w:t>
      </w:r>
      <w:r>
        <w:rPr>
          <w:rFonts w:hint="eastAsia" w:ascii="宋体" w:hAnsi="宋体" w:cs="宋体"/>
          <w:sz w:val="24"/>
          <w:szCs w:val="24"/>
        </w:rPr>
        <w:t>。</w:t>
      </w:r>
    </w:p>
    <w:p w14:paraId="1F0E9974">
      <w:pPr>
        <w:spacing w:line="530" w:lineRule="exact"/>
        <w:ind w:firstLine="480" w:firstLineChars="200"/>
        <w:rPr>
          <w:rFonts w:ascii="宋体" w:hAnsi="宋体" w:cs="宋体"/>
          <w:sz w:val="24"/>
          <w:szCs w:val="24"/>
        </w:rPr>
      </w:pPr>
      <w:r>
        <w:rPr>
          <w:rFonts w:hint="eastAsia" w:ascii="宋体" w:hAnsi="宋体" w:cs="宋体"/>
          <w:sz w:val="24"/>
          <w:szCs w:val="24"/>
        </w:rPr>
        <w:t>4.8上传“投标文件”的时间以及截止时间</w:t>
      </w:r>
    </w:p>
    <w:p w14:paraId="1D77D374">
      <w:pPr>
        <w:spacing w:line="530" w:lineRule="exact"/>
        <w:ind w:firstLine="480" w:firstLineChars="200"/>
        <w:rPr>
          <w:rFonts w:ascii="宋体" w:hAnsi="宋体" w:cs="宋体"/>
          <w:sz w:val="24"/>
          <w:szCs w:val="24"/>
        </w:rPr>
      </w:pPr>
      <w:r>
        <w:rPr>
          <w:rFonts w:hint="eastAsia" w:ascii="宋体" w:hAnsi="宋体" w:cs="宋体"/>
          <w:sz w:val="24"/>
          <w:szCs w:val="24"/>
        </w:rPr>
        <w:t>4.8.1所有“投标文件”都必须按采购代理机构在“投标邀请函”中规定的投标截止时间之前上传至系统。</w:t>
      </w:r>
    </w:p>
    <w:p w14:paraId="48175542">
      <w:pPr>
        <w:spacing w:line="530" w:lineRule="exact"/>
        <w:ind w:firstLine="480" w:firstLineChars="200"/>
        <w:rPr>
          <w:rFonts w:ascii="宋体" w:hAnsi="宋体" w:cs="宋体"/>
          <w:sz w:val="24"/>
          <w:szCs w:val="24"/>
        </w:rPr>
      </w:pPr>
      <w:r>
        <w:rPr>
          <w:rFonts w:hint="eastAsia" w:ascii="宋体" w:hAnsi="宋体" w:cs="宋体"/>
          <w:sz w:val="24"/>
          <w:szCs w:val="24"/>
        </w:rPr>
        <w:t>4.8.2投标人在投标截止时间前，可以对所递交的投标文件进行补充、修改或者撤回，并书面通知采购人或者采购代理机构。补充、修改的内容应当按照招标文件要求签署、盖章、密封后，作为投标文件的组成部分。</w:t>
      </w:r>
    </w:p>
    <w:p w14:paraId="63CF4517">
      <w:pPr>
        <w:spacing w:line="530" w:lineRule="exact"/>
        <w:ind w:firstLine="480" w:firstLineChars="200"/>
        <w:rPr>
          <w:rFonts w:ascii="宋体" w:hAnsi="宋体" w:cs="宋体"/>
          <w:sz w:val="24"/>
          <w:szCs w:val="24"/>
        </w:rPr>
      </w:pPr>
      <w:r>
        <w:rPr>
          <w:rFonts w:hint="eastAsia" w:ascii="宋体" w:hAnsi="宋体" w:cs="宋体"/>
          <w:sz w:val="24"/>
          <w:szCs w:val="24"/>
        </w:rPr>
        <w:t>4.9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0098B91A">
      <w:pPr>
        <w:spacing w:line="530" w:lineRule="exact"/>
        <w:ind w:firstLine="482" w:firstLineChars="200"/>
        <w:rPr>
          <w:rFonts w:ascii="宋体" w:hAnsi="宋体" w:cs="宋体"/>
          <w:b/>
          <w:bCs/>
          <w:sz w:val="24"/>
          <w:szCs w:val="24"/>
        </w:rPr>
      </w:pPr>
      <w:r>
        <w:rPr>
          <w:rFonts w:hint="eastAsia" w:ascii="宋体" w:hAnsi="宋体" w:cs="宋体"/>
          <w:b/>
          <w:bCs/>
          <w:sz w:val="24"/>
          <w:szCs w:val="24"/>
        </w:rPr>
        <w:t>五、开标、评标及签约</w:t>
      </w:r>
    </w:p>
    <w:p w14:paraId="5BCB15E6">
      <w:pPr>
        <w:tabs>
          <w:tab w:val="left" w:pos="1260"/>
        </w:tabs>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5.1开标</w:t>
      </w:r>
    </w:p>
    <w:p w14:paraId="5F258B03">
      <w:pPr>
        <w:spacing w:line="530" w:lineRule="exact"/>
        <w:ind w:firstLine="480" w:firstLineChars="200"/>
        <w:rPr>
          <w:rFonts w:ascii="宋体" w:hAnsi="宋体" w:cs="宋体"/>
          <w:sz w:val="24"/>
          <w:szCs w:val="24"/>
        </w:rPr>
      </w:pPr>
      <w:r>
        <w:rPr>
          <w:rFonts w:hint="eastAsia" w:ascii="宋体" w:hAnsi="宋体" w:cs="宋体"/>
          <w:sz w:val="24"/>
          <w:szCs w:val="24"/>
        </w:rPr>
        <w:t>5.1.1招标代理机构按招标文件第一章规定的时间和地点进行开标，招标人代表、招标代理机构有关工作人员参加。投标人应委派授权代表参加开标活动，参加开标的法定代表人须持本人有效身份证复印件</w:t>
      </w:r>
      <w:r>
        <w:rPr>
          <w:rFonts w:hint="eastAsia" w:ascii="宋体" w:hAnsi="宋体" w:cs="宋体"/>
          <w:bCs/>
          <w:sz w:val="24"/>
          <w:szCs w:val="24"/>
        </w:rPr>
        <w:t>、企业营业执照复印件；如系委托情况，被委托投标者应携带本人</w:t>
      </w:r>
      <w:r>
        <w:rPr>
          <w:rFonts w:hint="eastAsia" w:ascii="宋体" w:hAnsi="宋体" w:cs="宋体"/>
          <w:sz w:val="24"/>
          <w:szCs w:val="24"/>
        </w:rPr>
        <w:t>有效身份证复印件</w:t>
      </w:r>
      <w:r>
        <w:rPr>
          <w:rFonts w:hint="eastAsia" w:ascii="宋体" w:hAnsi="宋体" w:cs="宋体"/>
          <w:bCs/>
          <w:sz w:val="24"/>
          <w:szCs w:val="24"/>
        </w:rPr>
        <w:t>、企业营业执照复印件、</w:t>
      </w:r>
      <w:r>
        <w:rPr>
          <w:rFonts w:hint="eastAsia" w:ascii="宋体" w:hAnsi="宋体" w:cs="宋体"/>
          <w:sz w:val="24"/>
          <w:szCs w:val="24"/>
        </w:rPr>
        <w:t>法定代表人身份证复印件</w:t>
      </w:r>
      <w:r>
        <w:rPr>
          <w:rFonts w:hint="eastAsia" w:ascii="宋体" w:hAnsi="宋体" w:cs="宋体"/>
          <w:bCs/>
          <w:sz w:val="24"/>
          <w:szCs w:val="24"/>
        </w:rPr>
        <w:t>、法人授权委托证明书签名报到。</w:t>
      </w:r>
    </w:p>
    <w:p w14:paraId="6DAD37B1">
      <w:pPr>
        <w:spacing w:line="530" w:lineRule="exact"/>
        <w:ind w:firstLine="480" w:firstLineChars="200"/>
        <w:rPr>
          <w:rFonts w:ascii="宋体" w:hAnsi="宋体" w:cs="宋体"/>
          <w:sz w:val="24"/>
          <w:szCs w:val="24"/>
        </w:rPr>
      </w:pPr>
      <w:r>
        <w:rPr>
          <w:rFonts w:hint="eastAsia" w:ascii="宋体" w:hAnsi="宋体" w:cs="宋体"/>
          <w:sz w:val="24"/>
          <w:szCs w:val="24"/>
        </w:rPr>
        <w:t>5.1.2政府招标主管部门、监督部门、国家公证机关公证员由其视情况决定是否派代表到现场进行监督。</w:t>
      </w:r>
    </w:p>
    <w:p w14:paraId="244B5BD9">
      <w:pPr>
        <w:spacing w:line="530" w:lineRule="exact"/>
        <w:ind w:firstLine="480" w:firstLineChars="200"/>
        <w:rPr>
          <w:rFonts w:ascii="宋体" w:hAnsi="宋体" w:cs="宋体"/>
          <w:sz w:val="24"/>
          <w:szCs w:val="24"/>
        </w:rPr>
      </w:pPr>
      <w:r>
        <w:rPr>
          <w:rFonts w:hint="eastAsia" w:ascii="宋体" w:hAnsi="宋体" w:cs="宋体"/>
          <w:sz w:val="24"/>
          <w:szCs w:val="24"/>
        </w:rPr>
        <w:t>5.1.3开标时，投标人代表将查验投标文件密封情况，确认无误后，采购人或招标代理机构有关工作人员现场拆开标书，公布每份投标文件中招标代理机构认为合适的其他内容，招标代理机构将作开标记录。</w:t>
      </w:r>
    </w:p>
    <w:p w14:paraId="3F445603">
      <w:pPr>
        <w:spacing w:line="530" w:lineRule="exact"/>
        <w:ind w:firstLine="480" w:firstLineChars="200"/>
        <w:rPr>
          <w:rFonts w:ascii="宋体" w:hAnsi="宋体" w:cs="宋体"/>
          <w:sz w:val="24"/>
          <w:szCs w:val="24"/>
        </w:rPr>
      </w:pPr>
      <w:r>
        <w:rPr>
          <w:rFonts w:hint="eastAsia" w:ascii="宋体" w:hAnsi="宋体" w:cs="宋体"/>
          <w:sz w:val="24"/>
          <w:szCs w:val="24"/>
        </w:rPr>
        <w:t>5.1.4若投标文件未密封, 采购人和招标代理机构将拒绝接受该投标人的投标文件。</w:t>
      </w:r>
    </w:p>
    <w:p w14:paraId="36ED715E">
      <w:pPr>
        <w:spacing w:line="530" w:lineRule="exact"/>
        <w:ind w:firstLine="480" w:firstLineChars="200"/>
        <w:rPr>
          <w:rFonts w:ascii="宋体" w:hAnsi="宋体" w:cs="宋体"/>
          <w:sz w:val="24"/>
          <w:szCs w:val="24"/>
        </w:rPr>
      </w:pPr>
      <w:r>
        <w:rPr>
          <w:rFonts w:hint="eastAsia" w:ascii="宋体" w:hAnsi="宋体" w:cs="宋体"/>
          <w:sz w:val="24"/>
          <w:szCs w:val="24"/>
        </w:rPr>
        <w:t>5.1.5投标文件报价出现前后不一致的或书写错误的，除招标文件另有规定外，按照下列规定修正：</w:t>
      </w:r>
    </w:p>
    <w:p w14:paraId="439BA40F">
      <w:pPr>
        <w:spacing w:line="530" w:lineRule="exact"/>
        <w:ind w:firstLine="480" w:firstLineChars="200"/>
        <w:rPr>
          <w:rFonts w:ascii="宋体" w:hAnsi="宋体" w:cs="宋体"/>
          <w:sz w:val="24"/>
          <w:szCs w:val="24"/>
        </w:rPr>
      </w:pPr>
      <w:r>
        <w:rPr>
          <w:rFonts w:hint="eastAsia" w:ascii="宋体" w:hAnsi="宋体" w:cs="宋体"/>
          <w:sz w:val="24"/>
          <w:szCs w:val="24"/>
        </w:rPr>
        <w:t>（一）投标文件中投资金额报价表内容与投标文件中相应内容不一致的，以投资金额报价表为准；</w:t>
      </w:r>
    </w:p>
    <w:p w14:paraId="400375D7">
      <w:pPr>
        <w:spacing w:line="530" w:lineRule="exact"/>
        <w:ind w:firstLine="480" w:firstLineChars="200"/>
        <w:rPr>
          <w:rFonts w:ascii="宋体" w:hAnsi="宋体" w:cs="宋体"/>
          <w:sz w:val="24"/>
          <w:szCs w:val="24"/>
        </w:rPr>
      </w:pPr>
      <w:r>
        <w:rPr>
          <w:rFonts w:hint="eastAsia" w:ascii="宋体" w:hAnsi="宋体" w:cs="宋体"/>
          <w:sz w:val="24"/>
          <w:szCs w:val="24"/>
        </w:rPr>
        <w:t>（二）大写金额或小写金额存在书写错误的，以书写正确的为准；大写金额和小写金额同时书写错误的，以大写金额为准；</w:t>
      </w:r>
    </w:p>
    <w:p w14:paraId="53C090DB">
      <w:pPr>
        <w:spacing w:line="530" w:lineRule="exact"/>
        <w:ind w:firstLine="480" w:firstLineChars="200"/>
        <w:rPr>
          <w:rFonts w:ascii="宋体" w:hAnsi="宋体" w:cs="宋体"/>
          <w:sz w:val="24"/>
          <w:szCs w:val="24"/>
        </w:rPr>
      </w:pPr>
      <w:r>
        <w:rPr>
          <w:rFonts w:hint="eastAsia" w:ascii="宋体" w:hAnsi="宋体" w:cs="宋体"/>
          <w:sz w:val="24"/>
          <w:szCs w:val="24"/>
        </w:rPr>
        <w:t>（三）大写金额和小写金额不一致的，以大写金额为准；</w:t>
      </w:r>
    </w:p>
    <w:p w14:paraId="7686F5A4">
      <w:pPr>
        <w:spacing w:line="530" w:lineRule="exact"/>
        <w:ind w:firstLine="480" w:firstLineChars="200"/>
        <w:rPr>
          <w:rFonts w:ascii="宋体" w:hAnsi="宋体" w:cs="宋体"/>
          <w:sz w:val="24"/>
          <w:szCs w:val="24"/>
        </w:rPr>
      </w:pPr>
      <w:r>
        <w:rPr>
          <w:rFonts w:hint="eastAsia" w:ascii="宋体" w:hAnsi="宋体" w:cs="宋体"/>
          <w:sz w:val="24"/>
          <w:szCs w:val="24"/>
        </w:rPr>
        <w:t>（四）单价金额小数点或者百分比有明显错位的，以投资金额报价表的总价为准，并修改单价；</w:t>
      </w:r>
    </w:p>
    <w:p w14:paraId="2630577B">
      <w:pPr>
        <w:spacing w:line="530" w:lineRule="exact"/>
        <w:ind w:firstLine="480" w:firstLineChars="200"/>
        <w:rPr>
          <w:rFonts w:ascii="宋体" w:hAnsi="宋体" w:cs="宋体"/>
          <w:sz w:val="24"/>
          <w:szCs w:val="24"/>
        </w:rPr>
      </w:pPr>
      <w:r>
        <w:rPr>
          <w:rFonts w:hint="eastAsia" w:ascii="宋体" w:hAnsi="宋体" w:cs="宋体"/>
          <w:sz w:val="24"/>
          <w:szCs w:val="24"/>
        </w:rPr>
        <w:t>（五）总价金额与按单价汇总金额不一致的，以单价金额计算结果为准。</w:t>
      </w:r>
    </w:p>
    <w:p w14:paraId="4A16BE77">
      <w:pPr>
        <w:spacing w:line="530" w:lineRule="exact"/>
        <w:ind w:firstLine="480" w:firstLineChars="200"/>
        <w:rPr>
          <w:rFonts w:ascii="宋体" w:hAnsi="宋体" w:cs="宋体"/>
          <w:sz w:val="24"/>
          <w:szCs w:val="24"/>
        </w:rPr>
      </w:pPr>
      <w:r>
        <w:rPr>
          <w:rFonts w:hint="eastAsia" w:ascii="宋体" w:hAnsi="宋体" w:cs="宋体"/>
          <w:sz w:val="24"/>
          <w:szCs w:val="24"/>
        </w:rPr>
        <w:t>同时出现两种以上不一致的，按照前款规定的顺序修正。修正后的报价应当经投标人采用书面形式，并加盖公章，或者由法定代表人或其授权的代表签字确认后产生约束力，投标人不确认的，其投标无效。</w:t>
      </w:r>
    </w:p>
    <w:p w14:paraId="451908D5">
      <w:pPr>
        <w:tabs>
          <w:tab w:val="left" w:pos="1260"/>
        </w:tabs>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5.2评标</w:t>
      </w:r>
    </w:p>
    <w:p w14:paraId="20E0F380">
      <w:pPr>
        <w:spacing w:line="530" w:lineRule="exact"/>
        <w:ind w:firstLine="480" w:firstLineChars="200"/>
        <w:rPr>
          <w:rFonts w:ascii="宋体" w:hAnsi="宋体" w:cs="宋体"/>
          <w:sz w:val="24"/>
          <w:szCs w:val="24"/>
        </w:rPr>
      </w:pPr>
      <w:r>
        <w:rPr>
          <w:rFonts w:hint="eastAsia" w:ascii="宋体" w:hAnsi="宋体" w:cs="宋体"/>
          <w:kern w:val="0"/>
          <w:sz w:val="24"/>
          <w:szCs w:val="24"/>
        </w:rPr>
        <w:t>5.2.1</w:t>
      </w:r>
      <w:r>
        <w:rPr>
          <w:rFonts w:hint="eastAsia" w:ascii="宋体" w:hAnsi="宋体" w:cs="宋体"/>
          <w:sz w:val="24"/>
          <w:szCs w:val="24"/>
        </w:rPr>
        <w:t>本次采购人和招标代理机构将根据本项目的特点依法组建评标委员会，其成员由有关方面的专家5人组成，其中技术、经济方面的专家不得少于评标委员会成员总数的三分之二。该评标委员会独立工作，负责评审所有投标文件并确定中标候选人。</w:t>
      </w:r>
    </w:p>
    <w:p w14:paraId="74037009">
      <w:pPr>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5.2.2根据初步评审结论，确定合格投标人，然后对其进行评分。</w:t>
      </w:r>
    </w:p>
    <w:p w14:paraId="284BE7A0">
      <w:pPr>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5.2.3根据评分结果，确定得分排在第一位的投标人为第一中标候选人，以此类推。</w:t>
      </w:r>
    </w:p>
    <w:p w14:paraId="70F96460">
      <w:pPr>
        <w:spacing w:line="530" w:lineRule="exact"/>
        <w:ind w:firstLine="480" w:firstLineChars="200"/>
        <w:rPr>
          <w:rFonts w:ascii="宋体" w:hAnsi="宋体" w:cs="宋体"/>
          <w:sz w:val="24"/>
          <w:szCs w:val="24"/>
        </w:rPr>
      </w:pPr>
      <w:r>
        <w:rPr>
          <w:rFonts w:hint="eastAsia" w:ascii="宋体" w:hAnsi="宋体" w:cs="宋体"/>
          <w:sz w:val="24"/>
          <w:szCs w:val="24"/>
        </w:rPr>
        <w:t>5.2.4确定中标人后，中标人必须在接到中标通知书后在规定时间内与招标人签约，逾期作自动放弃处理。</w:t>
      </w:r>
    </w:p>
    <w:p w14:paraId="7267B4BB">
      <w:pPr>
        <w:spacing w:line="580" w:lineRule="exact"/>
        <w:ind w:firstLine="480" w:firstLineChars="200"/>
        <w:rPr>
          <w:rFonts w:ascii="宋体" w:hAnsi="宋体" w:cs="宋体"/>
          <w:kern w:val="0"/>
          <w:sz w:val="24"/>
          <w:szCs w:val="24"/>
        </w:rPr>
      </w:pPr>
      <w:r>
        <w:rPr>
          <w:rFonts w:hint="eastAsia" w:ascii="宋体" w:hAnsi="宋体" w:cs="宋体"/>
          <w:kern w:val="0"/>
          <w:sz w:val="24"/>
          <w:szCs w:val="24"/>
        </w:rPr>
        <w:t>1）发布中标公告后，如出现中标人放弃、取消资格等特殊情形，招标人有权决定是由下一名中标候选人中标，或是本次招标废标，进行重新招标。</w:t>
      </w:r>
    </w:p>
    <w:p w14:paraId="6C93A2E5">
      <w:pPr>
        <w:spacing w:line="580" w:lineRule="exact"/>
        <w:ind w:firstLine="480" w:firstLineChars="200"/>
        <w:rPr>
          <w:rFonts w:ascii="宋体" w:hAnsi="宋体" w:cs="宋体"/>
          <w:kern w:val="0"/>
          <w:sz w:val="24"/>
          <w:szCs w:val="24"/>
        </w:rPr>
      </w:pPr>
      <w:r>
        <w:rPr>
          <w:rFonts w:hint="eastAsia" w:ascii="宋体" w:hAnsi="宋体" w:cs="宋体"/>
          <w:kern w:val="0"/>
          <w:sz w:val="24"/>
          <w:szCs w:val="24"/>
        </w:rPr>
        <w:t>2）重新招标，原放弃中标权的投标人、不诚信或虚假投标的违规投标人等不得参与重新招标活动。</w:t>
      </w:r>
    </w:p>
    <w:p w14:paraId="4D5D3EEB">
      <w:pPr>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5.2.5招标代理机构没有义务向其他投标人解释评标结果的理由。</w:t>
      </w:r>
    </w:p>
    <w:p w14:paraId="1DE4BED0">
      <w:pPr>
        <w:tabs>
          <w:tab w:val="left" w:pos="1260"/>
        </w:tabs>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5.3评标方法：综合评分法。</w:t>
      </w:r>
    </w:p>
    <w:p w14:paraId="251F31AA">
      <w:pPr>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5.3.1第一阶段：资格初审阶段。评标委员会对各投标人进行资格性审查和符合性审查（详见表1、表2），确定合格投标人。</w:t>
      </w:r>
    </w:p>
    <w:p w14:paraId="6A37FDF0">
      <w:pPr>
        <w:spacing w:line="540" w:lineRule="exact"/>
        <w:ind w:firstLine="482" w:firstLineChars="200"/>
        <w:jc w:val="left"/>
        <w:rPr>
          <w:rFonts w:ascii="宋体" w:hAnsi="宋体" w:cs="宋体"/>
          <w:kern w:val="0"/>
          <w:sz w:val="24"/>
          <w:szCs w:val="24"/>
        </w:rPr>
      </w:pPr>
      <w:r>
        <w:rPr>
          <w:rFonts w:hint="eastAsia" w:ascii="宋体" w:hAnsi="宋体" w:cs="宋体"/>
          <w:b/>
          <w:kern w:val="0"/>
          <w:sz w:val="24"/>
          <w:szCs w:val="24"/>
        </w:rPr>
        <w:t>六、中标服务费收取。</w:t>
      </w:r>
    </w:p>
    <w:p w14:paraId="5D44373D">
      <w:pPr>
        <w:spacing w:line="540" w:lineRule="exact"/>
        <w:ind w:firstLine="482" w:firstLineChars="200"/>
        <w:jc w:val="left"/>
        <w:rPr>
          <w:rFonts w:ascii="宋体" w:hAnsi="宋体" w:cs="宋体"/>
          <w:kern w:val="0"/>
          <w:sz w:val="24"/>
          <w:szCs w:val="24"/>
        </w:rPr>
      </w:pPr>
      <w:r>
        <w:rPr>
          <w:rFonts w:hint="eastAsia" w:ascii="宋体" w:hAnsi="宋体" w:cs="宋体"/>
          <w:b/>
          <w:kern w:val="0"/>
          <w:sz w:val="24"/>
          <w:szCs w:val="24"/>
        </w:rPr>
        <w:t>中标方应向招标代理机构支付中标服务费。中标服务费按照20000元收取。</w:t>
      </w:r>
    </w:p>
    <w:p w14:paraId="16935B2E">
      <w:pPr>
        <w:pStyle w:val="3"/>
      </w:pPr>
    </w:p>
    <w:p w14:paraId="44A0C5CA">
      <w:pPr>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br w:type="page"/>
      </w:r>
    </w:p>
    <w:p w14:paraId="4AB750BA">
      <w:pPr>
        <w:spacing w:line="520" w:lineRule="exact"/>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表</w:t>
      </w:r>
      <w:r>
        <w:rPr>
          <w:rFonts w:cs="仿宋_GB2312" w:asciiTheme="minorEastAsia" w:hAnsiTheme="minorEastAsia" w:eastAsiaTheme="minorEastAsia"/>
          <w:kern w:val="0"/>
          <w:sz w:val="32"/>
          <w:szCs w:val="32"/>
        </w:rPr>
        <w:t>1</w:t>
      </w:r>
    </w:p>
    <w:p w14:paraId="1E306C92">
      <w:pPr>
        <w:spacing w:line="400" w:lineRule="exact"/>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资格性审查表</w:t>
      </w:r>
    </w:p>
    <w:p w14:paraId="28C713E6">
      <w:pPr>
        <w:spacing w:line="36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（评审专家审查）</w:t>
      </w:r>
    </w:p>
    <w:tbl>
      <w:tblPr>
        <w:tblStyle w:val="22"/>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50"/>
        <w:gridCol w:w="6379"/>
        <w:gridCol w:w="992"/>
      </w:tblGrid>
      <w:tr w14:paraId="7870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Align w:val="center"/>
          </w:tcPr>
          <w:p w14:paraId="7901232C">
            <w:pPr>
              <w:spacing w:line="2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序号</w:t>
            </w:r>
          </w:p>
        </w:tc>
        <w:tc>
          <w:tcPr>
            <w:tcW w:w="1350" w:type="dxa"/>
            <w:vAlign w:val="center"/>
          </w:tcPr>
          <w:p w14:paraId="36A8864D">
            <w:pPr>
              <w:spacing w:line="2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审查项目</w:t>
            </w:r>
          </w:p>
        </w:tc>
        <w:tc>
          <w:tcPr>
            <w:tcW w:w="6379" w:type="dxa"/>
            <w:vAlign w:val="center"/>
          </w:tcPr>
          <w:p w14:paraId="286E4035">
            <w:pPr>
              <w:spacing w:line="2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评议内容</w:t>
            </w:r>
          </w:p>
        </w:tc>
        <w:tc>
          <w:tcPr>
            <w:tcW w:w="992" w:type="dxa"/>
            <w:vAlign w:val="center"/>
          </w:tcPr>
          <w:p w14:paraId="382A156E">
            <w:pPr>
              <w:spacing w:line="28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投标人</w:t>
            </w:r>
          </w:p>
        </w:tc>
      </w:tr>
      <w:tr w14:paraId="25E4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restart"/>
            <w:vAlign w:val="center"/>
          </w:tcPr>
          <w:p w14:paraId="1C618E6E">
            <w:pPr>
              <w:spacing w:line="280" w:lineRule="exact"/>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p>
        </w:tc>
        <w:tc>
          <w:tcPr>
            <w:tcW w:w="1350" w:type="dxa"/>
            <w:vMerge w:val="restart"/>
            <w:vAlign w:val="center"/>
          </w:tcPr>
          <w:p w14:paraId="582D56A3">
            <w:pPr>
              <w:spacing w:line="2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相关资格证明文件</w:t>
            </w:r>
          </w:p>
        </w:tc>
        <w:tc>
          <w:tcPr>
            <w:tcW w:w="6379" w:type="dxa"/>
            <w:vAlign w:val="center"/>
          </w:tcPr>
          <w:p w14:paraId="77BC33A5">
            <w:pPr>
              <w:spacing w:line="28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sz w:val="24"/>
                <w:szCs w:val="24"/>
              </w:rPr>
              <w:t>营业执照副本、组织机构代码证、税务登记证有效或按照国家“三证合一、一照一码”登记制度申请核发的新版合法的营业执照（复印件加盖公章）</w:t>
            </w:r>
            <w:r>
              <w:rPr>
                <w:rFonts w:hint="eastAsia" w:cs="宋体" w:asciiTheme="minorEastAsia" w:hAnsiTheme="minorEastAsia" w:eastAsiaTheme="minorEastAsia"/>
                <w:kern w:val="0"/>
                <w:sz w:val="24"/>
              </w:rPr>
              <w:t>；</w:t>
            </w:r>
          </w:p>
        </w:tc>
        <w:tc>
          <w:tcPr>
            <w:tcW w:w="992" w:type="dxa"/>
            <w:vAlign w:val="center"/>
          </w:tcPr>
          <w:p w14:paraId="64E786C8">
            <w:pPr>
              <w:spacing w:line="280" w:lineRule="exact"/>
              <w:jc w:val="center"/>
              <w:rPr>
                <w:rFonts w:cs="Times New Roman" w:asciiTheme="minorEastAsia" w:hAnsiTheme="minorEastAsia" w:eastAsiaTheme="minorEastAsia"/>
                <w:kern w:val="0"/>
                <w:sz w:val="24"/>
                <w:szCs w:val="24"/>
              </w:rPr>
            </w:pPr>
          </w:p>
        </w:tc>
      </w:tr>
      <w:tr w14:paraId="35B0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3F7E6BAB">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39CB75AA">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6DA3D592">
            <w:pPr>
              <w:spacing w:line="280" w:lineRule="exact"/>
              <w:jc w:val="left"/>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rPr>
              <w:t>具有良好的商业信誉和健全的财务会计制度(提供承诺函）；</w:t>
            </w:r>
          </w:p>
        </w:tc>
        <w:tc>
          <w:tcPr>
            <w:tcW w:w="992" w:type="dxa"/>
            <w:vAlign w:val="center"/>
          </w:tcPr>
          <w:p w14:paraId="5002F49A">
            <w:pPr>
              <w:spacing w:line="280" w:lineRule="exact"/>
              <w:jc w:val="center"/>
              <w:rPr>
                <w:rFonts w:cs="Times New Roman" w:asciiTheme="minorEastAsia" w:hAnsiTheme="minorEastAsia" w:eastAsiaTheme="minorEastAsia"/>
                <w:kern w:val="0"/>
                <w:sz w:val="24"/>
                <w:szCs w:val="24"/>
              </w:rPr>
            </w:pPr>
          </w:p>
        </w:tc>
      </w:tr>
      <w:tr w14:paraId="57AC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64863C4F">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1664E5DF">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32EEA6F3">
            <w:pPr>
              <w:spacing w:line="280" w:lineRule="exact"/>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rPr>
              <w:t>具有履行合同所必需的设备和专业技术能力（提供承诺书）；</w:t>
            </w:r>
          </w:p>
        </w:tc>
        <w:tc>
          <w:tcPr>
            <w:tcW w:w="992" w:type="dxa"/>
            <w:vAlign w:val="center"/>
          </w:tcPr>
          <w:p w14:paraId="683D3DC6">
            <w:pPr>
              <w:spacing w:line="280" w:lineRule="exact"/>
              <w:jc w:val="center"/>
              <w:rPr>
                <w:rFonts w:cs="Times New Roman" w:asciiTheme="minorEastAsia" w:hAnsiTheme="minorEastAsia" w:eastAsiaTheme="minorEastAsia"/>
                <w:kern w:val="0"/>
                <w:sz w:val="24"/>
                <w:szCs w:val="24"/>
              </w:rPr>
            </w:pPr>
          </w:p>
        </w:tc>
      </w:tr>
      <w:tr w14:paraId="4B26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0442FB93">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16644343">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41F74E0A">
            <w:pPr>
              <w:spacing w:line="280" w:lineRule="exact"/>
              <w:rPr>
                <w:rFonts w:cs="仿宋_GB2312" w:asciiTheme="minorEastAsia" w:hAnsiTheme="minorEastAsia" w:eastAsiaTheme="minorEastAsia"/>
                <w:kern w:val="0"/>
                <w:sz w:val="24"/>
                <w:szCs w:val="24"/>
              </w:rPr>
            </w:pPr>
            <w:r>
              <w:rPr>
                <w:rFonts w:hint="eastAsia" w:cs="宋体" w:asciiTheme="minorEastAsia" w:hAnsiTheme="minorEastAsia" w:eastAsiaTheme="minorEastAsia"/>
                <w:kern w:val="0"/>
                <w:sz w:val="24"/>
              </w:rPr>
              <w:t>具有依法缴纳税收和社会保障资金的良好记录（提供承诺函）；</w:t>
            </w:r>
          </w:p>
        </w:tc>
        <w:tc>
          <w:tcPr>
            <w:tcW w:w="992" w:type="dxa"/>
            <w:vAlign w:val="center"/>
          </w:tcPr>
          <w:p w14:paraId="505D5BBB">
            <w:pPr>
              <w:spacing w:line="280" w:lineRule="exact"/>
              <w:jc w:val="center"/>
              <w:rPr>
                <w:rFonts w:cs="Times New Roman" w:asciiTheme="minorEastAsia" w:hAnsiTheme="minorEastAsia" w:eastAsiaTheme="minorEastAsia"/>
                <w:kern w:val="0"/>
                <w:sz w:val="24"/>
                <w:szCs w:val="24"/>
              </w:rPr>
            </w:pPr>
          </w:p>
        </w:tc>
      </w:tr>
      <w:tr w14:paraId="4147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4089535B">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2CC4F2C4">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7E8539F9">
            <w:pPr>
              <w:spacing w:line="260" w:lineRule="exact"/>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rPr>
              <w:t>加本次政府采购活动前三年内，在经营活动中没有重大违法记录（</w:t>
            </w:r>
            <w:r>
              <w:rPr>
                <w:rFonts w:cs="宋体" w:asciiTheme="minorEastAsia" w:hAnsiTheme="minorEastAsia" w:eastAsiaTheme="minorEastAsia"/>
                <w:kern w:val="0"/>
                <w:sz w:val="24"/>
              </w:rPr>
              <w:t>成立不足三年的从成立之日起计算</w:t>
            </w:r>
            <w:r>
              <w:rPr>
                <w:rFonts w:hint="eastAsia" w:cs="宋体" w:asciiTheme="minorEastAsia" w:hAnsiTheme="minorEastAsia" w:eastAsiaTheme="minorEastAsia"/>
                <w:kern w:val="0"/>
                <w:sz w:val="24"/>
              </w:rPr>
              <w:t>，提供声明）；</w:t>
            </w:r>
          </w:p>
        </w:tc>
        <w:tc>
          <w:tcPr>
            <w:tcW w:w="992" w:type="dxa"/>
            <w:vAlign w:val="center"/>
          </w:tcPr>
          <w:p w14:paraId="5CEAB016">
            <w:pPr>
              <w:spacing w:line="280" w:lineRule="exact"/>
              <w:jc w:val="center"/>
              <w:rPr>
                <w:rFonts w:cs="Times New Roman" w:asciiTheme="minorEastAsia" w:hAnsiTheme="minorEastAsia" w:eastAsiaTheme="minorEastAsia"/>
                <w:kern w:val="0"/>
                <w:sz w:val="24"/>
                <w:szCs w:val="24"/>
              </w:rPr>
            </w:pPr>
          </w:p>
        </w:tc>
      </w:tr>
      <w:tr w14:paraId="41C4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1947D89B">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18CEFF2E">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4585AF64">
            <w:pPr>
              <w:spacing w:line="280" w:lineRule="exact"/>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rPr>
              <w:t>参加政府采购活动前三年内，在经营活动中没有环保类行政处罚记录（成立不足三年的从成立之日起计算</w:t>
            </w:r>
            <w:r>
              <w:rPr>
                <w:rFonts w:hint="eastAsia" w:cs="宋体" w:asciiTheme="minorEastAsia" w:hAnsiTheme="minorEastAsia" w:eastAsiaTheme="minorEastAsia"/>
                <w:kern w:val="0"/>
                <w:sz w:val="24"/>
              </w:rPr>
              <w:t>，提供声明</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w:t>
            </w:r>
          </w:p>
        </w:tc>
        <w:tc>
          <w:tcPr>
            <w:tcW w:w="992" w:type="dxa"/>
            <w:vAlign w:val="center"/>
          </w:tcPr>
          <w:p w14:paraId="18FB2A24">
            <w:pPr>
              <w:spacing w:line="280" w:lineRule="exact"/>
              <w:jc w:val="center"/>
              <w:rPr>
                <w:rFonts w:cs="Times New Roman" w:asciiTheme="minorEastAsia" w:hAnsiTheme="minorEastAsia" w:eastAsiaTheme="minorEastAsia"/>
                <w:kern w:val="0"/>
                <w:sz w:val="24"/>
                <w:szCs w:val="24"/>
              </w:rPr>
            </w:pPr>
          </w:p>
        </w:tc>
      </w:tr>
      <w:tr w14:paraId="5379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5A0FF621">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32767CB0">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0F074EC1">
            <w:pPr>
              <w:spacing w:line="28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投标时提供投标人投标承诺函；</w:t>
            </w:r>
          </w:p>
        </w:tc>
        <w:tc>
          <w:tcPr>
            <w:tcW w:w="992" w:type="dxa"/>
            <w:vAlign w:val="center"/>
          </w:tcPr>
          <w:p w14:paraId="00A816A8">
            <w:pPr>
              <w:spacing w:line="280" w:lineRule="exact"/>
              <w:jc w:val="center"/>
              <w:rPr>
                <w:rFonts w:cs="Times New Roman" w:asciiTheme="minorEastAsia" w:hAnsiTheme="minorEastAsia" w:eastAsiaTheme="minorEastAsia"/>
                <w:kern w:val="0"/>
                <w:sz w:val="24"/>
                <w:szCs w:val="24"/>
              </w:rPr>
            </w:pPr>
          </w:p>
        </w:tc>
      </w:tr>
      <w:tr w14:paraId="0738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103BDFF5">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6EECBFDB">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6DA6080A">
            <w:pPr>
              <w:spacing w:line="28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提供三年内未被立案查处、未发生食物中毒事件、消防安全等方面的不良记录承诺书；</w:t>
            </w:r>
          </w:p>
        </w:tc>
        <w:tc>
          <w:tcPr>
            <w:tcW w:w="992" w:type="dxa"/>
            <w:vAlign w:val="center"/>
          </w:tcPr>
          <w:p w14:paraId="5DD74EF1">
            <w:pPr>
              <w:spacing w:line="280" w:lineRule="exact"/>
              <w:jc w:val="center"/>
              <w:rPr>
                <w:rFonts w:cs="Times New Roman" w:asciiTheme="minorEastAsia" w:hAnsiTheme="minorEastAsia" w:eastAsiaTheme="minorEastAsia"/>
                <w:kern w:val="0"/>
                <w:sz w:val="24"/>
                <w:szCs w:val="24"/>
              </w:rPr>
            </w:pPr>
          </w:p>
        </w:tc>
      </w:tr>
      <w:tr w14:paraId="6245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54C24E17">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4F7954C1">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7A0D2D5A">
            <w:pPr>
              <w:spacing w:line="28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应具备应对台风等自然灾害的应急处置能力，确保受灾期间正常供餐（提供承诺函）；</w:t>
            </w:r>
          </w:p>
        </w:tc>
        <w:tc>
          <w:tcPr>
            <w:tcW w:w="992" w:type="dxa"/>
            <w:vAlign w:val="center"/>
          </w:tcPr>
          <w:p w14:paraId="1AB7DB1D">
            <w:pPr>
              <w:spacing w:line="280" w:lineRule="exact"/>
              <w:jc w:val="center"/>
              <w:rPr>
                <w:rFonts w:cs="Times New Roman" w:asciiTheme="minorEastAsia" w:hAnsiTheme="minorEastAsia" w:eastAsiaTheme="minorEastAsia"/>
                <w:kern w:val="0"/>
                <w:sz w:val="24"/>
                <w:szCs w:val="24"/>
              </w:rPr>
            </w:pPr>
          </w:p>
        </w:tc>
      </w:tr>
      <w:tr w14:paraId="3CFB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04AE0FC8">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7C73D336">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6D53D22F">
            <w:pPr>
              <w:spacing w:line="280" w:lineRule="exact"/>
              <w:rPr>
                <w:rFonts w:cs="仿宋_GB2312" w:asciiTheme="minorEastAsia" w:hAnsiTheme="minorEastAsia" w:eastAsiaTheme="minorEastAsia"/>
                <w:sz w:val="24"/>
                <w:szCs w:val="24"/>
              </w:rPr>
            </w:pPr>
            <w:r>
              <w:rPr>
                <w:rFonts w:hint="eastAsia" w:cs="宋体" w:asciiTheme="minorEastAsia" w:hAnsiTheme="minorEastAsia" w:eastAsiaTheme="minorEastAsia"/>
                <w:kern w:val="0"/>
                <w:sz w:val="24"/>
              </w:rPr>
              <w:t>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tc>
        <w:tc>
          <w:tcPr>
            <w:tcW w:w="992" w:type="dxa"/>
            <w:vAlign w:val="center"/>
          </w:tcPr>
          <w:p w14:paraId="47458A97">
            <w:pPr>
              <w:spacing w:line="280" w:lineRule="exact"/>
              <w:jc w:val="center"/>
              <w:rPr>
                <w:rFonts w:cs="Times New Roman" w:asciiTheme="minorEastAsia" w:hAnsiTheme="minorEastAsia" w:eastAsiaTheme="minorEastAsia"/>
                <w:kern w:val="0"/>
                <w:sz w:val="24"/>
                <w:szCs w:val="24"/>
              </w:rPr>
            </w:pPr>
          </w:p>
        </w:tc>
      </w:tr>
      <w:tr w14:paraId="36E1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6" w:type="dxa"/>
            <w:gridSpan w:val="3"/>
          </w:tcPr>
          <w:p w14:paraId="357E4AB2">
            <w:pPr>
              <w:spacing w:line="280" w:lineRule="exact"/>
              <w:rPr>
                <w:rFonts w:cs="仿宋_GB2312" w:asciiTheme="minorEastAsia" w:hAnsiTheme="minorEastAsia" w:eastAsiaTheme="minorEastAsia"/>
                <w:kern w:val="0"/>
                <w:sz w:val="24"/>
                <w:szCs w:val="24"/>
              </w:rPr>
            </w:pPr>
          </w:p>
          <w:p w14:paraId="3F423954">
            <w:pPr>
              <w:spacing w:line="2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结论</w:t>
            </w:r>
          </w:p>
        </w:tc>
        <w:tc>
          <w:tcPr>
            <w:tcW w:w="992" w:type="dxa"/>
            <w:vAlign w:val="center"/>
          </w:tcPr>
          <w:p w14:paraId="0D061E11">
            <w:pPr>
              <w:spacing w:line="280" w:lineRule="exact"/>
              <w:jc w:val="center"/>
              <w:rPr>
                <w:rFonts w:cs="Times New Roman" w:asciiTheme="minorEastAsia" w:hAnsiTheme="minorEastAsia" w:eastAsiaTheme="minorEastAsia"/>
                <w:kern w:val="0"/>
                <w:sz w:val="24"/>
                <w:szCs w:val="24"/>
              </w:rPr>
            </w:pPr>
          </w:p>
        </w:tc>
      </w:tr>
    </w:tbl>
    <w:p w14:paraId="176BB67A">
      <w:pPr>
        <w:spacing w:line="360" w:lineRule="exact"/>
        <w:rPr>
          <w:rFonts w:cs="Times New Roman"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．表中只需填写</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通过</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或</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不通过</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w:t>
      </w:r>
    </w:p>
    <w:p w14:paraId="12BF3821">
      <w:pPr>
        <w:spacing w:line="360" w:lineRule="exact"/>
        <w:rPr>
          <w:rFonts w:cs="Times New Roman"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r>
        <w:rPr>
          <w:rFonts w:hint="eastAsia" w:cs="仿宋_GB2312" w:asciiTheme="minorEastAsia" w:hAnsiTheme="minorEastAsia" w:eastAsiaTheme="minorEastAsia"/>
          <w:kern w:val="0"/>
          <w:sz w:val="24"/>
          <w:szCs w:val="24"/>
        </w:rPr>
        <w:t>．在结论中按</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一项否决</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的原则，只有全部是</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通过的，填写</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合格</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；只要其中有一项是</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不通过的，填写</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不合格</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w:t>
      </w:r>
    </w:p>
    <w:p w14:paraId="3262BCB8">
      <w:pPr>
        <w:spacing w:line="360" w:lineRule="exac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3</w:t>
      </w:r>
      <w:r>
        <w:rPr>
          <w:rFonts w:hint="eastAsia" w:cs="仿宋_GB2312" w:asciiTheme="minorEastAsia" w:hAnsiTheme="minorEastAsia" w:eastAsiaTheme="minorEastAsia"/>
          <w:kern w:val="0"/>
          <w:sz w:val="24"/>
          <w:szCs w:val="24"/>
        </w:rPr>
        <w:t>．结论是合格的，才能进入下一轮；不合格的被淘汰。</w:t>
      </w:r>
    </w:p>
    <w:p w14:paraId="033D5843">
      <w:pPr>
        <w:spacing w:line="400" w:lineRule="exac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评委：                                         日期</w:t>
      </w:r>
      <w:r>
        <w:rPr>
          <w:rFonts w:cs="仿宋_GB2312" w:asciiTheme="minorEastAsia" w:hAnsiTheme="minorEastAsia" w:eastAsiaTheme="minorEastAsia"/>
          <w:kern w:val="0"/>
          <w:sz w:val="24"/>
          <w:szCs w:val="24"/>
        </w:rPr>
        <w:t xml:space="preserve">: </w:t>
      </w:r>
      <w:r>
        <w:rPr>
          <w:rFonts w:hint="eastAsia" w:cs="仿宋_GB2312" w:asciiTheme="minorEastAsia" w:hAnsiTheme="minorEastAsia" w:eastAsiaTheme="minorEastAsia"/>
          <w:kern w:val="0"/>
          <w:sz w:val="24"/>
          <w:szCs w:val="24"/>
        </w:rPr>
        <w:t>2025年   月   日</w:t>
      </w:r>
    </w:p>
    <w:p w14:paraId="74A4280D">
      <w:pPr>
        <w:spacing w:line="360" w:lineRule="exact"/>
        <w:rPr>
          <w:rFonts w:cs="仿宋_GB2312" w:asciiTheme="minorEastAsia" w:hAnsiTheme="minorEastAsia" w:eastAsiaTheme="minorEastAsia"/>
          <w:kern w:val="0"/>
          <w:sz w:val="32"/>
          <w:szCs w:val="32"/>
        </w:rPr>
      </w:pPr>
    </w:p>
    <w:p w14:paraId="6F1D48DB">
      <w:pPr>
        <w:spacing w:line="360" w:lineRule="exact"/>
        <w:rPr>
          <w:rFonts w:cs="仿宋_GB2312" w:asciiTheme="minorEastAsia" w:hAnsiTheme="minorEastAsia" w:eastAsiaTheme="minorEastAsia"/>
          <w:kern w:val="0"/>
          <w:sz w:val="32"/>
          <w:szCs w:val="32"/>
        </w:rPr>
      </w:pPr>
    </w:p>
    <w:p w14:paraId="7B2747B7">
      <w:pPr>
        <w:spacing w:line="360" w:lineRule="exact"/>
        <w:rPr>
          <w:rFonts w:cs="仿宋_GB2312" w:asciiTheme="minorEastAsia" w:hAnsiTheme="minorEastAsia" w:eastAsiaTheme="minorEastAsia"/>
          <w:kern w:val="0"/>
          <w:sz w:val="32"/>
          <w:szCs w:val="32"/>
        </w:rPr>
      </w:pPr>
    </w:p>
    <w:p w14:paraId="32218A5F">
      <w:pPr>
        <w:pStyle w:val="3"/>
        <w:rPr>
          <w:rFonts w:cs="仿宋_GB2312" w:asciiTheme="minorEastAsia" w:hAnsiTheme="minorEastAsia" w:eastAsiaTheme="minorEastAsia"/>
          <w:kern w:val="0"/>
        </w:rPr>
      </w:pPr>
    </w:p>
    <w:p w14:paraId="1ABA82B2">
      <w:pPr>
        <w:rPr>
          <w:rFonts w:cs="仿宋_GB2312" w:asciiTheme="minorEastAsia" w:hAnsiTheme="minorEastAsia" w:eastAsiaTheme="minorEastAsia"/>
          <w:kern w:val="0"/>
          <w:sz w:val="32"/>
          <w:szCs w:val="32"/>
        </w:rPr>
      </w:pPr>
    </w:p>
    <w:p w14:paraId="526A0834">
      <w:pP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32"/>
          <w:szCs w:val="32"/>
        </w:rPr>
        <w:br w:type="page"/>
      </w:r>
      <w:r>
        <w:rPr>
          <w:rFonts w:hint="eastAsia" w:cs="仿宋_GB2312" w:asciiTheme="minorEastAsia" w:hAnsiTheme="minorEastAsia" w:eastAsiaTheme="minorEastAsia"/>
          <w:kern w:val="0"/>
          <w:sz w:val="32"/>
          <w:szCs w:val="32"/>
        </w:rPr>
        <w:t>表</w:t>
      </w:r>
      <w:r>
        <w:rPr>
          <w:rFonts w:cs="仿宋_GB2312" w:asciiTheme="minorEastAsia" w:hAnsiTheme="minorEastAsia" w:eastAsiaTheme="minorEastAsia"/>
          <w:kern w:val="0"/>
          <w:sz w:val="32"/>
          <w:szCs w:val="32"/>
        </w:rPr>
        <w:t>2</w:t>
      </w:r>
    </w:p>
    <w:p w14:paraId="4650C61D">
      <w:pPr>
        <w:spacing w:line="400" w:lineRule="exact"/>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符合性审查表</w:t>
      </w:r>
    </w:p>
    <w:p w14:paraId="6E1A4920">
      <w:pPr>
        <w:spacing w:line="36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（评审专家审查）</w:t>
      </w:r>
    </w:p>
    <w:tbl>
      <w:tblPr>
        <w:tblStyle w:val="22"/>
        <w:tblW w:w="9567"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491"/>
        <w:gridCol w:w="3585"/>
        <w:gridCol w:w="1196"/>
        <w:gridCol w:w="1148"/>
        <w:gridCol w:w="1120"/>
      </w:tblGrid>
      <w:tr w14:paraId="6225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6CCD41D6">
            <w:pPr>
              <w:spacing w:line="4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序号</w:t>
            </w:r>
          </w:p>
        </w:tc>
        <w:tc>
          <w:tcPr>
            <w:tcW w:w="1491" w:type="dxa"/>
            <w:vAlign w:val="center"/>
          </w:tcPr>
          <w:p w14:paraId="6D59A8AF">
            <w:pPr>
              <w:spacing w:line="4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审查项目</w:t>
            </w:r>
          </w:p>
        </w:tc>
        <w:tc>
          <w:tcPr>
            <w:tcW w:w="3585" w:type="dxa"/>
            <w:vAlign w:val="center"/>
          </w:tcPr>
          <w:p w14:paraId="7D55B87A">
            <w:pPr>
              <w:spacing w:line="4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评议内容</w:t>
            </w:r>
          </w:p>
        </w:tc>
        <w:tc>
          <w:tcPr>
            <w:tcW w:w="1196" w:type="dxa"/>
            <w:vAlign w:val="center"/>
          </w:tcPr>
          <w:p w14:paraId="2844A75D">
            <w:pPr>
              <w:spacing w:line="48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投标人</w:t>
            </w:r>
            <w:r>
              <w:rPr>
                <w:rFonts w:cs="仿宋_GB2312" w:asciiTheme="minorEastAsia" w:hAnsiTheme="minorEastAsia" w:eastAsiaTheme="minorEastAsia"/>
                <w:b/>
                <w:kern w:val="0"/>
                <w:sz w:val="24"/>
                <w:szCs w:val="24"/>
              </w:rPr>
              <w:t>1</w:t>
            </w:r>
          </w:p>
        </w:tc>
        <w:tc>
          <w:tcPr>
            <w:tcW w:w="1148" w:type="dxa"/>
            <w:vAlign w:val="center"/>
          </w:tcPr>
          <w:p w14:paraId="460DA52B">
            <w:pPr>
              <w:spacing w:line="48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投标人</w:t>
            </w:r>
            <w:r>
              <w:rPr>
                <w:rFonts w:cs="仿宋_GB2312" w:asciiTheme="minorEastAsia" w:hAnsiTheme="minorEastAsia" w:eastAsiaTheme="minorEastAsia"/>
                <w:b/>
                <w:kern w:val="0"/>
                <w:sz w:val="24"/>
                <w:szCs w:val="24"/>
              </w:rPr>
              <w:t>2</w:t>
            </w:r>
          </w:p>
        </w:tc>
        <w:tc>
          <w:tcPr>
            <w:tcW w:w="1120" w:type="dxa"/>
            <w:vAlign w:val="center"/>
          </w:tcPr>
          <w:p w14:paraId="0EB5608D">
            <w:pPr>
              <w:spacing w:line="48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投标人</w:t>
            </w:r>
            <w:r>
              <w:rPr>
                <w:rFonts w:cs="仿宋_GB2312" w:asciiTheme="minorEastAsia" w:hAnsiTheme="minorEastAsia" w:eastAsiaTheme="minorEastAsia"/>
                <w:b/>
                <w:kern w:val="0"/>
                <w:sz w:val="24"/>
                <w:szCs w:val="24"/>
              </w:rPr>
              <w:t>3</w:t>
            </w:r>
          </w:p>
        </w:tc>
      </w:tr>
      <w:tr w14:paraId="4CF0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74C2D468">
            <w:pPr>
              <w:spacing w:line="320" w:lineRule="exact"/>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p>
        </w:tc>
        <w:tc>
          <w:tcPr>
            <w:tcW w:w="1491" w:type="dxa"/>
            <w:vAlign w:val="center"/>
          </w:tcPr>
          <w:p w14:paraId="3357CC97">
            <w:pPr>
              <w:spacing w:line="32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投标文件的有效性</w:t>
            </w:r>
          </w:p>
        </w:tc>
        <w:tc>
          <w:tcPr>
            <w:tcW w:w="3585" w:type="dxa"/>
            <w:vAlign w:val="center"/>
          </w:tcPr>
          <w:p w14:paraId="0D954D0A">
            <w:pPr>
              <w:spacing w:line="36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是否符合投标文件的式样和签署要求且内容完整无缺漏</w:t>
            </w:r>
            <w:r>
              <w:rPr>
                <w:rFonts w:hint="eastAsia" w:cs="宋体" w:asciiTheme="minorEastAsia" w:hAnsiTheme="minorEastAsia" w:eastAsiaTheme="minorEastAsia"/>
                <w:kern w:val="0"/>
                <w:sz w:val="24"/>
              </w:rPr>
              <w:t>；</w:t>
            </w:r>
          </w:p>
        </w:tc>
        <w:tc>
          <w:tcPr>
            <w:tcW w:w="1196" w:type="dxa"/>
            <w:vAlign w:val="center"/>
          </w:tcPr>
          <w:p w14:paraId="00A32E79">
            <w:pPr>
              <w:spacing w:line="480" w:lineRule="exact"/>
              <w:jc w:val="center"/>
              <w:rPr>
                <w:rFonts w:cs="Times New Roman" w:asciiTheme="minorEastAsia" w:hAnsiTheme="minorEastAsia" w:eastAsiaTheme="minorEastAsia"/>
                <w:kern w:val="0"/>
                <w:sz w:val="24"/>
                <w:szCs w:val="24"/>
              </w:rPr>
            </w:pPr>
          </w:p>
        </w:tc>
        <w:tc>
          <w:tcPr>
            <w:tcW w:w="1148" w:type="dxa"/>
            <w:vAlign w:val="center"/>
          </w:tcPr>
          <w:p w14:paraId="7FBEC698">
            <w:pPr>
              <w:spacing w:line="480" w:lineRule="exact"/>
              <w:jc w:val="center"/>
              <w:rPr>
                <w:rFonts w:cs="Times New Roman" w:asciiTheme="minorEastAsia" w:hAnsiTheme="minorEastAsia" w:eastAsiaTheme="minorEastAsia"/>
                <w:kern w:val="0"/>
                <w:sz w:val="24"/>
                <w:szCs w:val="24"/>
              </w:rPr>
            </w:pPr>
          </w:p>
        </w:tc>
        <w:tc>
          <w:tcPr>
            <w:tcW w:w="1120" w:type="dxa"/>
            <w:vAlign w:val="center"/>
          </w:tcPr>
          <w:p w14:paraId="076B0C7F">
            <w:pPr>
              <w:spacing w:line="480" w:lineRule="exact"/>
              <w:jc w:val="center"/>
              <w:rPr>
                <w:rFonts w:cs="Times New Roman" w:asciiTheme="minorEastAsia" w:hAnsiTheme="minorEastAsia" w:eastAsiaTheme="minorEastAsia"/>
                <w:kern w:val="0"/>
                <w:sz w:val="24"/>
                <w:szCs w:val="24"/>
              </w:rPr>
            </w:pPr>
          </w:p>
        </w:tc>
      </w:tr>
      <w:tr w14:paraId="6CE8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2177B172">
            <w:pPr>
              <w:spacing w:line="320" w:lineRule="exact"/>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p>
        </w:tc>
        <w:tc>
          <w:tcPr>
            <w:tcW w:w="1491" w:type="dxa"/>
            <w:vAlign w:val="center"/>
          </w:tcPr>
          <w:p w14:paraId="41516665">
            <w:pPr>
              <w:spacing w:line="36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其它</w:t>
            </w:r>
          </w:p>
        </w:tc>
        <w:tc>
          <w:tcPr>
            <w:tcW w:w="3585" w:type="dxa"/>
            <w:vAlign w:val="center"/>
          </w:tcPr>
          <w:p w14:paraId="3D8CDAB9">
            <w:pPr>
              <w:spacing w:line="36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sz w:val="24"/>
                <w:szCs w:val="24"/>
              </w:rPr>
              <w:t>依法取得食品经营许可证，并始终保持合法有效。投标人具有在有效期内的食品经营许可证或餐饮服务许可证，或投标人正在经营的学校食堂或企事业单位食堂已取得食品经营许可证或餐饮服务许可证的，视为符合条件</w:t>
            </w:r>
            <w:r>
              <w:rPr>
                <w:rFonts w:hint="eastAsia" w:cs="宋体" w:asciiTheme="minorEastAsia" w:hAnsiTheme="minorEastAsia" w:eastAsiaTheme="minorEastAsia"/>
                <w:kern w:val="0"/>
                <w:sz w:val="24"/>
              </w:rPr>
              <w:t>；</w:t>
            </w:r>
          </w:p>
        </w:tc>
        <w:tc>
          <w:tcPr>
            <w:tcW w:w="1196" w:type="dxa"/>
            <w:vAlign w:val="center"/>
          </w:tcPr>
          <w:p w14:paraId="6B8E100C">
            <w:pPr>
              <w:spacing w:line="480" w:lineRule="exact"/>
              <w:jc w:val="center"/>
              <w:rPr>
                <w:rFonts w:cs="Times New Roman" w:asciiTheme="minorEastAsia" w:hAnsiTheme="minorEastAsia" w:eastAsiaTheme="minorEastAsia"/>
                <w:kern w:val="0"/>
                <w:sz w:val="24"/>
                <w:szCs w:val="24"/>
              </w:rPr>
            </w:pPr>
          </w:p>
        </w:tc>
        <w:tc>
          <w:tcPr>
            <w:tcW w:w="1148" w:type="dxa"/>
            <w:vAlign w:val="center"/>
          </w:tcPr>
          <w:p w14:paraId="4B1714BD">
            <w:pPr>
              <w:spacing w:line="480" w:lineRule="exact"/>
              <w:jc w:val="center"/>
              <w:rPr>
                <w:rFonts w:cs="Times New Roman" w:asciiTheme="minorEastAsia" w:hAnsiTheme="minorEastAsia" w:eastAsiaTheme="minorEastAsia"/>
                <w:kern w:val="0"/>
                <w:sz w:val="24"/>
                <w:szCs w:val="24"/>
              </w:rPr>
            </w:pPr>
          </w:p>
        </w:tc>
        <w:tc>
          <w:tcPr>
            <w:tcW w:w="1120" w:type="dxa"/>
            <w:vAlign w:val="center"/>
          </w:tcPr>
          <w:p w14:paraId="3FDC6FBD">
            <w:pPr>
              <w:spacing w:line="480" w:lineRule="exact"/>
              <w:jc w:val="center"/>
              <w:rPr>
                <w:rFonts w:cs="Times New Roman" w:asciiTheme="minorEastAsia" w:hAnsiTheme="minorEastAsia" w:eastAsiaTheme="minorEastAsia"/>
                <w:kern w:val="0"/>
                <w:sz w:val="24"/>
                <w:szCs w:val="24"/>
              </w:rPr>
            </w:pPr>
          </w:p>
        </w:tc>
      </w:tr>
      <w:tr w14:paraId="07FD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2E951724">
            <w:pPr>
              <w:spacing w:line="32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3</w:t>
            </w:r>
          </w:p>
        </w:tc>
        <w:tc>
          <w:tcPr>
            <w:tcW w:w="1491" w:type="dxa"/>
            <w:vAlign w:val="center"/>
          </w:tcPr>
          <w:p w14:paraId="41273C1E">
            <w:pPr>
              <w:spacing w:line="2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投标有效期</w:t>
            </w:r>
          </w:p>
        </w:tc>
        <w:tc>
          <w:tcPr>
            <w:tcW w:w="3585" w:type="dxa"/>
            <w:vAlign w:val="center"/>
          </w:tcPr>
          <w:p w14:paraId="0D40C1A5">
            <w:pPr>
              <w:spacing w:line="28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投标有效期是否满足9</w:t>
            </w:r>
            <w:r>
              <w:rPr>
                <w:rFonts w:cs="仿宋_GB2312" w:asciiTheme="minorEastAsia" w:hAnsiTheme="minorEastAsia" w:eastAsiaTheme="minorEastAsia"/>
                <w:kern w:val="0"/>
                <w:sz w:val="24"/>
                <w:szCs w:val="24"/>
              </w:rPr>
              <w:t>0</w:t>
            </w:r>
            <w:r>
              <w:rPr>
                <w:rFonts w:hint="eastAsia" w:cs="仿宋_GB2312" w:asciiTheme="minorEastAsia" w:hAnsiTheme="minorEastAsia" w:eastAsiaTheme="minorEastAsia"/>
                <w:kern w:val="0"/>
                <w:sz w:val="24"/>
                <w:szCs w:val="24"/>
              </w:rPr>
              <w:t>天</w:t>
            </w:r>
            <w:r>
              <w:rPr>
                <w:rFonts w:hint="eastAsia" w:cs="宋体" w:asciiTheme="minorEastAsia" w:hAnsiTheme="minorEastAsia" w:eastAsiaTheme="minorEastAsia"/>
                <w:kern w:val="0"/>
                <w:sz w:val="24"/>
              </w:rPr>
              <w:t>；</w:t>
            </w:r>
          </w:p>
        </w:tc>
        <w:tc>
          <w:tcPr>
            <w:tcW w:w="1196" w:type="dxa"/>
            <w:vAlign w:val="center"/>
          </w:tcPr>
          <w:p w14:paraId="78D6AFA5">
            <w:pPr>
              <w:spacing w:line="480" w:lineRule="exact"/>
              <w:jc w:val="center"/>
              <w:rPr>
                <w:rFonts w:cs="Times New Roman" w:asciiTheme="minorEastAsia" w:hAnsiTheme="minorEastAsia" w:eastAsiaTheme="minorEastAsia"/>
                <w:kern w:val="0"/>
                <w:sz w:val="24"/>
                <w:szCs w:val="24"/>
              </w:rPr>
            </w:pPr>
          </w:p>
        </w:tc>
        <w:tc>
          <w:tcPr>
            <w:tcW w:w="1148" w:type="dxa"/>
            <w:vAlign w:val="center"/>
          </w:tcPr>
          <w:p w14:paraId="72420BEB">
            <w:pPr>
              <w:spacing w:line="480" w:lineRule="exact"/>
              <w:jc w:val="center"/>
              <w:rPr>
                <w:rFonts w:cs="Times New Roman" w:asciiTheme="minorEastAsia" w:hAnsiTheme="minorEastAsia" w:eastAsiaTheme="minorEastAsia"/>
                <w:kern w:val="0"/>
                <w:sz w:val="24"/>
                <w:szCs w:val="24"/>
              </w:rPr>
            </w:pPr>
          </w:p>
        </w:tc>
        <w:tc>
          <w:tcPr>
            <w:tcW w:w="1120" w:type="dxa"/>
            <w:vAlign w:val="center"/>
          </w:tcPr>
          <w:p w14:paraId="55D1F3DC">
            <w:pPr>
              <w:spacing w:line="480" w:lineRule="exact"/>
              <w:jc w:val="center"/>
              <w:rPr>
                <w:rFonts w:cs="Times New Roman" w:asciiTheme="minorEastAsia" w:hAnsiTheme="minorEastAsia" w:eastAsiaTheme="minorEastAsia"/>
                <w:kern w:val="0"/>
                <w:sz w:val="24"/>
                <w:szCs w:val="24"/>
              </w:rPr>
            </w:pPr>
          </w:p>
        </w:tc>
      </w:tr>
      <w:tr w14:paraId="0385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6F97C67E">
            <w:pPr>
              <w:spacing w:line="48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4</w:t>
            </w:r>
          </w:p>
        </w:tc>
        <w:tc>
          <w:tcPr>
            <w:tcW w:w="1491" w:type="dxa"/>
            <w:vAlign w:val="center"/>
          </w:tcPr>
          <w:p w14:paraId="210D4E82">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其他</w:t>
            </w:r>
          </w:p>
        </w:tc>
        <w:tc>
          <w:tcPr>
            <w:tcW w:w="3585" w:type="dxa"/>
            <w:vAlign w:val="center"/>
          </w:tcPr>
          <w:p w14:paraId="2B0EA9C5">
            <w:pPr>
              <w:spacing w:line="36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无其它符合招标文件中或相关法律法规规定的无效投标认定条件。</w:t>
            </w:r>
          </w:p>
        </w:tc>
        <w:tc>
          <w:tcPr>
            <w:tcW w:w="1196" w:type="dxa"/>
            <w:vAlign w:val="center"/>
          </w:tcPr>
          <w:p w14:paraId="29CF566A">
            <w:pPr>
              <w:spacing w:line="480" w:lineRule="exact"/>
              <w:jc w:val="center"/>
              <w:rPr>
                <w:rFonts w:cs="Times New Roman" w:asciiTheme="minorEastAsia" w:hAnsiTheme="minorEastAsia" w:eastAsiaTheme="minorEastAsia"/>
                <w:kern w:val="0"/>
                <w:sz w:val="24"/>
                <w:szCs w:val="24"/>
              </w:rPr>
            </w:pPr>
          </w:p>
        </w:tc>
        <w:tc>
          <w:tcPr>
            <w:tcW w:w="1148" w:type="dxa"/>
            <w:vAlign w:val="center"/>
          </w:tcPr>
          <w:p w14:paraId="19E49701">
            <w:pPr>
              <w:spacing w:line="480" w:lineRule="exact"/>
              <w:jc w:val="center"/>
              <w:rPr>
                <w:rFonts w:cs="Times New Roman" w:asciiTheme="minorEastAsia" w:hAnsiTheme="minorEastAsia" w:eastAsiaTheme="minorEastAsia"/>
                <w:kern w:val="0"/>
                <w:sz w:val="24"/>
                <w:szCs w:val="24"/>
              </w:rPr>
            </w:pPr>
          </w:p>
        </w:tc>
        <w:tc>
          <w:tcPr>
            <w:tcW w:w="1120" w:type="dxa"/>
            <w:vAlign w:val="center"/>
          </w:tcPr>
          <w:p w14:paraId="106EB409">
            <w:pPr>
              <w:spacing w:line="480" w:lineRule="exact"/>
              <w:jc w:val="center"/>
              <w:rPr>
                <w:rFonts w:cs="Times New Roman" w:asciiTheme="minorEastAsia" w:hAnsiTheme="minorEastAsia" w:eastAsiaTheme="minorEastAsia"/>
                <w:kern w:val="0"/>
                <w:sz w:val="24"/>
                <w:szCs w:val="24"/>
              </w:rPr>
            </w:pPr>
          </w:p>
        </w:tc>
      </w:tr>
      <w:tr w14:paraId="5235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03" w:type="dxa"/>
            <w:gridSpan w:val="3"/>
            <w:vAlign w:val="center"/>
          </w:tcPr>
          <w:p w14:paraId="3B6CAB04">
            <w:pPr>
              <w:spacing w:line="4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结论</w:t>
            </w:r>
          </w:p>
        </w:tc>
        <w:tc>
          <w:tcPr>
            <w:tcW w:w="1196" w:type="dxa"/>
            <w:vAlign w:val="center"/>
          </w:tcPr>
          <w:p w14:paraId="76F96521">
            <w:pPr>
              <w:spacing w:line="480" w:lineRule="exact"/>
              <w:jc w:val="center"/>
              <w:rPr>
                <w:rFonts w:cs="Times New Roman" w:asciiTheme="minorEastAsia" w:hAnsiTheme="minorEastAsia" w:eastAsiaTheme="minorEastAsia"/>
                <w:kern w:val="0"/>
                <w:sz w:val="24"/>
                <w:szCs w:val="24"/>
              </w:rPr>
            </w:pPr>
          </w:p>
        </w:tc>
        <w:tc>
          <w:tcPr>
            <w:tcW w:w="1148" w:type="dxa"/>
            <w:vAlign w:val="center"/>
          </w:tcPr>
          <w:p w14:paraId="0ED82973">
            <w:pPr>
              <w:spacing w:line="480" w:lineRule="exact"/>
              <w:jc w:val="center"/>
              <w:rPr>
                <w:rFonts w:cs="Times New Roman" w:asciiTheme="minorEastAsia" w:hAnsiTheme="minorEastAsia" w:eastAsiaTheme="minorEastAsia"/>
                <w:kern w:val="0"/>
                <w:sz w:val="24"/>
                <w:szCs w:val="24"/>
              </w:rPr>
            </w:pPr>
          </w:p>
        </w:tc>
        <w:tc>
          <w:tcPr>
            <w:tcW w:w="1120" w:type="dxa"/>
            <w:vAlign w:val="center"/>
          </w:tcPr>
          <w:p w14:paraId="1645E490">
            <w:pPr>
              <w:spacing w:line="480" w:lineRule="exact"/>
              <w:jc w:val="center"/>
              <w:rPr>
                <w:rFonts w:cs="Times New Roman" w:asciiTheme="minorEastAsia" w:hAnsiTheme="minorEastAsia" w:eastAsiaTheme="minorEastAsia"/>
                <w:kern w:val="0"/>
                <w:sz w:val="24"/>
                <w:szCs w:val="24"/>
              </w:rPr>
            </w:pPr>
          </w:p>
        </w:tc>
      </w:tr>
    </w:tbl>
    <w:p w14:paraId="324A5C96">
      <w:pPr>
        <w:spacing w:line="360" w:lineRule="exact"/>
        <w:rPr>
          <w:rFonts w:cs="Times New Roman"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．表中只需填写</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通过</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或</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不通过</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w:t>
      </w:r>
    </w:p>
    <w:p w14:paraId="3BE0EAC2">
      <w:pPr>
        <w:spacing w:line="360" w:lineRule="exact"/>
        <w:rPr>
          <w:rFonts w:cs="Times New Roman"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r>
        <w:rPr>
          <w:rFonts w:hint="eastAsia" w:cs="仿宋_GB2312" w:asciiTheme="minorEastAsia" w:hAnsiTheme="minorEastAsia" w:eastAsiaTheme="minorEastAsia"/>
          <w:kern w:val="0"/>
          <w:sz w:val="24"/>
          <w:szCs w:val="24"/>
        </w:rPr>
        <w:t>．在结论中按</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一项否决</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的原则，只有全部是</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通过的，填写</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合格</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；只要其中有一项是</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不通过的，填写</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不合格</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w:t>
      </w:r>
    </w:p>
    <w:p w14:paraId="10FA869E">
      <w:pPr>
        <w:spacing w:line="360" w:lineRule="exac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3</w:t>
      </w:r>
      <w:r>
        <w:rPr>
          <w:rFonts w:hint="eastAsia" w:cs="仿宋_GB2312" w:asciiTheme="minorEastAsia" w:hAnsiTheme="minorEastAsia" w:eastAsiaTheme="minorEastAsia"/>
          <w:kern w:val="0"/>
          <w:sz w:val="24"/>
          <w:szCs w:val="24"/>
        </w:rPr>
        <w:t>．结论是合格的，才能进入下一轮；不合格的被淘汰。</w:t>
      </w:r>
    </w:p>
    <w:p w14:paraId="6FDAF0BD">
      <w:pPr>
        <w:spacing w:line="400" w:lineRule="exac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评委：                                         日期</w:t>
      </w:r>
      <w:r>
        <w:rPr>
          <w:rFonts w:cs="仿宋_GB2312" w:asciiTheme="minorEastAsia" w:hAnsiTheme="minorEastAsia" w:eastAsiaTheme="minorEastAsia"/>
          <w:kern w:val="0"/>
          <w:sz w:val="24"/>
          <w:szCs w:val="24"/>
        </w:rPr>
        <w:t xml:space="preserve">: </w:t>
      </w:r>
      <w:r>
        <w:rPr>
          <w:rFonts w:hint="eastAsia" w:cs="仿宋_GB2312" w:asciiTheme="minorEastAsia" w:hAnsiTheme="minorEastAsia" w:eastAsiaTheme="minorEastAsia"/>
          <w:kern w:val="0"/>
          <w:sz w:val="24"/>
          <w:szCs w:val="24"/>
        </w:rPr>
        <w:t>2025年   月   日</w:t>
      </w:r>
    </w:p>
    <w:p w14:paraId="1FEC47A1">
      <w:pPr>
        <w:tabs>
          <w:tab w:val="left" w:pos="1260"/>
        </w:tabs>
        <w:spacing w:line="530" w:lineRule="exact"/>
        <w:ind w:firstLine="480" w:firstLineChars="200"/>
        <w:jc w:val="lef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5.3.2</w:t>
      </w:r>
      <w:r>
        <w:rPr>
          <w:rFonts w:hint="eastAsia" w:cs="仿宋_GB2312" w:asciiTheme="minorEastAsia" w:hAnsiTheme="minorEastAsia" w:eastAsiaTheme="minorEastAsia"/>
          <w:kern w:val="0"/>
          <w:sz w:val="24"/>
          <w:szCs w:val="24"/>
        </w:rPr>
        <w:t>第二阶段：综合评分阶段。评审专家根据食堂招标详细评分表的评比项目进行评分（详见表</w:t>
      </w:r>
      <w:r>
        <w:rPr>
          <w:rFonts w:cs="仿宋_GB2312" w:asciiTheme="minorEastAsia" w:hAnsiTheme="minorEastAsia" w:eastAsiaTheme="minorEastAsia"/>
          <w:kern w:val="0"/>
          <w:sz w:val="24"/>
          <w:szCs w:val="24"/>
        </w:rPr>
        <w:t>3</w:t>
      </w:r>
      <w:r>
        <w:rPr>
          <w:rFonts w:hint="eastAsia" w:cs="仿宋_GB2312" w:asciiTheme="minorEastAsia" w:hAnsiTheme="minorEastAsia" w:eastAsiaTheme="minorEastAsia"/>
          <w:kern w:val="0"/>
          <w:sz w:val="24"/>
          <w:szCs w:val="24"/>
        </w:rPr>
        <w:t>），并可就项目向投标人进行征询，或要求投标人澄清。所有评分只</w:t>
      </w:r>
      <w:r>
        <w:rPr>
          <w:rFonts w:hint="eastAsia" w:cs="仿宋_GB2312" w:asciiTheme="minorEastAsia" w:hAnsiTheme="minorEastAsia" w:eastAsiaTheme="minorEastAsia"/>
          <w:sz w:val="24"/>
          <w:szCs w:val="24"/>
        </w:rPr>
        <w:t>保留小数点后两</w:t>
      </w:r>
      <w:r>
        <w:rPr>
          <w:rFonts w:hint="eastAsia" w:cs="仿宋_GB2312" w:asciiTheme="minorEastAsia" w:hAnsiTheme="minorEastAsia" w:eastAsiaTheme="minorEastAsia"/>
          <w:kern w:val="0"/>
          <w:sz w:val="24"/>
          <w:szCs w:val="24"/>
        </w:rPr>
        <w:t>位。</w:t>
      </w:r>
    </w:p>
    <w:p w14:paraId="099179C5">
      <w:pPr>
        <w:spacing w:line="312" w:lineRule="auto"/>
        <w:rPr>
          <w:rFonts w:cs="仿宋_GB2312" w:asciiTheme="minorEastAsia" w:hAnsiTheme="minorEastAsia" w:eastAsiaTheme="minorEastAsia"/>
          <w:sz w:val="32"/>
          <w:szCs w:val="32"/>
        </w:rPr>
      </w:pPr>
    </w:p>
    <w:p w14:paraId="51807D67">
      <w:pPr>
        <w:spacing w:line="312" w:lineRule="auto"/>
        <w:rPr>
          <w:rFonts w:cs="仿宋_GB2312" w:asciiTheme="minorEastAsia" w:hAnsiTheme="minorEastAsia" w:eastAsiaTheme="minorEastAsia"/>
          <w:sz w:val="32"/>
          <w:szCs w:val="32"/>
        </w:rPr>
      </w:pPr>
    </w:p>
    <w:p w14:paraId="5DB6F224">
      <w:pP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br w:type="page"/>
      </w:r>
    </w:p>
    <w:p w14:paraId="6C619F01">
      <w:pPr>
        <w:spacing w:line="312" w:lineRule="auto"/>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表</w:t>
      </w:r>
      <w:r>
        <w:rPr>
          <w:rFonts w:cs="仿宋_GB2312" w:asciiTheme="minorEastAsia" w:hAnsiTheme="minorEastAsia" w:eastAsiaTheme="minorEastAsia"/>
          <w:sz w:val="32"/>
          <w:szCs w:val="32"/>
        </w:rPr>
        <w:t>3</w:t>
      </w:r>
    </w:p>
    <w:p w14:paraId="3FE43AC1">
      <w:pPr>
        <w:spacing w:line="312" w:lineRule="auto"/>
        <w:jc w:val="center"/>
        <w:rPr>
          <w:rFonts w:cs="Times New Roman" w:asciiTheme="minorEastAsia" w:hAnsiTheme="minorEastAsia" w:eastAsiaTheme="minorEastAsia"/>
          <w:b/>
          <w:bCs/>
          <w:sz w:val="32"/>
          <w:szCs w:val="32"/>
        </w:rPr>
      </w:pPr>
      <w:r>
        <w:rPr>
          <w:rFonts w:hint="eastAsia" w:cs="华文中宋" w:asciiTheme="minorEastAsia" w:hAnsiTheme="minorEastAsia" w:eastAsiaTheme="minorEastAsia"/>
          <w:b/>
          <w:bCs/>
          <w:sz w:val="32"/>
          <w:szCs w:val="32"/>
        </w:rPr>
        <w:t>综合评分表</w:t>
      </w:r>
    </w:p>
    <w:p w14:paraId="67E1C24C">
      <w:pPr>
        <w:wordWrap w:val="0"/>
        <w:spacing w:line="312"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项目名称：文昌市锦山中学食堂委托经营管理</w:t>
      </w:r>
    </w:p>
    <w:p w14:paraId="7C7228C5">
      <w:pPr>
        <w:wordWrap w:val="0"/>
        <w:spacing w:line="312"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项目编号：HNJY2025-66-4</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756"/>
        <w:gridCol w:w="7009"/>
        <w:gridCol w:w="1228"/>
      </w:tblGrid>
      <w:tr w14:paraId="5AE6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12" w:type="dxa"/>
            <w:vAlign w:val="center"/>
          </w:tcPr>
          <w:p w14:paraId="6672621B">
            <w:pPr>
              <w:ind w:left="-67" w:leftChars="-32" w:right="-107" w:rightChars="-51"/>
              <w:jc w:val="center"/>
              <w:rPr>
                <w:rFonts w:ascii="宋体" w:hAnsi="宋体" w:cs="宋体"/>
                <w:sz w:val="24"/>
                <w:szCs w:val="24"/>
              </w:rPr>
            </w:pPr>
            <w:bookmarkStart w:id="79" w:name="_GoBack"/>
            <w:r>
              <w:rPr>
                <w:rFonts w:hint="eastAsia" w:ascii="宋体" w:hAnsi="宋体" w:cs="宋体"/>
                <w:sz w:val="24"/>
                <w:szCs w:val="24"/>
              </w:rPr>
              <w:t>序号</w:t>
            </w:r>
          </w:p>
        </w:tc>
        <w:tc>
          <w:tcPr>
            <w:tcW w:w="756" w:type="dxa"/>
            <w:vAlign w:val="center"/>
          </w:tcPr>
          <w:p w14:paraId="1DF98F25">
            <w:pPr>
              <w:jc w:val="center"/>
              <w:rPr>
                <w:rFonts w:ascii="宋体" w:hAnsi="宋体" w:cs="宋体"/>
                <w:sz w:val="24"/>
                <w:szCs w:val="24"/>
              </w:rPr>
            </w:pPr>
            <w:r>
              <w:rPr>
                <w:rFonts w:hint="eastAsia" w:ascii="宋体" w:hAnsi="宋体" w:cs="宋体"/>
                <w:sz w:val="24"/>
                <w:szCs w:val="24"/>
              </w:rPr>
              <w:t>评审内容</w:t>
            </w:r>
          </w:p>
        </w:tc>
        <w:tc>
          <w:tcPr>
            <w:tcW w:w="7009" w:type="dxa"/>
            <w:vAlign w:val="center"/>
          </w:tcPr>
          <w:p w14:paraId="127F6F08">
            <w:pPr>
              <w:jc w:val="center"/>
              <w:rPr>
                <w:rFonts w:ascii="宋体" w:hAnsi="宋体" w:cs="宋体"/>
                <w:sz w:val="24"/>
                <w:szCs w:val="24"/>
              </w:rPr>
            </w:pPr>
            <w:r>
              <w:rPr>
                <w:rFonts w:hint="eastAsia" w:ascii="宋体" w:hAnsi="宋体" w:cs="宋体"/>
                <w:sz w:val="24"/>
                <w:szCs w:val="24"/>
              </w:rPr>
              <w:t>评分因素及标准</w:t>
            </w:r>
          </w:p>
        </w:tc>
        <w:tc>
          <w:tcPr>
            <w:tcW w:w="1228" w:type="dxa"/>
            <w:vAlign w:val="center"/>
          </w:tcPr>
          <w:p w14:paraId="3DE9D97D">
            <w:pPr>
              <w:ind w:left="-113" w:leftChars="-54" w:right="-13" w:rightChars="-6"/>
              <w:jc w:val="center"/>
              <w:rPr>
                <w:rFonts w:ascii="宋体" w:hAnsi="宋体" w:cs="宋体"/>
                <w:sz w:val="24"/>
                <w:szCs w:val="24"/>
              </w:rPr>
            </w:pPr>
            <w:r>
              <w:rPr>
                <w:rFonts w:hint="eastAsia" w:ascii="宋体" w:hAnsi="宋体" w:cs="宋体"/>
                <w:sz w:val="24"/>
                <w:szCs w:val="24"/>
              </w:rPr>
              <w:t>分值</w:t>
            </w:r>
          </w:p>
        </w:tc>
      </w:tr>
      <w:tr w14:paraId="5476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jc w:val="center"/>
        </w:trPr>
        <w:tc>
          <w:tcPr>
            <w:tcW w:w="612" w:type="dxa"/>
            <w:vAlign w:val="center"/>
          </w:tcPr>
          <w:p w14:paraId="7530544E">
            <w:pPr>
              <w:jc w:val="center"/>
              <w:rPr>
                <w:rFonts w:ascii="宋体" w:hAnsi="宋体" w:cs="宋体"/>
                <w:sz w:val="24"/>
                <w:szCs w:val="24"/>
              </w:rPr>
            </w:pPr>
            <w:r>
              <w:rPr>
                <w:rFonts w:hint="eastAsia" w:ascii="宋体" w:hAnsi="宋体" w:cs="宋体"/>
                <w:sz w:val="24"/>
                <w:szCs w:val="24"/>
              </w:rPr>
              <w:t>1</w:t>
            </w:r>
          </w:p>
        </w:tc>
        <w:tc>
          <w:tcPr>
            <w:tcW w:w="756" w:type="dxa"/>
            <w:vAlign w:val="center"/>
          </w:tcPr>
          <w:p w14:paraId="32B4A43C">
            <w:pPr>
              <w:rPr>
                <w:rFonts w:ascii="宋体" w:hAnsi="宋体" w:cs="宋体"/>
                <w:sz w:val="24"/>
                <w:szCs w:val="24"/>
              </w:rPr>
            </w:pPr>
            <w:r>
              <w:rPr>
                <w:rFonts w:ascii="宋体" w:hAnsi="宋体" w:cs="宋体"/>
                <w:sz w:val="24"/>
                <w:szCs w:val="24"/>
              </w:rPr>
              <w:t>企业</w:t>
            </w:r>
            <w:r>
              <w:rPr>
                <w:rFonts w:hint="eastAsia" w:ascii="宋体" w:hAnsi="宋体" w:cs="宋体"/>
                <w:sz w:val="24"/>
                <w:szCs w:val="24"/>
              </w:rPr>
              <w:t>综合</w:t>
            </w:r>
            <w:r>
              <w:rPr>
                <w:rFonts w:ascii="宋体" w:hAnsi="宋体" w:cs="宋体"/>
                <w:sz w:val="24"/>
                <w:szCs w:val="24"/>
              </w:rPr>
              <w:t>实力</w:t>
            </w:r>
          </w:p>
        </w:tc>
        <w:tc>
          <w:tcPr>
            <w:tcW w:w="7009" w:type="dxa"/>
            <w:vAlign w:val="center"/>
          </w:tcPr>
          <w:p w14:paraId="307DCFFD">
            <w:pPr>
              <w:widowControl/>
              <w:rPr>
                <w:rFonts w:ascii="宋体" w:hAnsi="宋体" w:cs="宋体"/>
                <w:sz w:val="24"/>
                <w:szCs w:val="24"/>
              </w:rPr>
            </w:pPr>
            <w:r>
              <w:rPr>
                <w:rFonts w:hint="eastAsia" w:ascii="宋体" w:hAnsi="宋体" w:cs="宋体"/>
                <w:sz w:val="24"/>
                <w:szCs w:val="24"/>
              </w:rPr>
              <w:t>1、投</w:t>
            </w:r>
            <w:r>
              <w:rPr>
                <w:rFonts w:ascii="宋体" w:hAnsi="宋体" w:cs="宋体"/>
                <w:sz w:val="24"/>
                <w:szCs w:val="24"/>
              </w:rPr>
              <w:t>标</w:t>
            </w:r>
            <w:r>
              <w:rPr>
                <w:rFonts w:hint="eastAsia" w:ascii="宋体" w:hAnsi="宋体" w:cs="宋体"/>
                <w:sz w:val="24"/>
                <w:szCs w:val="24"/>
              </w:rPr>
              <w:t>人具有在有效期内I</w:t>
            </w:r>
            <w:r>
              <w:rPr>
                <w:rFonts w:ascii="宋体" w:hAnsi="宋体" w:cs="宋体"/>
                <w:sz w:val="24"/>
                <w:szCs w:val="24"/>
              </w:rPr>
              <w:t>S</w:t>
            </w:r>
            <w:r>
              <w:rPr>
                <w:rFonts w:hint="eastAsia" w:ascii="宋体" w:hAnsi="宋体" w:cs="宋体"/>
                <w:sz w:val="24"/>
                <w:szCs w:val="24"/>
              </w:rPr>
              <w:t>O</w:t>
            </w:r>
            <w:r>
              <w:rPr>
                <w:rFonts w:ascii="宋体" w:hAnsi="宋体" w:cs="宋体"/>
                <w:sz w:val="24"/>
                <w:szCs w:val="24"/>
              </w:rPr>
              <w:t>9001</w:t>
            </w:r>
            <w:r>
              <w:rPr>
                <w:rFonts w:hint="eastAsia" w:ascii="宋体" w:hAnsi="宋体" w:cs="宋体"/>
                <w:sz w:val="24"/>
                <w:szCs w:val="24"/>
              </w:rPr>
              <w:t>质量管理体系认证、I</w:t>
            </w:r>
            <w:r>
              <w:rPr>
                <w:rFonts w:ascii="宋体" w:hAnsi="宋体" w:cs="宋体"/>
                <w:sz w:val="24"/>
                <w:szCs w:val="24"/>
              </w:rPr>
              <w:t>SO22000</w:t>
            </w:r>
            <w:r>
              <w:rPr>
                <w:rFonts w:hint="eastAsia" w:ascii="宋体" w:hAnsi="宋体" w:cs="宋体"/>
                <w:sz w:val="24"/>
                <w:szCs w:val="24"/>
              </w:rPr>
              <w:t>食品安全管理体系认证、</w:t>
            </w:r>
            <w:r>
              <w:rPr>
                <w:rFonts w:ascii="宋体" w:hAnsi="宋体" w:cs="宋体"/>
                <w:sz w:val="24"/>
                <w:szCs w:val="24"/>
              </w:rPr>
              <w:t>HACC</w:t>
            </w:r>
            <w:r>
              <w:rPr>
                <w:rFonts w:hint="eastAsia" w:ascii="宋体" w:hAnsi="宋体" w:cs="宋体"/>
                <w:sz w:val="24"/>
                <w:szCs w:val="24"/>
              </w:rPr>
              <w:t>P危害分析与关键控制点体系认证、</w:t>
            </w:r>
            <w:r>
              <w:rPr>
                <w:rFonts w:hint="eastAsia" w:ascii="宋体" w:hAnsi="宋体" w:cs="宋体"/>
                <w:kern w:val="0"/>
                <w:sz w:val="24"/>
                <w:szCs w:val="24"/>
              </w:rPr>
              <w:t>ISO14001</w:t>
            </w:r>
            <w:r>
              <w:rPr>
                <w:rFonts w:hint="eastAsia" w:ascii="宋体" w:hAnsi="宋体" w:cs="宋体"/>
                <w:sz w:val="24"/>
                <w:szCs w:val="24"/>
              </w:rPr>
              <w:t>环</w:t>
            </w:r>
            <w:r>
              <w:rPr>
                <w:rFonts w:ascii="宋体" w:hAnsi="宋体" w:cs="宋体"/>
                <w:sz w:val="24"/>
                <w:szCs w:val="24"/>
              </w:rPr>
              <w:t>境管</w:t>
            </w:r>
            <w:r>
              <w:rPr>
                <w:rFonts w:hint="eastAsia" w:ascii="宋体" w:hAnsi="宋体" w:cs="宋体"/>
                <w:sz w:val="24"/>
                <w:szCs w:val="24"/>
              </w:rPr>
              <w:t>理体系认</w:t>
            </w:r>
            <w:r>
              <w:rPr>
                <w:rFonts w:ascii="宋体" w:hAnsi="宋体" w:cs="宋体"/>
                <w:sz w:val="24"/>
                <w:szCs w:val="24"/>
              </w:rPr>
              <w:t>证</w:t>
            </w:r>
            <w:r>
              <w:rPr>
                <w:rFonts w:hint="eastAsia" w:ascii="宋体" w:hAnsi="宋体" w:cs="宋体"/>
                <w:sz w:val="24"/>
                <w:szCs w:val="24"/>
              </w:rPr>
              <w:t>、</w:t>
            </w:r>
            <w:r>
              <w:rPr>
                <w:rFonts w:hint="eastAsia" w:ascii="宋体" w:hAnsi="宋体" w:cs="宋体"/>
                <w:kern w:val="0"/>
                <w:sz w:val="24"/>
                <w:szCs w:val="24"/>
              </w:rPr>
              <w:t>ISO45001</w:t>
            </w:r>
            <w:r>
              <w:rPr>
                <w:rFonts w:hint="eastAsia" w:ascii="宋体" w:hAnsi="宋体" w:cs="宋体"/>
                <w:sz w:val="24"/>
                <w:szCs w:val="24"/>
              </w:rPr>
              <w:t>职业</w:t>
            </w:r>
            <w:r>
              <w:rPr>
                <w:rFonts w:ascii="宋体" w:hAnsi="宋体" w:cs="宋体"/>
                <w:sz w:val="24"/>
                <w:szCs w:val="24"/>
              </w:rPr>
              <w:t>健</w:t>
            </w:r>
            <w:r>
              <w:rPr>
                <w:rFonts w:hint="eastAsia" w:ascii="宋体" w:hAnsi="宋体" w:cs="宋体"/>
                <w:sz w:val="24"/>
                <w:szCs w:val="24"/>
              </w:rPr>
              <w:t>康安全</w:t>
            </w:r>
            <w:r>
              <w:rPr>
                <w:rFonts w:ascii="宋体" w:hAnsi="宋体" w:cs="宋体"/>
                <w:sz w:val="24"/>
                <w:szCs w:val="24"/>
              </w:rPr>
              <w:t>管</w:t>
            </w:r>
            <w:r>
              <w:rPr>
                <w:rFonts w:hint="eastAsia" w:ascii="宋体" w:hAnsi="宋体" w:cs="宋体"/>
                <w:sz w:val="24"/>
                <w:szCs w:val="24"/>
              </w:rPr>
              <w:t>理体系、供应链安全管理体系、售后服务体系 (五星) 认证证书、服务质量(五星) 达标测评证书、企业诚信管理体系认证证书每个得2分，本项最高分为18分。</w:t>
            </w:r>
          </w:p>
          <w:p w14:paraId="19344C23">
            <w:pPr>
              <w:widowControl/>
              <w:rPr>
                <w:rFonts w:ascii="宋体" w:hAnsi="宋体" w:cs="宋体"/>
                <w:sz w:val="24"/>
                <w:szCs w:val="24"/>
              </w:rPr>
            </w:pPr>
            <w:r>
              <w:rPr>
                <w:rFonts w:hint="eastAsia" w:ascii="宋体" w:hAnsi="宋体" w:cs="宋体"/>
                <w:sz w:val="24"/>
                <w:szCs w:val="24"/>
              </w:rPr>
              <w:t>证明材料：（1）需提供证书复印件加盖公章（2）全国认证认可信息公共服务平台查询结果的网页复印件加盖公章（3）</w:t>
            </w:r>
            <w:bookmarkStart w:id="20" w:name="OLE_LINK6"/>
            <w:r>
              <w:rPr>
                <w:rFonts w:hint="eastAsia" w:ascii="宋体" w:hAnsi="宋体" w:cs="宋体"/>
                <w:sz w:val="24"/>
                <w:szCs w:val="24"/>
              </w:rPr>
              <w:t>上述两项任意一项不提供</w:t>
            </w:r>
            <w:bookmarkEnd w:id="20"/>
            <w:r>
              <w:rPr>
                <w:rFonts w:hint="eastAsia" w:ascii="宋体" w:hAnsi="宋体" w:cs="宋体"/>
                <w:sz w:val="24"/>
                <w:szCs w:val="24"/>
              </w:rPr>
              <w:t>不得分。</w:t>
            </w:r>
          </w:p>
          <w:p w14:paraId="00D64C08">
            <w:pPr>
              <w:widowControl/>
              <w:rPr>
                <w:rFonts w:ascii="宋体" w:hAnsi="宋体" w:cs="宋体"/>
                <w:sz w:val="24"/>
                <w:szCs w:val="24"/>
              </w:rPr>
            </w:pPr>
            <w:r>
              <w:rPr>
                <w:rFonts w:hint="eastAsia" w:ascii="宋体" w:hAnsi="宋体" w:cs="宋体"/>
                <w:sz w:val="24"/>
                <w:szCs w:val="24"/>
              </w:rPr>
              <w:t>2、连续三年（2022年—2024年）获得税务部门评选的年度纳税信用评级A级满足得2分，不满足得0分（需提供网上查询截图证明）</w:t>
            </w:r>
          </w:p>
          <w:p w14:paraId="42FF137C">
            <w:pPr>
              <w:rPr>
                <w:rFonts w:ascii="宋体" w:hAnsi="宋体" w:cs="宋体"/>
                <w:sz w:val="24"/>
                <w:szCs w:val="24"/>
              </w:rPr>
            </w:pPr>
            <w:r>
              <w:rPr>
                <w:rFonts w:hint="eastAsia" w:ascii="宋体" w:hAnsi="宋体" w:cs="宋体"/>
                <w:sz w:val="24"/>
                <w:szCs w:val="24"/>
              </w:rPr>
              <w:t>3、</w:t>
            </w:r>
            <w:r>
              <w:rPr>
                <w:rFonts w:ascii="宋体" w:hAnsi="宋体" w:cs="宋体"/>
                <w:sz w:val="24"/>
                <w:szCs w:val="24"/>
              </w:rPr>
              <w:t>投</w:t>
            </w:r>
            <w:r>
              <w:rPr>
                <w:rFonts w:hint="eastAsia" w:ascii="宋体" w:hAnsi="宋体" w:cs="宋体"/>
                <w:sz w:val="24"/>
                <w:szCs w:val="24"/>
              </w:rPr>
              <w:t>标人自</w:t>
            </w:r>
            <w:r>
              <w:rPr>
                <w:rFonts w:ascii="宋体" w:hAnsi="宋体" w:cs="宋体"/>
                <w:sz w:val="24"/>
                <w:szCs w:val="24"/>
              </w:rPr>
              <w:t>20</w:t>
            </w:r>
            <w:r>
              <w:rPr>
                <w:rFonts w:hint="eastAsia" w:ascii="宋体" w:hAnsi="宋体" w:cs="宋体"/>
                <w:sz w:val="24"/>
                <w:szCs w:val="24"/>
              </w:rPr>
              <w:t>22年</w:t>
            </w:r>
            <w:r>
              <w:rPr>
                <w:rFonts w:ascii="宋体" w:hAnsi="宋体" w:cs="宋体"/>
                <w:sz w:val="24"/>
                <w:szCs w:val="24"/>
              </w:rPr>
              <w:t>1</w:t>
            </w:r>
            <w:r>
              <w:rPr>
                <w:rFonts w:hint="eastAsia" w:ascii="宋体" w:hAnsi="宋体" w:cs="宋体"/>
                <w:sz w:val="24"/>
                <w:szCs w:val="24"/>
              </w:rPr>
              <w:t>月1</w:t>
            </w:r>
            <w:r>
              <w:rPr>
                <w:rFonts w:ascii="宋体" w:hAnsi="宋体" w:cs="宋体"/>
                <w:sz w:val="24"/>
                <w:szCs w:val="24"/>
              </w:rPr>
              <w:t>日</w:t>
            </w:r>
            <w:r>
              <w:rPr>
                <w:rFonts w:hint="eastAsia" w:ascii="宋体" w:hAnsi="宋体" w:cs="宋体"/>
                <w:sz w:val="24"/>
                <w:szCs w:val="24"/>
              </w:rPr>
              <w:t>至今，正在经营的食堂连续三</w:t>
            </w:r>
            <w:r>
              <w:rPr>
                <w:rFonts w:ascii="宋体" w:hAnsi="宋体" w:cs="宋体"/>
                <w:sz w:val="24"/>
                <w:szCs w:val="24"/>
              </w:rPr>
              <w:t>年</w:t>
            </w:r>
            <w:r>
              <w:rPr>
                <w:rFonts w:hint="eastAsia" w:ascii="宋体" w:hAnsi="宋体" w:cs="宋体"/>
                <w:sz w:val="24"/>
                <w:szCs w:val="24"/>
              </w:rPr>
              <w:t>有</w:t>
            </w:r>
            <w:r>
              <w:rPr>
                <w:rFonts w:ascii="宋体" w:hAnsi="宋体" w:cs="宋体"/>
                <w:sz w:val="24"/>
                <w:szCs w:val="24"/>
              </w:rPr>
              <w:t>购</w:t>
            </w:r>
            <w:r>
              <w:rPr>
                <w:rFonts w:hint="eastAsia" w:ascii="宋体" w:hAnsi="宋体" w:cs="宋体"/>
                <w:sz w:val="24"/>
                <w:szCs w:val="24"/>
              </w:rPr>
              <w:t>买</w:t>
            </w:r>
            <w:bookmarkStart w:id="21" w:name="OLE_LINK5"/>
            <w:r>
              <w:rPr>
                <w:rFonts w:hint="eastAsia" w:ascii="宋体" w:hAnsi="宋体" w:cs="宋体"/>
                <w:sz w:val="24"/>
                <w:szCs w:val="24"/>
              </w:rPr>
              <w:t>《食品安全责任</w:t>
            </w:r>
            <w:r>
              <w:rPr>
                <w:rFonts w:ascii="宋体" w:hAnsi="宋体" w:cs="宋体"/>
                <w:sz w:val="24"/>
                <w:szCs w:val="24"/>
              </w:rPr>
              <w:t>险</w:t>
            </w:r>
            <w:r>
              <w:rPr>
                <w:rFonts w:hint="eastAsia" w:ascii="宋体" w:hAnsi="宋体" w:cs="宋体"/>
                <w:sz w:val="24"/>
                <w:szCs w:val="24"/>
              </w:rPr>
              <w:t>》、《雇主责任</w:t>
            </w:r>
            <w:r>
              <w:rPr>
                <w:rFonts w:ascii="宋体" w:hAnsi="宋体" w:cs="宋体"/>
                <w:sz w:val="24"/>
                <w:szCs w:val="24"/>
              </w:rPr>
              <w:t>险</w:t>
            </w:r>
            <w:r>
              <w:rPr>
                <w:rFonts w:hint="eastAsia" w:ascii="宋体" w:hAnsi="宋体" w:cs="宋体"/>
                <w:sz w:val="24"/>
                <w:szCs w:val="24"/>
              </w:rPr>
              <w:t>》和《公众责任险》</w:t>
            </w:r>
            <w:bookmarkEnd w:id="21"/>
            <w:r>
              <w:rPr>
                <w:rFonts w:hint="eastAsia" w:ascii="宋体" w:hAnsi="宋体" w:cs="宋体"/>
                <w:sz w:val="24"/>
                <w:szCs w:val="24"/>
              </w:rPr>
              <w:t>,并针对所经营的食堂作</w:t>
            </w:r>
            <w:r>
              <w:rPr>
                <w:rFonts w:ascii="宋体" w:hAnsi="宋体" w:cs="宋体"/>
                <w:sz w:val="24"/>
                <w:szCs w:val="24"/>
              </w:rPr>
              <w:t>出</w:t>
            </w:r>
            <w:r>
              <w:rPr>
                <w:rFonts w:hint="eastAsia" w:ascii="宋体" w:hAnsi="宋体" w:cs="宋体"/>
                <w:sz w:val="24"/>
                <w:szCs w:val="24"/>
              </w:rPr>
              <w:t>投保承诺的，</w:t>
            </w:r>
            <w:r>
              <w:rPr>
                <w:rFonts w:ascii="宋体" w:hAnsi="宋体" w:cs="宋体"/>
                <w:sz w:val="24"/>
                <w:szCs w:val="24"/>
              </w:rPr>
              <w:t>每</w:t>
            </w:r>
            <w:r>
              <w:rPr>
                <w:rFonts w:hint="eastAsia" w:ascii="宋体" w:hAnsi="宋体" w:cs="宋体"/>
                <w:sz w:val="24"/>
                <w:szCs w:val="24"/>
              </w:rPr>
              <w:t>个</w:t>
            </w:r>
            <w:r>
              <w:rPr>
                <w:rFonts w:ascii="宋体" w:hAnsi="宋体" w:cs="宋体"/>
                <w:sz w:val="24"/>
                <w:szCs w:val="24"/>
              </w:rPr>
              <w:t>险</w:t>
            </w:r>
            <w:r>
              <w:rPr>
                <w:rFonts w:hint="eastAsia" w:ascii="宋体" w:hAnsi="宋体" w:cs="宋体"/>
                <w:sz w:val="24"/>
                <w:szCs w:val="24"/>
              </w:rPr>
              <w:t>种得2分，间</w:t>
            </w:r>
            <w:r>
              <w:rPr>
                <w:rFonts w:ascii="宋体" w:hAnsi="宋体" w:cs="宋体"/>
                <w:sz w:val="24"/>
                <w:szCs w:val="24"/>
              </w:rPr>
              <w:t>断购</w:t>
            </w:r>
            <w:r>
              <w:rPr>
                <w:rFonts w:hint="eastAsia" w:ascii="宋体" w:hAnsi="宋体" w:cs="宋体"/>
                <w:sz w:val="24"/>
                <w:szCs w:val="24"/>
              </w:rPr>
              <w:t>买和未</w:t>
            </w:r>
            <w:r>
              <w:rPr>
                <w:rFonts w:ascii="宋体" w:hAnsi="宋体" w:cs="宋体"/>
                <w:sz w:val="24"/>
                <w:szCs w:val="24"/>
              </w:rPr>
              <w:t>作</w:t>
            </w:r>
            <w:r>
              <w:rPr>
                <w:rFonts w:hint="eastAsia" w:ascii="宋体" w:hAnsi="宋体" w:cs="宋体"/>
                <w:sz w:val="24"/>
                <w:szCs w:val="24"/>
              </w:rPr>
              <w:t>出</w:t>
            </w:r>
            <w:r>
              <w:rPr>
                <w:rFonts w:ascii="宋体" w:hAnsi="宋体" w:cs="宋体"/>
                <w:sz w:val="24"/>
                <w:szCs w:val="24"/>
              </w:rPr>
              <w:t>购</w:t>
            </w:r>
            <w:r>
              <w:rPr>
                <w:rFonts w:hint="eastAsia" w:ascii="宋体" w:hAnsi="宋体" w:cs="宋体"/>
                <w:sz w:val="24"/>
                <w:szCs w:val="24"/>
              </w:rPr>
              <w:t>买承诺的均</w:t>
            </w:r>
            <w:r>
              <w:rPr>
                <w:rFonts w:ascii="宋体" w:hAnsi="宋体" w:cs="宋体"/>
                <w:sz w:val="24"/>
                <w:szCs w:val="24"/>
              </w:rPr>
              <w:t>不</w:t>
            </w:r>
            <w:r>
              <w:rPr>
                <w:rFonts w:hint="eastAsia" w:ascii="宋体" w:hAnsi="宋体" w:cs="宋体"/>
                <w:sz w:val="24"/>
                <w:szCs w:val="24"/>
              </w:rPr>
              <w:t>得分，本</w:t>
            </w:r>
            <w:r>
              <w:rPr>
                <w:rFonts w:ascii="宋体" w:hAnsi="宋体" w:cs="宋体"/>
                <w:sz w:val="24"/>
                <w:szCs w:val="24"/>
              </w:rPr>
              <w:t>项</w:t>
            </w:r>
            <w:r>
              <w:rPr>
                <w:rFonts w:hint="eastAsia" w:ascii="宋体" w:hAnsi="宋体" w:cs="宋体"/>
                <w:sz w:val="24"/>
                <w:szCs w:val="24"/>
              </w:rPr>
              <w:t>最高分为6分。</w:t>
            </w:r>
          </w:p>
          <w:p w14:paraId="477EECA9">
            <w:pPr>
              <w:rPr>
                <w:rFonts w:ascii="宋体" w:hAnsi="宋体" w:cs="宋体"/>
                <w:sz w:val="24"/>
                <w:szCs w:val="24"/>
              </w:rPr>
            </w:pPr>
            <w:r>
              <w:rPr>
                <w:rFonts w:hint="eastAsia" w:ascii="宋体" w:hAnsi="宋体" w:cs="宋体"/>
                <w:sz w:val="24"/>
                <w:szCs w:val="24"/>
              </w:rPr>
              <w:t>证明材料：提供投保三个险种的保单和保费发票复印件</w:t>
            </w:r>
            <w:bookmarkStart w:id="22" w:name="OLE_LINK2"/>
            <w:r>
              <w:rPr>
                <w:rFonts w:hint="eastAsia" w:ascii="宋体" w:hAnsi="宋体" w:cs="宋体"/>
                <w:kern w:val="0"/>
                <w:sz w:val="24"/>
                <w:szCs w:val="24"/>
              </w:rPr>
              <w:t>加盖公章</w:t>
            </w:r>
            <w:bookmarkEnd w:id="22"/>
            <w:r>
              <w:rPr>
                <w:rFonts w:hint="eastAsia" w:ascii="宋体" w:hAnsi="宋体" w:cs="宋体"/>
                <w:sz w:val="24"/>
                <w:szCs w:val="24"/>
              </w:rPr>
              <w:t>，</w:t>
            </w:r>
            <w:bookmarkStart w:id="23" w:name="OLE_LINK3"/>
            <w:r>
              <w:rPr>
                <w:rFonts w:ascii="宋体" w:hAnsi="宋体" w:cs="宋体"/>
                <w:sz w:val="24"/>
                <w:szCs w:val="24"/>
              </w:rPr>
              <w:t>不</w:t>
            </w:r>
            <w:r>
              <w:rPr>
                <w:rFonts w:hint="eastAsia" w:ascii="宋体" w:hAnsi="宋体" w:cs="宋体"/>
                <w:sz w:val="24"/>
                <w:szCs w:val="24"/>
              </w:rPr>
              <w:t>提供不得分。</w:t>
            </w:r>
            <w:bookmarkEnd w:id="23"/>
          </w:p>
        </w:tc>
        <w:tc>
          <w:tcPr>
            <w:tcW w:w="1228" w:type="dxa"/>
            <w:vAlign w:val="center"/>
          </w:tcPr>
          <w:p w14:paraId="6A7A88D7">
            <w:pPr>
              <w:ind w:left="-86" w:leftChars="-41" w:right="-13" w:rightChars="-6"/>
              <w:jc w:val="center"/>
              <w:rPr>
                <w:rFonts w:ascii="宋体" w:hAnsi="宋体" w:cs="宋体"/>
                <w:sz w:val="24"/>
                <w:szCs w:val="24"/>
              </w:rPr>
            </w:pPr>
            <w:r>
              <w:rPr>
                <w:rFonts w:hint="eastAsia" w:ascii="宋体" w:hAnsi="宋体" w:cs="宋体"/>
                <w:sz w:val="24"/>
                <w:szCs w:val="24"/>
              </w:rPr>
              <w:t>26分</w:t>
            </w:r>
          </w:p>
        </w:tc>
      </w:tr>
      <w:tr w14:paraId="719E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612" w:type="dxa"/>
            <w:vAlign w:val="center"/>
          </w:tcPr>
          <w:p w14:paraId="726CE776">
            <w:pPr>
              <w:jc w:val="center"/>
              <w:rPr>
                <w:rFonts w:ascii="宋体" w:hAnsi="宋体" w:cs="宋体"/>
                <w:sz w:val="24"/>
                <w:szCs w:val="24"/>
              </w:rPr>
            </w:pPr>
            <w:r>
              <w:rPr>
                <w:rFonts w:hint="eastAsia" w:ascii="宋体" w:hAnsi="宋体" w:cs="宋体"/>
                <w:sz w:val="24"/>
                <w:szCs w:val="24"/>
              </w:rPr>
              <w:t>2</w:t>
            </w:r>
          </w:p>
        </w:tc>
        <w:tc>
          <w:tcPr>
            <w:tcW w:w="756" w:type="dxa"/>
            <w:vAlign w:val="center"/>
          </w:tcPr>
          <w:p w14:paraId="79130DA9">
            <w:pPr>
              <w:rPr>
                <w:rFonts w:ascii="宋体" w:hAnsi="宋体" w:cs="宋体"/>
                <w:sz w:val="24"/>
                <w:szCs w:val="24"/>
              </w:rPr>
            </w:pPr>
            <w:r>
              <w:rPr>
                <w:rFonts w:hint="eastAsia" w:ascii="宋体" w:hAnsi="宋体" w:cs="宋体"/>
                <w:sz w:val="24"/>
                <w:szCs w:val="24"/>
              </w:rPr>
              <w:t>相关业绩</w:t>
            </w:r>
          </w:p>
        </w:tc>
        <w:tc>
          <w:tcPr>
            <w:tcW w:w="7009" w:type="dxa"/>
            <w:vAlign w:val="center"/>
          </w:tcPr>
          <w:p w14:paraId="293E8222">
            <w:pPr>
              <w:rPr>
                <w:rFonts w:ascii="宋体" w:hAnsi="宋体" w:cs="宋体"/>
                <w:sz w:val="24"/>
                <w:szCs w:val="24"/>
              </w:rPr>
            </w:pPr>
            <w:r>
              <w:rPr>
                <w:rFonts w:hint="eastAsia" w:ascii="宋体" w:hAnsi="宋体" w:cs="宋体"/>
                <w:sz w:val="24"/>
                <w:szCs w:val="24"/>
              </w:rPr>
              <w:t>投标人2022年1月1日至今，正在经营中的食堂项目业绩，每提供一项业绩得3分，满分18分。</w:t>
            </w:r>
          </w:p>
          <w:p w14:paraId="67277DCA">
            <w:pPr>
              <w:rPr>
                <w:b/>
              </w:rPr>
            </w:pPr>
            <w:r>
              <w:rPr>
                <w:rFonts w:hint="eastAsia" w:ascii="宋体" w:hAnsi="宋体" w:cs="宋体"/>
                <w:sz w:val="24"/>
                <w:szCs w:val="24"/>
              </w:rPr>
              <w:t>证明材料：（1）需提供合同</w:t>
            </w:r>
            <w:bookmarkStart w:id="24" w:name="OLE_LINK7"/>
            <w:r>
              <w:rPr>
                <w:rFonts w:hint="eastAsia" w:ascii="宋体" w:hAnsi="宋体" w:cs="宋体"/>
                <w:sz w:val="24"/>
                <w:szCs w:val="24"/>
              </w:rPr>
              <w:t>复印件加盖公章</w:t>
            </w:r>
            <w:bookmarkEnd w:id="24"/>
            <w:r>
              <w:rPr>
                <w:rFonts w:hint="eastAsia" w:ascii="宋体" w:hAnsi="宋体" w:cs="宋体"/>
                <w:sz w:val="24"/>
                <w:szCs w:val="24"/>
              </w:rPr>
              <w:t>，原件备查（2）服务期内开具的投标单位任意1个月的餐饮收入发票或服务单位转入投标单位的营业额银行结算凭证复印件加盖公章，</w:t>
            </w:r>
            <w:r>
              <w:rPr>
                <w:rFonts w:ascii="宋体" w:hAnsi="宋体" w:cs="宋体"/>
                <w:sz w:val="24"/>
                <w:szCs w:val="24"/>
              </w:rPr>
              <w:t>不</w:t>
            </w:r>
            <w:r>
              <w:rPr>
                <w:rFonts w:hint="eastAsia" w:ascii="宋体" w:hAnsi="宋体" w:cs="宋体"/>
                <w:sz w:val="24"/>
                <w:szCs w:val="24"/>
              </w:rPr>
              <w:t>提供不得分。</w:t>
            </w:r>
          </w:p>
        </w:tc>
        <w:tc>
          <w:tcPr>
            <w:tcW w:w="1228" w:type="dxa"/>
            <w:vAlign w:val="center"/>
          </w:tcPr>
          <w:p w14:paraId="5DEB8E1F">
            <w:pPr>
              <w:jc w:val="center"/>
              <w:rPr>
                <w:rFonts w:ascii="宋体" w:hAnsi="宋体" w:cs="宋体"/>
                <w:sz w:val="24"/>
                <w:szCs w:val="24"/>
              </w:rPr>
            </w:pPr>
            <w:r>
              <w:rPr>
                <w:rFonts w:hint="eastAsia" w:ascii="宋体" w:hAnsi="宋体" w:cs="宋体"/>
                <w:sz w:val="24"/>
                <w:szCs w:val="24"/>
              </w:rPr>
              <w:t>18分</w:t>
            </w:r>
          </w:p>
        </w:tc>
      </w:tr>
      <w:tr w14:paraId="7F2E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restart"/>
            <w:vAlign w:val="center"/>
          </w:tcPr>
          <w:p w14:paraId="3D340FEC">
            <w:pPr>
              <w:jc w:val="center"/>
              <w:rPr>
                <w:rFonts w:ascii="宋体" w:hAnsi="宋体" w:cs="宋体"/>
                <w:sz w:val="24"/>
                <w:szCs w:val="24"/>
              </w:rPr>
            </w:pPr>
            <w:r>
              <w:rPr>
                <w:rFonts w:hint="eastAsia" w:ascii="宋体" w:hAnsi="宋体" w:cs="宋体"/>
                <w:sz w:val="24"/>
                <w:szCs w:val="24"/>
              </w:rPr>
              <w:t>3</w:t>
            </w:r>
          </w:p>
        </w:tc>
        <w:tc>
          <w:tcPr>
            <w:tcW w:w="756" w:type="dxa"/>
            <w:vMerge w:val="restart"/>
            <w:vAlign w:val="center"/>
          </w:tcPr>
          <w:p w14:paraId="342F2B7A">
            <w:pPr>
              <w:rPr>
                <w:rFonts w:ascii="宋体" w:hAnsi="宋体" w:cs="宋体"/>
                <w:sz w:val="24"/>
                <w:szCs w:val="24"/>
              </w:rPr>
            </w:pPr>
            <w:r>
              <w:rPr>
                <w:rFonts w:ascii="宋体" w:hAnsi="宋体" w:cs="宋体"/>
                <w:sz w:val="24"/>
                <w:szCs w:val="24"/>
              </w:rPr>
              <w:t>团队技术力量</w:t>
            </w:r>
          </w:p>
        </w:tc>
        <w:tc>
          <w:tcPr>
            <w:tcW w:w="7009" w:type="dxa"/>
            <w:vAlign w:val="center"/>
          </w:tcPr>
          <w:p w14:paraId="5AE70BE0">
            <w:pPr>
              <w:rPr>
                <w:rFonts w:ascii="宋体" w:hAnsi="宋体" w:cs="宋体"/>
                <w:sz w:val="24"/>
                <w:szCs w:val="24"/>
              </w:rPr>
            </w:pPr>
            <w:r>
              <w:rPr>
                <w:rFonts w:hint="eastAsia" w:ascii="宋体" w:hAnsi="宋体" w:cs="宋体"/>
                <w:sz w:val="24"/>
                <w:szCs w:val="24"/>
              </w:rPr>
              <w:t>1.食堂专职负责人</w:t>
            </w:r>
          </w:p>
          <w:p w14:paraId="04879005">
            <w:pPr>
              <w:rPr>
                <w:rFonts w:ascii="宋体" w:hAnsi="宋体" w:cs="宋体"/>
                <w:sz w:val="24"/>
                <w:szCs w:val="24"/>
              </w:rPr>
            </w:pPr>
            <w:r>
              <w:rPr>
                <w:rFonts w:hint="eastAsia" w:ascii="宋体" w:hAnsi="宋体" w:cs="宋体"/>
                <w:sz w:val="24"/>
                <w:szCs w:val="24"/>
              </w:rPr>
              <w:t>投标人拟派到项目单位上的食堂专职负责人具有本科及以上学历证书同时具有餐饮职业经理人证、</w:t>
            </w:r>
            <w:bookmarkStart w:id="25" w:name="OLE_LINK10"/>
            <w:r>
              <w:rPr>
                <w:rFonts w:hint="eastAsia" w:ascii="宋体" w:hAnsi="宋体" w:cs="宋体"/>
                <w:sz w:val="24"/>
                <w:szCs w:val="24"/>
              </w:rPr>
              <w:t>营养师证或健康管理师证</w:t>
            </w:r>
            <w:bookmarkEnd w:id="25"/>
            <w:r>
              <w:rPr>
                <w:rFonts w:hint="eastAsia" w:ascii="宋体" w:hAnsi="宋体" w:cs="宋体"/>
                <w:sz w:val="24"/>
                <w:szCs w:val="24"/>
              </w:rPr>
              <w:t>、三级（含）以上烹饪师证或烹调师证的，每提供一个证书得2分，满分8分。</w:t>
            </w:r>
          </w:p>
          <w:p w14:paraId="3AA845BE">
            <w:pPr>
              <w:rPr>
                <w:rFonts w:ascii="宋体" w:hAnsi="宋体" w:cs="宋体"/>
                <w:sz w:val="24"/>
                <w:szCs w:val="24"/>
              </w:rPr>
            </w:pPr>
            <w:r>
              <w:rPr>
                <w:rFonts w:hint="eastAsia" w:ascii="宋体" w:hAnsi="宋体" w:cs="宋体"/>
                <w:sz w:val="24"/>
                <w:szCs w:val="24"/>
              </w:rPr>
              <w:t>证明材料：（1）提供证件复印件加盖公章（注：营养师、三级以上烹调师证需附证书网站查询截图http://zscx.osta.org.cn/）（2）提供投标人单位连续三年每年任意一个月的由社保部门出具的有拟派人员在内的职工参保名册和拟派人员实际缴费基数清单（3）上述两项任意一项不提供不得分。</w:t>
            </w:r>
          </w:p>
        </w:tc>
        <w:tc>
          <w:tcPr>
            <w:tcW w:w="1228" w:type="dxa"/>
            <w:vMerge w:val="restart"/>
            <w:vAlign w:val="center"/>
          </w:tcPr>
          <w:p w14:paraId="565A00B0">
            <w:pPr>
              <w:ind w:left="-86" w:leftChars="-41" w:right="-13" w:rightChars="-6"/>
              <w:jc w:val="center"/>
              <w:rPr>
                <w:rFonts w:ascii="宋体" w:hAnsi="宋体" w:cs="宋体"/>
                <w:sz w:val="24"/>
                <w:szCs w:val="24"/>
              </w:rPr>
            </w:pPr>
            <w:r>
              <w:rPr>
                <w:rFonts w:hint="eastAsia" w:ascii="宋体" w:hAnsi="宋体" w:cs="宋体"/>
                <w:sz w:val="24"/>
                <w:szCs w:val="24"/>
              </w:rPr>
              <w:t>32分</w:t>
            </w:r>
          </w:p>
        </w:tc>
      </w:tr>
      <w:tr w14:paraId="7DD3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63153CA2">
            <w:pPr>
              <w:jc w:val="center"/>
              <w:rPr>
                <w:rFonts w:ascii="宋体" w:hAnsi="宋体" w:cs="宋体"/>
                <w:sz w:val="24"/>
                <w:szCs w:val="24"/>
              </w:rPr>
            </w:pPr>
          </w:p>
        </w:tc>
        <w:tc>
          <w:tcPr>
            <w:tcW w:w="756" w:type="dxa"/>
            <w:vMerge w:val="continue"/>
            <w:vAlign w:val="center"/>
          </w:tcPr>
          <w:p w14:paraId="27EB01F1">
            <w:pPr>
              <w:rPr>
                <w:rFonts w:ascii="宋体" w:hAnsi="宋体" w:cs="宋体"/>
                <w:sz w:val="24"/>
                <w:szCs w:val="24"/>
              </w:rPr>
            </w:pPr>
          </w:p>
        </w:tc>
        <w:tc>
          <w:tcPr>
            <w:tcW w:w="7009" w:type="dxa"/>
            <w:vAlign w:val="center"/>
          </w:tcPr>
          <w:p w14:paraId="72B9A4C4">
            <w:pPr>
              <w:rPr>
                <w:rFonts w:ascii="宋体" w:hAnsi="宋体" w:cs="宋体"/>
                <w:sz w:val="24"/>
                <w:szCs w:val="24"/>
              </w:rPr>
            </w:pPr>
            <w:r>
              <w:rPr>
                <w:rFonts w:hint="eastAsia" w:ascii="宋体" w:hAnsi="宋体" w:cs="宋体"/>
                <w:sz w:val="24"/>
                <w:szCs w:val="24"/>
              </w:rPr>
              <w:t>2.食堂服务经理</w:t>
            </w:r>
          </w:p>
          <w:p w14:paraId="25D01A95">
            <w:pPr>
              <w:rPr>
                <w:rFonts w:ascii="宋体" w:hAnsi="宋体" w:cs="宋体"/>
                <w:sz w:val="24"/>
                <w:szCs w:val="24"/>
              </w:rPr>
            </w:pPr>
            <w:r>
              <w:rPr>
                <w:rFonts w:hint="eastAsia" w:ascii="宋体" w:hAnsi="宋体" w:cs="宋体"/>
                <w:sz w:val="24"/>
                <w:szCs w:val="24"/>
              </w:rPr>
              <w:t>投标人拟派到项目单位上的食堂服务经理具有本科及以上学历证书同时具有餐饮职业经理人证、三级（含）以上面点师证、人力资源管理师证书的，每提供一个证书得1分，满分4分。</w:t>
            </w:r>
          </w:p>
          <w:p w14:paraId="646B9F93">
            <w:pPr>
              <w:rPr>
                <w:rFonts w:ascii="宋体" w:hAnsi="宋体" w:cs="宋体"/>
                <w:sz w:val="24"/>
                <w:szCs w:val="24"/>
              </w:rPr>
            </w:pPr>
            <w:r>
              <w:rPr>
                <w:rFonts w:hint="eastAsia" w:ascii="宋体" w:hAnsi="宋体" w:cs="宋体"/>
                <w:sz w:val="24"/>
                <w:szCs w:val="24"/>
              </w:rPr>
              <w:t>证明材料：（1）提供证件复印件加盖公章（需附证书网站查询截图）（2）提供投标人单位连续三年每年任意一个月的由社保部门出具的有拟派人员在内的职工参保名册和拟派人员实际缴费基数清单（3）上述两项任意一项不提供不得分。</w:t>
            </w:r>
          </w:p>
        </w:tc>
        <w:tc>
          <w:tcPr>
            <w:tcW w:w="1228" w:type="dxa"/>
            <w:vMerge w:val="continue"/>
            <w:vAlign w:val="center"/>
          </w:tcPr>
          <w:p w14:paraId="7C7D01EA">
            <w:pPr>
              <w:jc w:val="center"/>
              <w:rPr>
                <w:rFonts w:ascii="宋体" w:hAnsi="宋体" w:cs="宋体"/>
                <w:sz w:val="24"/>
                <w:szCs w:val="24"/>
              </w:rPr>
            </w:pPr>
          </w:p>
        </w:tc>
      </w:tr>
      <w:tr w14:paraId="7974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56C0A6E0">
            <w:pPr>
              <w:jc w:val="center"/>
              <w:rPr>
                <w:rFonts w:ascii="宋体" w:hAnsi="宋体" w:cs="宋体"/>
                <w:sz w:val="24"/>
                <w:szCs w:val="24"/>
              </w:rPr>
            </w:pPr>
          </w:p>
        </w:tc>
        <w:tc>
          <w:tcPr>
            <w:tcW w:w="756" w:type="dxa"/>
            <w:vMerge w:val="continue"/>
            <w:vAlign w:val="center"/>
          </w:tcPr>
          <w:p w14:paraId="4D862134">
            <w:pPr>
              <w:rPr>
                <w:rFonts w:ascii="宋体" w:hAnsi="宋体" w:cs="宋体"/>
                <w:sz w:val="24"/>
                <w:szCs w:val="24"/>
              </w:rPr>
            </w:pPr>
          </w:p>
        </w:tc>
        <w:tc>
          <w:tcPr>
            <w:tcW w:w="7009" w:type="dxa"/>
            <w:vAlign w:val="center"/>
          </w:tcPr>
          <w:p w14:paraId="5A88A1B7">
            <w:pPr>
              <w:rPr>
                <w:rFonts w:ascii="宋体" w:hAnsi="宋体" w:cs="宋体"/>
                <w:sz w:val="24"/>
                <w:szCs w:val="24"/>
              </w:rPr>
            </w:pPr>
            <w:r>
              <w:rPr>
                <w:rFonts w:hint="eastAsia" w:ascii="宋体" w:hAnsi="宋体" w:cs="宋体"/>
                <w:sz w:val="24"/>
                <w:szCs w:val="24"/>
              </w:rPr>
              <w:t>3.食堂厨师长</w:t>
            </w:r>
          </w:p>
          <w:p w14:paraId="4A49EEF1">
            <w:pPr>
              <w:rPr>
                <w:rFonts w:ascii="宋体" w:hAnsi="宋体" w:cs="宋体"/>
                <w:sz w:val="24"/>
                <w:szCs w:val="24"/>
              </w:rPr>
            </w:pPr>
            <w:r>
              <w:rPr>
                <w:rFonts w:hint="eastAsia" w:ascii="宋体" w:hAnsi="宋体" w:cs="宋体"/>
                <w:sz w:val="24"/>
                <w:szCs w:val="24"/>
              </w:rPr>
              <w:t>投标人拟派本项目厨师长具有国家职业技能鉴定部门颁发中式烹调师一级高级技师资格证书得2分。</w:t>
            </w:r>
          </w:p>
          <w:p w14:paraId="24005E85">
            <w:pPr>
              <w:rPr>
                <w:rFonts w:ascii="宋体" w:hAnsi="宋体" w:cs="宋体"/>
                <w:sz w:val="24"/>
                <w:szCs w:val="24"/>
              </w:rPr>
            </w:pPr>
            <w:r>
              <w:rPr>
                <w:rFonts w:hint="eastAsia" w:ascii="宋体" w:hAnsi="宋体" w:cs="宋体"/>
                <w:sz w:val="24"/>
                <w:szCs w:val="24"/>
              </w:rPr>
              <w:t>证明材料：（1）提供证件复印件加盖公章（附一级中式烹调师证书网站查询截图</w:t>
            </w:r>
            <w:r>
              <w:fldChar w:fldCharType="begin"/>
            </w:r>
            <w:r>
              <w:instrText xml:space="preserve"> HYPERLINK "http://zscx.osta.org.cn/）" </w:instrText>
            </w:r>
            <w:r>
              <w:fldChar w:fldCharType="separate"/>
            </w:r>
            <w:r>
              <w:rPr>
                <w:rFonts w:hint="eastAsia" w:ascii="宋体" w:hAnsi="宋体" w:cs="宋体"/>
                <w:sz w:val="24"/>
                <w:szCs w:val="24"/>
              </w:rPr>
              <w:t>http://zscx.osta.org.cn/）</w:t>
            </w:r>
            <w:r>
              <w:rPr>
                <w:rFonts w:hint="eastAsia" w:ascii="宋体" w:hAnsi="宋体" w:cs="宋体"/>
                <w:sz w:val="24"/>
                <w:szCs w:val="24"/>
              </w:rPr>
              <w:fldChar w:fldCharType="end"/>
            </w:r>
          </w:p>
          <w:p w14:paraId="2D54CD1C">
            <w:pPr>
              <w:numPr>
                <w:ilvl w:val="0"/>
                <w:numId w:val="2"/>
              </w:numPr>
              <w:rPr>
                <w:rFonts w:ascii="宋体" w:hAnsi="宋体" w:cs="宋体"/>
                <w:sz w:val="24"/>
                <w:szCs w:val="24"/>
              </w:rPr>
            </w:pPr>
            <w:r>
              <w:rPr>
                <w:rFonts w:hint="eastAsia" w:ascii="宋体" w:hAnsi="宋体" w:cs="宋体"/>
                <w:sz w:val="24"/>
                <w:szCs w:val="24"/>
              </w:rPr>
              <w:t>提供投标人在本单位连续缴纳三年以上社保证明。</w:t>
            </w:r>
          </w:p>
          <w:p w14:paraId="743C3ED3">
            <w:pPr>
              <w:rPr>
                <w:rFonts w:ascii="宋体" w:hAnsi="宋体" w:cs="宋体"/>
                <w:sz w:val="24"/>
                <w:szCs w:val="24"/>
              </w:rPr>
            </w:pPr>
            <w:r>
              <w:rPr>
                <w:rFonts w:hint="eastAsia" w:ascii="宋体" w:hAnsi="宋体" w:cs="宋体"/>
                <w:sz w:val="24"/>
                <w:szCs w:val="24"/>
              </w:rPr>
              <w:t>（3）上述两项任意一项不提供不得分。</w:t>
            </w:r>
          </w:p>
        </w:tc>
        <w:tc>
          <w:tcPr>
            <w:tcW w:w="1228" w:type="dxa"/>
            <w:vMerge w:val="continue"/>
            <w:vAlign w:val="center"/>
          </w:tcPr>
          <w:p w14:paraId="3DAD11CD">
            <w:pPr>
              <w:jc w:val="center"/>
              <w:rPr>
                <w:rFonts w:ascii="宋体" w:hAnsi="宋体" w:cs="宋体"/>
                <w:sz w:val="24"/>
                <w:szCs w:val="24"/>
              </w:rPr>
            </w:pPr>
          </w:p>
        </w:tc>
      </w:tr>
      <w:tr w14:paraId="3AB0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4B68BD7E">
            <w:pPr>
              <w:jc w:val="center"/>
              <w:rPr>
                <w:rFonts w:ascii="宋体" w:hAnsi="宋体" w:cs="宋体"/>
                <w:sz w:val="24"/>
                <w:szCs w:val="24"/>
              </w:rPr>
            </w:pPr>
          </w:p>
        </w:tc>
        <w:tc>
          <w:tcPr>
            <w:tcW w:w="756" w:type="dxa"/>
            <w:vMerge w:val="continue"/>
            <w:vAlign w:val="center"/>
          </w:tcPr>
          <w:p w14:paraId="7D36686A">
            <w:pPr>
              <w:rPr>
                <w:rFonts w:ascii="宋体" w:hAnsi="宋体" w:cs="宋体"/>
                <w:sz w:val="24"/>
                <w:szCs w:val="24"/>
              </w:rPr>
            </w:pPr>
          </w:p>
        </w:tc>
        <w:tc>
          <w:tcPr>
            <w:tcW w:w="7009" w:type="dxa"/>
            <w:vAlign w:val="center"/>
          </w:tcPr>
          <w:p w14:paraId="3BE2F379">
            <w:pPr>
              <w:rPr>
                <w:rFonts w:ascii="宋体" w:hAnsi="宋体" w:cs="宋体"/>
                <w:sz w:val="24"/>
                <w:szCs w:val="24"/>
              </w:rPr>
            </w:pPr>
            <w:r>
              <w:rPr>
                <w:rFonts w:hint="eastAsia" w:ascii="宋体" w:hAnsi="宋体" w:cs="宋体"/>
                <w:sz w:val="24"/>
                <w:szCs w:val="24"/>
              </w:rPr>
              <w:t>4.营养师</w:t>
            </w:r>
          </w:p>
          <w:p w14:paraId="135F6ACA">
            <w:pPr>
              <w:rPr>
                <w:rFonts w:ascii="宋体" w:hAnsi="宋体" w:cs="宋体"/>
                <w:sz w:val="24"/>
                <w:szCs w:val="24"/>
              </w:rPr>
            </w:pPr>
            <w:r>
              <w:rPr>
                <w:rFonts w:hint="eastAsia" w:ascii="宋体" w:hAnsi="宋体" w:cs="宋体"/>
                <w:sz w:val="24"/>
                <w:szCs w:val="24"/>
              </w:rPr>
              <w:t>投标人拟派本项目营养师具有本科以上学历得1分、具有中国营养学会颁发注册营养师证书得3分，满分4分。</w:t>
            </w:r>
          </w:p>
          <w:p w14:paraId="6740A3CC">
            <w:pPr>
              <w:rPr>
                <w:rFonts w:ascii="宋体" w:hAnsi="宋体" w:cs="宋体"/>
                <w:sz w:val="24"/>
                <w:szCs w:val="24"/>
              </w:rPr>
            </w:pPr>
            <w:r>
              <w:rPr>
                <w:rFonts w:hint="eastAsia" w:ascii="宋体" w:hAnsi="宋体" w:cs="宋体"/>
                <w:sz w:val="24"/>
                <w:szCs w:val="24"/>
              </w:rPr>
              <w:t>证明材料：（1）提供证件复印件加盖公章（附中国营养学会证书查询截图）</w:t>
            </w:r>
          </w:p>
          <w:p w14:paraId="6E5950B0">
            <w:pPr>
              <w:numPr>
                <w:ilvl w:val="0"/>
                <w:numId w:val="3"/>
              </w:numPr>
              <w:rPr>
                <w:rFonts w:ascii="宋体" w:hAnsi="宋体" w:cs="宋体"/>
                <w:sz w:val="24"/>
                <w:szCs w:val="24"/>
              </w:rPr>
            </w:pPr>
            <w:r>
              <w:rPr>
                <w:rFonts w:hint="eastAsia" w:ascii="宋体" w:hAnsi="宋体" w:cs="宋体"/>
                <w:sz w:val="24"/>
                <w:szCs w:val="24"/>
              </w:rPr>
              <w:t>提供投标人在本单位连续缴纳三年以上社保证明。</w:t>
            </w:r>
          </w:p>
          <w:p w14:paraId="4DE29B8D">
            <w:pPr>
              <w:numPr>
                <w:ilvl w:val="0"/>
                <w:numId w:val="3"/>
              </w:numPr>
              <w:rPr>
                <w:rFonts w:ascii="宋体" w:hAnsi="宋体" w:cs="宋体"/>
                <w:sz w:val="24"/>
                <w:szCs w:val="24"/>
              </w:rPr>
            </w:pPr>
            <w:r>
              <w:rPr>
                <w:rFonts w:hint="eastAsia" w:ascii="宋体" w:hAnsi="宋体" w:cs="宋体"/>
                <w:sz w:val="24"/>
                <w:szCs w:val="24"/>
              </w:rPr>
              <w:t>上述两项任意一项不提供不得分。</w:t>
            </w:r>
          </w:p>
        </w:tc>
        <w:tc>
          <w:tcPr>
            <w:tcW w:w="1228" w:type="dxa"/>
            <w:vMerge w:val="continue"/>
            <w:vAlign w:val="center"/>
          </w:tcPr>
          <w:p w14:paraId="5BFDD717">
            <w:pPr>
              <w:jc w:val="center"/>
              <w:rPr>
                <w:rFonts w:ascii="宋体" w:hAnsi="宋体" w:cs="宋体"/>
                <w:sz w:val="24"/>
                <w:szCs w:val="24"/>
              </w:rPr>
            </w:pPr>
          </w:p>
        </w:tc>
      </w:tr>
      <w:tr w14:paraId="4058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01E6AA36">
            <w:pPr>
              <w:jc w:val="center"/>
              <w:rPr>
                <w:rFonts w:ascii="宋体" w:hAnsi="宋体" w:cs="宋体"/>
                <w:sz w:val="24"/>
                <w:szCs w:val="24"/>
              </w:rPr>
            </w:pPr>
          </w:p>
        </w:tc>
        <w:tc>
          <w:tcPr>
            <w:tcW w:w="756" w:type="dxa"/>
            <w:vMerge w:val="continue"/>
            <w:vAlign w:val="center"/>
          </w:tcPr>
          <w:p w14:paraId="773939B0">
            <w:pPr>
              <w:rPr>
                <w:rFonts w:ascii="宋体" w:hAnsi="宋体" w:cs="宋体"/>
                <w:sz w:val="24"/>
                <w:szCs w:val="24"/>
              </w:rPr>
            </w:pPr>
          </w:p>
        </w:tc>
        <w:tc>
          <w:tcPr>
            <w:tcW w:w="7009" w:type="dxa"/>
            <w:vAlign w:val="center"/>
          </w:tcPr>
          <w:p w14:paraId="545574FB">
            <w:pPr>
              <w:rPr>
                <w:rFonts w:ascii="宋体" w:hAnsi="宋体" w:cs="宋体"/>
                <w:sz w:val="24"/>
                <w:szCs w:val="24"/>
              </w:rPr>
            </w:pPr>
            <w:r>
              <w:rPr>
                <w:rFonts w:hint="eastAsia" w:ascii="宋体" w:hAnsi="宋体" w:cs="宋体"/>
                <w:sz w:val="24"/>
                <w:szCs w:val="24"/>
              </w:rPr>
              <w:t>5.项目团队人员</w:t>
            </w:r>
          </w:p>
          <w:p w14:paraId="3258A556">
            <w:pPr>
              <w:rPr>
                <w:rFonts w:ascii="宋体" w:hAnsi="宋体" w:cs="宋体"/>
                <w:sz w:val="24"/>
                <w:szCs w:val="24"/>
              </w:rPr>
            </w:pPr>
            <w:r>
              <w:rPr>
                <w:rFonts w:hint="eastAsia" w:ascii="宋体" w:hAnsi="宋体" w:cs="宋体"/>
                <w:sz w:val="24"/>
                <w:szCs w:val="24"/>
              </w:rPr>
              <w:t>投标人拟派本项目人员中除食堂专职负责人外，配备1名具有食品安全总监证书的人员得1分；配备1名营养师或健康管理师的人员得2分；配备1名三级（含）以上面点师或点心师的人员得1分，最多得5分；配备1名三级（含）以上中式烹饪师或烹调师的人员得1分，最多得6分。本项满分14分。</w:t>
            </w:r>
          </w:p>
          <w:p w14:paraId="12E387C3">
            <w:pPr>
              <w:rPr>
                <w:rFonts w:ascii="宋体" w:hAnsi="宋体" w:cs="宋体"/>
                <w:sz w:val="24"/>
                <w:szCs w:val="24"/>
              </w:rPr>
            </w:pPr>
            <w:r>
              <w:rPr>
                <w:rFonts w:hint="eastAsia" w:ascii="宋体" w:hAnsi="宋体" w:cs="宋体"/>
                <w:sz w:val="24"/>
                <w:szCs w:val="24"/>
              </w:rPr>
              <w:t>证明材料：</w:t>
            </w:r>
          </w:p>
          <w:p w14:paraId="1986A757">
            <w:pPr>
              <w:rPr>
                <w:rFonts w:ascii="宋体" w:hAnsi="宋体" w:cs="宋体"/>
                <w:sz w:val="24"/>
                <w:szCs w:val="24"/>
              </w:rPr>
            </w:pPr>
            <w:r>
              <w:rPr>
                <w:rFonts w:hint="eastAsia" w:ascii="宋体" w:hAnsi="宋体" w:cs="宋体"/>
                <w:sz w:val="24"/>
                <w:szCs w:val="24"/>
              </w:rPr>
              <w:t>（1）需提供证件复印件加盖公章（注：面点师、中式烹调师、营养师证书需附证书网站查询截图http://zscx.osta.org.cn/）。</w:t>
            </w:r>
          </w:p>
          <w:p w14:paraId="42DB58D3">
            <w:pPr>
              <w:rPr>
                <w:rFonts w:ascii="宋体" w:hAnsi="宋体" w:cs="宋体"/>
                <w:sz w:val="24"/>
                <w:szCs w:val="24"/>
              </w:rPr>
            </w:pPr>
            <w:r>
              <w:rPr>
                <w:rFonts w:hint="eastAsia" w:ascii="宋体" w:hAnsi="宋体" w:cs="宋体"/>
                <w:sz w:val="24"/>
                <w:szCs w:val="24"/>
              </w:rPr>
              <w:t>（2）提供投标人单位连续三年每年任意一个月</w:t>
            </w:r>
            <w:bookmarkStart w:id="26" w:name="OLE_LINK4"/>
            <w:r>
              <w:rPr>
                <w:rFonts w:hint="eastAsia" w:ascii="宋体" w:hAnsi="宋体" w:cs="宋体"/>
                <w:sz w:val="24"/>
                <w:szCs w:val="24"/>
              </w:rPr>
              <w:t>由社保部门出具的有拟派人员在内的职工参保名册和拟派人员实际缴费基数清单</w:t>
            </w:r>
            <w:bookmarkEnd w:id="26"/>
            <w:r>
              <w:rPr>
                <w:rFonts w:hint="eastAsia" w:ascii="宋体" w:hAnsi="宋体" w:cs="宋体"/>
                <w:sz w:val="24"/>
                <w:szCs w:val="24"/>
              </w:rPr>
              <w:t>（3）上述两项任意一项不提供不得分。</w:t>
            </w:r>
          </w:p>
        </w:tc>
        <w:tc>
          <w:tcPr>
            <w:tcW w:w="1228" w:type="dxa"/>
            <w:vMerge w:val="continue"/>
            <w:vAlign w:val="center"/>
          </w:tcPr>
          <w:p w14:paraId="2D03F27B">
            <w:pPr>
              <w:jc w:val="center"/>
              <w:rPr>
                <w:rFonts w:ascii="宋体" w:hAnsi="宋体" w:cs="宋体"/>
                <w:sz w:val="24"/>
                <w:szCs w:val="24"/>
              </w:rPr>
            </w:pPr>
          </w:p>
        </w:tc>
      </w:tr>
      <w:tr w14:paraId="6348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612" w:type="dxa"/>
            <w:vAlign w:val="center"/>
          </w:tcPr>
          <w:p w14:paraId="71290348">
            <w:pPr>
              <w:jc w:val="center"/>
              <w:rPr>
                <w:rFonts w:ascii="宋体" w:hAnsi="宋体" w:cs="宋体"/>
                <w:sz w:val="24"/>
                <w:szCs w:val="24"/>
              </w:rPr>
            </w:pPr>
            <w:r>
              <w:rPr>
                <w:rFonts w:hint="eastAsia" w:ascii="宋体" w:hAnsi="宋体" w:cs="宋体"/>
                <w:sz w:val="24"/>
                <w:szCs w:val="24"/>
              </w:rPr>
              <w:t>4</w:t>
            </w:r>
          </w:p>
        </w:tc>
        <w:tc>
          <w:tcPr>
            <w:tcW w:w="756" w:type="dxa"/>
            <w:vAlign w:val="center"/>
          </w:tcPr>
          <w:p w14:paraId="3DE199FA">
            <w:pPr>
              <w:rPr>
                <w:rFonts w:ascii="宋体" w:hAnsi="宋体" w:cs="宋体"/>
                <w:sz w:val="24"/>
                <w:szCs w:val="24"/>
              </w:rPr>
            </w:pPr>
            <w:r>
              <w:rPr>
                <w:rFonts w:hint="eastAsia" w:ascii="宋体" w:hAnsi="宋体" w:cs="宋体"/>
                <w:sz w:val="24"/>
                <w:szCs w:val="24"/>
              </w:rPr>
              <w:t>经营</w:t>
            </w:r>
            <w:r>
              <w:rPr>
                <w:rFonts w:ascii="宋体" w:hAnsi="宋体" w:cs="宋体"/>
                <w:sz w:val="24"/>
                <w:szCs w:val="24"/>
              </w:rPr>
              <w:t>管</w:t>
            </w:r>
            <w:r>
              <w:rPr>
                <w:rFonts w:hint="eastAsia" w:ascii="宋体" w:hAnsi="宋体" w:cs="宋体"/>
                <w:sz w:val="24"/>
                <w:szCs w:val="24"/>
              </w:rPr>
              <w:t>理</w:t>
            </w:r>
            <w:r>
              <w:rPr>
                <w:rFonts w:ascii="宋体" w:hAnsi="宋体" w:cs="宋体"/>
                <w:sz w:val="24"/>
                <w:szCs w:val="24"/>
              </w:rPr>
              <w:t>方案</w:t>
            </w:r>
          </w:p>
        </w:tc>
        <w:tc>
          <w:tcPr>
            <w:tcW w:w="7009" w:type="dxa"/>
            <w:vAlign w:val="center"/>
          </w:tcPr>
          <w:p w14:paraId="54B8AC7B">
            <w:pPr>
              <w:ind w:left="-50" w:leftChars="-24"/>
              <w:rPr>
                <w:rFonts w:ascii="宋体" w:hAnsi="宋体" w:cs="宋体"/>
                <w:sz w:val="24"/>
                <w:szCs w:val="24"/>
              </w:rPr>
            </w:pPr>
            <w:r>
              <w:rPr>
                <w:rFonts w:hint="eastAsia" w:ascii="宋体" w:hAnsi="宋体" w:cs="宋体"/>
                <w:b/>
                <w:bCs/>
                <w:sz w:val="24"/>
                <w:szCs w:val="24"/>
              </w:rPr>
              <w:t>1、根据投标人提供的食堂经营方案（应包含但不限于①食堂运作措施②菜品出餐时间和要求③菜品价格控制方案④节能降耗成本管理措施⑤设备维护保养等内容进行评审：</w:t>
            </w:r>
          </w:p>
          <w:p w14:paraId="4278868C">
            <w:pPr>
              <w:ind w:left="-50" w:leftChars="-24"/>
              <w:rPr>
                <w:rFonts w:ascii="宋体" w:hAnsi="宋体" w:cs="宋体"/>
                <w:sz w:val="24"/>
                <w:szCs w:val="24"/>
              </w:rPr>
            </w:pPr>
            <w:r>
              <w:rPr>
                <w:rFonts w:hint="eastAsia" w:ascii="宋体" w:hAnsi="宋体" w:cs="宋体"/>
                <w:sz w:val="24"/>
                <w:szCs w:val="24"/>
              </w:rPr>
              <w:t>（1）根据内容的完整性进行评分，每具备上述列明的一项要素得1分，最多得5分。（注：若只提供评分标准标题的不给予分数）</w:t>
            </w:r>
          </w:p>
          <w:p w14:paraId="61374C3D">
            <w:pPr>
              <w:ind w:left="-50" w:leftChars="-24"/>
              <w:rPr>
                <w:rFonts w:ascii="宋体" w:hAnsi="宋体" w:cs="宋体"/>
                <w:sz w:val="24"/>
                <w:szCs w:val="24"/>
              </w:rPr>
            </w:pPr>
            <w:r>
              <w:rPr>
                <w:rFonts w:hint="eastAsia" w:ascii="宋体" w:hAnsi="宋体" w:cs="宋体"/>
                <w:sz w:val="24"/>
                <w:szCs w:val="24"/>
              </w:rPr>
              <w:t>（2）根据投标人提供的内容进行综合赋分：</w:t>
            </w:r>
          </w:p>
          <w:p w14:paraId="6BD5B523">
            <w:pPr>
              <w:ind w:left="-50" w:leftChars="-24"/>
              <w:rPr>
                <w:rFonts w:ascii="宋体" w:hAnsi="宋体" w:cs="宋体"/>
                <w:sz w:val="24"/>
                <w:szCs w:val="24"/>
              </w:rPr>
            </w:pPr>
            <w:r>
              <w:rPr>
                <w:rFonts w:hint="eastAsia" w:ascii="宋体" w:hAnsi="宋体" w:cs="宋体"/>
                <w:sz w:val="24"/>
                <w:szCs w:val="24"/>
              </w:rPr>
              <w:t>A.内容中的各项要素详细完整全面、内容不存在前后矛盾、安排周密、保障性和针对性强，各类措施运用得当，完全满足或优于采购需求的得7分；</w:t>
            </w:r>
          </w:p>
          <w:p w14:paraId="6FCAA68C">
            <w:pPr>
              <w:ind w:left="-50" w:leftChars="-24"/>
              <w:rPr>
                <w:rFonts w:ascii="宋体" w:hAnsi="宋体" w:cs="宋体"/>
                <w:sz w:val="24"/>
                <w:szCs w:val="24"/>
              </w:rPr>
            </w:pPr>
            <w:r>
              <w:rPr>
                <w:rFonts w:hint="eastAsia" w:ascii="宋体" w:hAnsi="宋体" w:cs="宋体"/>
                <w:sz w:val="24"/>
                <w:szCs w:val="24"/>
              </w:rPr>
              <w:t>B.内容中的各项要素较为完整全面，内容不存在前后矛盾、保障性和针对性较强，各类措施运用较为得当，满足采购需求的得5分；</w:t>
            </w:r>
          </w:p>
          <w:p w14:paraId="2A291AE4">
            <w:pPr>
              <w:rPr>
                <w:rFonts w:ascii="宋体" w:hAnsi="宋体" w:cs="宋体"/>
                <w:sz w:val="24"/>
                <w:szCs w:val="24"/>
              </w:rPr>
            </w:pPr>
            <w:r>
              <w:rPr>
                <w:rFonts w:hint="eastAsia" w:ascii="宋体" w:hAnsi="宋体" w:cs="宋体"/>
                <w:sz w:val="24"/>
                <w:szCs w:val="24"/>
              </w:rPr>
              <w:t>C.内容中的各项要素安排基本合理、内容基本不存在前后矛</w:t>
            </w:r>
          </w:p>
          <w:p w14:paraId="05D8277F">
            <w:pPr>
              <w:rPr>
                <w:rFonts w:ascii="宋体" w:hAnsi="宋体" w:cs="宋体"/>
                <w:sz w:val="24"/>
                <w:szCs w:val="24"/>
              </w:rPr>
            </w:pPr>
            <w:r>
              <w:rPr>
                <w:rFonts w:hint="eastAsia" w:ascii="宋体" w:hAnsi="宋体" w:cs="宋体"/>
                <w:sz w:val="24"/>
                <w:szCs w:val="24"/>
              </w:rPr>
              <w:t>盾、具有一定保障性和针对性，各类措施运用基本得当，基本满足采购需求的得3分；</w:t>
            </w:r>
          </w:p>
          <w:p w14:paraId="00448696">
            <w:pPr>
              <w:ind w:left="-50" w:leftChars="-24"/>
              <w:rPr>
                <w:rFonts w:ascii="宋体" w:hAnsi="宋体" w:cs="宋体"/>
                <w:sz w:val="24"/>
                <w:szCs w:val="24"/>
              </w:rPr>
            </w:pPr>
            <w:r>
              <w:rPr>
                <w:rFonts w:hint="eastAsia" w:ascii="宋体" w:hAnsi="宋体" w:cs="宋体"/>
                <w:sz w:val="24"/>
                <w:szCs w:val="24"/>
              </w:rPr>
              <w:t>D.内容中的各项要素不完整，出现文字描述含糊不清、内容空洞、分析内容不全面等情况的得1分；</w:t>
            </w:r>
          </w:p>
          <w:p w14:paraId="6103A769">
            <w:pPr>
              <w:ind w:left="-50" w:leftChars="-24"/>
              <w:rPr>
                <w:rFonts w:ascii="宋体" w:hAnsi="宋体" w:cs="宋体"/>
                <w:sz w:val="24"/>
                <w:szCs w:val="24"/>
              </w:rPr>
            </w:pPr>
            <w:r>
              <w:rPr>
                <w:rFonts w:hint="eastAsia" w:ascii="宋体" w:hAnsi="宋体" w:cs="宋体"/>
                <w:sz w:val="24"/>
                <w:szCs w:val="24"/>
              </w:rPr>
              <w:t>E.不提供方案得0分。</w:t>
            </w:r>
          </w:p>
          <w:p w14:paraId="17D9EDA8">
            <w:pPr>
              <w:ind w:left="-50" w:leftChars="-24"/>
              <w:rPr>
                <w:rFonts w:asciiTheme="minorEastAsia" w:hAnsiTheme="minorEastAsia" w:eastAsiaTheme="minorEastAsia" w:cstheme="minorEastAsia"/>
                <w:sz w:val="24"/>
                <w:szCs w:val="24"/>
              </w:rPr>
            </w:pPr>
            <w:r>
              <w:rPr>
                <w:rFonts w:hint="eastAsia" w:ascii="宋体" w:hAnsi="宋体" w:cs="宋体"/>
                <w:b/>
                <w:bCs/>
                <w:sz w:val="24"/>
                <w:szCs w:val="24"/>
              </w:rPr>
              <w:t>2、</w:t>
            </w:r>
            <w:r>
              <w:rPr>
                <w:rFonts w:hint="eastAsia" w:asciiTheme="minorEastAsia" w:hAnsiTheme="minorEastAsia" w:eastAsiaTheme="minorEastAsia" w:cstheme="minorEastAsia"/>
                <w:b/>
                <w:bCs/>
                <w:sz w:val="24"/>
                <w:szCs w:val="24"/>
              </w:rPr>
              <w:t>根据投标人提供的保障安全生产的各类应急预案（应包含但不限于①设施设备故障处置预案②临时配餐应急预案③食物中毒应急预案④停水停电、停气应急预案⑤自然灾害（台风、暴雨、地震等）应急预案等内容）进行评审：</w:t>
            </w:r>
          </w:p>
          <w:p w14:paraId="474CE14A">
            <w:pPr>
              <w:ind w:left="-50" w:leftChars="-24"/>
              <w:rPr>
                <w:rFonts w:ascii="宋体" w:hAnsi="宋体" w:cs="宋体"/>
                <w:sz w:val="24"/>
                <w:szCs w:val="24"/>
              </w:rPr>
            </w:pPr>
            <w:r>
              <w:rPr>
                <w:rFonts w:hint="eastAsia" w:ascii="宋体" w:hAnsi="宋体" w:cs="宋体"/>
                <w:sz w:val="24"/>
                <w:szCs w:val="24"/>
              </w:rPr>
              <w:t>（1）根据内容的完整性进行评分，每具备上述列明的一项要素得1分，最多得5分。（注：若只提供评分标准标题的不给予分数）</w:t>
            </w:r>
          </w:p>
          <w:p w14:paraId="647EBFAD">
            <w:pPr>
              <w:ind w:left="-50" w:leftChars="-24"/>
              <w:rPr>
                <w:rFonts w:ascii="宋体" w:hAnsi="宋体" w:cs="宋体"/>
                <w:sz w:val="24"/>
                <w:szCs w:val="24"/>
              </w:rPr>
            </w:pPr>
            <w:r>
              <w:rPr>
                <w:rFonts w:hint="eastAsia" w:ascii="宋体" w:hAnsi="宋体" w:cs="宋体"/>
                <w:sz w:val="24"/>
                <w:szCs w:val="24"/>
              </w:rPr>
              <w:t>（2）根据投标人提供的内容进行综合赋分：</w:t>
            </w:r>
          </w:p>
          <w:p w14:paraId="1B3460D8">
            <w:pPr>
              <w:ind w:left="-50" w:leftChars="-24"/>
              <w:rPr>
                <w:rFonts w:ascii="宋体" w:hAnsi="宋体" w:cs="宋体"/>
                <w:sz w:val="24"/>
                <w:szCs w:val="24"/>
              </w:rPr>
            </w:pPr>
            <w:r>
              <w:rPr>
                <w:rFonts w:hint="eastAsia" w:ascii="宋体" w:hAnsi="宋体" w:cs="宋体"/>
                <w:sz w:val="24"/>
                <w:szCs w:val="24"/>
              </w:rPr>
              <w:t>A.内容中的各项要素详细完整全面、内容不存在前后矛盾、安排周密、保障性和针对性强，各类措施运用得当，完全满足或优于采购需求的得7分；</w:t>
            </w:r>
          </w:p>
          <w:p w14:paraId="3A399623">
            <w:pPr>
              <w:ind w:left="-50" w:leftChars="-24"/>
              <w:rPr>
                <w:rFonts w:ascii="宋体" w:hAnsi="宋体" w:cs="宋体"/>
                <w:sz w:val="24"/>
                <w:szCs w:val="24"/>
              </w:rPr>
            </w:pPr>
            <w:r>
              <w:rPr>
                <w:rFonts w:hint="eastAsia" w:ascii="宋体" w:hAnsi="宋体" w:cs="宋体"/>
                <w:sz w:val="24"/>
                <w:szCs w:val="24"/>
              </w:rPr>
              <w:t>B.内容中的各项要素较为完整全面，内容不存在前后矛盾、保障性和针对性较强，各类措施运用较为得当，满足采购需求的得5分；</w:t>
            </w:r>
          </w:p>
          <w:p w14:paraId="7BBC0C15">
            <w:pPr>
              <w:ind w:left="-50" w:leftChars="-24"/>
              <w:rPr>
                <w:rFonts w:ascii="宋体" w:hAnsi="宋体" w:cs="宋体"/>
                <w:sz w:val="24"/>
                <w:szCs w:val="24"/>
              </w:rPr>
            </w:pPr>
            <w:r>
              <w:rPr>
                <w:rFonts w:hint="eastAsia" w:ascii="宋体" w:hAnsi="宋体" w:cs="宋体"/>
                <w:sz w:val="24"/>
                <w:szCs w:val="24"/>
              </w:rPr>
              <w:t>C.内容中的各项要素安排基本合理、内容基本不存在前后矛</w:t>
            </w:r>
          </w:p>
          <w:p w14:paraId="4756BDFC">
            <w:pPr>
              <w:ind w:left="-50" w:leftChars="-24"/>
              <w:rPr>
                <w:rFonts w:ascii="宋体" w:hAnsi="宋体" w:cs="宋体"/>
                <w:sz w:val="24"/>
                <w:szCs w:val="24"/>
              </w:rPr>
            </w:pPr>
            <w:r>
              <w:rPr>
                <w:rFonts w:hint="eastAsia" w:ascii="宋体" w:hAnsi="宋体" w:cs="宋体"/>
                <w:sz w:val="24"/>
                <w:szCs w:val="24"/>
              </w:rPr>
              <w:t>盾、具有一定保障性和针对性，各类措施运用基本得当，基本满足采购需求的得3分；</w:t>
            </w:r>
          </w:p>
          <w:p w14:paraId="785F5644">
            <w:pPr>
              <w:ind w:left="-50" w:leftChars="-24"/>
              <w:rPr>
                <w:rFonts w:ascii="宋体" w:hAnsi="宋体" w:cs="宋体"/>
                <w:sz w:val="24"/>
                <w:szCs w:val="24"/>
              </w:rPr>
            </w:pPr>
            <w:r>
              <w:rPr>
                <w:rFonts w:hint="eastAsia" w:ascii="宋体" w:hAnsi="宋体" w:cs="宋体"/>
                <w:sz w:val="24"/>
                <w:szCs w:val="24"/>
              </w:rPr>
              <w:t>D.内容中的各项要素不完整，出现文字描述含糊不清、内容空洞、分析内容不全面等情况的得1分；</w:t>
            </w:r>
          </w:p>
          <w:p w14:paraId="0AE93D6F">
            <w:pPr>
              <w:ind w:left="-50" w:leftChars="-24"/>
              <w:rPr>
                <w:rFonts w:ascii="宋体" w:hAnsi="宋体" w:cs="宋体"/>
                <w:sz w:val="24"/>
                <w:szCs w:val="24"/>
              </w:rPr>
            </w:pPr>
            <w:r>
              <w:rPr>
                <w:rFonts w:hint="eastAsia" w:ascii="宋体" w:hAnsi="宋体" w:cs="宋体"/>
                <w:sz w:val="24"/>
                <w:szCs w:val="24"/>
              </w:rPr>
              <w:t>E.不提供方案得0分。</w:t>
            </w:r>
          </w:p>
        </w:tc>
        <w:tc>
          <w:tcPr>
            <w:tcW w:w="1228" w:type="dxa"/>
            <w:vAlign w:val="center"/>
          </w:tcPr>
          <w:p w14:paraId="7472E5D7">
            <w:pPr>
              <w:jc w:val="center"/>
              <w:rPr>
                <w:rFonts w:ascii="宋体" w:hAnsi="宋体" w:cs="宋体"/>
                <w:szCs w:val="24"/>
              </w:rPr>
            </w:pPr>
            <w:r>
              <w:rPr>
                <w:rFonts w:hint="eastAsia" w:ascii="宋体" w:hAnsi="宋体" w:cs="宋体"/>
                <w:sz w:val="24"/>
                <w:szCs w:val="24"/>
              </w:rPr>
              <w:t>24分</w:t>
            </w:r>
          </w:p>
        </w:tc>
      </w:tr>
      <w:tr w14:paraId="0591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12" w:type="dxa"/>
            <w:vAlign w:val="center"/>
          </w:tcPr>
          <w:p w14:paraId="227FEFD1">
            <w:pPr>
              <w:jc w:val="center"/>
              <w:rPr>
                <w:rFonts w:ascii="宋体" w:hAnsi="宋体" w:cs="宋体"/>
                <w:sz w:val="24"/>
                <w:szCs w:val="24"/>
              </w:rPr>
            </w:pPr>
            <w:r>
              <w:rPr>
                <w:rFonts w:hint="eastAsia" w:ascii="宋体" w:hAnsi="宋体" w:cs="宋体"/>
                <w:sz w:val="24"/>
                <w:szCs w:val="24"/>
              </w:rPr>
              <w:t>5</w:t>
            </w:r>
          </w:p>
        </w:tc>
        <w:tc>
          <w:tcPr>
            <w:tcW w:w="7765" w:type="dxa"/>
            <w:gridSpan w:val="2"/>
            <w:vAlign w:val="center"/>
          </w:tcPr>
          <w:p w14:paraId="74610CAF">
            <w:pPr>
              <w:rPr>
                <w:rFonts w:ascii="宋体" w:hAnsi="宋体" w:cs="宋体"/>
                <w:sz w:val="24"/>
                <w:szCs w:val="24"/>
              </w:rPr>
            </w:pPr>
            <w:r>
              <w:rPr>
                <w:rFonts w:hint="eastAsia" w:ascii="宋体" w:hAnsi="宋体" w:cs="宋体"/>
                <w:sz w:val="24"/>
                <w:szCs w:val="24"/>
              </w:rPr>
              <w:t>总得分（100分）</w:t>
            </w:r>
          </w:p>
        </w:tc>
        <w:tc>
          <w:tcPr>
            <w:tcW w:w="1228" w:type="dxa"/>
            <w:vAlign w:val="center"/>
          </w:tcPr>
          <w:p w14:paraId="48D9E7DD">
            <w:pPr>
              <w:ind w:left="-101" w:leftChars="-48" w:right="-97" w:rightChars="-46"/>
              <w:jc w:val="center"/>
              <w:rPr>
                <w:rFonts w:ascii="宋体" w:hAnsi="宋体" w:cs="宋体"/>
                <w:sz w:val="24"/>
                <w:szCs w:val="24"/>
              </w:rPr>
            </w:pPr>
            <w:r>
              <w:rPr>
                <w:rFonts w:hint="eastAsia" w:ascii="宋体" w:hAnsi="宋体" w:cs="宋体"/>
                <w:sz w:val="24"/>
                <w:szCs w:val="24"/>
              </w:rPr>
              <w:t>100分</w:t>
            </w:r>
          </w:p>
        </w:tc>
      </w:tr>
      <w:bookmarkEnd w:id="79"/>
    </w:tbl>
    <w:p w14:paraId="6031145B">
      <w:pPr>
        <w:spacing w:line="520" w:lineRule="exact"/>
        <w:rPr>
          <w:rFonts w:cs="仿宋_GB2312" w:asciiTheme="minorEastAsia" w:hAnsiTheme="minorEastAsia" w:eastAsiaTheme="minorEastAsia"/>
          <w:sz w:val="24"/>
          <w:szCs w:val="24"/>
        </w:rPr>
      </w:pPr>
    </w:p>
    <w:p w14:paraId="1A66A30F">
      <w:pPr>
        <w:spacing w:line="5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5.4标段定标</w:t>
      </w:r>
    </w:p>
    <w:p w14:paraId="4AD9E441">
      <w:pPr>
        <w:spacing w:line="520" w:lineRule="exact"/>
        <w:ind w:firstLine="480" w:firstLineChars="200"/>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5.4.1评标小组将严格按照招标文件的要求和条件进行评标,根据评标办法综合评分，从高分（优）到低分（劣）进行排序。如所有中标候选人均不能成为中标人，招标人将对该项目重新组织招标。</w:t>
      </w:r>
    </w:p>
    <w:p w14:paraId="3FE4B974">
      <w:pPr>
        <w:spacing w:line="52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5.4.2</w:t>
      </w:r>
      <w:r>
        <w:rPr>
          <w:rFonts w:hint="eastAsia" w:cs="仿宋_GB2312" w:asciiTheme="minorEastAsia" w:hAnsiTheme="minorEastAsia" w:eastAsiaTheme="minorEastAsia"/>
          <w:sz w:val="24"/>
          <w:szCs w:val="24"/>
        </w:rPr>
        <w:t>招标代理机构将在指定的网站上公告中标结果。</w:t>
      </w:r>
    </w:p>
    <w:p w14:paraId="18978BE2">
      <w:pPr>
        <w:spacing w:line="52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5.5</w:t>
      </w:r>
      <w:r>
        <w:rPr>
          <w:rFonts w:hint="eastAsia" w:cs="仿宋_GB2312" w:asciiTheme="minorEastAsia" w:hAnsiTheme="minorEastAsia" w:eastAsiaTheme="minorEastAsia"/>
          <w:sz w:val="24"/>
          <w:szCs w:val="24"/>
        </w:rPr>
        <w:t>中标通知</w:t>
      </w:r>
    </w:p>
    <w:p w14:paraId="432D5FD0">
      <w:pPr>
        <w:spacing w:line="52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5.5.1</w:t>
      </w:r>
      <w:r>
        <w:rPr>
          <w:rFonts w:hint="eastAsia" w:cs="仿宋_GB2312" w:asciiTheme="minorEastAsia" w:hAnsiTheme="minorEastAsia" w:eastAsiaTheme="minorEastAsia"/>
          <w:sz w:val="24"/>
          <w:szCs w:val="24"/>
        </w:rPr>
        <w:t>中标人收到中标通知后，到招标代理机构处办理有关手续。</w:t>
      </w:r>
    </w:p>
    <w:p w14:paraId="1EC6094B">
      <w:pPr>
        <w:spacing w:line="52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5.5.2</w:t>
      </w:r>
      <w:r>
        <w:rPr>
          <w:rFonts w:hint="eastAsia" w:cs="仿宋_GB2312" w:asciiTheme="minorEastAsia" w:hAnsiTheme="minorEastAsia" w:eastAsiaTheme="minorEastAsia"/>
          <w:sz w:val="24"/>
          <w:szCs w:val="24"/>
        </w:rPr>
        <w:t>中标通知书将是合同的一个组成部分。</w:t>
      </w:r>
    </w:p>
    <w:p w14:paraId="38D06E48">
      <w:pPr>
        <w:spacing w:line="52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5.6</w:t>
      </w:r>
      <w:r>
        <w:rPr>
          <w:rFonts w:hint="eastAsia" w:cs="仿宋_GB2312" w:asciiTheme="minorEastAsia" w:hAnsiTheme="minorEastAsia" w:eastAsiaTheme="minorEastAsia"/>
          <w:sz w:val="24"/>
          <w:szCs w:val="24"/>
        </w:rPr>
        <w:t>签订合同</w:t>
      </w:r>
    </w:p>
    <w:p w14:paraId="063B125C">
      <w:pPr>
        <w:spacing w:line="52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5.6.1</w:t>
      </w:r>
      <w:r>
        <w:rPr>
          <w:rFonts w:hint="eastAsia" w:cs="仿宋_GB2312" w:asciiTheme="minorEastAsia" w:hAnsiTheme="minorEastAsia" w:eastAsiaTheme="minorEastAsia"/>
          <w:sz w:val="24"/>
          <w:szCs w:val="24"/>
        </w:rPr>
        <w:t>中标人应按中标通知书规定的时间、地点与招标人签订合同。</w:t>
      </w:r>
    </w:p>
    <w:p w14:paraId="1B9D7030">
      <w:pPr>
        <w:spacing w:line="55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5.6.2招标</w:t>
      </w:r>
      <w:r>
        <w:rPr>
          <w:rFonts w:hint="eastAsia" w:cs="仿宋_GB2312" w:asciiTheme="minorEastAsia" w:hAnsiTheme="minorEastAsia" w:eastAsiaTheme="minorEastAsia"/>
          <w:sz w:val="24"/>
          <w:szCs w:val="24"/>
        </w:rPr>
        <w:t>文件、中标人的投标文件及评标过程中有关澄清文件均应作为合同附件，与合同一样具有同等法律效力。</w:t>
      </w:r>
    </w:p>
    <w:p w14:paraId="5AA78698"/>
    <w:p w14:paraId="0A965929">
      <w:pPr>
        <w:pStyle w:val="16"/>
        <w:rPr>
          <w:rFonts w:asciiTheme="minorEastAsia" w:hAnsiTheme="minorEastAsia" w:eastAsiaTheme="minorEastAsia"/>
        </w:rPr>
      </w:pPr>
    </w:p>
    <w:p w14:paraId="0447C384">
      <w:pPr>
        <w:jc w:val="center"/>
        <w:rPr>
          <w:rFonts w:cs="华文中宋" w:asciiTheme="minorEastAsia" w:hAnsiTheme="minorEastAsia" w:eastAsiaTheme="minorEastAsia"/>
          <w:b/>
          <w:bCs/>
          <w:sz w:val="44"/>
          <w:szCs w:val="44"/>
        </w:rPr>
      </w:pPr>
      <w:r>
        <w:rPr>
          <w:rFonts w:hint="eastAsia" w:cs="华文中宋" w:asciiTheme="minorEastAsia" w:hAnsiTheme="minorEastAsia" w:eastAsiaTheme="minorEastAsia"/>
          <w:b/>
          <w:bCs/>
          <w:sz w:val="44"/>
          <w:szCs w:val="44"/>
        </w:rPr>
        <w:br w:type="page"/>
      </w:r>
      <w:r>
        <w:rPr>
          <w:rFonts w:hint="eastAsia" w:cs="华文中宋" w:asciiTheme="minorEastAsia" w:hAnsiTheme="minorEastAsia" w:eastAsiaTheme="minorEastAsia"/>
          <w:b/>
          <w:bCs/>
          <w:sz w:val="44"/>
          <w:szCs w:val="44"/>
        </w:rPr>
        <w:t>第三章用户需求书</w:t>
      </w:r>
    </w:p>
    <w:p w14:paraId="7B9F0F7A">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为了提高学生食堂服务质量，保障广大师生员工的饮食需求，根据海南省地方标准《学校食堂委托经营管理规范》（DB 46/T 619—2023）、《文昌市行政事业单位国有资产管理暂 行办法》(文府办〔2020〕57号)和《关于进一步加强学校食堂食品安全工作的通知》(琼食药监餐饮(2015)46号)等有关规定，决定将文昌市锦山中学食堂面向社会通过公开方式引入具备相应资质的第三方学校食堂管理企业进行委托经营管理（以下简称“第三方”）。具体实施方案如下：</w:t>
      </w:r>
    </w:p>
    <w:p w14:paraId="3F4795A3">
      <w:pPr>
        <w:widowControl/>
        <w:kinsoku w:val="0"/>
        <w:autoSpaceDE w:val="0"/>
        <w:autoSpaceDN w:val="0"/>
        <w:adjustRightInd w:val="0"/>
        <w:snapToGrid w:val="0"/>
        <w:spacing w:line="520" w:lineRule="exact"/>
        <w:ind w:firstLine="482" w:firstLineChars="200"/>
        <w:textAlignment w:val="baseline"/>
        <w:rPr>
          <w:rFonts w:ascii="宋体" w:hAnsi="宋体" w:cs="宋体"/>
          <w:b/>
          <w:bCs/>
          <w:sz w:val="24"/>
          <w:szCs w:val="24"/>
        </w:rPr>
      </w:pPr>
      <w:r>
        <w:rPr>
          <w:rFonts w:hint="eastAsia" w:ascii="宋体" w:hAnsi="宋体" w:cs="宋体"/>
          <w:b/>
          <w:bCs/>
          <w:sz w:val="24"/>
          <w:szCs w:val="24"/>
        </w:rPr>
        <w:t>一、委托经营资产情况</w:t>
      </w:r>
    </w:p>
    <w:p w14:paraId="76DC7760">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文昌市锦山中学现有学生1153人，教职工人数91人。食堂位于锦山镇中山路1号锦山中学校内，食堂面积720平米，一层独立建筑，目前用餐人数约350人。学校向托管方提供日常经营所必须的基本设施设备，一般能满足正常的运作需求。</w:t>
      </w:r>
    </w:p>
    <w:p w14:paraId="586B2F2B">
      <w:pPr>
        <w:widowControl/>
        <w:kinsoku w:val="0"/>
        <w:autoSpaceDE w:val="0"/>
        <w:autoSpaceDN w:val="0"/>
        <w:adjustRightInd w:val="0"/>
        <w:snapToGrid w:val="0"/>
        <w:spacing w:line="520" w:lineRule="exact"/>
        <w:ind w:firstLine="482" w:firstLineChars="200"/>
        <w:textAlignment w:val="baseline"/>
        <w:rPr>
          <w:rFonts w:ascii="宋体" w:hAnsi="宋体" w:cs="宋体"/>
          <w:b/>
          <w:bCs/>
          <w:sz w:val="24"/>
          <w:szCs w:val="24"/>
        </w:rPr>
      </w:pPr>
      <w:r>
        <w:rPr>
          <w:rFonts w:hint="eastAsia" w:ascii="宋体" w:hAnsi="宋体" w:cs="宋体"/>
          <w:b/>
          <w:bCs/>
          <w:sz w:val="24"/>
          <w:szCs w:val="24"/>
        </w:rPr>
        <w:t>二、业务需求</w:t>
      </w:r>
    </w:p>
    <w:p w14:paraId="53E7A1C0">
      <w:pPr>
        <w:widowControl/>
        <w:kinsoku w:val="0"/>
        <w:autoSpaceDE w:val="0"/>
        <w:autoSpaceDN w:val="0"/>
        <w:adjustRightInd w:val="0"/>
        <w:snapToGrid w:val="0"/>
        <w:spacing w:line="520" w:lineRule="exact"/>
        <w:ind w:firstLine="480" w:firstLineChars="200"/>
        <w:textAlignment w:val="baseline"/>
        <w:rPr>
          <w:rFonts w:ascii="宋体" w:hAnsi="宋体" w:cs="宋体"/>
          <w:b/>
          <w:bCs/>
          <w:sz w:val="24"/>
          <w:szCs w:val="24"/>
        </w:rPr>
      </w:pPr>
      <w:r>
        <w:rPr>
          <w:rFonts w:hint="eastAsia" w:ascii="宋体" w:hAnsi="宋体" w:cs="宋体"/>
          <w:sz w:val="24"/>
          <w:szCs w:val="24"/>
        </w:rPr>
        <w:t>由于目前上级部门没有给学校里后勤人员定编，学校没有专职食堂从业人员，不具备自主经营食堂的能力。为了切实改善师生的就餐条件，提高用餐质量，保证师生饮食安全、身体健康，经过学校领导班子会议讨论决定将文昌市锦山中学食堂委托给有资质的第三方企业进行经营管理。</w:t>
      </w:r>
      <w:r>
        <w:rPr>
          <w:rFonts w:hint="eastAsia" w:ascii="宋体" w:hAnsi="宋体" w:cs="宋体"/>
          <w:b/>
          <w:bCs/>
          <w:sz w:val="24"/>
          <w:szCs w:val="24"/>
        </w:rPr>
        <w:t>由于我校特殊情况，中标方在合同期内需承担我校10名贫困生、3名教官以及陪餐人员的每日用餐费。同时，针对教职工的用餐费给予5折优惠。</w:t>
      </w:r>
    </w:p>
    <w:p w14:paraId="29DFA55A">
      <w:pPr>
        <w:widowControl/>
        <w:kinsoku w:val="0"/>
        <w:autoSpaceDE w:val="0"/>
        <w:autoSpaceDN w:val="0"/>
        <w:adjustRightInd w:val="0"/>
        <w:snapToGrid w:val="0"/>
        <w:spacing w:line="520" w:lineRule="exact"/>
        <w:ind w:firstLine="482" w:firstLineChars="200"/>
        <w:textAlignment w:val="baseline"/>
        <w:rPr>
          <w:rFonts w:ascii="宋体" w:hAnsi="宋体" w:cs="宋体"/>
          <w:b/>
          <w:bCs/>
          <w:sz w:val="24"/>
          <w:szCs w:val="24"/>
        </w:rPr>
      </w:pPr>
      <w:r>
        <w:rPr>
          <w:rFonts w:hint="eastAsia" w:ascii="宋体" w:hAnsi="宋体" w:cs="宋体"/>
          <w:b/>
          <w:bCs/>
          <w:sz w:val="24"/>
          <w:szCs w:val="24"/>
        </w:rPr>
        <w:t>三、食堂用途</w:t>
      </w:r>
    </w:p>
    <w:p w14:paraId="6923DD8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第三方应在学校委托的食堂内为在校师生提供安全可靠的餐饮服务项目，除双方另有约定外，第三方不得任意改变食堂用途、不得分(转、租)包。一经发现，校方有权解除双方合同并要求第三方承担违约责任。</w:t>
      </w:r>
    </w:p>
    <w:p w14:paraId="6B47DE84">
      <w:pPr>
        <w:widowControl/>
        <w:kinsoku w:val="0"/>
        <w:autoSpaceDE w:val="0"/>
        <w:autoSpaceDN w:val="0"/>
        <w:adjustRightInd w:val="0"/>
        <w:snapToGrid w:val="0"/>
        <w:spacing w:line="520" w:lineRule="exact"/>
        <w:ind w:firstLine="482" w:firstLineChars="200"/>
        <w:textAlignment w:val="baseline"/>
        <w:rPr>
          <w:rFonts w:ascii="宋体" w:hAnsi="宋体" w:cs="宋体"/>
          <w:sz w:val="24"/>
          <w:szCs w:val="24"/>
        </w:rPr>
      </w:pPr>
      <w:r>
        <w:rPr>
          <w:rFonts w:hint="eastAsia" w:ascii="宋体" w:hAnsi="宋体" w:cs="宋体"/>
          <w:b/>
          <w:bCs/>
          <w:sz w:val="24"/>
          <w:szCs w:val="24"/>
        </w:rPr>
        <w:t>四、引入方式、经营期限和工作计划</w:t>
      </w:r>
    </w:p>
    <w:p w14:paraId="601EEBCD">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（一）委托经营方式</w:t>
      </w:r>
    </w:p>
    <w:p w14:paraId="7A95F4E9">
      <w:pPr>
        <w:widowControl/>
        <w:kinsoku w:val="0"/>
        <w:autoSpaceDE w:val="0"/>
        <w:autoSpaceDN w:val="0"/>
        <w:adjustRightInd w:val="0"/>
        <w:snapToGrid w:val="0"/>
        <w:spacing w:line="520" w:lineRule="exact"/>
        <w:ind w:firstLine="720" w:firstLineChars="300"/>
        <w:textAlignment w:val="baseline"/>
        <w:rPr>
          <w:rFonts w:ascii="宋体" w:hAnsi="宋体" w:cs="宋体"/>
          <w:sz w:val="24"/>
          <w:szCs w:val="24"/>
        </w:rPr>
      </w:pPr>
      <w:r>
        <w:rPr>
          <w:rFonts w:hint="eastAsia" w:ascii="宋体" w:hAnsi="宋体" w:cs="宋体"/>
          <w:sz w:val="24"/>
          <w:szCs w:val="24"/>
        </w:rPr>
        <w:t>通过委托招标公司代理的方式进行公开招标。</w:t>
      </w:r>
    </w:p>
    <w:p w14:paraId="6C8FA2EA">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（二）委托经营期限</w:t>
      </w:r>
    </w:p>
    <w:p w14:paraId="0FA28AF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1.委托经营期限</w:t>
      </w:r>
      <w:r>
        <w:rPr>
          <w:rFonts w:hint="eastAsia" w:ascii="宋体" w:hAnsi="宋体" w:cs="宋体"/>
          <w:spacing w:val="-20"/>
          <w:sz w:val="24"/>
          <w:szCs w:val="24"/>
        </w:rPr>
        <w:t>为三年</w:t>
      </w:r>
      <w:r>
        <w:rPr>
          <w:rFonts w:hint="eastAsia" w:ascii="宋体" w:hAnsi="宋体" w:cs="宋体"/>
          <w:sz w:val="24"/>
          <w:szCs w:val="24"/>
        </w:rPr>
        <w:t>。</w:t>
      </w:r>
    </w:p>
    <w:p w14:paraId="36DE4974">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委托经营期限一般为三年，如中标企业具备省级及以上食品安全标准化学校食堂管理经验，并签订合同承诺委托经营期限内积极申报创建省级食品安全标准化学校食堂，期限可延长一年至二年，最多不超过五年。</w:t>
      </w:r>
    </w:p>
    <w:p w14:paraId="38DDBF28">
      <w:pPr>
        <w:widowControl/>
        <w:kinsoku w:val="0"/>
        <w:autoSpaceDE w:val="0"/>
        <w:autoSpaceDN w:val="0"/>
        <w:adjustRightInd w:val="0"/>
        <w:snapToGrid w:val="0"/>
        <w:spacing w:line="520" w:lineRule="exact"/>
        <w:ind w:firstLine="482" w:firstLineChars="200"/>
        <w:textAlignment w:val="baseline"/>
        <w:rPr>
          <w:rFonts w:ascii="宋体" w:hAnsi="宋体" w:cs="宋体"/>
          <w:sz w:val="24"/>
          <w:szCs w:val="24"/>
        </w:rPr>
      </w:pPr>
      <w:r>
        <w:rPr>
          <w:rFonts w:hint="eastAsia" w:ascii="宋体" w:hAnsi="宋体" w:cs="宋体"/>
          <w:b/>
          <w:bCs/>
          <w:sz w:val="24"/>
          <w:szCs w:val="24"/>
        </w:rPr>
        <w:t>五、委托经营管理企业要求</w:t>
      </w:r>
    </w:p>
    <w:p w14:paraId="25284286">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（一）基本条件：</w:t>
      </w:r>
    </w:p>
    <w:p w14:paraId="3C9CF100">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具有独立承担民事责任的能力。依法取得营业执照。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w:t>
      </w:r>
    </w:p>
    <w:p w14:paraId="56EDC178">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2.具有良好的商业信誉和健全的财务会计制度(提供承诺函）：</w:t>
      </w:r>
    </w:p>
    <w:p w14:paraId="35B69906">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3.具有履行合同所必需的设备和专业技术能力（提供承诺书）；</w:t>
      </w:r>
    </w:p>
    <w:p w14:paraId="481AC28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4.具有依法缴纳税收和社会保障资金的良好记录（提供承诺函）；</w:t>
      </w:r>
    </w:p>
    <w:p w14:paraId="7CA5CDF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5.参加本次政府采购活动前三年内，在经营活动中没有重大违法记录（成立不足三年的从成立之日起计算，提供声明）；</w:t>
      </w:r>
    </w:p>
    <w:p w14:paraId="3CD5715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6.参加本次政府采购活动前三年内，在经营活动中没有环保类行政处罚记录（成立不足三年的从成立之日起计算，提供声明）；</w:t>
      </w:r>
    </w:p>
    <w:p w14:paraId="583BA6E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7.依法取得食品经营许可证，并始终保持合法有效。投标人具有在有效期内的食品经营许可证或餐饮服务许可证，或投标人正在经营的学校食堂或企事业单位食堂已取得食品经营许可证或餐饮服务许可证的，视为符合条件(投标人取得证照的提供证照复印件并加盖投标人公章，投标人取得所经营学校等食堂证照的，提供证照复印件及对应合同复印件并加盖投标人公章)。</w:t>
      </w:r>
    </w:p>
    <w:p w14:paraId="341D003A">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8.社会信誉良好，近三年内未发生食品安全事故、未受到相关食品安全行政处罚、未发生消防安全事故。提供近三年内未被立案查处、未发生食物中毒事件、未发生消防安全事故等方面的不良记录承诺书。</w:t>
      </w:r>
    </w:p>
    <w:p w14:paraId="279B2A9E">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9.应具备应对台风等自然灾害的应急处置能力，确保受灾期间正常供餐（提供承诺函）</w:t>
      </w:r>
    </w:p>
    <w:p w14:paraId="330763D5">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10.在“信用中国”网站（www.creditchina.gov.cn）、中国政府采购网（www.ccgp.gov.cn）没有列入失信被执行人、重大税收违法失信主体、政府采购严重违法失信行为记录名单的投标人。（注：采购人或采购代理机构将于本项目投标截止日前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71EDF290">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（二）其他优先条件：</w:t>
      </w:r>
    </w:p>
    <w:p w14:paraId="358D60E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1.具备国家级或省级食品安全示范学校食堂、海南省食品安全标准化学校食堂等相关经营管理经验。 </w:t>
      </w:r>
    </w:p>
    <w:p w14:paraId="43B2F35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2.通过食品安全管理体系认证或 HACCP体系认证。</w:t>
      </w:r>
    </w:p>
    <w:p w14:paraId="61E0119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3.购</w:t>
      </w:r>
      <w:r>
        <w:rPr>
          <w:rFonts w:hint="eastAsia" w:ascii="宋体" w:hAnsi="宋体" w:cs="宋体"/>
          <w:spacing w:val="-20"/>
          <w:sz w:val="24"/>
          <w:szCs w:val="24"/>
        </w:rPr>
        <w:t>买食品安全责任险或含有食品安全责任赔偿的相关险种</w:t>
      </w:r>
      <w:r>
        <w:rPr>
          <w:rFonts w:hint="eastAsia" w:ascii="宋体" w:hAnsi="宋体" w:cs="宋体"/>
          <w:sz w:val="24"/>
          <w:szCs w:val="24"/>
        </w:rPr>
        <w:t>。</w:t>
      </w:r>
    </w:p>
    <w:p w14:paraId="743F41B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（三）人员要求： </w:t>
      </w:r>
    </w:p>
    <w:p w14:paraId="647127E8">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1.应至少配备1名食品安全员。当用餐人数≥500 人时，还应至少配备1名食品安全总监。 </w:t>
      </w:r>
    </w:p>
    <w:p w14:paraId="73A07A95">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2.食品安全</w:t>
      </w:r>
      <w:r>
        <w:rPr>
          <w:rFonts w:hint="eastAsia" w:ascii="宋体" w:hAnsi="宋体" w:cs="宋体"/>
          <w:spacing w:val="-20"/>
          <w:sz w:val="24"/>
          <w:szCs w:val="24"/>
        </w:rPr>
        <w:t>总监、食品安全员应</w:t>
      </w:r>
      <w:r>
        <w:rPr>
          <w:rFonts w:hint="eastAsia" w:ascii="宋体" w:hAnsi="宋体" w:cs="宋体"/>
          <w:sz w:val="24"/>
          <w:szCs w:val="24"/>
        </w:rPr>
        <w:t xml:space="preserve">具备下列食品安全管理能力： </w:t>
      </w:r>
    </w:p>
    <w:p w14:paraId="68B47B9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a) 掌握相应的食品安全法律法规、食品安全标准； </w:t>
      </w:r>
    </w:p>
    <w:p w14:paraId="54AD6D2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b) 具备识别和防控相应食品安全风险的专业知识； </w:t>
      </w:r>
    </w:p>
    <w:p w14:paraId="567C9D8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c) 熟悉本企业食品安全相关设施设备、工艺流程、操作、规程等生产经营过程控制要求； </w:t>
      </w:r>
    </w:p>
    <w:p w14:paraId="2BF016DE">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d) 参加食品安全管理培训并通过考核； </w:t>
      </w:r>
    </w:p>
    <w:p w14:paraId="0A1BCC4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e) 其他应当具备的食品安全管理能力。 </w:t>
      </w:r>
    </w:p>
    <w:p w14:paraId="22A6F675">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3.因食品安全违法被吊销食品经营许可证的企业主要负责人、直接负责的主管人员、其他直接责任人员，自处罚决定作出之日起五年内不得担任食品安全总监、食品安全员。 </w:t>
      </w:r>
    </w:p>
    <w:p w14:paraId="7D4B61E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（四）管理体系 </w:t>
      </w:r>
    </w:p>
    <w:p w14:paraId="6A2E447B">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1.应设立与食堂经营规模相适应的组织机构，设置相应的工作岗位，并明确各岗位工作职责。 </w:t>
      </w:r>
    </w:p>
    <w:p w14:paraId="4BC0DE6A">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2.食品原料采购、验收与贮存、加工过程的安全控制、人员健康与卫生、培训及食品安全管理等应符合GB 31654的相关要求。 </w:t>
      </w:r>
    </w:p>
    <w:p w14:paraId="41A59ED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3.制定应急预案并符合GB 31654的相关要求。</w:t>
      </w:r>
    </w:p>
    <w:p w14:paraId="016C3910">
      <w:pPr>
        <w:widowControl/>
        <w:kinsoku w:val="0"/>
        <w:autoSpaceDE w:val="0"/>
        <w:autoSpaceDN w:val="0"/>
        <w:adjustRightInd w:val="0"/>
        <w:snapToGrid w:val="0"/>
        <w:spacing w:line="520" w:lineRule="exact"/>
        <w:ind w:firstLine="482" w:firstLineChars="200"/>
        <w:textAlignment w:val="baseline"/>
        <w:rPr>
          <w:rFonts w:ascii="宋体" w:hAnsi="宋体" w:cs="宋体"/>
          <w:b/>
          <w:bCs/>
          <w:sz w:val="24"/>
          <w:szCs w:val="24"/>
        </w:rPr>
      </w:pPr>
      <w:r>
        <w:rPr>
          <w:rFonts w:hint="eastAsia" w:ascii="宋体" w:hAnsi="宋体" w:cs="宋体"/>
          <w:b/>
          <w:bCs/>
          <w:sz w:val="24"/>
          <w:szCs w:val="24"/>
        </w:rPr>
        <w:t>六、场地租金、水电气费用、设施设备及餐费结算方式等</w:t>
      </w:r>
    </w:p>
    <w:p w14:paraId="5C85F411">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(一)学校食堂经营活动应坚持公益性原则，不以营利为目的，主要包括：</w:t>
      </w:r>
    </w:p>
    <w:p w14:paraId="1929894B">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1.食堂食品价格应由双方结合实际及市场情况商定，未经学校审核，第三方不得随便调整。</w:t>
      </w:r>
    </w:p>
    <w:p w14:paraId="62E5EBA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2.学校食堂实行“零租赁”管理，学校不变相收取承包费、管理费、装修费等费用。</w:t>
      </w:r>
    </w:p>
    <w:p w14:paraId="2E00030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3.第三方自主经营、自负盈亏，并负责厨房设施设备的养护和维修等。</w:t>
      </w:r>
    </w:p>
    <w:p w14:paraId="07873BE1">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4.学校对食堂采购、成本、收入、利润、伙食质量、食品价格、食品卫生安全等进行全面监管，确保餐食卫生安全、饭菜质量好和价格优惠。</w:t>
      </w:r>
    </w:p>
    <w:p w14:paraId="79B0744D">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5.第三方全额按表计量按半年按规定交缴水电费。</w:t>
      </w:r>
    </w:p>
    <w:p w14:paraId="06E8D16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6.学校提供第三方学生食堂房屋建筑、设施设备及相关配套设施，校方不向第三方收取设备使用折旧。</w:t>
      </w:r>
    </w:p>
    <w:p w14:paraId="5B23F7A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7.餐费结算方式双方以实际情况商定。</w:t>
      </w:r>
    </w:p>
    <w:p w14:paraId="25C4D3D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8.食堂运营方要负责按月及时给员工发放工资及缴纳社保，</w:t>
      </w:r>
    </w:p>
    <w:p w14:paraId="63BCCA4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(二)风险保证金</w:t>
      </w:r>
    </w:p>
    <w:p w14:paraId="2E6B5ABF">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受托方应在合同签订之日起10个工作日内，向学校交纳经营风险保证金人民币20万元，作为受托方违规违约、发生食物中毒、食源性疾病或造成其他损失的赔偿费用。如受托方未能于合同签订后10个工作日内支付风险保证金，否则每逾期一天，受托方应向学校支付应付款项的2‰作为滞纳金。若受托方在合同签订后20个工作日内，未能向学校交纳20万元经营风险保证金及滞纳金的，学校有权取消其委托经营管理资格。</w:t>
      </w:r>
    </w:p>
    <w:p w14:paraId="64B4AEB7">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合同解除、提前终止或经营期届满，受托方应在10个工作日内退出学校食堂场地。若受托方未在合同约定时间内清退相关物品，退出场地，学校有权将其物品进行处理。双方结清有关款项后，学校应在10个工作日内将风险保证金（无利息）退还受托方，否则每逾期一天，学校应向受托方支付应付款项的2‰作为滞纳金（合同另有约定的除外）。</w:t>
      </w:r>
    </w:p>
    <w:p w14:paraId="61494E5E">
      <w:pPr>
        <w:widowControl/>
        <w:kinsoku w:val="0"/>
        <w:autoSpaceDE w:val="0"/>
        <w:autoSpaceDN w:val="0"/>
        <w:adjustRightInd w:val="0"/>
        <w:snapToGrid w:val="0"/>
        <w:spacing w:line="520" w:lineRule="exact"/>
        <w:ind w:firstLine="482" w:firstLineChars="200"/>
        <w:textAlignment w:val="baseline"/>
        <w:rPr>
          <w:rFonts w:ascii="宋体" w:hAnsi="宋体" w:cs="宋体"/>
          <w:sz w:val="24"/>
          <w:szCs w:val="24"/>
        </w:rPr>
      </w:pPr>
      <w:r>
        <w:rPr>
          <w:rFonts w:hint="eastAsia" w:ascii="宋体" w:hAnsi="宋体" w:cs="宋体"/>
          <w:b/>
          <w:bCs/>
          <w:sz w:val="24"/>
          <w:szCs w:val="24"/>
        </w:rPr>
        <w:t>七、学校食堂经营管理措施</w:t>
      </w:r>
    </w:p>
    <w:p w14:paraId="632F149F">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(一)双方的权利和义务</w:t>
      </w:r>
    </w:p>
    <w:p w14:paraId="71712FB1">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1.本着“提供优质服务，严抓食品安全”的宗旨，校方努力为第三方的餐饮服务行为创造必要条件，积极支持和协助第三方开展经营管理活动。</w:t>
      </w:r>
    </w:p>
    <w:p w14:paraId="03B6D61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2.建立学校食品安全工作领导小组、食品安全突发事件应急处置领导小组等机构，明确其职责，</w:t>
      </w:r>
      <w:r>
        <w:rPr>
          <w:rFonts w:hint="eastAsia" w:ascii="宋体" w:hAnsi="宋体" w:cs="宋体"/>
          <w:spacing w:val="20"/>
          <w:sz w:val="24"/>
          <w:szCs w:val="24"/>
        </w:rPr>
        <w:t>建立健全</w:t>
      </w:r>
      <w:r>
        <w:rPr>
          <w:rFonts w:hint="eastAsia" w:ascii="宋体" w:hAnsi="宋体" w:cs="宋体"/>
          <w:sz w:val="24"/>
          <w:szCs w:val="24"/>
        </w:rPr>
        <w:t>学校食品安全管理相关制度，并配备专职食品安全管理人员，定期对第三方的物资采购、伙食质量、销售价格、食品卫生、安全生产等开展</w:t>
      </w:r>
      <w:r>
        <w:rPr>
          <w:rFonts w:hint="eastAsia" w:ascii="宋体" w:hAnsi="宋体" w:cs="宋体"/>
          <w:spacing w:val="-20"/>
          <w:sz w:val="24"/>
          <w:szCs w:val="24"/>
        </w:rPr>
        <w:t>监督检查，及时提出合理</w:t>
      </w:r>
      <w:r>
        <w:rPr>
          <w:rFonts w:hint="eastAsia" w:ascii="宋体" w:hAnsi="宋体" w:cs="宋体"/>
          <w:sz w:val="24"/>
          <w:szCs w:val="24"/>
        </w:rPr>
        <w:t>整改意见，并督促第三方限期整改。</w:t>
      </w:r>
    </w:p>
    <w:p w14:paraId="3D212098">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3.及时提供办理或变更《食品经营许可证》的相关材料，</w:t>
      </w:r>
      <w:r>
        <w:rPr>
          <w:rFonts w:hint="eastAsia" w:ascii="宋体" w:hAnsi="宋体" w:cs="宋体"/>
          <w:spacing w:val="-20"/>
          <w:sz w:val="24"/>
          <w:szCs w:val="24"/>
        </w:rPr>
        <w:t>第三方须在合同签订30</w:t>
      </w:r>
      <w:r>
        <w:rPr>
          <w:rFonts w:hint="eastAsia" w:ascii="宋体" w:hAnsi="宋体" w:cs="宋体"/>
          <w:sz w:val="24"/>
          <w:szCs w:val="24"/>
        </w:rPr>
        <w:t>个工作日内，办理或变更经营</w:t>
      </w:r>
      <w:r>
        <w:rPr>
          <w:rFonts w:hint="eastAsia" w:ascii="宋体" w:hAnsi="宋体" w:cs="宋体"/>
          <w:spacing w:val="-20"/>
          <w:sz w:val="24"/>
          <w:szCs w:val="24"/>
        </w:rPr>
        <w:t>许可手续</w:t>
      </w:r>
      <w:r>
        <w:rPr>
          <w:rFonts w:hint="eastAsia" w:ascii="宋体" w:hAnsi="宋体" w:cs="宋体"/>
          <w:sz w:val="24"/>
          <w:szCs w:val="24"/>
        </w:rPr>
        <w:t>。</w:t>
      </w:r>
    </w:p>
    <w:p w14:paraId="538D606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4.校方建立领导陪餐制度，陪餐人员负责对当天食堂饭菜的外观、口味、质量等进行认真评价，负责对食堂环境、从业人员工作情况等进行监督，负责征求就餐人员的意见建议，并做好陪餐记录。</w:t>
      </w:r>
    </w:p>
    <w:p w14:paraId="7E0DA7D6">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5.与第三方签订《食品安全责任书》,明确食品安全责任。</w:t>
      </w:r>
    </w:p>
    <w:p w14:paraId="6BE996E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6.每学期组织食堂从业人员开展1次以上食品安全知识培训和主题教育活动。</w:t>
      </w:r>
    </w:p>
    <w:p w14:paraId="5352972E">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7.委托经营期间，校方应对食堂房屋的主体结构、供电、供水、燃气主线及管道，消防及排水系统等基础设施每学期检查2次，确保房屋主体结构的安全及水电燃气主线管道、排水系统的正常运行。</w:t>
      </w:r>
    </w:p>
    <w:p w14:paraId="1168E977">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8.应遵照《食品经营许可管理办法》《餐饮服务食品安全操作规范》等基本要求设置食堂，并经当地食品安全监督管理部</w:t>
      </w:r>
      <w:r>
        <w:rPr>
          <w:rFonts w:hint="eastAsia" w:ascii="宋体" w:hAnsi="宋体" w:cs="宋体"/>
          <w:spacing w:val="-20"/>
          <w:sz w:val="24"/>
          <w:szCs w:val="24"/>
        </w:rPr>
        <w:t>门及消防部门认可，第三方</w:t>
      </w:r>
      <w:r>
        <w:rPr>
          <w:rFonts w:hint="eastAsia" w:ascii="宋体" w:hAnsi="宋体" w:cs="宋体"/>
          <w:sz w:val="24"/>
          <w:szCs w:val="24"/>
        </w:rPr>
        <w:t>不得随意更改其使用功能及布局。校方负责食堂水、电、燃气管线总表前的维修改造和承担年度专项维修改造经费。</w:t>
      </w:r>
    </w:p>
    <w:p w14:paraId="6AF9D18A">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9.如遇校园内维修造成停电停水，校方应提前通知第三方，确保正常开餐。如因自然灾害等不可抗力造成误餐或停餐，第三方不负任何责任，但应无条件配合和支持校方采取应急处置措施。如因第三方原因造成误餐或停餐，校方有权对第三方追究责任。</w:t>
      </w:r>
    </w:p>
    <w:p w14:paraId="3708F64B">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10.如第三方责任人和餐饮管理人员等工作人员工作责任心不强或食品安全意识淡薄或服务不到位或不服从管理，校方有权要求第三方限期更换，第三方应无条件服从。</w:t>
      </w:r>
    </w:p>
    <w:p w14:paraId="00C6244F">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(二)第三方的权利和义务</w:t>
      </w:r>
    </w:p>
    <w:p w14:paraId="32C4327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1.为在校师生提供餐饮服务期间，应严格执行《中华人民共和国食品安全法》《餐饮服务食品安全操作规 范》《学校食品安全与营养健康管理规定》等法律法规及海南省出台的相关文件制度，依法经营，如有违反或造成食物中毒事故的，应负食品安全责任。</w:t>
      </w:r>
    </w:p>
    <w:p w14:paraId="14218F2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应及时购买《食品安全责任险》,并根据合同约定经营自负盈亏，第三方应积极主动配合教育主管、食品安全监管和卫生等部门的监督检查，并就提出的整改意见限期完成整改；如整改意见需校方参与的，双方应共同完成整改，并及时提交整改报告。</w:t>
      </w:r>
    </w:p>
    <w:p w14:paraId="53D1BC11">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3.严格按照食品经营许可证载明的经营项目进行经营，并在食堂显著位置悬挂或者摆放许可证，且不得伪造、涂改、倒卖、出租、出借、转让。</w:t>
      </w:r>
    </w:p>
    <w:p w14:paraId="6182B8F7">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4.应服从校方管理，不得随意改变房屋用途、扩大经营范围或分(转、租)包给第三方。第三方应主动接受校方对食堂卫生食品安全、服务质量、食品价格等方面的监督，及时整改工作中的问题，配合学校做好有关检查、评估工作。</w:t>
      </w:r>
    </w:p>
    <w:p w14:paraId="04E60B63">
      <w:pPr>
        <w:widowControl/>
        <w:kinsoku w:val="0"/>
        <w:autoSpaceDE w:val="0"/>
        <w:autoSpaceDN w:val="0"/>
        <w:adjustRightInd w:val="0"/>
        <w:snapToGrid w:val="0"/>
        <w:spacing w:line="520" w:lineRule="exact"/>
        <w:ind w:firstLine="482" w:firstLineChars="200"/>
        <w:textAlignment w:val="baseline"/>
        <w:rPr>
          <w:rFonts w:ascii="宋体" w:hAnsi="宋体" w:cs="宋体"/>
          <w:sz w:val="24"/>
          <w:szCs w:val="24"/>
        </w:rPr>
      </w:pPr>
      <w:r>
        <w:rPr>
          <w:rFonts w:hint="eastAsia" w:ascii="宋体" w:hAnsi="宋体" w:cs="宋体"/>
          <w:b/>
          <w:bCs/>
          <w:sz w:val="24"/>
          <w:szCs w:val="24"/>
        </w:rPr>
        <w:t>八、合同管理</w:t>
      </w:r>
    </w:p>
    <w:p w14:paraId="7CE57C3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（一）学校与企业签订的食堂委托经营管理合同中，学校权利与义务应包括但不限于： </w:t>
      </w:r>
    </w:p>
    <w:p w14:paraId="54A7AB5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1.确保提供食堂经营场所及基础设施和大型设备，并保障水、电、气正常供应； </w:t>
      </w:r>
    </w:p>
    <w:p w14:paraId="5A27F2F8">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2.督促企业落实食品安全法律、法规、规章、标准及有关规定，对食堂经营管理服务进行全过程监管； </w:t>
      </w:r>
    </w:p>
    <w:p w14:paraId="4AA8522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3.对食堂食谱和饭菜价格进行监督； </w:t>
      </w:r>
    </w:p>
    <w:p w14:paraId="54AF5F91">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4.建立学生集中用餐陪餐制度，每餐均应有学校相关负责人与学生共同用餐，做好陪餐记录，及时发现和解决集中用餐过程中存在的问题； </w:t>
      </w:r>
    </w:p>
    <w:p w14:paraId="2D1D9420">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5.建立食堂民主管理和监督机制，定期对学生开展食堂饭菜或就餐体验满意度调查，相关满意度应达到校企双方约定水平； </w:t>
      </w:r>
    </w:p>
    <w:p w14:paraId="2FECD06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6.不得存在以下行为：向企业收取承包费、管理费等费用；盲目追求食堂高标准装修，并让企业承担高额装修费；与企业达成私下协议，收取高额的履约保证金，再以违规罚没的方式分批次从企业收取罚没款，变相收取租金和管理费；其他会造成学生伙食费变相增加的行为。 </w:t>
      </w:r>
    </w:p>
    <w:p w14:paraId="24CEF414">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（二）学校与企业签订的食堂委托经营管理合同中，企业权利与义务应包括但不限于： </w:t>
      </w:r>
    </w:p>
    <w:p w14:paraId="7CE62E45">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1.严格按照国家食品安全法律、法规、规章、标准、有关规定及合同约定开展食品经营管理活动，并接受学校、家长、社会的监督； </w:t>
      </w:r>
    </w:p>
    <w:p w14:paraId="1CC2E38A">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2.落实从业人员食品安全、消防安全、职业道德等方面知识培训和考核； </w:t>
      </w:r>
    </w:p>
    <w:p w14:paraId="2B8F5D8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3.供应饭菜的要求包括但不限于：饭菜应保证品种多样、营养搭配科学，饭菜品种与价格实行学校审批；饭菜应实行明码标价，其价格应明显低于当地社会餐饮同类价格，以确保满足学生基本生活要求。 </w:t>
      </w:r>
    </w:p>
    <w:p w14:paraId="6437A2EE">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4.遵守学校相关规章制度与检查考核奖惩相关要求； </w:t>
      </w:r>
    </w:p>
    <w:p w14:paraId="6C8EF526">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5.禁止企业将学校食堂（含档口）进行转包或分包； </w:t>
      </w:r>
    </w:p>
    <w:p w14:paraId="5716FA74">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6.企业用工管理要求应包括但不限于：遵守《劳动合同法》，依法用工并承担法律责任；对从业人员定期体检，新进从业人员经岗前培训并持有效健康证明上岗；从业人员信息应在学校进行备案。 </w:t>
      </w:r>
    </w:p>
    <w:p w14:paraId="66C12A5D">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7.接受所在地区的有关政府行政管理部门、行业组织、学校相关管理部门对食堂在质量、卫生、安全、满意度等方面进行检查和测评，并对不规范行为加以整改。 </w:t>
      </w:r>
    </w:p>
    <w:p w14:paraId="0C90C4F0">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8.合同有效期一般为一至三年，最长不超过五年。学校应把企业的相关资质材料、食堂委托经营期限等相关信息报上级教育行政主管部门。 </w:t>
      </w:r>
    </w:p>
    <w:p w14:paraId="30EE7DC7">
      <w:pPr>
        <w:widowControl/>
        <w:kinsoku w:val="0"/>
        <w:autoSpaceDE w:val="0"/>
        <w:autoSpaceDN w:val="0"/>
        <w:adjustRightInd w:val="0"/>
        <w:snapToGrid w:val="0"/>
        <w:spacing w:line="520" w:lineRule="exact"/>
        <w:ind w:firstLine="482" w:firstLineChars="200"/>
        <w:textAlignment w:val="baseline"/>
        <w:rPr>
          <w:rFonts w:ascii="宋体" w:hAnsi="宋体" w:cs="宋体"/>
          <w:sz w:val="24"/>
          <w:szCs w:val="24"/>
        </w:rPr>
      </w:pPr>
      <w:r>
        <w:rPr>
          <w:rFonts w:hint="eastAsia" w:ascii="宋体" w:hAnsi="宋体" w:cs="宋体"/>
          <w:b/>
          <w:bCs/>
          <w:sz w:val="24"/>
          <w:szCs w:val="24"/>
        </w:rPr>
        <w:t>九、退出管理</w:t>
      </w:r>
    </w:p>
    <w:p w14:paraId="08E68885">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学校可以终止合同的情形包括但不限于： </w:t>
      </w:r>
    </w:p>
    <w:p w14:paraId="6ED9EA28">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1.企业存在转包或分包行为； </w:t>
      </w:r>
    </w:p>
    <w:p w14:paraId="202394E4">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2.因企业管理不当，发生食品安全事故或受到相关食品安全行政处罚（警告、通报批评除外）； </w:t>
      </w:r>
    </w:p>
    <w:p w14:paraId="54CBF9E1">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3.因企业自身原因导致经营状况较差，不能正常经营或有效履约； </w:t>
      </w:r>
    </w:p>
    <w:p w14:paraId="2C44CBEF">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4.因雇佣人员的违法违规行为给学校造成重大社会不良影响； </w:t>
      </w:r>
    </w:p>
    <w:p w14:paraId="6675CA5E">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5.其他经学校综合认定需要终止合作的情形。</w:t>
      </w:r>
    </w:p>
    <w:p w14:paraId="6C07ABD3">
      <w:pPr>
        <w:spacing w:line="590" w:lineRule="exact"/>
        <w:ind w:firstLine="480" w:firstLineChars="200"/>
        <w:rPr>
          <w:rFonts w:ascii="宋体" w:hAnsi="宋体" w:cs="宋体"/>
          <w:sz w:val="24"/>
          <w:szCs w:val="24"/>
        </w:rPr>
      </w:pPr>
    </w:p>
    <w:p w14:paraId="39CF4F22">
      <w:pPr>
        <w:tabs>
          <w:tab w:val="left" w:pos="1476"/>
        </w:tabs>
        <w:spacing w:line="700" w:lineRule="exact"/>
        <w:jc w:val="center"/>
        <w:rPr>
          <w:rFonts w:cs="华文中宋" w:asciiTheme="minorEastAsia" w:hAnsiTheme="minorEastAsia" w:eastAsiaTheme="minorEastAsia"/>
          <w:b/>
          <w:bCs/>
          <w:sz w:val="44"/>
          <w:szCs w:val="44"/>
        </w:rPr>
      </w:pPr>
    </w:p>
    <w:p w14:paraId="5C4B896E">
      <w:pPr>
        <w:spacing w:line="560" w:lineRule="exact"/>
        <w:rPr>
          <w:rFonts w:cs="宋体" w:asciiTheme="minorEastAsia" w:hAnsiTheme="minorEastAsia" w:eastAsiaTheme="minorEastAsia"/>
          <w:b/>
          <w:bCs/>
          <w:sz w:val="36"/>
          <w:szCs w:val="36"/>
        </w:rPr>
      </w:pPr>
    </w:p>
    <w:p w14:paraId="2B87FD44">
      <w:pPr>
        <w:spacing w:line="560" w:lineRule="exact"/>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文昌市锦山中学食堂委托经营管理合同</w:t>
      </w:r>
    </w:p>
    <w:p w14:paraId="475E09C3">
      <w:pPr>
        <w:spacing w:line="560" w:lineRule="exact"/>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24"/>
          <w:szCs w:val="24"/>
        </w:rPr>
        <w:t>（此合同为模版具体中标后以双方协商为准）</w:t>
      </w:r>
    </w:p>
    <w:p w14:paraId="0259DD80">
      <w:pPr>
        <w:spacing w:line="560" w:lineRule="exact"/>
        <w:jc w:val="center"/>
        <w:rPr>
          <w:rFonts w:cs="Times New Roman" w:asciiTheme="minorEastAsia" w:hAnsiTheme="minorEastAsia" w:eastAsiaTheme="minorEastAsia"/>
          <w:sz w:val="28"/>
          <w:szCs w:val="28"/>
        </w:rPr>
      </w:pPr>
    </w:p>
    <w:p w14:paraId="7B270BA9">
      <w:pPr>
        <w:autoSpaceDE w:val="0"/>
        <w:autoSpaceDN w:val="0"/>
        <w:snapToGrid w:val="0"/>
        <w:spacing w:line="48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(以下简称“甲方”)为一方和                    (以下简称“乙方”)为另一方同意按下述条款和条件签署本合同(以下简称“合同”)：</w:t>
      </w:r>
    </w:p>
    <w:p w14:paraId="25387C35">
      <w:pPr>
        <w:autoSpaceDE w:val="0"/>
        <w:autoSpaceDN w:val="0"/>
        <w:snapToGrid w:val="0"/>
        <w:spacing w:line="68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1．合同文件</w:t>
      </w:r>
    </w:p>
    <w:p w14:paraId="08D858D7">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本合同所附下列文件是本合同不可分割的部分：</w:t>
      </w:r>
    </w:p>
    <w:p w14:paraId="7BB8BB17">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 中标后双方签订的采购合同；（包括整体服务方案、应急处理方案、安全保障方案等）</w:t>
      </w:r>
    </w:p>
    <w:p w14:paraId="5D39F22A">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 甲方针对本项目的磋商文件；</w:t>
      </w:r>
    </w:p>
    <w:p w14:paraId="3558712D">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 乙方提交的磋商响应文件及磋商过程中相关承诺；</w:t>
      </w:r>
    </w:p>
    <w:p w14:paraId="07235A2A">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1.4 中标通知书。</w:t>
      </w:r>
    </w:p>
    <w:p w14:paraId="05411571">
      <w:pPr>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2．合同范围和条件</w:t>
      </w:r>
    </w:p>
    <w:p w14:paraId="014FA9B2">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本合同的范围和条件应与上述合同文件的规定相一致。</w:t>
      </w:r>
    </w:p>
    <w:p w14:paraId="28E0779F">
      <w:pPr>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 合同期限</w:t>
      </w:r>
    </w:p>
    <w:p w14:paraId="6A3C6264">
      <w:pPr>
        <w:tabs>
          <w:tab w:val="left" w:pos="1521"/>
        </w:tabs>
        <w:autoSpaceDE w:val="0"/>
        <w:autoSpaceDN w:val="0"/>
        <w:snapToGrid w:val="0"/>
        <w:spacing w:line="520" w:lineRule="exact"/>
        <w:ind w:firstLine="480" w:firstLineChars="200"/>
        <w:rPr>
          <w:rFonts w:cs="仿宋" w:asciiTheme="minorEastAsia" w:hAnsiTheme="minorEastAsia" w:eastAsiaTheme="minorEastAsia"/>
          <w:sz w:val="24"/>
          <w:szCs w:val="24"/>
        </w:rPr>
      </w:pPr>
      <w:bookmarkStart w:id="27" w:name="_Toc237145406"/>
      <w:bookmarkStart w:id="28" w:name="_Toc185395249"/>
      <w:bookmarkStart w:id="29" w:name="_Toc225244852"/>
      <w:bookmarkStart w:id="30" w:name="_Toc286993786"/>
      <w:bookmarkStart w:id="31" w:name="_Toc211854449"/>
      <w:bookmarkStart w:id="32" w:name="_Toc241833903"/>
      <w:bookmarkStart w:id="33" w:name="_Toc211911348"/>
      <w:bookmarkStart w:id="34" w:name="_Toc283019214"/>
      <w:bookmarkStart w:id="35" w:name="_Toc282696226"/>
      <w:bookmarkStart w:id="36" w:name="_Toc239233914"/>
      <w:bookmarkStart w:id="37" w:name="_Toc238984975"/>
      <w:bookmarkStart w:id="38" w:name="_Toc212019594"/>
      <w:bookmarkStart w:id="39" w:name="_Toc225654644"/>
      <w:bookmarkStart w:id="40" w:name="_Toc225670751"/>
      <w:bookmarkStart w:id="41" w:name="_Toc239568418"/>
      <w:bookmarkStart w:id="42" w:name="_Toc247334841"/>
      <w:bookmarkStart w:id="43" w:name="_Toc251768862"/>
      <w:bookmarkStart w:id="44" w:name="_Toc232492928"/>
      <w:r>
        <w:rPr>
          <w:rFonts w:hint="eastAsia" w:cs="仿宋" w:asciiTheme="minorEastAsia" w:hAnsiTheme="minorEastAsia" w:eastAsiaTheme="minorEastAsia"/>
          <w:sz w:val="24"/>
          <w:szCs w:val="24"/>
        </w:rPr>
        <w:t>委托经营服务管理年限：自合同生效之日起至年月日</w:t>
      </w:r>
    </w:p>
    <w:p w14:paraId="042F6033">
      <w:pPr>
        <w:tabs>
          <w:tab w:val="left" w:pos="1521"/>
        </w:tabs>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 服务内容与质量标准</w:t>
      </w:r>
    </w:p>
    <w:p w14:paraId="22A839B1">
      <w:pPr>
        <w:tabs>
          <w:tab w:val="left" w:pos="1521"/>
        </w:tabs>
        <w:autoSpaceDE w:val="0"/>
        <w:autoSpaceDN w:val="0"/>
        <w:snapToGrid w:val="0"/>
        <w:spacing w:line="52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详见竞争性磋商文件的《采购需求》和乙方的响应文件。</w:t>
      </w:r>
    </w:p>
    <w:p w14:paraId="00944FFE">
      <w:pPr>
        <w:tabs>
          <w:tab w:val="left" w:pos="1521"/>
        </w:tabs>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 服务管理费用结算</w:t>
      </w:r>
    </w:p>
    <w:p w14:paraId="0BD44817">
      <w:pPr>
        <w:spacing w:line="360" w:lineRule="auto"/>
        <w:ind w:firstLine="240" w:firstLineChars="1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5.1甲方收取的费用类别</w:t>
      </w:r>
    </w:p>
    <w:p w14:paraId="38B6E01F">
      <w:pPr>
        <w:spacing w:line="360" w:lineRule="auto"/>
        <w:ind w:firstLine="672" w:firstLineChars="2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服务管理费用：        </w:t>
      </w:r>
    </w:p>
    <w:p w14:paraId="693E4E7E">
      <w:pPr>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 甲方的权利和义务</w:t>
      </w:r>
    </w:p>
    <w:p w14:paraId="6427A7AB">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6.1 甲方有权对合同规定范围内乙方的服务行为进行监督和检查，拥有监管权。有权定期核对乙方提供服务所配备的人员数量。对甲方认为不合理的部分有权下达整改通知书，并要求乙方限期整改。</w:t>
      </w:r>
    </w:p>
    <w:p w14:paraId="25E424E4">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6.2 甲方有权依据双方签订的考评办法对乙方提供的服务进行定期考评。当考评结果未达到标准时，有权依据考评办法约定的数额扣除履约保证金。</w:t>
      </w:r>
    </w:p>
    <w:p w14:paraId="5DC63F80">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6.3 负责检查监督乙方管理工作的实施及制度的执行情况。</w:t>
      </w:r>
    </w:p>
    <w:p w14:paraId="0391CE2A">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6.4 根据本合同规定，按时向乙方支付应付服务费用。</w:t>
      </w:r>
    </w:p>
    <w:p w14:paraId="222958E4">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6.5 国家法律、法规所规定由甲方承担的其它责任。</w:t>
      </w:r>
    </w:p>
    <w:p w14:paraId="76C5ACA4">
      <w:pPr>
        <w:tabs>
          <w:tab w:val="left" w:pos="1521"/>
        </w:tabs>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 乙方的权利和义务</w:t>
      </w:r>
    </w:p>
    <w:p w14:paraId="00C3837C">
      <w:pPr>
        <w:spacing w:line="360" w:lineRule="auto"/>
        <w:ind w:firstLine="638" w:firstLineChars="266"/>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7.1乙方应在使用前检查甲方提供的所有设施设备，发现明显问题应立即通知甲方，以便让甲方及时进行修理或更换。</w:t>
      </w:r>
    </w:p>
    <w:p w14:paraId="18648C36">
      <w:pPr>
        <w:spacing w:line="360" w:lineRule="auto"/>
        <w:ind w:firstLine="638" w:firstLineChars="266"/>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7.2必须遵守甲方的各项规章制度，切实做好膳食制作服务工作。</w:t>
      </w:r>
    </w:p>
    <w:p w14:paraId="2000D04F">
      <w:pPr>
        <w:spacing w:line="360" w:lineRule="auto"/>
        <w:ind w:firstLine="638" w:firstLineChars="266"/>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7.3乙方必须严格遵守《食品安全法》、《劳动法》及甲方的有关规定制度执行。</w:t>
      </w:r>
    </w:p>
    <w:p w14:paraId="3F4C68D9">
      <w:pPr>
        <w:spacing w:line="360" w:lineRule="auto"/>
        <w:ind w:firstLine="638" w:firstLineChars="266"/>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7.4外包服务经营期间，因乙方原因造成人员伤害及财物损失的，由乙方承担相应的责任并对因此给甲方造成的损失给予相应的赔偿。</w:t>
      </w:r>
    </w:p>
    <w:p w14:paraId="5B4DB7BB">
      <w:pPr>
        <w:tabs>
          <w:tab w:val="left" w:pos="1521"/>
        </w:tabs>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 违约责任</w:t>
      </w:r>
    </w:p>
    <w:p w14:paraId="18085844">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8.1 甲乙双方必须遵守本合同并执行合同中的各项规定，保证本合同的正常履行。</w:t>
      </w:r>
    </w:p>
    <w:p w14:paraId="294DA494">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8.2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34B0958">
      <w:pPr>
        <w:tabs>
          <w:tab w:val="left" w:pos="1521"/>
        </w:tabs>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 不可抗力事件处理</w:t>
      </w:r>
    </w:p>
    <w:p w14:paraId="27BCC4CC">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9.1 在合同有效期内，任何一方因不可抗力事件导致不能履行合同，则合同履行期可延长，其延长期与不可抗力影响期相同。</w:t>
      </w:r>
    </w:p>
    <w:p w14:paraId="2820E9A3">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9.2 不可抗力事件发生后，应立即通知对方，并寄送有关权威机构出具的证明。</w:t>
      </w:r>
    </w:p>
    <w:p w14:paraId="031D0536">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9.3 不可抗力事件延续120天以上，双方应通过友好协商，确定是否继续履行合同。</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3F0CA84B">
      <w:pPr>
        <w:tabs>
          <w:tab w:val="left" w:pos="1521"/>
        </w:tabs>
        <w:autoSpaceDE w:val="0"/>
        <w:autoSpaceDN w:val="0"/>
        <w:snapToGrid w:val="0"/>
        <w:spacing w:line="520" w:lineRule="exact"/>
        <w:rPr>
          <w:rFonts w:cs="仿宋" w:asciiTheme="minorEastAsia" w:hAnsiTheme="minorEastAsia" w:eastAsiaTheme="minorEastAsia"/>
          <w:sz w:val="24"/>
          <w:szCs w:val="24"/>
        </w:rPr>
      </w:pPr>
      <w:bookmarkStart w:id="45" w:name="_Toc225244857"/>
      <w:bookmarkStart w:id="46" w:name="_Toc225670756"/>
      <w:bookmarkStart w:id="47" w:name="_Toc211911353"/>
      <w:bookmarkStart w:id="48" w:name="_Toc211854454"/>
      <w:bookmarkStart w:id="49" w:name="_Toc239568423"/>
      <w:bookmarkStart w:id="50" w:name="_Toc286993792"/>
      <w:bookmarkStart w:id="51" w:name="_Toc239233919"/>
      <w:bookmarkStart w:id="52" w:name="_Toc237145411"/>
      <w:bookmarkStart w:id="53" w:name="_Toc251768867"/>
      <w:bookmarkStart w:id="54" w:name="_Toc238984980"/>
      <w:bookmarkStart w:id="55" w:name="_Toc185395254"/>
      <w:bookmarkStart w:id="56" w:name="_Toc241833908"/>
      <w:bookmarkStart w:id="57" w:name="_Toc225654649"/>
      <w:bookmarkStart w:id="58" w:name="_Toc247334846"/>
      <w:bookmarkStart w:id="59" w:name="_Toc232492933"/>
      <w:bookmarkStart w:id="60" w:name="_Toc212019599"/>
      <w:r>
        <w:rPr>
          <w:rFonts w:hint="eastAsia" w:cs="仿宋" w:asciiTheme="minorEastAsia" w:hAnsiTheme="minorEastAsia" w:eastAsiaTheme="minorEastAsia"/>
          <w:sz w:val="24"/>
          <w:szCs w:val="24"/>
        </w:rPr>
        <w:t>10 解决合同纠纷的方式</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22555CD">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10.1 在执行本合同中发生的或与本合同有关的争端，双方应通过友好协商解决，经协商在60天内不能达成协议时，应提交海南省仲裁委员会仲裁。</w:t>
      </w:r>
    </w:p>
    <w:p w14:paraId="7CFF2433">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10.2 仲裁裁决应为最终决定，并对双方具有约束力。</w:t>
      </w:r>
    </w:p>
    <w:p w14:paraId="299B333A">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10.3 除另有裁决外，仲裁费应由败诉方负担。 </w:t>
      </w:r>
    </w:p>
    <w:p w14:paraId="02BE2220">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10.4 在仲裁期间，除正在进行仲裁部分外，合同其他部分继续执行。  </w:t>
      </w:r>
    </w:p>
    <w:p w14:paraId="736EC977">
      <w:pPr>
        <w:tabs>
          <w:tab w:val="left" w:pos="1521"/>
        </w:tabs>
        <w:autoSpaceDE w:val="0"/>
        <w:autoSpaceDN w:val="0"/>
        <w:snapToGrid w:val="0"/>
        <w:spacing w:line="520" w:lineRule="exact"/>
        <w:rPr>
          <w:rFonts w:cs="仿宋" w:asciiTheme="minorEastAsia" w:hAnsiTheme="minorEastAsia" w:eastAsiaTheme="minorEastAsia"/>
          <w:sz w:val="24"/>
          <w:szCs w:val="24"/>
        </w:rPr>
      </w:pPr>
      <w:bookmarkStart w:id="61" w:name="_Toc212019600"/>
      <w:bookmarkStart w:id="62" w:name="_Toc238984981"/>
      <w:bookmarkStart w:id="63" w:name="_Toc225654650"/>
      <w:bookmarkStart w:id="64" w:name="_Toc283019219"/>
      <w:bookmarkStart w:id="65" w:name="_Toc282696231"/>
      <w:bookmarkStart w:id="66" w:name="_Toc247334847"/>
      <w:bookmarkStart w:id="67" w:name="_Toc286993793"/>
      <w:bookmarkStart w:id="68" w:name="_Toc211911354"/>
      <w:bookmarkStart w:id="69" w:name="_Toc225244858"/>
      <w:bookmarkStart w:id="70" w:name="_Toc185395255"/>
      <w:bookmarkStart w:id="71" w:name="_Toc237145412"/>
      <w:bookmarkStart w:id="72" w:name="_Toc239233920"/>
      <w:bookmarkStart w:id="73" w:name="_Toc225670757"/>
      <w:bookmarkStart w:id="74" w:name="_Toc251768868"/>
      <w:bookmarkStart w:id="75" w:name="_Toc241833909"/>
      <w:bookmarkStart w:id="76" w:name="_Toc232492934"/>
      <w:bookmarkStart w:id="77" w:name="_Toc239568424"/>
      <w:bookmarkStart w:id="78" w:name="_Toc211854455"/>
      <w:r>
        <w:rPr>
          <w:rFonts w:hint="eastAsia" w:cs="仿宋" w:asciiTheme="minorEastAsia" w:hAnsiTheme="minorEastAsia" w:eastAsiaTheme="minorEastAsia"/>
          <w:sz w:val="24"/>
          <w:szCs w:val="24"/>
        </w:rPr>
        <w:t>11. 合同</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hint="eastAsia" w:cs="仿宋" w:asciiTheme="minorEastAsia" w:hAnsiTheme="minorEastAsia" w:eastAsiaTheme="minorEastAsia"/>
          <w:sz w:val="24"/>
          <w:szCs w:val="24"/>
        </w:rPr>
        <w:t>生效及其他</w:t>
      </w:r>
    </w:p>
    <w:p w14:paraId="5FCADD1A">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11.1 合同经双方法定代表人/单位负责人或授权委托代理人签字并加盖单位公章后生效。</w:t>
      </w:r>
    </w:p>
    <w:p w14:paraId="499BE392">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11.2 合同执行中涉及采购资金和采购内容修改或补充的，须签订书面补充协议作为主合同不可分割的一部分。</w:t>
      </w:r>
    </w:p>
    <w:p w14:paraId="2631CC9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ind w:firstLine="480" w:firstLineChars="200"/>
        <w:rPr>
          <w:rFonts w:ascii="仿宋" w:hAnsi="仿宋" w:eastAsia="仿宋" w:cs="仿宋"/>
          <w:b/>
          <w:sz w:val="24"/>
          <w:szCs w:val="24"/>
        </w:rPr>
      </w:pPr>
      <w:r>
        <w:rPr>
          <w:rFonts w:hint="eastAsia" w:cs="仿宋" w:asciiTheme="minorEastAsia" w:hAnsiTheme="minorEastAsia" w:eastAsiaTheme="minorEastAsia"/>
          <w:sz w:val="24"/>
          <w:szCs w:val="24"/>
        </w:rPr>
        <w:t>11.3 本合同一式  份，自双方签章之日起起效。甲方  份，乙方  份，政府采购代理机构  份，具有同等法律效力。</w:t>
      </w:r>
    </w:p>
    <w:p w14:paraId="679A255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ascii="仿宋" w:hAnsi="仿宋" w:eastAsia="仿宋" w:cs="仿宋"/>
          <w:b/>
          <w:sz w:val="24"/>
          <w:szCs w:val="24"/>
        </w:rPr>
      </w:pPr>
    </w:p>
    <w:p w14:paraId="477B231C">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甲方：              （盖章）         乙方：（盖章）</w:t>
      </w:r>
    </w:p>
    <w:p w14:paraId="797D3100">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                                地址：</w:t>
      </w:r>
    </w:p>
    <w:p w14:paraId="01E3F08A">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法定（或授权）代表人：                法定（或授权）代表人：          </w:t>
      </w:r>
    </w:p>
    <w:p w14:paraId="5F009745">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年   月   日                           年    月   日</w:t>
      </w:r>
    </w:p>
    <w:p w14:paraId="48C76CF0">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采购代理机构：</w:t>
      </w:r>
    </w:p>
    <w:p w14:paraId="7671554F">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p>
    <w:p w14:paraId="7716C7C0">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经办人：</w:t>
      </w:r>
    </w:p>
    <w:p w14:paraId="5206E999">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年   月  日</w:t>
      </w:r>
    </w:p>
    <w:p w14:paraId="39A0EE9D">
      <w:pPr>
        <w:spacing w:line="360" w:lineRule="auto"/>
        <w:jc w:val="center"/>
        <w:rPr>
          <w:rFonts w:cs="华文中宋" w:asciiTheme="minorEastAsia" w:hAnsiTheme="minorEastAsia" w:eastAsiaTheme="minorEastAsia"/>
          <w:b/>
          <w:bCs/>
          <w:sz w:val="44"/>
          <w:szCs w:val="44"/>
        </w:rPr>
      </w:pPr>
    </w:p>
    <w:p w14:paraId="3F78F8EF">
      <w:pPr>
        <w:rPr>
          <w:rFonts w:cs="华文中宋" w:asciiTheme="minorEastAsia" w:hAnsiTheme="minorEastAsia" w:eastAsiaTheme="minorEastAsia"/>
          <w:b/>
          <w:bCs/>
          <w:sz w:val="44"/>
          <w:szCs w:val="44"/>
        </w:rPr>
      </w:pPr>
      <w:r>
        <w:rPr>
          <w:rFonts w:hint="eastAsia" w:cs="华文中宋" w:asciiTheme="minorEastAsia" w:hAnsiTheme="minorEastAsia" w:eastAsiaTheme="minorEastAsia"/>
          <w:b/>
          <w:bCs/>
          <w:sz w:val="44"/>
          <w:szCs w:val="44"/>
        </w:rPr>
        <w:br w:type="page"/>
      </w:r>
    </w:p>
    <w:p w14:paraId="5AB0D549">
      <w:pPr>
        <w:spacing w:line="360" w:lineRule="auto"/>
        <w:jc w:val="center"/>
        <w:rPr>
          <w:rFonts w:cs="Times New Roman" w:asciiTheme="minorEastAsia" w:hAnsiTheme="minorEastAsia" w:eastAsiaTheme="minorEastAsia"/>
          <w:b/>
          <w:bCs/>
          <w:sz w:val="44"/>
          <w:szCs w:val="44"/>
        </w:rPr>
      </w:pPr>
      <w:r>
        <w:rPr>
          <w:rFonts w:hint="eastAsia" w:cs="华文中宋" w:asciiTheme="minorEastAsia" w:hAnsiTheme="minorEastAsia" w:eastAsiaTheme="minorEastAsia"/>
          <w:b/>
          <w:bCs/>
          <w:sz w:val="44"/>
          <w:szCs w:val="44"/>
        </w:rPr>
        <w:t>第五章投标文件内容和格式</w:t>
      </w:r>
    </w:p>
    <w:p w14:paraId="54F9EAA0">
      <w:pPr>
        <w:spacing w:line="360" w:lineRule="auto"/>
        <w:ind w:firstLine="964" w:firstLineChars="300"/>
        <w:rPr>
          <w:rFonts w:cs="Times New Roman" w:asciiTheme="minorEastAsia" w:hAnsiTheme="minorEastAsia" w:eastAsiaTheme="minorEastAsia"/>
          <w:b/>
          <w:bCs/>
          <w:sz w:val="32"/>
          <w:szCs w:val="32"/>
        </w:rPr>
      </w:pPr>
    </w:p>
    <w:p w14:paraId="3B9A3EEB">
      <w:pPr>
        <w:spacing w:line="360" w:lineRule="auto"/>
        <w:ind w:firstLine="964" w:firstLineChars="300"/>
        <w:rPr>
          <w:rFonts w:cs="Times New Roman" w:asciiTheme="minorEastAsia" w:hAnsiTheme="minorEastAsia" w:eastAsiaTheme="minorEastAsia"/>
          <w:b/>
          <w:bCs/>
          <w:sz w:val="32"/>
          <w:szCs w:val="32"/>
        </w:rPr>
      </w:pPr>
    </w:p>
    <w:p w14:paraId="7A04470B">
      <w:pPr>
        <w:spacing w:line="360" w:lineRule="auto"/>
        <w:ind w:firstLine="964" w:firstLineChars="300"/>
        <w:rPr>
          <w:rFonts w:cs="Times New Roman" w:asciiTheme="minorEastAsia" w:hAnsiTheme="minorEastAsia" w:eastAsiaTheme="minorEastAsia"/>
          <w:b/>
          <w:bCs/>
          <w:sz w:val="32"/>
          <w:szCs w:val="32"/>
        </w:rPr>
      </w:pPr>
    </w:p>
    <w:p w14:paraId="7C85A6E4">
      <w:pPr>
        <w:snapToGrid w:val="0"/>
        <w:spacing w:line="240" w:lineRule="atLeast"/>
        <w:ind w:firstLine="643" w:firstLineChars="200"/>
        <w:rPr>
          <w:rStyle w:val="44"/>
          <w:rFonts w:asciiTheme="minorEastAsia" w:hAnsiTheme="minorEastAsia" w:eastAsiaTheme="minorEastAsia"/>
          <w:b/>
          <w:kern w:val="0"/>
          <w:sz w:val="32"/>
          <w:szCs w:val="32"/>
        </w:rPr>
      </w:pPr>
      <w:r>
        <w:rPr>
          <w:rStyle w:val="44"/>
          <w:rFonts w:asciiTheme="minorEastAsia" w:hAnsiTheme="minorEastAsia" w:eastAsiaTheme="minorEastAsia"/>
          <w:b/>
          <w:kern w:val="0"/>
          <w:sz w:val="32"/>
          <w:szCs w:val="32"/>
        </w:rPr>
        <w:t>项目名称：</w:t>
      </w:r>
    </w:p>
    <w:p w14:paraId="13A75FBF">
      <w:pPr>
        <w:spacing w:line="360" w:lineRule="auto"/>
        <w:ind w:firstLine="643" w:firstLineChars="200"/>
        <w:rPr>
          <w:rFonts w:asciiTheme="minorEastAsia" w:hAnsiTheme="minorEastAsia" w:eastAsiaTheme="minorEastAsia"/>
          <w:b/>
          <w:kern w:val="0"/>
          <w:sz w:val="32"/>
          <w:szCs w:val="32"/>
        </w:rPr>
      </w:pPr>
      <w:r>
        <w:rPr>
          <w:rStyle w:val="44"/>
          <w:rFonts w:asciiTheme="minorEastAsia" w:hAnsiTheme="minorEastAsia" w:eastAsiaTheme="minorEastAsia"/>
          <w:b/>
          <w:kern w:val="0"/>
          <w:sz w:val="32"/>
          <w:szCs w:val="32"/>
        </w:rPr>
        <w:t>项目编号</w:t>
      </w:r>
      <w:r>
        <w:rPr>
          <w:rStyle w:val="44"/>
          <w:rFonts w:hint="eastAsia" w:asciiTheme="minorEastAsia" w:hAnsiTheme="minorEastAsia" w:eastAsiaTheme="minorEastAsia"/>
          <w:b/>
          <w:kern w:val="0"/>
          <w:sz w:val="32"/>
          <w:szCs w:val="32"/>
        </w:rPr>
        <w:t>：</w:t>
      </w:r>
      <w:r>
        <w:rPr>
          <w:rStyle w:val="44"/>
          <w:rFonts w:hint="eastAsia" w:asciiTheme="minorEastAsia" w:hAnsiTheme="minorEastAsia" w:eastAsiaTheme="minorEastAsia"/>
          <w:b/>
          <w:kern w:val="0"/>
          <w:sz w:val="32"/>
          <w:szCs w:val="32"/>
        </w:rPr>
        <w:br w:type="textWrapping"/>
      </w:r>
    </w:p>
    <w:p w14:paraId="674D5789">
      <w:pPr>
        <w:spacing w:line="360" w:lineRule="auto"/>
        <w:ind w:firstLine="2530" w:firstLineChars="300"/>
        <w:rPr>
          <w:rFonts w:cs="Times New Roman" w:asciiTheme="minorEastAsia" w:hAnsiTheme="minorEastAsia" w:eastAsiaTheme="minorEastAsia"/>
          <w:b/>
          <w:bCs/>
          <w:sz w:val="84"/>
          <w:szCs w:val="84"/>
        </w:rPr>
      </w:pPr>
    </w:p>
    <w:p w14:paraId="73340EE5">
      <w:pPr>
        <w:spacing w:line="360" w:lineRule="auto"/>
        <w:ind w:firstLine="2530" w:firstLineChars="300"/>
        <w:rPr>
          <w:rFonts w:cs="Times New Roman" w:asciiTheme="minorEastAsia" w:hAnsiTheme="minorEastAsia" w:eastAsiaTheme="minorEastAsia"/>
          <w:b/>
          <w:bCs/>
          <w:sz w:val="84"/>
          <w:szCs w:val="84"/>
        </w:rPr>
      </w:pPr>
      <w:r>
        <w:rPr>
          <w:rFonts w:hint="eastAsia" w:cs="宋体" w:asciiTheme="minorEastAsia" w:hAnsiTheme="minorEastAsia" w:eastAsiaTheme="minorEastAsia"/>
          <w:b/>
          <w:bCs/>
          <w:sz w:val="84"/>
          <w:szCs w:val="84"/>
        </w:rPr>
        <w:t>投标文件</w:t>
      </w:r>
    </w:p>
    <w:p w14:paraId="6E63FBFC">
      <w:pPr>
        <w:spacing w:line="360" w:lineRule="auto"/>
        <w:ind w:firstLine="2530" w:firstLineChars="300"/>
        <w:rPr>
          <w:rFonts w:cs="Times New Roman" w:asciiTheme="minorEastAsia" w:hAnsiTheme="minorEastAsia" w:eastAsiaTheme="minorEastAsia"/>
          <w:b/>
          <w:bCs/>
          <w:sz w:val="84"/>
          <w:szCs w:val="84"/>
        </w:rPr>
      </w:pPr>
    </w:p>
    <w:p w14:paraId="75A9CC88">
      <w:pPr>
        <w:spacing w:line="360" w:lineRule="auto"/>
        <w:ind w:firstLine="2530" w:firstLineChars="300"/>
        <w:rPr>
          <w:rFonts w:cs="Times New Roman" w:asciiTheme="minorEastAsia" w:hAnsiTheme="minorEastAsia" w:eastAsiaTheme="minorEastAsia"/>
          <w:b/>
          <w:bCs/>
          <w:sz w:val="84"/>
          <w:szCs w:val="84"/>
        </w:rPr>
      </w:pPr>
    </w:p>
    <w:p w14:paraId="4496E0B9">
      <w:pPr>
        <w:spacing w:line="360" w:lineRule="auto"/>
        <w:ind w:firstLine="720" w:firstLineChars="300"/>
        <w:rPr>
          <w:rFonts w:cs="Times New Roman" w:asciiTheme="minorEastAsia" w:hAnsiTheme="minorEastAsia" w:eastAsiaTheme="minorEastAsia"/>
          <w:sz w:val="24"/>
          <w:szCs w:val="24"/>
        </w:rPr>
      </w:pPr>
    </w:p>
    <w:p w14:paraId="69629F11">
      <w:pPr>
        <w:ind w:firstLine="960" w:firstLineChars="3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投标人</w:t>
      </w:r>
      <w:r>
        <w:rPr>
          <w:rFonts w:cs="仿宋_GB2312" w:asciiTheme="minorEastAsia" w:hAnsiTheme="minorEastAsia" w:eastAsiaTheme="minorEastAsia"/>
          <w:sz w:val="32"/>
          <w:szCs w:val="32"/>
        </w:rPr>
        <w:t>(</w:t>
      </w:r>
      <w:r>
        <w:rPr>
          <w:rFonts w:hint="eastAsia" w:cs="仿宋_GB2312" w:asciiTheme="minorEastAsia" w:hAnsiTheme="minorEastAsia" w:eastAsiaTheme="minorEastAsia"/>
          <w:sz w:val="32"/>
          <w:szCs w:val="32"/>
        </w:rPr>
        <w:t>单位盖章</w:t>
      </w:r>
      <w:r>
        <w:rPr>
          <w:rFonts w:cs="仿宋_GB2312" w:asciiTheme="minorEastAsia" w:hAnsiTheme="minorEastAsia" w:eastAsiaTheme="minorEastAsia"/>
          <w:sz w:val="32"/>
          <w:szCs w:val="32"/>
        </w:rPr>
        <w:t>):</w:t>
      </w:r>
    </w:p>
    <w:p w14:paraId="428254F9">
      <w:pPr>
        <w:ind w:firstLine="960" w:firstLineChars="3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法定代表人或其授权代表</w:t>
      </w:r>
      <w:r>
        <w:rPr>
          <w:rFonts w:cs="仿宋_GB2312" w:asciiTheme="minorEastAsia" w:hAnsiTheme="minorEastAsia" w:eastAsiaTheme="minorEastAsia"/>
          <w:sz w:val="32"/>
          <w:szCs w:val="32"/>
        </w:rPr>
        <w:t>(</w:t>
      </w:r>
      <w:r>
        <w:rPr>
          <w:rFonts w:hint="eastAsia" w:cs="仿宋_GB2312" w:asciiTheme="minorEastAsia" w:hAnsiTheme="minorEastAsia" w:eastAsiaTheme="minorEastAsia"/>
          <w:sz w:val="32"/>
          <w:szCs w:val="32"/>
        </w:rPr>
        <w:t>签字</w:t>
      </w:r>
      <w:r>
        <w:rPr>
          <w:rFonts w:cs="仿宋_GB2312" w:asciiTheme="minorEastAsia" w:hAnsiTheme="minorEastAsia" w:eastAsiaTheme="minorEastAsia"/>
          <w:sz w:val="32"/>
          <w:szCs w:val="32"/>
        </w:rPr>
        <w:t>):</w:t>
      </w:r>
    </w:p>
    <w:p w14:paraId="436A2F0F">
      <w:pPr>
        <w:snapToGrid w:val="0"/>
        <w:ind w:right="2279" w:firstLine="900" w:firstLineChars="300"/>
        <w:rPr>
          <w:rStyle w:val="44"/>
          <w:rFonts w:asciiTheme="minorEastAsia" w:hAnsiTheme="minorEastAsia" w:eastAsiaTheme="minorEastAsia"/>
          <w:sz w:val="30"/>
          <w:szCs w:val="30"/>
        </w:rPr>
      </w:pPr>
      <w:r>
        <w:rPr>
          <w:rStyle w:val="44"/>
          <w:rFonts w:asciiTheme="minorEastAsia" w:hAnsiTheme="minorEastAsia" w:eastAsiaTheme="minorEastAsia"/>
          <w:sz w:val="30"/>
          <w:szCs w:val="30"/>
        </w:rPr>
        <w:t>公司地址：</w:t>
      </w:r>
    </w:p>
    <w:p w14:paraId="726DECE7">
      <w:pPr>
        <w:snapToGrid w:val="0"/>
        <w:ind w:right="2279" w:firstLine="900" w:firstLineChars="300"/>
        <w:rPr>
          <w:rStyle w:val="44"/>
          <w:rFonts w:asciiTheme="minorEastAsia" w:hAnsiTheme="minorEastAsia" w:eastAsiaTheme="minorEastAsia"/>
          <w:sz w:val="30"/>
          <w:szCs w:val="30"/>
        </w:rPr>
      </w:pPr>
      <w:r>
        <w:rPr>
          <w:rStyle w:val="44"/>
          <w:rFonts w:asciiTheme="minorEastAsia" w:hAnsiTheme="minorEastAsia" w:eastAsiaTheme="minorEastAsia"/>
          <w:sz w:val="30"/>
          <w:szCs w:val="30"/>
        </w:rPr>
        <w:t>联系人：</w:t>
      </w:r>
    </w:p>
    <w:p w14:paraId="0F6F09DC">
      <w:pPr>
        <w:snapToGrid w:val="0"/>
        <w:ind w:right="2279" w:firstLine="900" w:firstLineChars="300"/>
        <w:rPr>
          <w:rStyle w:val="44"/>
          <w:rFonts w:asciiTheme="minorEastAsia" w:hAnsiTheme="minorEastAsia" w:eastAsiaTheme="minorEastAsia"/>
          <w:sz w:val="30"/>
          <w:szCs w:val="30"/>
        </w:rPr>
      </w:pPr>
      <w:r>
        <w:rPr>
          <w:rStyle w:val="44"/>
          <w:rFonts w:asciiTheme="minorEastAsia" w:hAnsiTheme="minorEastAsia" w:eastAsiaTheme="minorEastAsia"/>
          <w:sz w:val="30"/>
          <w:szCs w:val="30"/>
        </w:rPr>
        <w:t>联系电话：</w:t>
      </w:r>
    </w:p>
    <w:p w14:paraId="1946ECAC">
      <w:pPr>
        <w:snapToGrid w:val="0"/>
        <w:ind w:right="2278" w:firstLine="900" w:firstLineChars="300"/>
        <w:rPr>
          <w:rStyle w:val="44"/>
          <w:rFonts w:asciiTheme="minorEastAsia" w:hAnsiTheme="minorEastAsia" w:eastAsiaTheme="minorEastAsia"/>
          <w:sz w:val="30"/>
          <w:szCs w:val="30"/>
        </w:rPr>
      </w:pPr>
      <w:r>
        <w:rPr>
          <w:rStyle w:val="44"/>
          <w:rFonts w:asciiTheme="minorEastAsia" w:hAnsiTheme="minorEastAsia" w:eastAsiaTheme="minorEastAsia"/>
          <w:sz w:val="30"/>
          <w:szCs w:val="30"/>
        </w:rPr>
        <w:t>日期：</w:t>
      </w:r>
    </w:p>
    <w:p w14:paraId="1A6D371A">
      <w:pPr>
        <w:snapToGrid w:val="0"/>
        <w:spacing w:line="320" w:lineRule="exact"/>
        <w:ind w:right="2278" w:firstLine="900" w:firstLineChars="300"/>
        <w:rPr>
          <w:rStyle w:val="44"/>
          <w:rFonts w:asciiTheme="minorEastAsia" w:hAnsiTheme="minorEastAsia" w:eastAsiaTheme="minorEastAsia"/>
          <w:sz w:val="30"/>
          <w:szCs w:val="30"/>
        </w:rPr>
      </w:pPr>
    </w:p>
    <w:p w14:paraId="30B26D58">
      <w:pPr>
        <w:spacing w:line="480" w:lineRule="exact"/>
        <w:rPr>
          <w:rFonts w:cs="微软雅黑" w:asciiTheme="minorEastAsia" w:hAnsiTheme="minorEastAsia" w:eastAsiaTheme="minorEastAsia"/>
          <w:b/>
          <w:bCs/>
          <w:sz w:val="30"/>
          <w:szCs w:val="30"/>
        </w:rPr>
      </w:pPr>
    </w:p>
    <w:p w14:paraId="71314AD9">
      <w:pPr>
        <w:spacing w:line="460" w:lineRule="exact"/>
        <w:ind w:firstLine="562" w:firstLineChars="200"/>
        <w:rPr>
          <w:rFonts w:cs="微软雅黑" w:asciiTheme="minorEastAsia" w:hAnsiTheme="minorEastAsia" w:eastAsiaTheme="minorEastAsia"/>
          <w:b/>
          <w:bCs/>
          <w:sz w:val="28"/>
          <w:szCs w:val="28"/>
        </w:rPr>
      </w:pPr>
    </w:p>
    <w:p w14:paraId="0939C182">
      <w:pPr>
        <w:spacing w:line="460" w:lineRule="exact"/>
        <w:ind w:firstLine="482" w:firstLineChars="200"/>
        <w:rPr>
          <w:rFonts w:cs="Times New Roman" w:asciiTheme="minorEastAsia" w:hAnsiTheme="minorEastAsia" w:eastAsiaTheme="minorEastAsia"/>
          <w:b/>
          <w:bCs/>
          <w:sz w:val="24"/>
          <w:szCs w:val="24"/>
        </w:rPr>
      </w:pPr>
      <w:r>
        <w:rPr>
          <w:rFonts w:hint="eastAsia" w:cs="微软雅黑" w:asciiTheme="minorEastAsia" w:hAnsiTheme="minorEastAsia" w:eastAsiaTheme="minorEastAsia"/>
          <w:b/>
          <w:bCs/>
          <w:sz w:val="24"/>
          <w:szCs w:val="24"/>
        </w:rPr>
        <w:t>请投标人按照以下文件要求的格式、内容制作投标文件，并按以下顺序编制目录及页码，否则可能将影响对投标文件的评价。</w:t>
      </w:r>
    </w:p>
    <w:p w14:paraId="6A967703">
      <w:pPr>
        <w:spacing w:line="46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．投标函（表</w:t>
      </w: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w:t>
      </w:r>
    </w:p>
    <w:p w14:paraId="681766CD">
      <w:pPr>
        <w:spacing w:line="46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．投标人基本情况（表</w:t>
      </w: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w:t>
      </w:r>
    </w:p>
    <w:p w14:paraId="073525E4">
      <w:pPr>
        <w:spacing w:line="46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．营业执照副本、组织机构代码证、税务登记证</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或新版合法的“三证合一、一照一码”营业执照副本</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和有关资格证书复印件</w:t>
      </w:r>
    </w:p>
    <w:p w14:paraId="2EBD7A76">
      <w:pPr>
        <w:spacing w:line="46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．法人授权委托证明书（表</w:t>
      </w: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，投标文件正本原件，副本复印件）</w:t>
      </w:r>
    </w:p>
    <w:p w14:paraId="176C9F07">
      <w:pPr>
        <w:spacing w:line="46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w:t>
      </w:r>
      <w:r>
        <w:rPr>
          <w:rFonts w:hint="eastAsia" w:cs="仿宋_GB2312" w:asciiTheme="minorEastAsia" w:hAnsiTheme="minorEastAsia" w:eastAsiaTheme="minorEastAsia"/>
          <w:sz w:val="24"/>
          <w:szCs w:val="24"/>
        </w:rPr>
        <w:t>．具有良好的商业信誉和健全的财务会计制度(提供承诺函）</w:t>
      </w:r>
    </w:p>
    <w:p w14:paraId="6CC0A63B">
      <w:pPr>
        <w:spacing w:line="46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6.</w:t>
      </w:r>
      <w:r>
        <w:rPr>
          <w:rFonts w:hint="eastAsia" w:cs="仿宋_GB2312" w:asciiTheme="minorEastAsia" w:hAnsiTheme="minorEastAsia" w:eastAsiaTheme="minorEastAsia"/>
          <w:sz w:val="24"/>
          <w:szCs w:val="24"/>
        </w:rPr>
        <w:t xml:space="preserve"> 具有履行合同所必需的设备和专业技术能力（提供承诺书）</w:t>
      </w:r>
    </w:p>
    <w:p w14:paraId="25B55C6A">
      <w:pPr>
        <w:spacing w:line="46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7</w:t>
      </w:r>
      <w:r>
        <w:rPr>
          <w:rFonts w:hint="eastAsia" w:cs="仿宋_GB2312" w:asciiTheme="minorEastAsia" w:hAnsiTheme="minorEastAsia" w:eastAsiaTheme="minorEastAsia"/>
          <w:sz w:val="24"/>
          <w:szCs w:val="24"/>
        </w:rPr>
        <w:t>．具有依法缴纳税收和社会保障资金的良好记录（提供承诺函）</w:t>
      </w:r>
    </w:p>
    <w:p w14:paraId="53E47995">
      <w:pPr>
        <w:spacing w:line="4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 参加本次政府采购活动前三年内，在经营活动中没有重大违法记录（</w:t>
      </w:r>
      <w:r>
        <w:rPr>
          <w:rFonts w:cs="仿宋_GB2312" w:asciiTheme="minorEastAsia" w:hAnsiTheme="minorEastAsia" w:eastAsiaTheme="minorEastAsia"/>
          <w:sz w:val="24"/>
          <w:szCs w:val="24"/>
        </w:rPr>
        <w:t>成立不足三年的从成立之日起计算</w:t>
      </w:r>
      <w:r>
        <w:rPr>
          <w:rFonts w:hint="eastAsia" w:cs="仿宋_GB2312" w:asciiTheme="minorEastAsia" w:hAnsiTheme="minorEastAsia" w:eastAsiaTheme="minorEastAsia"/>
          <w:sz w:val="24"/>
          <w:szCs w:val="24"/>
        </w:rPr>
        <w:t>，提供声明）；</w:t>
      </w:r>
    </w:p>
    <w:p w14:paraId="0B268035">
      <w:pPr>
        <w:spacing w:line="4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9.</w:t>
      </w:r>
      <w:r>
        <w:rPr>
          <w:rFonts w:cs="仿宋_GB2312" w:asciiTheme="minorEastAsia" w:hAnsiTheme="minorEastAsia" w:eastAsiaTheme="minorEastAsia"/>
          <w:sz w:val="24"/>
          <w:szCs w:val="24"/>
        </w:rPr>
        <w:t xml:space="preserve"> 参加政府采购活动前三年内，在经营活动中没有环保类行政处罚记录（成立不足三年的从成立之日起计算</w:t>
      </w:r>
      <w:r>
        <w:rPr>
          <w:rFonts w:hint="eastAsia" w:cs="仿宋_GB2312" w:asciiTheme="minorEastAsia" w:hAnsiTheme="minorEastAsia" w:eastAsiaTheme="minorEastAsia"/>
          <w:sz w:val="24"/>
          <w:szCs w:val="24"/>
        </w:rPr>
        <w:t>，提供声明</w:t>
      </w:r>
      <w:r>
        <w:rPr>
          <w:rFonts w:cs="仿宋_GB2312" w:asciiTheme="minorEastAsia" w:hAnsiTheme="minorEastAsia" w:eastAsiaTheme="minorEastAsia"/>
          <w:sz w:val="24"/>
          <w:szCs w:val="24"/>
        </w:rPr>
        <w:t>）</w:t>
      </w:r>
    </w:p>
    <w:p w14:paraId="3B293EDF">
      <w:pPr>
        <w:spacing w:line="4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10．在有效期内的食品经营许可证</w:t>
      </w:r>
    </w:p>
    <w:p w14:paraId="59701CBB">
      <w:pPr>
        <w:pStyle w:val="1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11. 提供三年内未被立案查处、未发生食物中毒事件、消防安全等方面的不良记录承诺书。</w:t>
      </w:r>
    </w:p>
    <w:p w14:paraId="7346A3B4">
      <w:pPr>
        <w:spacing w:line="46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2．投标人认为需要的其它证明材料（包括其他承诺函等）</w:t>
      </w:r>
    </w:p>
    <w:p w14:paraId="7B4FC08B">
      <w:pPr>
        <w:spacing w:line="460" w:lineRule="exact"/>
        <w:ind w:firstLine="360" w:firstLineChars="150"/>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）资质认证证书</w:t>
      </w:r>
    </w:p>
    <w:p w14:paraId="2750A00B">
      <w:pPr>
        <w:spacing w:line="460" w:lineRule="exact"/>
        <w:ind w:firstLine="465"/>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）企业信誉</w:t>
      </w:r>
    </w:p>
    <w:p w14:paraId="42E8936C">
      <w:pPr>
        <w:spacing w:line="460" w:lineRule="exact"/>
        <w:ind w:firstLine="46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）企业业绩</w:t>
      </w:r>
    </w:p>
    <w:p w14:paraId="7BF2E924">
      <w:pPr>
        <w:spacing w:line="460" w:lineRule="exact"/>
        <w:ind w:firstLine="465"/>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4）相关方案</w:t>
      </w:r>
    </w:p>
    <w:p w14:paraId="6E6B0291">
      <w:pPr>
        <w:spacing w:line="460" w:lineRule="exact"/>
        <w:ind w:firstLine="46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w:t>
      </w:r>
      <w:r>
        <w:rPr>
          <w:rFonts w:cs="仿宋_GB2312" w:asciiTheme="minorEastAsia" w:hAnsiTheme="minorEastAsia" w:eastAsiaTheme="minorEastAsia"/>
          <w:sz w:val="24"/>
          <w:szCs w:val="24"/>
        </w:rPr>
        <w:t>）其他证明材料或承诺函等。</w:t>
      </w:r>
    </w:p>
    <w:p w14:paraId="712AA060">
      <w:pPr>
        <w:spacing w:line="460" w:lineRule="exact"/>
        <w:ind w:firstLine="560" w:firstLineChars="200"/>
        <w:rPr>
          <w:rFonts w:cs="仿宋_GB2312" w:asciiTheme="minorEastAsia" w:hAnsiTheme="minorEastAsia" w:eastAsiaTheme="minorEastAsia"/>
          <w:sz w:val="28"/>
          <w:szCs w:val="28"/>
        </w:rPr>
      </w:pPr>
    </w:p>
    <w:p w14:paraId="3F3B9FE2">
      <w:pPr>
        <w:spacing w:line="460" w:lineRule="exact"/>
        <w:ind w:firstLine="560" w:firstLineChars="200"/>
        <w:rPr>
          <w:rFonts w:cs="仿宋_GB2312" w:asciiTheme="minorEastAsia" w:hAnsiTheme="minorEastAsia" w:eastAsiaTheme="minorEastAsia"/>
          <w:sz w:val="28"/>
          <w:szCs w:val="28"/>
        </w:rPr>
      </w:pPr>
    </w:p>
    <w:p w14:paraId="267D621B">
      <w:pPr>
        <w:pStyle w:val="15"/>
      </w:pPr>
    </w:p>
    <w:p w14:paraId="60892F4A"/>
    <w:p w14:paraId="763CF7E0">
      <w:pPr>
        <w:rPr>
          <w:rFonts w:cs="仿宋_GB2312" w:asciiTheme="minorEastAsia" w:hAnsiTheme="minorEastAsia" w:eastAsiaTheme="minorEastAsia"/>
          <w:sz w:val="24"/>
          <w:szCs w:val="24"/>
        </w:rPr>
      </w:pPr>
      <w:r>
        <w:rPr>
          <w:rFonts w:cs="仿宋_GB2312" w:asciiTheme="minorEastAsia" w:hAnsiTheme="minorEastAsia" w:eastAsiaTheme="minorEastAsia"/>
          <w:sz w:val="28"/>
          <w:szCs w:val="28"/>
        </w:rPr>
        <w:br w:type="page"/>
      </w:r>
      <w:r>
        <w:rPr>
          <w:rFonts w:cs="仿宋_GB2312" w:asciiTheme="minorEastAsia" w:hAnsiTheme="minorEastAsia" w:eastAsiaTheme="minorEastAsia"/>
          <w:b/>
          <w:bCs/>
          <w:sz w:val="24"/>
          <w:szCs w:val="24"/>
        </w:rPr>
        <w:t>1</w:t>
      </w:r>
      <w:r>
        <w:rPr>
          <w:rFonts w:hint="eastAsia" w:cs="仿宋_GB2312" w:asciiTheme="minorEastAsia" w:hAnsiTheme="minorEastAsia" w:eastAsiaTheme="minorEastAsia"/>
          <w:b/>
          <w:bCs/>
          <w:sz w:val="24"/>
          <w:szCs w:val="24"/>
        </w:rPr>
        <w:t>3</w:t>
      </w:r>
      <w:r>
        <w:rPr>
          <w:rFonts w:cs="仿宋_GB2312" w:asciiTheme="minorEastAsia" w:hAnsiTheme="minorEastAsia" w:eastAsiaTheme="minorEastAsia"/>
          <w:b/>
          <w:bCs/>
          <w:sz w:val="24"/>
          <w:szCs w:val="24"/>
        </w:rPr>
        <w:t>.</w:t>
      </w:r>
      <w:r>
        <w:rPr>
          <w:rFonts w:hint="eastAsia" w:cs="仿宋_GB2312" w:asciiTheme="minorEastAsia" w:hAnsiTheme="minorEastAsia" w:eastAsiaTheme="minorEastAsia"/>
          <w:b/>
          <w:bCs/>
          <w:sz w:val="24"/>
          <w:szCs w:val="24"/>
        </w:rPr>
        <w:t>特别说明：</w:t>
      </w:r>
    </w:p>
    <w:p w14:paraId="338069AF">
      <w:pPr>
        <w:spacing w:line="460" w:lineRule="exact"/>
        <w:ind w:firstLine="482" w:firstLineChars="200"/>
        <w:rPr>
          <w:rFonts w:cs="华文中宋"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w:t>
      </w:r>
      <w:r>
        <w:rPr>
          <w:rFonts w:cs="仿宋_GB2312" w:asciiTheme="minorEastAsia" w:hAnsiTheme="minorEastAsia" w:eastAsiaTheme="minorEastAsia"/>
          <w:b/>
          <w:bCs/>
          <w:sz w:val="24"/>
          <w:szCs w:val="24"/>
        </w:rPr>
        <w:t>1）投标人在投标文件中标明</w:t>
      </w:r>
      <w:r>
        <w:rPr>
          <w:rFonts w:hint="eastAsia" w:cs="华文中宋" w:asciiTheme="minorEastAsia" w:hAnsiTheme="minorEastAsia" w:eastAsiaTheme="minorEastAsia"/>
          <w:b/>
          <w:bCs/>
          <w:sz w:val="24"/>
          <w:szCs w:val="24"/>
        </w:rPr>
        <w:t>资格性审查表比选内容对应的页码，如下：</w:t>
      </w:r>
    </w:p>
    <w:p w14:paraId="32A9F335">
      <w:pPr>
        <w:spacing w:line="36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资格性审查表</w:t>
      </w:r>
    </w:p>
    <w:p w14:paraId="3E9B5BBD">
      <w:pPr>
        <w:spacing w:line="36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（评审专家审查）</w:t>
      </w:r>
    </w:p>
    <w:tbl>
      <w:tblPr>
        <w:tblStyle w:val="22"/>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50"/>
        <w:gridCol w:w="6379"/>
        <w:gridCol w:w="992"/>
      </w:tblGrid>
      <w:tr w14:paraId="2403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Align w:val="center"/>
          </w:tcPr>
          <w:p w14:paraId="50E541D8">
            <w:pPr>
              <w:spacing w:line="2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序号</w:t>
            </w:r>
          </w:p>
        </w:tc>
        <w:tc>
          <w:tcPr>
            <w:tcW w:w="1350" w:type="dxa"/>
            <w:vAlign w:val="center"/>
          </w:tcPr>
          <w:p w14:paraId="007FE130">
            <w:pPr>
              <w:spacing w:line="2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审查项目</w:t>
            </w:r>
          </w:p>
        </w:tc>
        <w:tc>
          <w:tcPr>
            <w:tcW w:w="6379" w:type="dxa"/>
            <w:vAlign w:val="center"/>
          </w:tcPr>
          <w:p w14:paraId="5834FB0D">
            <w:pPr>
              <w:spacing w:line="2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评议内容</w:t>
            </w:r>
          </w:p>
        </w:tc>
        <w:tc>
          <w:tcPr>
            <w:tcW w:w="992" w:type="dxa"/>
            <w:vAlign w:val="center"/>
          </w:tcPr>
          <w:p w14:paraId="233F0B38">
            <w:pPr>
              <w:spacing w:line="28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所在页码</w:t>
            </w:r>
          </w:p>
        </w:tc>
      </w:tr>
      <w:tr w14:paraId="5936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restart"/>
            <w:vAlign w:val="center"/>
          </w:tcPr>
          <w:p w14:paraId="778377EB">
            <w:pPr>
              <w:spacing w:line="280" w:lineRule="exact"/>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p>
        </w:tc>
        <w:tc>
          <w:tcPr>
            <w:tcW w:w="1350" w:type="dxa"/>
            <w:vMerge w:val="restart"/>
            <w:vAlign w:val="center"/>
          </w:tcPr>
          <w:p w14:paraId="090203C2">
            <w:pPr>
              <w:spacing w:line="2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相关资格证明文件</w:t>
            </w:r>
          </w:p>
        </w:tc>
        <w:tc>
          <w:tcPr>
            <w:tcW w:w="6379" w:type="dxa"/>
            <w:vAlign w:val="center"/>
          </w:tcPr>
          <w:p w14:paraId="4655AF16">
            <w:pPr>
              <w:spacing w:line="28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sz w:val="24"/>
                <w:szCs w:val="24"/>
              </w:rPr>
              <w:t>营业执照副本、组织机构代码证、税务登记证有效或按照国家“三证合一、一照一码”登记制度申请核发的新版合法的营业执照（复印件加盖公章）</w:t>
            </w:r>
            <w:r>
              <w:rPr>
                <w:rFonts w:hint="eastAsia" w:cs="宋体" w:asciiTheme="minorEastAsia" w:hAnsiTheme="minorEastAsia" w:eastAsiaTheme="minorEastAsia"/>
                <w:kern w:val="0"/>
                <w:sz w:val="24"/>
              </w:rPr>
              <w:t>；</w:t>
            </w:r>
          </w:p>
        </w:tc>
        <w:tc>
          <w:tcPr>
            <w:tcW w:w="992" w:type="dxa"/>
            <w:vAlign w:val="center"/>
          </w:tcPr>
          <w:p w14:paraId="6A29F044">
            <w:pPr>
              <w:spacing w:line="280" w:lineRule="exact"/>
              <w:jc w:val="center"/>
              <w:rPr>
                <w:rFonts w:cs="Times New Roman" w:asciiTheme="minorEastAsia" w:hAnsiTheme="minorEastAsia" w:eastAsiaTheme="minorEastAsia"/>
                <w:kern w:val="0"/>
                <w:sz w:val="24"/>
                <w:szCs w:val="24"/>
              </w:rPr>
            </w:pPr>
          </w:p>
        </w:tc>
      </w:tr>
      <w:tr w14:paraId="65DF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33C3999B">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64291CAE">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7BFD603F">
            <w:pPr>
              <w:spacing w:line="280" w:lineRule="exact"/>
              <w:jc w:val="left"/>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rPr>
              <w:t>具有良好的商业信誉和健全的财务会计制度(提供承诺函）；</w:t>
            </w:r>
          </w:p>
        </w:tc>
        <w:tc>
          <w:tcPr>
            <w:tcW w:w="992" w:type="dxa"/>
            <w:vAlign w:val="center"/>
          </w:tcPr>
          <w:p w14:paraId="738EF2DB">
            <w:pPr>
              <w:spacing w:line="280" w:lineRule="exact"/>
              <w:jc w:val="center"/>
              <w:rPr>
                <w:rFonts w:cs="Times New Roman" w:asciiTheme="minorEastAsia" w:hAnsiTheme="minorEastAsia" w:eastAsiaTheme="minorEastAsia"/>
                <w:kern w:val="0"/>
                <w:sz w:val="24"/>
                <w:szCs w:val="24"/>
              </w:rPr>
            </w:pPr>
          </w:p>
        </w:tc>
      </w:tr>
      <w:tr w14:paraId="6794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2A045958">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0F00D2E3">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30A72F01">
            <w:pPr>
              <w:spacing w:line="280" w:lineRule="exact"/>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rPr>
              <w:t>具有履行合同所必需的设备和专业技术能力（提供承诺书）；</w:t>
            </w:r>
          </w:p>
        </w:tc>
        <w:tc>
          <w:tcPr>
            <w:tcW w:w="992" w:type="dxa"/>
            <w:vAlign w:val="center"/>
          </w:tcPr>
          <w:p w14:paraId="354F064B">
            <w:pPr>
              <w:spacing w:line="280" w:lineRule="exact"/>
              <w:jc w:val="center"/>
              <w:rPr>
                <w:rFonts w:cs="Times New Roman" w:asciiTheme="minorEastAsia" w:hAnsiTheme="minorEastAsia" w:eastAsiaTheme="minorEastAsia"/>
                <w:kern w:val="0"/>
                <w:sz w:val="24"/>
                <w:szCs w:val="24"/>
              </w:rPr>
            </w:pPr>
          </w:p>
        </w:tc>
      </w:tr>
      <w:tr w14:paraId="689D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582B57BA">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0E3F0DA1">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59861ED4">
            <w:pPr>
              <w:spacing w:line="280" w:lineRule="exact"/>
              <w:rPr>
                <w:rFonts w:cs="仿宋_GB2312" w:asciiTheme="minorEastAsia" w:hAnsiTheme="minorEastAsia" w:eastAsiaTheme="minorEastAsia"/>
                <w:kern w:val="0"/>
                <w:sz w:val="24"/>
                <w:szCs w:val="24"/>
              </w:rPr>
            </w:pPr>
            <w:r>
              <w:rPr>
                <w:rFonts w:hint="eastAsia" w:cs="宋体" w:asciiTheme="minorEastAsia" w:hAnsiTheme="minorEastAsia" w:eastAsiaTheme="minorEastAsia"/>
                <w:kern w:val="0"/>
                <w:sz w:val="24"/>
              </w:rPr>
              <w:t>具有依法缴纳税收和社会保障资金的良好记录（提供承诺函）；</w:t>
            </w:r>
          </w:p>
        </w:tc>
        <w:tc>
          <w:tcPr>
            <w:tcW w:w="992" w:type="dxa"/>
            <w:vAlign w:val="center"/>
          </w:tcPr>
          <w:p w14:paraId="4C377FAD">
            <w:pPr>
              <w:spacing w:line="280" w:lineRule="exact"/>
              <w:jc w:val="center"/>
              <w:rPr>
                <w:rFonts w:cs="Times New Roman" w:asciiTheme="minorEastAsia" w:hAnsiTheme="minorEastAsia" w:eastAsiaTheme="minorEastAsia"/>
                <w:kern w:val="0"/>
                <w:sz w:val="24"/>
                <w:szCs w:val="24"/>
              </w:rPr>
            </w:pPr>
          </w:p>
        </w:tc>
      </w:tr>
      <w:tr w14:paraId="2AD9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52B85D1F">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619D7D17">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230E1B80">
            <w:pPr>
              <w:spacing w:line="260" w:lineRule="exact"/>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rPr>
              <w:t>加本次政府采购活动前三年内，在经营活动中没有重大违法记录（</w:t>
            </w:r>
            <w:r>
              <w:rPr>
                <w:rFonts w:cs="宋体" w:asciiTheme="minorEastAsia" w:hAnsiTheme="minorEastAsia" w:eastAsiaTheme="minorEastAsia"/>
                <w:kern w:val="0"/>
                <w:sz w:val="24"/>
              </w:rPr>
              <w:t>成立不足三年的从成立之日起计算</w:t>
            </w:r>
            <w:r>
              <w:rPr>
                <w:rFonts w:hint="eastAsia" w:cs="宋体" w:asciiTheme="minorEastAsia" w:hAnsiTheme="minorEastAsia" w:eastAsiaTheme="minorEastAsia"/>
                <w:kern w:val="0"/>
                <w:sz w:val="24"/>
              </w:rPr>
              <w:t>，提供声明）；</w:t>
            </w:r>
          </w:p>
        </w:tc>
        <w:tc>
          <w:tcPr>
            <w:tcW w:w="992" w:type="dxa"/>
            <w:vAlign w:val="center"/>
          </w:tcPr>
          <w:p w14:paraId="54CF8E60">
            <w:pPr>
              <w:spacing w:line="280" w:lineRule="exact"/>
              <w:jc w:val="center"/>
              <w:rPr>
                <w:rFonts w:cs="Times New Roman" w:asciiTheme="minorEastAsia" w:hAnsiTheme="minorEastAsia" w:eastAsiaTheme="minorEastAsia"/>
                <w:kern w:val="0"/>
                <w:sz w:val="24"/>
                <w:szCs w:val="24"/>
              </w:rPr>
            </w:pPr>
          </w:p>
        </w:tc>
      </w:tr>
      <w:tr w14:paraId="04F5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70295888">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42EC3CDC">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0E834630">
            <w:pPr>
              <w:spacing w:line="280" w:lineRule="exact"/>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rPr>
              <w:t>参加政府采购活动前三年内，在经营活动中没有环保类行政处罚记录（成立不足三年的从成立之日起计算</w:t>
            </w:r>
            <w:r>
              <w:rPr>
                <w:rFonts w:hint="eastAsia" w:cs="宋体" w:asciiTheme="minorEastAsia" w:hAnsiTheme="minorEastAsia" w:eastAsiaTheme="minorEastAsia"/>
                <w:kern w:val="0"/>
                <w:sz w:val="24"/>
              </w:rPr>
              <w:t>，提供声明</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w:t>
            </w:r>
          </w:p>
        </w:tc>
        <w:tc>
          <w:tcPr>
            <w:tcW w:w="992" w:type="dxa"/>
            <w:vAlign w:val="center"/>
          </w:tcPr>
          <w:p w14:paraId="3C8ABB4B">
            <w:pPr>
              <w:spacing w:line="280" w:lineRule="exact"/>
              <w:jc w:val="center"/>
              <w:rPr>
                <w:rFonts w:cs="Times New Roman" w:asciiTheme="minorEastAsia" w:hAnsiTheme="minorEastAsia" w:eastAsiaTheme="minorEastAsia"/>
                <w:kern w:val="0"/>
                <w:sz w:val="24"/>
                <w:szCs w:val="24"/>
              </w:rPr>
            </w:pPr>
          </w:p>
        </w:tc>
      </w:tr>
      <w:tr w14:paraId="66FB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45FFEA54">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2015B66D">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5778A176">
            <w:pPr>
              <w:spacing w:line="28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投标时提供投标人投标承诺函；</w:t>
            </w:r>
          </w:p>
        </w:tc>
        <w:tc>
          <w:tcPr>
            <w:tcW w:w="992" w:type="dxa"/>
            <w:vAlign w:val="center"/>
          </w:tcPr>
          <w:p w14:paraId="003EB8DF">
            <w:pPr>
              <w:spacing w:line="280" w:lineRule="exact"/>
              <w:jc w:val="center"/>
              <w:rPr>
                <w:rFonts w:cs="Times New Roman" w:asciiTheme="minorEastAsia" w:hAnsiTheme="minorEastAsia" w:eastAsiaTheme="minorEastAsia"/>
                <w:kern w:val="0"/>
                <w:sz w:val="24"/>
                <w:szCs w:val="24"/>
              </w:rPr>
            </w:pPr>
          </w:p>
        </w:tc>
      </w:tr>
      <w:tr w14:paraId="3F00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7015CDB7">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69AA611A">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2C2EAD25">
            <w:pPr>
              <w:spacing w:line="28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提供三年内未被立案查处、未发生食物中毒事件、消防安全等方面的不良记录承诺书；</w:t>
            </w:r>
          </w:p>
        </w:tc>
        <w:tc>
          <w:tcPr>
            <w:tcW w:w="992" w:type="dxa"/>
            <w:vAlign w:val="center"/>
          </w:tcPr>
          <w:p w14:paraId="638A13A6">
            <w:pPr>
              <w:spacing w:line="280" w:lineRule="exact"/>
              <w:jc w:val="center"/>
              <w:rPr>
                <w:rFonts w:cs="Times New Roman" w:asciiTheme="minorEastAsia" w:hAnsiTheme="minorEastAsia" w:eastAsiaTheme="minorEastAsia"/>
                <w:kern w:val="0"/>
                <w:sz w:val="24"/>
                <w:szCs w:val="24"/>
              </w:rPr>
            </w:pPr>
          </w:p>
        </w:tc>
      </w:tr>
      <w:tr w14:paraId="5DB5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6420FF29">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11CE39BF">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070BB15E">
            <w:pPr>
              <w:spacing w:line="28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应具备应对台风等自然灾害的应急处置能力，确保受灾期间正常供餐（提供承诺函）；</w:t>
            </w:r>
          </w:p>
        </w:tc>
        <w:tc>
          <w:tcPr>
            <w:tcW w:w="992" w:type="dxa"/>
            <w:vAlign w:val="center"/>
          </w:tcPr>
          <w:p w14:paraId="4EB2BBDC">
            <w:pPr>
              <w:spacing w:line="280" w:lineRule="exact"/>
              <w:jc w:val="center"/>
              <w:rPr>
                <w:rFonts w:cs="Times New Roman" w:asciiTheme="minorEastAsia" w:hAnsiTheme="minorEastAsia" w:eastAsiaTheme="minorEastAsia"/>
                <w:kern w:val="0"/>
                <w:sz w:val="24"/>
                <w:szCs w:val="24"/>
              </w:rPr>
            </w:pPr>
          </w:p>
        </w:tc>
      </w:tr>
      <w:tr w14:paraId="2008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5FA987D7">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15FA4F3A">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3D228474">
            <w:pPr>
              <w:spacing w:line="280" w:lineRule="exact"/>
              <w:rPr>
                <w:rFonts w:cs="仿宋_GB2312" w:asciiTheme="minorEastAsia" w:hAnsiTheme="minorEastAsia" w:eastAsiaTheme="minorEastAsia"/>
                <w:sz w:val="24"/>
                <w:szCs w:val="24"/>
              </w:rPr>
            </w:pPr>
            <w:r>
              <w:rPr>
                <w:rFonts w:hint="eastAsia" w:cs="宋体" w:asciiTheme="minorEastAsia" w:hAnsiTheme="minorEastAsia" w:eastAsiaTheme="minorEastAsia"/>
                <w:kern w:val="0"/>
                <w:sz w:val="24"/>
              </w:rPr>
              <w:t>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tc>
        <w:tc>
          <w:tcPr>
            <w:tcW w:w="992" w:type="dxa"/>
            <w:vAlign w:val="center"/>
          </w:tcPr>
          <w:p w14:paraId="78BCADD0">
            <w:pPr>
              <w:spacing w:line="280" w:lineRule="exact"/>
              <w:jc w:val="center"/>
              <w:rPr>
                <w:rFonts w:cs="Times New Roman" w:asciiTheme="minorEastAsia" w:hAnsiTheme="minorEastAsia" w:eastAsiaTheme="minorEastAsia"/>
                <w:kern w:val="0"/>
                <w:sz w:val="24"/>
                <w:szCs w:val="24"/>
              </w:rPr>
            </w:pPr>
          </w:p>
        </w:tc>
      </w:tr>
      <w:tr w14:paraId="1518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6" w:type="dxa"/>
            <w:gridSpan w:val="3"/>
            <w:vAlign w:val="center"/>
          </w:tcPr>
          <w:p w14:paraId="6C78C829">
            <w:pPr>
              <w:spacing w:line="2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结论</w:t>
            </w:r>
          </w:p>
        </w:tc>
        <w:tc>
          <w:tcPr>
            <w:tcW w:w="992" w:type="dxa"/>
            <w:vAlign w:val="center"/>
          </w:tcPr>
          <w:p w14:paraId="40FE5302">
            <w:pPr>
              <w:spacing w:line="280" w:lineRule="exact"/>
              <w:jc w:val="center"/>
              <w:rPr>
                <w:rFonts w:cs="Times New Roman" w:asciiTheme="minorEastAsia" w:hAnsiTheme="minorEastAsia" w:eastAsiaTheme="minorEastAsia"/>
                <w:kern w:val="0"/>
                <w:sz w:val="24"/>
                <w:szCs w:val="24"/>
              </w:rPr>
            </w:pPr>
          </w:p>
        </w:tc>
      </w:tr>
    </w:tbl>
    <w:p w14:paraId="373FC9CB">
      <w:pPr>
        <w:spacing w:line="460" w:lineRule="exact"/>
        <w:rPr>
          <w:rFonts w:cs="仿宋_GB2312" w:asciiTheme="minorEastAsia" w:hAnsiTheme="minorEastAsia" w:eastAsiaTheme="minorEastAsia"/>
          <w:b/>
          <w:bCs/>
          <w:sz w:val="32"/>
          <w:szCs w:val="32"/>
        </w:rPr>
      </w:pPr>
    </w:p>
    <w:p w14:paraId="47813479">
      <w:pPr>
        <w:spacing w:line="460" w:lineRule="exact"/>
        <w:rPr>
          <w:rFonts w:cs="仿宋_GB2312" w:asciiTheme="minorEastAsia" w:hAnsiTheme="minorEastAsia" w:eastAsiaTheme="minorEastAsia"/>
          <w:b/>
          <w:bCs/>
          <w:sz w:val="32"/>
          <w:szCs w:val="32"/>
        </w:rPr>
      </w:pPr>
    </w:p>
    <w:p w14:paraId="0381DFE6">
      <w:pPr>
        <w:pStyle w:val="15"/>
      </w:pPr>
    </w:p>
    <w:p w14:paraId="6D9BD2E5"/>
    <w:p w14:paraId="64A5E911">
      <w:pPr>
        <w:pStyle w:val="15"/>
      </w:pPr>
    </w:p>
    <w:p w14:paraId="11BED025">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665971F5">
      <w:pPr>
        <w:spacing w:line="460" w:lineRule="exact"/>
        <w:rPr>
          <w:rFonts w:cs="华文中宋"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（2）投标人在投标文件中标明</w:t>
      </w:r>
      <w:r>
        <w:rPr>
          <w:rFonts w:hint="eastAsia" w:cs="华文中宋" w:asciiTheme="minorEastAsia" w:hAnsiTheme="minorEastAsia" w:eastAsiaTheme="minorEastAsia"/>
          <w:b/>
          <w:bCs/>
          <w:sz w:val="24"/>
          <w:szCs w:val="24"/>
        </w:rPr>
        <w:t>符合性审查表比选内容对应的页码，如下：</w:t>
      </w:r>
    </w:p>
    <w:p w14:paraId="50FB80D1">
      <w:pPr>
        <w:spacing w:line="460" w:lineRule="exact"/>
        <w:ind w:firstLine="482" w:firstLineChars="200"/>
        <w:rPr>
          <w:rFonts w:cs="华文中宋" w:asciiTheme="minorEastAsia" w:hAnsiTheme="minorEastAsia" w:eastAsiaTheme="minorEastAsia"/>
          <w:b/>
          <w:bCs/>
          <w:sz w:val="24"/>
          <w:szCs w:val="24"/>
        </w:rPr>
      </w:pPr>
    </w:p>
    <w:p w14:paraId="2B6819B8">
      <w:pPr>
        <w:spacing w:line="36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符合性审查表</w:t>
      </w:r>
    </w:p>
    <w:p w14:paraId="6F2A49C5">
      <w:pPr>
        <w:spacing w:line="36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（评审专家审查）</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636"/>
        <w:gridCol w:w="5333"/>
        <w:gridCol w:w="1867"/>
      </w:tblGrid>
      <w:tr w14:paraId="16E5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5" w:type="pct"/>
            <w:vAlign w:val="center"/>
          </w:tcPr>
          <w:p w14:paraId="0A17007D">
            <w:pPr>
              <w:spacing w:line="4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序号</w:t>
            </w:r>
          </w:p>
        </w:tc>
        <w:tc>
          <w:tcPr>
            <w:tcW w:w="821" w:type="pct"/>
            <w:vAlign w:val="center"/>
          </w:tcPr>
          <w:p w14:paraId="5518462A">
            <w:pPr>
              <w:spacing w:line="4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审查项目</w:t>
            </w:r>
          </w:p>
        </w:tc>
        <w:tc>
          <w:tcPr>
            <w:tcW w:w="2676" w:type="pct"/>
            <w:vAlign w:val="center"/>
          </w:tcPr>
          <w:p w14:paraId="26E9BA00">
            <w:pPr>
              <w:spacing w:line="4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评议内容</w:t>
            </w:r>
          </w:p>
        </w:tc>
        <w:tc>
          <w:tcPr>
            <w:tcW w:w="937" w:type="pct"/>
            <w:vAlign w:val="center"/>
          </w:tcPr>
          <w:p w14:paraId="5AD3ADD5">
            <w:pPr>
              <w:spacing w:line="48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所在页码</w:t>
            </w:r>
          </w:p>
        </w:tc>
      </w:tr>
      <w:tr w14:paraId="1CC1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5" w:type="pct"/>
            <w:vAlign w:val="center"/>
          </w:tcPr>
          <w:p w14:paraId="58615108">
            <w:pPr>
              <w:spacing w:line="320" w:lineRule="exact"/>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p>
        </w:tc>
        <w:tc>
          <w:tcPr>
            <w:tcW w:w="821" w:type="pct"/>
            <w:vAlign w:val="center"/>
          </w:tcPr>
          <w:p w14:paraId="3B81F1C3">
            <w:pPr>
              <w:spacing w:line="32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投标文件的有效性</w:t>
            </w:r>
          </w:p>
        </w:tc>
        <w:tc>
          <w:tcPr>
            <w:tcW w:w="2676" w:type="pct"/>
            <w:vAlign w:val="center"/>
          </w:tcPr>
          <w:p w14:paraId="0E2AF89A">
            <w:pPr>
              <w:spacing w:line="36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是否符合投标文件的式样和签署要求且内容完整无缺漏</w:t>
            </w:r>
            <w:r>
              <w:rPr>
                <w:rFonts w:hint="eastAsia" w:cs="宋体" w:asciiTheme="minorEastAsia" w:hAnsiTheme="minorEastAsia" w:eastAsiaTheme="minorEastAsia"/>
                <w:kern w:val="0"/>
                <w:sz w:val="24"/>
              </w:rPr>
              <w:t>；</w:t>
            </w:r>
          </w:p>
        </w:tc>
        <w:tc>
          <w:tcPr>
            <w:tcW w:w="937" w:type="pct"/>
            <w:vAlign w:val="center"/>
          </w:tcPr>
          <w:p w14:paraId="2BF59221">
            <w:pPr>
              <w:spacing w:line="480" w:lineRule="exact"/>
              <w:jc w:val="center"/>
              <w:rPr>
                <w:rFonts w:cs="Times New Roman" w:asciiTheme="minorEastAsia" w:hAnsiTheme="minorEastAsia" w:eastAsiaTheme="minorEastAsia"/>
                <w:kern w:val="0"/>
                <w:sz w:val="24"/>
                <w:szCs w:val="24"/>
              </w:rPr>
            </w:pPr>
          </w:p>
        </w:tc>
      </w:tr>
      <w:tr w14:paraId="62E5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5" w:type="pct"/>
            <w:vAlign w:val="center"/>
          </w:tcPr>
          <w:p w14:paraId="333B3984">
            <w:pPr>
              <w:spacing w:line="320" w:lineRule="exact"/>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p>
        </w:tc>
        <w:tc>
          <w:tcPr>
            <w:tcW w:w="821" w:type="pct"/>
            <w:vAlign w:val="center"/>
          </w:tcPr>
          <w:p w14:paraId="4F4C8259">
            <w:pPr>
              <w:spacing w:line="36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其它</w:t>
            </w:r>
          </w:p>
        </w:tc>
        <w:tc>
          <w:tcPr>
            <w:tcW w:w="2676" w:type="pct"/>
            <w:vAlign w:val="center"/>
          </w:tcPr>
          <w:p w14:paraId="6F0915FF">
            <w:pPr>
              <w:spacing w:line="36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sz w:val="24"/>
                <w:szCs w:val="24"/>
              </w:rPr>
              <w:t>依法取得食品经营许可证，并始终保持合法有效。投标人具有在有效期内的食品经营许可证或餐饮服务许可证，或投标人正在经营的学校食堂或企事业单位食堂已取得食品经营许可证或餐饮服务许可证的，视为符合条件</w:t>
            </w:r>
            <w:r>
              <w:rPr>
                <w:rFonts w:hint="eastAsia" w:cs="宋体" w:asciiTheme="minorEastAsia" w:hAnsiTheme="minorEastAsia" w:eastAsiaTheme="minorEastAsia"/>
                <w:kern w:val="0"/>
                <w:sz w:val="24"/>
              </w:rPr>
              <w:t>；</w:t>
            </w:r>
          </w:p>
        </w:tc>
        <w:tc>
          <w:tcPr>
            <w:tcW w:w="937" w:type="pct"/>
            <w:vAlign w:val="center"/>
          </w:tcPr>
          <w:p w14:paraId="6F3FC784">
            <w:pPr>
              <w:spacing w:line="480" w:lineRule="exact"/>
              <w:jc w:val="center"/>
              <w:rPr>
                <w:rFonts w:cs="Times New Roman" w:asciiTheme="minorEastAsia" w:hAnsiTheme="minorEastAsia" w:eastAsiaTheme="minorEastAsia"/>
                <w:kern w:val="0"/>
                <w:sz w:val="24"/>
                <w:szCs w:val="24"/>
              </w:rPr>
            </w:pPr>
          </w:p>
        </w:tc>
      </w:tr>
      <w:tr w14:paraId="3929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5" w:type="pct"/>
            <w:vAlign w:val="center"/>
          </w:tcPr>
          <w:p w14:paraId="7A936637">
            <w:pPr>
              <w:spacing w:line="32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3</w:t>
            </w:r>
          </w:p>
        </w:tc>
        <w:tc>
          <w:tcPr>
            <w:tcW w:w="821" w:type="pct"/>
            <w:vAlign w:val="center"/>
          </w:tcPr>
          <w:p w14:paraId="11EF0A5A">
            <w:pPr>
              <w:spacing w:line="2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投标有效期</w:t>
            </w:r>
          </w:p>
        </w:tc>
        <w:tc>
          <w:tcPr>
            <w:tcW w:w="2676" w:type="pct"/>
            <w:vAlign w:val="center"/>
          </w:tcPr>
          <w:p w14:paraId="05EDDB36">
            <w:pPr>
              <w:spacing w:line="28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投标有效期是否满足9</w:t>
            </w:r>
            <w:r>
              <w:rPr>
                <w:rFonts w:cs="仿宋_GB2312" w:asciiTheme="minorEastAsia" w:hAnsiTheme="minorEastAsia" w:eastAsiaTheme="minorEastAsia"/>
                <w:kern w:val="0"/>
                <w:sz w:val="24"/>
                <w:szCs w:val="24"/>
              </w:rPr>
              <w:t>0</w:t>
            </w:r>
            <w:r>
              <w:rPr>
                <w:rFonts w:hint="eastAsia" w:cs="仿宋_GB2312" w:asciiTheme="minorEastAsia" w:hAnsiTheme="minorEastAsia" w:eastAsiaTheme="minorEastAsia"/>
                <w:kern w:val="0"/>
                <w:sz w:val="24"/>
                <w:szCs w:val="24"/>
              </w:rPr>
              <w:t>天</w:t>
            </w:r>
            <w:r>
              <w:rPr>
                <w:rFonts w:hint="eastAsia" w:cs="宋体" w:asciiTheme="minorEastAsia" w:hAnsiTheme="minorEastAsia" w:eastAsiaTheme="minorEastAsia"/>
                <w:kern w:val="0"/>
                <w:sz w:val="24"/>
              </w:rPr>
              <w:t>；</w:t>
            </w:r>
          </w:p>
        </w:tc>
        <w:tc>
          <w:tcPr>
            <w:tcW w:w="937" w:type="pct"/>
            <w:vAlign w:val="center"/>
          </w:tcPr>
          <w:p w14:paraId="1052E58F">
            <w:pPr>
              <w:spacing w:line="480" w:lineRule="exact"/>
              <w:jc w:val="center"/>
              <w:rPr>
                <w:rFonts w:cs="Times New Roman" w:asciiTheme="minorEastAsia" w:hAnsiTheme="minorEastAsia" w:eastAsiaTheme="minorEastAsia"/>
                <w:kern w:val="0"/>
                <w:sz w:val="24"/>
                <w:szCs w:val="24"/>
              </w:rPr>
            </w:pPr>
          </w:p>
        </w:tc>
      </w:tr>
      <w:tr w14:paraId="69A9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5" w:type="pct"/>
            <w:vAlign w:val="center"/>
          </w:tcPr>
          <w:p w14:paraId="0719F223">
            <w:pPr>
              <w:spacing w:line="48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4</w:t>
            </w:r>
          </w:p>
        </w:tc>
        <w:tc>
          <w:tcPr>
            <w:tcW w:w="821" w:type="pct"/>
            <w:vAlign w:val="center"/>
          </w:tcPr>
          <w:p w14:paraId="4DFD34C1">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其他</w:t>
            </w:r>
          </w:p>
        </w:tc>
        <w:tc>
          <w:tcPr>
            <w:tcW w:w="2676" w:type="pct"/>
            <w:vAlign w:val="center"/>
          </w:tcPr>
          <w:p w14:paraId="172751E3">
            <w:pPr>
              <w:spacing w:line="36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无其它符合招标文件中或相关法律法规规定的无效投标认定条件。</w:t>
            </w:r>
          </w:p>
        </w:tc>
        <w:tc>
          <w:tcPr>
            <w:tcW w:w="937" w:type="pct"/>
            <w:vAlign w:val="center"/>
          </w:tcPr>
          <w:p w14:paraId="6C687711">
            <w:pPr>
              <w:spacing w:line="480" w:lineRule="exact"/>
              <w:jc w:val="center"/>
              <w:rPr>
                <w:rFonts w:cs="Times New Roman" w:asciiTheme="minorEastAsia" w:hAnsiTheme="minorEastAsia" w:eastAsiaTheme="minorEastAsia"/>
                <w:kern w:val="0"/>
                <w:sz w:val="24"/>
                <w:szCs w:val="24"/>
              </w:rPr>
            </w:pPr>
          </w:p>
        </w:tc>
      </w:tr>
      <w:tr w14:paraId="3721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62" w:type="pct"/>
            <w:gridSpan w:val="3"/>
            <w:vAlign w:val="center"/>
          </w:tcPr>
          <w:p w14:paraId="3340D925">
            <w:pPr>
              <w:spacing w:line="4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结论</w:t>
            </w:r>
          </w:p>
        </w:tc>
        <w:tc>
          <w:tcPr>
            <w:tcW w:w="937" w:type="pct"/>
            <w:vAlign w:val="center"/>
          </w:tcPr>
          <w:p w14:paraId="75D2C263">
            <w:pPr>
              <w:spacing w:line="480" w:lineRule="exact"/>
              <w:jc w:val="center"/>
              <w:rPr>
                <w:rFonts w:cs="Times New Roman" w:asciiTheme="minorEastAsia" w:hAnsiTheme="minorEastAsia" w:eastAsiaTheme="minorEastAsia"/>
                <w:kern w:val="0"/>
                <w:sz w:val="24"/>
                <w:szCs w:val="24"/>
              </w:rPr>
            </w:pPr>
          </w:p>
        </w:tc>
      </w:tr>
    </w:tbl>
    <w:p w14:paraId="26CB0924">
      <w:pPr>
        <w:spacing w:line="360" w:lineRule="exact"/>
        <w:jc w:val="center"/>
        <w:rPr>
          <w:rFonts w:cs="Times New Roman" w:asciiTheme="minorEastAsia" w:hAnsiTheme="minorEastAsia" w:eastAsiaTheme="minorEastAsia"/>
          <w:kern w:val="0"/>
          <w:sz w:val="24"/>
          <w:szCs w:val="24"/>
        </w:rPr>
      </w:pPr>
    </w:p>
    <w:p w14:paraId="65936142">
      <w:pPr>
        <w:spacing w:line="360" w:lineRule="exact"/>
        <w:jc w:val="left"/>
        <w:rPr>
          <w:rFonts w:cs="Times New Roman" w:asciiTheme="minorEastAsia" w:hAnsiTheme="minorEastAsia" w:eastAsiaTheme="minorEastAsia"/>
          <w:kern w:val="0"/>
          <w:sz w:val="24"/>
          <w:szCs w:val="24"/>
        </w:rPr>
      </w:pPr>
    </w:p>
    <w:p w14:paraId="005FA158">
      <w:pPr>
        <w:spacing w:line="360" w:lineRule="exact"/>
        <w:rPr>
          <w:rFonts w:cs="Times New Roman"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．表中只需填写</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通过</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或</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不通过</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w:t>
      </w:r>
    </w:p>
    <w:p w14:paraId="25308AE5">
      <w:pPr>
        <w:spacing w:line="360" w:lineRule="exact"/>
        <w:rPr>
          <w:rFonts w:cs="Times New Roman"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r>
        <w:rPr>
          <w:rFonts w:hint="eastAsia" w:cs="仿宋_GB2312" w:asciiTheme="minorEastAsia" w:hAnsiTheme="minorEastAsia" w:eastAsiaTheme="minorEastAsia"/>
          <w:kern w:val="0"/>
          <w:sz w:val="24"/>
          <w:szCs w:val="24"/>
        </w:rPr>
        <w:t>．在结论中按</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一项否决</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的原则，只有全部是</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通过的，填写</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合格</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；只要其中有一项是</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不通过的，填写</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不合格</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w:t>
      </w:r>
    </w:p>
    <w:p w14:paraId="03D61C45">
      <w:pPr>
        <w:spacing w:line="360" w:lineRule="exac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3</w:t>
      </w:r>
      <w:r>
        <w:rPr>
          <w:rFonts w:hint="eastAsia" w:cs="仿宋_GB2312" w:asciiTheme="minorEastAsia" w:hAnsiTheme="minorEastAsia" w:eastAsiaTheme="minorEastAsia"/>
          <w:kern w:val="0"/>
          <w:sz w:val="24"/>
          <w:szCs w:val="24"/>
        </w:rPr>
        <w:t>．结论是合格的，才能进入下一轮；不合格的被淘汰。</w:t>
      </w:r>
    </w:p>
    <w:p w14:paraId="034DA64F">
      <w:pPr>
        <w:spacing w:line="460" w:lineRule="exact"/>
        <w:rPr>
          <w:rFonts w:cs="华文中宋" w:asciiTheme="minorEastAsia" w:hAnsiTheme="minorEastAsia" w:eastAsiaTheme="minorEastAsia"/>
          <w:b/>
          <w:bCs/>
          <w:sz w:val="32"/>
          <w:szCs w:val="32"/>
        </w:rPr>
      </w:pPr>
    </w:p>
    <w:p w14:paraId="162DAC96">
      <w:pPr>
        <w:pStyle w:val="3"/>
      </w:pPr>
    </w:p>
    <w:p w14:paraId="3AD1D5AD">
      <w:pPr>
        <w:pStyle w:val="16"/>
        <w:rPr>
          <w:rFonts w:asciiTheme="minorEastAsia" w:hAnsiTheme="minorEastAsia" w:eastAsiaTheme="minorEastAsia"/>
        </w:rPr>
      </w:pPr>
    </w:p>
    <w:p w14:paraId="2654180D">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4E8157C4">
      <w:pPr>
        <w:spacing w:line="500" w:lineRule="exact"/>
        <w:jc w:val="left"/>
        <w:rPr>
          <w:rFonts w:cs="华文中宋"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（3）投标人在投标文件中标明</w:t>
      </w:r>
      <w:r>
        <w:rPr>
          <w:rFonts w:hint="eastAsia" w:cs="华文中宋" w:asciiTheme="minorEastAsia" w:hAnsiTheme="minorEastAsia" w:eastAsiaTheme="minorEastAsia"/>
          <w:b/>
          <w:bCs/>
          <w:sz w:val="24"/>
          <w:szCs w:val="24"/>
        </w:rPr>
        <w:t>详细评分表比选内容对应的页码，如下：</w:t>
      </w:r>
    </w:p>
    <w:p w14:paraId="38F625E3">
      <w:pPr>
        <w:spacing w:line="312" w:lineRule="auto"/>
        <w:jc w:val="center"/>
        <w:rPr>
          <w:rFonts w:cs="Times New Roman" w:asciiTheme="minorEastAsia" w:hAnsiTheme="minorEastAsia" w:eastAsiaTheme="minorEastAsia"/>
          <w:b/>
          <w:bCs/>
          <w:sz w:val="24"/>
          <w:szCs w:val="24"/>
        </w:rPr>
      </w:pPr>
      <w:r>
        <w:rPr>
          <w:rFonts w:hint="eastAsia" w:cs="华文中宋" w:asciiTheme="minorEastAsia" w:hAnsiTheme="minorEastAsia" w:eastAsiaTheme="minorEastAsia"/>
          <w:b/>
          <w:bCs/>
          <w:sz w:val="24"/>
          <w:szCs w:val="24"/>
        </w:rPr>
        <w:t>综合评分表</w:t>
      </w:r>
    </w:p>
    <w:p w14:paraId="775967B9">
      <w:pPr>
        <w:wordWrap w:val="0"/>
        <w:spacing w:line="312"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项目名称：文昌市锦山中学食堂委托经营管理</w:t>
      </w:r>
    </w:p>
    <w:p w14:paraId="1CD03F7D">
      <w:pPr>
        <w:wordWrap w:val="0"/>
        <w:spacing w:line="312"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项目编号：HNJY2025-66-4</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756"/>
        <w:gridCol w:w="7009"/>
        <w:gridCol w:w="1228"/>
      </w:tblGrid>
      <w:tr w14:paraId="3411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12" w:type="dxa"/>
            <w:vAlign w:val="center"/>
          </w:tcPr>
          <w:p w14:paraId="36F5FA7F">
            <w:pPr>
              <w:ind w:left="-67" w:leftChars="-32" w:right="-107" w:rightChars="-51"/>
              <w:jc w:val="center"/>
              <w:rPr>
                <w:rFonts w:ascii="宋体" w:hAnsi="宋体" w:cs="宋体"/>
                <w:sz w:val="24"/>
                <w:szCs w:val="24"/>
              </w:rPr>
            </w:pPr>
            <w:r>
              <w:rPr>
                <w:rFonts w:hint="eastAsia" w:ascii="宋体" w:hAnsi="宋体" w:cs="宋体"/>
                <w:sz w:val="24"/>
                <w:szCs w:val="24"/>
              </w:rPr>
              <w:t>序号</w:t>
            </w:r>
          </w:p>
        </w:tc>
        <w:tc>
          <w:tcPr>
            <w:tcW w:w="756" w:type="dxa"/>
            <w:vAlign w:val="center"/>
          </w:tcPr>
          <w:p w14:paraId="42871382">
            <w:pPr>
              <w:jc w:val="center"/>
              <w:rPr>
                <w:rFonts w:ascii="宋体" w:hAnsi="宋体" w:cs="宋体"/>
                <w:sz w:val="24"/>
                <w:szCs w:val="24"/>
              </w:rPr>
            </w:pPr>
            <w:r>
              <w:rPr>
                <w:rFonts w:hint="eastAsia" w:ascii="宋体" w:hAnsi="宋体" w:cs="宋体"/>
                <w:sz w:val="24"/>
                <w:szCs w:val="24"/>
              </w:rPr>
              <w:t>评审内容</w:t>
            </w:r>
          </w:p>
        </w:tc>
        <w:tc>
          <w:tcPr>
            <w:tcW w:w="7009" w:type="dxa"/>
            <w:vAlign w:val="center"/>
          </w:tcPr>
          <w:p w14:paraId="47202057">
            <w:pPr>
              <w:jc w:val="center"/>
              <w:rPr>
                <w:rFonts w:ascii="宋体" w:hAnsi="宋体" w:cs="宋体"/>
                <w:sz w:val="24"/>
                <w:szCs w:val="24"/>
              </w:rPr>
            </w:pPr>
            <w:r>
              <w:rPr>
                <w:rFonts w:hint="eastAsia" w:ascii="宋体" w:hAnsi="宋体" w:cs="宋体"/>
                <w:sz w:val="24"/>
                <w:szCs w:val="24"/>
              </w:rPr>
              <w:t>评分因素及标准</w:t>
            </w:r>
          </w:p>
        </w:tc>
        <w:tc>
          <w:tcPr>
            <w:tcW w:w="1228" w:type="dxa"/>
            <w:vAlign w:val="center"/>
          </w:tcPr>
          <w:p w14:paraId="5A656D5F">
            <w:pPr>
              <w:ind w:left="-113" w:leftChars="-54" w:right="-13" w:rightChars="-6"/>
              <w:jc w:val="center"/>
              <w:rPr>
                <w:rFonts w:ascii="宋体" w:hAnsi="宋体" w:cs="宋体"/>
                <w:sz w:val="24"/>
                <w:szCs w:val="24"/>
              </w:rPr>
            </w:pPr>
            <w:r>
              <w:rPr>
                <w:rFonts w:hint="eastAsia" w:ascii="宋体" w:hAnsi="宋体" w:cs="宋体"/>
                <w:sz w:val="24"/>
                <w:szCs w:val="24"/>
              </w:rPr>
              <w:t>分值</w:t>
            </w:r>
          </w:p>
        </w:tc>
      </w:tr>
      <w:tr w14:paraId="1D3A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jc w:val="center"/>
        </w:trPr>
        <w:tc>
          <w:tcPr>
            <w:tcW w:w="612" w:type="dxa"/>
            <w:vAlign w:val="center"/>
          </w:tcPr>
          <w:p w14:paraId="537456A9">
            <w:pPr>
              <w:jc w:val="center"/>
              <w:rPr>
                <w:rFonts w:ascii="宋体" w:hAnsi="宋体" w:cs="宋体"/>
                <w:sz w:val="24"/>
                <w:szCs w:val="24"/>
              </w:rPr>
            </w:pPr>
            <w:r>
              <w:rPr>
                <w:rFonts w:hint="eastAsia" w:ascii="宋体" w:hAnsi="宋体" w:cs="宋体"/>
                <w:sz w:val="24"/>
                <w:szCs w:val="24"/>
              </w:rPr>
              <w:t>1</w:t>
            </w:r>
          </w:p>
        </w:tc>
        <w:tc>
          <w:tcPr>
            <w:tcW w:w="756" w:type="dxa"/>
            <w:vAlign w:val="center"/>
          </w:tcPr>
          <w:p w14:paraId="1C9B1C11">
            <w:pPr>
              <w:rPr>
                <w:rFonts w:ascii="宋体" w:hAnsi="宋体" w:cs="宋体"/>
                <w:sz w:val="24"/>
                <w:szCs w:val="24"/>
              </w:rPr>
            </w:pPr>
            <w:r>
              <w:rPr>
                <w:rFonts w:ascii="宋体" w:hAnsi="宋体" w:cs="宋体"/>
                <w:sz w:val="24"/>
                <w:szCs w:val="24"/>
              </w:rPr>
              <w:t>企业</w:t>
            </w:r>
            <w:r>
              <w:rPr>
                <w:rFonts w:hint="eastAsia" w:ascii="宋体" w:hAnsi="宋体" w:cs="宋体"/>
                <w:sz w:val="24"/>
                <w:szCs w:val="24"/>
              </w:rPr>
              <w:t>综合</w:t>
            </w:r>
            <w:r>
              <w:rPr>
                <w:rFonts w:ascii="宋体" w:hAnsi="宋体" w:cs="宋体"/>
                <w:sz w:val="24"/>
                <w:szCs w:val="24"/>
              </w:rPr>
              <w:t>实力</w:t>
            </w:r>
          </w:p>
        </w:tc>
        <w:tc>
          <w:tcPr>
            <w:tcW w:w="7009" w:type="dxa"/>
            <w:vAlign w:val="center"/>
          </w:tcPr>
          <w:p w14:paraId="7F81C5CA">
            <w:pPr>
              <w:widowControl/>
              <w:rPr>
                <w:rFonts w:ascii="宋体" w:hAnsi="宋体" w:cs="宋体"/>
                <w:sz w:val="24"/>
                <w:szCs w:val="24"/>
              </w:rPr>
            </w:pPr>
            <w:r>
              <w:rPr>
                <w:rFonts w:hint="eastAsia" w:ascii="宋体" w:hAnsi="宋体" w:cs="宋体"/>
                <w:sz w:val="24"/>
                <w:szCs w:val="24"/>
              </w:rPr>
              <w:t>1、投</w:t>
            </w:r>
            <w:r>
              <w:rPr>
                <w:rFonts w:ascii="宋体" w:hAnsi="宋体" w:cs="宋体"/>
                <w:sz w:val="24"/>
                <w:szCs w:val="24"/>
              </w:rPr>
              <w:t>标</w:t>
            </w:r>
            <w:r>
              <w:rPr>
                <w:rFonts w:hint="eastAsia" w:ascii="宋体" w:hAnsi="宋体" w:cs="宋体"/>
                <w:sz w:val="24"/>
                <w:szCs w:val="24"/>
              </w:rPr>
              <w:t>人具有在有效期内I</w:t>
            </w:r>
            <w:r>
              <w:rPr>
                <w:rFonts w:ascii="宋体" w:hAnsi="宋体" w:cs="宋体"/>
                <w:sz w:val="24"/>
                <w:szCs w:val="24"/>
              </w:rPr>
              <w:t>S</w:t>
            </w:r>
            <w:r>
              <w:rPr>
                <w:rFonts w:hint="eastAsia" w:ascii="宋体" w:hAnsi="宋体" w:cs="宋体"/>
                <w:sz w:val="24"/>
                <w:szCs w:val="24"/>
              </w:rPr>
              <w:t>O</w:t>
            </w:r>
            <w:r>
              <w:rPr>
                <w:rFonts w:ascii="宋体" w:hAnsi="宋体" w:cs="宋体"/>
                <w:sz w:val="24"/>
                <w:szCs w:val="24"/>
              </w:rPr>
              <w:t>9001</w:t>
            </w:r>
            <w:r>
              <w:rPr>
                <w:rFonts w:hint="eastAsia" w:ascii="宋体" w:hAnsi="宋体" w:cs="宋体"/>
                <w:sz w:val="24"/>
                <w:szCs w:val="24"/>
              </w:rPr>
              <w:t>质量管理体系认证、I</w:t>
            </w:r>
            <w:r>
              <w:rPr>
                <w:rFonts w:ascii="宋体" w:hAnsi="宋体" w:cs="宋体"/>
                <w:sz w:val="24"/>
                <w:szCs w:val="24"/>
              </w:rPr>
              <w:t>SO22000</w:t>
            </w:r>
            <w:r>
              <w:rPr>
                <w:rFonts w:hint="eastAsia" w:ascii="宋体" w:hAnsi="宋体" w:cs="宋体"/>
                <w:sz w:val="24"/>
                <w:szCs w:val="24"/>
              </w:rPr>
              <w:t>食品安全管理体系认证、</w:t>
            </w:r>
            <w:r>
              <w:rPr>
                <w:rFonts w:ascii="宋体" w:hAnsi="宋体" w:cs="宋体"/>
                <w:sz w:val="24"/>
                <w:szCs w:val="24"/>
              </w:rPr>
              <w:t>HACC</w:t>
            </w:r>
            <w:r>
              <w:rPr>
                <w:rFonts w:hint="eastAsia" w:ascii="宋体" w:hAnsi="宋体" w:cs="宋体"/>
                <w:sz w:val="24"/>
                <w:szCs w:val="24"/>
              </w:rPr>
              <w:t>P危害分析与关键控制点体系认证、</w:t>
            </w:r>
            <w:r>
              <w:rPr>
                <w:rFonts w:hint="eastAsia" w:ascii="宋体" w:hAnsi="宋体" w:cs="宋体"/>
                <w:kern w:val="0"/>
                <w:sz w:val="24"/>
                <w:szCs w:val="24"/>
              </w:rPr>
              <w:t>ISO14001</w:t>
            </w:r>
            <w:r>
              <w:rPr>
                <w:rFonts w:hint="eastAsia" w:ascii="宋体" w:hAnsi="宋体" w:cs="宋体"/>
                <w:sz w:val="24"/>
                <w:szCs w:val="24"/>
              </w:rPr>
              <w:t>环</w:t>
            </w:r>
            <w:r>
              <w:rPr>
                <w:rFonts w:ascii="宋体" w:hAnsi="宋体" w:cs="宋体"/>
                <w:sz w:val="24"/>
                <w:szCs w:val="24"/>
              </w:rPr>
              <w:t>境管</w:t>
            </w:r>
            <w:r>
              <w:rPr>
                <w:rFonts w:hint="eastAsia" w:ascii="宋体" w:hAnsi="宋体" w:cs="宋体"/>
                <w:sz w:val="24"/>
                <w:szCs w:val="24"/>
              </w:rPr>
              <w:t>理体系认</w:t>
            </w:r>
            <w:r>
              <w:rPr>
                <w:rFonts w:ascii="宋体" w:hAnsi="宋体" w:cs="宋体"/>
                <w:sz w:val="24"/>
                <w:szCs w:val="24"/>
              </w:rPr>
              <w:t>证</w:t>
            </w:r>
            <w:r>
              <w:rPr>
                <w:rFonts w:hint="eastAsia" w:ascii="宋体" w:hAnsi="宋体" w:cs="宋体"/>
                <w:sz w:val="24"/>
                <w:szCs w:val="24"/>
              </w:rPr>
              <w:t>、</w:t>
            </w:r>
            <w:r>
              <w:rPr>
                <w:rFonts w:hint="eastAsia" w:ascii="宋体" w:hAnsi="宋体" w:cs="宋体"/>
                <w:kern w:val="0"/>
                <w:sz w:val="24"/>
                <w:szCs w:val="24"/>
              </w:rPr>
              <w:t>ISO45001</w:t>
            </w:r>
            <w:r>
              <w:rPr>
                <w:rFonts w:hint="eastAsia" w:ascii="宋体" w:hAnsi="宋体" w:cs="宋体"/>
                <w:sz w:val="24"/>
                <w:szCs w:val="24"/>
              </w:rPr>
              <w:t>职业</w:t>
            </w:r>
            <w:r>
              <w:rPr>
                <w:rFonts w:ascii="宋体" w:hAnsi="宋体" w:cs="宋体"/>
                <w:sz w:val="24"/>
                <w:szCs w:val="24"/>
              </w:rPr>
              <w:t>健</w:t>
            </w:r>
            <w:r>
              <w:rPr>
                <w:rFonts w:hint="eastAsia" w:ascii="宋体" w:hAnsi="宋体" w:cs="宋体"/>
                <w:sz w:val="24"/>
                <w:szCs w:val="24"/>
              </w:rPr>
              <w:t>康安全</w:t>
            </w:r>
            <w:r>
              <w:rPr>
                <w:rFonts w:ascii="宋体" w:hAnsi="宋体" w:cs="宋体"/>
                <w:sz w:val="24"/>
                <w:szCs w:val="24"/>
              </w:rPr>
              <w:t>管</w:t>
            </w:r>
            <w:r>
              <w:rPr>
                <w:rFonts w:hint="eastAsia" w:ascii="宋体" w:hAnsi="宋体" w:cs="宋体"/>
                <w:sz w:val="24"/>
                <w:szCs w:val="24"/>
              </w:rPr>
              <w:t>理体系、供应链安全管理体系、售后服务体系 (五星) 认证证书、服务质量(五星) 达标测评证书、企业诚信管理体系认证证书每个得2分，本项最高分为18分。</w:t>
            </w:r>
          </w:p>
          <w:p w14:paraId="352014E2">
            <w:pPr>
              <w:widowControl/>
              <w:rPr>
                <w:rFonts w:ascii="宋体" w:hAnsi="宋体" w:cs="宋体"/>
                <w:sz w:val="24"/>
                <w:szCs w:val="24"/>
              </w:rPr>
            </w:pPr>
            <w:r>
              <w:rPr>
                <w:rFonts w:hint="eastAsia" w:ascii="宋体" w:hAnsi="宋体" w:cs="宋体"/>
                <w:sz w:val="24"/>
                <w:szCs w:val="24"/>
              </w:rPr>
              <w:t>证明材料：（1）需提供证书复印件加盖公章（2）全国认证认可信息公共服务平台查询结果的网页复印件加盖公章（3）上述两项任意一项不提供不得分。</w:t>
            </w:r>
          </w:p>
          <w:p w14:paraId="14C35F4E">
            <w:pPr>
              <w:widowControl/>
              <w:rPr>
                <w:rFonts w:ascii="宋体" w:hAnsi="宋体" w:cs="宋体"/>
                <w:sz w:val="24"/>
                <w:szCs w:val="24"/>
              </w:rPr>
            </w:pPr>
            <w:r>
              <w:rPr>
                <w:rFonts w:hint="eastAsia" w:ascii="宋体" w:hAnsi="宋体" w:cs="宋体"/>
                <w:sz w:val="24"/>
                <w:szCs w:val="24"/>
              </w:rPr>
              <w:t>2、连续三年（2022年—2024年）获得税务部门评选的年度纳税信用评级A级满足得2分，不满足得0分（需提供网上查询截图证明）</w:t>
            </w:r>
          </w:p>
          <w:p w14:paraId="39226326">
            <w:pPr>
              <w:rPr>
                <w:rFonts w:ascii="宋体" w:hAnsi="宋体" w:cs="宋体"/>
                <w:sz w:val="24"/>
                <w:szCs w:val="24"/>
              </w:rPr>
            </w:pPr>
            <w:r>
              <w:rPr>
                <w:rFonts w:hint="eastAsia" w:ascii="宋体" w:hAnsi="宋体" w:cs="宋体"/>
                <w:sz w:val="24"/>
                <w:szCs w:val="24"/>
              </w:rPr>
              <w:t>3、</w:t>
            </w:r>
            <w:r>
              <w:rPr>
                <w:rFonts w:ascii="宋体" w:hAnsi="宋体" w:cs="宋体"/>
                <w:sz w:val="24"/>
                <w:szCs w:val="24"/>
              </w:rPr>
              <w:t>投</w:t>
            </w:r>
            <w:r>
              <w:rPr>
                <w:rFonts w:hint="eastAsia" w:ascii="宋体" w:hAnsi="宋体" w:cs="宋体"/>
                <w:sz w:val="24"/>
                <w:szCs w:val="24"/>
              </w:rPr>
              <w:t>标人自</w:t>
            </w:r>
            <w:r>
              <w:rPr>
                <w:rFonts w:ascii="宋体" w:hAnsi="宋体" w:cs="宋体"/>
                <w:sz w:val="24"/>
                <w:szCs w:val="24"/>
              </w:rPr>
              <w:t>20</w:t>
            </w:r>
            <w:r>
              <w:rPr>
                <w:rFonts w:hint="eastAsia" w:ascii="宋体" w:hAnsi="宋体" w:cs="宋体"/>
                <w:sz w:val="24"/>
                <w:szCs w:val="24"/>
              </w:rPr>
              <w:t>22年</w:t>
            </w:r>
            <w:r>
              <w:rPr>
                <w:rFonts w:ascii="宋体" w:hAnsi="宋体" w:cs="宋体"/>
                <w:sz w:val="24"/>
                <w:szCs w:val="24"/>
              </w:rPr>
              <w:t>1</w:t>
            </w:r>
            <w:r>
              <w:rPr>
                <w:rFonts w:hint="eastAsia" w:ascii="宋体" w:hAnsi="宋体" w:cs="宋体"/>
                <w:sz w:val="24"/>
                <w:szCs w:val="24"/>
              </w:rPr>
              <w:t>月1</w:t>
            </w:r>
            <w:r>
              <w:rPr>
                <w:rFonts w:ascii="宋体" w:hAnsi="宋体" w:cs="宋体"/>
                <w:sz w:val="24"/>
                <w:szCs w:val="24"/>
              </w:rPr>
              <w:t>日</w:t>
            </w:r>
            <w:r>
              <w:rPr>
                <w:rFonts w:hint="eastAsia" w:ascii="宋体" w:hAnsi="宋体" w:cs="宋体"/>
                <w:sz w:val="24"/>
                <w:szCs w:val="24"/>
              </w:rPr>
              <w:t>至今，正在经营的食堂连续三</w:t>
            </w:r>
            <w:r>
              <w:rPr>
                <w:rFonts w:ascii="宋体" w:hAnsi="宋体" w:cs="宋体"/>
                <w:sz w:val="24"/>
                <w:szCs w:val="24"/>
              </w:rPr>
              <w:t>年</w:t>
            </w:r>
            <w:r>
              <w:rPr>
                <w:rFonts w:hint="eastAsia" w:ascii="宋体" w:hAnsi="宋体" w:cs="宋体"/>
                <w:sz w:val="24"/>
                <w:szCs w:val="24"/>
              </w:rPr>
              <w:t>有</w:t>
            </w:r>
            <w:r>
              <w:rPr>
                <w:rFonts w:ascii="宋体" w:hAnsi="宋体" w:cs="宋体"/>
                <w:sz w:val="24"/>
                <w:szCs w:val="24"/>
              </w:rPr>
              <w:t>购</w:t>
            </w:r>
            <w:r>
              <w:rPr>
                <w:rFonts w:hint="eastAsia" w:ascii="宋体" w:hAnsi="宋体" w:cs="宋体"/>
                <w:sz w:val="24"/>
                <w:szCs w:val="24"/>
              </w:rPr>
              <w:t>买《食品安全责任</w:t>
            </w:r>
            <w:r>
              <w:rPr>
                <w:rFonts w:ascii="宋体" w:hAnsi="宋体" w:cs="宋体"/>
                <w:sz w:val="24"/>
                <w:szCs w:val="24"/>
              </w:rPr>
              <w:t>险</w:t>
            </w:r>
            <w:r>
              <w:rPr>
                <w:rFonts w:hint="eastAsia" w:ascii="宋体" w:hAnsi="宋体" w:cs="宋体"/>
                <w:sz w:val="24"/>
                <w:szCs w:val="24"/>
              </w:rPr>
              <w:t>》、《雇主责任</w:t>
            </w:r>
            <w:r>
              <w:rPr>
                <w:rFonts w:ascii="宋体" w:hAnsi="宋体" w:cs="宋体"/>
                <w:sz w:val="24"/>
                <w:szCs w:val="24"/>
              </w:rPr>
              <w:t>险</w:t>
            </w:r>
            <w:r>
              <w:rPr>
                <w:rFonts w:hint="eastAsia" w:ascii="宋体" w:hAnsi="宋体" w:cs="宋体"/>
                <w:sz w:val="24"/>
                <w:szCs w:val="24"/>
              </w:rPr>
              <w:t>》和《公众责任险》,并针对所经营的食堂作</w:t>
            </w:r>
            <w:r>
              <w:rPr>
                <w:rFonts w:ascii="宋体" w:hAnsi="宋体" w:cs="宋体"/>
                <w:sz w:val="24"/>
                <w:szCs w:val="24"/>
              </w:rPr>
              <w:t>出</w:t>
            </w:r>
            <w:r>
              <w:rPr>
                <w:rFonts w:hint="eastAsia" w:ascii="宋体" w:hAnsi="宋体" w:cs="宋体"/>
                <w:sz w:val="24"/>
                <w:szCs w:val="24"/>
              </w:rPr>
              <w:t>投保承诺的，</w:t>
            </w:r>
            <w:r>
              <w:rPr>
                <w:rFonts w:ascii="宋体" w:hAnsi="宋体" w:cs="宋体"/>
                <w:sz w:val="24"/>
                <w:szCs w:val="24"/>
              </w:rPr>
              <w:t>每</w:t>
            </w:r>
            <w:r>
              <w:rPr>
                <w:rFonts w:hint="eastAsia" w:ascii="宋体" w:hAnsi="宋体" w:cs="宋体"/>
                <w:sz w:val="24"/>
                <w:szCs w:val="24"/>
              </w:rPr>
              <w:t>个</w:t>
            </w:r>
            <w:r>
              <w:rPr>
                <w:rFonts w:ascii="宋体" w:hAnsi="宋体" w:cs="宋体"/>
                <w:sz w:val="24"/>
                <w:szCs w:val="24"/>
              </w:rPr>
              <w:t>险</w:t>
            </w:r>
            <w:r>
              <w:rPr>
                <w:rFonts w:hint="eastAsia" w:ascii="宋体" w:hAnsi="宋体" w:cs="宋体"/>
                <w:sz w:val="24"/>
                <w:szCs w:val="24"/>
              </w:rPr>
              <w:t>种得2分，间</w:t>
            </w:r>
            <w:r>
              <w:rPr>
                <w:rFonts w:ascii="宋体" w:hAnsi="宋体" w:cs="宋体"/>
                <w:sz w:val="24"/>
                <w:szCs w:val="24"/>
              </w:rPr>
              <w:t>断购</w:t>
            </w:r>
            <w:r>
              <w:rPr>
                <w:rFonts w:hint="eastAsia" w:ascii="宋体" w:hAnsi="宋体" w:cs="宋体"/>
                <w:sz w:val="24"/>
                <w:szCs w:val="24"/>
              </w:rPr>
              <w:t>买和未</w:t>
            </w:r>
            <w:r>
              <w:rPr>
                <w:rFonts w:ascii="宋体" w:hAnsi="宋体" w:cs="宋体"/>
                <w:sz w:val="24"/>
                <w:szCs w:val="24"/>
              </w:rPr>
              <w:t>作</w:t>
            </w:r>
            <w:r>
              <w:rPr>
                <w:rFonts w:hint="eastAsia" w:ascii="宋体" w:hAnsi="宋体" w:cs="宋体"/>
                <w:sz w:val="24"/>
                <w:szCs w:val="24"/>
              </w:rPr>
              <w:t>出</w:t>
            </w:r>
            <w:r>
              <w:rPr>
                <w:rFonts w:ascii="宋体" w:hAnsi="宋体" w:cs="宋体"/>
                <w:sz w:val="24"/>
                <w:szCs w:val="24"/>
              </w:rPr>
              <w:t>购</w:t>
            </w:r>
            <w:r>
              <w:rPr>
                <w:rFonts w:hint="eastAsia" w:ascii="宋体" w:hAnsi="宋体" w:cs="宋体"/>
                <w:sz w:val="24"/>
                <w:szCs w:val="24"/>
              </w:rPr>
              <w:t>买承诺的均</w:t>
            </w:r>
            <w:r>
              <w:rPr>
                <w:rFonts w:ascii="宋体" w:hAnsi="宋体" w:cs="宋体"/>
                <w:sz w:val="24"/>
                <w:szCs w:val="24"/>
              </w:rPr>
              <w:t>不</w:t>
            </w:r>
            <w:r>
              <w:rPr>
                <w:rFonts w:hint="eastAsia" w:ascii="宋体" w:hAnsi="宋体" w:cs="宋体"/>
                <w:sz w:val="24"/>
                <w:szCs w:val="24"/>
              </w:rPr>
              <w:t>得分，本</w:t>
            </w:r>
            <w:r>
              <w:rPr>
                <w:rFonts w:ascii="宋体" w:hAnsi="宋体" w:cs="宋体"/>
                <w:sz w:val="24"/>
                <w:szCs w:val="24"/>
              </w:rPr>
              <w:t>项</w:t>
            </w:r>
            <w:r>
              <w:rPr>
                <w:rFonts w:hint="eastAsia" w:ascii="宋体" w:hAnsi="宋体" w:cs="宋体"/>
                <w:sz w:val="24"/>
                <w:szCs w:val="24"/>
              </w:rPr>
              <w:t>最高分为6分。</w:t>
            </w:r>
          </w:p>
          <w:p w14:paraId="72287D15">
            <w:pPr>
              <w:rPr>
                <w:rFonts w:ascii="宋体" w:hAnsi="宋体" w:cs="宋体"/>
                <w:sz w:val="24"/>
                <w:szCs w:val="24"/>
              </w:rPr>
            </w:pPr>
            <w:r>
              <w:rPr>
                <w:rFonts w:hint="eastAsia" w:ascii="宋体" w:hAnsi="宋体" w:cs="宋体"/>
                <w:sz w:val="24"/>
                <w:szCs w:val="24"/>
              </w:rPr>
              <w:t>证明材料：提供投保三个险种的保单和保费发票复印件</w:t>
            </w:r>
            <w:r>
              <w:rPr>
                <w:rFonts w:hint="eastAsia" w:ascii="宋体" w:hAnsi="宋体" w:cs="宋体"/>
                <w:kern w:val="0"/>
                <w:sz w:val="24"/>
                <w:szCs w:val="24"/>
              </w:rPr>
              <w:t>加盖公章</w:t>
            </w:r>
            <w:r>
              <w:rPr>
                <w:rFonts w:hint="eastAsia" w:ascii="宋体" w:hAnsi="宋体" w:cs="宋体"/>
                <w:sz w:val="24"/>
                <w:szCs w:val="24"/>
              </w:rPr>
              <w:t>，</w:t>
            </w:r>
            <w:r>
              <w:rPr>
                <w:rFonts w:ascii="宋体" w:hAnsi="宋体" w:cs="宋体"/>
                <w:sz w:val="24"/>
                <w:szCs w:val="24"/>
              </w:rPr>
              <w:t>不</w:t>
            </w:r>
            <w:r>
              <w:rPr>
                <w:rFonts w:hint="eastAsia" w:ascii="宋体" w:hAnsi="宋体" w:cs="宋体"/>
                <w:sz w:val="24"/>
                <w:szCs w:val="24"/>
              </w:rPr>
              <w:t>提供不得分。</w:t>
            </w:r>
          </w:p>
        </w:tc>
        <w:tc>
          <w:tcPr>
            <w:tcW w:w="1228" w:type="dxa"/>
            <w:vAlign w:val="center"/>
          </w:tcPr>
          <w:p w14:paraId="0DB76032">
            <w:pPr>
              <w:ind w:left="-86" w:leftChars="-41" w:right="-13" w:rightChars="-6"/>
              <w:jc w:val="center"/>
              <w:rPr>
                <w:rFonts w:ascii="宋体" w:hAnsi="宋体" w:cs="宋体"/>
                <w:sz w:val="24"/>
                <w:szCs w:val="24"/>
              </w:rPr>
            </w:pPr>
            <w:r>
              <w:rPr>
                <w:rFonts w:hint="eastAsia" w:ascii="宋体" w:hAnsi="宋体" w:cs="宋体"/>
                <w:sz w:val="24"/>
                <w:szCs w:val="24"/>
              </w:rPr>
              <w:t>26分</w:t>
            </w:r>
          </w:p>
        </w:tc>
      </w:tr>
      <w:tr w14:paraId="6B3E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612" w:type="dxa"/>
            <w:vAlign w:val="center"/>
          </w:tcPr>
          <w:p w14:paraId="1822332B">
            <w:pPr>
              <w:jc w:val="center"/>
              <w:rPr>
                <w:rFonts w:ascii="宋体" w:hAnsi="宋体" w:cs="宋体"/>
                <w:sz w:val="24"/>
                <w:szCs w:val="24"/>
              </w:rPr>
            </w:pPr>
            <w:r>
              <w:rPr>
                <w:rFonts w:hint="eastAsia" w:ascii="宋体" w:hAnsi="宋体" w:cs="宋体"/>
                <w:sz w:val="24"/>
                <w:szCs w:val="24"/>
              </w:rPr>
              <w:t>2</w:t>
            </w:r>
          </w:p>
        </w:tc>
        <w:tc>
          <w:tcPr>
            <w:tcW w:w="756" w:type="dxa"/>
            <w:vAlign w:val="center"/>
          </w:tcPr>
          <w:p w14:paraId="0EF213A5">
            <w:pPr>
              <w:rPr>
                <w:rFonts w:ascii="宋体" w:hAnsi="宋体" w:cs="宋体"/>
                <w:sz w:val="24"/>
                <w:szCs w:val="24"/>
              </w:rPr>
            </w:pPr>
            <w:r>
              <w:rPr>
                <w:rFonts w:hint="eastAsia" w:ascii="宋体" w:hAnsi="宋体" w:cs="宋体"/>
                <w:sz w:val="24"/>
                <w:szCs w:val="24"/>
              </w:rPr>
              <w:t>相关业绩</w:t>
            </w:r>
          </w:p>
        </w:tc>
        <w:tc>
          <w:tcPr>
            <w:tcW w:w="7009" w:type="dxa"/>
            <w:vAlign w:val="center"/>
          </w:tcPr>
          <w:p w14:paraId="0165EE6B">
            <w:pPr>
              <w:rPr>
                <w:rFonts w:ascii="宋体" w:hAnsi="宋体" w:cs="宋体"/>
                <w:sz w:val="24"/>
                <w:szCs w:val="24"/>
              </w:rPr>
            </w:pPr>
            <w:r>
              <w:rPr>
                <w:rFonts w:hint="eastAsia" w:ascii="宋体" w:hAnsi="宋体" w:cs="宋体"/>
                <w:sz w:val="24"/>
                <w:szCs w:val="24"/>
              </w:rPr>
              <w:t>投标人2022年1月1日至今，正在经营中的食堂项目业绩，每提供一项业绩得3分，满分18分。</w:t>
            </w:r>
          </w:p>
          <w:p w14:paraId="719F28FB">
            <w:pPr>
              <w:rPr>
                <w:b/>
              </w:rPr>
            </w:pPr>
            <w:r>
              <w:rPr>
                <w:rFonts w:hint="eastAsia" w:ascii="宋体" w:hAnsi="宋体" w:cs="宋体"/>
                <w:sz w:val="24"/>
                <w:szCs w:val="24"/>
              </w:rPr>
              <w:t>证明材料：（1）需提供合同复印件加盖公章，原件备查（2）服务期内开具的投标单位任意1个月的餐饮收入发票或服务单位转入投标单位的营业额银行结算凭证复印件加盖公章，</w:t>
            </w:r>
            <w:r>
              <w:rPr>
                <w:rFonts w:ascii="宋体" w:hAnsi="宋体" w:cs="宋体"/>
                <w:sz w:val="24"/>
                <w:szCs w:val="24"/>
              </w:rPr>
              <w:t>不</w:t>
            </w:r>
            <w:r>
              <w:rPr>
                <w:rFonts w:hint="eastAsia" w:ascii="宋体" w:hAnsi="宋体" w:cs="宋体"/>
                <w:sz w:val="24"/>
                <w:szCs w:val="24"/>
              </w:rPr>
              <w:t>提供不得分。</w:t>
            </w:r>
          </w:p>
        </w:tc>
        <w:tc>
          <w:tcPr>
            <w:tcW w:w="1228" w:type="dxa"/>
            <w:vAlign w:val="center"/>
          </w:tcPr>
          <w:p w14:paraId="611E276D">
            <w:pPr>
              <w:jc w:val="center"/>
              <w:rPr>
                <w:rFonts w:ascii="宋体" w:hAnsi="宋体" w:cs="宋体"/>
                <w:sz w:val="24"/>
                <w:szCs w:val="24"/>
              </w:rPr>
            </w:pPr>
            <w:r>
              <w:rPr>
                <w:rFonts w:hint="eastAsia" w:ascii="宋体" w:hAnsi="宋体" w:cs="宋体"/>
                <w:sz w:val="24"/>
                <w:szCs w:val="24"/>
              </w:rPr>
              <w:t>18分</w:t>
            </w:r>
          </w:p>
        </w:tc>
      </w:tr>
      <w:tr w14:paraId="4122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restart"/>
            <w:vAlign w:val="center"/>
          </w:tcPr>
          <w:p w14:paraId="20AA90CA">
            <w:pPr>
              <w:jc w:val="center"/>
              <w:rPr>
                <w:rFonts w:ascii="宋体" w:hAnsi="宋体" w:cs="宋体"/>
                <w:sz w:val="24"/>
                <w:szCs w:val="24"/>
              </w:rPr>
            </w:pPr>
            <w:r>
              <w:rPr>
                <w:rFonts w:hint="eastAsia" w:ascii="宋体" w:hAnsi="宋体" w:cs="宋体"/>
                <w:sz w:val="24"/>
                <w:szCs w:val="24"/>
              </w:rPr>
              <w:t>3</w:t>
            </w:r>
          </w:p>
        </w:tc>
        <w:tc>
          <w:tcPr>
            <w:tcW w:w="756" w:type="dxa"/>
            <w:vMerge w:val="restart"/>
            <w:vAlign w:val="center"/>
          </w:tcPr>
          <w:p w14:paraId="6F2695FB">
            <w:pPr>
              <w:rPr>
                <w:rFonts w:ascii="宋体" w:hAnsi="宋体" w:cs="宋体"/>
                <w:sz w:val="24"/>
                <w:szCs w:val="24"/>
              </w:rPr>
            </w:pPr>
            <w:r>
              <w:rPr>
                <w:rFonts w:ascii="宋体" w:hAnsi="宋体" w:cs="宋体"/>
                <w:sz w:val="24"/>
                <w:szCs w:val="24"/>
              </w:rPr>
              <w:t>团队技术力量</w:t>
            </w:r>
          </w:p>
        </w:tc>
        <w:tc>
          <w:tcPr>
            <w:tcW w:w="7009" w:type="dxa"/>
            <w:vAlign w:val="center"/>
          </w:tcPr>
          <w:p w14:paraId="72E766FC">
            <w:pPr>
              <w:rPr>
                <w:rFonts w:ascii="宋体" w:hAnsi="宋体" w:cs="宋体"/>
                <w:sz w:val="24"/>
                <w:szCs w:val="24"/>
              </w:rPr>
            </w:pPr>
            <w:r>
              <w:rPr>
                <w:rFonts w:hint="eastAsia" w:ascii="宋体" w:hAnsi="宋体" w:cs="宋体"/>
                <w:sz w:val="24"/>
                <w:szCs w:val="24"/>
              </w:rPr>
              <w:t>1.食堂专职负责人</w:t>
            </w:r>
          </w:p>
          <w:p w14:paraId="519B0F49">
            <w:pPr>
              <w:rPr>
                <w:rFonts w:ascii="宋体" w:hAnsi="宋体" w:cs="宋体"/>
                <w:sz w:val="24"/>
                <w:szCs w:val="24"/>
              </w:rPr>
            </w:pPr>
            <w:r>
              <w:rPr>
                <w:rFonts w:hint="eastAsia" w:ascii="宋体" w:hAnsi="宋体" w:cs="宋体"/>
                <w:sz w:val="24"/>
                <w:szCs w:val="24"/>
              </w:rPr>
              <w:t>投标人拟派到项目单位上的食堂专职负责人具有本科及以上学历证书同时具有餐饮职业经理人证、营养师证或健康管理师证、三级（含）以上烹饪师证或烹调师证的，每提供一个证书得2分，满分8分。</w:t>
            </w:r>
          </w:p>
          <w:p w14:paraId="635F1B3B">
            <w:pPr>
              <w:rPr>
                <w:rFonts w:ascii="宋体" w:hAnsi="宋体" w:cs="宋体"/>
                <w:sz w:val="24"/>
                <w:szCs w:val="24"/>
              </w:rPr>
            </w:pPr>
            <w:r>
              <w:rPr>
                <w:rFonts w:hint="eastAsia" w:ascii="宋体" w:hAnsi="宋体" w:cs="宋体"/>
                <w:sz w:val="24"/>
                <w:szCs w:val="24"/>
              </w:rPr>
              <w:t>证明材料：（1）提供证件复印件加盖公章（注：营养师、三级以上烹调师证需附证书网站查询截图http://zscx.osta.org.cn/）（2）提供投标人单位连续三年每年任意一个月的由社保部门出具的有拟派人员在内的职工参保名册和拟派人员实际缴费基数清单（3）上述两项任意一项不提供不得分。</w:t>
            </w:r>
          </w:p>
        </w:tc>
        <w:tc>
          <w:tcPr>
            <w:tcW w:w="1228" w:type="dxa"/>
            <w:vMerge w:val="restart"/>
            <w:vAlign w:val="center"/>
          </w:tcPr>
          <w:p w14:paraId="7C05A4DA">
            <w:pPr>
              <w:ind w:left="-86" w:leftChars="-41" w:right="-13" w:rightChars="-6"/>
              <w:jc w:val="center"/>
              <w:rPr>
                <w:rFonts w:ascii="宋体" w:hAnsi="宋体" w:cs="宋体"/>
                <w:sz w:val="24"/>
                <w:szCs w:val="24"/>
              </w:rPr>
            </w:pPr>
            <w:r>
              <w:rPr>
                <w:rFonts w:hint="eastAsia" w:ascii="宋体" w:hAnsi="宋体" w:cs="宋体"/>
                <w:sz w:val="24"/>
                <w:szCs w:val="24"/>
              </w:rPr>
              <w:t>32分</w:t>
            </w:r>
          </w:p>
        </w:tc>
      </w:tr>
      <w:tr w14:paraId="6577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72CBA586">
            <w:pPr>
              <w:jc w:val="center"/>
              <w:rPr>
                <w:rFonts w:ascii="宋体" w:hAnsi="宋体" w:cs="宋体"/>
                <w:sz w:val="24"/>
                <w:szCs w:val="24"/>
              </w:rPr>
            </w:pPr>
          </w:p>
        </w:tc>
        <w:tc>
          <w:tcPr>
            <w:tcW w:w="756" w:type="dxa"/>
            <w:vMerge w:val="continue"/>
            <w:vAlign w:val="center"/>
          </w:tcPr>
          <w:p w14:paraId="3D74FF92">
            <w:pPr>
              <w:rPr>
                <w:rFonts w:ascii="宋体" w:hAnsi="宋体" w:cs="宋体"/>
                <w:sz w:val="24"/>
                <w:szCs w:val="24"/>
              </w:rPr>
            </w:pPr>
          </w:p>
        </w:tc>
        <w:tc>
          <w:tcPr>
            <w:tcW w:w="7009" w:type="dxa"/>
            <w:vAlign w:val="center"/>
          </w:tcPr>
          <w:p w14:paraId="78D26683">
            <w:pPr>
              <w:rPr>
                <w:rFonts w:ascii="宋体" w:hAnsi="宋体" w:cs="宋体"/>
                <w:sz w:val="24"/>
                <w:szCs w:val="24"/>
              </w:rPr>
            </w:pPr>
            <w:r>
              <w:rPr>
                <w:rFonts w:hint="eastAsia" w:ascii="宋体" w:hAnsi="宋体" w:cs="宋体"/>
                <w:sz w:val="24"/>
                <w:szCs w:val="24"/>
              </w:rPr>
              <w:t>2.食堂服务经理</w:t>
            </w:r>
          </w:p>
          <w:p w14:paraId="6B23EE8A">
            <w:pPr>
              <w:rPr>
                <w:rFonts w:ascii="宋体" w:hAnsi="宋体" w:cs="宋体"/>
                <w:sz w:val="24"/>
                <w:szCs w:val="24"/>
              </w:rPr>
            </w:pPr>
            <w:r>
              <w:rPr>
                <w:rFonts w:hint="eastAsia" w:ascii="宋体" w:hAnsi="宋体" w:cs="宋体"/>
                <w:sz w:val="24"/>
                <w:szCs w:val="24"/>
              </w:rPr>
              <w:t>投标人拟派到项目单位上的食堂服务经理具有本科及以上学历证书同时具有餐饮职业经理人证、三级（含）以上面点师证、人力资源管理师证书的，每提供一个证书得1分，满分4分。</w:t>
            </w:r>
          </w:p>
          <w:p w14:paraId="5142F177">
            <w:pPr>
              <w:rPr>
                <w:rFonts w:ascii="宋体" w:hAnsi="宋体" w:cs="宋体"/>
                <w:sz w:val="24"/>
                <w:szCs w:val="24"/>
              </w:rPr>
            </w:pPr>
            <w:r>
              <w:rPr>
                <w:rFonts w:hint="eastAsia" w:ascii="宋体" w:hAnsi="宋体" w:cs="宋体"/>
                <w:sz w:val="24"/>
                <w:szCs w:val="24"/>
              </w:rPr>
              <w:t>证明材料：（1）提供证件复印件加盖公章（需附证书网站查询截图）（2）提供投标人单位连续三年每年任意一个月的由社保部门出具的有拟派人员在内的职工参保名册和拟派人员实际缴费基数清单（3）上述两项任意一项不提供不得分。</w:t>
            </w:r>
          </w:p>
        </w:tc>
        <w:tc>
          <w:tcPr>
            <w:tcW w:w="1228" w:type="dxa"/>
            <w:vMerge w:val="continue"/>
            <w:vAlign w:val="center"/>
          </w:tcPr>
          <w:p w14:paraId="4D039A19">
            <w:pPr>
              <w:jc w:val="center"/>
              <w:rPr>
                <w:rFonts w:ascii="宋体" w:hAnsi="宋体" w:cs="宋体"/>
                <w:sz w:val="24"/>
                <w:szCs w:val="24"/>
              </w:rPr>
            </w:pPr>
          </w:p>
        </w:tc>
      </w:tr>
      <w:tr w14:paraId="731E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1CA6AE90">
            <w:pPr>
              <w:jc w:val="center"/>
              <w:rPr>
                <w:rFonts w:ascii="宋体" w:hAnsi="宋体" w:cs="宋体"/>
                <w:sz w:val="24"/>
                <w:szCs w:val="24"/>
              </w:rPr>
            </w:pPr>
          </w:p>
        </w:tc>
        <w:tc>
          <w:tcPr>
            <w:tcW w:w="756" w:type="dxa"/>
            <w:vMerge w:val="continue"/>
            <w:vAlign w:val="center"/>
          </w:tcPr>
          <w:p w14:paraId="3A90F3E2">
            <w:pPr>
              <w:rPr>
                <w:rFonts w:ascii="宋体" w:hAnsi="宋体" w:cs="宋体"/>
                <w:sz w:val="24"/>
                <w:szCs w:val="24"/>
              </w:rPr>
            </w:pPr>
          </w:p>
        </w:tc>
        <w:tc>
          <w:tcPr>
            <w:tcW w:w="7009" w:type="dxa"/>
            <w:vAlign w:val="center"/>
          </w:tcPr>
          <w:p w14:paraId="0AAD1267">
            <w:pPr>
              <w:rPr>
                <w:rFonts w:ascii="宋体" w:hAnsi="宋体" w:cs="宋体"/>
                <w:sz w:val="24"/>
                <w:szCs w:val="24"/>
              </w:rPr>
            </w:pPr>
            <w:r>
              <w:rPr>
                <w:rFonts w:hint="eastAsia" w:ascii="宋体" w:hAnsi="宋体" w:cs="宋体"/>
                <w:sz w:val="24"/>
                <w:szCs w:val="24"/>
              </w:rPr>
              <w:t>3.食堂厨师长</w:t>
            </w:r>
          </w:p>
          <w:p w14:paraId="343A990D">
            <w:pPr>
              <w:rPr>
                <w:rFonts w:ascii="宋体" w:hAnsi="宋体" w:cs="宋体"/>
                <w:sz w:val="24"/>
                <w:szCs w:val="24"/>
              </w:rPr>
            </w:pPr>
            <w:r>
              <w:rPr>
                <w:rFonts w:hint="eastAsia" w:ascii="宋体" w:hAnsi="宋体" w:cs="宋体"/>
                <w:sz w:val="24"/>
                <w:szCs w:val="24"/>
              </w:rPr>
              <w:t>投标人拟派本项目厨师长具有国家职业技能鉴定部门颁发中式烹调师一级高级技师资格证书得2分。</w:t>
            </w:r>
          </w:p>
          <w:p w14:paraId="259AADAA">
            <w:pPr>
              <w:rPr>
                <w:rFonts w:ascii="宋体" w:hAnsi="宋体" w:cs="宋体"/>
                <w:sz w:val="24"/>
                <w:szCs w:val="24"/>
              </w:rPr>
            </w:pPr>
            <w:r>
              <w:rPr>
                <w:rFonts w:hint="eastAsia" w:ascii="宋体" w:hAnsi="宋体" w:cs="宋体"/>
                <w:sz w:val="24"/>
                <w:szCs w:val="24"/>
              </w:rPr>
              <w:t>证明材料：（1）提供证件复印件加盖公章（附一级中式烹调师证书网站查询截图</w:t>
            </w:r>
            <w:r>
              <w:fldChar w:fldCharType="begin"/>
            </w:r>
            <w:r>
              <w:instrText xml:space="preserve"> HYPERLINK "http://zscx.osta.org.cn/）" </w:instrText>
            </w:r>
            <w:r>
              <w:fldChar w:fldCharType="separate"/>
            </w:r>
            <w:r>
              <w:rPr>
                <w:rFonts w:hint="eastAsia" w:ascii="宋体" w:hAnsi="宋体" w:cs="宋体"/>
                <w:sz w:val="24"/>
                <w:szCs w:val="24"/>
              </w:rPr>
              <w:t>http://zscx.osta.org.cn/）</w:t>
            </w:r>
            <w:r>
              <w:rPr>
                <w:rFonts w:hint="eastAsia" w:ascii="宋体" w:hAnsi="宋体" w:cs="宋体"/>
                <w:sz w:val="24"/>
                <w:szCs w:val="24"/>
              </w:rPr>
              <w:fldChar w:fldCharType="end"/>
            </w:r>
          </w:p>
          <w:p w14:paraId="481BEC6C">
            <w:pPr>
              <w:numPr>
                <w:ilvl w:val="0"/>
                <w:numId w:val="2"/>
              </w:numPr>
              <w:rPr>
                <w:rFonts w:ascii="宋体" w:hAnsi="宋体" w:cs="宋体"/>
                <w:sz w:val="24"/>
                <w:szCs w:val="24"/>
              </w:rPr>
            </w:pPr>
            <w:r>
              <w:rPr>
                <w:rFonts w:hint="eastAsia" w:ascii="宋体" w:hAnsi="宋体" w:cs="宋体"/>
                <w:sz w:val="24"/>
                <w:szCs w:val="24"/>
              </w:rPr>
              <w:t>提供投标人在本单位连续缴纳三年以上社保证明。</w:t>
            </w:r>
          </w:p>
          <w:p w14:paraId="17C79896">
            <w:pPr>
              <w:rPr>
                <w:rFonts w:ascii="宋体" w:hAnsi="宋体" w:cs="宋体"/>
                <w:sz w:val="24"/>
                <w:szCs w:val="24"/>
              </w:rPr>
            </w:pPr>
            <w:r>
              <w:rPr>
                <w:rFonts w:hint="eastAsia" w:ascii="宋体" w:hAnsi="宋体" w:cs="宋体"/>
                <w:sz w:val="24"/>
                <w:szCs w:val="24"/>
              </w:rPr>
              <w:t>（3）上述两项任意一项不提供不得分。</w:t>
            </w:r>
          </w:p>
        </w:tc>
        <w:tc>
          <w:tcPr>
            <w:tcW w:w="1228" w:type="dxa"/>
            <w:vMerge w:val="continue"/>
            <w:vAlign w:val="center"/>
          </w:tcPr>
          <w:p w14:paraId="665F3A72">
            <w:pPr>
              <w:jc w:val="center"/>
              <w:rPr>
                <w:rFonts w:ascii="宋体" w:hAnsi="宋体" w:cs="宋体"/>
                <w:sz w:val="24"/>
                <w:szCs w:val="24"/>
              </w:rPr>
            </w:pPr>
          </w:p>
        </w:tc>
      </w:tr>
      <w:tr w14:paraId="67B4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30FA5799">
            <w:pPr>
              <w:jc w:val="center"/>
              <w:rPr>
                <w:rFonts w:ascii="宋体" w:hAnsi="宋体" w:cs="宋体"/>
                <w:sz w:val="24"/>
                <w:szCs w:val="24"/>
              </w:rPr>
            </w:pPr>
          </w:p>
        </w:tc>
        <w:tc>
          <w:tcPr>
            <w:tcW w:w="756" w:type="dxa"/>
            <w:vMerge w:val="continue"/>
            <w:vAlign w:val="center"/>
          </w:tcPr>
          <w:p w14:paraId="72E84567">
            <w:pPr>
              <w:rPr>
                <w:rFonts w:ascii="宋体" w:hAnsi="宋体" w:cs="宋体"/>
                <w:sz w:val="24"/>
                <w:szCs w:val="24"/>
              </w:rPr>
            </w:pPr>
          </w:p>
        </w:tc>
        <w:tc>
          <w:tcPr>
            <w:tcW w:w="7009" w:type="dxa"/>
            <w:vAlign w:val="center"/>
          </w:tcPr>
          <w:p w14:paraId="3768CE45">
            <w:pPr>
              <w:rPr>
                <w:rFonts w:ascii="宋体" w:hAnsi="宋体" w:cs="宋体"/>
                <w:sz w:val="24"/>
                <w:szCs w:val="24"/>
              </w:rPr>
            </w:pPr>
            <w:r>
              <w:rPr>
                <w:rFonts w:hint="eastAsia" w:ascii="宋体" w:hAnsi="宋体" w:cs="宋体"/>
                <w:sz w:val="24"/>
                <w:szCs w:val="24"/>
              </w:rPr>
              <w:t>4.营养师</w:t>
            </w:r>
          </w:p>
          <w:p w14:paraId="10E12197">
            <w:pPr>
              <w:rPr>
                <w:rFonts w:ascii="宋体" w:hAnsi="宋体" w:cs="宋体"/>
                <w:sz w:val="24"/>
                <w:szCs w:val="24"/>
              </w:rPr>
            </w:pPr>
            <w:r>
              <w:rPr>
                <w:rFonts w:hint="eastAsia" w:ascii="宋体" w:hAnsi="宋体" w:cs="宋体"/>
                <w:sz w:val="24"/>
                <w:szCs w:val="24"/>
              </w:rPr>
              <w:t>投标人拟派本项目营养师具有本科以上学历得1分、具有中国营养学会颁发注册营养师证书得3分，满分4分。</w:t>
            </w:r>
          </w:p>
          <w:p w14:paraId="7B6FE3A7">
            <w:pPr>
              <w:rPr>
                <w:rFonts w:ascii="宋体" w:hAnsi="宋体" w:cs="宋体"/>
                <w:sz w:val="24"/>
                <w:szCs w:val="24"/>
              </w:rPr>
            </w:pPr>
            <w:r>
              <w:rPr>
                <w:rFonts w:hint="eastAsia" w:ascii="宋体" w:hAnsi="宋体" w:cs="宋体"/>
                <w:sz w:val="24"/>
                <w:szCs w:val="24"/>
              </w:rPr>
              <w:t>证明材料：（1）提供证件复印件加盖公章（附中国营养学会证书查询截图）</w:t>
            </w:r>
          </w:p>
          <w:p w14:paraId="730349D9">
            <w:pPr>
              <w:numPr>
                <w:ilvl w:val="0"/>
                <w:numId w:val="3"/>
              </w:numPr>
              <w:rPr>
                <w:rFonts w:ascii="宋体" w:hAnsi="宋体" w:cs="宋体"/>
                <w:sz w:val="24"/>
                <w:szCs w:val="24"/>
              </w:rPr>
            </w:pPr>
            <w:r>
              <w:rPr>
                <w:rFonts w:hint="eastAsia" w:ascii="宋体" w:hAnsi="宋体" w:cs="宋体"/>
                <w:sz w:val="24"/>
                <w:szCs w:val="24"/>
              </w:rPr>
              <w:t>提供投标人在本单位连续缴纳三年以上社保证明。</w:t>
            </w:r>
          </w:p>
          <w:p w14:paraId="3F8D465C">
            <w:pPr>
              <w:numPr>
                <w:ilvl w:val="0"/>
                <w:numId w:val="3"/>
              </w:numPr>
              <w:rPr>
                <w:rFonts w:ascii="宋体" w:hAnsi="宋体" w:cs="宋体"/>
                <w:sz w:val="24"/>
                <w:szCs w:val="24"/>
              </w:rPr>
            </w:pPr>
            <w:r>
              <w:rPr>
                <w:rFonts w:hint="eastAsia" w:ascii="宋体" w:hAnsi="宋体" w:cs="宋体"/>
                <w:sz w:val="24"/>
                <w:szCs w:val="24"/>
              </w:rPr>
              <w:t>上述两项任意一项不提供不得分。</w:t>
            </w:r>
          </w:p>
        </w:tc>
        <w:tc>
          <w:tcPr>
            <w:tcW w:w="1228" w:type="dxa"/>
            <w:vMerge w:val="continue"/>
            <w:vAlign w:val="center"/>
          </w:tcPr>
          <w:p w14:paraId="4DA4639D">
            <w:pPr>
              <w:jc w:val="center"/>
              <w:rPr>
                <w:rFonts w:ascii="宋体" w:hAnsi="宋体" w:cs="宋体"/>
                <w:sz w:val="24"/>
                <w:szCs w:val="24"/>
              </w:rPr>
            </w:pPr>
          </w:p>
        </w:tc>
      </w:tr>
      <w:tr w14:paraId="2113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4405BE98">
            <w:pPr>
              <w:jc w:val="center"/>
              <w:rPr>
                <w:rFonts w:ascii="宋体" w:hAnsi="宋体" w:cs="宋体"/>
                <w:sz w:val="24"/>
                <w:szCs w:val="24"/>
              </w:rPr>
            </w:pPr>
          </w:p>
        </w:tc>
        <w:tc>
          <w:tcPr>
            <w:tcW w:w="756" w:type="dxa"/>
            <w:vMerge w:val="continue"/>
            <w:vAlign w:val="center"/>
          </w:tcPr>
          <w:p w14:paraId="346DAB51">
            <w:pPr>
              <w:rPr>
                <w:rFonts w:ascii="宋体" w:hAnsi="宋体" w:cs="宋体"/>
                <w:sz w:val="24"/>
                <w:szCs w:val="24"/>
              </w:rPr>
            </w:pPr>
          </w:p>
        </w:tc>
        <w:tc>
          <w:tcPr>
            <w:tcW w:w="7009" w:type="dxa"/>
            <w:vAlign w:val="center"/>
          </w:tcPr>
          <w:p w14:paraId="48C24A4C">
            <w:pPr>
              <w:rPr>
                <w:rFonts w:ascii="宋体" w:hAnsi="宋体" w:cs="宋体"/>
                <w:sz w:val="24"/>
                <w:szCs w:val="24"/>
              </w:rPr>
            </w:pPr>
            <w:r>
              <w:rPr>
                <w:rFonts w:hint="eastAsia" w:ascii="宋体" w:hAnsi="宋体" w:cs="宋体"/>
                <w:sz w:val="24"/>
                <w:szCs w:val="24"/>
              </w:rPr>
              <w:t>5.项目团队人员</w:t>
            </w:r>
          </w:p>
          <w:p w14:paraId="006D7F67">
            <w:pPr>
              <w:rPr>
                <w:rFonts w:ascii="宋体" w:hAnsi="宋体" w:cs="宋体"/>
                <w:sz w:val="24"/>
                <w:szCs w:val="24"/>
              </w:rPr>
            </w:pPr>
            <w:r>
              <w:rPr>
                <w:rFonts w:hint="eastAsia" w:ascii="宋体" w:hAnsi="宋体" w:cs="宋体"/>
                <w:sz w:val="24"/>
                <w:szCs w:val="24"/>
              </w:rPr>
              <w:t>投标人拟派本项目人员中除食堂专职负责人外，配备1名具有食品安全总监证书的人员得1分；配备1名营养师或健康管理师的人员得2分；配备1名三级（含）以上面点师或点心师的人员得1分，最多得5分；配备1名三级（含）以上中式烹饪师或烹调师的人员得1分，最多得6分。本项满分14分。</w:t>
            </w:r>
          </w:p>
          <w:p w14:paraId="59AAD75B">
            <w:pPr>
              <w:rPr>
                <w:rFonts w:ascii="宋体" w:hAnsi="宋体" w:cs="宋体"/>
                <w:sz w:val="24"/>
                <w:szCs w:val="24"/>
              </w:rPr>
            </w:pPr>
            <w:r>
              <w:rPr>
                <w:rFonts w:hint="eastAsia" w:ascii="宋体" w:hAnsi="宋体" w:cs="宋体"/>
                <w:sz w:val="24"/>
                <w:szCs w:val="24"/>
              </w:rPr>
              <w:t>证明材料：</w:t>
            </w:r>
          </w:p>
          <w:p w14:paraId="1E1F9A3B">
            <w:pPr>
              <w:rPr>
                <w:rFonts w:ascii="宋体" w:hAnsi="宋体" w:cs="宋体"/>
                <w:sz w:val="24"/>
                <w:szCs w:val="24"/>
              </w:rPr>
            </w:pPr>
            <w:r>
              <w:rPr>
                <w:rFonts w:hint="eastAsia" w:ascii="宋体" w:hAnsi="宋体" w:cs="宋体"/>
                <w:sz w:val="24"/>
                <w:szCs w:val="24"/>
              </w:rPr>
              <w:t>（1）需提供证件复印件加盖公章（注：面点师、中式烹调师、营养师证书需附证书网站查询截图http://zscx.osta.org.cn/）。</w:t>
            </w:r>
          </w:p>
          <w:p w14:paraId="195E77B4">
            <w:pPr>
              <w:rPr>
                <w:rFonts w:ascii="宋体" w:hAnsi="宋体" w:cs="宋体"/>
                <w:sz w:val="24"/>
                <w:szCs w:val="24"/>
              </w:rPr>
            </w:pPr>
            <w:r>
              <w:rPr>
                <w:rFonts w:hint="eastAsia" w:ascii="宋体" w:hAnsi="宋体" w:cs="宋体"/>
                <w:sz w:val="24"/>
                <w:szCs w:val="24"/>
              </w:rPr>
              <w:t>（2）提供投标人单位连续三年每年任意一个月由社保部门出具的有拟派人员在内的职工参保名册和拟派人员实际缴费基数清单（3）上述两项任意一项不提供不得分。</w:t>
            </w:r>
          </w:p>
        </w:tc>
        <w:tc>
          <w:tcPr>
            <w:tcW w:w="1228" w:type="dxa"/>
            <w:vMerge w:val="continue"/>
            <w:vAlign w:val="center"/>
          </w:tcPr>
          <w:p w14:paraId="6D86A1FC">
            <w:pPr>
              <w:jc w:val="center"/>
              <w:rPr>
                <w:rFonts w:ascii="宋体" w:hAnsi="宋体" w:cs="宋体"/>
                <w:sz w:val="24"/>
                <w:szCs w:val="24"/>
              </w:rPr>
            </w:pPr>
          </w:p>
        </w:tc>
      </w:tr>
      <w:tr w14:paraId="70B8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612" w:type="dxa"/>
            <w:vAlign w:val="center"/>
          </w:tcPr>
          <w:p w14:paraId="28BB914B">
            <w:pPr>
              <w:jc w:val="center"/>
              <w:rPr>
                <w:rFonts w:ascii="宋体" w:hAnsi="宋体" w:cs="宋体"/>
                <w:sz w:val="24"/>
                <w:szCs w:val="24"/>
              </w:rPr>
            </w:pPr>
            <w:r>
              <w:rPr>
                <w:rFonts w:hint="eastAsia" w:ascii="宋体" w:hAnsi="宋体" w:cs="宋体"/>
                <w:sz w:val="24"/>
                <w:szCs w:val="24"/>
              </w:rPr>
              <w:t>4</w:t>
            </w:r>
          </w:p>
        </w:tc>
        <w:tc>
          <w:tcPr>
            <w:tcW w:w="756" w:type="dxa"/>
            <w:vAlign w:val="center"/>
          </w:tcPr>
          <w:p w14:paraId="6619E311">
            <w:pPr>
              <w:rPr>
                <w:rFonts w:ascii="宋体" w:hAnsi="宋体" w:cs="宋体"/>
                <w:sz w:val="24"/>
                <w:szCs w:val="24"/>
              </w:rPr>
            </w:pPr>
            <w:r>
              <w:rPr>
                <w:rFonts w:hint="eastAsia" w:ascii="宋体" w:hAnsi="宋体" w:cs="宋体"/>
                <w:sz w:val="24"/>
                <w:szCs w:val="24"/>
              </w:rPr>
              <w:t>经营</w:t>
            </w:r>
            <w:r>
              <w:rPr>
                <w:rFonts w:ascii="宋体" w:hAnsi="宋体" w:cs="宋体"/>
                <w:sz w:val="24"/>
                <w:szCs w:val="24"/>
              </w:rPr>
              <w:t>管</w:t>
            </w:r>
            <w:r>
              <w:rPr>
                <w:rFonts w:hint="eastAsia" w:ascii="宋体" w:hAnsi="宋体" w:cs="宋体"/>
                <w:sz w:val="24"/>
                <w:szCs w:val="24"/>
              </w:rPr>
              <w:t>理</w:t>
            </w:r>
            <w:r>
              <w:rPr>
                <w:rFonts w:ascii="宋体" w:hAnsi="宋体" w:cs="宋体"/>
                <w:sz w:val="24"/>
                <w:szCs w:val="24"/>
              </w:rPr>
              <w:t>方案</w:t>
            </w:r>
          </w:p>
        </w:tc>
        <w:tc>
          <w:tcPr>
            <w:tcW w:w="7009" w:type="dxa"/>
            <w:vAlign w:val="center"/>
          </w:tcPr>
          <w:p w14:paraId="4D697C28">
            <w:pPr>
              <w:ind w:left="-50" w:leftChars="-24"/>
              <w:rPr>
                <w:rFonts w:ascii="宋体" w:hAnsi="宋体" w:cs="宋体"/>
                <w:sz w:val="24"/>
                <w:szCs w:val="24"/>
              </w:rPr>
            </w:pPr>
            <w:r>
              <w:rPr>
                <w:rFonts w:hint="eastAsia" w:ascii="宋体" w:hAnsi="宋体" w:cs="宋体"/>
                <w:b/>
                <w:bCs/>
                <w:sz w:val="24"/>
                <w:szCs w:val="24"/>
              </w:rPr>
              <w:t>1、根据投标人提供的食堂经营方案（应包含但不限于①食堂运作措施②菜品出餐时间和要求③菜品价格控制方案④节能降耗成本管理措施⑤设备维护保养等内容进行评审：</w:t>
            </w:r>
          </w:p>
          <w:p w14:paraId="5ACC490D">
            <w:pPr>
              <w:ind w:left="-50" w:leftChars="-24"/>
              <w:rPr>
                <w:rFonts w:ascii="宋体" w:hAnsi="宋体" w:cs="宋体"/>
                <w:sz w:val="24"/>
                <w:szCs w:val="24"/>
              </w:rPr>
            </w:pPr>
            <w:r>
              <w:rPr>
                <w:rFonts w:hint="eastAsia" w:ascii="宋体" w:hAnsi="宋体" w:cs="宋体"/>
                <w:sz w:val="24"/>
                <w:szCs w:val="24"/>
              </w:rPr>
              <w:t>（1）根据内容的完整性进行评分，每具备上述列明的一项要素得1分，最多得5分。（注：若只提供评分标准标题的不给予分数）</w:t>
            </w:r>
          </w:p>
          <w:p w14:paraId="6CB11D39">
            <w:pPr>
              <w:ind w:left="-50" w:leftChars="-24"/>
              <w:rPr>
                <w:rFonts w:ascii="宋体" w:hAnsi="宋体" w:cs="宋体"/>
                <w:sz w:val="24"/>
                <w:szCs w:val="24"/>
              </w:rPr>
            </w:pPr>
            <w:r>
              <w:rPr>
                <w:rFonts w:hint="eastAsia" w:ascii="宋体" w:hAnsi="宋体" w:cs="宋体"/>
                <w:sz w:val="24"/>
                <w:szCs w:val="24"/>
              </w:rPr>
              <w:t>（2）根据投标人提供的内容进行综合赋分：</w:t>
            </w:r>
          </w:p>
          <w:p w14:paraId="4DB35497">
            <w:pPr>
              <w:ind w:left="-50" w:leftChars="-24"/>
              <w:rPr>
                <w:rFonts w:ascii="宋体" w:hAnsi="宋体" w:cs="宋体"/>
                <w:sz w:val="24"/>
                <w:szCs w:val="24"/>
              </w:rPr>
            </w:pPr>
            <w:r>
              <w:rPr>
                <w:rFonts w:hint="eastAsia" w:ascii="宋体" w:hAnsi="宋体" w:cs="宋体"/>
                <w:sz w:val="24"/>
                <w:szCs w:val="24"/>
              </w:rPr>
              <w:t>A.内容中的各项要素详细完整全面、内容不存在前后矛盾、安排周密、保障性和针对性强，各类措施运用得当，完全满足或优于采购需求的得7分；</w:t>
            </w:r>
          </w:p>
          <w:p w14:paraId="4840EAE9">
            <w:pPr>
              <w:ind w:left="-50" w:leftChars="-24"/>
              <w:rPr>
                <w:rFonts w:ascii="宋体" w:hAnsi="宋体" w:cs="宋体"/>
                <w:sz w:val="24"/>
                <w:szCs w:val="24"/>
              </w:rPr>
            </w:pPr>
            <w:r>
              <w:rPr>
                <w:rFonts w:hint="eastAsia" w:ascii="宋体" w:hAnsi="宋体" w:cs="宋体"/>
                <w:sz w:val="24"/>
                <w:szCs w:val="24"/>
              </w:rPr>
              <w:t>B.内容中的各项要素较为完整全面，内容不存在前后矛盾、保障性和针对性较强，各类措施运用较为得当，满足采购需求的得5分；</w:t>
            </w:r>
          </w:p>
          <w:p w14:paraId="7662FD48">
            <w:pPr>
              <w:rPr>
                <w:rFonts w:ascii="宋体" w:hAnsi="宋体" w:cs="宋体"/>
                <w:sz w:val="24"/>
                <w:szCs w:val="24"/>
              </w:rPr>
            </w:pPr>
            <w:r>
              <w:rPr>
                <w:rFonts w:hint="eastAsia" w:ascii="宋体" w:hAnsi="宋体" w:cs="宋体"/>
                <w:sz w:val="24"/>
                <w:szCs w:val="24"/>
              </w:rPr>
              <w:t>C.内容中的各项要素安排基本合理、内容基本不存在前后矛</w:t>
            </w:r>
          </w:p>
          <w:p w14:paraId="19591520">
            <w:pPr>
              <w:rPr>
                <w:rFonts w:ascii="宋体" w:hAnsi="宋体" w:cs="宋体"/>
                <w:sz w:val="24"/>
                <w:szCs w:val="24"/>
              </w:rPr>
            </w:pPr>
            <w:r>
              <w:rPr>
                <w:rFonts w:hint="eastAsia" w:ascii="宋体" w:hAnsi="宋体" w:cs="宋体"/>
                <w:sz w:val="24"/>
                <w:szCs w:val="24"/>
              </w:rPr>
              <w:t>盾、具有一定保障性和针对性，各类措施运用基本得当，基本满足采购需求的得3分；</w:t>
            </w:r>
          </w:p>
          <w:p w14:paraId="18A7DC5B">
            <w:pPr>
              <w:ind w:left="-50" w:leftChars="-24"/>
              <w:rPr>
                <w:rFonts w:ascii="宋体" w:hAnsi="宋体" w:cs="宋体"/>
                <w:sz w:val="24"/>
                <w:szCs w:val="24"/>
              </w:rPr>
            </w:pPr>
            <w:r>
              <w:rPr>
                <w:rFonts w:hint="eastAsia" w:ascii="宋体" w:hAnsi="宋体" w:cs="宋体"/>
                <w:sz w:val="24"/>
                <w:szCs w:val="24"/>
              </w:rPr>
              <w:t>D.内容中的各项要素不完整，出现文字描述含糊不清、内容空洞、分析内容不全面等情况的得1分；</w:t>
            </w:r>
          </w:p>
          <w:p w14:paraId="0C0CBEA9">
            <w:pPr>
              <w:ind w:left="-50" w:leftChars="-24"/>
              <w:rPr>
                <w:rFonts w:ascii="宋体" w:hAnsi="宋体" w:cs="宋体"/>
                <w:sz w:val="24"/>
                <w:szCs w:val="24"/>
              </w:rPr>
            </w:pPr>
            <w:r>
              <w:rPr>
                <w:rFonts w:hint="eastAsia" w:ascii="宋体" w:hAnsi="宋体" w:cs="宋体"/>
                <w:sz w:val="24"/>
                <w:szCs w:val="24"/>
              </w:rPr>
              <w:t>E.不提供方案得0分。</w:t>
            </w:r>
          </w:p>
          <w:p w14:paraId="00A4219A">
            <w:pPr>
              <w:ind w:left="-50" w:leftChars="-24"/>
              <w:rPr>
                <w:rFonts w:asciiTheme="minorEastAsia" w:hAnsiTheme="minorEastAsia" w:eastAsiaTheme="minorEastAsia" w:cstheme="minorEastAsia"/>
                <w:sz w:val="24"/>
                <w:szCs w:val="24"/>
              </w:rPr>
            </w:pPr>
            <w:r>
              <w:rPr>
                <w:rFonts w:hint="eastAsia" w:ascii="宋体" w:hAnsi="宋体" w:cs="宋体"/>
                <w:b/>
                <w:bCs/>
                <w:sz w:val="24"/>
                <w:szCs w:val="24"/>
              </w:rPr>
              <w:t>2、</w:t>
            </w:r>
            <w:r>
              <w:rPr>
                <w:rFonts w:hint="eastAsia" w:asciiTheme="minorEastAsia" w:hAnsiTheme="minorEastAsia" w:eastAsiaTheme="minorEastAsia" w:cstheme="minorEastAsia"/>
                <w:b/>
                <w:bCs/>
                <w:sz w:val="24"/>
                <w:szCs w:val="24"/>
              </w:rPr>
              <w:t>根据投标人提供的保障安全生产的各类应急预案（应包含但不限于①设施设备故障处置预案②临时配餐应急预案③食物中毒应急预案④停水停电、停气应急预案⑤自然灾害（台风、暴雨、地震等）应急预案等内容）进行评审：</w:t>
            </w:r>
          </w:p>
          <w:p w14:paraId="159AD45E">
            <w:pPr>
              <w:ind w:left="-50" w:leftChars="-24"/>
              <w:rPr>
                <w:rFonts w:ascii="宋体" w:hAnsi="宋体" w:cs="宋体"/>
                <w:sz w:val="24"/>
                <w:szCs w:val="24"/>
              </w:rPr>
            </w:pPr>
            <w:r>
              <w:rPr>
                <w:rFonts w:hint="eastAsia" w:ascii="宋体" w:hAnsi="宋体" w:cs="宋体"/>
                <w:sz w:val="24"/>
                <w:szCs w:val="24"/>
              </w:rPr>
              <w:t>（1）根据内容的完整性进行评分，每具备上述列明的一项要素得1分，最多得5分。（注：若只提供评分标准标题的不给予分数）</w:t>
            </w:r>
          </w:p>
          <w:p w14:paraId="126D19BE">
            <w:pPr>
              <w:ind w:left="-50" w:leftChars="-24"/>
              <w:rPr>
                <w:rFonts w:ascii="宋体" w:hAnsi="宋体" w:cs="宋体"/>
                <w:sz w:val="24"/>
                <w:szCs w:val="24"/>
              </w:rPr>
            </w:pPr>
            <w:r>
              <w:rPr>
                <w:rFonts w:hint="eastAsia" w:ascii="宋体" w:hAnsi="宋体" w:cs="宋体"/>
                <w:sz w:val="24"/>
                <w:szCs w:val="24"/>
              </w:rPr>
              <w:t>（2）根据投标人提供的内容进行综合赋分：</w:t>
            </w:r>
          </w:p>
          <w:p w14:paraId="04BDA984">
            <w:pPr>
              <w:ind w:left="-50" w:leftChars="-24"/>
              <w:rPr>
                <w:rFonts w:ascii="宋体" w:hAnsi="宋体" w:cs="宋体"/>
                <w:sz w:val="24"/>
                <w:szCs w:val="24"/>
              </w:rPr>
            </w:pPr>
            <w:r>
              <w:rPr>
                <w:rFonts w:hint="eastAsia" w:ascii="宋体" w:hAnsi="宋体" w:cs="宋体"/>
                <w:sz w:val="24"/>
                <w:szCs w:val="24"/>
              </w:rPr>
              <w:t>A.内容中的各项要素详细完整全面、内容不存在前后矛盾、安排周密、保障性和针对性强，各类措施运用得当，完全满足或优于采购需求的得7分；</w:t>
            </w:r>
          </w:p>
          <w:p w14:paraId="47DB8B0D">
            <w:pPr>
              <w:ind w:left="-50" w:leftChars="-24"/>
              <w:rPr>
                <w:rFonts w:ascii="宋体" w:hAnsi="宋体" w:cs="宋体"/>
                <w:sz w:val="24"/>
                <w:szCs w:val="24"/>
              </w:rPr>
            </w:pPr>
            <w:r>
              <w:rPr>
                <w:rFonts w:hint="eastAsia" w:ascii="宋体" w:hAnsi="宋体" w:cs="宋体"/>
                <w:sz w:val="24"/>
                <w:szCs w:val="24"/>
              </w:rPr>
              <w:t>B.内容中的各项要素较为完整全面，内容不存在前后矛盾、保障性和针对性较强，各类措施运用较为得当，满足采购需求的得5分；</w:t>
            </w:r>
          </w:p>
          <w:p w14:paraId="0183F8F2">
            <w:pPr>
              <w:ind w:left="-50" w:leftChars="-24"/>
              <w:rPr>
                <w:rFonts w:ascii="宋体" w:hAnsi="宋体" w:cs="宋体"/>
                <w:sz w:val="24"/>
                <w:szCs w:val="24"/>
              </w:rPr>
            </w:pPr>
            <w:r>
              <w:rPr>
                <w:rFonts w:hint="eastAsia" w:ascii="宋体" w:hAnsi="宋体" w:cs="宋体"/>
                <w:sz w:val="24"/>
                <w:szCs w:val="24"/>
              </w:rPr>
              <w:t>C.内容中的各项要素安排基本合理、内容基本不存在前后矛</w:t>
            </w:r>
          </w:p>
          <w:p w14:paraId="7ECD07A9">
            <w:pPr>
              <w:ind w:left="-50" w:leftChars="-24"/>
              <w:rPr>
                <w:rFonts w:ascii="宋体" w:hAnsi="宋体" w:cs="宋体"/>
                <w:sz w:val="24"/>
                <w:szCs w:val="24"/>
              </w:rPr>
            </w:pPr>
            <w:r>
              <w:rPr>
                <w:rFonts w:hint="eastAsia" w:ascii="宋体" w:hAnsi="宋体" w:cs="宋体"/>
                <w:sz w:val="24"/>
                <w:szCs w:val="24"/>
              </w:rPr>
              <w:t>盾、具有一定保障性和针对性，各类措施运用基本得当，基本满足采购需求的得3分；</w:t>
            </w:r>
          </w:p>
          <w:p w14:paraId="2C971B07">
            <w:pPr>
              <w:ind w:left="-50" w:leftChars="-24"/>
              <w:rPr>
                <w:rFonts w:ascii="宋体" w:hAnsi="宋体" w:cs="宋体"/>
                <w:sz w:val="24"/>
                <w:szCs w:val="24"/>
              </w:rPr>
            </w:pPr>
            <w:r>
              <w:rPr>
                <w:rFonts w:hint="eastAsia" w:ascii="宋体" w:hAnsi="宋体" w:cs="宋体"/>
                <w:sz w:val="24"/>
                <w:szCs w:val="24"/>
              </w:rPr>
              <w:t>D.内容中的各项要素不完整，出现文字描述含糊不清、内容空洞、分析内容不全面等情况的得1分；</w:t>
            </w:r>
          </w:p>
          <w:p w14:paraId="0B35443A">
            <w:pPr>
              <w:ind w:left="-50" w:leftChars="-24"/>
              <w:rPr>
                <w:rFonts w:ascii="宋体" w:hAnsi="宋体" w:cs="宋体"/>
                <w:sz w:val="24"/>
                <w:szCs w:val="24"/>
              </w:rPr>
            </w:pPr>
            <w:r>
              <w:rPr>
                <w:rFonts w:hint="eastAsia" w:ascii="宋体" w:hAnsi="宋体" w:cs="宋体"/>
                <w:sz w:val="24"/>
                <w:szCs w:val="24"/>
              </w:rPr>
              <w:t>E.不提供方案得0分。</w:t>
            </w:r>
          </w:p>
        </w:tc>
        <w:tc>
          <w:tcPr>
            <w:tcW w:w="1228" w:type="dxa"/>
            <w:vAlign w:val="center"/>
          </w:tcPr>
          <w:p w14:paraId="07757AF0">
            <w:pPr>
              <w:jc w:val="center"/>
              <w:rPr>
                <w:rFonts w:ascii="宋体" w:hAnsi="宋体" w:cs="宋体"/>
                <w:szCs w:val="24"/>
              </w:rPr>
            </w:pPr>
            <w:r>
              <w:rPr>
                <w:rFonts w:hint="eastAsia" w:ascii="宋体" w:hAnsi="宋体" w:cs="宋体"/>
                <w:sz w:val="24"/>
                <w:szCs w:val="24"/>
              </w:rPr>
              <w:t>24分</w:t>
            </w:r>
          </w:p>
        </w:tc>
      </w:tr>
      <w:tr w14:paraId="0EFF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12" w:type="dxa"/>
            <w:vAlign w:val="center"/>
          </w:tcPr>
          <w:p w14:paraId="2538CBB1">
            <w:pPr>
              <w:jc w:val="center"/>
              <w:rPr>
                <w:rFonts w:ascii="宋体" w:hAnsi="宋体" w:cs="宋体"/>
                <w:sz w:val="24"/>
                <w:szCs w:val="24"/>
              </w:rPr>
            </w:pPr>
            <w:r>
              <w:rPr>
                <w:rFonts w:hint="eastAsia" w:ascii="宋体" w:hAnsi="宋体" w:cs="宋体"/>
                <w:sz w:val="24"/>
                <w:szCs w:val="24"/>
              </w:rPr>
              <w:t>5</w:t>
            </w:r>
          </w:p>
        </w:tc>
        <w:tc>
          <w:tcPr>
            <w:tcW w:w="7765" w:type="dxa"/>
            <w:gridSpan w:val="2"/>
            <w:vAlign w:val="center"/>
          </w:tcPr>
          <w:p w14:paraId="3EEC2674">
            <w:pPr>
              <w:rPr>
                <w:rFonts w:ascii="宋体" w:hAnsi="宋体" w:cs="宋体"/>
                <w:sz w:val="24"/>
                <w:szCs w:val="24"/>
              </w:rPr>
            </w:pPr>
            <w:r>
              <w:rPr>
                <w:rFonts w:hint="eastAsia" w:ascii="宋体" w:hAnsi="宋体" w:cs="宋体"/>
                <w:sz w:val="24"/>
                <w:szCs w:val="24"/>
              </w:rPr>
              <w:t>总得分（100分）</w:t>
            </w:r>
          </w:p>
        </w:tc>
        <w:tc>
          <w:tcPr>
            <w:tcW w:w="1228" w:type="dxa"/>
            <w:vAlign w:val="center"/>
          </w:tcPr>
          <w:p w14:paraId="05735BC7">
            <w:pPr>
              <w:ind w:left="-101" w:leftChars="-48" w:right="-97" w:rightChars="-46"/>
              <w:jc w:val="center"/>
              <w:rPr>
                <w:rFonts w:ascii="宋体" w:hAnsi="宋体" w:cs="宋体"/>
                <w:sz w:val="24"/>
                <w:szCs w:val="24"/>
              </w:rPr>
            </w:pPr>
            <w:r>
              <w:rPr>
                <w:rFonts w:hint="eastAsia" w:ascii="宋体" w:hAnsi="宋体" w:cs="宋体"/>
                <w:sz w:val="24"/>
                <w:szCs w:val="24"/>
              </w:rPr>
              <w:t>100分</w:t>
            </w:r>
          </w:p>
        </w:tc>
      </w:tr>
    </w:tbl>
    <w:p w14:paraId="162B587A">
      <w:pPr>
        <w:wordWrap w:val="0"/>
        <w:spacing w:line="312" w:lineRule="auto"/>
        <w:rPr>
          <w:rFonts w:cs="仿宋_GB2312" w:asciiTheme="minorEastAsia" w:hAnsiTheme="minorEastAsia" w:eastAsiaTheme="minorEastAsia"/>
          <w:sz w:val="24"/>
          <w:szCs w:val="24"/>
        </w:rPr>
      </w:pPr>
    </w:p>
    <w:p w14:paraId="7935FD98">
      <w:pPr>
        <w:pStyle w:val="3"/>
      </w:pPr>
    </w:p>
    <w:p w14:paraId="0E4BB477">
      <w:pPr>
        <w:rPr>
          <w:rFonts w:asciiTheme="minorEastAsia" w:hAnsiTheme="minorEastAsia" w:eastAsiaTheme="minorEastAsia"/>
        </w:rPr>
      </w:pPr>
    </w:p>
    <w:p w14:paraId="3A353881">
      <w:pPr>
        <w:pStyle w:val="15"/>
        <w:rPr>
          <w:rFonts w:asciiTheme="minorEastAsia" w:hAnsiTheme="minorEastAsia" w:eastAsiaTheme="minorEastAsia"/>
        </w:rPr>
      </w:pPr>
    </w:p>
    <w:p w14:paraId="129345BF">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7CEECDC6">
      <w:pPr>
        <w:spacing w:line="360" w:lineRule="auto"/>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表</w:t>
      </w:r>
      <w:r>
        <w:rPr>
          <w:rFonts w:cs="仿宋_GB2312" w:asciiTheme="minorEastAsia" w:hAnsiTheme="minorEastAsia" w:eastAsiaTheme="minorEastAsia"/>
          <w:b/>
          <w:bCs/>
          <w:sz w:val="24"/>
          <w:szCs w:val="24"/>
        </w:rPr>
        <w:t>1</w:t>
      </w:r>
      <w:r>
        <w:rPr>
          <w:rFonts w:hint="eastAsia" w:asciiTheme="minorEastAsia" w:hAnsiTheme="minorEastAsia" w:eastAsiaTheme="minorEastAsia"/>
          <w:b/>
          <w:sz w:val="24"/>
          <w:szCs w:val="24"/>
        </w:rPr>
        <w:t>、</w:t>
      </w:r>
    </w:p>
    <w:p w14:paraId="7BAE7FDC">
      <w:pPr>
        <w:spacing w:line="360" w:lineRule="auto"/>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1.投标函</w:t>
      </w:r>
    </w:p>
    <w:p w14:paraId="429A81C3">
      <w:pPr>
        <w:spacing w:line="56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b/>
          <w:bCs/>
          <w:sz w:val="24"/>
          <w:szCs w:val="24"/>
        </w:rPr>
        <w:t>致：</w:t>
      </w:r>
    </w:p>
    <w:p w14:paraId="35BFF8D8">
      <w:pPr>
        <w:spacing w:line="560" w:lineRule="exact"/>
        <w:ind w:firstLine="480" w:firstLineChars="200"/>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根据贵单位</w:t>
      </w:r>
      <w:r>
        <w:rPr>
          <w:rFonts w:cs="仿宋_GB2312" w:asciiTheme="minorEastAsia" w:hAnsiTheme="minorEastAsia" w:eastAsiaTheme="minorEastAsia"/>
          <w:sz w:val="24"/>
          <w:szCs w:val="24"/>
        </w:rPr>
        <w:t>(       )</w:t>
      </w:r>
      <w:r>
        <w:rPr>
          <w:rFonts w:hint="eastAsia" w:cs="仿宋_GB2312" w:asciiTheme="minorEastAsia" w:hAnsiTheme="minorEastAsia" w:eastAsiaTheme="minorEastAsia"/>
          <w:sz w:val="24"/>
          <w:szCs w:val="24"/>
        </w:rPr>
        <w:t>的招标文件要求，正式授权下述签字人</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姓名和职务</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代表投标人</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投标单位名称</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，提交投标文件。</w:t>
      </w:r>
    </w:p>
    <w:p w14:paraId="63BDFF94">
      <w:pPr>
        <w:spacing w:line="560" w:lineRule="exact"/>
        <w:ind w:firstLine="470" w:firstLineChars="19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根据此函</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我们宣布同意如下</w:t>
      </w:r>
      <w:r>
        <w:rPr>
          <w:rFonts w:cs="仿宋_GB2312" w:asciiTheme="minorEastAsia" w:hAnsiTheme="minorEastAsia" w:eastAsiaTheme="minorEastAsia"/>
          <w:sz w:val="24"/>
          <w:szCs w:val="24"/>
        </w:rPr>
        <w:t>:</w:t>
      </w:r>
    </w:p>
    <w:p w14:paraId="1E7F6CFC">
      <w:pPr>
        <w:spacing w:line="560" w:lineRule="exact"/>
        <w:ind w:firstLine="470" w:firstLineChars="196"/>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．我方接受招标文件包括修改文件（如有的话）以及全部参考资料和有关附件的所有的条款和规定。我们完全清楚、理解相关内容，并同意放弃对这方面有不明及误解的权利。</w:t>
      </w:r>
    </w:p>
    <w:p w14:paraId="23A27C1B">
      <w:pPr>
        <w:spacing w:line="560" w:lineRule="exact"/>
        <w:ind w:firstLine="470" w:firstLineChars="196"/>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．我方同意按照招标文件第二章“投标人须知”的规定</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本投标文件的有效期为从投标截止日期起计算的</w:t>
      </w:r>
      <w:r>
        <w:rPr>
          <w:rFonts w:hint="eastAsia" w:cs="仿宋_GB2312" w:asciiTheme="minorEastAsia" w:hAnsiTheme="minorEastAsia" w:eastAsiaTheme="minorEastAsia"/>
          <w:sz w:val="24"/>
          <w:szCs w:val="24"/>
          <w:u w:val="single"/>
        </w:rPr>
        <w:t>9</w:t>
      </w:r>
      <w:r>
        <w:rPr>
          <w:rFonts w:cs="仿宋_GB2312" w:asciiTheme="minorEastAsia" w:hAnsiTheme="minorEastAsia" w:eastAsiaTheme="minorEastAsia"/>
          <w:sz w:val="24"/>
          <w:szCs w:val="24"/>
          <w:u w:val="single"/>
        </w:rPr>
        <w:t>0</w:t>
      </w:r>
      <w:r>
        <w:rPr>
          <w:rFonts w:hint="eastAsia" w:cs="仿宋_GB2312" w:asciiTheme="minorEastAsia" w:hAnsiTheme="minorEastAsia" w:eastAsiaTheme="minorEastAsia"/>
          <w:sz w:val="24"/>
          <w:szCs w:val="24"/>
        </w:rPr>
        <w:t>天</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在此期间，本投标文件将始终对我方具有约束力</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并可随时被接受。</w:t>
      </w:r>
    </w:p>
    <w:p w14:paraId="2E7E585C">
      <w:pPr>
        <w:spacing w:line="560" w:lineRule="exact"/>
        <w:ind w:firstLine="470" w:firstLineChars="196"/>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3．我</w:t>
      </w:r>
      <w:r>
        <w:rPr>
          <w:rFonts w:hint="eastAsia" w:asciiTheme="minorEastAsia" w:hAnsiTheme="minorEastAsia" w:eastAsiaTheme="minorEastAsia"/>
          <w:sz w:val="24"/>
        </w:rPr>
        <w:t>方</w:t>
      </w:r>
      <w:r>
        <w:rPr>
          <w:rFonts w:hint="eastAsia" w:cs="仿宋_GB2312" w:asciiTheme="minorEastAsia" w:hAnsiTheme="minorEastAsia" w:eastAsiaTheme="minorEastAsia"/>
          <w:sz w:val="24"/>
          <w:szCs w:val="24"/>
        </w:rPr>
        <w:t>同意提供贵单位要求的有关本次投标的所有资料或证据，</w:t>
      </w:r>
      <w:r>
        <w:rPr>
          <w:rFonts w:hint="eastAsia" w:asciiTheme="minorEastAsia" w:hAnsiTheme="minorEastAsia" w:eastAsiaTheme="minorEastAsia"/>
          <w:sz w:val="24"/>
        </w:rPr>
        <w:t>并在此声明，本次招标投标活动中提交的所有资料都是真实、准确完整的，如发现提供虚假资料，或与事实不符而导致投标无效，甚至造成任何法律和经济责任，完全由我方负责</w:t>
      </w:r>
      <w:r>
        <w:rPr>
          <w:rFonts w:hint="eastAsia" w:cs="仿宋_GB2312" w:asciiTheme="minorEastAsia" w:hAnsiTheme="minorEastAsia" w:eastAsiaTheme="minorEastAsia"/>
          <w:sz w:val="24"/>
          <w:szCs w:val="24"/>
        </w:rPr>
        <w:t>。</w:t>
      </w:r>
    </w:p>
    <w:p w14:paraId="2DF1703E">
      <w:pPr>
        <w:spacing w:line="560" w:lineRule="exact"/>
        <w:ind w:firstLine="470" w:firstLineChars="196"/>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4．我方完全理解贵方不一定要接受最高投标价的投标，即最高投标价不是中标的保证。</w:t>
      </w:r>
    </w:p>
    <w:p w14:paraId="2AD14C41">
      <w:pPr>
        <w:spacing w:line="560" w:lineRule="exact"/>
        <w:ind w:firstLine="470" w:firstLineChars="196"/>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5．如果我方中标，我们将</w:t>
      </w:r>
      <w:r>
        <w:rPr>
          <w:rFonts w:hint="eastAsia" w:asciiTheme="minorEastAsia" w:hAnsiTheme="minorEastAsia" w:eastAsiaTheme="minorEastAsia"/>
          <w:sz w:val="24"/>
        </w:rPr>
        <w:t>按规定及时与招标人签订合同，并</w:t>
      </w:r>
      <w:r>
        <w:rPr>
          <w:rFonts w:hint="eastAsia" w:cs="仿宋_GB2312" w:asciiTheme="minorEastAsia" w:hAnsiTheme="minorEastAsia" w:eastAsiaTheme="minorEastAsia"/>
          <w:sz w:val="24"/>
          <w:szCs w:val="24"/>
        </w:rPr>
        <w:t>根据招标文件的规定严格履行自己的责任和义务。</w:t>
      </w:r>
    </w:p>
    <w:p w14:paraId="0748DFB5">
      <w:pPr>
        <w:spacing w:line="560" w:lineRule="exact"/>
        <w:ind w:firstLine="470" w:firstLineChars="196"/>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6．如果我方中标，我方将支付本次招标的招标代理服务费。</w:t>
      </w:r>
    </w:p>
    <w:p w14:paraId="5D68C1D9">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 我方在本次投标活动中绝无资质挂靠、串标、围标情形，若出现下列情形，立即取消我方投标资格并承担相应的法律责任；</w:t>
      </w:r>
    </w:p>
    <w:p w14:paraId="238CBE30">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14:paraId="6566C0CC">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14:paraId="09752B94">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14:paraId="18B6CEAB">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14:paraId="10EA4DD3">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14:paraId="3D275FCA">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（6）单位负责人为同一人或者存在直接控股、管理关系的不同供应商，同时参加本项目投标活动。</w:t>
      </w:r>
    </w:p>
    <w:p w14:paraId="0EC7C200">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根据国家企业信用信息公示系统（</w:t>
      </w:r>
      <w:r>
        <w:fldChar w:fldCharType="begin"/>
      </w:r>
      <w:r>
        <w:instrText xml:space="preserve"> HYPERLINK "http://www.gsxt.gov.cn/" </w:instrText>
      </w:r>
      <w:r>
        <w:fldChar w:fldCharType="separate"/>
      </w:r>
      <w:r>
        <w:rPr>
          <w:rFonts w:asciiTheme="minorEastAsia" w:hAnsiTheme="minorEastAsia" w:eastAsiaTheme="minorEastAsia"/>
          <w:sz w:val="24"/>
        </w:rPr>
        <w:t>http://www.gsxt.gov.cn/</w:t>
      </w:r>
      <w:r>
        <w:rPr>
          <w:rFonts w:asciiTheme="minorEastAsia" w:hAnsiTheme="minorEastAsia" w:eastAsiaTheme="minorEastAsia"/>
          <w:sz w:val="24"/>
        </w:rPr>
        <w:fldChar w:fldCharType="end"/>
      </w:r>
      <w:r>
        <w:rPr>
          <w:rFonts w:hint="eastAsia" w:asciiTheme="minorEastAsia" w:hAnsiTheme="minorEastAsia" w:eastAsiaTheme="minorEastAsia"/>
          <w:sz w:val="24"/>
        </w:rPr>
        <w:t>）登记信息提供以下内容：</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239D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6BC4ED37">
            <w:pPr>
              <w:spacing w:line="40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2319" w:type="dxa"/>
            <w:vAlign w:val="center"/>
          </w:tcPr>
          <w:p w14:paraId="07FC59BC">
            <w:pPr>
              <w:jc w:val="center"/>
              <w:rPr>
                <w:rFonts w:asciiTheme="minorEastAsia" w:hAnsiTheme="minorEastAsia" w:eastAsiaTheme="minorEastAsia"/>
              </w:rPr>
            </w:pPr>
            <w:r>
              <w:rPr>
                <w:rFonts w:hint="eastAsia" w:asciiTheme="minorEastAsia" w:hAnsiTheme="minorEastAsia" w:eastAsiaTheme="minorEastAsia"/>
              </w:rPr>
              <w:t>股东名称</w:t>
            </w:r>
          </w:p>
        </w:tc>
        <w:tc>
          <w:tcPr>
            <w:tcW w:w="2410" w:type="dxa"/>
            <w:vAlign w:val="center"/>
          </w:tcPr>
          <w:p w14:paraId="0CF5B7FE">
            <w:pPr>
              <w:jc w:val="center"/>
              <w:rPr>
                <w:rFonts w:asciiTheme="minorEastAsia" w:hAnsiTheme="minorEastAsia" w:eastAsiaTheme="minorEastAsia"/>
              </w:rPr>
            </w:pPr>
            <w:r>
              <w:rPr>
                <w:rFonts w:hint="eastAsia" w:asciiTheme="minorEastAsia" w:hAnsiTheme="minorEastAsia" w:eastAsiaTheme="minorEastAsia"/>
              </w:rPr>
              <w:t>股东类型</w:t>
            </w:r>
          </w:p>
        </w:tc>
        <w:tc>
          <w:tcPr>
            <w:tcW w:w="1559" w:type="dxa"/>
          </w:tcPr>
          <w:p w14:paraId="75319227">
            <w:pPr>
              <w:spacing w:line="400" w:lineRule="exact"/>
              <w:jc w:val="center"/>
              <w:rPr>
                <w:rFonts w:asciiTheme="minorEastAsia" w:hAnsiTheme="minorEastAsia" w:eastAsiaTheme="minorEastAsia"/>
              </w:rPr>
            </w:pPr>
            <w:r>
              <w:rPr>
                <w:rFonts w:hint="eastAsia" w:asciiTheme="minorEastAsia" w:hAnsiTheme="minorEastAsia" w:eastAsiaTheme="minorEastAsia"/>
              </w:rPr>
              <w:t>占股比例</w:t>
            </w:r>
          </w:p>
        </w:tc>
        <w:tc>
          <w:tcPr>
            <w:tcW w:w="1468" w:type="dxa"/>
            <w:vAlign w:val="center"/>
          </w:tcPr>
          <w:p w14:paraId="17AAE234">
            <w:pPr>
              <w:spacing w:line="400" w:lineRule="exact"/>
              <w:jc w:val="center"/>
              <w:rPr>
                <w:rFonts w:asciiTheme="minorEastAsia" w:hAnsiTheme="minorEastAsia" w:eastAsiaTheme="minorEastAsia"/>
              </w:rPr>
            </w:pPr>
            <w:r>
              <w:rPr>
                <w:rFonts w:hint="eastAsia" w:asciiTheme="minorEastAsia" w:hAnsiTheme="minorEastAsia" w:eastAsiaTheme="minorEastAsia"/>
              </w:rPr>
              <w:t>备注</w:t>
            </w:r>
          </w:p>
        </w:tc>
      </w:tr>
      <w:tr w14:paraId="318E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12D8E0A0">
            <w:pPr>
              <w:jc w:val="center"/>
              <w:rPr>
                <w:rFonts w:asciiTheme="minorEastAsia" w:hAnsiTheme="minorEastAsia" w:eastAsiaTheme="minorEastAsia"/>
              </w:rPr>
            </w:pPr>
            <w:r>
              <w:rPr>
                <w:rFonts w:hint="eastAsia" w:asciiTheme="minorEastAsia" w:hAnsiTheme="minorEastAsia" w:eastAsiaTheme="minorEastAsia"/>
              </w:rPr>
              <w:t>1</w:t>
            </w:r>
          </w:p>
        </w:tc>
        <w:tc>
          <w:tcPr>
            <w:tcW w:w="2319" w:type="dxa"/>
            <w:vAlign w:val="center"/>
          </w:tcPr>
          <w:p w14:paraId="2F309756">
            <w:pPr>
              <w:jc w:val="center"/>
              <w:rPr>
                <w:rFonts w:asciiTheme="minorEastAsia" w:hAnsiTheme="minorEastAsia" w:eastAsiaTheme="minorEastAsia"/>
              </w:rPr>
            </w:pPr>
          </w:p>
        </w:tc>
        <w:tc>
          <w:tcPr>
            <w:tcW w:w="2410" w:type="dxa"/>
            <w:vAlign w:val="center"/>
          </w:tcPr>
          <w:p w14:paraId="3D52DA44">
            <w:pPr>
              <w:jc w:val="center"/>
              <w:rPr>
                <w:rFonts w:asciiTheme="minorEastAsia" w:hAnsiTheme="minorEastAsia" w:eastAsiaTheme="minorEastAsia"/>
              </w:rPr>
            </w:pPr>
          </w:p>
        </w:tc>
        <w:tc>
          <w:tcPr>
            <w:tcW w:w="1559" w:type="dxa"/>
          </w:tcPr>
          <w:p w14:paraId="68BB2C4E">
            <w:pPr>
              <w:jc w:val="center"/>
              <w:rPr>
                <w:rFonts w:asciiTheme="minorEastAsia" w:hAnsiTheme="minorEastAsia" w:eastAsiaTheme="minorEastAsia"/>
              </w:rPr>
            </w:pPr>
          </w:p>
        </w:tc>
        <w:tc>
          <w:tcPr>
            <w:tcW w:w="1468" w:type="dxa"/>
            <w:vAlign w:val="center"/>
          </w:tcPr>
          <w:p w14:paraId="467A4C45">
            <w:pPr>
              <w:jc w:val="center"/>
              <w:rPr>
                <w:rFonts w:asciiTheme="minorEastAsia" w:hAnsiTheme="minorEastAsia" w:eastAsiaTheme="minorEastAsia"/>
              </w:rPr>
            </w:pPr>
          </w:p>
        </w:tc>
      </w:tr>
      <w:tr w14:paraId="4407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50B2569A">
            <w:pPr>
              <w:jc w:val="center"/>
              <w:rPr>
                <w:rFonts w:asciiTheme="minorEastAsia" w:hAnsiTheme="minorEastAsia" w:eastAsiaTheme="minorEastAsia"/>
              </w:rPr>
            </w:pPr>
            <w:r>
              <w:rPr>
                <w:rFonts w:hint="eastAsia" w:asciiTheme="minorEastAsia" w:hAnsiTheme="minorEastAsia" w:eastAsiaTheme="minorEastAsia"/>
              </w:rPr>
              <w:t>2</w:t>
            </w:r>
          </w:p>
        </w:tc>
        <w:tc>
          <w:tcPr>
            <w:tcW w:w="2319" w:type="dxa"/>
            <w:vAlign w:val="center"/>
          </w:tcPr>
          <w:p w14:paraId="3AEC5E83">
            <w:pPr>
              <w:jc w:val="center"/>
              <w:rPr>
                <w:rFonts w:asciiTheme="minorEastAsia" w:hAnsiTheme="minorEastAsia" w:eastAsiaTheme="minorEastAsia"/>
              </w:rPr>
            </w:pPr>
          </w:p>
        </w:tc>
        <w:tc>
          <w:tcPr>
            <w:tcW w:w="2410" w:type="dxa"/>
            <w:vAlign w:val="center"/>
          </w:tcPr>
          <w:p w14:paraId="3B8E6025">
            <w:pPr>
              <w:jc w:val="center"/>
              <w:rPr>
                <w:rFonts w:asciiTheme="minorEastAsia" w:hAnsiTheme="minorEastAsia" w:eastAsiaTheme="minorEastAsia"/>
              </w:rPr>
            </w:pPr>
          </w:p>
        </w:tc>
        <w:tc>
          <w:tcPr>
            <w:tcW w:w="1559" w:type="dxa"/>
          </w:tcPr>
          <w:p w14:paraId="568265EE">
            <w:pPr>
              <w:jc w:val="center"/>
              <w:rPr>
                <w:rFonts w:asciiTheme="minorEastAsia" w:hAnsiTheme="minorEastAsia" w:eastAsiaTheme="minorEastAsia"/>
              </w:rPr>
            </w:pPr>
          </w:p>
        </w:tc>
        <w:tc>
          <w:tcPr>
            <w:tcW w:w="1468" w:type="dxa"/>
            <w:vAlign w:val="center"/>
          </w:tcPr>
          <w:p w14:paraId="25399F60">
            <w:pPr>
              <w:jc w:val="center"/>
              <w:rPr>
                <w:rFonts w:asciiTheme="minorEastAsia" w:hAnsiTheme="minorEastAsia" w:eastAsiaTheme="minorEastAsia"/>
              </w:rPr>
            </w:pPr>
          </w:p>
        </w:tc>
      </w:tr>
      <w:tr w14:paraId="38EA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64936257">
            <w:pPr>
              <w:jc w:val="center"/>
              <w:rPr>
                <w:rFonts w:asciiTheme="minorEastAsia" w:hAnsiTheme="minorEastAsia" w:eastAsiaTheme="minorEastAsia"/>
              </w:rPr>
            </w:pPr>
            <w:r>
              <w:rPr>
                <w:rFonts w:hint="eastAsia" w:asciiTheme="minorEastAsia" w:hAnsiTheme="minorEastAsia" w:eastAsiaTheme="minorEastAsia"/>
              </w:rPr>
              <w:t>……</w:t>
            </w:r>
          </w:p>
        </w:tc>
        <w:tc>
          <w:tcPr>
            <w:tcW w:w="2319" w:type="dxa"/>
            <w:vAlign w:val="center"/>
          </w:tcPr>
          <w:p w14:paraId="7570B9B5">
            <w:pPr>
              <w:jc w:val="center"/>
              <w:rPr>
                <w:rFonts w:asciiTheme="minorEastAsia" w:hAnsiTheme="minorEastAsia" w:eastAsiaTheme="minorEastAsia"/>
              </w:rPr>
            </w:pPr>
          </w:p>
        </w:tc>
        <w:tc>
          <w:tcPr>
            <w:tcW w:w="2410" w:type="dxa"/>
            <w:vAlign w:val="center"/>
          </w:tcPr>
          <w:p w14:paraId="10059BB2">
            <w:pPr>
              <w:jc w:val="center"/>
              <w:rPr>
                <w:rFonts w:asciiTheme="minorEastAsia" w:hAnsiTheme="minorEastAsia" w:eastAsiaTheme="minorEastAsia"/>
              </w:rPr>
            </w:pPr>
          </w:p>
        </w:tc>
        <w:tc>
          <w:tcPr>
            <w:tcW w:w="1559" w:type="dxa"/>
          </w:tcPr>
          <w:p w14:paraId="135A565F">
            <w:pPr>
              <w:jc w:val="center"/>
              <w:rPr>
                <w:rFonts w:asciiTheme="minorEastAsia" w:hAnsiTheme="minorEastAsia" w:eastAsiaTheme="minorEastAsia"/>
              </w:rPr>
            </w:pPr>
          </w:p>
        </w:tc>
        <w:tc>
          <w:tcPr>
            <w:tcW w:w="1468" w:type="dxa"/>
            <w:vAlign w:val="center"/>
          </w:tcPr>
          <w:p w14:paraId="607C377F">
            <w:pPr>
              <w:jc w:val="center"/>
              <w:rPr>
                <w:rFonts w:asciiTheme="minorEastAsia" w:hAnsiTheme="minorEastAsia" w:eastAsiaTheme="minorEastAsia"/>
              </w:rPr>
            </w:pPr>
          </w:p>
        </w:tc>
      </w:tr>
    </w:tbl>
    <w:p w14:paraId="4ED61597">
      <w:pPr>
        <w:spacing w:line="360" w:lineRule="auto"/>
        <w:rPr>
          <w:rFonts w:cs="Times New Roman" w:asciiTheme="minorEastAsia" w:hAnsiTheme="minorEastAsia" w:eastAsiaTheme="minorEastAsia"/>
          <w:sz w:val="24"/>
          <w:szCs w:val="24"/>
        </w:rPr>
      </w:pPr>
    </w:p>
    <w:p w14:paraId="162BBC65">
      <w:pPr>
        <w:spacing w:line="360" w:lineRule="auto"/>
        <w:ind w:firstLine="470" w:firstLineChars="19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投标人名称</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公章</w:t>
      </w:r>
      <w:r>
        <w:rPr>
          <w:rFonts w:cs="仿宋_GB2312" w:asciiTheme="minorEastAsia" w:hAnsiTheme="minorEastAsia" w:eastAsiaTheme="minorEastAsia"/>
          <w:sz w:val="24"/>
          <w:szCs w:val="24"/>
        </w:rPr>
        <w:t>)</w:t>
      </w:r>
    </w:p>
    <w:p w14:paraId="20C93C55">
      <w:pPr>
        <w:spacing w:line="360" w:lineRule="auto"/>
        <w:ind w:left="466" w:leftChars="222"/>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地址</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邮编：</w:t>
      </w:r>
    </w:p>
    <w:p w14:paraId="41973D93">
      <w:pPr>
        <w:spacing w:line="360" w:lineRule="auto"/>
        <w:ind w:left="466" w:leftChars="222"/>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电话：传真：</w:t>
      </w:r>
    </w:p>
    <w:p w14:paraId="0517471F">
      <w:pPr>
        <w:spacing w:line="360" w:lineRule="auto"/>
        <w:ind w:left="466" w:leftChars="222"/>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授权代表签字：职务：</w:t>
      </w:r>
    </w:p>
    <w:p w14:paraId="7F42D920">
      <w:pPr>
        <w:spacing w:line="360" w:lineRule="auto"/>
        <w:ind w:left="586" w:leftChars="222" w:hanging="120" w:hangingChars="5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日期</w:t>
      </w:r>
      <w:r>
        <w:rPr>
          <w:rFonts w:cs="仿宋_GB2312" w:asciiTheme="minorEastAsia" w:hAnsiTheme="minorEastAsia" w:eastAsiaTheme="minorEastAsia"/>
          <w:sz w:val="24"/>
          <w:szCs w:val="24"/>
        </w:rPr>
        <w:t xml:space="preserve">: </w:t>
      </w:r>
    </w:p>
    <w:p w14:paraId="27214C66">
      <w:pPr>
        <w:rPr>
          <w:rFonts w:cs="Times New Roman" w:asciiTheme="minorEastAsia" w:hAnsiTheme="minorEastAsia" w:eastAsiaTheme="minorEastAsia"/>
          <w:sz w:val="24"/>
          <w:szCs w:val="24"/>
          <w:u w:val="single"/>
        </w:rPr>
      </w:pPr>
    </w:p>
    <w:p w14:paraId="36073DBB">
      <w:pPr>
        <w:rPr>
          <w:rFonts w:cs="Times New Roman" w:asciiTheme="minorEastAsia" w:hAnsiTheme="minorEastAsia" w:eastAsiaTheme="minorEastAsia"/>
          <w:sz w:val="24"/>
          <w:szCs w:val="24"/>
          <w:u w:val="single"/>
        </w:rPr>
      </w:pPr>
    </w:p>
    <w:p w14:paraId="52973E1C">
      <w:pPr>
        <w:rPr>
          <w:rFonts w:cs="Times New Roman" w:asciiTheme="minorEastAsia" w:hAnsiTheme="minorEastAsia" w:eastAsiaTheme="minorEastAsia"/>
          <w:sz w:val="24"/>
          <w:szCs w:val="24"/>
          <w:u w:val="single"/>
        </w:rPr>
      </w:pPr>
    </w:p>
    <w:p w14:paraId="18BE0ECD">
      <w:pPr>
        <w:rPr>
          <w:rFonts w:cs="Times New Roman" w:asciiTheme="minorEastAsia" w:hAnsiTheme="minorEastAsia" w:eastAsiaTheme="minorEastAsia"/>
          <w:sz w:val="24"/>
          <w:szCs w:val="24"/>
          <w:u w:val="single"/>
        </w:rPr>
      </w:pPr>
    </w:p>
    <w:p w14:paraId="02B11490">
      <w:pPr>
        <w:rPr>
          <w:rFonts w:cs="Times New Roman" w:asciiTheme="minorEastAsia" w:hAnsiTheme="minorEastAsia" w:eastAsiaTheme="minorEastAsia"/>
          <w:sz w:val="24"/>
          <w:szCs w:val="24"/>
          <w:u w:val="single"/>
        </w:rPr>
      </w:pPr>
    </w:p>
    <w:p w14:paraId="7024E26B">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08D15593">
      <w:pPr>
        <w:spacing w:line="360" w:lineRule="auto"/>
        <w:jc w:val="left"/>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表</w:t>
      </w:r>
      <w:r>
        <w:rPr>
          <w:rFonts w:cs="仿宋_GB2312" w:asciiTheme="minorEastAsia" w:hAnsiTheme="minorEastAsia" w:eastAsiaTheme="minorEastAsia"/>
          <w:b/>
          <w:bCs/>
          <w:sz w:val="24"/>
          <w:szCs w:val="24"/>
        </w:rPr>
        <w:t>2</w:t>
      </w:r>
      <w:r>
        <w:rPr>
          <w:rFonts w:hint="eastAsia" w:asciiTheme="minorEastAsia" w:hAnsiTheme="minorEastAsia" w:eastAsiaTheme="minorEastAsia"/>
          <w:b/>
          <w:sz w:val="24"/>
          <w:szCs w:val="24"/>
        </w:rPr>
        <w:t>、</w:t>
      </w:r>
    </w:p>
    <w:p w14:paraId="3A86F5F0">
      <w:pPr>
        <w:spacing w:line="360" w:lineRule="auto"/>
        <w:rPr>
          <w:rFonts w:cs="Times New Roman" w:asciiTheme="minorEastAsia" w:hAnsiTheme="minorEastAsia" w:eastAsiaTheme="minorEastAsia"/>
          <w:b/>
          <w:bCs/>
          <w:sz w:val="24"/>
          <w:szCs w:val="24"/>
        </w:rPr>
      </w:pPr>
      <w:r>
        <w:rPr>
          <w:rFonts w:cs="仿宋_GB2312" w:asciiTheme="minorEastAsia" w:hAnsiTheme="minorEastAsia" w:eastAsiaTheme="minorEastAsia"/>
          <w:b/>
          <w:bCs/>
          <w:sz w:val="24"/>
          <w:szCs w:val="24"/>
        </w:rPr>
        <w:t>2</w:t>
      </w:r>
      <w:r>
        <w:rPr>
          <w:rFonts w:hint="eastAsia" w:cs="仿宋_GB2312" w:asciiTheme="minorEastAsia" w:hAnsiTheme="minorEastAsia" w:eastAsiaTheme="minorEastAsia"/>
          <w:b/>
          <w:bCs/>
          <w:sz w:val="24"/>
          <w:szCs w:val="24"/>
        </w:rPr>
        <w:t>．投标人基本情况</w:t>
      </w:r>
    </w:p>
    <w:p w14:paraId="36153FEE">
      <w:pPr>
        <w:spacing w:line="360" w:lineRule="auto"/>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投标人基本情况表</w:t>
      </w:r>
    </w:p>
    <w:tbl>
      <w:tblPr>
        <w:tblStyle w:val="22"/>
        <w:tblW w:w="9477" w:type="dxa"/>
        <w:tblInd w:w="2" w:type="dxa"/>
        <w:tblLayout w:type="fixed"/>
        <w:tblCellMar>
          <w:top w:w="0" w:type="dxa"/>
          <w:left w:w="108" w:type="dxa"/>
          <w:bottom w:w="0" w:type="dxa"/>
          <w:right w:w="108" w:type="dxa"/>
        </w:tblCellMar>
      </w:tblPr>
      <w:tblGrid>
        <w:gridCol w:w="1243"/>
        <w:gridCol w:w="1290"/>
        <w:gridCol w:w="1320"/>
        <w:gridCol w:w="316"/>
        <w:gridCol w:w="569"/>
        <w:gridCol w:w="1755"/>
        <w:gridCol w:w="672"/>
        <w:gridCol w:w="93"/>
        <w:gridCol w:w="2219"/>
      </w:tblGrid>
      <w:tr w14:paraId="6F875C14">
        <w:tblPrEx>
          <w:tblCellMar>
            <w:top w:w="0" w:type="dxa"/>
            <w:left w:w="108" w:type="dxa"/>
            <w:bottom w:w="0" w:type="dxa"/>
            <w:right w:w="108" w:type="dxa"/>
          </w:tblCellMar>
        </w:tblPrEx>
        <w:trPr>
          <w:trHeight w:val="480" w:hRule="atLeast"/>
        </w:trPr>
        <w:tc>
          <w:tcPr>
            <w:tcW w:w="1243" w:type="dxa"/>
            <w:tcBorders>
              <w:top w:val="single" w:color="auto" w:sz="4" w:space="0"/>
              <w:left w:val="single" w:color="auto" w:sz="4" w:space="0"/>
              <w:bottom w:val="single" w:color="auto" w:sz="4" w:space="0"/>
              <w:right w:val="single" w:color="auto" w:sz="4" w:space="0"/>
            </w:tcBorders>
            <w:vAlign w:val="center"/>
          </w:tcPr>
          <w:p w14:paraId="24AB62AE">
            <w:pPr>
              <w:widowControl/>
              <w:jc w:val="center"/>
              <w:rPr>
                <w:rFonts w:ascii="宋体" w:hAnsi="宋体" w:cs="宋体"/>
                <w:kern w:val="0"/>
                <w:sz w:val="24"/>
                <w:szCs w:val="24"/>
              </w:rPr>
            </w:pPr>
            <w:r>
              <w:rPr>
                <w:rFonts w:hint="eastAsia" w:ascii="宋体" w:hAnsi="宋体" w:cs="宋体"/>
                <w:kern w:val="0"/>
                <w:sz w:val="24"/>
                <w:szCs w:val="24"/>
              </w:rPr>
              <w:t>单位名称</w:t>
            </w:r>
          </w:p>
        </w:tc>
        <w:tc>
          <w:tcPr>
            <w:tcW w:w="8234" w:type="dxa"/>
            <w:gridSpan w:val="8"/>
            <w:tcBorders>
              <w:top w:val="single" w:color="auto" w:sz="4" w:space="0"/>
              <w:left w:val="nil"/>
              <w:bottom w:val="single" w:color="auto" w:sz="4" w:space="0"/>
              <w:right w:val="single" w:color="auto" w:sz="4" w:space="0"/>
            </w:tcBorders>
            <w:vAlign w:val="center"/>
          </w:tcPr>
          <w:p w14:paraId="298CC03C">
            <w:pPr>
              <w:widowControl/>
              <w:jc w:val="center"/>
              <w:rPr>
                <w:rFonts w:ascii="宋体" w:hAnsi="宋体" w:cs="宋体"/>
                <w:kern w:val="0"/>
                <w:sz w:val="24"/>
                <w:szCs w:val="24"/>
              </w:rPr>
            </w:pPr>
            <w:r>
              <w:rPr>
                <w:rFonts w:hint="eastAsia" w:ascii="宋体" w:hAnsi="宋体" w:cs="宋体"/>
                <w:kern w:val="0"/>
                <w:sz w:val="24"/>
                <w:szCs w:val="24"/>
              </w:rPr>
              <w:t>　</w:t>
            </w:r>
          </w:p>
        </w:tc>
      </w:tr>
      <w:tr w14:paraId="08A5000B">
        <w:tblPrEx>
          <w:tblCellMar>
            <w:top w:w="0" w:type="dxa"/>
            <w:left w:w="108" w:type="dxa"/>
            <w:bottom w:w="0" w:type="dxa"/>
            <w:right w:w="108" w:type="dxa"/>
          </w:tblCellMar>
        </w:tblPrEx>
        <w:trPr>
          <w:trHeight w:val="480" w:hRule="atLeast"/>
        </w:trPr>
        <w:tc>
          <w:tcPr>
            <w:tcW w:w="1243" w:type="dxa"/>
            <w:tcBorders>
              <w:top w:val="nil"/>
              <w:left w:val="single" w:color="auto" w:sz="4" w:space="0"/>
              <w:bottom w:val="single" w:color="auto" w:sz="4" w:space="0"/>
              <w:right w:val="single" w:color="auto" w:sz="4" w:space="0"/>
            </w:tcBorders>
            <w:vAlign w:val="center"/>
          </w:tcPr>
          <w:p w14:paraId="0BA08CF8">
            <w:pPr>
              <w:widowControl/>
              <w:jc w:val="center"/>
              <w:rPr>
                <w:rFonts w:ascii="宋体" w:hAnsi="宋体" w:cs="宋体"/>
                <w:kern w:val="0"/>
                <w:sz w:val="24"/>
                <w:szCs w:val="24"/>
              </w:rPr>
            </w:pPr>
            <w:r>
              <w:rPr>
                <w:rFonts w:hint="eastAsia" w:ascii="宋体" w:hAnsi="宋体" w:cs="宋体"/>
                <w:kern w:val="0"/>
                <w:sz w:val="24"/>
                <w:szCs w:val="24"/>
              </w:rPr>
              <w:t>注册地址</w:t>
            </w:r>
          </w:p>
        </w:tc>
        <w:tc>
          <w:tcPr>
            <w:tcW w:w="8234" w:type="dxa"/>
            <w:gridSpan w:val="8"/>
            <w:tcBorders>
              <w:top w:val="single" w:color="auto" w:sz="4" w:space="0"/>
              <w:left w:val="nil"/>
              <w:bottom w:val="single" w:color="auto" w:sz="4" w:space="0"/>
              <w:right w:val="single" w:color="auto" w:sz="4" w:space="0"/>
            </w:tcBorders>
            <w:vAlign w:val="center"/>
          </w:tcPr>
          <w:p w14:paraId="3EEAAE9C">
            <w:pPr>
              <w:widowControl/>
              <w:jc w:val="center"/>
              <w:rPr>
                <w:rFonts w:ascii="宋体" w:hAnsi="宋体" w:cs="宋体"/>
                <w:kern w:val="0"/>
                <w:sz w:val="24"/>
                <w:szCs w:val="24"/>
              </w:rPr>
            </w:pPr>
            <w:r>
              <w:rPr>
                <w:rFonts w:hint="eastAsia" w:ascii="宋体" w:hAnsi="宋体" w:cs="宋体"/>
                <w:kern w:val="0"/>
                <w:sz w:val="24"/>
                <w:szCs w:val="24"/>
              </w:rPr>
              <w:t>　</w:t>
            </w:r>
          </w:p>
        </w:tc>
      </w:tr>
      <w:tr w14:paraId="3B916259">
        <w:tblPrEx>
          <w:tblCellMar>
            <w:top w:w="0" w:type="dxa"/>
            <w:left w:w="108" w:type="dxa"/>
            <w:bottom w:w="0" w:type="dxa"/>
            <w:right w:w="108" w:type="dxa"/>
          </w:tblCellMar>
        </w:tblPrEx>
        <w:trPr>
          <w:trHeight w:val="492" w:hRule="atLeast"/>
        </w:trPr>
        <w:tc>
          <w:tcPr>
            <w:tcW w:w="1243" w:type="dxa"/>
            <w:vMerge w:val="restart"/>
            <w:tcBorders>
              <w:top w:val="nil"/>
              <w:left w:val="single" w:color="auto" w:sz="4" w:space="0"/>
              <w:bottom w:val="single" w:color="auto" w:sz="4" w:space="0"/>
              <w:right w:val="single" w:color="auto" w:sz="4" w:space="0"/>
            </w:tcBorders>
            <w:vAlign w:val="center"/>
          </w:tcPr>
          <w:p w14:paraId="35D3EB68">
            <w:pPr>
              <w:widowControl/>
              <w:jc w:val="center"/>
              <w:rPr>
                <w:rFonts w:ascii="宋体" w:hAnsi="宋体" w:cs="宋体"/>
                <w:kern w:val="0"/>
                <w:sz w:val="24"/>
                <w:szCs w:val="24"/>
              </w:rPr>
            </w:pPr>
            <w:r>
              <w:rPr>
                <w:rFonts w:hint="eastAsia" w:ascii="宋体" w:hAnsi="宋体" w:cs="宋体"/>
                <w:kern w:val="0"/>
                <w:sz w:val="24"/>
                <w:szCs w:val="24"/>
              </w:rPr>
              <w:t>联系方式</w:t>
            </w:r>
          </w:p>
        </w:tc>
        <w:tc>
          <w:tcPr>
            <w:tcW w:w="1290" w:type="dxa"/>
            <w:tcBorders>
              <w:top w:val="nil"/>
              <w:left w:val="nil"/>
              <w:bottom w:val="single" w:color="auto" w:sz="4" w:space="0"/>
              <w:right w:val="single" w:color="auto" w:sz="4" w:space="0"/>
            </w:tcBorders>
            <w:vAlign w:val="center"/>
          </w:tcPr>
          <w:p w14:paraId="71DF5F38">
            <w:pPr>
              <w:widowControl/>
              <w:jc w:val="center"/>
              <w:rPr>
                <w:rFonts w:ascii="宋体" w:hAnsi="宋体" w:cs="宋体"/>
                <w:kern w:val="0"/>
                <w:sz w:val="24"/>
                <w:szCs w:val="24"/>
              </w:rPr>
            </w:pPr>
            <w:r>
              <w:rPr>
                <w:rFonts w:hint="eastAsia" w:ascii="宋体" w:hAnsi="宋体" w:cs="宋体"/>
                <w:kern w:val="0"/>
                <w:sz w:val="24"/>
                <w:szCs w:val="24"/>
              </w:rPr>
              <w:t>常用联系人</w:t>
            </w:r>
          </w:p>
        </w:tc>
        <w:tc>
          <w:tcPr>
            <w:tcW w:w="2205" w:type="dxa"/>
            <w:gridSpan w:val="3"/>
            <w:tcBorders>
              <w:top w:val="single" w:color="auto" w:sz="4" w:space="0"/>
              <w:left w:val="nil"/>
              <w:bottom w:val="single" w:color="auto" w:sz="4" w:space="0"/>
              <w:right w:val="single" w:color="auto" w:sz="4" w:space="0"/>
            </w:tcBorders>
            <w:vAlign w:val="center"/>
          </w:tcPr>
          <w:p w14:paraId="60FF2AE6">
            <w:pPr>
              <w:widowControl/>
              <w:jc w:val="center"/>
              <w:rPr>
                <w:rFonts w:ascii="宋体" w:hAnsi="宋体" w:cs="宋体"/>
                <w:kern w:val="0"/>
                <w:sz w:val="24"/>
                <w:szCs w:val="24"/>
              </w:rPr>
            </w:pPr>
            <w:r>
              <w:rPr>
                <w:rFonts w:hint="eastAsia" w:ascii="宋体" w:hAnsi="宋体" w:cs="宋体"/>
                <w:kern w:val="0"/>
                <w:sz w:val="24"/>
                <w:szCs w:val="24"/>
              </w:rPr>
              <w:t>　</w:t>
            </w:r>
          </w:p>
        </w:tc>
        <w:tc>
          <w:tcPr>
            <w:tcW w:w="1755" w:type="dxa"/>
            <w:tcBorders>
              <w:top w:val="nil"/>
              <w:left w:val="nil"/>
              <w:bottom w:val="single" w:color="auto" w:sz="4" w:space="0"/>
              <w:right w:val="single" w:color="auto" w:sz="4" w:space="0"/>
            </w:tcBorders>
            <w:vAlign w:val="center"/>
          </w:tcPr>
          <w:p w14:paraId="5364B771">
            <w:pPr>
              <w:widowControl/>
              <w:jc w:val="center"/>
              <w:rPr>
                <w:rFonts w:ascii="宋体" w:hAnsi="宋体" w:cs="宋体"/>
                <w:kern w:val="0"/>
                <w:sz w:val="24"/>
                <w:szCs w:val="24"/>
              </w:rPr>
            </w:pPr>
            <w:r>
              <w:rPr>
                <w:rFonts w:hint="eastAsia" w:ascii="宋体" w:hAnsi="宋体" w:cs="宋体"/>
                <w:kern w:val="0"/>
                <w:sz w:val="24"/>
                <w:szCs w:val="24"/>
              </w:rPr>
              <w:t>手机</w:t>
            </w:r>
          </w:p>
        </w:tc>
        <w:tc>
          <w:tcPr>
            <w:tcW w:w="2984" w:type="dxa"/>
            <w:gridSpan w:val="3"/>
            <w:tcBorders>
              <w:top w:val="single" w:color="auto" w:sz="4" w:space="0"/>
              <w:left w:val="nil"/>
              <w:bottom w:val="single" w:color="auto" w:sz="4" w:space="0"/>
              <w:right w:val="single" w:color="auto" w:sz="4" w:space="0"/>
            </w:tcBorders>
            <w:vAlign w:val="center"/>
          </w:tcPr>
          <w:p w14:paraId="511606FA">
            <w:pPr>
              <w:widowControl/>
              <w:jc w:val="center"/>
              <w:rPr>
                <w:rFonts w:ascii="宋体" w:hAnsi="宋体" w:cs="宋体"/>
                <w:kern w:val="0"/>
                <w:sz w:val="24"/>
                <w:szCs w:val="24"/>
              </w:rPr>
            </w:pPr>
            <w:r>
              <w:rPr>
                <w:rFonts w:hint="eastAsia" w:ascii="宋体" w:hAnsi="宋体" w:cs="宋体"/>
                <w:kern w:val="0"/>
                <w:sz w:val="24"/>
                <w:szCs w:val="24"/>
              </w:rPr>
              <w:t>　</w:t>
            </w:r>
          </w:p>
        </w:tc>
      </w:tr>
      <w:tr w14:paraId="0B4B7131">
        <w:tblPrEx>
          <w:tblCellMar>
            <w:top w:w="0" w:type="dxa"/>
            <w:left w:w="108" w:type="dxa"/>
            <w:bottom w:w="0" w:type="dxa"/>
            <w:right w:w="108" w:type="dxa"/>
          </w:tblCellMar>
        </w:tblPrEx>
        <w:trPr>
          <w:trHeight w:val="480" w:hRule="atLeast"/>
        </w:trPr>
        <w:tc>
          <w:tcPr>
            <w:tcW w:w="1243" w:type="dxa"/>
            <w:vMerge w:val="continue"/>
            <w:tcBorders>
              <w:top w:val="nil"/>
              <w:left w:val="single" w:color="auto" w:sz="4" w:space="0"/>
              <w:bottom w:val="single" w:color="auto" w:sz="4" w:space="0"/>
              <w:right w:val="single" w:color="auto" w:sz="4" w:space="0"/>
            </w:tcBorders>
            <w:vAlign w:val="center"/>
          </w:tcPr>
          <w:p w14:paraId="177BD897">
            <w:pPr>
              <w:widowControl/>
              <w:jc w:val="left"/>
              <w:rPr>
                <w:rFonts w:ascii="宋体" w:hAnsi="宋体" w:cs="宋体"/>
                <w:kern w:val="0"/>
                <w:sz w:val="24"/>
                <w:szCs w:val="24"/>
              </w:rPr>
            </w:pPr>
          </w:p>
        </w:tc>
        <w:tc>
          <w:tcPr>
            <w:tcW w:w="1290" w:type="dxa"/>
            <w:tcBorders>
              <w:top w:val="nil"/>
              <w:left w:val="nil"/>
              <w:bottom w:val="single" w:color="auto" w:sz="4" w:space="0"/>
              <w:right w:val="single" w:color="auto" w:sz="4" w:space="0"/>
            </w:tcBorders>
            <w:vAlign w:val="center"/>
          </w:tcPr>
          <w:p w14:paraId="4EB5602E">
            <w:pPr>
              <w:widowControl/>
              <w:jc w:val="center"/>
              <w:rPr>
                <w:rFonts w:ascii="宋体" w:hAnsi="宋体" w:cs="宋体"/>
                <w:kern w:val="0"/>
                <w:sz w:val="24"/>
                <w:szCs w:val="24"/>
              </w:rPr>
            </w:pPr>
            <w:r>
              <w:rPr>
                <w:rFonts w:hint="eastAsia" w:ascii="宋体" w:hAnsi="宋体" w:cs="宋体"/>
                <w:kern w:val="0"/>
                <w:sz w:val="24"/>
                <w:szCs w:val="24"/>
              </w:rPr>
              <w:t>固定电话</w:t>
            </w:r>
          </w:p>
        </w:tc>
        <w:tc>
          <w:tcPr>
            <w:tcW w:w="2205" w:type="dxa"/>
            <w:gridSpan w:val="3"/>
            <w:tcBorders>
              <w:top w:val="single" w:color="auto" w:sz="4" w:space="0"/>
              <w:left w:val="nil"/>
              <w:bottom w:val="single" w:color="auto" w:sz="4" w:space="0"/>
              <w:right w:val="single" w:color="auto" w:sz="4" w:space="0"/>
            </w:tcBorders>
            <w:vAlign w:val="center"/>
          </w:tcPr>
          <w:p w14:paraId="78F0CD1F">
            <w:pPr>
              <w:widowControl/>
              <w:jc w:val="center"/>
              <w:rPr>
                <w:rFonts w:ascii="宋体" w:hAnsi="宋体" w:cs="宋体"/>
                <w:kern w:val="0"/>
                <w:sz w:val="24"/>
                <w:szCs w:val="24"/>
              </w:rPr>
            </w:pPr>
            <w:r>
              <w:rPr>
                <w:rFonts w:hint="eastAsia" w:ascii="宋体" w:hAnsi="宋体" w:cs="宋体"/>
                <w:kern w:val="0"/>
                <w:sz w:val="24"/>
                <w:szCs w:val="24"/>
              </w:rPr>
              <w:t>　</w:t>
            </w:r>
          </w:p>
        </w:tc>
        <w:tc>
          <w:tcPr>
            <w:tcW w:w="1755" w:type="dxa"/>
            <w:tcBorders>
              <w:top w:val="nil"/>
              <w:left w:val="nil"/>
              <w:bottom w:val="single" w:color="auto" w:sz="4" w:space="0"/>
              <w:right w:val="single" w:color="auto" w:sz="4" w:space="0"/>
            </w:tcBorders>
            <w:vAlign w:val="center"/>
          </w:tcPr>
          <w:p w14:paraId="71F765C1">
            <w:pPr>
              <w:widowControl/>
              <w:jc w:val="center"/>
              <w:rPr>
                <w:rFonts w:ascii="宋体" w:hAnsi="宋体" w:cs="宋体"/>
                <w:kern w:val="0"/>
                <w:sz w:val="24"/>
                <w:szCs w:val="24"/>
              </w:rPr>
            </w:pPr>
            <w:r>
              <w:rPr>
                <w:rFonts w:hint="eastAsia" w:ascii="宋体" w:hAnsi="宋体" w:cs="宋体"/>
                <w:kern w:val="0"/>
                <w:sz w:val="24"/>
                <w:szCs w:val="24"/>
              </w:rPr>
              <w:t>传真</w:t>
            </w:r>
          </w:p>
        </w:tc>
        <w:tc>
          <w:tcPr>
            <w:tcW w:w="2984" w:type="dxa"/>
            <w:gridSpan w:val="3"/>
            <w:tcBorders>
              <w:top w:val="single" w:color="auto" w:sz="4" w:space="0"/>
              <w:left w:val="nil"/>
              <w:bottom w:val="single" w:color="auto" w:sz="4" w:space="0"/>
              <w:right w:val="single" w:color="auto" w:sz="4" w:space="0"/>
            </w:tcBorders>
            <w:vAlign w:val="center"/>
          </w:tcPr>
          <w:p w14:paraId="118B6309">
            <w:pPr>
              <w:widowControl/>
              <w:jc w:val="center"/>
              <w:rPr>
                <w:rFonts w:ascii="宋体" w:hAnsi="宋体" w:cs="宋体"/>
                <w:kern w:val="0"/>
                <w:sz w:val="24"/>
                <w:szCs w:val="24"/>
              </w:rPr>
            </w:pPr>
            <w:r>
              <w:rPr>
                <w:rFonts w:hint="eastAsia" w:ascii="宋体" w:hAnsi="宋体" w:cs="宋体"/>
                <w:kern w:val="0"/>
                <w:sz w:val="24"/>
                <w:szCs w:val="24"/>
              </w:rPr>
              <w:t>　</w:t>
            </w:r>
          </w:p>
        </w:tc>
      </w:tr>
      <w:tr w14:paraId="28FC78B3">
        <w:tblPrEx>
          <w:tblCellMar>
            <w:top w:w="0" w:type="dxa"/>
            <w:left w:w="108" w:type="dxa"/>
            <w:bottom w:w="0" w:type="dxa"/>
            <w:right w:w="108" w:type="dxa"/>
          </w:tblCellMar>
        </w:tblPrEx>
        <w:trPr>
          <w:trHeight w:val="480" w:hRule="atLeast"/>
        </w:trPr>
        <w:tc>
          <w:tcPr>
            <w:tcW w:w="1243" w:type="dxa"/>
            <w:vMerge w:val="continue"/>
            <w:tcBorders>
              <w:top w:val="nil"/>
              <w:left w:val="single" w:color="auto" w:sz="4" w:space="0"/>
              <w:bottom w:val="single" w:color="auto" w:sz="4" w:space="0"/>
              <w:right w:val="single" w:color="auto" w:sz="4" w:space="0"/>
            </w:tcBorders>
            <w:vAlign w:val="center"/>
          </w:tcPr>
          <w:p w14:paraId="4ECCB607">
            <w:pPr>
              <w:widowControl/>
              <w:jc w:val="left"/>
              <w:rPr>
                <w:rFonts w:ascii="宋体" w:hAnsi="宋体" w:cs="宋体"/>
                <w:kern w:val="0"/>
                <w:sz w:val="24"/>
                <w:szCs w:val="24"/>
              </w:rPr>
            </w:pPr>
          </w:p>
        </w:tc>
        <w:tc>
          <w:tcPr>
            <w:tcW w:w="1290" w:type="dxa"/>
            <w:tcBorders>
              <w:top w:val="nil"/>
              <w:left w:val="nil"/>
              <w:bottom w:val="single" w:color="auto" w:sz="4" w:space="0"/>
              <w:right w:val="single" w:color="auto" w:sz="4" w:space="0"/>
            </w:tcBorders>
            <w:vAlign w:val="center"/>
          </w:tcPr>
          <w:p w14:paraId="02BE7997">
            <w:pPr>
              <w:widowControl/>
              <w:jc w:val="center"/>
              <w:rPr>
                <w:rFonts w:ascii="宋体" w:hAnsi="宋体" w:cs="宋体"/>
                <w:kern w:val="0"/>
                <w:sz w:val="24"/>
                <w:szCs w:val="24"/>
              </w:rPr>
            </w:pPr>
            <w:r>
              <w:rPr>
                <w:rFonts w:hint="eastAsia" w:ascii="宋体" w:hAnsi="宋体" w:cs="宋体"/>
                <w:kern w:val="0"/>
                <w:sz w:val="24"/>
                <w:szCs w:val="24"/>
              </w:rPr>
              <w:t>邮政编码</w:t>
            </w:r>
          </w:p>
        </w:tc>
        <w:tc>
          <w:tcPr>
            <w:tcW w:w="2205" w:type="dxa"/>
            <w:gridSpan w:val="3"/>
            <w:tcBorders>
              <w:top w:val="single" w:color="auto" w:sz="4" w:space="0"/>
              <w:left w:val="nil"/>
              <w:bottom w:val="single" w:color="auto" w:sz="4" w:space="0"/>
              <w:right w:val="single" w:color="auto" w:sz="4" w:space="0"/>
            </w:tcBorders>
            <w:vAlign w:val="center"/>
          </w:tcPr>
          <w:p w14:paraId="551FB2F9">
            <w:pPr>
              <w:widowControl/>
              <w:jc w:val="center"/>
              <w:rPr>
                <w:rFonts w:ascii="宋体" w:hAnsi="宋体" w:cs="宋体"/>
                <w:kern w:val="0"/>
                <w:sz w:val="24"/>
                <w:szCs w:val="24"/>
              </w:rPr>
            </w:pPr>
            <w:r>
              <w:rPr>
                <w:rFonts w:hint="eastAsia" w:ascii="宋体" w:hAnsi="宋体" w:cs="宋体"/>
                <w:kern w:val="0"/>
                <w:sz w:val="24"/>
                <w:szCs w:val="24"/>
              </w:rPr>
              <w:t>　</w:t>
            </w:r>
          </w:p>
        </w:tc>
        <w:tc>
          <w:tcPr>
            <w:tcW w:w="1755" w:type="dxa"/>
            <w:tcBorders>
              <w:top w:val="nil"/>
              <w:left w:val="nil"/>
              <w:bottom w:val="single" w:color="auto" w:sz="4" w:space="0"/>
              <w:right w:val="single" w:color="auto" w:sz="4" w:space="0"/>
            </w:tcBorders>
            <w:vAlign w:val="center"/>
          </w:tcPr>
          <w:p w14:paraId="700C38EC">
            <w:pPr>
              <w:widowControl/>
              <w:jc w:val="center"/>
              <w:rPr>
                <w:rFonts w:ascii="宋体" w:hAnsi="宋体" w:cs="宋体"/>
                <w:kern w:val="0"/>
                <w:sz w:val="24"/>
                <w:szCs w:val="24"/>
              </w:rPr>
            </w:pPr>
            <w:r>
              <w:rPr>
                <w:rFonts w:hint="eastAsia" w:ascii="宋体" w:hAnsi="宋体" w:cs="宋体"/>
                <w:kern w:val="0"/>
                <w:sz w:val="24"/>
                <w:szCs w:val="24"/>
              </w:rPr>
              <w:t>网址</w:t>
            </w:r>
          </w:p>
        </w:tc>
        <w:tc>
          <w:tcPr>
            <w:tcW w:w="2984" w:type="dxa"/>
            <w:gridSpan w:val="3"/>
            <w:tcBorders>
              <w:top w:val="single" w:color="auto" w:sz="4" w:space="0"/>
              <w:left w:val="nil"/>
              <w:bottom w:val="single" w:color="auto" w:sz="4" w:space="0"/>
              <w:right w:val="single" w:color="auto" w:sz="4" w:space="0"/>
            </w:tcBorders>
            <w:vAlign w:val="center"/>
          </w:tcPr>
          <w:p w14:paraId="77F6B12B">
            <w:pPr>
              <w:widowControl/>
              <w:jc w:val="center"/>
              <w:rPr>
                <w:rFonts w:ascii="宋体" w:hAnsi="宋体" w:cs="宋体"/>
                <w:kern w:val="0"/>
                <w:sz w:val="24"/>
                <w:szCs w:val="24"/>
              </w:rPr>
            </w:pPr>
            <w:r>
              <w:rPr>
                <w:rFonts w:hint="eastAsia" w:ascii="宋体" w:hAnsi="宋体" w:cs="宋体"/>
                <w:kern w:val="0"/>
                <w:sz w:val="24"/>
                <w:szCs w:val="24"/>
              </w:rPr>
              <w:t>　</w:t>
            </w:r>
          </w:p>
        </w:tc>
      </w:tr>
      <w:tr w14:paraId="10E70C5F">
        <w:tblPrEx>
          <w:tblCellMar>
            <w:top w:w="0" w:type="dxa"/>
            <w:left w:w="108" w:type="dxa"/>
            <w:bottom w:w="0" w:type="dxa"/>
            <w:right w:w="108" w:type="dxa"/>
          </w:tblCellMar>
        </w:tblPrEx>
        <w:trPr>
          <w:trHeight w:val="480" w:hRule="atLeast"/>
        </w:trPr>
        <w:tc>
          <w:tcPr>
            <w:tcW w:w="1243" w:type="dxa"/>
            <w:tcBorders>
              <w:top w:val="nil"/>
              <w:left w:val="single" w:color="auto" w:sz="4" w:space="0"/>
              <w:bottom w:val="single" w:color="auto" w:sz="4" w:space="0"/>
              <w:right w:val="single" w:color="auto" w:sz="4" w:space="0"/>
            </w:tcBorders>
            <w:vAlign w:val="center"/>
          </w:tcPr>
          <w:p w14:paraId="70C4474C">
            <w:pPr>
              <w:widowControl/>
              <w:jc w:val="center"/>
              <w:rPr>
                <w:rFonts w:ascii="宋体" w:hAnsi="宋体" w:cs="宋体"/>
                <w:kern w:val="0"/>
                <w:sz w:val="24"/>
                <w:szCs w:val="24"/>
              </w:rPr>
            </w:pPr>
            <w:r>
              <w:rPr>
                <w:rFonts w:hint="eastAsia" w:ascii="宋体" w:hAnsi="宋体" w:cs="宋体"/>
                <w:kern w:val="0"/>
                <w:sz w:val="24"/>
                <w:szCs w:val="24"/>
              </w:rPr>
              <w:t>法定代表人</w:t>
            </w:r>
          </w:p>
        </w:tc>
        <w:tc>
          <w:tcPr>
            <w:tcW w:w="1290" w:type="dxa"/>
            <w:tcBorders>
              <w:top w:val="nil"/>
              <w:left w:val="nil"/>
              <w:bottom w:val="single" w:color="auto" w:sz="4" w:space="0"/>
              <w:right w:val="single" w:color="auto" w:sz="4" w:space="0"/>
            </w:tcBorders>
            <w:vAlign w:val="center"/>
          </w:tcPr>
          <w:p w14:paraId="13EA2F38">
            <w:pPr>
              <w:widowControl/>
              <w:jc w:val="center"/>
              <w:rPr>
                <w:rFonts w:ascii="宋体" w:hAnsi="宋体" w:cs="宋体"/>
                <w:kern w:val="0"/>
                <w:sz w:val="24"/>
                <w:szCs w:val="24"/>
              </w:rPr>
            </w:pPr>
            <w:r>
              <w:rPr>
                <w:rFonts w:hint="eastAsia" w:ascii="宋体" w:hAnsi="宋体" w:cs="宋体"/>
                <w:kern w:val="0"/>
                <w:sz w:val="24"/>
                <w:szCs w:val="24"/>
              </w:rPr>
              <w:t>姓名</w:t>
            </w:r>
          </w:p>
        </w:tc>
        <w:tc>
          <w:tcPr>
            <w:tcW w:w="1320" w:type="dxa"/>
            <w:tcBorders>
              <w:top w:val="nil"/>
              <w:left w:val="nil"/>
              <w:bottom w:val="single" w:color="auto" w:sz="4" w:space="0"/>
              <w:right w:val="single" w:color="auto" w:sz="4" w:space="0"/>
            </w:tcBorders>
            <w:vAlign w:val="center"/>
          </w:tcPr>
          <w:p w14:paraId="4AA4FE53">
            <w:pPr>
              <w:widowControl/>
              <w:jc w:val="center"/>
              <w:rPr>
                <w:rFonts w:ascii="宋体" w:hAnsi="宋体" w:cs="宋体"/>
                <w:kern w:val="0"/>
                <w:sz w:val="24"/>
                <w:szCs w:val="24"/>
              </w:rPr>
            </w:pPr>
            <w:r>
              <w:rPr>
                <w:rFonts w:hint="eastAsia" w:ascii="宋体" w:hAnsi="宋体" w:cs="宋体"/>
                <w:kern w:val="0"/>
                <w:sz w:val="24"/>
                <w:szCs w:val="24"/>
              </w:rPr>
              <w:t>　</w:t>
            </w:r>
          </w:p>
        </w:tc>
        <w:tc>
          <w:tcPr>
            <w:tcW w:w="885" w:type="dxa"/>
            <w:gridSpan w:val="2"/>
            <w:tcBorders>
              <w:top w:val="nil"/>
              <w:left w:val="nil"/>
              <w:bottom w:val="single" w:color="auto" w:sz="4" w:space="0"/>
              <w:right w:val="single" w:color="auto" w:sz="4" w:space="0"/>
            </w:tcBorders>
            <w:vAlign w:val="center"/>
          </w:tcPr>
          <w:p w14:paraId="3EC5C291">
            <w:pPr>
              <w:widowControl/>
              <w:jc w:val="center"/>
              <w:rPr>
                <w:rFonts w:ascii="宋体" w:hAnsi="宋体" w:cs="宋体"/>
                <w:kern w:val="0"/>
                <w:sz w:val="24"/>
                <w:szCs w:val="24"/>
              </w:rPr>
            </w:pPr>
            <w:r>
              <w:rPr>
                <w:rFonts w:hint="eastAsia" w:ascii="宋体" w:hAnsi="宋体" w:cs="宋体"/>
                <w:kern w:val="0"/>
                <w:sz w:val="24"/>
                <w:szCs w:val="24"/>
              </w:rPr>
              <w:t>身份证</w:t>
            </w:r>
          </w:p>
        </w:tc>
        <w:tc>
          <w:tcPr>
            <w:tcW w:w="1755" w:type="dxa"/>
            <w:tcBorders>
              <w:top w:val="nil"/>
              <w:left w:val="nil"/>
              <w:bottom w:val="single" w:color="auto" w:sz="4" w:space="0"/>
              <w:right w:val="single" w:color="auto" w:sz="4" w:space="0"/>
            </w:tcBorders>
            <w:vAlign w:val="center"/>
          </w:tcPr>
          <w:p w14:paraId="72B2A101">
            <w:pPr>
              <w:widowControl/>
              <w:jc w:val="center"/>
              <w:rPr>
                <w:rFonts w:ascii="宋体" w:hAnsi="宋体" w:cs="宋体"/>
                <w:kern w:val="0"/>
                <w:sz w:val="24"/>
                <w:szCs w:val="24"/>
              </w:rPr>
            </w:pPr>
            <w:r>
              <w:rPr>
                <w:rFonts w:hint="eastAsia" w:ascii="宋体" w:hAnsi="宋体" w:cs="宋体"/>
                <w:kern w:val="0"/>
                <w:sz w:val="24"/>
                <w:szCs w:val="24"/>
              </w:rPr>
              <w:t>　</w:t>
            </w:r>
          </w:p>
        </w:tc>
        <w:tc>
          <w:tcPr>
            <w:tcW w:w="765" w:type="dxa"/>
            <w:gridSpan w:val="2"/>
            <w:tcBorders>
              <w:top w:val="nil"/>
              <w:left w:val="nil"/>
              <w:bottom w:val="single" w:color="auto" w:sz="4" w:space="0"/>
              <w:right w:val="single" w:color="auto" w:sz="4" w:space="0"/>
            </w:tcBorders>
            <w:vAlign w:val="center"/>
          </w:tcPr>
          <w:p w14:paraId="535D8154">
            <w:pPr>
              <w:widowControl/>
              <w:jc w:val="center"/>
              <w:rPr>
                <w:rFonts w:ascii="宋体" w:hAnsi="宋体" w:cs="宋体"/>
                <w:kern w:val="0"/>
                <w:sz w:val="24"/>
                <w:szCs w:val="24"/>
              </w:rPr>
            </w:pPr>
            <w:r>
              <w:rPr>
                <w:rFonts w:hint="eastAsia" w:ascii="宋体" w:hAnsi="宋体" w:cs="宋体"/>
                <w:kern w:val="0"/>
                <w:sz w:val="24"/>
                <w:szCs w:val="24"/>
              </w:rPr>
              <w:t>手机</w:t>
            </w:r>
          </w:p>
        </w:tc>
        <w:tc>
          <w:tcPr>
            <w:tcW w:w="2219" w:type="dxa"/>
            <w:tcBorders>
              <w:top w:val="nil"/>
              <w:left w:val="nil"/>
              <w:bottom w:val="single" w:color="auto" w:sz="4" w:space="0"/>
              <w:right w:val="single" w:color="auto" w:sz="4" w:space="0"/>
            </w:tcBorders>
            <w:vAlign w:val="center"/>
          </w:tcPr>
          <w:p w14:paraId="023C794A">
            <w:pPr>
              <w:widowControl/>
              <w:jc w:val="left"/>
              <w:rPr>
                <w:rFonts w:ascii="宋体" w:hAnsi="宋体" w:cs="宋体"/>
                <w:kern w:val="0"/>
                <w:sz w:val="24"/>
                <w:szCs w:val="24"/>
              </w:rPr>
            </w:pPr>
            <w:r>
              <w:rPr>
                <w:rFonts w:hint="eastAsia" w:ascii="宋体" w:hAnsi="宋体" w:cs="宋体"/>
                <w:kern w:val="0"/>
                <w:sz w:val="24"/>
                <w:szCs w:val="24"/>
              </w:rPr>
              <w:t>　</w:t>
            </w:r>
          </w:p>
        </w:tc>
      </w:tr>
      <w:tr w14:paraId="5623596D">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vAlign w:val="center"/>
          </w:tcPr>
          <w:p w14:paraId="07F0189D">
            <w:pPr>
              <w:widowControl/>
              <w:jc w:val="center"/>
              <w:rPr>
                <w:rFonts w:ascii="宋体" w:hAnsi="宋体" w:cs="宋体"/>
                <w:kern w:val="0"/>
                <w:sz w:val="24"/>
                <w:szCs w:val="24"/>
              </w:rPr>
            </w:pPr>
            <w:r>
              <w:rPr>
                <w:rFonts w:hint="eastAsia" w:ascii="宋体" w:hAnsi="宋体" w:cs="宋体"/>
                <w:kern w:val="0"/>
                <w:sz w:val="24"/>
                <w:szCs w:val="24"/>
              </w:rPr>
              <w:t>成立时间</w:t>
            </w:r>
          </w:p>
        </w:tc>
        <w:tc>
          <w:tcPr>
            <w:tcW w:w="8234" w:type="dxa"/>
            <w:gridSpan w:val="8"/>
            <w:tcBorders>
              <w:top w:val="single" w:color="auto" w:sz="4" w:space="0"/>
              <w:left w:val="nil"/>
              <w:bottom w:val="single" w:color="auto" w:sz="4" w:space="0"/>
              <w:right w:val="single" w:color="auto" w:sz="4" w:space="0"/>
            </w:tcBorders>
            <w:vAlign w:val="center"/>
          </w:tcPr>
          <w:p w14:paraId="13879C56">
            <w:pPr>
              <w:widowControl/>
              <w:jc w:val="center"/>
              <w:rPr>
                <w:rFonts w:ascii="宋体" w:hAnsi="宋体" w:cs="宋体"/>
                <w:kern w:val="0"/>
                <w:sz w:val="24"/>
                <w:szCs w:val="24"/>
              </w:rPr>
            </w:pPr>
            <w:r>
              <w:rPr>
                <w:rFonts w:hint="eastAsia" w:ascii="宋体" w:hAnsi="宋体" w:cs="宋体"/>
                <w:kern w:val="0"/>
                <w:sz w:val="24"/>
                <w:szCs w:val="24"/>
              </w:rPr>
              <w:t>年月日</w:t>
            </w:r>
          </w:p>
        </w:tc>
      </w:tr>
      <w:tr w14:paraId="08BDD5DF">
        <w:tblPrEx>
          <w:tblCellMar>
            <w:top w:w="0" w:type="dxa"/>
            <w:left w:w="108" w:type="dxa"/>
            <w:bottom w:w="0" w:type="dxa"/>
            <w:right w:w="108" w:type="dxa"/>
          </w:tblCellMar>
        </w:tblPrEx>
        <w:trPr>
          <w:trHeight w:val="984" w:hRule="atLeast"/>
        </w:trPr>
        <w:tc>
          <w:tcPr>
            <w:tcW w:w="1243" w:type="dxa"/>
            <w:tcBorders>
              <w:top w:val="nil"/>
              <w:left w:val="single" w:color="auto" w:sz="4" w:space="0"/>
              <w:bottom w:val="single" w:color="auto" w:sz="4" w:space="0"/>
              <w:right w:val="single" w:color="auto" w:sz="4" w:space="0"/>
            </w:tcBorders>
            <w:vAlign w:val="center"/>
          </w:tcPr>
          <w:p w14:paraId="663109BF">
            <w:pPr>
              <w:widowControl/>
              <w:jc w:val="center"/>
              <w:rPr>
                <w:rFonts w:ascii="宋体" w:hAnsi="宋体" w:cs="宋体"/>
                <w:kern w:val="0"/>
                <w:sz w:val="24"/>
                <w:szCs w:val="24"/>
              </w:rPr>
            </w:pPr>
            <w:r>
              <w:rPr>
                <w:rFonts w:hint="eastAsia" w:ascii="宋体" w:hAnsi="宋体" w:cs="宋体"/>
                <w:kern w:val="0"/>
                <w:sz w:val="24"/>
                <w:szCs w:val="24"/>
              </w:rPr>
              <w:t>营业执照号/统一社会信用代码</w:t>
            </w:r>
          </w:p>
        </w:tc>
        <w:tc>
          <w:tcPr>
            <w:tcW w:w="2926" w:type="dxa"/>
            <w:gridSpan w:val="3"/>
            <w:tcBorders>
              <w:top w:val="single" w:color="auto" w:sz="4" w:space="0"/>
              <w:left w:val="nil"/>
              <w:bottom w:val="single" w:color="auto" w:sz="4" w:space="0"/>
              <w:right w:val="single" w:color="000000" w:sz="4" w:space="0"/>
            </w:tcBorders>
            <w:vAlign w:val="center"/>
          </w:tcPr>
          <w:p w14:paraId="31D9CBA0">
            <w:pPr>
              <w:widowControl/>
              <w:jc w:val="center"/>
              <w:rPr>
                <w:rFonts w:ascii="宋体" w:hAnsi="宋体" w:cs="宋体"/>
                <w:kern w:val="0"/>
                <w:sz w:val="24"/>
                <w:szCs w:val="24"/>
              </w:rPr>
            </w:pPr>
            <w:r>
              <w:rPr>
                <w:rFonts w:hint="eastAsia" w:ascii="宋体" w:hAnsi="宋体" w:cs="宋体"/>
                <w:kern w:val="0"/>
                <w:sz w:val="24"/>
                <w:szCs w:val="24"/>
              </w:rPr>
              <w:t>　</w:t>
            </w:r>
          </w:p>
        </w:tc>
        <w:tc>
          <w:tcPr>
            <w:tcW w:w="2996" w:type="dxa"/>
            <w:gridSpan w:val="3"/>
            <w:tcBorders>
              <w:top w:val="nil"/>
              <w:left w:val="nil"/>
              <w:bottom w:val="single" w:color="auto" w:sz="4" w:space="0"/>
              <w:right w:val="single" w:color="auto" w:sz="4" w:space="0"/>
            </w:tcBorders>
            <w:vAlign w:val="center"/>
          </w:tcPr>
          <w:p w14:paraId="5BDCF76F">
            <w:pPr>
              <w:widowControl/>
              <w:jc w:val="center"/>
              <w:rPr>
                <w:rFonts w:ascii="宋体" w:hAnsi="宋体" w:cs="宋体"/>
                <w:kern w:val="0"/>
                <w:sz w:val="24"/>
                <w:szCs w:val="24"/>
              </w:rPr>
            </w:pPr>
            <w:r>
              <w:rPr>
                <w:rFonts w:hint="eastAsia" w:ascii="宋体" w:hAnsi="宋体" w:cs="宋体"/>
                <w:kern w:val="0"/>
                <w:sz w:val="24"/>
                <w:szCs w:val="24"/>
              </w:rPr>
              <w:t>注册资金</w:t>
            </w:r>
          </w:p>
        </w:tc>
        <w:tc>
          <w:tcPr>
            <w:tcW w:w="2312" w:type="dxa"/>
            <w:gridSpan w:val="2"/>
            <w:tcBorders>
              <w:top w:val="nil"/>
              <w:left w:val="nil"/>
              <w:bottom w:val="single" w:color="auto" w:sz="4" w:space="0"/>
              <w:right w:val="single" w:color="auto" w:sz="4" w:space="0"/>
            </w:tcBorders>
            <w:vAlign w:val="center"/>
          </w:tcPr>
          <w:p w14:paraId="203375D1">
            <w:pPr>
              <w:widowControl/>
              <w:jc w:val="left"/>
              <w:rPr>
                <w:rFonts w:ascii="宋体" w:hAnsi="宋体" w:cs="宋体"/>
                <w:kern w:val="0"/>
                <w:sz w:val="24"/>
                <w:szCs w:val="24"/>
              </w:rPr>
            </w:pPr>
            <w:r>
              <w:rPr>
                <w:rFonts w:hint="eastAsia" w:ascii="宋体" w:hAnsi="宋体" w:cs="宋体"/>
                <w:kern w:val="0"/>
                <w:sz w:val="24"/>
                <w:szCs w:val="24"/>
              </w:rPr>
              <w:t>　</w:t>
            </w:r>
          </w:p>
          <w:p w14:paraId="45F7ECB0">
            <w:pPr>
              <w:widowControl/>
              <w:jc w:val="left"/>
              <w:rPr>
                <w:rFonts w:ascii="宋体" w:hAnsi="宋体" w:cs="宋体"/>
                <w:kern w:val="0"/>
                <w:sz w:val="24"/>
                <w:szCs w:val="24"/>
              </w:rPr>
            </w:pPr>
            <w:r>
              <w:rPr>
                <w:rFonts w:hint="eastAsia" w:ascii="宋体" w:hAnsi="宋体" w:cs="宋体"/>
                <w:kern w:val="0"/>
                <w:sz w:val="24"/>
                <w:szCs w:val="24"/>
              </w:rPr>
              <w:t>　</w:t>
            </w:r>
          </w:p>
          <w:p w14:paraId="752669A5">
            <w:pPr>
              <w:widowControl/>
              <w:jc w:val="left"/>
              <w:rPr>
                <w:rFonts w:ascii="宋体" w:hAnsi="宋体" w:cs="宋体"/>
                <w:kern w:val="0"/>
                <w:sz w:val="24"/>
                <w:szCs w:val="24"/>
              </w:rPr>
            </w:pPr>
            <w:r>
              <w:rPr>
                <w:rFonts w:hint="eastAsia" w:ascii="宋体" w:hAnsi="宋体" w:cs="宋体"/>
                <w:kern w:val="0"/>
                <w:sz w:val="24"/>
                <w:szCs w:val="24"/>
              </w:rPr>
              <w:t>　</w:t>
            </w:r>
          </w:p>
        </w:tc>
      </w:tr>
      <w:tr w14:paraId="5F739EA5">
        <w:tblPrEx>
          <w:tblCellMar>
            <w:top w:w="0" w:type="dxa"/>
            <w:left w:w="108" w:type="dxa"/>
            <w:bottom w:w="0" w:type="dxa"/>
            <w:right w:w="108" w:type="dxa"/>
          </w:tblCellMar>
        </w:tblPrEx>
        <w:trPr>
          <w:trHeight w:val="480" w:hRule="atLeast"/>
        </w:trPr>
        <w:tc>
          <w:tcPr>
            <w:tcW w:w="1243" w:type="dxa"/>
            <w:tcBorders>
              <w:top w:val="nil"/>
              <w:left w:val="single" w:color="auto" w:sz="4" w:space="0"/>
              <w:bottom w:val="single" w:color="auto" w:sz="4" w:space="0"/>
              <w:right w:val="single" w:color="auto" w:sz="4" w:space="0"/>
            </w:tcBorders>
            <w:vAlign w:val="center"/>
          </w:tcPr>
          <w:p w14:paraId="62525818">
            <w:pPr>
              <w:widowControl/>
              <w:jc w:val="center"/>
              <w:rPr>
                <w:rFonts w:ascii="宋体" w:hAnsi="宋体" w:cs="宋体"/>
                <w:kern w:val="0"/>
                <w:sz w:val="24"/>
                <w:szCs w:val="24"/>
              </w:rPr>
            </w:pPr>
            <w:r>
              <w:rPr>
                <w:rFonts w:hint="eastAsia" w:ascii="宋体" w:hAnsi="宋体" w:cs="宋体"/>
                <w:kern w:val="0"/>
                <w:sz w:val="24"/>
                <w:szCs w:val="24"/>
              </w:rPr>
              <w:t>开户银行</w:t>
            </w:r>
          </w:p>
        </w:tc>
        <w:tc>
          <w:tcPr>
            <w:tcW w:w="2926" w:type="dxa"/>
            <w:gridSpan w:val="3"/>
            <w:tcBorders>
              <w:top w:val="single" w:color="auto" w:sz="4" w:space="0"/>
              <w:left w:val="nil"/>
              <w:bottom w:val="single" w:color="auto" w:sz="4" w:space="0"/>
              <w:right w:val="single" w:color="000000" w:sz="4" w:space="0"/>
            </w:tcBorders>
            <w:vAlign w:val="center"/>
          </w:tcPr>
          <w:p w14:paraId="1DC15682">
            <w:pPr>
              <w:widowControl/>
              <w:jc w:val="center"/>
              <w:rPr>
                <w:rFonts w:ascii="宋体" w:hAnsi="宋体" w:cs="宋体"/>
                <w:kern w:val="0"/>
                <w:sz w:val="24"/>
                <w:szCs w:val="24"/>
              </w:rPr>
            </w:pPr>
            <w:r>
              <w:rPr>
                <w:rFonts w:hint="eastAsia" w:ascii="宋体" w:hAnsi="宋体" w:cs="宋体"/>
                <w:kern w:val="0"/>
                <w:sz w:val="24"/>
                <w:szCs w:val="24"/>
              </w:rPr>
              <w:t>　</w:t>
            </w:r>
          </w:p>
        </w:tc>
        <w:tc>
          <w:tcPr>
            <w:tcW w:w="2996" w:type="dxa"/>
            <w:gridSpan w:val="3"/>
            <w:tcBorders>
              <w:top w:val="nil"/>
              <w:left w:val="nil"/>
              <w:bottom w:val="single" w:color="auto" w:sz="4" w:space="0"/>
              <w:right w:val="single" w:color="auto" w:sz="4" w:space="0"/>
            </w:tcBorders>
            <w:vAlign w:val="center"/>
          </w:tcPr>
          <w:p w14:paraId="21227169">
            <w:pPr>
              <w:widowControl/>
              <w:jc w:val="center"/>
              <w:rPr>
                <w:rFonts w:ascii="宋体" w:hAnsi="宋体" w:cs="宋体"/>
                <w:kern w:val="0"/>
                <w:sz w:val="24"/>
                <w:szCs w:val="24"/>
              </w:rPr>
            </w:pPr>
            <w:r>
              <w:rPr>
                <w:rFonts w:hint="eastAsia" w:ascii="宋体" w:hAnsi="宋体" w:cs="宋体"/>
                <w:kern w:val="0"/>
                <w:sz w:val="24"/>
                <w:szCs w:val="24"/>
              </w:rPr>
              <w:t>开户银行账号</w:t>
            </w:r>
          </w:p>
        </w:tc>
        <w:tc>
          <w:tcPr>
            <w:tcW w:w="2312" w:type="dxa"/>
            <w:gridSpan w:val="2"/>
            <w:tcBorders>
              <w:top w:val="single" w:color="auto" w:sz="4" w:space="0"/>
              <w:left w:val="nil"/>
              <w:bottom w:val="single" w:color="auto" w:sz="4" w:space="0"/>
              <w:right w:val="single" w:color="000000" w:sz="4" w:space="0"/>
            </w:tcBorders>
            <w:vAlign w:val="center"/>
          </w:tcPr>
          <w:p w14:paraId="7955F195">
            <w:pPr>
              <w:widowControl/>
              <w:jc w:val="center"/>
              <w:rPr>
                <w:rFonts w:ascii="宋体" w:hAnsi="宋体" w:cs="宋体"/>
                <w:kern w:val="0"/>
                <w:sz w:val="24"/>
                <w:szCs w:val="24"/>
              </w:rPr>
            </w:pPr>
            <w:r>
              <w:rPr>
                <w:rFonts w:hint="eastAsia" w:ascii="宋体" w:hAnsi="宋体" w:cs="宋体"/>
                <w:kern w:val="0"/>
                <w:sz w:val="24"/>
                <w:szCs w:val="24"/>
              </w:rPr>
              <w:t>　</w:t>
            </w:r>
          </w:p>
        </w:tc>
      </w:tr>
      <w:tr w14:paraId="10BA1C68">
        <w:tblPrEx>
          <w:tblCellMar>
            <w:top w:w="0" w:type="dxa"/>
            <w:left w:w="108" w:type="dxa"/>
            <w:bottom w:w="0" w:type="dxa"/>
            <w:right w:w="108" w:type="dxa"/>
          </w:tblCellMar>
        </w:tblPrEx>
        <w:trPr>
          <w:trHeight w:val="2664" w:hRule="atLeast"/>
        </w:trPr>
        <w:tc>
          <w:tcPr>
            <w:tcW w:w="1243" w:type="dxa"/>
            <w:tcBorders>
              <w:top w:val="nil"/>
              <w:left w:val="single" w:color="auto" w:sz="4" w:space="0"/>
              <w:bottom w:val="single" w:color="auto" w:sz="4" w:space="0"/>
              <w:right w:val="single" w:color="auto" w:sz="4" w:space="0"/>
            </w:tcBorders>
            <w:vAlign w:val="center"/>
          </w:tcPr>
          <w:p w14:paraId="59270F45">
            <w:pPr>
              <w:widowControl/>
              <w:jc w:val="center"/>
              <w:rPr>
                <w:rFonts w:ascii="宋体" w:hAnsi="宋体" w:cs="宋体"/>
                <w:kern w:val="0"/>
                <w:sz w:val="24"/>
                <w:szCs w:val="24"/>
              </w:rPr>
            </w:pPr>
            <w:r>
              <w:rPr>
                <w:rFonts w:hint="eastAsia" w:ascii="宋体" w:hAnsi="宋体" w:cs="宋体"/>
                <w:kern w:val="0"/>
                <w:sz w:val="24"/>
                <w:szCs w:val="24"/>
              </w:rPr>
              <w:t>经营范围</w:t>
            </w:r>
          </w:p>
        </w:tc>
        <w:tc>
          <w:tcPr>
            <w:tcW w:w="8234" w:type="dxa"/>
            <w:gridSpan w:val="8"/>
            <w:tcBorders>
              <w:top w:val="single" w:color="auto" w:sz="4" w:space="0"/>
              <w:left w:val="nil"/>
              <w:bottom w:val="single" w:color="auto" w:sz="4" w:space="0"/>
              <w:right w:val="single" w:color="auto" w:sz="4" w:space="0"/>
            </w:tcBorders>
            <w:vAlign w:val="center"/>
          </w:tcPr>
          <w:p w14:paraId="5BC287EB">
            <w:pPr>
              <w:widowControl/>
              <w:jc w:val="center"/>
              <w:rPr>
                <w:rFonts w:ascii="宋体" w:hAnsi="宋体" w:cs="宋体"/>
                <w:kern w:val="0"/>
                <w:sz w:val="24"/>
                <w:szCs w:val="24"/>
              </w:rPr>
            </w:pPr>
            <w:r>
              <w:rPr>
                <w:rFonts w:hint="eastAsia" w:ascii="宋体" w:hAnsi="宋体" w:cs="宋体"/>
                <w:kern w:val="0"/>
                <w:sz w:val="24"/>
                <w:szCs w:val="24"/>
              </w:rPr>
              <w:t>　</w:t>
            </w:r>
          </w:p>
        </w:tc>
      </w:tr>
      <w:tr w14:paraId="53CB2D5A">
        <w:tblPrEx>
          <w:tblCellMar>
            <w:top w:w="0" w:type="dxa"/>
            <w:left w:w="108" w:type="dxa"/>
            <w:bottom w:w="0" w:type="dxa"/>
            <w:right w:w="108" w:type="dxa"/>
          </w:tblCellMar>
        </w:tblPrEx>
        <w:trPr>
          <w:trHeight w:val="480" w:hRule="atLeast"/>
        </w:trPr>
        <w:tc>
          <w:tcPr>
            <w:tcW w:w="1243" w:type="dxa"/>
            <w:tcBorders>
              <w:top w:val="nil"/>
              <w:left w:val="single" w:color="auto" w:sz="4" w:space="0"/>
              <w:bottom w:val="single" w:color="auto" w:sz="4" w:space="0"/>
              <w:right w:val="single" w:color="auto" w:sz="4" w:space="0"/>
            </w:tcBorders>
            <w:vAlign w:val="center"/>
          </w:tcPr>
          <w:p w14:paraId="3CE09005">
            <w:pPr>
              <w:widowControl/>
              <w:jc w:val="center"/>
              <w:rPr>
                <w:rFonts w:ascii="宋体" w:hAnsi="宋体" w:cs="宋体"/>
                <w:kern w:val="0"/>
                <w:sz w:val="24"/>
                <w:szCs w:val="24"/>
              </w:rPr>
            </w:pPr>
            <w:r>
              <w:rPr>
                <w:rFonts w:hint="eastAsia" w:ascii="宋体" w:hAnsi="宋体" w:cs="宋体"/>
                <w:kern w:val="0"/>
                <w:sz w:val="24"/>
                <w:szCs w:val="24"/>
              </w:rPr>
              <w:t>备注</w:t>
            </w:r>
          </w:p>
        </w:tc>
        <w:tc>
          <w:tcPr>
            <w:tcW w:w="8234" w:type="dxa"/>
            <w:gridSpan w:val="8"/>
            <w:tcBorders>
              <w:top w:val="single" w:color="auto" w:sz="4" w:space="0"/>
              <w:left w:val="nil"/>
              <w:bottom w:val="single" w:color="auto" w:sz="4" w:space="0"/>
              <w:right w:val="single" w:color="auto" w:sz="4" w:space="0"/>
            </w:tcBorders>
            <w:vAlign w:val="center"/>
          </w:tcPr>
          <w:p w14:paraId="48F86AF7">
            <w:pPr>
              <w:widowControl/>
              <w:jc w:val="center"/>
              <w:rPr>
                <w:rFonts w:ascii="宋体" w:hAnsi="宋体" w:cs="宋体"/>
                <w:kern w:val="0"/>
                <w:sz w:val="24"/>
                <w:szCs w:val="24"/>
              </w:rPr>
            </w:pPr>
            <w:r>
              <w:rPr>
                <w:rFonts w:hint="eastAsia" w:ascii="宋体" w:hAnsi="宋体" w:cs="宋体"/>
                <w:kern w:val="0"/>
                <w:sz w:val="24"/>
                <w:szCs w:val="24"/>
              </w:rPr>
              <w:t>　</w:t>
            </w:r>
          </w:p>
        </w:tc>
      </w:tr>
    </w:tbl>
    <w:p w14:paraId="263CDB88">
      <w:pPr>
        <w:spacing w:line="360" w:lineRule="auto"/>
        <w:rPr>
          <w:rFonts w:cs="Times New Roman" w:asciiTheme="minorEastAsia" w:hAnsiTheme="minorEastAsia" w:eastAsiaTheme="minorEastAsia"/>
          <w:sz w:val="28"/>
          <w:szCs w:val="28"/>
        </w:rPr>
      </w:pPr>
    </w:p>
    <w:p w14:paraId="56C34C6E">
      <w:pPr>
        <w:spacing w:line="360" w:lineRule="auto"/>
        <w:rPr>
          <w:rFonts w:cs="Times New Roman" w:asciiTheme="minorEastAsia" w:hAnsiTheme="minorEastAsia" w:eastAsiaTheme="minorEastAsia"/>
          <w:sz w:val="28"/>
          <w:szCs w:val="28"/>
        </w:rPr>
      </w:pPr>
      <w:r>
        <w:rPr>
          <w:rFonts w:hint="eastAsia" w:cs="仿宋_GB2312" w:asciiTheme="minorEastAsia" w:hAnsiTheme="minorEastAsia" w:eastAsiaTheme="minorEastAsia"/>
          <w:sz w:val="24"/>
          <w:szCs w:val="24"/>
        </w:rPr>
        <w:t>投标人全称（公章）：授权代表（签字）：</w:t>
      </w:r>
    </w:p>
    <w:p w14:paraId="14767D9B">
      <w:pPr>
        <w:spacing w:line="360" w:lineRule="auto"/>
        <w:rPr>
          <w:rFonts w:cs="Times New Roman" w:asciiTheme="minorEastAsia" w:hAnsiTheme="minorEastAsia" w:eastAsiaTheme="minorEastAsia"/>
          <w:sz w:val="28"/>
          <w:szCs w:val="28"/>
        </w:rPr>
      </w:pPr>
    </w:p>
    <w:p w14:paraId="07E9A824">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09B6E8E1">
      <w:pPr>
        <w:pStyle w:val="16"/>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表</w:t>
      </w:r>
      <w:r>
        <w:rPr>
          <w:rFonts w:cs="仿宋_GB2312" w:asciiTheme="minorEastAsia" w:hAnsiTheme="minorEastAsia" w:eastAsiaTheme="minorEastAsia"/>
          <w:b/>
          <w:bCs/>
          <w:sz w:val="24"/>
          <w:szCs w:val="24"/>
        </w:rPr>
        <w:t>3</w:t>
      </w:r>
      <w:r>
        <w:rPr>
          <w:rFonts w:hint="eastAsia" w:asciiTheme="minorEastAsia" w:hAnsiTheme="minorEastAsia" w:eastAsiaTheme="minorEastAsia"/>
          <w:b/>
          <w:sz w:val="24"/>
          <w:szCs w:val="24"/>
        </w:rPr>
        <w:t>、</w:t>
      </w:r>
    </w:p>
    <w:p w14:paraId="2ED31E4D">
      <w:pPr>
        <w:pStyle w:val="16"/>
        <w:rPr>
          <w:rFonts w:asciiTheme="minorEastAsia" w:hAnsiTheme="minorEastAsia" w:eastAsiaTheme="minorEastAsia"/>
          <w:sz w:val="24"/>
        </w:rPr>
      </w:pPr>
      <w:r>
        <w:rPr>
          <w:rFonts w:hint="eastAsia" w:asciiTheme="minorEastAsia" w:hAnsiTheme="minorEastAsia" w:eastAsiaTheme="minorEastAsia"/>
          <w:sz w:val="24"/>
        </w:rPr>
        <w:t>营业执照副本、组织机构代码证、税务登记证</w:t>
      </w:r>
      <w:r>
        <w:rPr>
          <w:rFonts w:asciiTheme="minorEastAsia" w:hAnsiTheme="minorEastAsia" w:eastAsiaTheme="minorEastAsia"/>
          <w:sz w:val="24"/>
        </w:rPr>
        <w:t>(</w:t>
      </w:r>
      <w:r>
        <w:rPr>
          <w:rFonts w:hint="eastAsia" w:asciiTheme="minorEastAsia" w:hAnsiTheme="minorEastAsia" w:eastAsiaTheme="minorEastAsia"/>
          <w:sz w:val="24"/>
        </w:rPr>
        <w:t>或新版合法的“三证合一、一照一码”营业执照副本</w:t>
      </w:r>
      <w:r>
        <w:rPr>
          <w:rFonts w:asciiTheme="minorEastAsia" w:hAnsiTheme="minorEastAsia" w:eastAsiaTheme="minorEastAsia"/>
          <w:sz w:val="24"/>
        </w:rPr>
        <w:t>)</w:t>
      </w:r>
      <w:r>
        <w:rPr>
          <w:rFonts w:hint="eastAsia" w:asciiTheme="minorEastAsia" w:hAnsiTheme="minorEastAsia" w:eastAsiaTheme="minorEastAsia"/>
          <w:sz w:val="24"/>
        </w:rPr>
        <w:t>和有关资格证书复印件</w:t>
      </w:r>
    </w:p>
    <w:p w14:paraId="5D835969">
      <w:pPr>
        <w:pStyle w:val="16"/>
        <w:rPr>
          <w:rFonts w:asciiTheme="minorEastAsia" w:hAnsiTheme="minorEastAsia" w:eastAsiaTheme="minorEastAsia"/>
        </w:rPr>
      </w:pPr>
    </w:p>
    <w:p w14:paraId="60CDCD5F">
      <w:pPr>
        <w:pStyle w:val="16"/>
        <w:rPr>
          <w:rFonts w:asciiTheme="minorEastAsia" w:hAnsiTheme="minorEastAsia" w:eastAsiaTheme="minorEastAsia"/>
        </w:rPr>
      </w:pPr>
    </w:p>
    <w:p w14:paraId="64A2A821">
      <w:pPr>
        <w:pStyle w:val="16"/>
        <w:rPr>
          <w:rFonts w:asciiTheme="minorEastAsia" w:hAnsiTheme="minorEastAsia" w:eastAsiaTheme="minorEastAsia"/>
        </w:rPr>
      </w:pPr>
    </w:p>
    <w:p w14:paraId="204BAE0C">
      <w:pPr>
        <w:pStyle w:val="16"/>
        <w:rPr>
          <w:rFonts w:asciiTheme="minorEastAsia" w:hAnsiTheme="minorEastAsia" w:eastAsiaTheme="minorEastAsia"/>
        </w:rPr>
      </w:pPr>
    </w:p>
    <w:p w14:paraId="5985DB16">
      <w:pPr>
        <w:pStyle w:val="16"/>
        <w:rPr>
          <w:rFonts w:asciiTheme="minorEastAsia" w:hAnsiTheme="minorEastAsia" w:eastAsiaTheme="minorEastAsia"/>
        </w:rPr>
      </w:pPr>
    </w:p>
    <w:p w14:paraId="672230B5">
      <w:pPr>
        <w:pStyle w:val="16"/>
        <w:rPr>
          <w:rFonts w:asciiTheme="minorEastAsia" w:hAnsiTheme="minorEastAsia" w:eastAsiaTheme="minorEastAsia"/>
        </w:rPr>
      </w:pPr>
    </w:p>
    <w:p w14:paraId="620476E4">
      <w:pPr>
        <w:pStyle w:val="16"/>
        <w:rPr>
          <w:rFonts w:asciiTheme="minorEastAsia" w:hAnsiTheme="minorEastAsia" w:eastAsiaTheme="minorEastAsia"/>
        </w:rPr>
      </w:pPr>
    </w:p>
    <w:p w14:paraId="05311FFD">
      <w:pPr>
        <w:pStyle w:val="16"/>
        <w:rPr>
          <w:rFonts w:asciiTheme="minorEastAsia" w:hAnsiTheme="minorEastAsia" w:eastAsiaTheme="minorEastAsia"/>
        </w:rPr>
      </w:pPr>
    </w:p>
    <w:p w14:paraId="1A6B7DC2">
      <w:pPr>
        <w:pStyle w:val="16"/>
        <w:rPr>
          <w:rFonts w:asciiTheme="minorEastAsia" w:hAnsiTheme="minorEastAsia" w:eastAsiaTheme="minorEastAsia"/>
        </w:rPr>
      </w:pPr>
    </w:p>
    <w:p w14:paraId="54789538">
      <w:pPr>
        <w:pStyle w:val="16"/>
        <w:rPr>
          <w:rFonts w:asciiTheme="minorEastAsia" w:hAnsiTheme="minorEastAsia" w:eastAsiaTheme="minorEastAsia"/>
        </w:rPr>
      </w:pPr>
    </w:p>
    <w:p w14:paraId="5E103C93">
      <w:pPr>
        <w:pStyle w:val="16"/>
        <w:rPr>
          <w:rFonts w:asciiTheme="minorEastAsia" w:hAnsiTheme="minorEastAsia" w:eastAsiaTheme="minorEastAsia"/>
        </w:rPr>
      </w:pPr>
    </w:p>
    <w:p w14:paraId="0225D26F">
      <w:pPr>
        <w:pStyle w:val="16"/>
        <w:rPr>
          <w:rFonts w:asciiTheme="minorEastAsia" w:hAnsiTheme="minorEastAsia" w:eastAsiaTheme="minorEastAsia"/>
        </w:rPr>
      </w:pPr>
    </w:p>
    <w:p w14:paraId="6D0E6FC3">
      <w:pPr>
        <w:pStyle w:val="16"/>
        <w:rPr>
          <w:rFonts w:asciiTheme="minorEastAsia" w:hAnsiTheme="minorEastAsia" w:eastAsiaTheme="minorEastAsia"/>
        </w:rPr>
      </w:pPr>
    </w:p>
    <w:p w14:paraId="62DBB630">
      <w:pPr>
        <w:pStyle w:val="16"/>
        <w:rPr>
          <w:rFonts w:asciiTheme="minorEastAsia" w:hAnsiTheme="minorEastAsia" w:eastAsiaTheme="minorEastAsia"/>
        </w:rPr>
      </w:pPr>
    </w:p>
    <w:p w14:paraId="46C15FDD">
      <w:pPr>
        <w:pStyle w:val="16"/>
        <w:rPr>
          <w:rFonts w:asciiTheme="minorEastAsia" w:hAnsiTheme="minorEastAsia" w:eastAsiaTheme="minorEastAsia"/>
        </w:rPr>
      </w:pPr>
    </w:p>
    <w:p w14:paraId="7A4823A7">
      <w:pPr>
        <w:pStyle w:val="16"/>
        <w:rPr>
          <w:rFonts w:asciiTheme="minorEastAsia" w:hAnsiTheme="minorEastAsia" w:eastAsiaTheme="minorEastAsia"/>
        </w:rPr>
      </w:pPr>
    </w:p>
    <w:p w14:paraId="29EA4C40">
      <w:pPr>
        <w:spacing w:line="360" w:lineRule="auto"/>
        <w:rPr>
          <w:rFonts w:cs="宋体" w:asciiTheme="minorEastAsia" w:hAnsiTheme="minorEastAsia" w:eastAsiaTheme="minorEastAsia"/>
          <w:sz w:val="24"/>
          <w:szCs w:val="24"/>
        </w:rPr>
      </w:pPr>
      <w:r>
        <w:rPr>
          <w:rFonts w:hint="eastAsia" w:cs="仿宋_GB2312" w:asciiTheme="minorEastAsia" w:hAnsiTheme="minorEastAsia" w:eastAsiaTheme="minorEastAsia"/>
          <w:b/>
          <w:bCs/>
          <w:sz w:val="24"/>
          <w:szCs w:val="24"/>
        </w:rPr>
        <w:t>表4</w:t>
      </w:r>
      <w:r>
        <w:rPr>
          <w:rFonts w:hint="eastAsia" w:asciiTheme="minorEastAsia" w:hAnsiTheme="minorEastAsia" w:eastAsiaTheme="minorEastAsia"/>
          <w:b/>
          <w:sz w:val="24"/>
          <w:szCs w:val="24"/>
        </w:rPr>
        <w:t>、</w:t>
      </w:r>
    </w:p>
    <w:p w14:paraId="12141AEF">
      <w:pPr>
        <w:spacing w:line="360" w:lineRule="auto"/>
        <w:jc w:val="center"/>
        <w:rPr>
          <w:rFonts w:cs="Times New Roman" w:asciiTheme="minorEastAsia" w:hAnsiTheme="minorEastAsia" w:eastAsiaTheme="minorEastAsia"/>
          <w:sz w:val="28"/>
          <w:szCs w:val="28"/>
        </w:rPr>
      </w:pPr>
      <w:r>
        <w:rPr>
          <w:rFonts w:hint="eastAsia" w:cs="华文中宋" w:asciiTheme="minorEastAsia" w:hAnsiTheme="minorEastAsia" w:eastAsiaTheme="minorEastAsia"/>
          <w:b/>
          <w:bCs/>
          <w:sz w:val="32"/>
          <w:szCs w:val="32"/>
        </w:rPr>
        <w:t>法人授权委托证明书</w:t>
      </w:r>
    </w:p>
    <w:p w14:paraId="708AF5DA">
      <w:pPr>
        <w:spacing w:line="520" w:lineRule="exact"/>
        <w:rPr>
          <w:rFonts w:asciiTheme="minorEastAsia" w:hAnsiTheme="minorEastAsia" w:eastAsiaTheme="minorEastAsia"/>
          <w:sz w:val="24"/>
        </w:rPr>
      </w:pPr>
      <w:r>
        <w:rPr>
          <w:rFonts w:hint="eastAsia" w:asciiTheme="minorEastAsia" w:hAnsiTheme="minorEastAsia" w:eastAsiaTheme="minorEastAsia"/>
          <w:sz w:val="24"/>
        </w:rPr>
        <w:t>致：</w:t>
      </w:r>
    </w:p>
    <w:p w14:paraId="662C0A0E">
      <w:pPr>
        <w:spacing w:line="520" w:lineRule="exact"/>
        <w:rPr>
          <w:rFonts w:asciiTheme="minorEastAsia" w:hAnsiTheme="minorEastAsia" w:eastAsiaTheme="minorEastAsia"/>
          <w:sz w:val="24"/>
        </w:rPr>
      </w:pPr>
      <w:r>
        <w:rPr>
          <w:rFonts w:hint="eastAsia" w:asciiTheme="minorEastAsia" w:hAnsiTheme="minorEastAsia" w:eastAsiaTheme="minorEastAsia"/>
          <w:sz w:val="24"/>
        </w:rPr>
        <w:t>本授权书声明</w:t>
      </w:r>
      <w:r>
        <w:rPr>
          <w:rFonts w:asciiTheme="minorEastAsia" w:hAnsiTheme="minorEastAsia" w:eastAsiaTheme="minorEastAsia"/>
          <w:sz w:val="24"/>
        </w:rPr>
        <w:t>:</w:t>
      </w:r>
    </w:p>
    <w:p w14:paraId="5E2A090A">
      <w:pPr>
        <w:spacing w:line="520" w:lineRule="exact"/>
        <w:rPr>
          <w:rFonts w:asciiTheme="minorEastAsia" w:hAnsiTheme="minorEastAsia" w:eastAsiaTheme="minorEastAsia"/>
          <w:sz w:val="24"/>
        </w:rPr>
      </w:pPr>
      <w:r>
        <w:rPr>
          <w:rFonts w:hint="eastAsia" w:asciiTheme="minorEastAsia" w:hAnsiTheme="minorEastAsia" w:eastAsiaTheme="minorEastAsia"/>
          <w:sz w:val="24"/>
        </w:rPr>
        <w:t>委托人</w:t>
      </w:r>
      <w:r>
        <w:rPr>
          <w:rFonts w:asciiTheme="minorEastAsia" w:hAnsiTheme="minorEastAsia" w:eastAsiaTheme="minorEastAsia"/>
          <w:sz w:val="24"/>
        </w:rPr>
        <w:t>:</w:t>
      </w:r>
    </w:p>
    <w:p w14:paraId="1F78C8F8">
      <w:pPr>
        <w:spacing w:line="520" w:lineRule="exact"/>
        <w:rPr>
          <w:rFonts w:asciiTheme="minorEastAsia" w:hAnsiTheme="minorEastAsia" w:eastAsiaTheme="minorEastAsia"/>
          <w:sz w:val="24"/>
        </w:rPr>
      </w:pPr>
      <w:r>
        <w:rPr>
          <w:rFonts w:hint="eastAsia" w:asciiTheme="minorEastAsia" w:hAnsiTheme="minorEastAsia" w:eastAsiaTheme="minorEastAsia"/>
          <w:sz w:val="24"/>
        </w:rPr>
        <w:t>地址</w:t>
      </w:r>
      <w:r>
        <w:rPr>
          <w:rFonts w:asciiTheme="minorEastAsia" w:hAnsiTheme="minorEastAsia" w:eastAsiaTheme="minorEastAsia"/>
          <w:sz w:val="24"/>
        </w:rPr>
        <w:t xml:space="preserve">:                         </w:t>
      </w:r>
      <w:r>
        <w:rPr>
          <w:rFonts w:hint="eastAsia" w:asciiTheme="minorEastAsia" w:hAnsiTheme="minorEastAsia" w:eastAsiaTheme="minorEastAsia"/>
          <w:sz w:val="24"/>
        </w:rPr>
        <w:t>法定代表人</w:t>
      </w:r>
      <w:r>
        <w:rPr>
          <w:rFonts w:asciiTheme="minorEastAsia" w:hAnsiTheme="minorEastAsia" w:eastAsiaTheme="minorEastAsia"/>
          <w:sz w:val="24"/>
        </w:rPr>
        <w:t>:</w:t>
      </w:r>
    </w:p>
    <w:p w14:paraId="69331D65">
      <w:pPr>
        <w:spacing w:line="520" w:lineRule="exact"/>
        <w:rPr>
          <w:rFonts w:asciiTheme="minorEastAsia" w:hAnsiTheme="minorEastAsia" w:eastAsiaTheme="minorEastAsia"/>
          <w:sz w:val="24"/>
        </w:rPr>
      </w:pPr>
      <w:r>
        <w:rPr>
          <w:rFonts w:hint="eastAsia" w:asciiTheme="minorEastAsia" w:hAnsiTheme="minorEastAsia" w:eastAsiaTheme="minorEastAsia"/>
          <w:sz w:val="24"/>
        </w:rPr>
        <w:t>受托人姓名</w:t>
      </w:r>
      <w:r>
        <w:rPr>
          <w:rFonts w:asciiTheme="minorEastAsia" w:hAnsiTheme="minorEastAsia" w:eastAsiaTheme="minorEastAsia"/>
          <w:sz w:val="24"/>
        </w:rPr>
        <w:t xml:space="preserve">:               </w:t>
      </w:r>
      <w:r>
        <w:rPr>
          <w:rFonts w:hint="eastAsia" w:asciiTheme="minorEastAsia" w:hAnsiTheme="minorEastAsia" w:eastAsiaTheme="minorEastAsia"/>
          <w:sz w:val="24"/>
        </w:rPr>
        <w:t>性别：出生日期</w:t>
      </w:r>
      <w:r>
        <w:rPr>
          <w:rFonts w:asciiTheme="minorEastAsia" w:hAnsiTheme="minorEastAsia" w:eastAsiaTheme="minorEastAsia"/>
          <w:sz w:val="24"/>
        </w:rPr>
        <w:t xml:space="preserve">:     </w:t>
      </w:r>
      <w:r>
        <w:rPr>
          <w:rFonts w:hint="eastAsia" w:asciiTheme="minorEastAsia" w:hAnsiTheme="minorEastAsia" w:eastAsiaTheme="minorEastAsia"/>
          <w:sz w:val="24"/>
        </w:rPr>
        <w:t>年月日</w:t>
      </w:r>
    </w:p>
    <w:p w14:paraId="39B216B4">
      <w:pPr>
        <w:spacing w:line="520" w:lineRule="exact"/>
        <w:rPr>
          <w:rFonts w:asciiTheme="minorEastAsia" w:hAnsiTheme="minorEastAsia" w:eastAsiaTheme="minorEastAsia"/>
          <w:sz w:val="24"/>
        </w:rPr>
      </w:pPr>
      <w:r>
        <w:rPr>
          <w:rFonts w:hint="eastAsia" w:asciiTheme="minorEastAsia" w:hAnsiTheme="minorEastAsia" w:eastAsiaTheme="minorEastAsia"/>
          <w:sz w:val="24"/>
        </w:rPr>
        <w:t>所在单位</w:t>
      </w:r>
      <w:r>
        <w:rPr>
          <w:rFonts w:asciiTheme="minorEastAsia" w:hAnsiTheme="minorEastAsia" w:eastAsiaTheme="minorEastAsia"/>
          <w:sz w:val="24"/>
        </w:rPr>
        <w:t xml:space="preserve">:                 </w:t>
      </w:r>
      <w:r>
        <w:rPr>
          <w:rFonts w:hint="eastAsia" w:asciiTheme="minorEastAsia" w:hAnsiTheme="minorEastAsia" w:eastAsiaTheme="minorEastAsia"/>
          <w:sz w:val="24"/>
        </w:rPr>
        <w:t>职务</w:t>
      </w:r>
      <w:r>
        <w:rPr>
          <w:rFonts w:asciiTheme="minorEastAsia" w:hAnsiTheme="minorEastAsia" w:eastAsiaTheme="minorEastAsia"/>
          <w:sz w:val="24"/>
        </w:rPr>
        <w:t xml:space="preserve">:                    </w:t>
      </w:r>
    </w:p>
    <w:p w14:paraId="3176A813">
      <w:pPr>
        <w:spacing w:line="520" w:lineRule="exact"/>
        <w:rPr>
          <w:rFonts w:asciiTheme="minorEastAsia" w:hAnsiTheme="minorEastAsia" w:eastAsiaTheme="minorEastAsia"/>
          <w:sz w:val="24"/>
        </w:rPr>
      </w:pPr>
      <w:r>
        <w:rPr>
          <w:rFonts w:hint="eastAsia" w:asciiTheme="minorEastAsia" w:hAnsiTheme="minorEastAsia" w:eastAsiaTheme="minorEastAsia"/>
          <w:sz w:val="24"/>
        </w:rPr>
        <w:t>身份证：联系方式</w:t>
      </w:r>
      <w:r>
        <w:rPr>
          <w:rFonts w:asciiTheme="minorEastAsia" w:hAnsiTheme="minorEastAsia" w:eastAsiaTheme="minorEastAsia"/>
          <w:sz w:val="24"/>
        </w:rPr>
        <w:t>:</w:t>
      </w:r>
    </w:p>
    <w:p w14:paraId="26964790">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兹委托受托人代表我方参加组织的文昌市锦山中学学生食堂委托经营</w:t>
      </w:r>
      <w:r>
        <w:rPr>
          <w:rFonts w:asciiTheme="minorEastAsia" w:hAnsiTheme="minorEastAsia" w:eastAsiaTheme="minorEastAsia"/>
          <w:sz w:val="24"/>
        </w:rPr>
        <w:t>(</w:t>
      </w:r>
      <w:r>
        <w:rPr>
          <w:rFonts w:hint="eastAsia" w:asciiTheme="minorEastAsia" w:hAnsiTheme="minorEastAsia" w:eastAsiaTheme="minorEastAsia"/>
          <w:sz w:val="24"/>
        </w:rPr>
        <w:t>项目编号为</w:t>
      </w:r>
      <w:r>
        <w:rPr>
          <w:rFonts w:asciiTheme="minorEastAsia" w:hAnsiTheme="minorEastAsia" w:eastAsiaTheme="minorEastAsia"/>
          <w:sz w:val="24"/>
        </w:rPr>
        <w:t>:    )</w:t>
      </w:r>
      <w:r>
        <w:rPr>
          <w:rFonts w:hint="eastAsia" w:asciiTheme="minorEastAsia" w:hAnsiTheme="minorEastAsia" w:eastAsiaTheme="minorEastAsia"/>
          <w:sz w:val="24"/>
        </w:rPr>
        <w:t>的招投标活动</w:t>
      </w:r>
      <w:r>
        <w:rPr>
          <w:rFonts w:asciiTheme="minorEastAsia" w:hAnsiTheme="minorEastAsia" w:eastAsiaTheme="minorEastAsia"/>
          <w:sz w:val="24"/>
        </w:rPr>
        <w:t>,</w:t>
      </w:r>
      <w:r>
        <w:rPr>
          <w:rFonts w:hint="eastAsia" w:asciiTheme="minorEastAsia" w:hAnsiTheme="minorEastAsia" w:eastAsiaTheme="minorEastAsia"/>
          <w:sz w:val="24"/>
        </w:rPr>
        <w:t>并授权其全权办理以下事宜</w:t>
      </w:r>
      <w:r>
        <w:rPr>
          <w:rFonts w:asciiTheme="minorEastAsia" w:hAnsiTheme="minorEastAsia" w:eastAsiaTheme="minorEastAsia"/>
          <w:sz w:val="24"/>
        </w:rPr>
        <w:t>:</w:t>
      </w:r>
    </w:p>
    <w:p w14:paraId="29E6ACA2">
      <w:pPr>
        <w:spacing w:line="5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．参加投标活动；</w:t>
      </w:r>
    </w:p>
    <w:p w14:paraId="5D27934C">
      <w:pPr>
        <w:spacing w:line="5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．签订与中标事宜有关的合同；</w:t>
      </w:r>
    </w:p>
    <w:p w14:paraId="6C27B399">
      <w:pPr>
        <w:spacing w:line="5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．负责合同的履行、服务以及在合同履行过程中有关事宜的洽谈和处理。受托人在办理上述事宜过程中以其自己的名义所签署的所有文件我方均予以承认。受托人无转让委托权。</w:t>
      </w:r>
    </w:p>
    <w:p w14:paraId="0B6B79C6">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委托期限</w:t>
      </w:r>
      <w:r>
        <w:rPr>
          <w:rFonts w:asciiTheme="minorEastAsia" w:hAnsiTheme="minorEastAsia" w:eastAsiaTheme="minorEastAsia"/>
          <w:sz w:val="24"/>
        </w:rPr>
        <w:t>:</w:t>
      </w:r>
      <w:r>
        <w:rPr>
          <w:rFonts w:hint="eastAsia" w:asciiTheme="minorEastAsia" w:hAnsiTheme="minorEastAsia" w:eastAsiaTheme="minorEastAsia"/>
          <w:sz w:val="24"/>
        </w:rPr>
        <w:t>至上述事宜处理完毕止。</w:t>
      </w:r>
    </w:p>
    <w:p w14:paraId="217D0936">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附：委托人及受托人身份证复印件</w:t>
      </w:r>
    </w:p>
    <w:p w14:paraId="2244F7AD">
      <w:pPr>
        <w:spacing w:line="560" w:lineRule="exact"/>
        <w:ind w:firstLine="4560" w:firstLineChars="1900"/>
        <w:rPr>
          <w:rFonts w:asciiTheme="minorEastAsia" w:hAnsiTheme="minorEastAsia" w:eastAsiaTheme="minorEastAsia"/>
          <w:sz w:val="24"/>
        </w:rPr>
      </w:pPr>
      <w:r>
        <w:rPr>
          <w:rFonts w:hint="eastAsia" w:asciiTheme="minorEastAsia" w:hAnsiTheme="minorEastAsia" w:eastAsiaTheme="minorEastAsia"/>
          <w:sz w:val="24"/>
        </w:rPr>
        <w:t>委托单位</w:t>
      </w:r>
      <w:r>
        <w:rPr>
          <w:rFonts w:asciiTheme="minorEastAsia" w:hAnsiTheme="minorEastAsia" w:eastAsiaTheme="minorEastAsia"/>
          <w:sz w:val="24"/>
        </w:rPr>
        <w:t>:(</w:t>
      </w:r>
      <w:r>
        <w:rPr>
          <w:rFonts w:hint="eastAsia" w:asciiTheme="minorEastAsia" w:hAnsiTheme="minorEastAsia" w:eastAsiaTheme="minorEastAsia"/>
          <w:sz w:val="24"/>
        </w:rPr>
        <w:t>公章</w:t>
      </w:r>
      <w:r>
        <w:rPr>
          <w:rFonts w:asciiTheme="minorEastAsia" w:hAnsiTheme="minorEastAsia" w:eastAsiaTheme="minorEastAsia"/>
          <w:sz w:val="24"/>
        </w:rPr>
        <w:t>)</w:t>
      </w:r>
    </w:p>
    <w:p w14:paraId="14A33329">
      <w:pPr>
        <w:spacing w:line="560" w:lineRule="exact"/>
        <w:ind w:right="140"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sz w:val="24"/>
        </w:rPr>
        <w:t>:                  (</w:t>
      </w:r>
      <w:r>
        <w:rPr>
          <w:rFonts w:hint="eastAsia" w:asciiTheme="minorEastAsia" w:hAnsiTheme="minorEastAsia" w:eastAsiaTheme="minorEastAsia"/>
          <w:sz w:val="24"/>
        </w:rPr>
        <w:t>签章</w:t>
      </w:r>
      <w:r>
        <w:rPr>
          <w:rFonts w:asciiTheme="minorEastAsia" w:hAnsiTheme="minorEastAsia" w:eastAsiaTheme="minorEastAsia"/>
          <w:sz w:val="24"/>
        </w:rPr>
        <w:t>)</w:t>
      </w:r>
    </w:p>
    <w:p w14:paraId="6D910AEA">
      <w:pPr>
        <w:wordWrap w:val="0"/>
        <w:spacing w:line="360" w:lineRule="auto"/>
        <w:ind w:right="1060" w:firstLine="4440" w:firstLineChars="1850"/>
        <w:rPr>
          <w:rFonts w:asciiTheme="minorEastAsia" w:hAnsiTheme="minorEastAsia" w:eastAsiaTheme="minorEastAsia"/>
          <w:sz w:val="24"/>
        </w:rPr>
      </w:pPr>
      <w:r>
        <w:rPr>
          <w:rFonts w:hint="eastAsia" w:asciiTheme="minorEastAsia" w:hAnsiTheme="minorEastAsia" w:eastAsiaTheme="minorEastAsia"/>
          <w:sz w:val="24"/>
        </w:rPr>
        <w:t>受托人</w:t>
      </w:r>
      <w:r>
        <w:rPr>
          <w:rFonts w:asciiTheme="minorEastAsia" w:hAnsiTheme="minorEastAsia" w:eastAsiaTheme="minorEastAsia"/>
          <w:sz w:val="24"/>
        </w:rPr>
        <w:t>:(</w:t>
      </w:r>
      <w:r>
        <w:rPr>
          <w:rFonts w:hint="eastAsia" w:asciiTheme="minorEastAsia" w:hAnsiTheme="minorEastAsia" w:eastAsiaTheme="minorEastAsia"/>
          <w:sz w:val="24"/>
        </w:rPr>
        <w:t>签字</w:t>
      </w:r>
      <w:r>
        <w:rPr>
          <w:rFonts w:asciiTheme="minorEastAsia" w:hAnsiTheme="minorEastAsia" w:eastAsiaTheme="minorEastAsia"/>
          <w:sz w:val="24"/>
        </w:rPr>
        <w:t>)</w:t>
      </w:r>
    </w:p>
    <w:p w14:paraId="43BD61D8">
      <w:pPr>
        <w:spacing w:line="360" w:lineRule="auto"/>
        <w:ind w:right="900" w:firstLine="5880" w:firstLineChars="2450"/>
        <w:rPr>
          <w:rFonts w:asciiTheme="minorEastAsia" w:hAnsiTheme="minorEastAsia" w:eastAsiaTheme="minorEastAsia"/>
          <w:sz w:val="24"/>
        </w:rPr>
      </w:pPr>
      <w:r>
        <w:rPr>
          <w:rFonts w:hint="eastAsia" w:asciiTheme="minorEastAsia" w:hAnsiTheme="minorEastAsia" w:eastAsiaTheme="minorEastAsia"/>
          <w:sz w:val="24"/>
        </w:rPr>
        <w:t>2025年  月    日</w:t>
      </w:r>
    </w:p>
    <w:p w14:paraId="115FECB0">
      <w:pPr>
        <w:spacing w:line="360" w:lineRule="auto"/>
        <w:rPr>
          <w:rFonts w:cs="仿宋_GB2312" w:asciiTheme="minorEastAsia" w:hAnsiTheme="minorEastAsia" w:eastAsiaTheme="minorEastAsia"/>
          <w:b/>
          <w:bCs/>
          <w:sz w:val="32"/>
          <w:szCs w:val="32"/>
        </w:rPr>
      </w:pPr>
    </w:p>
    <w:p w14:paraId="4982AF94">
      <w:pPr>
        <w:pStyle w:val="16"/>
        <w:rPr>
          <w:rFonts w:asciiTheme="minorEastAsia" w:hAnsiTheme="minorEastAsia" w:eastAsiaTheme="minorEastAsia"/>
        </w:rPr>
      </w:pPr>
    </w:p>
    <w:p w14:paraId="6A58B08D">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5B73B2FF">
      <w:pPr>
        <w:spacing w:line="360" w:lineRule="auto"/>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24"/>
          <w:szCs w:val="24"/>
        </w:rPr>
        <w:t>表5</w:t>
      </w:r>
      <w:r>
        <w:rPr>
          <w:rFonts w:hint="eastAsia" w:cs="宋体" w:asciiTheme="minorEastAsia" w:hAnsiTheme="minorEastAsia" w:eastAsiaTheme="minorEastAsia"/>
          <w:b/>
          <w:kern w:val="0"/>
          <w:sz w:val="24"/>
        </w:rPr>
        <w:t>、具有良好的商业信誉和健全的财务会计制度（承诺函）</w:t>
      </w:r>
    </w:p>
    <w:p w14:paraId="4CB1CD06">
      <w:pPr>
        <w:adjustRightInd w:val="0"/>
        <w:snapToGrid w:val="0"/>
        <w:spacing w:line="300" w:lineRule="auto"/>
        <w:rPr>
          <w:rFonts w:asciiTheme="minorEastAsia" w:hAnsiTheme="minorEastAsia" w:eastAsiaTheme="minorEastAsia"/>
          <w:sz w:val="24"/>
        </w:rPr>
      </w:pPr>
    </w:p>
    <w:p w14:paraId="36F3020B">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海南省教学仪器设备招标中心有限公司：</w:t>
      </w:r>
    </w:p>
    <w:p w14:paraId="3FE1EB38">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我单位在贵公司组织的（项目名称：     ），（项目编号：       ）采购活动中郑重承诺具有良好的商业信誉和健全的财务会计制度。如不实，我们愿承担相应的法律责任。</w:t>
      </w:r>
    </w:p>
    <w:p w14:paraId="13B58EB2">
      <w:pPr>
        <w:spacing w:line="360" w:lineRule="auto"/>
        <w:ind w:firstLine="480" w:firstLineChars="200"/>
        <w:rPr>
          <w:rFonts w:asciiTheme="minorEastAsia" w:hAnsiTheme="minorEastAsia" w:eastAsiaTheme="minorEastAsia"/>
          <w:sz w:val="24"/>
          <w:u w:val="single"/>
        </w:rPr>
      </w:pPr>
    </w:p>
    <w:p w14:paraId="701790B6">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承诺人：          （填写名称并加盖公章）</w:t>
      </w:r>
    </w:p>
    <w:p w14:paraId="52EB5FA7">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法定代表人或授权代表：（签字或盖章）</w:t>
      </w:r>
    </w:p>
    <w:p w14:paraId="7C32B7DF">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日期：2025年  月  日</w:t>
      </w:r>
    </w:p>
    <w:p w14:paraId="2D829D38">
      <w:pPr>
        <w:spacing w:line="360" w:lineRule="auto"/>
        <w:ind w:firstLine="602"/>
        <w:rPr>
          <w:rFonts w:cs="Times New Roman" w:asciiTheme="minorEastAsia" w:hAnsiTheme="minorEastAsia" w:eastAsiaTheme="minorEastAsia"/>
          <w:sz w:val="32"/>
          <w:szCs w:val="32"/>
        </w:rPr>
      </w:pPr>
    </w:p>
    <w:p w14:paraId="3F3F8656">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65D02070">
      <w:pPr>
        <w:rPr>
          <w:rFonts w:asciiTheme="minorEastAsia" w:hAnsiTheme="minorEastAsia" w:eastAsiaTheme="minorEastAsia"/>
          <w:b/>
          <w:sz w:val="24"/>
        </w:rPr>
      </w:pPr>
      <w:r>
        <w:rPr>
          <w:rFonts w:hint="eastAsia" w:cs="仿宋_GB2312" w:asciiTheme="minorEastAsia" w:hAnsiTheme="minorEastAsia" w:eastAsiaTheme="minorEastAsia"/>
          <w:b/>
          <w:bCs/>
          <w:sz w:val="24"/>
          <w:szCs w:val="24"/>
        </w:rPr>
        <w:t>表6</w:t>
      </w:r>
      <w:r>
        <w:rPr>
          <w:rFonts w:hint="eastAsia" w:asciiTheme="minorEastAsia" w:hAnsiTheme="minorEastAsia" w:eastAsiaTheme="minorEastAsia"/>
          <w:b/>
          <w:sz w:val="24"/>
          <w:szCs w:val="24"/>
        </w:rPr>
        <w:t>、</w:t>
      </w:r>
      <w:r>
        <w:rPr>
          <w:rFonts w:asciiTheme="minorEastAsia" w:hAnsiTheme="minorEastAsia" w:eastAsiaTheme="minorEastAsia"/>
          <w:b/>
          <w:sz w:val="24"/>
        </w:rPr>
        <w:t>具有履行合同所必需的设备和专业技术能力承诺书</w:t>
      </w:r>
    </w:p>
    <w:p w14:paraId="41DD56C2">
      <w:pPr>
        <w:spacing w:line="360" w:lineRule="auto"/>
        <w:rPr>
          <w:rFonts w:asciiTheme="minorEastAsia" w:hAnsiTheme="minorEastAsia" w:eastAsiaTheme="minorEastAsia"/>
          <w:sz w:val="24"/>
        </w:rPr>
      </w:pPr>
    </w:p>
    <w:p w14:paraId="40C2A79F">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至：</w:t>
      </w:r>
      <w:r>
        <w:rPr>
          <w:rFonts w:hint="eastAsia" w:asciiTheme="minorEastAsia" w:hAnsiTheme="minorEastAsia" w:eastAsiaTheme="minorEastAsia"/>
          <w:sz w:val="24"/>
          <w:u w:val="single"/>
        </w:rPr>
        <w:t>海南省教学仪器设备招标中心有限公司</w:t>
      </w:r>
    </w:p>
    <w:p w14:paraId="40301312">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我单位参与你公司组织的</w:t>
      </w:r>
      <w:r>
        <w:rPr>
          <w:rFonts w:asciiTheme="minorEastAsia" w:hAnsiTheme="minorEastAsia" w:eastAsiaTheme="minorEastAsia"/>
          <w:sz w:val="24"/>
          <w:u w:val="single"/>
        </w:rPr>
        <w:t xml:space="preserve">（项目名称） </w:t>
      </w:r>
      <w:r>
        <w:rPr>
          <w:rFonts w:asciiTheme="minorEastAsia" w:hAnsiTheme="minorEastAsia" w:eastAsiaTheme="minorEastAsia"/>
          <w:sz w:val="24"/>
        </w:rPr>
        <w:t>采购活动，现承诺具有履行合同所必需的人员</w:t>
      </w:r>
      <w:r>
        <w:rPr>
          <w:rFonts w:hint="eastAsia" w:asciiTheme="minorEastAsia" w:hAnsiTheme="minorEastAsia" w:eastAsiaTheme="minorEastAsia"/>
          <w:sz w:val="24"/>
        </w:rPr>
        <w:t>、</w:t>
      </w:r>
      <w:r>
        <w:rPr>
          <w:rFonts w:asciiTheme="minorEastAsia" w:hAnsiTheme="minorEastAsia" w:eastAsiaTheme="minorEastAsia"/>
          <w:sz w:val="24"/>
        </w:rPr>
        <w:t>设备和专业技术能力，如有虚假承诺，愿承担一切法律责任。</w:t>
      </w:r>
    </w:p>
    <w:p w14:paraId="5A9CA394">
      <w:pPr>
        <w:spacing w:line="360" w:lineRule="auto"/>
        <w:rPr>
          <w:rFonts w:asciiTheme="minorEastAsia" w:hAnsiTheme="minorEastAsia" w:eastAsiaTheme="minorEastAsia"/>
          <w:sz w:val="24"/>
        </w:rPr>
      </w:pPr>
      <w:r>
        <w:rPr>
          <w:rFonts w:asciiTheme="minorEastAsia" w:hAnsiTheme="minorEastAsia" w:eastAsiaTheme="minorEastAsia"/>
          <w:sz w:val="24"/>
        </w:rPr>
        <w:t>特此承诺</w:t>
      </w:r>
      <w:r>
        <w:rPr>
          <w:rFonts w:hint="eastAsia" w:asciiTheme="minorEastAsia" w:hAnsiTheme="minorEastAsia" w:eastAsiaTheme="minorEastAsia"/>
          <w:sz w:val="24"/>
        </w:rPr>
        <w:t>。</w:t>
      </w:r>
    </w:p>
    <w:p w14:paraId="29EA4C18">
      <w:pPr>
        <w:spacing w:line="360" w:lineRule="auto"/>
        <w:rPr>
          <w:rFonts w:asciiTheme="minorEastAsia" w:hAnsiTheme="minorEastAsia" w:eastAsiaTheme="minorEastAsia"/>
          <w:sz w:val="24"/>
        </w:rPr>
      </w:pPr>
    </w:p>
    <w:p w14:paraId="5B5BDD36">
      <w:pPr>
        <w:spacing w:line="360" w:lineRule="auto"/>
        <w:rPr>
          <w:rFonts w:asciiTheme="minorEastAsia" w:hAnsiTheme="minorEastAsia" w:eastAsiaTheme="minorEastAsia"/>
          <w:iCs/>
          <w:sz w:val="24"/>
        </w:rPr>
      </w:pPr>
      <w:r>
        <w:rPr>
          <w:rFonts w:hint="eastAsia" w:asciiTheme="minorEastAsia" w:hAnsiTheme="minorEastAsia" w:eastAsiaTheme="minorEastAsia"/>
          <w:sz w:val="24"/>
        </w:rPr>
        <w:t>供应商</w:t>
      </w:r>
      <w:r>
        <w:rPr>
          <w:rFonts w:asciiTheme="minorEastAsia" w:hAnsiTheme="minorEastAsia" w:eastAsiaTheme="minorEastAsia"/>
          <w:sz w:val="24"/>
        </w:rPr>
        <w:t>：（填写名称并盖章）</w:t>
      </w:r>
    </w:p>
    <w:p w14:paraId="05A7CC0E">
      <w:pPr>
        <w:spacing w:line="360" w:lineRule="auto"/>
        <w:rPr>
          <w:rFonts w:asciiTheme="minorEastAsia" w:hAnsiTheme="minorEastAsia" w:eastAsiaTheme="minorEastAsia"/>
          <w:sz w:val="24"/>
        </w:rPr>
      </w:pPr>
      <w:r>
        <w:rPr>
          <w:rFonts w:asciiTheme="minorEastAsia" w:hAnsiTheme="minorEastAsia" w:eastAsiaTheme="minorEastAsia"/>
          <w:sz w:val="24"/>
        </w:rPr>
        <w:t>法定代表人或其授权委托人：</w:t>
      </w:r>
      <w:r>
        <w:rPr>
          <w:rFonts w:asciiTheme="minorEastAsia" w:hAnsiTheme="minorEastAsia" w:eastAsiaTheme="minorEastAsia"/>
          <w:iCs/>
          <w:sz w:val="24"/>
        </w:rPr>
        <w:t>（签字或盖章）</w:t>
      </w:r>
    </w:p>
    <w:p w14:paraId="2CBE1784">
      <w:pPr>
        <w:rPr>
          <w:rFonts w:asciiTheme="minorEastAsia" w:hAnsiTheme="minorEastAsia" w:eastAsiaTheme="minorEastAsia"/>
          <w:sz w:val="24"/>
        </w:rPr>
      </w:pPr>
      <w:r>
        <w:rPr>
          <w:rFonts w:asciiTheme="minorEastAsia" w:hAnsiTheme="minorEastAsia" w:eastAsiaTheme="minorEastAsia"/>
          <w:sz w:val="24"/>
        </w:rPr>
        <w:t>日期：</w:t>
      </w:r>
      <w:r>
        <w:rPr>
          <w:rFonts w:hint="eastAsia" w:asciiTheme="minorEastAsia" w:hAnsiTheme="minorEastAsia" w:eastAsiaTheme="minorEastAsia"/>
          <w:sz w:val="24"/>
        </w:rPr>
        <w:t>2025年   月   日</w:t>
      </w:r>
    </w:p>
    <w:p w14:paraId="06C7C380">
      <w:pPr>
        <w:spacing w:line="360" w:lineRule="auto"/>
        <w:ind w:firstLine="602"/>
        <w:rPr>
          <w:rFonts w:cs="Times New Roman" w:asciiTheme="minorEastAsia" w:hAnsiTheme="minorEastAsia" w:eastAsiaTheme="minorEastAsia"/>
          <w:sz w:val="32"/>
          <w:szCs w:val="32"/>
        </w:rPr>
      </w:pPr>
    </w:p>
    <w:p w14:paraId="106C21D9">
      <w:pPr>
        <w:spacing w:line="360" w:lineRule="auto"/>
        <w:ind w:firstLine="602"/>
        <w:rPr>
          <w:rFonts w:cs="Times New Roman" w:asciiTheme="minorEastAsia" w:hAnsiTheme="minorEastAsia" w:eastAsiaTheme="minorEastAsia"/>
          <w:sz w:val="32"/>
          <w:szCs w:val="32"/>
        </w:rPr>
      </w:pPr>
    </w:p>
    <w:p w14:paraId="0299B4C7">
      <w:pPr>
        <w:spacing w:line="360" w:lineRule="auto"/>
        <w:ind w:firstLine="6028" w:firstLineChars="1884"/>
        <w:rPr>
          <w:rFonts w:cs="Times New Roman" w:asciiTheme="minorEastAsia" w:hAnsiTheme="minorEastAsia" w:eastAsiaTheme="minorEastAsia"/>
          <w:sz w:val="32"/>
          <w:szCs w:val="32"/>
        </w:rPr>
      </w:pPr>
    </w:p>
    <w:p w14:paraId="45FB277E">
      <w:pPr>
        <w:spacing w:line="360" w:lineRule="auto"/>
        <w:ind w:firstLine="6028" w:firstLineChars="1884"/>
        <w:jc w:val="left"/>
        <w:rPr>
          <w:rFonts w:cs="Times New Roman" w:asciiTheme="minorEastAsia" w:hAnsiTheme="minorEastAsia" w:eastAsiaTheme="minorEastAsia"/>
          <w:sz w:val="32"/>
          <w:szCs w:val="32"/>
        </w:rPr>
      </w:pPr>
    </w:p>
    <w:p w14:paraId="268067D7">
      <w:pPr>
        <w:pStyle w:val="16"/>
        <w:rPr>
          <w:rFonts w:asciiTheme="minorEastAsia" w:hAnsiTheme="minorEastAsia" w:eastAsiaTheme="minorEastAsia"/>
        </w:rPr>
      </w:pPr>
    </w:p>
    <w:p w14:paraId="3C447B66">
      <w:pPr>
        <w:rPr>
          <w:rFonts w:cs="仿宋_GB2312" w:asciiTheme="minorEastAsia" w:hAnsiTheme="minorEastAsia" w:eastAsiaTheme="minorEastAsia"/>
        </w:rPr>
      </w:pPr>
      <w:r>
        <w:rPr>
          <w:rFonts w:hint="eastAsia" w:cs="仿宋_GB2312" w:asciiTheme="minorEastAsia" w:hAnsiTheme="minorEastAsia" w:eastAsiaTheme="minorEastAsia"/>
        </w:rPr>
        <w:br w:type="page"/>
      </w:r>
    </w:p>
    <w:p w14:paraId="331D6501">
      <w:pPr>
        <w:pStyle w:val="3"/>
        <w:adjustRightInd w:val="0"/>
        <w:snapToGrid w:val="0"/>
        <w:spacing w:before="0" w:after="0" w:line="300" w:lineRule="auto"/>
        <w:rPr>
          <w:rFonts w:asciiTheme="minorEastAsia" w:hAnsiTheme="minorEastAsia" w:eastAsiaTheme="minorEastAsia"/>
          <w:bCs w:val="0"/>
          <w:sz w:val="24"/>
          <w:szCs w:val="24"/>
        </w:rPr>
      </w:pPr>
      <w:r>
        <w:rPr>
          <w:rFonts w:hint="eastAsia" w:cs="仿宋_GB2312" w:asciiTheme="minorEastAsia" w:hAnsiTheme="minorEastAsia" w:eastAsiaTheme="minorEastAsia"/>
          <w:sz w:val="24"/>
          <w:szCs w:val="24"/>
        </w:rPr>
        <w:t>表7</w:t>
      </w:r>
      <w:r>
        <w:rPr>
          <w:rFonts w:hint="eastAsia" w:asciiTheme="minorEastAsia" w:hAnsiTheme="minorEastAsia" w:eastAsiaTheme="minorEastAsia"/>
          <w:sz w:val="24"/>
          <w:szCs w:val="24"/>
        </w:rPr>
        <w:t>、</w:t>
      </w:r>
      <w:r>
        <w:rPr>
          <w:rFonts w:hint="eastAsia" w:cs="宋体" w:asciiTheme="minorEastAsia" w:hAnsiTheme="minorEastAsia" w:eastAsiaTheme="minorEastAsia"/>
          <w:kern w:val="0"/>
          <w:sz w:val="24"/>
        </w:rPr>
        <w:t>具有依法缴纳税收和社会保障资金的良好记录（承诺函）</w:t>
      </w:r>
    </w:p>
    <w:p w14:paraId="5EE42300">
      <w:pPr>
        <w:adjustRightInd w:val="0"/>
        <w:snapToGrid w:val="0"/>
        <w:spacing w:line="300" w:lineRule="auto"/>
        <w:rPr>
          <w:rFonts w:asciiTheme="minorEastAsia" w:hAnsiTheme="minorEastAsia" w:eastAsiaTheme="minorEastAsia"/>
          <w:sz w:val="24"/>
        </w:rPr>
      </w:pPr>
    </w:p>
    <w:p w14:paraId="158592CD">
      <w:pPr>
        <w:adjustRightInd w:val="0"/>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至：海南省教学仪器设备招标中心有限公司：</w:t>
      </w:r>
    </w:p>
    <w:p w14:paraId="57DFBB1E">
      <w:pPr>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我单位在贵公司组织的（项目名称：      ），（项目编号：    ）采购活动中郑重承诺</w:t>
      </w:r>
      <w:r>
        <w:rPr>
          <w:rFonts w:hint="eastAsia" w:cs="宋体" w:asciiTheme="minorEastAsia" w:hAnsiTheme="minorEastAsia" w:eastAsiaTheme="minorEastAsia"/>
          <w:kern w:val="0"/>
          <w:sz w:val="24"/>
        </w:rPr>
        <w:t>具有依法缴纳税收和社会保障资金的良好记录。如不实，我们愿承担相应的法律责任。</w:t>
      </w:r>
    </w:p>
    <w:p w14:paraId="69818850">
      <w:pPr>
        <w:rPr>
          <w:rFonts w:asciiTheme="minorEastAsia" w:hAnsiTheme="minorEastAsia" w:eastAsiaTheme="minorEastAsia"/>
        </w:rPr>
      </w:pPr>
    </w:p>
    <w:p w14:paraId="5AD5E5D3">
      <w:pPr>
        <w:rPr>
          <w:rFonts w:asciiTheme="minorEastAsia" w:hAnsiTheme="minorEastAsia" w:eastAsiaTheme="minorEastAsia"/>
        </w:rPr>
      </w:pPr>
      <w:r>
        <w:rPr>
          <w:rFonts w:hint="eastAsia" w:asciiTheme="minorEastAsia" w:hAnsiTheme="minorEastAsia" w:eastAsiaTheme="minorEastAsia"/>
        </w:rPr>
        <w:t>承诺人：（填写名称并加盖公章）</w:t>
      </w:r>
    </w:p>
    <w:p w14:paraId="4ED48C69">
      <w:pPr>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sz w:val="24"/>
        </w:rPr>
        <w:t>法定代表人或授权代表</w:t>
      </w:r>
      <w:r>
        <w:rPr>
          <w:rFonts w:hint="eastAsia" w:asciiTheme="minorEastAsia" w:hAnsiTheme="minorEastAsia" w:eastAsiaTheme="minorEastAsia"/>
          <w:bCs/>
          <w:sz w:val="24"/>
        </w:rPr>
        <w:t>：</w:t>
      </w:r>
      <w:r>
        <w:rPr>
          <w:rFonts w:hint="eastAsia" w:asciiTheme="minorEastAsia" w:hAnsiTheme="minorEastAsia" w:eastAsiaTheme="minorEastAsia"/>
          <w:iCs/>
          <w:sz w:val="24"/>
        </w:rPr>
        <w:t>（签字或盖章）</w:t>
      </w:r>
    </w:p>
    <w:p w14:paraId="619F203C">
      <w:pPr>
        <w:rPr>
          <w:rStyle w:val="52"/>
          <w:rFonts w:asciiTheme="minorEastAsia" w:hAnsiTheme="minorEastAsia" w:eastAsiaTheme="minorEastAsia"/>
          <w:sz w:val="24"/>
        </w:rPr>
      </w:pPr>
      <w:r>
        <w:rPr>
          <w:rFonts w:hint="eastAsia" w:asciiTheme="minorEastAsia" w:hAnsiTheme="minorEastAsia" w:eastAsiaTheme="minorEastAsia"/>
          <w:bCs/>
          <w:sz w:val="24"/>
        </w:rPr>
        <w:t>日期：2025年  月  日</w:t>
      </w:r>
    </w:p>
    <w:p w14:paraId="215FEF32">
      <w:pPr>
        <w:spacing w:line="360" w:lineRule="auto"/>
        <w:ind w:firstLine="6028" w:firstLineChars="1884"/>
        <w:jc w:val="left"/>
        <w:rPr>
          <w:rFonts w:cs="Times New Roman" w:asciiTheme="minorEastAsia" w:hAnsiTheme="minorEastAsia" w:eastAsiaTheme="minorEastAsia"/>
          <w:sz w:val="32"/>
          <w:szCs w:val="32"/>
        </w:rPr>
      </w:pPr>
    </w:p>
    <w:p w14:paraId="7CAD78D4">
      <w:pPr>
        <w:rPr>
          <w:rFonts w:cs="仿宋_GB2312" w:asciiTheme="minorEastAsia" w:hAnsiTheme="minorEastAsia" w:eastAsiaTheme="minorEastAsia"/>
        </w:rPr>
      </w:pPr>
      <w:r>
        <w:rPr>
          <w:rFonts w:hint="eastAsia" w:cs="仿宋_GB2312" w:asciiTheme="minorEastAsia" w:hAnsiTheme="minorEastAsia" w:eastAsiaTheme="minorEastAsia"/>
        </w:rPr>
        <w:br w:type="page"/>
      </w:r>
    </w:p>
    <w:p w14:paraId="21B49FE4">
      <w:pPr>
        <w:pStyle w:val="3"/>
        <w:rPr>
          <w:rFonts w:asciiTheme="minorEastAsia" w:hAnsiTheme="minorEastAsia" w:eastAsiaTheme="minorEastAsia"/>
          <w:bCs w:val="0"/>
          <w:sz w:val="24"/>
          <w:szCs w:val="24"/>
        </w:rPr>
      </w:pPr>
      <w:r>
        <w:rPr>
          <w:rFonts w:hint="eastAsia" w:cs="仿宋_GB2312" w:asciiTheme="minorEastAsia" w:hAnsiTheme="minorEastAsia" w:eastAsiaTheme="minorEastAsia"/>
          <w:sz w:val="24"/>
          <w:szCs w:val="24"/>
        </w:rPr>
        <w:t>表8</w:t>
      </w:r>
      <w:r>
        <w:rPr>
          <w:rFonts w:hint="eastAsia" w:asciiTheme="minorEastAsia" w:hAnsiTheme="minorEastAsia" w:eastAsiaTheme="minorEastAsia"/>
          <w:sz w:val="24"/>
          <w:szCs w:val="24"/>
        </w:rPr>
        <w:t>、</w:t>
      </w:r>
      <w:r>
        <w:rPr>
          <w:rFonts w:hint="eastAsia" w:asciiTheme="minorEastAsia" w:hAnsiTheme="minorEastAsia" w:eastAsiaTheme="minorEastAsia"/>
          <w:bCs w:val="0"/>
          <w:sz w:val="24"/>
          <w:szCs w:val="24"/>
        </w:rPr>
        <w:t>投标人参加政府采购活动近三年内，在经营活动中没有重大事故、违法记录声明</w:t>
      </w:r>
      <w:r>
        <w:rPr>
          <w:rFonts w:hint="eastAsia" w:cs="宋体" w:asciiTheme="minorEastAsia" w:hAnsiTheme="minorEastAsia" w:eastAsiaTheme="minorEastAsia"/>
          <w:b w:val="0"/>
          <w:kern w:val="0"/>
          <w:sz w:val="24"/>
        </w:rPr>
        <w:t>（</w:t>
      </w:r>
      <w:r>
        <w:rPr>
          <w:rFonts w:cs="宋体" w:asciiTheme="minorEastAsia" w:hAnsiTheme="minorEastAsia" w:eastAsiaTheme="minorEastAsia"/>
          <w:b w:val="0"/>
          <w:kern w:val="0"/>
          <w:sz w:val="24"/>
        </w:rPr>
        <w:t>成立不足三年的从成立之日起计算）</w:t>
      </w:r>
    </w:p>
    <w:p w14:paraId="760A240A">
      <w:pPr>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（须加盖本公章）</w:t>
      </w:r>
    </w:p>
    <w:p w14:paraId="74491981">
      <w:pPr>
        <w:adjustRightInd w:val="0"/>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海南省教学仪器设备招标中心有限公司：</w:t>
      </w:r>
    </w:p>
    <w:p w14:paraId="4BA13079">
      <w:pPr>
        <w:adjustRightInd w:val="0"/>
        <w:snapToGrid w:val="0"/>
        <w:spacing w:line="300" w:lineRule="auto"/>
        <w:rPr>
          <w:rFonts w:asciiTheme="minorEastAsia" w:hAnsiTheme="minorEastAsia" w:eastAsiaTheme="minorEastAsia"/>
          <w:sz w:val="24"/>
        </w:rPr>
      </w:pPr>
    </w:p>
    <w:p w14:paraId="5701B9D5">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我公司在参加本次政府采购活动前三年内，在经营活动中没有重大事故、违法记录（</w:t>
      </w:r>
      <w:r>
        <w:rPr>
          <w:rFonts w:asciiTheme="minorEastAsia" w:hAnsiTheme="minorEastAsia" w:eastAsiaTheme="minorEastAsia"/>
          <w:sz w:val="24"/>
        </w:rPr>
        <w:t>是指供应商因违法经营受到刑事处罚或者责令停产停业、吊销许可证或者执照、较大数额罚款等行政处罚</w:t>
      </w:r>
      <w:r>
        <w:rPr>
          <w:rFonts w:hint="eastAsia" w:asciiTheme="minorEastAsia" w:hAnsiTheme="minorEastAsia" w:eastAsiaTheme="minorEastAsia"/>
          <w:sz w:val="24"/>
        </w:rPr>
        <w:t>）</w:t>
      </w:r>
      <w:r>
        <w:rPr>
          <w:rFonts w:hint="eastAsia" w:asciiTheme="minorEastAsia" w:hAnsiTheme="minorEastAsia" w:eastAsiaTheme="minorEastAsia"/>
          <w:bCs/>
          <w:sz w:val="24"/>
        </w:rPr>
        <w:t>。</w:t>
      </w:r>
    </w:p>
    <w:p w14:paraId="418E4EFC">
      <w:pPr>
        <w:adjustRightInd w:val="0"/>
        <w:snapToGrid w:val="0"/>
        <w:spacing w:line="300" w:lineRule="auto"/>
        <w:rPr>
          <w:rFonts w:asciiTheme="minorEastAsia" w:hAnsiTheme="minorEastAsia" w:eastAsiaTheme="minorEastAsia"/>
          <w:sz w:val="24"/>
        </w:rPr>
      </w:pPr>
    </w:p>
    <w:p w14:paraId="350BF63B">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特此声明。</w:t>
      </w:r>
    </w:p>
    <w:p w14:paraId="21EF20CA">
      <w:pPr>
        <w:adjustRightInd w:val="0"/>
        <w:snapToGrid w:val="0"/>
        <w:spacing w:line="300" w:lineRule="auto"/>
        <w:rPr>
          <w:rFonts w:asciiTheme="minorEastAsia" w:hAnsiTheme="minorEastAsia" w:eastAsiaTheme="minorEastAsia"/>
          <w:sz w:val="24"/>
        </w:rPr>
      </w:pPr>
    </w:p>
    <w:p w14:paraId="5D6C4F7D">
      <w:pPr>
        <w:adjustRightInd w:val="0"/>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法定代表人或被授权人签字：</w:t>
      </w:r>
    </w:p>
    <w:p w14:paraId="1E8A92AF">
      <w:pPr>
        <w:adjustRightInd w:val="0"/>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投标人公章：</w:t>
      </w:r>
    </w:p>
    <w:p w14:paraId="1F49AF77">
      <w:pPr>
        <w:adjustRightInd w:val="0"/>
        <w:snapToGrid w:val="0"/>
        <w:spacing w:line="300" w:lineRule="auto"/>
        <w:rPr>
          <w:rFonts w:asciiTheme="minorEastAsia" w:hAnsiTheme="minorEastAsia" w:eastAsiaTheme="minorEastAsia"/>
          <w:b/>
          <w:sz w:val="24"/>
        </w:rPr>
      </w:pPr>
      <w:r>
        <w:rPr>
          <w:rFonts w:hint="eastAsia" w:asciiTheme="minorEastAsia" w:hAnsiTheme="minorEastAsia" w:eastAsiaTheme="minorEastAsia"/>
          <w:sz w:val="24"/>
        </w:rPr>
        <w:t>年月日</w:t>
      </w:r>
    </w:p>
    <w:p w14:paraId="2044DAB8">
      <w:pPr>
        <w:pStyle w:val="16"/>
        <w:rPr>
          <w:rFonts w:asciiTheme="minorEastAsia" w:hAnsiTheme="minorEastAsia" w:eastAsiaTheme="minorEastAsia"/>
        </w:rPr>
      </w:pPr>
    </w:p>
    <w:p w14:paraId="290C6DA3">
      <w:pPr>
        <w:spacing w:line="360" w:lineRule="auto"/>
        <w:ind w:firstLine="6028" w:firstLineChars="1884"/>
        <w:rPr>
          <w:rFonts w:cs="Times New Roman" w:asciiTheme="minorEastAsia" w:hAnsiTheme="minorEastAsia" w:eastAsiaTheme="minorEastAsia"/>
          <w:sz w:val="32"/>
          <w:szCs w:val="32"/>
        </w:rPr>
      </w:pPr>
    </w:p>
    <w:p w14:paraId="335937AD">
      <w:pPr>
        <w:pStyle w:val="16"/>
        <w:rPr>
          <w:rFonts w:asciiTheme="minorEastAsia" w:hAnsiTheme="minorEastAsia" w:eastAsiaTheme="minorEastAsia"/>
        </w:rPr>
      </w:pPr>
    </w:p>
    <w:p w14:paraId="48760791">
      <w:pPr>
        <w:rPr>
          <w:rFonts w:cs="仿宋_GB2312" w:asciiTheme="minorEastAsia" w:hAnsiTheme="minorEastAsia" w:eastAsiaTheme="minorEastAsia"/>
        </w:rPr>
      </w:pPr>
      <w:r>
        <w:rPr>
          <w:rFonts w:hint="eastAsia" w:cs="仿宋_GB2312" w:asciiTheme="minorEastAsia" w:hAnsiTheme="minorEastAsia" w:eastAsiaTheme="minorEastAsia"/>
        </w:rPr>
        <w:br w:type="page"/>
      </w:r>
    </w:p>
    <w:p w14:paraId="170349A7">
      <w:pPr>
        <w:pStyle w:val="3"/>
        <w:rPr>
          <w:rStyle w:val="52"/>
          <w:rFonts w:asciiTheme="minorEastAsia" w:hAnsiTheme="minorEastAsia" w:eastAsiaTheme="minorEastAsia"/>
          <w:sz w:val="28"/>
          <w:szCs w:val="28"/>
        </w:rPr>
      </w:pPr>
      <w:r>
        <w:rPr>
          <w:rFonts w:hint="eastAsia" w:cs="仿宋_GB2312" w:asciiTheme="minorEastAsia" w:hAnsiTheme="minorEastAsia" w:eastAsiaTheme="minorEastAsia"/>
          <w:sz w:val="24"/>
          <w:szCs w:val="24"/>
        </w:rPr>
        <w:t>表9</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参加政府采购活动前三年内，在经营活动中没有环保类行政处罚记录</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成立不足三年的从成立之日起计算）</w:t>
      </w:r>
    </w:p>
    <w:p w14:paraId="2F22C86E">
      <w:pPr>
        <w:pStyle w:val="5"/>
        <w:overflowPunct w:val="0"/>
        <w:spacing w:line="560" w:lineRule="exact"/>
        <w:ind w:firstLine="562"/>
        <w:jc w:val="center"/>
        <w:rPr>
          <w:rFonts w:asciiTheme="minorEastAsia" w:hAnsiTheme="minorEastAsia" w:eastAsiaTheme="minorEastAsia" w:cstheme="majorBidi"/>
          <w:b/>
          <w:bCs/>
          <w:kern w:val="2"/>
          <w:sz w:val="28"/>
          <w:szCs w:val="28"/>
        </w:rPr>
      </w:pPr>
      <w:r>
        <w:rPr>
          <w:rFonts w:asciiTheme="minorEastAsia" w:hAnsiTheme="minorEastAsia" w:eastAsiaTheme="minorEastAsia" w:cstheme="majorBidi"/>
          <w:b/>
          <w:bCs/>
          <w:kern w:val="2"/>
          <w:sz w:val="28"/>
          <w:szCs w:val="28"/>
        </w:rPr>
        <w:t>环保类行政处罚记录声明函</w:t>
      </w:r>
    </w:p>
    <w:p w14:paraId="3D4F7C88">
      <w:pPr>
        <w:spacing w:line="480" w:lineRule="auto"/>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（采购人名称）</w:t>
      </w:r>
    </w:p>
    <w:p w14:paraId="2419D48B">
      <w:pPr>
        <w:spacing w:line="48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我单位（供应商名称）郑重声明：</w:t>
      </w:r>
    </w:p>
    <w:p w14:paraId="4E806D85">
      <w:pPr>
        <w:spacing w:line="48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我单位参加政府采购活动前三年内，在经营活动中</w:t>
      </w:r>
      <w:r>
        <w:rPr>
          <w:rFonts w:hint="eastAsia" w:asciiTheme="minorEastAsia" w:hAnsiTheme="minorEastAsia" w:eastAsiaTheme="minorEastAsia"/>
          <w:b/>
          <w:bCs/>
          <w:sz w:val="24"/>
          <w:u w:val="single"/>
        </w:rPr>
        <w:t>没有</w:t>
      </w:r>
      <w:r>
        <w:rPr>
          <w:rFonts w:hint="eastAsia" w:asciiTheme="minorEastAsia" w:hAnsiTheme="minorEastAsia" w:eastAsiaTheme="minorEastAsia"/>
          <w:sz w:val="24"/>
        </w:rPr>
        <w:t>（在下划线上如实填写：有或没有）环保类行政处罚记录，特此声明。</w:t>
      </w:r>
    </w:p>
    <w:p w14:paraId="4B4D570E">
      <w:pPr>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sz w:val="24"/>
        </w:rPr>
        <w:t>声明人：（填写名称并盖章）</w:t>
      </w:r>
    </w:p>
    <w:p w14:paraId="749B242E">
      <w:pPr>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sz w:val="24"/>
        </w:rPr>
        <w:t>法定代表人或授权代表</w:t>
      </w:r>
      <w:r>
        <w:rPr>
          <w:rFonts w:hint="eastAsia" w:asciiTheme="minorEastAsia" w:hAnsiTheme="minorEastAsia" w:eastAsiaTheme="minorEastAsia"/>
          <w:bCs/>
          <w:sz w:val="24"/>
        </w:rPr>
        <w:t>：</w:t>
      </w:r>
      <w:r>
        <w:rPr>
          <w:rFonts w:hint="eastAsia" w:asciiTheme="minorEastAsia" w:hAnsiTheme="minorEastAsia" w:eastAsiaTheme="minorEastAsia"/>
          <w:iCs/>
          <w:sz w:val="24"/>
        </w:rPr>
        <w:t>（签字或盖章）</w:t>
      </w:r>
    </w:p>
    <w:p w14:paraId="5C9ED73A">
      <w:pPr>
        <w:spacing w:line="360" w:lineRule="auto"/>
        <w:rPr>
          <w:rFonts w:cs="Times New Roman" w:asciiTheme="minorEastAsia" w:hAnsiTheme="minorEastAsia" w:eastAsiaTheme="minorEastAsia"/>
          <w:sz w:val="32"/>
          <w:szCs w:val="32"/>
        </w:rPr>
      </w:pPr>
      <w:r>
        <w:rPr>
          <w:rFonts w:hint="eastAsia" w:asciiTheme="minorEastAsia" w:hAnsiTheme="minorEastAsia" w:eastAsiaTheme="minorEastAsia"/>
          <w:bCs/>
          <w:sz w:val="24"/>
        </w:rPr>
        <w:t>日期：2025年月日</w:t>
      </w:r>
    </w:p>
    <w:p w14:paraId="106D22F1">
      <w:pPr>
        <w:spacing w:line="276" w:lineRule="auto"/>
        <w:rPr>
          <w:rFonts w:cs="仿宋_GB2312" w:asciiTheme="minorEastAsia" w:hAnsiTheme="minorEastAsia" w:eastAsiaTheme="minorEastAsia"/>
          <w:b/>
          <w:bCs/>
          <w:sz w:val="32"/>
          <w:szCs w:val="32"/>
        </w:rPr>
      </w:pPr>
    </w:p>
    <w:p w14:paraId="6CE4C8C8">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r>
        <w:rPr>
          <w:rFonts w:hint="eastAsia" w:cs="仿宋_GB2312" w:asciiTheme="minorEastAsia" w:hAnsiTheme="minorEastAsia" w:eastAsiaTheme="minorEastAsia"/>
          <w:b/>
          <w:bCs/>
          <w:sz w:val="32"/>
          <w:szCs w:val="32"/>
        </w:rPr>
        <w:t>、</w:t>
      </w:r>
    </w:p>
    <w:p w14:paraId="7DEB8704">
      <w:pPr>
        <w:spacing w:line="360" w:lineRule="auto"/>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bCs/>
          <w:sz w:val="24"/>
          <w:szCs w:val="24"/>
        </w:rPr>
        <w:t>表10</w:t>
      </w:r>
      <w:r>
        <w:rPr>
          <w:rFonts w:hint="eastAsia" w:asciiTheme="minorEastAsia" w:hAnsiTheme="minorEastAsia" w:eastAsiaTheme="minorEastAsia"/>
          <w:b/>
          <w:sz w:val="24"/>
          <w:szCs w:val="24"/>
        </w:rPr>
        <w:t>、</w:t>
      </w:r>
      <w:r>
        <w:rPr>
          <w:rFonts w:hint="eastAsia" w:cs="仿宋_GB2312" w:asciiTheme="minorEastAsia" w:hAnsiTheme="minorEastAsia" w:eastAsiaTheme="minorEastAsia"/>
          <w:b/>
          <w:sz w:val="28"/>
          <w:szCs w:val="28"/>
        </w:rPr>
        <w:t>在有效期内的食品经营许可证</w:t>
      </w:r>
    </w:p>
    <w:p w14:paraId="616E9782">
      <w:pPr>
        <w:spacing w:line="360" w:lineRule="auto"/>
        <w:ind w:firstLine="3132" w:firstLineChars="1300"/>
        <w:rPr>
          <w:rFonts w:cs="宋体" w:asciiTheme="minorEastAsia" w:hAnsiTheme="minorEastAsia" w:eastAsiaTheme="minorEastAsia"/>
          <w:b/>
          <w:bCs/>
          <w:kern w:val="0"/>
          <w:sz w:val="24"/>
          <w:szCs w:val="32"/>
        </w:rPr>
      </w:pPr>
    </w:p>
    <w:p w14:paraId="2D3B0008">
      <w:pPr>
        <w:rPr>
          <w:rFonts w:cs="宋体" w:asciiTheme="minorEastAsia" w:hAnsiTheme="minorEastAsia" w:eastAsiaTheme="minorEastAsia"/>
          <w:b/>
          <w:bCs/>
          <w:kern w:val="0"/>
          <w:sz w:val="24"/>
          <w:szCs w:val="32"/>
        </w:rPr>
      </w:pPr>
      <w:r>
        <w:rPr>
          <w:rFonts w:hint="eastAsia" w:cs="仿宋_GB2312" w:asciiTheme="minorEastAsia" w:hAnsiTheme="minorEastAsia" w:eastAsiaTheme="minorEastAsia"/>
          <w:b/>
          <w:bCs/>
          <w:sz w:val="32"/>
          <w:szCs w:val="32"/>
        </w:rPr>
        <w:br w:type="page"/>
      </w:r>
      <w:r>
        <w:rPr>
          <w:rFonts w:hint="eastAsia" w:cs="仿宋_GB2312" w:asciiTheme="minorEastAsia" w:hAnsiTheme="minorEastAsia" w:eastAsiaTheme="minorEastAsia"/>
          <w:b/>
          <w:bCs/>
          <w:sz w:val="24"/>
          <w:szCs w:val="24"/>
        </w:rPr>
        <w:t>表11</w:t>
      </w:r>
      <w:r>
        <w:rPr>
          <w:rFonts w:hint="eastAsia" w:asciiTheme="minorEastAsia" w:hAnsiTheme="minorEastAsia" w:eastAsiaTheme="minorEastAsia"/>
          <w:b/>
          <w:sz w:val="24"/>
          <w:szCs w:val="24"/>
        </w:rPr>
        <w:t>、</w:t>
      </w:r>
    </w:p>
    <w:p w14:paraId="1260FFED">
      <w:pPr>
        <w:spacing w:line="360" w:lineRule="auto"/>
        <w:ind w:firstLine="3132" w:firstLineChars="1300"/>
        <w:rPr>
          <w:rFonts w:cs="Times New Roman" w:asciiTheme="minorEastAsia" w:hAnsiTheme="minorEastAsia" w:eastAsiaTheme="minorEastAsia"/>
          <w:b/>
          <w:bCs/>
          <w:sz w:val="32"/>
          <w:szCs w:val="32"/>
        </w:rPr>
      </w:pPr>
      <w:r>
        <w:rPr>
          <w:rFonts w:hint="eastAsia" w:cs="宋体" w:asciiTheme="minorEastAsia" w:hAnsiTheme="minorEastAsia" w:eastAsiaTheme="minorEastAsia"/>
          <w:b/>
          <w:bCs/>
          <w:kern w:val="0"/>
          <w:sz w:val="24"/>
          <w:szCs w:val="32"/>
        </w:rPr>
        <w:t>承诺书</w:t>
      </w:r>
    </w:p>
    <w:p w14:paraId="1314CA83">
      <w:pPr>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致：</w:t>
      </w:r>
    </w:p>
    <w:p w14:paraId="676DBB78">
      <w:pPr>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我公司是依法经营的餐饮企业，社会信誉良好，近三年内未发生食品安全事故、未受到相关食品安全行政处罚、未发生消防安全事故。近三年内未被立案查处、未发生食物中毒事件、未发生消防安全事故等方面的不良记录。</w:t>
      </w:r>
    </w:p>
    <w:p w14:paraId="50901097">
      <w:pPr>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特此声明。</w:t>
      </w:r>
    </w:p>
    <w:p w14:paraId="1BCD180C">
      <w:pPr>
        <w:adjustRightInd w:val="0"/>
        <w:spacing w:line="360" w:lineRule="auto"/>
        <w:ind w:firstLine="5280" w:firstLineChars="2200"/>
        <w:rPr>
          <w:rFonts w:asciiTheme="minorEastAsia" w:hAnsiTheme="minorEastAsia" w:eastAsiaTheme="minorEastAsia"/>
          <w:sz w:val="24"/>
        </w:rPr>
      </w:pPr>
      <w:r>
        <w:rPr>
          <w:rFonts w:hint="eastAsia" w:asciiTheme="minorEastAsia" w:hAnsiTheme="minorEastAsia" w:eastAsiaTheme="minorEastAsia"/>
          <w:sz w:val="24"/>
        </w:rPr>
        <w:t>投标人（盖章）：</w:t>
      </w:r>
    </w:p>
    <w:p w14:paraId="761B51E1">
      <w:pPr>
        <w:adjustRightInd w:val="0"/>
        <w:spacing w:line="360" w:lineRule="auto"/>
        <w:ind w:firstLine="5280" w:firstLineChars="2200"/>
        <w:rPr>
          <w:rFonts w:asciiTheme="minorEastAsia" w:hAnsiTheme="minorEastAsia" w:eastAsiaTheme="minorEastAsia"/>
          <w:sz w:val="24"/>
        </w:rPr>
      </w:pPr>
      <w:r>
        <w:rPr>
          <w:rFonts w:hint="eastAsia" w:asciiTheme="minorEastAsia" w:hAnsiTheme="minorEastAsia" w:eastAsiaTheme="minorEastAsia"/>
          <w:sz w:val="24"/>
        </w:rPr>
        <w:t>法定代表人或其授权代表（签字）</w:t>
      </w:r>
      <w:r>
        <w:rPr>
          <w:rFonts w:asciiTheme="minorEastAsia" w:hAnsiTheme="minorEastAsia" w:eastAsiaTheme="minorEastAsia"/>
          <w:sz w:val="24"/>
        </w:rPr>
        <w:t>:</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38389"/>
    </w:sdtPr>
    <w:sdtContent>
      <w:p w14:paraId="304EFF16">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14:paraId="4751663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426B8"/>
    <w:multiLevelType w:val="multilevel"/>
    <w:tmpl w:val="0CA426B8"/>
    <w:lvl w:ilvl="0" w:tentative="0">
      <w:start w:val="1"/>
      <w:numFmt w:val="japaneseCounting"/>
      <w:lvlText w:val="第%1章"/>
      <w:lvlJc w:val="left"/>
      <w:pPr>
        <w:ind w:left="1440" w:hanging="1440"/>
      </w:pPr>
      <w:rPr>
        <w:rFonts w:hint="default" w:cs="华文中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AC5F95"/>
    <w:multiLevelType w:val="singleLevel"/>
    <w:tmpl w:val="2CAC5F95"/>
    <w:lvl w:ilvl="0" w:tentative="0">
      <w:start w:val="2"/>
      <w:numFmt w:val="decimal"/>
      <w:suff w:val="nothing"/>
      <w:lvlText w:val="（%1）"/>
      <w:lvlJc w:val="left"/>
    </w:lvl>
  </w:abstractNum>
  <w:abstractNum w:abstractNumId="2">
    <w:nsid w:val="679F87ED"/>
    <w:multiLevelType w:val="singleLevel"/>
    <w:tmpl w:val="679F87ED"/>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MmQ0ZTcxMmVhYmFhZjcyOWQ0ZGFlMGJhMmRhZTEifQ=="/>
  </w:docVars>
  <w:rsids>
    <w:rsidRoot w:val="00717D90"/>
    <w:rsid w:val="00001CFF"/>
    <w:rsid w:val="00011321"/>
    <w:rsid w:val="00011BB6"/>
    <w:rsid w:val="000141D8"/>
    <w:rsid w:val="00015D67"/>
    <w:rsid w:val="00020963"/>
    <w:rsid w:val="0002505B"/>
    <w:rsid w:val="0002653E"/>
    <w:rsid w:val="00030F5A"/>
    <w:rsid w:val="00032BA7"/>
    <w:rsid w:val="00036886"/>
    <w:rsid w:val="000378D9"/>
    <w:rsid w:val="000437FD"/>
    <w:rsid w:val="000516B4"/>
    <w:rsid w:val="00051D86"/>
    <w:rsid w:val="00055483"/>
    <w:rsid w:val="0005564F"/>
    <w:rsid w:val="00087E38"/>
    <w:rsid w:val="000934DC"/>
    <w:rsid w:val="00093C1A"/>
    <w:rsid w:val="00093CEA"/>
    <w:rsid w:val="000A606D"/>
    <w:rsid w:val="000B0A93"/>
    <w:rsid w:val="000B3E2D"/>
    <w:rsid w:val="000B4173"/>
    <w:rsid w:val="000C180A"/>
    <w:rsid w:val="000C22FC"/>
    <w:rsid w:val="000C616E"/>
    <w:rsid w:val="000E5B0F"/>
    <w:rsid w:val="000F3E98"/>
    <w:rsid w:val="0010143F"/>
    <w:rsid w:val="001038BA"/>
    <w:rsid w:val="00104042"/>
    <w:rsid w:val="001063F1"/>
    <w:rsid w:val="001076B0"/>
    <w:rsid w:val="00111832"/>
    <w:rsid w:val="0012143D"/>
    <w:rsid w:val="00123613"/>
    <w:rsid w:val="00123744"/>
    <w:rsid w:val="00123BA2"/>
    <w:rsid w:val="00135948"/>
    <w:rsid w:val="00145F52"/>
    <w:rsid w:val="00150548"/>
    <w:rsid w:val="0015780D"/>
    <w:rsid w:val="00166D33"/>
    <w:rsid w:val="00170BD4"/>
    <w:rsid w:val="001721CF"/>
    <w:rsid w:val="001732AB"/>
    <w:rsid w:val="00175E47"/>
    <w:rsid w:val="00176D28"/>
    <w:rsid w:val="0018086F"/>
    <w:rsid w:val="00195E97"/>
    <w:rsid w:val="0019684E"/>
    <w:rsid w:val="001A4FE9"/>
    <w:rsid w:val="001B2B98"/>
    <w:rsid w:val="001C7771"/>
    <w:rsid w:val="001D0024"/>
    <w:rsid w:val="001D3F67"/>
    <w:rsid w:val="001E0845"/>
    <w:rsid w:val="001F350D"/>
    <w:rsid w:val="0022049F"/>
    <w:rsid w:val="002233B9"/>
    <w:rsid w:val="002306F6"/>
    <w:rsid w:val="00231543"/>
    <w:rsid w:val="00232807"/>
    <w:rsid w:val="00233D9A"/>
    <w:rsid w:val="00236415"/>
    <w:rsid w:val="00236E87"/>
    <w:rsid w:val="002418E8"/>
    <w:rsid w:val="00252916"/>
    <w:rsid w:val="00253360"/>
    <w:rsid w:val="00264BAA"/>
    <w:rsid w:val="00270D4C"/>
    <w:rsid w:val="002764EE"/>
    <w:rsid w:val="002770EB"/>
    <w:rsid w:val="0027778E"/>
    <w:rsid w:val="00280227"/>
    <w:rsid w:val="00280523"/>
    <w:rsid w:val="002862DB"/>
    <w:rsid w:val="00295AC8"/>
    <w:rsid w:val="002B2255"/>
    <w:rsid w:val="002B5A0A"/>
    <w:rsid w:val="002B6AF7"/>
    <w:rsid w:val="002D6974"/>
    <w:rsid w:val="002E0EAD"/>
    <w:rsid w:val="002E2BF8"/>
    <w:rsid w:val="002E3F3B"/>
    <w:rsid w:val="002E41DE"/>
    <w:rsid w:val="002F154A"/>
    <w:rsid w:val="002F77F9"/>
    <w:rsid w:val="00303FC3"/>
    <w:rsid w:val="00305E64"/>
    <w:rsid w:val="0031690E"/>
    <w:rsid w:val="00320226"/>
    <w:rsid w:val="003259AD"/>
    <w:rsid w:val="00334A55"/>
    <w:rsid w:val="00335312"/>
    <w:rsid w:val="0033719B"/>
    <w:rsid w:val="00342C2D"/>
    <w:rsid w:val="0034368C"/>
    <w:rsid w:val="0034724B"/>
    <w:rsid w:val="003567BB"/>
    <w:rsid w:val="0036093E"/>
    <w:rsid w:val="00362BE7"/>
    <w:rsid w:val="003646A2"/>
    <w:rsid w:val="00372E06"/>
    <w:rsid w:val="003837D3"/>
    <w:rsid w:val="003843AB"/>
    <w:rsid w:val="0038756E"/>
    <w:rsid w:val="00393868"/>
    <w:rsid w:val="0039737B"/>
    <w:rsid w:val="003B5C66"/>
    <w:rsid w:val="003B60A2"/>
    <w:rsid w:val="003C3330"/>
    <w:rsid w:val="003C46CC"/>
    <w:rsid w:val="003C578C"/>
    <w:rsid w:val="003C745A"/>
    <w:rsid w:val="003C7AD5"/>
    <w:rsid w:val="003D759F"/>
    <w:rsid w:val="003E4F22"/>
    <w:rsid w:val="003E67D0"/>
    <w:rsid w:val="003F737B"/>
    <w:rsid w:val="0041152F"/>
    <w:rsid w:val="004143CC"/>
    <w:rsid w:val="00414FCF"/>
    <w:rsid w:val="00415C22"/>
    <w:rsid w:val="00416576"/>
    <w:rsid w:val="00416AD6"/>
    <w:rsid w:val="00420271"/>
    <w:rsid w:val="00420934"/>
    <w:rsid w:val="00420DB6"/>
    <w:rsid w:val="00423E79"/>
    <w:rsid w:val="00431A11"/>
    <w:rsid w:val="00433040"/>
    <w:rsid w:val="00433E6A"/>
    <w:rsid w:val="00442010"/>
    <w:rsid w:val="00442885"/>
    <w:rsid w:val="00446B7C"/>
    <w:rsid w:val="00456848"/>
    <w:rsid w:val="00460574"/>
    <w:rsid w:val="00463628"/>
    <w:rsid w:val="00463F9C"/>
    <w:rsid w:val="00465055"/>
    <w:rsid w:val="00475D1D"/>
    <w:rsid w:val="00477106"/>
    <w:rsid w:val="0048186C"/>
    <w:rsid w:val="004964AF"/>
    <w:rsid w:val="004A03B3"/>
    <w:rsid w:val="004A0A45"/>
    <w:rsid w:val="004B0C6F"/>
    <w:rsid w:val="004B44B0"/>
    <w:rsid w:val="004B5B5D"/>
    <w:rsid w:val="004B7FCF"/>
    <w:rsid w:val="004C1A85"/>
    <w:rsid w:val="004C1ECE"/>
    <w:rsid w:val="004C3DF6"/>
    <w:rsid w:val="004D07D8"/>
    <w:rsid w:val="004D17BD"/>
    <w:rsid w:val="004F0F61"/>
    <w:rsid w:val="004F3FC0"/>
    <w:rsid w:val="00501211"/>
    <w:rsid w:val="0050362C"/>
    <w:rsid w:val="00516440"/>
    <w:rsid w:val="00516CCF"/>
    <w:rsid w:val="00517889"/>
    <w:rsid w:val="00530391"/>
    <w:rsid w:val="00537184"/>
    <w:rsid w:val="0053729D"/>
    <w:rsid w:val="00543C4A"/>
    <w:rsid w:val="00546487"/>
    <w:rsid w:val="005566E3"/>
    <w:rsid w:val="005572AF"/>
    <w:rsid w:val="00560A9D"/>
    <w:rsid w:val="00560C37"/>
    <w:rsid w:val="00560C9E"/>
    <w:rsid w:val="005658FB"/>
    <w:rsid w:val="00574A3E"/>
    <w:rsid w:val="00581173"/>
    <w:rsid w:val="00584CB7"/>
    <w:rsid w:val="005862C2"/>
    <w:rsid w:val="005A154A"/>
    <w:rsid w:val="005A2408"/>
    <w:rsid w:val="005B72AD"/>
    <w:rsid w:val="005C2D7D"/>
    <w:rsid w:val="005D650E"/>
    <w:rsid w:val="005E18D2"/>
    <w:rsid w:val="005F1BCB"/>
    <w:rsid w:val="005F5763"/>
    <w:rsid w:val="00613A09"/>
    <w:rsid w:val="006165A2"/>
    <w:rsid w:val="00620D7D"/>
    <w:rsid w:val="00621752"/>
    <w:rsid w:val="00622FD2"/>
    <w:rsid w:val="00625DAD"/>
    <w:rsid w:val="00634C4B"/>
    <w:rsid w:val="0063508A"/>
    <w:rsid w:val="0064333E"/>
    <w:rsid w:val="00646C86"/>
    <w:rsid w:val="0066318A"/>
    <w:rsid w:val="006754A7"/>
    <w:rsid w:val="006936E1"/>
    <w:rsid w:val="00695912"/>
    <w:rsid w:val="00697582"/>
    <w:rsid w:val="006A638A"/>
    <w:rsid w:val="006B1072"/>
    <w:rsid w:val="006B29AE"/>
    <w:rsid w:val="006B5C0F"/>
    <w:rsid w:val="006C09A4"/>
    <w:rsid w:val="006D1F90"/>
    <w:rsid w:val="006D51EC"/>
    <w:rsid w:val="006D5B5D"/>
    <w:rsid w:val="006D5C7C"/>
    <w:rsid w:val="006D6BE2"/>
    <w:rsid w:val="006E57E5"/>
    <w:rsid w:val="00705F47"/>
    <w:rsid w:val="00707E13"/>
    <w:rsid w:val="00713E5A"/>
    <w:rsid w:val="00714226"/>
    <w:rsid w:val="00717D90"/>
    <w:rsid w:val="00725EAF"/>
    <w:rsid w:val="007565F6"/>
    <w:rsid w:val="00766ADA"/>
    <w:rsid w:val="00767B7F"/>
    <w:rsid w:val="007816E7"/>
    <w:rsid w:val="00787840"/>
    <w:rsid w:val="007944FD"/>
    <w:rsid w:val="007A137F"/>
    <w:rsid w:val="007A70F9"/>
    <w:rsid w:val="007D0215"/>
    <w:rsid w:val="007F4705"/>
    <w:rsid w:val="007F527B"/>
    <w:rsid w:val="008040F0"/>
    <w:rsid w:val="00811DBA"/>
    <w:rsid w:val="008125D2"/>
    <w:rsid w:val="00812F66"/>
    <w:rsid w:val="008130D2"/>
    <w:rsid w:val="00820683"/>
    <w:rsid w:val="00820FAC"/>
    <w:rsid w:val="008269FD"/>
    <w:rsid w:val="00833335"/>
    <w:rsid w:val="00845E45"/>
    <w:rsid w:val="008470F6"/>
    <w:rsid w:val="008562EB"/>
    <w:rsid w:val="008628D9"/>
    <w:rsid w:val="00872B36"/>
    <w:rsid w:val="0087331A"/>
    <w:rsid w:val="00877CFC"/>
    <w:rsid w:val="00881BB9"/>
    <w:rsid w:val="00882FE6"/>
    <w:rsid w:val="008900C8"/>
    <w:rsid w:val="00891F96"/>
    <w:rsid w:val="00892BB3"/>
    <w:rsid w:val="008A16F6"/>
    <w:rsid w:val="008A2883"/>
    <w:rsid w:val="008D4691"/>
    <w:rsid w:val="008E1F8F"/>
    <w:rsid w:val="008F41B5"/>
    <w:rsid w:val="00904847"/>
    <w:rsid w:val="00906856"/>
    <w:rsid w:val="009145BF"/>
    <w:rsid w:val="00924CA2"/>
    <w:rsid w:val="009345D4"/>
    <w:rsid w:val="00955699"/>
    <w:rsid w:val="00957398"/>
    <w:rsid w:val="00966763"/>
    <w:rsid w:val="00971627"/>
    <w:rsid w:val="0097274F"/>
    <w:rsid w:val="00974D36"/>
    <w:rsid w:val="00985EEF"/>
    <w:rsid w:val="00990E49"/>
    <w:rsid w:val="009A46CE"/>
    <w:rsid w:val="009C3E6D"/>
    <w:rsid w:val="009C6A56"/>
    <w:rsid w:val="009D1BD5"/>
    <w:rsid w:val="009D5763"/>
    <w:rsid w:val="009D75A5"/>
    <w:rsid w:val="009E5ED8"/>
    <w:rsid w:val="00A015EA"/>
    <w:rsid w:val="00A021AB"/>
    <w:rsid w:val="00A0489C"/>
    <w:rsid w:val="00A162FE"/>
    <w:rsid w:val="00A16CCC"/>
    <w:rsid w:val="00A217CA"/>
    <w:rsid w:val="00A22892"/>
    <w:rsid w:val="00A247E4"/>
    <w:rsid w:val="00A2502E"/>
    <w:rsid w:val="00A310B7"/>
    <w:rsid w:val="00A349DF"/>
    <w:rsid w:val="00A37A0D"/>
    <w:rsid w:val="00A44066"/>
    <w:rsid w:val="00A4428A"/>
    <w:rsid w:val="00A44626"/>
    <w:rsid w:val="00A522E8"/>
    <w:rsid w:val="00A55BCA"/>
    <w:rsid w:val="00A63562"/>
    <w:rsid w:val="00A65EA6"/>
    <w:rsid w:val="00A713DA"/>
    <w:rsid w:val="00A82724"/>
    <w:rsid w:val="00A83361"/>
    <w:rsid w:val="00A834BE"/>
    <w:rsid w:val="00A915CA"/>
    <w:rsid w:val="00A93C64"/>
    <w:rsid w:val="00AA384D"/>
    <w:rsid w:val="00AB7DA7"/>
    <w:rsid w:val="00AC242F"/>
    <w:rsid w:val="00AC42B1"/>
    <w:rsid w:val="00AC5A79"/>
    <w:rsid w:val="00AC5BBD"/>
    <w:rsid w:val="00AC7799"/>
    <w:rsid w:val="00AD794D"/>
    <w:rsid w:val="00AE5FE9"/>
    <w:rsid w:val="00AE7858"/>
    <w:rsid w:val="00AF1AAF"/>
    <w:rsid w:val="00AF59DA"/>
    <w:rsid w:val="00B01989"/>
    <w:rsid w:val="00B0271B"/>
    <w:rsid w:val="00B0655E"/>
    <w:rsid w:val="00B13E7F"/>
    <w:rsid w:val="00B235E3"/>
    <w:rsid w:val="00B26091"/>
    <w:rsid w:val="00B26BAA"/>
    <w:rsid w:val="00B40985"/>
    <w:rsid w:val="00B4328D"/>
    <w:rsid w:val="00B4344D"/>
    <w:rsid w:val="00B4370A"/>
    <w:rsid w:val="00B464B0"/>
    <w:rsid w:val="00B466D3"/>
    <w:rsid w:val="00B53B46"/>
    <w:rsid w:val="00B55E44"/>
    <w:rsid w:val="00B5699A"/>
    <w:rsid w:val="00B60110"/>
    <w:rsid w:val="00B90873"/>
    <w:rsid w:val="00B91E77"/>
    <w:rsid w:val="00B92787"/>
    <w:rsid w:val="00B9506F"/>
    <w:rsid w:val="00BA73DC"/>
    <w:rsid w:val="00BB095E"/>
    <w:rsid w:val="00BB0E76"/>
    <w:rsid w:val="00BB2DF8"/>
    <w:rsid w:val="00BD1BBF"/>
    <w:rsid w:val="00BD3258"/>
    <w:rsid w:val="00BF1E28"/>
    <w:rsid w:val="00BF47F7"/>
    <w:rsid w:val="00BF4DE0"/>
    <w:rsid w:val="00C00651"/>
    <w:rsid w:val="00C52460"/>
    <w:rsid w:val="00C52CA2"/>
    <w:rsid w:val="00C5474A"/>
    <w:rsid w:val="00C55AE6"/>
    <w:rsid w:val="00C56D1D"/>
    <w:rsid w:val="00C632B3"/>
    <w:rsid w:val="00C6414D"/>
    <w:rsid w:val="00C72381"/>
    <w:rsid w:val="00C80295"/>
    <w:rsid w:val="00C873F5"/>
    <w:rsid w:val="00CA4331"/>
    <w:rsid w:val="00CC132B"/>
    <w:rsid w:val="00CC4E05"/>
    <w:rsid w:val="00CC54AB"/>
    <w:rsid w:val="00CC54ED"/>
    <w:rsid w:val="00CC601F"/>
    <w:rsid w:val="00CD5F75"/>
    <w:rsid w:val="00CE15B5"/>
    <w:rsid w:val="00CE5A59"/>
    <w:rsid w:val="00CF0D60"/>
    <w:rsid w:val="00CF1195"/>
    <w:rsid w:val="00CF5D04"/>
    <w:rsid w:val="00D0131B"/>
    <w:rsid w:val="00D0406E"/>
    <w:rsid w:val="00D04099"/>
    <w:rsid w:val="00D17BFF"/>
    <w:rsid w:val="00D23D03"/>
    <w:rsid w:val="00D243CA"/>
    <w:rsid w:val="00D31D60"/>
    <w:rsid w:val="00D409FE"/>
    <w:rsid w:val="00D51864"/>
    <w:rsid w:val="00D51977"/>
    <w:rsid w:val="00D522A1"/>
    <w:rsid w:val="00D54BCC"/>
    <w:rsid w:val="00D55719"/>
    <w:rsid w:val="00D62DBD"/>
    <w:rsid w:val="00D72B25"/>
    <w:rsid w:val="00D7364B"/>
    <w:rsid w:val="00D75D8B"/>
    <w:rsid w:val="00D82837"/>
    <w:rsid w:val="00D91955"/>
    <w:rsid w:val="00DA68DB"/>
    <w:rsid w:val="00DA7F25"/>
    <w:rsid w:val="00DB021E"/>
    <w:rsid w:val="00DB0E43"/>
    <w:rsid w:val="00DB7E13"/>
    <w:rsid w:val="00DC4D4C"/>
    <w:rsid w:val="00DC7237"/>
    <w:rsid w:val="00DD5871"/>
    <w:rsid w:val="00DD741E"/>
    <w:rsid w:val="00DF0359"/>
    <w:rsid w:val="00DF0B0D"/>
    <w:rsid w:val="00DF345A"/>
    <w:rsid w:val="00E15C98"/>
    <w:rsid w:val="00E17F0D"/>
    <w:rsid w:val="00E25D2E"/>
    <w:rsid w:val="00E31621"/>
    <w:rsid w:val="00E32C45"/>
    <w:rsid w:val="00E33F3D"/>
    <w:rsid w:val="00E34FDB"/>
    <w:rsid w:val="00E361B3"/>
    <w:rsid w:val="00E37A12"/>
    <w:rsid w:val="00E5043C"/>
    <w:rsid w:val="00E66B1C"/>
    <w:rsid w:val="00E70975"/>
    <w:rsid w:val="00E7204A"/>
    <w:rsid w:val="00E82913"/>
    <w:rsid w:val="00E840FF"/>
    <w:rsid w:val="00E90E2B"/>
    <w:rsid w:val="00E91D71"/>
    <w:rsid w:val="00EA6116"/>
    <w:rsid w:val="00EB00F5"/>
    <w:rsid w:val="00EB2EBB"/>
    <w:rsid w:val="00EB5F94"/>
    <w:rsid w:val="00EB6DBB"/>
    <w:rsid w:val="00EB7786"/>
    <w:rsid w:val="00EC0CE5"/>
    <w:rsid w:val="00EC3841"/>
    <w:rsid w:val="00ED32A3"/>
    <w:rsid w:val="00EE2A52"/>
    <w:rsid w:val="00EE7551"/>
    <w:rsid w:val="00EF533F"/>
    <w:rsid w:val="00EF6AA1"/>
    <w:rsid w:val="00F00191"/>
    <w:rsid w:val="00F07BFE"/>
    <w:rsid w:val="00F13B4D"/>
    <w:rsid w:val="00F27DEF"/>
    <w:rsid w:val="00F37E48"/>
    <w:rsid w:val="00F60262"/>
    <w:rsid w:val="00F72A40"/>
    <w:rsid w:val="00F75DD8"/>
    <w:rsid w:val="00F861EE"/>
    <w:rsid w:val="00F9361F"/>
    <w:rsid w:val="00F93B6F"/>
    <w:rsid w:val="00F96FB7"/>
    <w:rsid w:val="00FA0BFE"/>
    <w:rsid w:val="00FB133A"/>
    <w:rsid w:val="00FC2C28"/>
    <w:rsid w:val="00FC46BA"/>
    <w:rsid w:val="00FD0F11"/>
    <w:rsid w:val="00FE142D"/>
    <w:rsid w:val="00FE71D3"/>
    <w:rsid w:val="00FF13DE"/>
    <w:rsid w:val="01AD0568"/>
    <w:rsid w:val="01E40F90"/>
    <w:rsid w:val="01EA1863"/>
    <w:rsid w:val="02096A5F"/>
    <w:rsid w:val="02D84C0B"/>
    <w:rsid w:val="031C07A5"/>
    <w:rsid w:val="037E2547"/>
    <w:rsid w:val="03967D9A"/>
    <w:rsid w:val="03B30D23"/>
    <w:rsid w:val="03BC7E2E"/>
    <w:rsid w:val="041D4120"/>
    <w:rsid w:val="046318C1"/>
    <w:rsid w:val="04B06895"/>
    <w:rsid w:val="052851DF"/>
    <w:rsid w:val="061F63BE"/>
    <w:rsid w:val="062A142B"/>
    <w:rsid w:val="064C13E1"/>
    <w:rsid w:val="065D35AE"/>
    <w:rsid w:val="06AA71FC"/>
    <w:rsid w:val="074958E1"/>
    <w:rsid w:val="07572F0A"/>
    <w:rsid w:val="078F495E"/>
    <w:rsid w:val="07DD40F6"/>
    <w:rsid w:val="08591D90"/>
    <w:rsid w:val="09550158"/>
    <w:rsid w:val="0A0D1E0C"/>
    <w:rsid w:val="0A2368BD"/>
    <w:rsid w:val="0AB74923"/>
    <w:rsid w:val="0B116715"/>
    <w:rsid w:val="0B2E376B"/>
    <w:rsid w:val="0B3568A8"/>
    <w:rsid w:val="0B8200AD"/>
    <w:rsid w:val="0C5114BF"/>
    <w:rsid w:val="0C5573A6"/>
    <w:rsid w:val="0CC72005"/>
    <w:rsid w:val="0CCF6888"/>
    <w:rsid w:val="0DE820DC"/>
    <w:rsid w:val="0DEE0F90"/>
    <w:rsid w:val="0DF540CC"/>
    <w:rsid w:val="0EE448FE"/>
    <w:rsid w:val="105C65C3"/>
    <w:rsid w:val="106D0B81"/>
    <w:rsid w:val="10B85FB1"/>
    <w:rsid w:val="112A0F34"/>
    <w:rsid w:val="117A52D6"/>
    <w:rsid w:val="119F6E5C"/>
    <w:rsid w:val="121E337C"/>
    <w:rsid w:val="124B4C03"/>
    <w:rsid w:val="12541D09"/>
    <w:rsid w:val="12886E5A"/>
    <w:rsid w:val="1331204B"/>
    <w:rsid w:val="13C22E2F"/>
    <w:rsid w:val="14305E5E"/>
    <w:rsid w:val="145E690C"/>
    <w:rsid w:val="14D82D3D"/>
    <w:rsid w:val="14ED7F17"/>
    <w:rsid w:val="14FE50FD"/>
    <w:rsid w:val="15315F4C"/>
    <w:rsid w:val="153951E6"/>
    <w:rsid w:val="154020D1"/>
    <w:rsid w:val="1658169C"/>
    <w:rsid w:val="16B52250"/>
    <w:rsid w:val="174F6F43"/>
    <w:rsid w:val="187447AF"/>
    <w:rsid w:val="18962766"/>
    <w:rsid w:val="18AB1F57"/>
    <w:rsid w:val="1A8D7FA6"/>
    <w:rsid w:val="1B5E7C00"/>
    <w:rsid w:val="1B9B4505"/>
    <w:rsid w:val="1C692D8C"/>
    <w:rsid w:val="1C97691E"/>
    <w:rsid w:val="1D553DBF"/>
    <w:rsid w:val="1DB918CB"/>
    <w:rsid w:val="1EFF2FFD"/>
    <w:rsid w:val="1F374545"/>
    <w:rsid w:val="1F38650F"/>
    <w:rsid w:val="1F394761"/>
    <w:rsid w:val="1F422EEA"/>
    <w:rsid w:val="210F0963"/>
    <w:rsid w:val="211D68E2"/>
    <w:rsid w:val="21210627"/>
    <w:rsid w:val="21617F9F"/>
    <w:rsid w:val="219633AE"/>
    <w:rsid w:val="22CA56D0"/>
    <w:rsid w:val="2342170A"/>
    <w:rsid w:val="23626D2A"/>
    <w:rsid w:val="23730FB4"/>
    <w:rsid w:val="24837082"/>
    <w:rsid w:val="248C4A3A"/>
    <w:rsid w:val="25B52667"/>
    <w:rsid w:val="25C70089"/>
    <w:rsid w:val="26B02E2F"/>
    <w:rsid w:val="27451C7A"/>
    <w:rsid w:val="27A21806"/>
    <w:rsid w:val="27D07660"/>
    <w:rsid w:val="28924EE2"/>
    <w:rsid w:val="29606AF1"/>
    <w:rsid w:val="2A1A0CEB"/>
    <w:rsid w:val="2A2D31C0"/>
    <w:rsid w:val="2A806F49"/>
    <w:rsid w:val="2AD6555A"/>
    <w:rsid w:val="2AEE54FF"/>
    <w:rsid w:val="2B367DA6"/>
    <w:rsid w:val="2B626DED"/>
    <w:rsid w:val="2C2916B9"/>
    <w:rsid w:val="2CDA38A5"/>
    <w:rsid w:val="2D016192"/>
    <w:rsid w:val="2D4D587B"/>
    <w:rsid w:val="2D894942"/>
    <w:rsid w:val="2E2E2ED2"/>
    <w:rsid w:val="2E807459"/>
    <w:rsid w:val="2EE4717D"/>
    <w:rsid w:val="2EE6563F"/>
    <w:rsid w:val="2F686DC9"/>
    <w:rsid w:val="2FC8743B"/>
    <w:rsid w:val="30474804"/>
    <w:rsid w:val="30852846"/>
    <w:rsid w:val="30952A14"/>
    <w:rsid w:val="31283B34"/>
    <w:rsid w:val="33085062"/>
    <w:rsid w:val="332A457E"/>
    <w:rsid w:val="3338651E"/>
    <w:rsid w:val="333C6CE1"/>
    <w:rsid w:val="333D290E"/>
    <w:rsid w:val="336851BD"/>
    <w:rsid w:val="33C137F8"/>
    <w:rsid w:val="33F64577"/>
    <w:rsid w:val="340706E9"/>
    <w:rsid w:val="34276A20"/>
    <w:rsid w:val="3555351F"/>
    <w:rsid w:val="35755DC2"/>
    <w:rsid w:val="363C4E06"/>
    <w:rsid w:val="36827B9E"/>
    <w:rsid w:val="36971C9C"/>
    <w:rsid w:val="36A003AE"/>
    <w:rsid w:val="36AE34E3"/>
    <w:rsid w:val="37357164"/>
    <w:rsid w:val="3748158D"/>
    <w:rsid w:val="37BD6F38"/>
    <w:rsid w:val="39B12CEE"/>
    <w:rsid w:val="39F63CA8"/>
    <w:rsid w:val="3A3B7894"/>
    <w:rsid w:val="3B141786"/>
    <w:rsid w:val="3B7046F8"/>
    <w:rsid w:val="3BBD597A"/>
    <w:rsid w:val="3BEB698B"/>
    <w:rsid w:val="3C4A2E77"/>
    <w:rsid w:val="3C5502A8"/>
    <w:rsid w:val="3C5B588C"/>
    <w:rsid w:val="3C862E04"/>
    <w:rsid w:val="3CC2289A"/>
    <w:rsid w:val="3CFA5349"/>
    <w:rsid w:val="3D4A76E1"/>
    <w:rsid w:val="3DE6740A"/>
    <w:rsid w:val="3E2972F7"/>
    <w:rsid w:val="3E300685"/>
    <w:rsid w:val="3EE97AD6"/>
    <w:rsid w:val="3F852345"/>
    <w:rsid w:val="3F93711E"/>
    <w:rsid w:val="3F982986"/>
    <w:rsid w:val="40554F9C"/>
    <w:rsid w:val="40907B01"/>
    <w:rsid w:val="40BC23C2"/>
    <w:rsid w:val="40CA073C"/>
    <w:rsid w:val="40CC3DC6"/>
    <w:rsid w:val="40E02836"/>
    <w:rsid w:val="41656898"/>
    <w:rsid w:val="41F30347"/>
    <w:rsid w:val="42116A20"/>
    <w:rsid w:val="4253528A"/>
    <w:rsid w:val="42EE0B0F"/>
    <w:rsid w:val="42F87437"/>
    <w:rsid w:val="430D71E7"/>
    <w:rsid w:val="43296CFE"/>
    <w:rsid w:val="438C0C29"/>
    <w:rsid w:val="43B104BA"/>
    <w:rsid w:val="43CA50D8"/>
    <w:rsid w:val="43EA56DF"/>
    <w:rsid w:val="443A0ED6"/>
    <w:rsid w:val="445C6678"/>
    <w:rsid w:val="4463421E"/>
    <w:rsid w:val="45BE2A1A"/>
    <w:rsid w:val="46716C71"/>
    <w:rsid w:val="469D2F78"/>
    <w:rsid w:val="46B61793"/>
    <w:rsid w:val="46E12E64"/>
    <w:rsid w:val="46E91D19"/>
    <w:rsid w:val="46F81F5C"/>
    <w:rsid w:val="46FC37FA"/>
    <w:rsid w:val="4743487A"/>
    <w:rsid w:val="47934EF3"/>
    <w:rsid w:val="47F47FF2"/>
    <w:rsid w:val="486B7B5F"/>
    <w:rsid w:val="49C45812"/>
    <w:rsid w:val="49DA57B7"/>
    <w:rsid w:val="49EC082B"/>
    <w:rsid w:val="49F509D5"/>
    <w:rsid w:val="49FA36D6"/>
    <w:rsid w:val="4AFB034C"/>
    <w:rsid w:val="4B6B0F4E"/>
    <w:rsid w:val="4B881FFB"/>
    <w:rsid w:val="4C6E1B91"/>
    <w:rsid w:val="4CAF7561"/>
    <w:rsid w:val="4CC43281"/>
    <w:rsid w:val="4DB91F0F"/>
    <w:rsid w:val="4EB3158A"/>
    <w:rsid w:val="4F084ABB"/>
    <w:rsid w:val="4F265CEA"/>
    <w:rsid w:val="4F3B1580"/>
    <w:rsid w:val="4F4D2326"/>
    <w:rsid w:val="4F765379"/>
    <w:rsid w:val="4FC275AB"/>
    <w:rsid w:val="50200100"/>
    <w:rsid w:val="51663C9A"/>
    <w:rsid w:val="51E27A91"/>
    <w:rsid w:val="51E37507"/>
    <w:rsid w:val="529F2091"/>
    <w:rsid w:val="52C33D66"/>
    <w:rsid w:val="539B03B7"/>
    <w:rsid w:val="53C51418"/>
    <w:rsid w:val="54514662"/>
    <w:rsid w:val="546D3F89"/>
    <w:rsid w:val="55264138"/>
    <w:rsid w:val="556D1D67"/>
    <w:rsid w:val="55F77D8C"/>
    <w:rsid w:val="5630526E"/>
    <w:rsid w:val="56471460"/>
    <w:rsid w:val="56C65BD3"/>
    <w:rsid w:val="56C87B9D"/>
    <w:rsid w:val="572E587C"/>
    <w:rsid w:val="576077E8"/>
    <w:rsid w:val="57C142AA"/>
    <w:rsid w:val="584432DE"/>
    <w:rsid w:val="58DF2F7C"/>
    <w:rsid w:val="5A273174"/>
    <w:rsid w:val="5A5F4374"/>
    <w:rsid w:val="5AC70DFE"/>
    <w:rsid w:val="5AD36E0F"/>
    <w:rsid w:val="5B3144E7"/>
    <w:rsid w:val="5B6C3B0B"/>
    <w:rsid w:val="5B8E486F"/>
    <w:rsid w:val="5B9D6810"/>
    <w:rsid w:val="5BC87CF7"/>
    <w:rsid w:val="5C1318BA"/>
    <w:rsid w:val="5CB97030"/>
    <w:rsid w:val="5D290C69"/>
    <w:rsid w:val="5DB8352F"/>
    <w:rsid w:val="5E4E4E2C"/>
    <w:rsid w:val="5F2800AE"/>
    <w:rsid w:val="5F5E6222"/>
    <w:rsid w:val="5FC0708B"/>
    <w:rsid w:val="5FDB71B3"/>
    <w:rsid w:val="5FF23595"/>
    <w:rsid w:val="60A52614"/>
    <w:rsid w:val="60DC1651"/>
    <w:rsid w:val="61356E89"/>
    <w:rsid w:val="6240283F"/>
    <w:rsid w:val="62BC3405"/>
    <w:rsid w:val="62D61AA8"/>
    <w:rsid w:val="63402869"/>
    <w:rsid w:val="63414C32"/>
    <w:rsid w:val="63BD3EBA"/>
    <w:rsid w:val="63F91396"/>
    <w:rsid w:val="64691624"/>
    <w:rsid w:val="648D1ADE"/>
    <w:rsid w:val="64C47FDF"/>
    <w:rsid w:val="64C9520C"/>
    <w:rsid w:val="6579218D"/>
    <w:rsid w:val="66377F53"/>
    <w:rsid w:val="66A27570"/>
    <w:rsid w:val="66B6356E"/>
    <w:rsid w:val="66B912B0"/>
    <w:rsid w:val="66E863F5"/>
    <w:rsid w:val="68B172D0"/>
    <w:rsid w:val="68C87588"/>
    <w:rsid w:val="68D50789"/>
    <w:rsid w:val="691C4FF1"/>
    <w:rsid w:val="691E364C"/>
    <w:rsid w:val="69CB581E"/>
    <w:rsid w:val="69F640E4"/>
    <w:rsid w:val="6A301383"/>
    <w:rsid w:val="6A321D4B"/>
    <w:rsid w:val="6A343177"/>
    <w:rsid w:val="6A4960ED"/>
    <w:rsid w:val="6B2807B2"/>
    <w:rsid w:val="6B7B2FD8"/>
    <w:rsid w:val="6C1653E3"/>
    <w:rsid w:val="6C9854C4"/>
    <w:rsid w:val="6CA67BE1"/>
    <w:rsid w:val="6CC62031"/>
    <w:rsid w:val="6F2C33B6"/>
    <w:rsid w:val="701D640C"/>
    <w:rsid w:val="70324099"/>
    <w:rsid w:val="70950698"/>
    <w:rsid w:val="722F2426"/>
    <w:rsid w:val="723D4B43"/>
    <w:rsid w:val="73171838"/>
    <w:rsid w:val="73306C69"/>
    <w:rsid w:val="73430D40"/>
    <w:rsid w:val="73686F64"/>
    <w:rsid w:val="7499627D"/>
    <w:rsid w:val="749F02E6"/>
    <w:rsid w:val="74FD05BA"/>
    <w:rsid w:val="754D5211"/>
    <w:rsid w:val="755328D0"/>
    <w:rsid w:val="763667F5"/>
    <w:rsid w:val="76706EDC"/>
    <w:rsid w:val="772B58B2"/>
    <w:rsid w:val="776C1A27"/>
    <w:rsid w:val="77C47AB5"/>
    <w:rsid w:val="78415463"/>
    <w:rsid w:val="78A70F68"/>
    <w:rsid w:val="79287455"/>
    <w:rsid w:val="799022FC"/>
    <w:rsid w:val="79A11A57"/>
    <w:rsid w:val="79EA1A55"/>
    <w:rsid w:val="7A3F74A8"/>
    <w:rsid w:val="7A8B474C"/>
    <w:rsid w:val="7B0855B3"/>
    <w:rsid w:val="7B713AB0"/>
    <w:rsid w:val="7D3F6BF9"/>
    <w:rsid w:val="7D511DEB"/>
    <w:rsid w:val="7E6F5FE6"/>
    <w:rsid w:val="7EAF04C2"/>
    <w:rsid w:val="7EBC7738"/>
    <w:rsid w:val="7F771C40"/>
    <w:rsid w:val="7F7973D7"/>
    <w:rsid w:val="7FB14DC3"/>
    <w:rsid w:val="7FF30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qFormat="1"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qFormat/>
    <w:uiPriority w:val="99"/>
    <w:pPr>
      <w:keepNext/>
      <w:keepLines/>
      <w:spacing w:before="260" w:after="260" w:line="416" w:lineRule="auto"/>
      <w:outlineLvl w:val="2"/>
    </w:pPr>
    <w:rPr>
      <w:rFonts w:cs="Times New Roman"/>
      <w:b/>
      <w:bCs/>
      <w:kern w:val="0"/>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3"/>
    <w:qFormat/>
    <w:uiPriority w:val="0"/>
    <w:pPr>
      <w:autoSpaceDE w:val="0"/>
      <w:autoSpaceDN w:val="0"/>
      <w:spacing w:line="640" w:lineRule="exact"/>
      <w:ind w:firstLine="585"/>
    </w:pPr>
    <w:rPr>
      <w:rFonts w:ascii="楷体_GB2312" w:eastAsia="楷体_GB2312"/>
      <w:kern w:val="0"/>
      <w:sz w:val="32"/>
      <w:szCs w:val="32"/>
    </w:rPr>
  </w:style>
  <w:style w:type="paragraph" w:styleId="6">
    <w:name w:val="annotation text"/>
    <w:basedOn w:val="1"/>
    <w:link w:val="40"/>
    <w:unhideWhenUsed/>
    <w:qFormat/>
    <w:uiPriority w:val="0"/>
    <w:pPr>
      <w:jc w:val="left"/>
    </w:pPr>
    <w:rPr>
      <w:rFonts w:cs="Times New Roman"/>
      <w:kern w:val="0"/>
      <w:sz w:val="20"/>
    </w:rPr>
  </w:style>
  <w:style w:type="paragraph" w:styleId="7">
    <w:name w:val="Body Text"/>
    <w:basedOn w:val="1"/>
    <w:next w:val="1"/>
    <w:link w:val="54"/>
    <w:unhideWhenUsed/>
    <w:qFormat/>
    <w:uiPriority w:val="0"/>
    <w:pPr>
      <w:spacing w:after="120"/>
    </w:pPr>
  </w:style>
  <w:style w:type="paragraph" w:styleId="8">
    <w:name w:val="Body Text Indent"/>
    <w:basedOn w:val="1"/>
    <w:next w:val="9"/>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Date"/>
    <w:basedOn w:val="1"/>
    <w:next w:val="1"/>
    <w:link w:val="43"/>
    <w:semiHidden/>
    <w:unhideWhenUsed/>
    <w:qFormat/>
    <w:uiPriority w:val="0"/>
    <w:pPr>
      <w:ind w:left="100" w:leftChars="2500"/>
    </w:pPr>
    <w:rPr>
      <w:rFonts w:cs="Times New Roman"/>
    </w:rPr>
  </w:style>
  <w:style w:type="paragraph" w:styleId="11">
    <w:name w:val="Balloon Text"/>
    <w:basedOn w:val="1"/>
    <w:link w:val="42"/>
    <w:unhideWhenUsed/>
    <w:qFormat/>
    <w:uiPriority w:val="0"/>
    <w:rPr>
      <w:rFonts w:cs="Times New Roman"/>
      <w:kern w:val="0"/>
      <w:sz w:val="18"/>
      <w:szCs w:val="18"/>
    </w:rPr>
  </w:style>
  <w:style w:type="paragraph" w:styleId="12">
    <w:name w:val="footer"/>
    <w:basedOn w:val="1"/>
    <w:link w:val="34"/>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3">
    <w:name w:val="header"/>
    <w:basedOn w:val="1"/>
    <w:link w:val="33"/>
    <w:unhideWhenUsed/>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footnote text"/>
    <w:basedOn w:val="1"/>
    <w:qFormat/>
    <w:uiPriority w:val="0"/>
    <w:pPr>
      <w:snapToGrid w:val="0"/>
      <w:jc w:val="left"/>
    </w:pPr>
    <w:rPr>
      <w:sz w:val="18"/>
      <w:szCs w:val="18"/>
    </w:rPr>
  </w:style>
  <w:style w:type="paragraph" w:styleId="15">
    <w:name w:val="toc 2"/>
    <w:basedOn w:val="1"/>
    <w:next w:val="1"/>
    <w:qFormat/>
    <w:uiPriority w:val="0"/>
    <w:pPr>
      <w:ind w:left="420" w:leftChars="200"/>
    </w:pPr>
  </w:style>
  <w:style w:type="paragraph" w:styleId="16">
    <w:name w:val="Body Text 2"/>
    <w:basedOn w:val="1"/>
    <w:link w:val="48"/>
    <w:qFormat/>
    <w:uiPriority w:val="0"/>
    <w:pPr>
      <w:spacing w:after="120" w:line="480" w:lineRule="auto"/>
    </w:pPr>
  </w:style>
  <w:style w:type="paragraph" w:styleId="17">
    <w:name w:val="HTML Preformatted"/>
    <w:basedOn w:val="1"/>
    <w:link w:val="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6"/>
    <w:next w:val="6"/>
    <w:link w:val="41"/>
    <w:semiHidden/>
    <w:unhideWhenUsed/>
    <w:qFormat/>
    <w:uiPriority w:val="99"/>
    <w:rPr>
      <w:b/>
      <w:bCs/>
    </w:rPr>
  </w:style>
  <w:style w:type="paragraph" w:styleId="20">
    <w:name w:val="Body Text First Indent"/>
    <w:basedOn w:val="7"/>
    <w:link w:val="60"/>
    <w:semiHidden/>
    <w:unhideWhenUsed/>
    <w:qFormat/>
    <w:uiPriority w:val="0"/>
    <w:pPr>
      <w:ind w:firstLine="420" w:firstLineChars="100"/>
    </w:pPr>
  </w:style>
  <w:style w:type="paragraph" w:styleId="21">
    <w:name w:val="Body Text First Indent 2"/>
    <w:basedOn w:val="8"/>
    <w:next w:val="7"/>
    <w:qFormat/>
    <w:uiPriority w:val="0"/>
    <w:pPr>
      <w:widowControl/>
      <w:ind w:firstLine="420" w:firstLineChars="200"/>
      <w:jc w:val="left"/>
    </w:pPr>
    <w:rPr>
      <w:rFonts w:cs="Times New Roman"/>
      <w:kern w:val="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page number"/>
    <w:basedOn w:val="24"/>
    <w:qFormat/>
    <w:uiPriority w:val="0"/>
  </w:style>
  <w:style w:type="character" w:styleId="27">
    <w:name w:val="Hyperlink"/>
    <w:unhideWhenUsed/>
    <w:qFormat/>
    <w:uiPriority w:val="99"/>
    <w:rPr>
      <w:color w:val="0000FF"/>
      <w:u w:val="single"/>
    </w:rPr>
  </w:style>
  <w:style w:type="character" w:styleId="28">
    <w:name w:val="annotation reference"/>
    <w:semiHidden/>
    <w:unhideWhenUsed/>
    <w:qFormat/>
    <w:uiPriority w:val="99"/>
    <w:rPr>
      <w:sz w:val="21"/>
      <w:szCs w:val="21"/>
    </w:rPr>
  </w:style>
  <w:style w:type="paragraph" w:customStyle="1" w:styleId="29">
    <w:name w:val="样式1"/>
    <w:basedOn w:val="2"/>
    <w:next w:val="1"/>
    <w:qFormat/>
    <w:uiPriority w:val="0"/>
    <w:pPr>
      <w:spacing w:line="576" w:lineRule="auto"/>
      <w:jc w:val="center"/>
    </w:pPr>
    <w:rPr>
      <w:rFonts w:ascii="宋体" w:hAnsi="宋体" w:eastAsia="黑体" w:cs="Calibri"/>
      <w:bCs w:val="0"/>
      <w:sz w:val="36"/>
      <w:szCs w:val="20"/>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34"/>
    <w:pPr>
      <w:ind w:firstLine="420" w:firstLineChars="200"/>
    </w:pPr>
  </w:style>
  <w:style w:type="paragraph" w:customStyle="1" w:styleId="32">
    <w:name w:val="修订1"/>
    <w:hidden/>
    <w:semiHidden/>
    <w:qFormat/>
    <w:uiPriority w:val="99"/>
    <w:rPr>
      <w:rFonts w:ascii="Calibri" w:hAnsi="Calibri" w:eastAsia="宋体" w:cs="Calibri"/>
      <w:kern w:val="2"/>
      <w:sz w:val="21"/>
      <w:szCs w:val="21"/>
      <w:lang w:val="en-US" w:eastAsia="zh-CN" w:bidi="ar-SA"/>
    </w:rPr>
  </w:style>
  <w:style w:type="character" w:customStyle="1" w:styleId="33">
    <w:name w:val="页眉 Char"/>
    <w:link w:val="13"/>
    <w:qFormat/>
    <w:uiPriority w:val="0"/>
    <w:rPr>
      <w:sz w:val="18"/>
      <w:szCs w:val="18"/>
    </w:rPr>
  </w:style>
  <w:style w:type="character" w:customStyle="1" w:styleId="34">
    <w:name w:val="页脚 Char"/>
    <w:link w:val="12"/>
    <w:qFormat/>
    <w:uiPriority w:val="99"/>
    <w:rPr>
      <w:sz w:val="18"/>
      <w:szCs w:val="18"/>
    </w:rPr>
  </w:style>
  <w:style w:type="character" w:customStyle="1" w:styleId="35">
    <w:name w:val="标题 1 Char"/>
    <w:link w:val="2"/>
    <w:qFormat/>
    <w:uiPriority w:val="0"/>
    <w:rPr>
      <w:rFonts w:ascii="Calibri" w:hAnsi="Calibri" w:eastAsia="宋体" w:cs="Calibri"/>
      <w:b/>
      <w:bCs/>
      <w:kern w:val="44"/>
      <w:sz w:val="44"/>
      <w:szCs w:val="44"/>
    </w:rPr>
  </w:style>
  <w:style w:type="character" w:customStyle="1" w:styleId="36">
    <w:name w:val="标题 3 Char"/>
    <w:link w:val="4"/>
    <w:qFormat/>
    <w:uiPriority w:val="99"/>
    <w:rPr>
      <w:rFonts w:ascii="Calibri" w:hAnsi="Calibri" w:eastAsia="宋体" w:cs="Calibri"/>
      <w:b/>
      <w:bCs/>
      <w:sz w:val="32"/>
      <w:szCs w:val="32"/>
    </w:rPr>
  </w:style>
  <w:style w:type="character" w:customStyle="1" w:styleId="37">
    <w:name w:val="font51"/>
    <w:qFormat/>
    <w:uiPriority w:val="0"/>
    <w:rPr>
      <w:rFonts w:hint="eastAsia" w:ascii="宋体" w:hAnsi="宋体" w:eastAsia="宋体" w:cs="宋体"/>
      <w:b/>
      <w:bCs/>
      <w:color w:val="000000"/>
      <w:sz w:val="28"/>
      <w:szCs w:val="28"/>
      <w:u w:val="none"/>
    </w:rPr>
  </w:style>
  <w:style w:type="character" w:customStyle="1" w:styleId="38">
    <w:name w:val="font41"/>
    <w:qFormat/>
    <w:uiPriority w:val="0"/>
    <w:rPr>
      <w:rFonts w:hint="eastAsia" w:ascii="宋体" w:hAnsi="宋体" w:eastAsia="宋体" w:cs="宋体"/>
      <w:color w:val="000000"/>
      <w:sz w:val="36"/>
      <w:szCs w:val="36"/>
      <w:u w:val="none"/>
    </w:rPr>
  </w:style>
  <w:style w:type="character" w:customStyle="1" w:styleId="39">
    <w:name w:val="font61"/>
    <w:qFormat/>
    <w:uiPriority w:val="0"/>
    <w:rPr>
      <w:rFonts w:hint="eastAsia" w:ascii="宋体" w:hAnsi="宋体" w:eastAsia="宋体" w:cs="宋体"/>
      <w:color w:val="000000"/>
      <w:sz w:val="18"/>
      <w:szCs w:val="18"/>
      <w:u w:val="none"/>
    </w:rPr>
  </w:style>
  <w:style w:type="character" w:customStyle="1" w:styleId="40">
    <w:name w:val="批注文字 Char"/>
    <w:link w:val="6"/>
    <w:qFormat/>
    <w:uiPriority w:val="0"/>
    <w:rPr>
      <w:rFonts w:ascii="Calibri" w:hAnsi="Calibri" w:eastAsia="宋体" w:cs="Calibri"/>
      <w:szCs w:val="21"/>
    </w:rPr>
  </w:style>
  <w:style w:type="character" w:customStyle="1" w:styleId="41">
    <w:name w:val="批注主题 Char"/>
    <w:link w:val="19"/>
    <w:semiHidden/>
    <w:qFormat/>
    <w:uiPriority w:val="99"/>
    <w:rPr>
      <w:rFonts w:ascii="Calibri" w:hAnsi="Calibri" w:eastAsia="宋体" w:cs="Calibri"/>
      <w:b/>
      <w:bCs/>
      <w:szCs w:val="21"/>
    </w:rPr>
  </w:style>
  <w:style w:type="character" w:customStyle="1" w:styleId="42">
    <w:name w:val="批注框文本 Char"/>
    <w:link w:val="11"/>
    <w:qFormat/>
    <w:uiPriority w:val="0"/>
    <w:rPr>
      <w:rFonts w:ascii="Calibri" w:hAnsi="Calibri" w:eastAsia="宋体" w:cs="Calibri"/>
      <w:sz w:val="18"/>
      <w:szCs w:val="18"/>
    </w:rPr>
  </w:style>
  <w:style w:type="character" w:customStyle="1" w:styleId="43">
    <w:name w:val="日期 Char"/>
    <w:link w:val="10"/>
    <w:semiHidden/>
    <w:qFormat/>
    <w:uiPriority w:val="0"/>
    <w:rPr>
      <w:rFonts w:ascii="Calibri" w:hAnsi="Calibri" w:cs="Calibri"/>
      <w:kern w:val="2"/>
      <w:sz w:val="21"/>
      <w:szCs w:val="21"/>
    </w:rPr>
  </w:style>
  <w:style w:type="character" w:customStyle="1" w:styleId="44">
    <w:name w:val="NormalCharacter"/>
    <w:qFormat/>
    <w:uiPriority w:val="0"/>
  </w:style>
  <w:style w:type="character" w:customStyle="1" w:styleId="45">
    <w:name w:val="HTML 预设格式 Char"/>
    <w:basedOn w:val="24"/>
    <w:link w:val="17"/>
    <w:qFormat/>
    <w:uiPriority w:val="0"/>
    <w:rPr>
      <w:rFonts w:ascii="黑体" w:hAnsi="Courier New" w:eastAsia="黑体" w:cs="Courier New"/>
      <w:szCs w:val="21"/>
    </w:rPr>
  </w:style>
  <w:style w:type="paragraph" w:customStyle="1" w:styleId="46">
    <w:name w:val="修订2"/>
    <w:hidden/>
    <w:unhideWhenUsed/>
    <w:qFormat/>
    <w:uiPriority w:val="99"/>
    <w:rPr>
      <w:rFonts w:ascii="Calibri" w:hAnsi="Calibri" w:eastAsia="宋体" w:cs="Calibri"/>
      <w:kern w:val="2"/>
      <w:sz w:val="21"/>
      <w:szCs w:val="21"/>
      <w:lang w:val="en-US" w:eastAsia="zh-CN" w:bidi="ar-SA"/>
    </w:rPr>
  </w:style>
  <w:style w:type="character" w:customStyle="1" w:styleId="47">
    <w:name w:val="标题 2 Char"/>
    <w:basedOn w:val="24"/>
    <w:link w:val="3"/>
    <w:qFormat/>
    <w:uiPriority w:val="9"/>
    <w:rPr>
      <w:rFonts w:asciiTheme="majorHAnsi" w:hAnsiTheme="majorHAnsi" w:eastAsiaTheme="majorEastAsia" w:cstheme="majorBidi"/>
      <w:b/>
      <w:bCs/>
      <w:kern w:val="2"/>
      <w:sz w:val="32"/>
      <w:szCs w:val="32"/>
    </w:rPr>
  </w:style>
  <w:style w:type="character" w:customStyle="1" w:styleId="48">
    <w:name w:val="正文文本 2 Char"/>
    <w:basedOn w:val="24"/>
    <w:link w:val="16"/>
    <w:qFormat/>
    <w:uiPriority w:val="0"/>
    <w:rPr>
      <w:rFonts w:ascii="Calibri" w:hAnsi="Calibri" w:cs="Calibri"/>
      <w:kern w:val="2"/>
      <w:sz w:val="21"/>
      <w:szCs w:val="21"/>
    </w:rPr>
  </w:style>
  <w:style w:type="paragraph" w:customStyle="1" w:styleId="49">
    <w:name w:val="表格文字"/>
    <w:basedOn w:val="1"/>
    <w:qFormat/>
    <w:uiPriority w:val="0"/>
    <w:pPr>
      <w:jc w:val="left"/>
    </w:pPr>
    <w:rPr>
      <w:rFonts w:ascii="宋体" w:hAnsi="宋体" w:eastAsia="仿宋" w:cs="Times New Roman"/>
      <w:bCs/>
      <w:spacing w:val="10"/>
    </w:rPr>
  </w:style>
  <w:style w:type="paragraph" w:customStyle="1" w:styleId="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纯文本 Char Char"/>
    <w:qFormat/>
    <w:uiPriority w:val="0"/>
    <w:rPr>
      <w:rFonts w:ascii="宋体" w:hAnsi="Courier New" w:eastAsia="宋体"/>
      <w:kern w:val="2"/>
      <w:sz w:val="21"/>
      <w:lang w:val="en-US" w:eastAsia="zh-CN" w:bidi="ar-SA"/>
    </w:rPr>
  </w:style>
  <w:style w:type="character" w:customStyle="1" w:styleId="53">
    <w:name w:val="正文缩进 Char"/>
    <w:link w:val="5"/>
    <w:qFormat/>
    <w:uiPriority w:val="0"/>
    <w:rPr>
      <w:rFonts w:ascii="楷体_GB2312" w:hAnsi="Calibri" w:eastAsia="楷体_GB2312" w:cs="Calibri"/>
      <w:sz w:val="32"/>
      <w:szCs w:val="32"/>
    </w:rPr>
  </w:style>
  <w:style w:type="character" w:customStyle="1" w:styleId="54">
    <w:name w:val="正文文本 Char"/>
    <w:basedOn w:val="24"/>
    <w:link w:val="7"/>
    <w:qFormat/>
    <w:uiPriority w:val="0"/>
    <w:rPr>
      <w:rFonts w:ascii="Calibri" w:hAnsi="Calibri" w:cs="Calibri"/>
      <w:kern w:val="2"/>
      <w:sz w:val="21"/>
      <w:szCs w:val="21"/>
    </w:rPr>
  </w:style>
  <w:style w:type="table" w:customStyle="1" w:styleId="55">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5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7"/>
      <w:szCs w:val="27"/>
      <w:lang w:eastAsia="en-US"/>
    </w:rPr>
  </w:style>
  <w:style w:type="paragraph" w:customStyle="1" w:styleId="57">
    <w:name w:val="段落1"/>
    <w:basedOn w:val="1"/>
    <w:qFormat/>
    <w:uiPriority w:val="0"/>
    <w:pPr>
      <w:spacing w:line="360" w:lineRule="auto"/>
      <w:ind w:firstLine="200" w:firstLineChars="200"/>
    </w:pPr>
    <w:rPr>
      <w:rFonts w:ascii="Times New Roman" w:hAnsi="Times New Roman" w:cs="Times New Roman"/>
      <w:sz w:val="24"/>
      <w:szCs w:val="20"/>
    </w:rPr>
  </w:style>
  <w:style w:type="paragraph" w:customStyle="1" w:styleId="58">
    <w:name w:val="Table Paragraph"/>
    <w:basedOn w:val="1"/>
    <w:autoRedefine/>
    <w:qFormat/>
    <w:uiPriority w:val="1"/>
    <w:rPr>
      <w:rFonts w:ascii="宋体" w:hAnsi="宋体" w:cs="宋体"/>
      <w:szCs w:val="24"/>
      <w:lang w:val="zh-CN" w:bidi="zh-CN"/>
    </w:rPr>
  </w:style>
  <w:style w:type="paragraph" w:customStyle="1" w:styleId="59">
    <w:name w:val="正文首行缩进两字符"/>
    <w:basedOn w:val="1"/>
    <w:autoRedefine/>
    <w:qFormat/>
    <w:uiPriority w:val="0"/>
    <w:pPr>
      <w:spacing w:line="360" w:lineRule="auto"/>
      <w:ind w:firstLine="200" w:firstLineChars="200"/>
    </w:pPr>
    <w:rPr>
      <w:rFonts w:ascii="Times New Roman" w:hAnsi="Times New Roman" w:cs="Times New Roman"/>
      <w:szCs w:val="24"/>
    </w:rPr>
  </w:style>
  <w:style w:type="character" w:customStyle="1" w:styleId="60">
    <w:name w:val="正文首行缩进 Char"/>
    <w:basedOn w:val="54"/>
    <w:link w:val="20"/>
    <w:semiHidden/>
    <w:qFormat/>
    <w:uiPriority w:val="0"/>
  </w:style>
  <w:style w:type="paragraph" w:customStyle="1" w:styleId="61">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46</Pages>
  <Words>17376</Words>
  <Characters>18354</Characters>
  <Lines>178</Lines>
  <Paragraphs>50</Paragraphs>
  <TotalTime>99</TotalTime>
  <ScaleCrop>false</ScaleCrop>
  <LinksUpToDate>false</LinksUpToDate>
  <CharactersWithSpaces>18742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2021-12-09T07:55:00Z</dcterms:created>
  <dc:creator>宋翰文</dc:creator>
  <cp:lastModifiedBy>               W°</cp:lastModifiedBy>
  <cp:lastPrinted>2025-07-01T01:12:00Z</cp:lastPrinted>
  <dcterms:modified xsi:type="dcterms:W3CDTF">2025-07-02T02:19:48Z</dcterms:modified>
  <dc:title>海南大学海甸校区</dc:title>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A20FE053CEFB4C558CE4E9C7FECDD968_13</vt:lpwstr>
  </property>
  <property fmtid="{D5CDD505-2E9C-101B-9397-08002B2CF9AE}" pid="4" name="KSOTemplateDocerSaveRecord">
    <vt:lpwstr>eyJoZGlkIjoiZmVlN2EwODg5YWUxYjJmZmUwYTZmMzRhMjY2N2RkY2YiLCJ1c2VySWQiOiIyNzA0NDYwMDIifQ==</vt:lpwstr>
  </property>
</Properties>
</file>