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69777">
      <w:pPr>
        <w:spacing w:line="360" w:lineRule="auto"/>
        <w:jc w:val="center"/>
        <w:rPr>
          <w:rFonts w:hint="eastAsia"/>
          <w:color w:val="000000"/>
          <w:highlight w:val="none"/>
        </w:rPr>
      </w:pPr>
      <w:bookmarkStart w:id="0" w:name="_GoBack"/>
      <w:r>
        <w:rPr>
          <w:rFonts w:hint="eastAsia"/>
          <w:b/>
          <w:color w:val="000000"/>
          <w:sz w:val="32"/>
          <w:szCs w:val="32"/>
          <w:highlight w:val="none"/>
        </w:rPr>
        <w:t>综合评分表</w:t>
      </w:r>
    </w:p>
    <w:bookmarkEnd w:id="0"/>
    <w:tbl>
      <w:tblPr>
        <w:tblStyle w:val="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50"/>
        <w:gridCol w:w="765"/>
        <w:gridCol w:w="5595"/>
      </w:tblGrid>
      <w:tr w14:paraId="42AD1A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noWrap w:val="0"/>
            <w:vAlign w:val="center"/>
          </w:tcPr>
          <w:p w14:paraId="1A9CA49F">
            <w:pPr>
              <w:widowControl/>
              <w:ind w:left="5" w:leftChars="-47" w:right="-103" w:rightChars="-49" w:hanging="104" w:hangingChars="43"/>
              <w:jc w:val="center"/>
              <w:rPr>
                <w:rFonts w:hint="default" w:ascii="宋体" w:hAnsi="宋体" w:eastAsia="宋体" w:cs="宋体"/>
                <w:b/>
                <w:bCs/>
                <w:sz w:val="24"/>
                <w:lang w:val="en-US" w:eastAsia="zh-CN"/>
              </w:rPr>
            </w:pPr>
            <w:r>
              <w:rPr>
                <w:rFonts w:hint="eastAsia" w:ascii="宋体" w:hAnsi="宋体" w:cs="宋体"/>
                <w:b/>
                <w:bCs/>
                <w:sz w:val="24"/>
                <w:lang w:val="en-US" w:eastAsia="zh-CN"/>
              </w:rPr>
              <w:t>评审因素</w:t>
            </w:r>
          </w:p>
        </w:tc>
        <w:tc>
          <w:tcPr>
            <w:tcW w:w="1250" w:type="dxa"/>
            <w:noWrap w:val="0"/>
            <w:vAlign w:val="center"/>
          </w:tcPr>
          <w:p w14:paraId="7863E982">
            <w:pPr>
              <w:widowControl/>
              <w:jc w:val="center"/>
              <w:rPr>
                <w:rFonts w:hint="eastAsia" w:ascii="宋体" w:hAnsi="宋体" w:eastAsia="宋体" w:cs="宋体"/>
                <w:b/>
                <w:bCs/>
                <w:sz w:val="24"/>
                <w:lang w:val="en-US" w:eastAsia="zh-CN"/>
              </w:rPr>
            </w:pPr>
            <w:r>
              <w:rPr>
                <w:rFonts w:hint="eastAsia" w:ascii="宋体" w:hAnsi="宋体" w:cs="宋体"/>
                <w:b/>
                <w:bCs/>
                <w:sz w:val="24"/>
              </w:rPr>
              <w:t>评</w:t>
            </w:r>
            <w:r>
              <w:rPr>
                <w:rFonts w:hint="eastAsia" w:ascii="宋体" w:hAnsi="宋体" w:cs="宋体"/>
                <w:b/>
                <w:bCs/>
                <w:sz w:val="24"/>
                <w:lang w:val="en-US" w:eastAsia="zh-CN"/>
              </w:rPr>
              <w:t>比项目</w:t>
            </w:r>
          </w:p>
        </w:tc>
        <w:tc>
          <w:tcPr>
            <w:tcW w:w="765" w:type="dxa"/>
            <w:noWrap w:val="0"/>
            <w:vAlign w:val="center"/>
          </w:tcPr>
          <w:p w14:paraId="0E5EFE1E">
            <w:pPr>
              <w:widowControl/>
              <w:jc w:val="center"/>
              <w:rPr>
                <w:rFonts w:hint="eastAsia" w:ascii="宋体" w:hAnsi="宋体" w:cs="宋体"/>
                <w:b/>
                <w:bCs/>
                <w:sz w:val="24"/>
              </w:rPr>
            </w:pPr>
            <w:r>
              <w:rPr>
                <w:rFonts w:hint="eastAsia" w:ascii="宋体" w:hAnsi="宋体" w:cs="宋体"/>
                <w:b/>
                <w:bCs/>
                <w:sz w:val="24"/>
              </w:rPr>
              <w:t>分值</w:t>
            </w:r>
          </w:p>
        </w:tc>
        <w:tc>
          <w:tcPr>
            <w:tcW w:w="5595" w:type="dxa"/>
            <w:noWrap w:val="0"/>
            <w:vAlign w:val="center"/>
          </w:tcPr>
          <w:p w14:paraId="72B2A933">
            <w:pPr>
              <w:widowControl/>
              <w:jc w:val="center"/>
              <w:rPr>
                <w:rFonts w:hint="eastAsia" w:ascii="宋体" w:hAnsi="宋体" w:cs="宋体"/>
                <w:b/>
                <w:bCs/>
                <w:sz w:val="24"/>
              </w:rPr>
            </w:pPr>
            <w:r>
              <w:rPr>
                <w:rFonts w:hint="eastAsia" w:ascii="宋体" w:hAnsi="宋体" w:cs="宋体"/>
                <w:b/>
                <w:bCs/>
                <w:sz w:val="24"/>
              </w:rPr>
              <w:t>评分标准说明</w:t>
            </w:r>
          </w:p>
        </w:tc>
      </w:tr>
      <w:tr w14:paraId="45C196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restart"/>
            <w:noWrap w:val="0"/>
            <w:vAlign w:val="center"/>
          </w:tcPr>
          <w:p w14:paraId="605F5363">
            <w:pPr>
              <w:snapToGrid w:val="0"/>
              <w:jc w:val="center"/>
              <w:rPr>
                <w:rFonts w:hint="eastAsia" w:ascii="宋体" w:hAnsi="宋体" w:cs="宋体"/>
                <w:bCs/>
                <w:sz w:val="24"/>
              </w:rPr>
            </w:pPr>
            <w:r>
              <w:rPr>
                <w:rFonts w:hint="eastAsia" w:ascii="宋体" w:hAnsi="宋体" w:cs="宋体"/>
                <w:sz w:val="24"/>
                <w:lang w:val="en-US" w:eastAsia="zh-CN"/>
              </w:rPr>
              <w:t>一、技术部分（60分）</w:t>
            </w:r>
          </w:p>
        </w:tc>
        <w:tc>
          <w:tcPr>
            <w:tcW w:w="1250" w:type="dxa"/>
            <w:noWrap w:val="0"/>
            <w:vAlign w:val="center"/>
          </w:tcPr>
          <w:p w14:paraId="397F0EE4">
            <w:pPr>
              <w:widowControl/>
              <w:jc w:val="center"/>
              <w:rPr>
                <w:rFonts w:hint="default" w:ascii="宋体" w:hAnsi="宋体" w:eastAsia="宋体" w:cs="宋体"/>
                <w:sz w:val="24"/>
                <w:lang w:val="en-US" w:eastAsia="zh-CN"/>
              </w:rPr>
            </w:pPr>
            <w:r>
              <w:rPr>
                <w:rFonts w:hint="eastAsia" w:ascii="宋体" w:hAnsi="宋体" w:cs="宋体"/>
                <w:sz w:val="24"/>
              </w:rPr>
              <w:t>需求分析</w:t>
            </w:r>
            <w:r>
              <w:rPr>
                <w:rFonts w:hint="eastAsia" w:ascii="宋体" w:hAnsi="宋体" w:cs="宋体"/>
                <w:sz w:val="24"/>
                <w:lang w:eastAsia="zh-CN"/>
              </w:rPr>
              <w:t>、</w:t>
            </w:r>
            <w:r>
              <w:rPr>
                <w:rFonts w:hint="eastAsia" w:ascii="宋体" w:hAnsi="宋体" w:cs="宋体"/>
                <w:sz w:val="24"/>
                <w:lang w:val="en-US" w:eastAsia="zh-CN"/>
              </w:rPr>
              <w:t>理解</w:t>
            </w:r>
          </w:p>
        </w:tc>
        <w:tc>
          <w:tcPr>
            <w:tcW w:w="765" w:type="dxa"/>
            <w:noWrap w:val="0"/>
            <w:vAlign w:val="center"/>
          </w:tcPr>
          <w:p w14:paraId="7EA83C46">
            <w:pPr>
              <w:jc w:val="center"/>
              <w:rPr>
                <w:rFonts w:hint="default" w:ascii="宋体" w:hAnsi="宋体" w:cs="宋体"/>
                <w:bCs/>
                <w:sz w:val="24"/>
                <w:lang w:val="en-US" w:eastAsia="zh-CN"/>
              </w:rPr>
            </w:pPr>
            <w:r>
              <w:rPr>
                <w:rFonts w:hint="eastAsia" w:ascii="宋体" w:hAnsi="宋体" w:cs="宋体"/>
                <w:bCs/>
                <w:sz w:val="24"/>
                <w:lang w:val="en-US" w:eastAsia="zh-CN"/>
              </w:rPr>
              <w:t>10分</w:t>
            </w:r>
          </w:p>
        </w:tc>
        <w:tc>
          <w:tcPr>
            <w:tcW w:w="5595" w:type="dxa"/>
            <w:noWrap w:val="0"/>
            <w:vAlign w:val="center"/>
          </w:tcPr>
          <w:p w14:paraId="2797959D">
            <w:p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rPr>
              <w:t>根据</w:t>
            </w:r>
            <w:r>
              <w:rPr>
                <w:rFonts w:ascii="宋体" w:hAnsi="宋体" w:cs="宋体"/>
                <w:color w:val="000000"/>
                <w:sz w:val="21"/>
                <w:szCs w:val="21"/>
              </w:rPr>
              <w:t>供应商</w:t>
            </w:r>
            <w:r>
              <w:rPr>
                <w:rFonts w:hint="eastAsia" w:ascii="宋体" w:hAnsi="宋体" w:cs="宋体"/>
                <w:color w:val="000000"/>
                <w:sz w:val="21"/>
                <w:szCs w:val="21"/>
              </w:rPr>
              <w:t>对本服务项目背景了解</w:t>
            </w:r>
            <w:r>
              <w:rPr>
                <w:rFonts w:hint="eastAsia" w:ascii="宋体" w:hAnsi="宋体" w:cs="宋体"/>
                <w:color w:val="000000"/>
                <w:sz w:val="21"/>
                <w:szCs w:val="21"/>
                <w:lang w:val="en-US" w:eastAsia="zh-CN"/>
              </w:rPr>
              <w:t>、</w:t>
            </w:r>
            <w:r>
              <w:rPr>
                <w:rFonts w:hint="eastAsia" w:ascii="宋体" w:hAnsi="宋体" w:cs="宋体"/>
                <w:color w:val="000000"/>
                <w:sz w:val="21"/>
                <w:szCs w:val="21"/>
              </w:rPr>
              <w:t>需求认识、把握项目定位、合理化建议和相应解决方法进行综合评分：</w:t>
            </w:r>
          </w:p>
          <w:p w14:paraId="0D81C3D2">
            <w:p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rPr>
              <w:t>1.对项目背景了解分析透彻明了，思路清晰的，得</w:t>
            </w:r>
            <w:r>
              <w:rPr>
                <w:rFonts w:hint="eastAsia" w:ascii="宋体" w:hAnsi="宋体" w:cs="宋体"/>
                <w:color w:val="000000"/>
                <w:sz w:val="21"/>
                <w:szCs w:val="21"/>
                <w:lang w:val="en-US" w:eastAsia="zh-CN"/>
              </w:rPr>
              <w:t>4</w:t>
            </w:r>
            <w:r>
              <w:rPr>
                <w:rFonts w:hint="eastAsia" w:ascii="宋体" w:hAnsi="宋体" w:cs="宋体"/>
                <w:color w:val="000000"/>
                <w:sz w:val="21"/>
                <w:szCs w:val="21"/>
              </w:rPr>
              <w:t>分，项目背景了解存在缺陷或不足的扣1分，缺失本项内容扣</w:t>
            </w:r>
            <w:r>
              <w:rPr>
                <w:rFonts w:hint="eastAsia" w:ascii="宋体" w:hAnsi="宋体" w:cs="宋体"/>
                <w:color w:val="000000"/>
                <w:sz w:val="21"/>
                <w:szCs w:val="21"/>
                <w:lang w:val="en-US" w:eastAsia="zh-CN"/>
              </w:rPr>
              <w:t>4</w:t>
            </w:r>
            <w:r>
              <w:rPr>
                <w:rFonts w:hint="eastAsia" w:ascii="宋体" w:hAnsi="宋体" w:cs="宋体"/>
                <w:color w:val="000000"/>
                <w:sz w:val="21"/>
                <w:szCs w:val="21"/>
              </w:rPr>
              <w:t>分；</w:t>
            </w:r>
          </w:p>
          <w:p w14:paraId="0AC9BF4C">
            <w:p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rPr>
              <w:t>2.对项目需求认识理解准确完整的，得2分，对需求认识存在缺陷或不足的扣1分，缺失本项内容扣2分；</w:t>
            </w:r>
          </w:p>
          <w:p w14:paraId="636003E8">
            <w:p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rPr>
              <w:t>3.把握项目定位，能够满足采购需求，得2分，对项目定位存在缺陷或不足的扣1分，缺失本项内容扣2分；</w:t>
            </w:r>
          </w:p>
          <w:p w14:paraId="407F6D69">
            <w:pPr>
              <w:autoSpaceDE w:val="0"/>
              <w:autoSpaceDN w:val="0"/>
              <w:adjustRightInd w:val="0"/>
              <w:rPr>
                <w:sz w:val="21"/>
                <w:szCs w:val="21"/>
                <w:lang w:val="en-US" w:eastAsia="zh-CN"/>
              </w:rPr>
            </w:pPr>
            <w:r>
              <w:rPr>
                <w:rFonts w:hint="eastAsia" w:ascii="宋体" w:hAnsi="宋体" w:cs="宋体"/>
                <w:color w:val="000000"/>
                <w:sz w:val="21"/>
                <w:szCs w:val="21"/>
              </w:rPr>
              <w:t>4.对项目所提供的合理化建议以及相应解决方法操作性强、完善务实的得2分，对项目所提供的合理化建议以及相应解决方法存在缺陷或不足的扣1分，缺失本项内容扣2分；</w:t>
            </w:r>
          </w:p>
          <w:p w14:paraId="2B12C64A">
            <w:pPr>
              <w:pStyle w:val="4"/>
              <w:rPr>
                <w:rFonts w:hint="eastAsia" w:ascii="宋体" w:hAnsi="宋体" w:cs="宋体"/>
                <w:sz w:val="24"/>
                <w:lang w:val="en-US" w:eastAsia="zh-CN"/>
              </w:rPr>
            </w:pPr>
            <w:r>
              <w:rPr>
                <w:rFonts w:hint="eastAsia" w:ascii="宋体" w:hAnsi="宋体" w:cs="宋体"/>
                <w:sz w:val="21"/>
                <w:szCs w:val="21"/>
                <w:lang w:val="en-US" w:eastAsia="zh-CN"/>
              </w:rPr>
              <w:t>注：本项满分共10分。缺陷是指：分析理解存在不适用项目特性的情形、</w:t>
            </w:r>
            <w:r>
              <w:t>内容差距较大，叙述不全面的，内容不满足采购需求</w:t>
            </w:r>
            <w:r>
              <w:rPr>
                <w:rFonts w:hint="eastAsia"/>
                <w:lang w:eastAsia="zh-CN"/>
              </w:rPr>
              <w:t>，</w:t>
            </w:r>
            <w:r>
              <w:rPr>
                <w:rFonts w:hint="eastAsia" w:ascii="宋体" w:hAnsi="宋体" w:cs="宋体"/>
                <w:sz w:val="21"/>
                <w:szCs w:val="21"/>
                <w:lang w:val="en-US" w:eastAsia="zh-CN"/>
              </w:rPr>
              <w:t>不利于项目实施，不可能实现的情形。</w:t>
            </w:r>
          </w:p>
        </w:tc>
      </w:tr>
      <w:tr w14:paraId="754EFE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3B37D33F">
            <w:pPr>
              <w:snapToGrid w:val="0"/>
              <w:jc w:val="center"/>
              <w:rPr>
                <w:rFonts w:hint="eastAsia" w:ascii="宋体" w:hAnsi="宋体" w:cs="宋体"/>
                <w:bCs/>
                <w:sz w:val="24"/>
              </w:rPr>
            </w:pPr>
          </w:p>
        </w:tc>
        <w:tc>
          <w:tcPr>
            <w:tcW w:w="1250" w:type="dxa"/>
            <w:noWrap w:val="0"/>
            <w:vAlign w:val="center"/>
          </w:tcPr>
          <w:p w14:paraId="3F4FD425">
            <w:pPr>
              <w:widowControl/>
              <w:jc w:val="center"/>
              <w:rPr>
                <w:rFonts w:hint="eastAsia" w:ascii="宋体" w:hAnsi="宋体" w:eastAsia="宋体" w:cs="宋体"/>
                <w:sz w:val="24"/>
                <w:lang w:val="en-US" w:eastAsia="zh-CN"/>
              </w:rPr>
            </w:pPr>
            <w:r>
              <w:rPr>
                <w:rFonts w:hint="eastAsia" w:ascii="宋体" w:hAnsi="宋体" w:cs="宋体"/>
                <w:sz w:val="24"/>
                <w:lang w:val="en-US" w:eastAsia="zh-CN"/>
              </w:rPr>
              <w:t>服务方案</w:t>
            </w:r>
          </w:p>
        </w:tc>
        <w:tc>
          <w:tcPr>
            <w:tcW w:w="765" w:type="dxa"/>
            <w:noWrap w:val="0"/>
            <w:vAlign w:val="center"/>
          </w:tcPr>
          <w:p w14:paraId="58D79A82">
            <w:pPr>
              <w:jc w:val="center"/>
              <w:rPr>
                <w:rFonts w:hint="default" w:ascii="宋体" w:hAnsi="宋体" w:eastAsia="宋体" w:cs="宋体"/>
                <w:bCs/>
                <w:sz w:val="24"/>
                <w:lang w:val="en-US" w:eastAsia="zh-CN"/>
              </w:rPr>
            </w:pPr>
            <w:r>
              <w:rPr>
                <w:rFonts w:hint="eastAsia" w:ascii="宋体" w:hAnsi="宋体" w:cs="宋体"/>
                <w:bCs/>
                <w:sz w:val="24"/>
                <w:lang w:val="en-US" w:eastAsia="zh-CN"/>
              </w:rPr>
              <w:t>12分</w:t>
            </w:r>
          </w:p>
        </w:tc>
        <w:tc>
          <w:tcPr>
            <w:tcW w:w="5595" w:type="dxa"/>
            <w:noWrap w:val="0"/>
            <w:vAlign w:val="center"/>
          </w:tcPr>
          <w:p w14:paraId="04FC34E6">
            <w:pPr>
              <w:pStyle w:val="4"/>
              <w:rPr>
                <w:rFonts w:hint="eastAsia" w:ascii="宋体" w:hAnsi="宋体" w:eastAsia="宋体" w:cs="宋体"/>
              </w:rPr>
            </w:pPr>
            <w:r>
              <w:rPr>
                <w:rFonts w:hint="eastAsia" w:ascii="宋体" w:hAnsi="宋体" w:eastAsia="宋体" w:cs="宋体"/>
              </w:rPr>
              <w:t>根据投标人针对本项目采购需求服务内容编制的服务方案进行评分：</w:t>
            </w:r>
          </w:p>
          <w:p w14:paraId="275C5A3C">
            <w:pPr>
              <w:pStyle w:val="4"/>
              <w:numPr>
                <w:ilvl w:val="0"/>
                <w:numId w:val="0"/>
              </w:numPr>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工作目标明确，方案详尽合理，工作原则清晰、明确，</w:t>
            </w:r>
            <w:r>
              <w:rPr>
                <w:rFonts w:hint="eastAsia" w:ascii="宋体" w:hAnsi="宋体" w:eastAsia="宋体" w:cs="宋体"/>
                <w:sz w:val="21"/>
                <w:szCs w:val="21"/>
                <w:lang w:val="en-US" w:eastAsia="zh-CN"/>
              </w:rPr>
              <w:t>提供的合理化建议以及解决方案操作性强</w:t>
            </w:r>
            <w:r>
              <w:rPr>
                <w:rFonts w:hint="eastAsia" w:ascii="宋体" w:hAnsi="宋体" w:eastAsia="宋体" w:cs="宋体"/>
              </w:rPr>
              <w:t>得1</w:t>
            </w:r>
            <w:r>
              <w:rPr>
                <w:rFonts w:hint="eastAsia" w:ascii="宋体" w:hAnsi="宋体" w:cs="宋体"/>
                <w:lang w:val="en-US" w:eastAsia="zh-CN"/>
              </w:rPr>
              <w:t>2</w:t>
            </w:r>
            <w:r>
              <w:rPr>
                <w:rFonts w:hint="eastAsia" w:ascii="宋体" w:hAnsi="宋体" w:eastAsia="宋体" w:cs="宋体"/>
              </w:rPr>
              <w:t>分；</w:t>
            </w:r>
          </w:p>
          <w:p w14:paraId="372088F9">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无内容或内容表述与本项目无关或不相符的每项扣4分；</w:t>
            </w:r>
          </w:p>
          <w:p w14:paraId="61E510E5">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不符合项目实际不足以支撑项目的每项扣3分；</w:t>
            </w:r>
          </w:p>
          <w:p w14:paraId="59C4CA9B">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内容缺乏可行性、操作性，与项目联系不紧密的每项扣2分；</w:t>
            </w:r>
          </w:p>
          <w:p w14:paraId="6086E639">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内容存在瑕疵的每项扣1分。</w:t>
            </w:r>
          </w:p>
          <w:p w14:paraId="09D68D08">
            <w:pPr>
              <w:pStyle w:val="4"/>
              <w:rPr>
                <w:rFonts w:hint="default" w:ascii="宋体" w:hAnsi="宋体" w:cs="宋体"/>
                <w:sz w:val="24"/>
                <w:lang w:val="en-US" w:eastAsia="zh-CN"/>
              </w:rPr>
            </w:pPr>
            <w:r>
              <w:rPr>
                <w:rFonts w:hint="eastAsia" w:ascii="宋体" w:hAnsi="宋体" w:eastAsia="宋体" w:cs="宋体"/>
                <w:sz w:val="21"/>
                <w:szCs w:val="21"/>
                <w:lang w:val="en-US" w:eastAsia="zh-CN"/>
              </w:rPr>
              <w:t>注：本项满分共10分。缺陷是指：方案存在不适用项目特性的情形、方案不合理，套用其他项目方案、内容不完整，不利于项目实施，不可能实现的情形。</w:t>
            </w:r>
          </w:p>
        </w:tc>
      </w:tr>
      <w:tr w14:paraId="721E15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363813B4">
            <w:pPr>
              <w:snapToGrid w:val="0"/>
              <w:jc w:val="center"/>
              <w:rPr>
                <w:rFonts w:hint="eastAsia" w:ascii="宋体" w:hAnsi="宋体" w:cs="宋体"/>
                <w:bCs/>
                <w:sz w:val="24"/>
              </w:rPr>
            </w:pPr>
          </w:p>
        </w:tc>
        <w:tc>
          <w:tcPr>
            <w:tcW w:w="1250" w:type="dxa"/>
            <w:noWrap w:val="0"/>
            <w:vAlign w:val="center"/>
          </w:tcPr>
          <w:p w14:paraId="7882EB66">
            <w:pPr>
              <w:widowControl/>
              <w:jc w:val="center"/>
              <w:rPr>
                <w:rFonts w:hint="default" w:ascii="宋体" w:hAnsi="宋体" w:cs="宋体"/>
                <w:sz w:val="24"/>
                <w:lang w:val="en-US" w:eastAsia="zh-CN"/>
              </w:rPr>
            </w:pPr>
            <w:r>
              <w:rPr>
                <w:rFonts w:hint="eastAsia" w:ascii="宋体" w:hAnsi="宋体" w:cs="宋体"/>
                <w:sz w:val="24"/>
                <w:lang w:val="en-US" w:eastAsia="zh-CN"/>
              </w:rPr>
              <w:t>规程设计</w:t>
            </w:r>
          </w:p>
        </w:tc>
        <w:tc>
          <w:tcPr>
            <w:tcW w:w="765" w:type="dxa"/>
            <w:noWrap w:val="0"/>
            <w:vAlign w:val="center"/>
          </w:tcPr>
          <w:p w14:paraId="79188DD6">
            <w:pPr>
              <w:jc w:val="center"/>
              <w:rPr>
                <w:rFonts w:hint="default" w:ascii="宋体" w:hAnsi="宋体" w:cs="宋体"/>
                <w:bCs/>
                <w:sz w:val="24"/>
                <w:lang w:val="en-US" w:eastAsia="zh-CN"/>
              </w:rPr>
            </w:pPr>
            <w:r>
              <w:rPr>
                <w:rFonts w:hint="eastAsia" w:ascii="宋体" w:hAnsi="宋体" w:cs="宋体"/>
                <w:bCs/>
                <w:sz w:val="24"/>
                <w:lang w:val="en-US" w:eastAsia="zh-CN"/>
              </w:rPr>
              <w:t>10分</w:t>
            </w:r>
          </w:p>
        </w:tc>
        <w:tc>
          <w:tcPr>
            <w:tcW w:w="5595" w:type="dxa"/>
            <w:noWrap w:val="0"/>
            <w:vAlign w:val="center"/>
          </w:tcPr>
          <w:p w14:paraId="3A5DD97B">
            <w:pPr>
              <w:pStyle w:val="4"/>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评审流程设计</w:t>
            </w:r>
            <w:r>
              <w:rPr>
                <w:rFonts w:hint="eastAsia" w:ascii="宋体" w:hAnsi="宋体" w:cs="宋体"/>
                <w:color w:val="000000"/>
                <w:sz w:val="21"/>
                <w:szCs w:val="21"/>
              </w:rPr>
              <w:t>合理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步骤清晰，</w:t>
            </w:r>
            <w:r>
              <w:rPr>
                <w:rFonts w:hint="eastAsia" w:ascii="宋体" w:hAnsi="宋体" w:cs="宋体"/>
                <w:color w:val="000000"/>
                <w:sz w:val="21"/>
                <w:szCs w:val="21"/>
              </w:rPr>
              <w:t>分工责任明确</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高效合规等内容综合评分：</w:t>
            </w:r>
          </w:p>
          <w:p w14:paraId="398EF133">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评审规程设计科学、逻辑严谨，符合项目特性及行业规范得2分；基本合理但存在细节瑕疵得1分；设计不科学、不符合实际得0分。</w:t>
            </w:r>
          </w:p>
          <w:p w14:paraId="354A7F06">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实施步骤清晰具体、环节衔接顺畅，流程细节明确得2分；步骤较清晰但细节不足得1分；流程混乱、步骤模糊得0分。</w:t>
            </w:r>
          </w:p>
          <w:p w14:paraId="33D79D08">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各环节进度规划合理，时间节点明确，能保障评审高效推进得2分；进度安排基本合理但存在少量不合理之处得1分；进度混乱、无规划得0分。</w:t>
            </w:r>
          </w:p>
          <w:p w14:paraId="7B530EE8">
            <w:pPr>
              <w:pStyle w:val="4"/>
              <w:numPr>
                <w:ilvl w:val="0"/>
                <w:numId w:val="0"/>
              </w:numPr>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参与方分工清晰，责任边界明确，无推诿空间得2分；分工基本明确但部分责任模糊得1分；分工混乱、责任不清得0分。</w:t>
            </w:r>
          </w:p>
          <w:p w14:paraId="42CE84DA">
            <w:pPr>
              <w:pStyle w:val="4"/>
              <w:numPr>
                <w:ilvl w:val="0"/>
                <w:numId w:val="0"/>
              </w:numPr>
              <w:rPr>
                <w:rFonts w:hint="default"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流程运行高效，符合相关法律法规及制度要求得2分；基本合规但效率偏低得1分；不合规或效率低下得0分。</w:t>
            </w:r>
          </w:p>
          <w:p w14:paraId="3CB089CA">
            <w:pPr>
              <w:pStyle w:val="4"/>
              <w:rPr>
                <w:rFonts w:hint="eastAsia" w:ascii="宋体" w:hAnsi="宋体" w:cs="宋体"/>
                <w:sz w:val="21"/>
                <w:szCs w:val="21"/>
                <w:lang w:val="en-US" w:eastAsia="zh-CN"/>
              </w:rPr>
            </w:pPr>
            <w:r>
              <w:rPr>
                <w:rFonts w:hint="eastAsia" w:ascii="宋体" w:hAnsi="宋体" w:cs="宋体"/>
                <w:sz w:val="21"/>
                <w:szCs w:val="21"/>
                <w:lang w:val="en-US" w:eastAsia="zh-CN"/>
              </w:rPr>
              <w:t>注：本项满分共10分。</w:t>
            </w:r>
          </w:p>
        </w:tc>
      </w:tr>
      <w:tr w14:paraId="798AB7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09" w:type="dxa"/>
            <w:vMerge w:val="continue"/>
            <w:noWrap w:val="0"/>
            <w:vAlign w:val="center"/>
          </w:tcPr>
          <w:p w14:paraId="1B321198">
            <w:pPr>
              <w:snapToGrid w:val="0"/>
              <w:jc w:val="center"/>
              <w:rPr>
                <w:rFonts w:hint="eastAsia" w:ascii="宋体" w:hAnsi="宋体" w:cs="宋体"/>
                <w:bCs/>
                <w:sz w:val="24"/>
              </w:rPr>
            </w:pPr>
          </w:p>
        </w:tc>
        <w:tc>
          <w:tcPr>
            <w:tcW w:w="1250" w:type="dxa"/>
            <w:noWrap w:val="0"/>
            <w:vAlign w:val="center"/>
          </w:tcPr>
          <w:p w14:paraId="5E1CC5CA">
            <w:pPr>
              <w:widowControl/>
              <w:jc w:val="center"/>
              <w:rPr>
                <w:rFonts w:hint="eastAsia" w:ascii="宋体" w:hAnsi="宋体" w:cs="宋体"/>
                <w:sz w:val="24"/>
                <w:lang w:val="en-US" w:eastAsia="zh-CN"/>
              </w:rPr>
            </w:pPr>
            <w:r>
              <w:rPr>
                <w:rFonts w:hint="eastAsia" w:ascii="宋体" w:hAnsi="宋体" w:cs="宋体"/>
                <w:sz w:val="24"/>
                <w:lang w:val="en-US" w:eastAsia="zh-CN"/>
              </w:rPr>
              <w:t>评审指标设计</w:t>
            </w:r>
          </w:p>
        </w:tc>
        <w:tc>
          <w:tcPr>
            <w:tcW w:w="765" w:type="dxa"/>
            <w:noWrap w:val="0"/>
            <w:vAlign w:val="center"/>
          </w:tcPr>
          <w:p w14:paraId="15C4CD27">
            <w:pPr>
              <w:jc w:val="center"/>
              <w:rPr>
                <w:rFonts w:hint="eastAsia" w:ascii="宋体" w:hAnsi="宋体" w:cs="宋体"/>
                <w:bCs/>
                <w:sz w:val="24"/>
                <w:lang w:val="en-US" w:eastAsia="zh-CN"/>
              </w:rPr>
            </w:pPr>
            <w:r>
              <w:rPr>
                <w:rFonts w:hint="eastAsia" w:ascii="宋体" w:hAnsi="宋体" w:cs="宋体"/>
                <w:bCs/>
                <w:sz w:val="24"/>
                <w:lang w:val="en-US" w:eastAsia="zh-CN"/>
              </w:rPr>
              <w:t>8分</w:t>
            </w:r>
          </w:p>
        </w:tc>
        <w:tc>
          <w:tcPr>
            <w:tcW w:w="5595" w:type="dxa"/>
            <w:noWrap w:val="0"/>
            <w:vAlign w:val="center"/>
          </w:tcPr>
          <w:p w14:paraId="0A29F754">
            <w:pPr>
              <w:autoSpaceDE w:val="0"/>
              <w:autoSpaceDN w:val="0"/>
              <w:adjustRightInd w:val="0"/>
              <w:rPr>
                <w:rFonts w:hint="eastAsia" w:ascii="宋体" w:hAnsi="宋体" w:eastAsia="宋体" w:cs="宋体"/>
                <w:color w:val="000000"/>
                <w:sz w:val="21"/>
                <w:szCs w:val="21"/>
                <w:lang w:eastAsia="zh-CN"/>
              </w:rPr>
            </w:pPr>
            <w:r>
              <w:rPr>
                <w:rFonts w:hint="eastAsia" w:ascii="宋体" w:hAnsi="宋体" w:cs="宋体"/>
                <w:color w:val="000000"/>
                <w:sz w:val="21"/>
                <w:szCs w:val="21"/>
              </w:rPr>
              <w:t>根据</w:t>
            </w:r>
            <w:r>
              <w:rPr>
                <w:rFonts w:hint="eastAsia" w:ascii="宋体" w:hAnsi="宋体" w:cs="宋体"/>
                <w:color w:val="000000"/>
                <w:sz w:val="21"/>
                <w:szCs w:val="21"/>
                <w:lang w:val="en-US" w:eastAsia="zh-CN"/>
              </w:rPr>
              <w:t>评审项目</w:t>
            </w:r>
            <w:r>
              <w:rPr>
                <w:rFonts w:hint="eastAsia" w:ascii="宋体" w:hAnsi="宋体" w:cs="宋体"/>
                <w:color w:val="000000"/>
                <w:sz w:val="21"/>
                <w:szCs w:val="21"/>
              </w:rPr>
              <w:t>设计</w:t>
            </w:r>
            <w:r>
              <w:rPr>
                <w:rFonts w:hint="eastAsia" w:ascii="宋体" w:hAnsi="宋体" w:cs="宋体"/>
                <w:color w:val="000000"/>
                <w:sz w:val="21"/>
                <w:szCs w:val="21"/>
                <w:lang w:val="en-US" w:eastAsia="zh-CN"/>
              </w:rPr>
              <w:t>指标体系</w:t>
            </w:r>
            <w:r>
              <w:rPr>
                <w:rFonts w:hint="eastAsia" w:ascii="宋体" w:hAnsi="宋体" w:cs="宋体"/>
                <w:color w:val="000000"/>
                <w:sz w:val="21"/>
                <w:szCs w:val="21"/>
              </w:rPr>
              <w:t>情况（含</w:t>
            </w:r>
            <w:r>
              <w:rPr>
                <w:rFonts w:hint="eastAsia" w:ascii="宋体" w:hAnsi="宋体" w:cs="宋体"/>
                <w:color w:val="000000"/>
                <w:sz w:val="21"/>
                <w:szCs w:val="21"/>
                <w:lang w:val="en-US" w:eastAsia="zh-CN"/>
              </w:rPr>
              <w:t>指标</w:t>
            </w:r>
            <w:r>
              <w:rPr>
                <w:rFonts w:hint="eastAsia" w:ascii="宋体" w:hAnsi="宋体" w:cs="宋体"/>
                <w:color w:val="000000"/>
                <w:sz w:val="21"/>
                <w:szCs w:val="21"/>
              </w:rPr>
              <w:t>设计思路、依据、评价要点等）进行</w:t>
            </w:r>
            <w:r>
              <w:rPr>
                <w:rFonts w:hint="eastAsia" w:ascii="宋体" w:hAnsi="宋体" w:cs="宋体"/>
                <w:color w:val="000000"/>
                <w:sz w:val="21"/>
                <w:szCs w:val="21"/>
                <w:lang w:val="en-US" w:eastAsia="zh-CN"/>
              </w:rPr>
              <w:t>综合</w:t>
            </w:r>
            <w:r>
              <w:rPr>
                <w:rFonts w:hint="eastAsia" w:ascii="宋体" w:hAnsi="宋体" w:cs="宋体"/>
                <w:color w:val="000000"/>
                <w:sz w:val="21"/>
                <w:szCs w:val="21"/>
              </w:rPr>
              <w:t>评分</w:t>
            </w:r>
            <w:r>
              <w:rPr>
                <w:rFonts w:hint="eastAsia" w:ascii="宋体" w:hAnsi="宋体" w:cs="宋体"/>
                <w:color w:val="000000"/>
                <w:sz w:val="21"/>
                <w:szCs w:val="21"/>
                <w:lang w:eastAsia="zh-CN"/>
              </w:rPr>
              <w:t>：</w:t>
            </w:r>
          </w:p>
          <w:p w14:paraId="4BC65B95">
            <w:pPr>
              <w:numPr>
                <w:ilvl w:val="0"/>
                <w:numId w:val="0"/>
              </w:num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指标体系设计思路科学、可操作性强得2分，存在缺陷或不足的扣1分，缺失本项内容扣2分；</w:t>
            </w:r>
          </w:p>
          <w:p w14:paraId="6F1B5752">
            <w:pPr>
              <w:numPr>
                <w:ilvl w:val="0"/>
                <w:numId w:val="0"/>
              </w:num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指标体系设计依据较科学、可操作性较强得2分，存在缺陷或不足的扣1分，缺失本项内容扣2分；</w:t>
            </w:r>
          </w:p>
          <w:p w14:paraId="45478CA3">
            <w:pPr>
              <w:numPr>
                <w:ilvl w:val="0"/>
                <w:numId w:val="0"/>
              </w:numPr>
              <w:autoSpaceDE w:val="0"/>
              <w:autoSpaceDN w:val="0"/>
              <w:adjustRightInd w:val="0"/>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指标体系设计评价体系合理、可操作性强得2分，存在缺陷或不足的扣1分，缺失本项内容扣2分；</w:t>
            </w:r>
          </w:p>
          <w:p w14:paraId="13092CD0">
            <w:pPr>
              <w:numPr>
                <w:ilvl w:val="0"/>
                <w:numId w:val="0"/>
              </w:numPr>
              <w:autoSpaceDE w:val="0"/>
              <w:autoSpaceDN w:val="0"/>
              <w:adjustRightInd w:val="0"/>
              <w:rPr>
                <w:rFonts w:hint="default"/>
                <w:lang w:val="en-US"/>
              </w:rPr>
            </w:pPr>
            <w:r>
              <w:rPr>
                <w:rFonts w:hint="eastAsia" w:ascii="宋体" w:hAnsi="宋体" w:cs="宋体"/>
                <w:color w:val="000000"/>
                <w:sz w:val="21"/>
                <w:szCs w:val="21"/>
                <w:lang w:val="en-US" w:eastAsia="zh-CN"/>
              </w:rPr>
              <w:t>4.</w:t>
            </w:r>
            <w:r>
              <w:rPr>
                <w:rFonts w:hint="eastAsia" w:ascii="宋体" w:hAnsi="宋体" w:cs="宋体"/>
                <w:color w:val="000000"/>
                <w:sz w:val="21"/>
                <w:szCs w:val="21"/>
              </w:rPr>
              <w:t>指标体系设计评价要点合理、可操作性强得2分，存在缺陷或不足的扣1分，缺失本项内容扣2分</w:t>
            </w:r>
            <w:r>
              <w:rPr>
                <w:rFonts w:hint="eastAsia" w:ascii="宋体" w:hAnsi="宋体" w:cs="宋体"/>
                <w:color w:val="000000"/>
                <w:sz w:val="21"/>
                <w:szCs w:val="21"/>
                <w:lang w:eastAsia="zh-CN"/>
              </w:rPr>
              <w:t>。</w:t>
            </w:r>
          </w:p>
          <w:p w14:paraId="12D3E9BF">
            <w:pPr>
              <w:pStyle w:val="4"/>
              <w:rPr>
                <w:rFonts w:hint="eastAsia" w:ascii="宋体" w:hAnsi="宋体" w:cs="宋体"/>
                <w:sz w:val="21"/>
                <w:szCs w:val="21"/>
                <w:lang w:val="en-US" w:eastAsia="zh-CN"/>
              </w:rPr>
            </w:pPr>
            <w:r>
              <w:rPr>
                <w:rFonts w:hint="eastAsia" w:ascii="宋体" w:hAnsi="宋体" w:cs="宋体"/>
                <w:sz w:val="21"/>
                <w:szCs w:val="21"/>
                <w:lang w:val="en-US" w:eastAsia="zh-CN"/>
              </w:rPr>
              <w:t>注：本项满分共8分。缺陷是指：评审指标存在不适用项目特性的情形、缺少政策依据、套用其他项目内容、前后重复、涉及的规范及标准错误，不利于项目实施，不可能实现的情形。</w:t>
            </w:r>
          </w:p>
        </w:tc>
      </w:tr>
      <w:tr w14:paraId="126360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7CBC2E25">
            <w:pPr>
              <w:snapToGrid w:val="0"/>
              <w:jc w:val="center"/>
              <w:rPr>
                <w:rFonts w:hint="eastAsia" w:ascii="宋体" w:hAnsi="宋体" w:cs="宋体"/>
                <w:bCs/>
                <w:sz w:val="24"/>
              </w:rPr>
            </w:pPr>
          </w:p>
        </w:tc>
        <w:tc>
          <w:tcPr>
            <w:tcW w:w="1250" w:type="dxa"/>
            <w:noWrap w:val="0"/>
            <w:vAlign w:val="center"/>
          </w:tcPr>
          <w:p w14:paraId="4E1E6493">
            <w:pPr>
              <w:widowControl/>
              <w:jc w:val="center"/>
              <w:rPr>
                <w:rFonts w:hint="default" w:ascii="宋体" w:hAnsi="宋体" w:cs="宋体"/>
                <w:sz w:val="24"/>
                <w:lang w:val="en-US" w:eastAsia="zh-CN"/>
              </w:rPr>
            </w:pPr>
            <w:r>
              <w:rPr>
                <w:rFonts w:hint="eastAsia" w:ascii="宋体" w:hAnsi="宋体" w:cs="宋体"/>
                <w:sz w:val="24"/>
                <w:lang w:val="en-US" w:eastAsia="zh-CN"/>
              </w:rPr>
              <w:t>组织评审</w:t>
            </w:r>
          </w:p>
        </w:tc>
        <w:tc>
          <w:tcPr>
            <w:tcW w:w="765" w:type="dxa"/>
            <w:noWrap w:val="0"/>
            <w:vAlign w:val="center"/>
          </w:tcPr>
          <w:p w14:paraId="53693961">
            <w:pPr>
              <w:jc w:val="center"/>
              <w:rPr>
                <w:rFonts w:hint="default" w:ascii="宋体" w:hAnsi="宋体" w:cs="宋体"/>
                <w:bCs/>
                <w:sz w:val="24"/>
                <w:lang w:val="en-US" w:eastAsia="zh-CN"/>
              </w:rPr>
            </w:pPr>
            <w:r>
              <w:rPr>
                <w:rFonts w:hint="eastAsia" w:ascii="宋体" w:hAnsi="宋体" w:cs="宋体"/>
                <w:bCs/>
                <w:sz w:val="24"/>
                <w:lang w:val="en-US" w:eastAsia="zh-CN"/>
              </w:rPr>
              <w:t>10分</w:t>
            </w:r>
          </w:p>
        </w:tc>
        <w:tc>
          <w:tcPr>
            <w:tcW w:w="5595" w:type="dxa"/>
            <w:noWrap w:val="0"/>
            <w:vAlign w:val="center"/>
          </w:tcPr>
          <w:p w14:paraId="3733F975">
            <w:pPr>
              <w:pStyle w:val="4"/>
              <w:rPr>
                <w:rFonts w:hint="default" w:ascii="宋体" w:hAnsi="宋体" w:cs="宋体"/>
                <w:sz w:val="21"/>
                <w:szCs w:val="21"/>
                <w:lang w:val="en-US" w:eastAsia="zh-CN"/>
              </w:rPr>
            </w:pPr>
            <w:r>
              <w:rPr>
                <w:rFonts w:hint="eastAsia" w:ascii="宋体" w:hAnsi="宋体" w:cs="宋体"/>
                <w:sz w:val="21"/>
                <w:szCs w:val="21"/>
                <w:lang w:val="en-US" w:eastAsia="zh-CN"/>
              </w:rPr>
              <w:t>根据能独立组织专家评审，评审结果及时有效性高，专家团队专业性与项目高度符合度及专家团队资源资质等方面综合评分：</w:t>
            </w:r>
          </w:p>
          <w:p w14:paraId="320D0EA2">
            <w:pPr>
              <w:pStyle w:val="4"/>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1.能独立、按时组织专家评审，流程顺畅高效得2分；存在延迟但不影响整体得1分；严重延迟得0分；</w:t>
            </w:r>
          </w:p>
          <w:p w14:paraId="22AFAA9B">
            <w:pPr>
              <w:pStyle w:val="4"/>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2.专家团队规模适宜、资质齐全（如具备相关领域高级职称或丰富项目经验）得2分；资源一般但基本满足需求得1分；资源匮乏或资质不足得0分；</w:t>
            </w:r>
          </w:p>
          <w:p w14:paraId="2165082E">
            <w:pPr>
              <w:pStyle w:val="4"/>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3.专家专业领域与项目建设内容高度契合得2分；基本匹配得1分；匹配度低得0分；</w:t>
            </w:r>
          </w:p>
          <w:p w14:paraId="76778041">
            <w:pPr>
              <w:pStyle w:val="4"/>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4.评审结果反馈及时，内容详实、针对性强，能有效支撑项目推进得2分；结果较及时但深度不足得1分；结果滞后或无效得0分；</w:t>
            </w:r>
          </w:p>
          <w:p w14:paraId="749C662A">
            <w:pPr>
              <w:pStyle w:val="4"/>
              <w:numPr>
                <w:ilvl w:val="0"/>
                <w:numId w:val="0"/>
              </w:numPr>
              <w:rPr>
                <w:rFonts w:hint="eastAsia"/>
              </w:rPr>
            </w:pPr>
            <w:r>
              <w:rPr>
                <w:rFonts w:hint="eastAsia" w:ascii="宋体" w:hAnsi="宋体" w:cs="宋体"/>
                <w:sz w:val="21"/>
                <w:szCs w:val="21"/>
                <w:lang w:val="en-US" w:eastAsia="zh-CN"/>
              </w:rPr>
              <w:t>5.对照建设内容，项目完成度高、质量优秀得2分；基本完成但存在少量问题得1分；未完成核心内容得0分。</w:t>
            </w:r>
          </w:p>
          <w:p w14:paraId="1AB85D46">
            <w:pPr>
              <w:pStyle w:val="4"/>
              <w:rPr>
                <w:rFonts w:hint="default" w:ascii="宋体" w:hAnsi="宋体" w:cs="宋体"/>
                <w:sz w:val="21"/>
                <w:szCs w:val="21"/>
                <w:lang w:val="en-US" w:eastAsia="zh-CN"/>
              </w:rPr>
            </w:pPr>
            <w:r>
              <w:rPr>
                <w:rFonts w:hint="eastAsia" w:ascii="宋体" w:hAnsi="宋体" w:cs="宋体"/>
                <w:sz w:val="21"/>
                <w:szCs w:val="21"/>
                <w:lang w:val="en-US" w:eastAsia="zh-CN"/>
              </w:rPr>
              <w:t>注：本项满分共10分。</w:t>
            </w:r>
          </w:p>
        </w:tc>
      </w:tr>
      <w:tr w14:paraId="4C8A4C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709" w:type="dxa"/>
            <w:vMerge w:val="continue"/>
            <w:noWrap w:val="0"/>
            <w:vAlign w:val="center"/>
          </w:tcPr>
          <w:p w14:paraId="788F1536">
            <w:pPr>
              <w:snapToGrid w:val="0"/>
              <w:jc w:val="center"/>
              <w:rPr>
                <w:rFonts w:hint="eastAsia" w:ascii="宋体" w:hAnsi="宋体" w:cs="宋体"/>
                <w:bCs/>
                <w:sz w:val="24"/>
              </w:rPr>
            </w:pPr>
          </w:p>
        </w:tc>
        <w:tc>
          <w:tcPr>
            <w:tcW w:w="1250" w:type="dxa"/>
            <w:noWrap w:val="0"/>
            <w:vAlign w:val="center"/>
          </w:tcPr>
          <w:p w14:paraId="32B7D829">
            <w:pPr>
              <w:widowControl/>
              <w:jc w:val="center"/>
              <w:rPr>
                <w:rFonts w:hint="default" w:ascii="宋体" w:hAnsi="宋体" w:eastAsia="宋体" w:cs="宋体"/>
                <w:sz w:val="24"/>
                <w:lang w:val="en-US" w:eastAsia="zh-CN"/>
              </w:rPr>
            </w:pPr>
            <w:r>
              <w:rPr>
                <w:rFonts w:hint="eastAsia" w:ascii="宋体" w:hAnsi="宋体" w:eastAsia="宋体" w:cs="宋体"/>
                <w:color w:val="000000"/>
                <w:kern w:val="0"/>
                <w:sz w:val="24"/>
                <w:szCs w:val="24"/>
                <w:highlight w:val="none"/>
                <w:lang w:bidi="ar"/>
              </w:rPr>
              <w:t>后续服务</w:t>
            </w:r>
            <w:r>
              <w:rPr>
                <w:rFonts w:hint="eastAsia" w:ascii="宋体" w:hAnsi="宋体" w:cs="宋体"/>
                <w:color w:val="000000"/>
                <w:kern w:val="0"/>
                <w:sz w:val="24"/>
                <w:szCs w:val="24"/>
                <w:highlight w:val="none"/>
                <w:lang w:val="en-US" w:eastAsia="zh-CN" w:bidi="ar"/>
              </w:rPr>
              <w:t>保证及安全</w:t>
            </w:r>
            <w:r>
              <w:rPr>
                <w:rFonts w:hint="eastAsia" w:ascii="宋体" w:hAnsi="宋体" w:eastAsia="宋体" w:cs="宋体"/>
                <w:color w:val="000000"/>
                <w:kern w:val="0"/>
                <w:sz w:val="24"/>
                <w:szCs w:val="24"/>
                <w:highlight w:val="none"/>
                <w:lang w:bidi="ar"/>
              </w:rPr>
              <w:t>措施</w:t>
            </w:r>
            <w:r>
              <w:rPr>
                <w:rFonts w:hint="eastAsia" w:ascii="宋体" w:hAnsi="宋体" w:eastAsia="宋体" w:cs="宋体"/>
                <w:color w:val="000000"/>
                <w:kern w:val="0"/>
                <w:sz w:val="20"/>
                <w:szCs w:val="20"/>
                <w:highlight w:val="none"/>
                <w:lang w:bidi="ar"/>
              </w:rPr>
              <w:br w:type="textWrapping"/>
            </w:r>
          </w:p>
        </w:tc>
        <w:tc>
          <w:tcPr>
            <w:tcW w:w="765" w:type="dxa"/>
            <w:noWrap w:val="0"/>
            <w:vAlign w:val="center"/>
          </w:tcPr>
          <w:p w14:paraId="1522723B">
            <w:pPr>
              <w:jc w:val="center"/>
              <w:rPr>
                <w:rFonts w:hint="default" w:ascii="宋体" w:hAnsi="宋体" w:eastAsia="宋体" w:cs="宋体"/>
                <w:bCs/>
                <w:sz w:val="24"/>
                <w:lang w:val="en-US" w:eastAsia="zh-CN"/>
              </w:rPr>
            </w:pPr>
            <w:r>
              <w:rPr>
                <w:rFonts w:hint="eastAsia" w:ascii="宋体" w:hAnsi="宋体" w:cs="宋体"/>
                <w:bCs/>
                <w:sz w:val="24"/>
                <w:lang w:val="en-US" w:eastAsia="zh-CN"/>
              </w:rPr>
              <w:t>10分</w:t>
            </w:r>
          </w:p>
        </w:tc>
        <w:tc>
          <w:tcPr>
            <w:tcW w:w="5595" w:type="dxa"/>
            <w:noWrap w:val="0"/>
            <w:vAlign w:val="center"/>
          </w:tcPr>
          <w:p w14:paraId="1633677B">
            <w:pPr>
              <w:autoSpaceDE w:val="0"/>
              <w:autoSpaceDN w:val="0"/>
              <w:adjustRightInd w:val="0"/>
              <w:rPr>
                <w:rFonts w:hint="eastAsia" w:ascii="宋体" w:hAnsi="宋体" w:cs="宋体"/>
                <w:bCs/>
                <w:sz w:val="21"/>
                <w:szCs w:val="21"/>
              </w:rPr>
            </w:pPr>
            <w:r>
              <w:rPr>
                <w:rFonts w:hint="eastAsia" w:ascii="宋体" w:hAnsi="宋体" w:cs="宋体"/>
                <w:bCs/>
                <w:sz w:val="21"/>
                <w:szCs w:val="21"/>
              </w:rPr>
              <w:t>细阐述售后服务</w:t>
            </w:r>
            <w:r>
              <w:rPr>
                <w:rFonts w:hint="eastAsia" w:ascii="宋体" w:hAnsi="宋体" w:cs="宋体"/>
                <w:bCs/>
                <w:sz w:val="21"/>
                <w:szCs w:val="21"/>
                <w:lang w:val="en-US" w:eastAsia="zh-CN"/>
              </w:rPr>
              <w:t>内容</w:t>
            </w:r>
            <w:r>
              <w:rPr>
                <w:rFonts w:hint="eastAsia" w:ascii="宋体" w:hAnsi="宋体" w:cs="宋体"/>
                <w:bCs/>
                <w:sz w:val="21"/>
                <w:szCs w:val="21"/>
              </w:rPr>
              <w:t>，包括售后服务措施、故障响应时间及处理情况（中断或严重影响业务的故障，如数据丢失、业务中断）、应急响应机制、安全运维等进行综合评分。</w:t>
            </w:r>
          </w:p>
          <w:p w14:paraId="095DF63C">
            <w:pPr>
              <w:numPr>
                <w:ilvl w:val="0"/>
                <w:numId w:val="0"/>
              </w:numPr>
              <w:autoSpaceDE w:val="0"/>
              <w:autoSpaceDN w:val="0"/>
              <w:adjustRightInd w:val="0"/>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售后服务措施合理完善，操作性强的，得</w:t>
            </w:r>
            <w:r>
              <w:rPr>
                <w:rFonts w:hint="eastAsia" w:ascii="宋体" w:hAnsi="宋体" w:cs="宋体"/>
                <w:sz w:val="21"/>
                <w:szCs w:val="21"/>
                <w:lang w:val="en-US" w:eastAsia="zh-CN"/>
              </w:rPr>
              <w:t>3</w:t>
            </w:r>
            <w:r>
              <w:rPr>
                <w:rFonts w:hint="eastAsia" w:ascii="宋体" w:hAnsi="宋体" w:cs="宋体"/>
                <w:sz w:val="21"/>
                <w:szCs w:val="21"/>
                <w:lang w:eastAsia="zh-CN"/>
              </w:rPr>
              <w:t>分，存在一处缺陷或不足的扣0.5分，缺失本项内容扣</w:t>
            </w:r>
            <w:r>
              <w:rPr>
                <w:rFonts w:hint="eastAsia" w:ascii="宋体" w:hAnsi="宋体" w:cs="宋体"/>
                <w:sz w:val="21"/>
                <w:szCs w:val="21"/>
                <w:lang w:val="en-US" w:eastAsia="zh-CN"/>
              </w:rPr>
              <w:t>3</w:t>
            </w:r>
            <w:r>
              <w:rPr>
                <w:rFonts w:hint="eastAsia" w:ascii="宋体" w:hAnsi="宋体" w:cs="宋体"/>
                <w:sz w:val="21"/>
                <w:szCs w:val="21"/>
                <w:lang w:eastAsia="zh-CN"/>
              </w:rPr>
              <w:t>分；</w:t>
            </w:r>
          </w:p>
          <w:p w14:paraId="53F1247F">
            <w:pPr>
              <w:numPr>
                <w:ilvl w:val="0"/>
                <w:numId w:val="0"/>
              </w:numPr>
              <w:autoSpaceDE w:val="0"/>
              <w:autoSpaceDN w:val="0"/>
              <w:adjustRightInd w:val="0"/>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故障响应时间及处理情况（中断或严重影响业务的故障，如数据丢失、业务中断）合理完善，操作性强的，得</w:t>
            </w:r>
            <w:r>
              <w:rPr>
                <w:rFonts w:hint="eastAsia" w:ascii="宋体" w:hAnsi="宋体" w:cs="宋体"/>
                <w:sz w:val="21"/>
                <w:szCs w:val="21"/>
                <w:lang w:val="en-US" w:eastAsia="zh-CN"/>
              </w:rPr>
              <w:t>3</w:t>
            </w:r>
            <w:r>
              <w:rPr>
                <w:rFonts w:hint="eastAsia" w:ascii="宋体" w:hAnsi="宋体" w:cs="宋体"/>
                <w:sz w:val="21"/>
                <w:szCs w:val="21"/>
                <w:lang w:eastAsia="zh-CN"/>
              </w:rPr>
              <w:t>分，存在一处缺陷或不足的扣0.5分，缺失本项内容扣</w:t>
            </w:r>
            <w:r>
              <w:rPr>
                <w:rFonts w:hint="eastAsia" w:ascii="宋体" w:hAnsi="宋体" w:cs="宋体"/>
                <w:sz w:val="21"/>
                <w:szCs w:val="21"/>
                <w:lang w:val="en-US" w:eastAsia="zh-CN"/>
              </w:rPr>
              <w:t>3</w:t>
            </w:r>
            <w:r>
              <w:rPr>
                <w:rFonts w:hint="eastAsia" w:ascii="宋体" w:hAnsi="宋体" w:cs="宋体"/>
                <w:sz w:val="21"/>
                <w:szCs w:val="21"/>
                <w:lang w:eastAsia="zh-CN"/>
              </w:rPr>
              <w:t>分；</w:t>
            </w:r>
          </w:p>
          <w:p w14:paraId="2360F7E4">
            <w:pPr>
              <w:numPr>
                <w:ilvl w:val="0"/>
                <w:numId w:val="0"/>
              </w:numPr>
              <w:autoSpaceDE w:val="0"/>
              <w:autoSpaceDN w:val="0"/>
              <w:adjustRightInd w:val="0"/>
              <w:rPr>
                <w:rFonts w:ascii="宋体" w:hAnsi="宋体" w:cs="宋体"/>
                <w:color w:val="000000"/>
                <w:sz w:val="21"/>
                <w:szCs w:val="21"/>
              </w:rPr>
            </w:pPr>
            <w:r>
              <w:rPr>
                <w:rFonts w:hint="eastAsia" w:ascii="宋体" w:hAnsi="宋体" w:cs="宋体"/>
                <w:sz w:val="21"/>
                <w:szCs w:val="21"/>
                <w:lang w:val="en-US" w:eastAsia="zh-CN"/>
              </w:rPr>
              <w:t>3.</w:t>
            </w:r>
            <w:r>
              <w:rPr>
                <w:rFonts w:hint="eastAsia" w:ascii="宋体" w:hAnsi="宋体" w:cs="宋体"/>
                <w:sz w:val="21"/>
                <w:szCs w:val="21"/>
                <w:lang w:eastAsia="zh-CN"/>
              </w:rPr>
              <w:t>应急响应机制合理完善，操作性强的，得</w:t>
            </w:r>
            <w:r>
              <w:rPr>
                <w:rFonts w:hint="eastAsia" w:ascii="宋体" w:hAnsi="宋体" w:cs="宋体"/>
                <w:sz w:val="21"/>
                <w:szCs w:val="21"/>
                <w:lang w:val="en-US" w:eastAsia="zh-CN"/>
              </w:rPr>
              <w:t>2</w:t>
            </w:r>
            <w:r>
              <w:rPr>
                <w:rFonts w:hint="eastAsia" w:ascii="宋体" w:hAnsi="宋体" w:cs="宋体"/>
                <w:sz w:val="21"/>
                <w:szCs w:val="21"/>
                <w:lang w:eastAsia="zh-CN"/>
              </w:rPr>
              <w:t>分，存在一处缺陷或不足的扣0.5分，缺失本项内容扣</w:t>
            </w:r>
            <w:r>
              <w:rPr>
                <w:rFonts w:hint="eastAsia" w:ascii="宋体" w:hAnsi="宋体" w:cs="宋体"/>
                <w:sz w:val="21"/>
                <w:szCs w:val="21"/>
                <w:lang w:val="en-US" w:eastAsia="zh-CN"/>
              </w:rPr>
              <w:t>2</w:t>
            </w:r>
            <w:r>
              <w:rPr>
                <w:rFonts w:hint="eastAsia" w:ascii="宋体" w:hAnsi="宋体" w:cs="宋体"/>
                <w:sz w:val="21"/>
                <w:szCs w:val="21"/>
                <w:lang w:eastAsia="zh-CN"/>
              </w:rPr>
              <w:t>分；</w:t>
            </w:r>
          </w:p>
          <w:p w14:paraId="479E330D">
            <w:pPr>
              <w:numPr>
                <w:ilvl w:val="0"/>
                <w:numId w:val="0"/>
              </w:numPr>
              <w:autoSpaceDE w:val="0"/>
              <w:autoSpaceDN w:val="0"/>
              <w:adjustRightInd w:val="0"/>
              <w:rPr>
                <w:rFonts w:ascii="宋体" w:hAnsi="宋体" w:cs="宋体"/>
                <w:color w:val="000000"/>
                <w:sz w:val="21"/>
                <w:szCs w:val="21"/>
              </w:rPr>
            </w:pPr>
            <w:r>
              <w:rPr>
                <w:rFonts w:hint="eastAsia" w:ascii="宋体" w:hAnsi="宋体" w:cs="宋体"/>
                <w:sz w:val="21"/>
                <w:szCs w:val="21"/>
                <w:lang w:val="en-US" w:eastAsia="zh-CN"/>
              </w:rPr>
              <w:t>4.</w:t>
            </w:r>
            <w:r>
              <w:rPr>
                <w:rFonts w:hint="eastAsia" w:ascii="宋体" w:hAnsi="宋体" w:cs="宋体"/>
                <w:sz w:val="21"/>
                <w:szCs w:val="21"/>
                <w:lang w:eastAsia="zh-CN"/>
              </w:rPr>
              <w:t>安全运维合理完善，操作性强的，得</w:t>
            </w:r>
            <w:r>
              <w:rPr>
                <w:rFonts w:hint="eastAsia" w:ascii="宋体" w:hAnsi="宋体" w:cs="宋体"/>
                <w:sz w:val="21"/>
                <w:szCs w:val="21"/>
                <w:lang w:val="en-US" w:eastAsia="zh-CN"/>
              </w:rPr>
              <w:t>2</w:t>
            </w:r>
            <w:r>
              <w:rPr>
                <w:rFonts w:hint="eastAsia" w:ascii="宋体" w:hAnsi="宋体" w:cs="宋体"/>
                <w:sz w:val="21"/>
                <w:szCs w:val="21"/>
                <w:lang w:eastAsia="zh-CN"/>
              </w:rPr>
              <w:t>分，存在一处缺陷或不足的扣0.5分，缺失本项内容扣</w:t>
            </w:r>
            <w:r>
              <w:rPr>
                <w:rFonts w:hint="eastAsia" w:ascii="宋体" w:hAnsi="宋体" w:cs="宋体"/>
                <w:sz w:val="21"/>
                <w:szCs w:val="21"/>
                <w:lang w:val="en-US" w:eastAsia="zh-CN"/>
              </w:rPr>
              <w:t>2</w:t>
            </w:r>
            <w:r>
              <w:rPr>
                <w:rFonts w:hint="eastAsia" w:ascii="宋体" w:hAnsi="宋体" w:cs="宋体"/>
                <w:sz w:val="21"/>
                <w:szCs w:val="21"/>
                <w:lang w:eastAsia="zh-CN"/>
              </w:rPr>
              <w:t>分。</w:t>
            </w:r>
          </w:p>
          <w:p w14:paraId="7477B4D3">
            <w:pPr>
              <w:autoSpaceDE w:val="0"/>
              <w:autoSpaceDN w:val="0"/>
              <w:adjustRightInd w:val="0"/>
              <w:rPr>
                <w:rFonts w:hint="eastAsia" w:ascii="宋体" w:hAnsi="宋体" w:cs="宋体"/>
                <w:sz w:val="24"/>
                <w:lang w:val="en-US" w:eastAsia="zh-CN"/>
              </w:rPr>
            </w:pPr>
            <w:r>
              <w:rPr>
                <w:rFonts w:hint="eastAsia" w:ascii="宋体" w:hAnsi="宋体" w:cs="宋体"/>
                <w:sz w:val="21"/>
                <w:szCs w:val="21"/>
                <w:lang w:val="en-US" w:eastAsia="zh-CN"/>
              </w:rPr>
              <w:t>注：本项满分共10分。缺陷是指：措施存在不适用项目特性的情形、内容缺少关键节点、套用其他项目方案、内容前后矛盾、涉及的规范及标准错误，不利于项目实施，不可能实现的情形。</w:t>
            </w:r>
          </w:p>
        </w:tc>
      </w:tr>
      <w:tr w14:paraId="41BFA8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restart"/>
            <w:shd w:val="clear" w:color="auto" w:fill="auto"/>
            <w:noWrap w:val="0"/>
            <w:vAlign w:val="center"/>
          </w:tcPr>
          <w:p w14:paraId="1441393C">
            <w:pPr>
              <w:snapToGrid w:val="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二、</w:t>
            </w:r>
            <w:r>
              <w:rPr>
                <w:rFonts w:hint="eastAsia" w:ascii="宋体" w:hAnsi="宋体" w:cs="宋体"/>
                <w:sz w:val="24"/>
              </w:rPr>
              <w:t>商务部分</w:t>
            </w:r>
            <w:r>
              <w:rPr>
                <w:rFonts w:hint="eastAsia" w:ascii="宋体" w:hAnsi="宋体" w:cs="宋体"/>
                <w:sz w:val="24"/>
                <w:lang w:eastAsia="zh-CN"/>
              </w:rPr>
              <w:t>（</w:t>
            </w:r>
            <w:r>
              <w:rPr>
                <w:rFonts w:hint="eastAsia" w:ascii="宋体" w:hAnsi="宋体" w:cs="宋体"/>
                <w:sz w:val="24"/>
                <w:lang w:val="en-US" w:eastAsia="zh-CN"/>
              </w:rPr>
              <w:t>30分</w:t>
            </w:r>
            <w:r>
              <w:rPr>
                <w:rFonts w:hint="eastAsia" w:ascii="宋体" w:hAnsi="宋体" w:cs="宋体"/>
                <w:sz w:val="24"/>
                <w:lang w:eastAsia="zh-CN"/>
              </w:rPr>
              <w:t>）</w:t>
            </w:r>
          </w:p>
        </w:tc>
        <w:tc>
          <w:tcPr>
            <w:tcW w:w="1250" w:type="dxa"/>
            <w:shd w:val="clear" w:color="auto" w:fill="auto"/>
            <w:noWrap w:val="0"/>
            <w:vAlign w:val="center"/>
          </w:tcPr>
          <w:p w14:paraId="0437741A">
            <w:pPr>
              <w:autoSpaceDE w:val="0"/>
              <w:autoSpaceDN w:val="0"/>
              <w:adjustRightInd w:val="0"/>
              <w:jc w:val="center"/>
              <w:rPr>
                <w:rFonts w:hint="eastAsia" w:ascii="宋体" w:hAnsi="宋体" w:eastAsia="宋体" w:cs="宋体"/>
                <w:kern w:val="2"/>
                <w:sz w:val="24"/>
                <w:szCs w:val="24"/>
                <w:lang w:val="en-US" w:eastAsia="zh-CN" w:bidi="ar-SA"/>
              </w:rPr>
            </w:pPr>
            <w:r>
              <w:rPr>
                <w:rFonts w:ascii="宋体" w:hAnsi="宋体" w:cs="宋体"/>
                <w:sz w:val="24"/>
              </w:rPr>
              <w:t>供应商</w:t>
            </w:r>
            <w:r>
              <w:rPr>
                <w:rFonts w:hint="eastAsia" w:ascii="宋体" w:hAnsi="宋体" w:cs="宋体"/>
                <w:sz w:val="24"/>
              </w:rPr>
              <w:t>资质</w:t>
            </w:r>
          </w:p>
        </w:tc>
        <w:tc>
          <w:tcPr>
            <w:tcW w:w="765" w:type="dxa"/>
            <w:shd w:val="clear" w:color="auto" w:fill="auto"/>
            <w:noWrap w:val="0"/>
            <w:vAlign w:val="center"/>
          </w:tcPr>
          <w:p w14:paraId="521E6083">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5分</w:t>
            </w:r>
          </w:p>
        </w:tc>
        <w:tc>
          <w:tcPr>
            <w:tcW w:w="5595" w:type="dxa"/>
            <w:shd w:val="clear" w:color="auto" w:fill="auto"/>
            <w:noWrap w:val="0"/>
            <w:vAlign w:val="center"/>
          </w:tcPr>
          <w:p w14:paraId="4CA18A1D">
            <w:pPr>
              <w:widowControl/>
              <w:numPr>
                <w:ilvl w:val="0"/>
                <w:numId w:val="0"/>
              </w:numPr>
              <w:snapToGrid w:val="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提供一个有效日期内的ISO20000信息技术管理体系认证证书，得1分；</w:t>
            </w:r>
          </w:p>
          <w:p w14:paraId="0E565B1A">
            <w:pPr>
              <w:widowControl/>
              <w:numPr>
                <w:ilvl w:val="0"/>
                <w:numId w:val="0"/>
              </w:numPr>
              <w:snapToGrid w:val="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提供一个有效日期内ISO027001信息安全管理体系认证证书，得1分；</w:t>
            </w:r>
          </w:p>
          <w:p w14:paraId="5EF7EA5B">
            <w:pPr>
              <w:widowControl/>
              <w:numPr>
                <w:ilvl w:val="0"/>
                <w:numId w:val="0"/>
              </w:numPr>
              <w:snapToGrid w:val="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提供一个有效日期内ISO27701隐私信息安全管理体系认证证书，得1分；</w:t>
            </w:r>
          </w:p>
          <w:p w14:paraId="61E42A1D">
            <w:pPr>
              <w:widowControl/>
              <w:numPr>
                <w:ilvl w:val="0"/>
                <w:numId w:val="0"/>
              </w:numPr>
              <w:snapToGrid w:val="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提供一个有效日期内CMMI3认证证书，得</w:t>
            </w:r>
            <w:r>
              <w:rPr>
                <w:rFonts w:hint="eastAsia" w:ascii="宋体" w:hAnsi="宋体" w:cs="宋体"/>
                <w:sz w:val="21"/>
                <w:szCs w:val="21"/>
                <w:lang w:val="en-US" w:eastAsia="zh-CN"/>
              </w:rPr>
              <w:t>2</w:t>
            </w:r>
            <w:r>
              <w:rPr>
                <w:rFonts w:hint="eastAsia" w:ascii="宋体" w:hAnsi="宋体" w:cs="宋体"/>
                <w:sz w:val="21"/>
                <w:szCs w:val="21"/>
              </w:rPr>
              <w:t>分；</w:t>
            </w:r>
          </w:p>
          <w:p w14:paraId="3070E8F1">
            <w:pPr>
              <w:widowControl/>
              <w:snapToGrid w:val="0"/>
              <w:rPr>
                <w:rFonts w:hint="eastAsia" w:ascii="宋体" w:hAnsi="宋体" w:eastAsia="宋体" w:cs="宋体"/>
                <w:kern w:val="2"/>
                <w:sz w:val="24"/>
                <w:szCs w:val="24"/>
                <w:lang w:val="en-US" w:eastAsia="zh-CN" w:bidi="ar-SA"/>
              </w:rPr>
            </w:pPr>
            <w:r>
              <w:rPr>
                <w:rFonts w:hint="eastAsia" w:ascii="宋体" w:hAnsi="宋体" w:cs="宋体"/>
                <w:sz w:val="21"/>
                <w:szCs w:val="21"/>
              </w:rPr>
              <w:t>注：本项最多得</w:t>
            </w:r>
            <w:r>
              <w:rPr>
                <w:rFonts w:hint="eastAsia" w:ascii="宋体" w:hAnsi="宋体" w:cs="宋体"/>
                <w:sz w:val="21"/>
                <w:szCs w:val="21"/>
                <w:lang w:val="en-US" w:eastAsia="zh-CN"/>
              </w:rPr>
              <w:t>5</w:t>
            </w:r>
            <w:r>
              <w:rPr>
                <w:rFonts w:hint="eastAsia" w:ascii="宋体" w:hAnsi="宋体" w:cs="宋体"/>
                <w:sz w:val="21"/>
                <w:szCs w:val="21"/>
              </w:rPr>
              <w:t>分。需提供有效日期内的证书复印件，并加盖供应商公章。</w:t>
            </w:r>
          </w:p>
        </w:tc>
      </w:tr>
      <w:tr w14:paraId="561075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tcPr>
          <w:p w14:paraId="43CDBD4C">
            <w:pPr>
              <w:snapToGrid w:val="0"/>
              <w:jc w:val="center"/>
              <w:rPr>
                <w:rFonts w:hint="eastAsia" w:ascii="宋体" w:hAnsi="宋体" w:cs="宋体"/>
                <w:bCs/>
                <w:sz w:val="24"/>
              </w:rPr>
            </w:pPr>
          </w:p>
        </w:tc>
        <w:tc>
          <w:tcPr>
            <w:tcW w:w="1250" w:type="dxa"/>
            <w:shd w:val="clear" w:color="auto" w:fill="auto"/>
            <w:vAlign w:val="center"/>
          </w:tcPr>
          <w:p w14:paraId="560A5D7B">
            <w:pPr>
              <w:autoSpaceDE w:val="0"/>
              <w:autoSpaceDN w:val="0"/>
              <w:adjustRightInd w:val="0"/>
              <w:jc w:val="center"/>
              <w:rPr>
                <w:rFonts w:hint="eastAsia" w:ascii="宋体" w:hAnsi="宋体" w:eastAsia="宋体" w:cs="宋体"/>
                <w:kern w:val="2"/>
                <w:sz w:val="24"/>
                <w:szCs w:val="24"/>
                <w:lang w:val="en-US" w:eastAsia="zh-CN" w:bidi="ar-SA"/>
              </w:rPr>
            </w:pPr>
            <w:r>
              <w:rPr>
                <w:rFonts w:ascii="宋体" w:hAnsi="宋体" w:cs="宋体"/>
                <w:sz w:val="24"/>
              </w:rPr>
              <w:t>供应商</w:t>
            </w:r>
            <w:r>
              <w:rPr>
                <w:rFonts w:hint="eastAsia" w:ascii="宋体" w:hAnsi="宋体" w:cs="宋体"/>
                <w:sz w:val="24"/>
              </w:rPr>
              <w:t>业绩</w:t>
            </w:r>
          </w:p>
        </w:tc>
        <w:tc>
          <w:tcPr>
            <w:tcW w:w="765" w:type="dxa"/>
            <w:shd w:val="clear" w:color="auto" w:fill="auto"/>
            <w:vAlign w:val="center"/>
          </w:tcPr>
          <w:p w14:paraId="7DDC94D4">
            <w:pPr>
              <w:jc w:val="center"/>
              <w:rPr>
                <w:rFonts w:hint="eastAsia" w:ascii="宋体" w:hAnsi="宋体" w:eastAsia="宋体" w:cs="宋体"/>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5分</w:t>
            </w:r>
          </w:p>
        </w:tc>
        <w:tc>
          <w:tcPr>
            <w:tcW w:w="5595" w:type="dxa"/>
            <w:shd w:val="clear" w:color="auto" w:fill="auto"/>
            <w:vAlign w:val="center"/>
          </w:tcPr>
          <w:p w14:paraId="492E3E67">
            <w:pPr>
              <w:widowControl/>
              <w:numPr>
                <w:ilvl w:val="0"/>
                <w:numId w:val="0"/>
              </w:numPr>
              <w:snapToGrid w:val="0"/>
              <w:rPr>
                <w:rFonts w:hint="eastAsia" w:ascii="宋体" w:hAnsi="宋体" w:cs="宋体"/>
                <w:sz w:val="21"/>
                <w:szCs w:val="21"/>
              </w:rPr>
            </w:pPr>
            <w:r>
              <w:rPr>
                <w:rFonts w:ascii="宋体" w:hAnsi="宋体" w:cs="宋体"/>
                <w:sz w:val="21"/>
                <w:szCs w:val="21"/>
              </w:rPr>
              <w:t>供应商</w:t>
            </w:r>
            <w:r>
              <w:rPr>
                <w:rFonts w:hint="eastAsia" w:ascii="宋体" w:hAnsi="宋体" w:cs="宋体"/>
                <w:sz w:val="21"/>
                <w:szCs w:val="21"/>
              </w:rPr>
              <w:t>自202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月1日以来，</w:t>
            </w:r>
            <w:r>
              <w:rPr>
                <w:rFonts w:hint="eastAsia" w:ascii="宋体" w:hAnsi="宋体" w:cs="宋体"/>
                <w:sz w:val="21"/>
                <w:szCs w:val="21"/>
                <w:lang w:val="en-US" w:eastAsia="zh-CN"/>
              </w:rPr>
              <w:t>有信息化项目</w:t>
            </w:r>
            <w:r>
              <w:rPr>
                <w:rFonts w:hint="eastAsia" w:ascii="宋体" w:hAnsi="宋体" w:cs="宋体"/>
                <w:color w:val="auto"/>
                <w:sz w:val="21"/>
                <w:szCs w:val="21"/>
                <w:lang w:val="en-US" w:eastAsia="zh-CN"/>
              </w:rPr>
              <w:t>评审、信息系统</w:t>
            </w:r>
            <w:r>
              <w:rPr>
                <w:rFonts w:hint="eastAsia" w:ascii="宋体" w:hAnsi="宋体" w:cs="宋体"/>
                <w:sz w:val="21"/>
                <w:szCs w:val="21"/>
              </w:rPr>
              <w:t>评估</w:t>
            </w:r>
            <w:r>
              <w:rPr>
                <w:rFonts w:hint="eastAsia" w:ascii="宋体" w:hAnsi="宋体" w:cs="宋体"/>
                <w:sz w:val="21"/>
                <w:szCs w:val="21"/>
                <w:lang w:eastAsia="zh-CN"/>
              </w:rPr>
              <w:t>、</w:t>
            </w:r>
            <w:r>
              <w:rPr>
                <w:rFonts w:hint="eastAsia" w:ascii="宋体" w:hAnsi="宋体" w:cs="宋体"/>
                <w:sz w:val="21"/>
                <w:szCs w:val="21"/>
                <w:lang w:val="en-US" w:eastAsia="zh-CN"/>
              </w:rPr>
              <w:t>数字化转型评估、数字政府规划</w:t>
            </w:r>
            <w:r>
              <w:rPr>
                <w:rFonts w:hint="eastAsia" w:ascii="宋体" w:hAnsi="宋体" w:cs="宋体"/>
                <w:sz w:val="21"/>
                <w:szCs w:val="21"/>
              </w:rPr>
              <w:t>等同类或类似业绩，每提供1个业绩得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rPr>
              <w:t>最多得</w:t>
            </w:r>
            <w:r>
              <w:rPr>
                <w:rFonts w:hint="eastAsia" w:ascii="宋体" w:hAnsi="宋体" w:cs="宋体"/>
                <w:sz w:val="21"/>
                <w:szCs w:val="21"/>
                <w:lang w:val="en-US" w:eastAsia="zh-CN"/>
              </w:rPr>
              <w:t>15</w:t>
            </w:r>
            <w:r>
              <w:rPr>
                <w:rFonts w:hint="eastAsia" w:ascii="宋体" w:hAnsi="宋体" w:cs="宋体"/>
                <w:sz w:val="21"/>
                <w:szCs w:val="21"/>
              </w:rPr>
              <w:t>分；</w:t>
            </w:r>
          </w:p>
          <w:p w14:paraId="66FAC536">
            <w:pPr>
              <w:widowControl/>
              <w:snapToGrid w:val="0"/>
              <w:rPr>
                <w:rFonts w:hint="eastAsia" w:ascii="宋体" w:hAnsi="宋体" w:eastAsia="宋体" w:cs="宋体"/>
                <w:kern w:val="2"/>
                <w:sz w:val="24"/>
                <w:szCs w:val="24"/>
                <w:lang w:val="en-US" w:eastAsia="zh-CN" w:bidi="ar-SA"/>
              </w:rPr>
            </w:pPr>
            <w:r>
              <w:rPr>
                <w:rFonts w:hint="eastAsia" w:ascii="宋体" w:hAnsi="宋体" w:cs="宋体"/>
                <w:sz w:val="21"/>
                <w:szCs w:val="21"/>
              </w:rPr>
              <w:t>注：本项满分共1</w:t>
            </w:r>
            <w:r>
              <w:rPr>
                <w:rFonts w:hint="eastAsia" w:ascii="宋体" w:hAnsi="宋体" w:cs="宋体"/>
                <w:sz w:val="21"/>
                <w:szCs w:val="21"/>
                <w:lang w:val="en-US" w:eastAsia="zh-CN"/>
              </w:rPr>
              <w:t>5</w:t>
            </w:r>
            <w:r>
              <w:rPr>
                <w:rFonts w:hint="eastAsia" w:ascii="宋体" w:hAnsi="宋体" w:cs="宋体"/>
                <w:sz w:val="21"/>
                <w:szCs w:val="21"/>
              </w:rPr>
              <w:t>分。证明材料：需提供项目合同复印件或加盖电子签章扫描件，时间以合同为准，不提供</w:t>
            </w:r>
            <w:r>
              <w:rPr>
                <w:rFonts w:hint="eastAsia" w:ascii="宋体" w:hAnsi="宋体" w:cs="宋体"/>
                <w:sz w:val="21"/>
                <w:szCs w:val="21"/>
                <w:lang w:val="en-US" w:eastAsia="zh-CN"/>
              </w:rPr>
              <w:t>不得</w:t>
            </w:r>
            <w:r>
              <w:rPr>
                <w:rFonts w:hint="eastAsia" w:ascii="宋体" w:hAnsi="宋体" w:cs="宋体"/>
                <w:sz w:val="21"/>
                <w:szCs w:val="21"/>
              </w:rPr>
              <w:t>分。</w:t>
            </w:r>
          </w:p>
        </w:tc>
      </w:tr>
      <w:tr w14:paraId="3B79A9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tcPr>
          <w:p w14:paraId="5F3B1265">
            <w:pPr>
              <w:snapToGrid w:val="0"/>
              <w:jc w:val="center"/>
              <w:rPr>
                <w:rFonts w:hint="eastAsia" w:ascii="宋体" w:hAnsi="宋体" w:cs="宋体"/>
                <w:bCs/>
                <w:sz w:val="24"/>
              </w:rPr>
            </w:pPr>
          </w:p>
        </w:tc>
        <w:tc>
          <w:tcPr>
            <w:tcW w:w="1250" w:type="dxa"/>
            <w:shd w:val="clear" w:color="auto" w:fill="auto"/>
            <w:vAlign w:val="center"/>
          </w:tcPr>
          <w:p w14:paraId="453BBC60">
            <w:pPr>
              <w:autoSpaceDE w:val="0"/>
              <w:autoSpaceDN w:val="0"/>
              <w:adjustRightInd w:val="0"/>
              <w:jc w:val="center"/>
              <w:rPr>
                <w:rFonts w:hint="default"/>
                <w:lang w:val="en-US" w:eastAsia="zh-CN"/>
              </w:rPr>
            </w:pPr>
            <w:r>
              <w:rPr>
                <w:rFonts w:hint="eastAsia" w:ascii="宋体" w:hAnsi="宋体" w:cs="宋体"/>
                <w:sz w:val="24"/>
              </w:rPr>
              <w:t>项目</w:t>
            </w:r>
            <w:r>
              <w:rPr>
                <w:rFonts w:hint="eastAsia" w:ascii="宋体" w:hAnsi="宋体" w:cs="宋体"/>
                <w:sz w:val="24"/>
                <w:lang w:val="en-US" w:eastAsia="zh-CN"/>
              </w:rPr>
              <w:t>负责人（仅限一人）</w:t>
            </w:r>
          </w:p>
        </w:tc>
        <w:tc>
          <w:tcPr>
            <w:tcW w:w="765" w:type="dxa"/>
            <w:shd w:val="clear" w:color="auto" w:fill="auto"/>
            <w:vAlign w:val="center"/>
          </w:tcPr>
          <w:p w14:paraId="238B99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color w:val="auto"/>
                <w:kern w:val="2"/>
                <w:sz w:val="24"/>
                <w:szCs w:val="24"/>
                <w:lang w:val="en-US" w:eastAsia="zh-CN" w:bidi="ar-SA"/>
              </w:rPr>
            </w:pPr>
            <w:r>
              <w:rPr>
                <w:rFonts w:hint="eastAsia" w:ascii="宋体" w:hAnsi="宋体" w:eastAsia="宋体" w:cs="宋体"/>
                <w:color w:val="auto"/>
                <w:sz w:val="24"/>
                <w:lang w:val="en-US" w:eastAsia="zh-CN"/>
              </w:rPr>
              <w:t>4分</w:t>
            </w:r>
          </w:p>
        </w:tc>
        <w:tc>
          <w:tcPr>
            <w:tcW w:w="5595" w:type="dxa"/>
            <w:shd w:val="clear" w:color="auto" w:fill="auto"/>
            <w:vAlign w:val="center"/>
          </w:tcPr>
          <w:p w14:paraId="0E936096">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具有高级工程师</w:t>
            </w:r>
            <w:r>
              <w:rPr>
                <w:rFonts w:hint="eastAsia" w:ascii="宋体" w:hAnsi="宋体" w:eastAsia="宋体" w:cs="宋体"/>
                <w:color w:val="auto"/>
                <w:kern w:val="0"/>
                <w:sz w:val="21"/>
                <w:szCs w:val="21"/>
                <w:highlight w:val="none"/>
                <w:lang w:val="en-US" w:eastAsia="zh-CN" w:bidi="ar"/>
              </w:rPr>
              <w:t>及以上职称</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得2分</w:t>
            </w:r>
            <w:r>
              <w:rPr>
                <w:rFonts w:hint="eastAsia" w:ascii="宋体" w:hAnsi="宋体" w:cs="宋体"/>
                <w:color w:val="auto"/>
                <w:kern w:val="0"/>
                <w:sz w:val="21"/>
                <w:szCs w:val="21"/>
                <w:highlight w:val="none"/>
                <w:lang w:val="en-US" w:eastAsia="zh-CN" w:bidi="ar"/>
              </w:rPr>
              <w:t>；</w:t>
            </w:r>
          </w:p>
          <w:p w14:paraId="576C1D26">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每承担过1个省级</w:t>
            </w:r>
            <w:r>
              <w:rPr>
                <w:rFonts w:hint="eastAsia" w:ascii="宋体" w:hAnsi="宋体" w:eastAsia="宋体" w:cs="宋体"/>
                <w:color w:val="auto"/>
                <w:kern w:val="0"/>
                <w:sz w:val="21"/>
                <w:szCs w:val="21"/>
                <w:highlight w:val="none"/>
                <w:lang w:eastAsia="zh-CN" w:bidi="ar"/>
              </w:rPr>
              <w:t>及</w:t>
            </w:r>
            <w:r>
              <w:rPr>
                <w:rFonts w:hint="eastAsia" w:ascii="宋体" w:hAnsi="宋体" w:eastAsia="宋体" w:cs="宋体"/>
                <w:color w:val="auto"/>
                <w:kern w:val="0"/>
                <w:sz w:val="21"/>
                <w:szCs w:val="21"/>
                <w:highlight w:val="none"/>
                <w:lang w:bidi="ar"/>
              </w:rPr>
              <w:t>以上课题研究类</w:t>
            </w:r>
            <w:r>
              <w:rPr>
                <w:rFonts w:hint="eastAsia" w:ascii="宋体" w:hAnsi="宋体" w:eastAsia="宋体" w:cs="宋体"/>
                <w:color w:val="auto"/>
                <w:kern w:val="0"/>
                <w:sz w:val="21"/>
                <w:szCs w:val="21"/>
                <w:highlight w:val="none"/>
                <w:lang w:eastAsia="zh-CN" w:bidi="ar"/>
              </w:rPr>
              <w:t>或规划类</w:t>
            </w:r>
            <w:r>
              <w:rPr>
                <w:rFonts w:hint="eastAsia" w:ascii="宋体" w:hAnsi="宋体" w:cs="宋体"/>
                <w:color w:val="auto"/>
                <w:kern w:val="0"/>
                <w:sz w:val="21"/>
                <w:szCs w:val="21"/>
                <w:highlight w:val="none"/>
                <w:lang w:val="en-US" w:eastAsia="zh-CN" w:bidi="ar"/>
              </w:rPr>
              <w:t>项目，</w:t>
            </w:r>
            <w:r>
              <w:rPr>
                <w:rFonts w:hint="eastAsia" w:ascii="宋体" w:hAnsi="宋体" w:eastAsia="宋体" w:cs="宋体"/>
                <w:color w:val="auto"/>
                <w:kern w:val="0"/>
                <w:sz w:val="21"/>
                <w:szCs w:val="21"/>
                <w:highlight w:val="none"/>
                <w:lang w:val="en-US" w:eastAsia="zh-CN" w:bidi="ar"/>
              </w:rPr>
              <w:t>得1分，</w:t>
            </w:r>
            <w:r>
              <w:rPr>
                <w:rFonts w:hint="eastAsia" w:ascii="宋体" w:hAnsi="宋体" w:cs="宋体"/>
                <w:color w:val="auto"/>
                <w:kern w:val="0"/>
                <w:sz w:val="21"/>
                <w:szCs w:val="21"/>
                <w:highlight w:val="none"/>
                <w:lang w:val="en-US" w:eastAsia="zh-CN" w:bidi="ar"/>
              </w:rPr>
              <w:t>此项</w:t>
            </w:r>
            <w:r>
              <w:rPr>
                <w:rFonts w:hint="eastAsia" w:ascii="宋体" w:hAnsi="宋体" w:eastAsia="宋体" w:cs="宋体"/>
                <w:color w:val="auto"/>
                <w:kern w:val="0"/>
                <w:sz w:val="21"/>
                <w:szCs w:val="21"/>
                <w:highlight w:val="none"/>
                <w:lang w:val="en-US" w:eastAsia="zh-CN" w:bidi="ar"/>
              </w:rPr>
              <w:t>最多得2分。</w:t>
            </w:r>
          </w:p>
          <w:p w14:paraId="64910E4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kern w:val="2"/>
                <w:sz w:val="24"/>
                <w:szCs w:val="24"/>
                <w:lang w:val="en-US" w:eastAsia="zh-CN" w:bidi="ar-SA"/>
              </w:rPr>
            </w:pPr>
            <w:r>
              <w:rPr>
                <w:rFonts w:hint="eastAsia" w:ascii="宋体" w:hAnsi="宋体" w:cs="宋体"/>
                <w:color w:val="auto"/>
                <w:kern w:val="0"/>
                <w:sz w:val="21"/>
                <w:szCs w:val="21"/>
                <w:highlight w:val="none"/>
                <w:lang w:val="en-US" w:eastAsia="zh-CN" w:bidi="ar"/>
              </w:rPr>
              <w:t>注：本项目满分4分。需提供项目负责人</w:t>
            </w:r>
            <w:r>
              <w:rPr>
                <w:rFonts w:hint="eastAsia" w:ascii="宋体" w:hAnsi="宋体" w:eastAsia="宋体" w:cs="宋体"/>
                <w:color w:val="auto"/>
                <w:kern w:val="0"/>
                <w:sz w:val="21"/>
                <w:szCs w:val="21"/>
                <w:highlight w:val="none"/>
                <w:lang w:bidi="ar"/>
              </w:rPr>
              <w:t>身份证、职称证书等相关</w:t>
            </w:r>
            <w:r>
              <w:rPr>
                <w:rFonts w:hint="eastAsia" w:ascii="宋体" w:hAnsi="宋体" w:cs="宋体"/>
                <w:color w:val="auto"/>
                <w:kern w:val="0"/>
                <w:sz w:val="21"/>
                <w:szCs w:val="21"/>
                <w:highlight w:val="none"/>
                <w:lang w:val="en-US" w:eastAsia="zh-CN" w:bidi="ar"/>
              </w:rPr>
              <w:t>证明</w:t>
            </w:r>
            <w:r>
              <w:rPr>
                <w:rFonts w:hint="eastAsia" w:ascii="宋体" w:hAnsi="宋体" w:eastAsia="宋体" w:cs="宋体"/>
                <w:color w:val="auto"/>
                <w:kern w:val="0"/>
                <w:sz w:val="21"/>
                <w:szCs w:val="21"/>
                <w:highlight w:val="none"/>
                <w:lang w:bidi="ar"/>
              </w:rPr>
              <w:t>材料，</w:t>
            </w:r>
            <w:r>
              <w:rPr>
                <w:rFonts w:hint="eastAsia" w:ascii="宋体" w:hAnsi="宋体" w:cs="宋体"/>
                <w:color w:val="auto"/>
                <w:kern w:val="0"/>
                <w:sz w:val="21"/>
                <w:szCs w:val="21"/>
                <w:highlight w:val="none"/>
                <w:lang w:val="en-US" w:eastAsia="zh-CN" w:bidi="ar"/>
              </w:rPr>
              <w:t>并提供项目负责人在</w:t>
            </w:r>
            <w:r>
              <w:rPr>
                <w:rFonts w:hint="eastAsia" w:ascii="宋体" w:hAnsi="宋体" w:eastAsia="宋体" w:cs="宋体"/>
                <w:color w:val="auto"/>
                <w:kern w:val="0"/>
                <w:sz w:val="21"/>
                <w:szCs w:val="21"/>
                <w:highlight w:val="none"/>
                <w:lang w:bidi="ar"/>
              </w:rPr>
              <w:t>本单位缴纳202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年1月至今任意三个月的</w:t>
            </w:r>
            <w:r>
              <w:rPr>
                <w:rFonts w:hint="eastAsia" w:ascii="宋体" w:hAnsi="宋体" w:eastAsia="宋体" w:cs="宋体"/>
                <w:color w:val="000000"/>
                <w:kern w:val="0"/>
                <w:sz w:val="21"/>
                <w:szCs w:val="21"/>
                <w:highlight w:val="none"/>
                <w:lang w:bidi="ar"/>
              </w:rPr>
              <w:t>社保</w:t>
            </w:r>
            <w:r>
              <w:rPr>
                <w:rFonts w:hint="eastAsia" w:ascii="宋体" w:hAnsi="宋体" w:cs="宋体"/>
                <w:color w:val="000000"/>
                <w:kern w:val="0"/>
                <w:sz w:val="21"/>
                <w:szCs w:val="21"/>
                <w:highlight w:val="none"/>
                <w:lang w:val="en-US" w:eastAsia="zh-CN" w:bidi="ar"/>
              </w:rPr>
              <w:t>承诺函</w:t>
            </w:r>
            <w:r>
              <w:rPr>
                <w:rFonts w:hint="eastAsia" w:ascii="宋体" w:hAnsi="宋体" w:eastAsia="宋体" w:cs="宋体"/>
                <w:color w:val="000000"/>
                <w:kern w:val="0"/>
                <w:sz w:val="21"/>
                <w:szCs w:val="21"/>
                <w:highlight w:val="none"/>
                <w:lang w:bidi="ar"/>
              </w:rPr>
              <w:t>加盖公章</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成立不足3个月的，提供成立至今）</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highlight w:val="none"/>
                <w:lang w:bidi="ar"/>
              </w:rPr>
              <w:t>业绩证明提供合同或业主出具的证明材料</w:t>
            </w:r>
            <w:r>
              <w:rPr>
                <w:rFonts w:hint="eastAsia" w:ascii="宋体" w:hAnsi="宋体" w:eastAsia="宋体" w:cs="宋体"/>
                <w:color w:val="auto"/>
                <w:kern w:val="0"/>
                <w:sz w:val="21"/>
                <w:szCs w:val="21"/>
                <w:highlight w:val="none"/>
                <w:lang w:eastAsia="zh-CN" w:bidi="ar"/>
              </w:rPr>
              <w:t>。</w:t>
            </w:r>
          </w:p>
        </w:tc>
      </w:tr>
      <w:tr w14:paraId="037D78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vMerge w:val="continue"/>
          </w:tcPr>
          <w:p w14:paraId="6E03BA3B">
            <w:pPr>
              <w:snapToGrid w:val="0"/>
              <w:jc w:val="center"/>
              <w:rPr>
                <w:rFonts w:hint="eastAsia" w:ascii="宋体" w:hAnsi="宋体" w:cs="宋体"/>
                <w:bCs/>
                <w:sz w:val="24"/>
              </w:rPr>
            </w:pPr>
          </w:p>
        </w:tc>
        <w:tc>
          <w:tcPr>
            <w:tcW w:w="1250" w:type="dxa"/>
            <w:shd w:val="clear" w:color="auto" w:fill="auto"/>
            <w:vAlign w:val="center"/>
          </w:tcPr>
          <w:p w14:paraId="6E153107">
            <w:pPr>
              <w:autoSpaceDE w:val="0"/>
              <w:autoSpaceDN w:val="0"/>
              <w:adjustRightInd w:val="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项目成员</w:t>
            </w:r>
          </w:p>
        </w:tc>
        <w:tc>
          <w:tcPr>
            <w:tcW w:w="765" w:type="dxa"/>
            <w:shd w:val="clear" w:color="auto" w:fill="auto"/>
            <w:vAlign w:val="center"/>
          </w:tcPr>
          <w:p w14:paraId="4B88EB57">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6分</w:t>
            </w:r>
          </w:p>
        </w:tc>
        <w:tc>
          <w:tcPr>
            <w:tcW w:w="5595" w:type="dxa"/>
            <w:shd w:val="clear" w:color="auto" w:fill="auto"/>
            <w:vAlign w:val="center"/>
          </w:tcPr>
          <w:p w14:paraId="4661FA1B">
            <w:pPr>
              <w:numPr>
                <w:ilvl w:val="0"/>
                <w:numId w:val="0"/>
              </w:numP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供应商为本项目配置不少于3人，列明团队成员名单并明确项目分工</w:t>
            </w:r>
            <w:r>
              <w:rPr>
                <w:rFonts w:hint="eastAsia" w:ascii="宋体" w:hAnsi="宋体" w:eastAsia="宋体" w:cs="宋体"/>
                <w:color w:val="auto"/>
                <w:kern w:val="0"/>
                <w:sz w:val="21"/>
                <w:szCs w:val="21"/>
                <w:highlight w:val="none"/>
                <w:lang w:val="en-US" w:eastAsia="zh-CN" w:bidi="ar"/>
              </w:rPr>
              <w:t>得2分；</w:t>
            </w:r>
          </w:p>
          <w:p w14:paraId="29F54083">
            <w:pPr>
              <w:numPr>
                <w:ilvl w:val="0"/>
                <w:numId w:val="0"/>
              </w:numPr>
              <w:rPr>
                <w:rFonts w:hint="eastAsia" w:ascii="宋体" w:hAnsi="宋体" w:cs="宋体"/>
                <w:color w:val="auto"/>
                <w:sz w:val="21"/>
                <w:szCs w:val="21"/>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项目</w:t>
            </w:r>
            <w:r>
              <w:rPr>
                <w:rFonts w:hint="eastAsia" w:ascii="宋体" w:hAnsi="宋体" w:eastAsia="宋体" w:cs="宋体"/>
                <w:color w:val="auto"/>
                <w:kern w:val="0"/>
                <w:sz w:val="21"/>
                <w:szCs w:val="21"/>
                <w:highlight w:val="none"/>
                <w:lang w:bidi="ar"/>
              </w:rPr>
              <w:t>成员（除项目负责人外）：具有高级工程师</w:t>
            </w:r>
            <w:r>
              <w:rPr>
                <w:rFonts w:hint="eastAsia" w:ascii="宋体" w:hAnsi="宋体" w:cs="宋体"/>
                <w:color w:val="auto"/>
                <w:kern w:val="0"/>
                <w:sz w:val="21"/>
                <w:szCs w:val="21"/>
                <w:highlight w:val="none"/>
                <w:lang w:val="en-US" w:eastAsia="zh-CN" w:bidi="ar"/>
              </w:rPr>
              <w:t>职称或高级电子政务规划设计师证书</w:t>
            </w:r>
            <w:r>
              <w:rPr>
                <w:rFonts w:hint="eastAsia" w:ascii="宋体" w:hAnsi="宋体" w:eastAsia="宋体" w:cs="宋体"/>
                <w:color w:val="auto"/>
                <w:kern w:val="0"/>
                <w:sz w:val="21"/>
                <w:szCs w:val="21"/>
                <w:highlight w:val="none"/>
                <w:lang w:bidi="ar"/>
              </w:rPr>
              <w:t>每人得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满分</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p w14:paraId="7E2D5538">
            <w:pPr>
              <w:rPr>
                <w:rFonts w:hint="eastAsia" w:ascii="宋体" w:hAnsi="宋体" w:eastAsia="宋体" w:cs="宋体"/>
                <w:color w:val="E54C5E" w:themeColor="accent6"/>
                <w:kern w:val="2"/>
                <w:sz w:val="24"/>
                <w:szCs w:val="24"/>
                <w:lang w:val="en-US" w:eastAsia="zh-CN" w:bidi="ar-SA"/>
                <w14:textFill>
                  <w14:solidFill>
                    <w14:schemeClr w14:val="accent6"/>
                  </w14:solidFill>
                </w14:textFill>
              </w:rPr>
            </w:pPr>
            <w:r>
              <w:rPr>
                <w:rFonts w:hint="eastAsia" w:ascii="宋体" w:hAnsi="宋体" w:cs="宋体"/>
                <w:color w:val="auto"/>
                <w:kern w:val="0"/>
                <w:sz w:val="21"/>
                <w:szCs w:val="21"/>
                <w:highlight w:val="none"/>
                <w:lang w:val="en-US" w:eastAsia="zh-CN" w:bidi="ar"/>
              </w:rPr>
              <w:t>注：本项满分6分。需提供项目成员</w:t>
            </w:r>
            <w:r>
              <w:rPr>
                <w:rFonts w:hint="eastAsia" w:ascii="宋体" w:hAnsi="宋体" w:eastAsia="宋体" w:cs="宋体"/>
                <w:color w:val="auto"/>
                <w:kern w:val="0"/>
                <w:sz w:val="21"/>
                <w:szCs w:val="21"/>
                <w:highlight w:val="none"/>
                <w:lang w:bidi="ar"/>
              </w:rPr>
              <w:t>身份证、职称证书等相关</w:t>
            </w:r>
            <w:r>
              <w:rPr>
                <w:rFonts w:hint="eastAsia" w:ascii="宋体" w:hAnsi="宋体" w:cs="宋体"/>
                <w:color w:val="auto"/>
                <w:kern w:val="0"/>
                <w:sz w:val="21"/>
                <w:szCs w:val="21"/>
                <w:highlight w:val="none"/>
                <w:lang w:val="en-US" w:eastAsia="zh-CN" w:bidi="ar"/>
              </w:rPr>
              <w:t>证明</w:t>
            </w:r>
            <w:r>
              <w:rPr>
                <w:rFonts w:hint="eastAsia" w:ascii="宋体" w:hAnsi="宋体" w:eastAsia="宋体" w:cs="宋体"/>
                <w:color w:val="auto"/>
                <w:kern w:val="0"/>
                <w:sz w:val="21"/>
                <w:szCs w:val="21"/>
                <w:highlight w:val="none"/>
                <w:lang w:bidi="ar"/>
              </w:rPr>
              <w:t>材料，</w:t>
            </w:r>
            <w:r>
              <w:rPr>
                <w:rFonts w:hint="eastAsia" w:ascii="宋体" w:hAnsi="宋体" w:cs="宋体"/>
                <w:color w:val="auto"/>
                <w:kern w:val="0"/>
                <w:sz w:val="21"/>
                <w:szCs w:val="21"/>
                <w:highlight w:val="none"/>
                <w:lang w:val="en-US" w:eastAsia="zh-CN" w:bidi="ar"/>
              </w:rPr>
              <w:t>并提供项目成员</w:t>
            </w:r>
            <w:r>
              <w:rPr>
                <w:rFonts w:hint="eastAsia" w:ascii="宋体" w:hAnsi="宋体" w:eastAsia="宋体" w:cs="宋体"/>
                <w:color w:val="auto"/>
                <w:kern w:val="0"/>
                <w:sz w:val="21"/>
                <w:szCs w:val="21"/>
                <w:highlight w:val="none"/>
                <w:lang w:bidi="ar"/>
              </w:rPr>
              <w:t>在本单位缴纳202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年1</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月至今任意三个月的</w:t>
            </w:r>
            <w:r>
              <w:rPr>
                <w:rFonts w:hint="eastAsia" w:ascii="宋体" w:hAnsi="宋体" w:eastAsia="宋体" w:cs="宋体"/>
                <w:color w:val="000000"/>
                <w:kern w:val="0"/>
                <w:sz w:val="21"/>
                <w:szCs w:val="21"/>
                <w:highlight w:val="none"/>
                <w:lang w:bidi="ar"/>
              </w:rPr>
              <w:t>社保</w:t>
            </w:r>
            <w:r>
              <w:rPr>
                <w:rFonts w:hint="eastAsia" w:ascii="宋体" w:hAnsi="宋体" w:cs="宋体"/>
                <w:color w:val="000000"/>
                <w:kern w:val="0"/>
                <w:sz w:val="21"/>
                <w:szCs w:val="21"/>
                <w:highlight w:val="none"/>
                <w:lang w:val="en-US" w:eastAsia="zh-CN" w:bidi="ar"/>
              </w:rPr>
              <w:t>承诺函</w:t>
            </w:r>
            <w:r>
              <w:rPr>
                <w:rFonts w:hint="eastAsia" w:ascii="宋体" w:hAnsi="宋体" w:eastAsia="宋体" w:cs="宋体"/>
                <w:color w:val="000000"/>
                <w:kern w:val="0"/>
                <w:sz w:val="21"/>
                <w:szCs w:val="21"/>
                <w:highlight w:val="none"/>
                <w:lang w:bidi="ar"/>
              </w:rPr>
              <w:t>加盖公章</w:t>
            </w:r>
            <w:r>
              <w:rPr>
                <w:rFonts w:hint="eastAsia" w:ascii="宋体" w:hAnsi="宋体" w:cs="宋体"/>
                <w:color w:val="auto"/>
                <w:kern w:val="0"/>
                <w:sz w:val="21"/>
                <w:szCs w:val="21"/>
                <w:highlight w:val="none"/>
                <w:lang w:val="en-US" w:eastAsia="zh-CN" w:bidi="ar"/>
              </w:rPr>
              <w:t>或其它劳动关系证明资料</w:t>
            </w:r>
            <w:r>
              <w:rPr>
                <w:rFonts w:hint="eastAsia" w:ascii="宋体" w:hAnsi="宋体" w:eastAsia="宋体" w:cs="宋体"/>
                <w:color w:val="auto"/>
                <w:kern w:val="0"/>
                <w:sz w:val="21"/>
                <w:szCs w:val="21"/>
                <w:highlight w:val="none"/>
                <w:lang w:bidi="ar"/>
              </w:rPr>
              <w:t>复印件</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加盖公章</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成立不足3个月的，提供成立至今）</w:t>
            </w:r>
            <w:r>
              <w:rPr>
                <w:rFonts w:hint="eastAsia" w:ascii="宋体" w:hAnsi="宋体" w:cs="宋体"/>
                <w:color w:val="auto"/>
                <w:kern w:val="0"/>
                <w:sz w:val="21"/>
                <w:szCs w:val="21"/>
                <w:lang w:eastAsia="zh-CN"/>
              </w:rPr>
              <w:t>。</w:t>
            </w:r>
            <w:r>
              <w:rPr>
                <w:rFonts w:hint="eastAsia" w:ascii="宋体" w:hAnsi="宋体" w:cs="宋体"/>
                <w:b/>
                <w:bCs/>
                <w:color w:val="auto"/>
                <w:sz w:val="21"/>
                <w:szCs w:val="21"/>
              </w:rPr>
              <w:t>同1人具有多项证书的，按1项证书计分，不重复计分</w:t>
            </w:r>
            <w:r>
              <w:rPr>
                <w:rFonts w:hint="eastAsia" w:ascii="宋体" w:hAnsi="宋体" w:cs="宋体"/>
                <w:color w:val="auto"/>
                <w:sz w:val="21"/>
                <w:szCs w:val="21"/>
              </w:rPr>
              <w:t>。</w:t>
            </w:r>
          </w:p>
        </w:tc>
      </w:tr>
      <w:tr w14:paraId="44E567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4B5BE995">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三</w:t>
            </w:r>
            <w:r>
              <w:rPr>
                <w:rFonts w:hint="eastAsia" w:ascii="宋体" w:hAnsi="宋体" w:cs="宋体"/>
                <w:sz w:val="24"/>
              </w:rPr>
              <w:t>、价格评审</w:t>
            </w:r>
            <w:r>
              <w:rPr>
                <w:rFonts w:hint="eastAsia" w:ascii="宋体" w:hAnsi="宋体" w:cs="宋体"/>
                <w:sz w:val="24"/>
                <w:lang w:eastAsia="zh-CN"/>
              </w:rPr>
              <w:t>（</w:t>
            </w:r>
            <w:r>
              <w:rPr>
                <w:rFonts w:hint="eastAsia" w:ascii="宋体" w:hAnsi="宋体" w:cs="宋体"/>
                <w:sz w:val="24"/>
                <w:lang w:val="en-US" w:eastAsia="zh-CN"/>
              </w:rPr>
              <w:t>10分）</w:t>
            </w:r>
          </w:p>
        </w:tc>
        <w:tc>
          <w:tcPr>
            <w:tcW w:w="1250" w:type="dxa"/>
            <w:shd w:val="clear" w:color="auto" w:fill="auto"/>
            <w:vAlign w:val="center"/>
          </w:tcPr>
          <w:p w14:paraId="7CD6AB52">
            <w:pPr>
              <w:widowControl/>
              <w:jc w:val="center"/>
              <w:rPr>
                <w:rFonts w:hint="eastAsia" w:ascii="宋体" w:hAnsi="宋体" w:eastAsia="宋体" w:cs="宋体"/>
                <w:kern w:val="2"/>
                <w:sz w:val="24"/>
                <w:szCs w:val="24"/>
                <w:lang w:val="en-US" w:eastAsia="zh-CN" w:bidi="ar-SA"/>
              </w:rPr>
            </w:pPr>
            <w:r>
              <w:rPr>
                <w:rFonts w:hint="eastAsia" w:ascii="宋体" w:hAnsi="宋体" w:cs="宋体"/>
                <w:sz w:val="24"/>
              </w:rPr>
              <w:t>报价得分</w:t>
            </w:r>
          </w:p>
        </w:tc>
        <w:tc>
          <w:tcPr>
            <w:tcW w:w="765" w:type="dxa"/>
            <w:shd w:val="clear" w:color="auto" w:fill="auto"/>
            <w:vAlign w:val="center"/>
          </w:tcPr>
          <w:p w14:paraId="5BF17CAA">
            <w:pPr>
              <w:widowControl/>
              <w:jc w:val="center"/>
              <w:rPr>
                <w:rFonts w:hint="eastAsia" w:ascii="宋体" w:hAnsi="宋体" w:eastAsia="宋体" w:cs="宋体"/>
                <w:kern w:val="2"/>
                <w:sz w:val="24"/>
                <w:szCs w:val="24"/>
                <w:lang w:val="en-US" w:eastAsia="zh-CN" w:bidi="ar-SA"/>
              </w:rPr>
            </w:pPr>
            <w:r>
              <w:rPr>
                <w:rFonts w:hint="eastAsia" w:ascii="宋体" w:hAnsi="宋体" w:cs="宋体"/>
                <w:sz w:val="24"/>
              </w:rPr>
              <w:t>10</w:t>
            </w:r>
            <w:r>
              <w:rPr>
                <w:rFonts w:hint="eastAsia" w:ascii="宋体" w:hAnsi="宋体" w:cs="宋体"/>
                <w:sz w:val="24"/>
                <w:lang w:val="en-US" w:eastAsia="zh-CN"/>
              </w:rPr>
              <w:t>分</w:t>
            </w:r>
          </w:p>
        </w:tc>
        <w:tc>
          <w:tcPr>
            <w:tcW w:w="5595" w:type="dxa"/>
            <w:shd w:val="clear" w:color="auto" w:fill="auto"/>
            <w:vAlign w:val="center"/>
          </w:tcPr>
          <w:p w14:paraId="569486BD">
            <w:pPr>
              <w:widowControl/>
              <w:rPr>
                <w:rFonts w:hint="eastAsia" w:ascii="宋体" w:hAnsi="宋体" w:cs="宋体"/>
                <w:sz w:val="21"/>
                <w:szCs w:val="21"/>
              </w:rPr>
            </w:pPr>
            <w:r>
              <w:rPr>
                <w:rFonts w:hint="eastAsia" w:ascii="宋体" w:hAnsi="宋体" w:cs="宋体"/>
                <w:sz w:val="21"/>
                <w:szCs w:val="21"/>
              </w:rPr>
              <w:t>满足采购文件要求且响应价格最低的响应报价为评标基准价，按照下列公式计算每个供应商的报价得分。</w:t>
            </w:r>
          </w:p>
          <w:p w14:paraId="68C9414D">
            <w:pPr>
              <w:widowControl/>
              <w:rPr>
                <w:rFonts w:hint="eastAsia" w:ascii="宋体" w:hAnsi="宋体" w:cs="宋体"/>
                <w:sz w:val="21"/>
                <w:szCs w:val="21"/>
              </w:rPr>
            </w:pPr>
            <w:r>
              <w:rPr>
                <w:rFonts w:hint="eastAsia" w:ascii="宋体" w:hAnsi="宋体" w:cs="宋体"/>
                <w:sz w:val="21"/>
                <w:szCs w:val="21"/>
              </w:rPr>
              <w:t>报价得分=（评标基准价/价格扣除后的投标报价）×100×报价分值权重；评标基准价等于有效投标单位中价格扣除后报价的最小值</w:t>
            </w:r>
          </w:p>
          <w:p w14:paraId="29D693F2">
            <w:pPr>
              <w:widowControl/>
              <w:rPr>
                <w:rFonts w:hint="eastAsia" w:ascii="宋体" w:hAnsi="宋体" w:cs="宋体"/>
                <w:sz w:val="21"/>
                <w:szCs w:val="21"/>
              </w:rPr>
            </w:pPr>
            <w:r>
              <w:rPr>
                <w:rFonts w:hint="eastAsia" w:ascii="宋体" w:hAnsi="宋体" w:cs="宋体"/>
                <w:sz w:val="21"/>
                <w:szCs w:val="21"/>
              </w:rPr>
              <w:t>1.响应报价超过本项目采购限价的作无效响应处理；</w:t>
            </w:r>
          </w:p>
          <w:p w14:paraId="4071E1D7">
            <w:pPr>
              <w:rPr>
                <w:rFonts w:hint="eastAsia" w:ascii="宋体" w:hAnsi="宋体" w:eastAsia="宋体" w:cs="宋体"/>
                <w:kern w:val="2"/>
                <w:sz w:val="24"/>
                <w:szCs w:val="24"/>
                <w:lang w:val="en-US" w:eastAsia="zh-CN" w:bidi="ar-SA"/>
              </w:rPr>
            </w:pPr>
            <w:r>
              <w:rPr>
                <w:rFonts w:hint="eastAsia" w:ascii="宋体" w:hAnsi="宋体" w:cs="宋体"/>
                <w:sz w:val="21"/>
                <w:szCs w:val="21"/>
              </w:rPr>
              <w:t>2.被确定为无效响应的报价不进入价格分计算。</w:t>
            </w:r>
          </w:p>
        </w:tc>
      </w:tr>
      <w:tr w14:paraId="0335B5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59C9A8D8">
            <w:pPr>
              <w:widowControl/>
              <w:jc w:val="center"/>
              <w:rPr>
                <w:rFonts w:hint="default" w:ascii="宋体" w:hAnsi="宋体" w:cs="宋体"/>
                <w:sz w:val="24"/>
                <w:lang w:val="en-US" w:eastAsia="zh-CN"/>
              </w:rPr>
            </w:pPr>
            <w:r>
              <w:rPr>
                <w:rFonts w:hint="eastAsia" w:ascii="宋体" w:hAnsi="宋体" w:cs="宋体"/>
                <w:sz w:val="24"/>
                <w:lang w:val="en-US" w:eastAsia="zh-CN"/>
              </w:rPr>
              <w:t>四</w:t>
            </w:r>
          </w:p>
        </w:tc>
        <w:tc>
          <w:tcPr>
            <w:tcW w:w="1250" w:type="dxa"/>
            <w:shd w:val="clear" w:color="auto" w:fill="auto"/>
            <w:vAlign w:val="center"/>
          </w:tcPr>
          <w:p w14:paraId="4F726C0D">
            <w:pPr>
              <w:widowControl/>
              <w:jc w:val="center"/>
              <w:rPr>
                <w:rFonts w:hint="default" w:ascii="宋体" w:hAnsi="宋体" w:eastAsia="宋体" w:cs="宋体"/>
                <w:sz w:val="24"/>
                <w:lang w:val="en-US" w:eastAsia="zh-CN"/>
              </w:rPr>
            </w:pPr>
            <w:r>
              <w:rPr>
                <w:rFonts w:hint="eastAsia" w:ascii="宋体" w:hAnsi="宋体" w:cs="宋体"/>
                <w:sz w:val="24"/>
                <w:lang w:val="en-US" w:eastAsia="zh-CN"/>
              </w:rPr>
              <w:t>总比分</w:t>
            </w:r>
          </w:p>
        </w:tc>
        <w:tc>
          <w:tcPr>
            <w:tcW w:w="765" w:type="dxa"/>
            <w:shd w:val="clear" w:color="auto" w:fill="auto"/>
            <w:vAlign w:val="center"/>
          </w:tcPr>
          <w:p w14:paraId="15EAD17A">
            <w:pPr>
              <w:widowControl/>
              <w:jc w:val="center"/>
              <w:rPr>
                <w:rFonts w:hint="default" w:ascii="宋体" w:hAnsi="宋体" w:eastAsia="宋体" w:cs="宋体"/>
                <w:sz w:val="24"/>
                <w:lang w:val="en-US" w:eastAsia="zh-CN"/>
              </w:rPr>
            </w:pPr>
            <w:r>
              <w:rPr>
                <w:rFonts w:hint="eastAsia" w:ascii="宋体" w:hAnsi="宋体" w:cs="宋体"/>
                <w:sz w:val="24"/>
                <w:lang w:val="en-US" w:eastAsia="zh-CN"/>
              </w:rPr>
              <w:t>100分</w:t>
            </w:r>
          </w:p>
        </w:tc>
        <w:tc>
          <w:tcPr>
            <w:tcW w:w="5595" w:type="dxa"/>
            <w:shd w:val="clear" w:color="auto" w:fill="auto"/>
            <w:vAlign w:val="center"/>
          </w:tcPr>
          <w:p w14:paraId="5405EE48">
            <w:pPr>
              <w:rPr>
                <w:rFonts w:hint="eastAsia" w:ascii="宋体" w:hAnsi="宋体" w:cs="宋体"/>
                <w:sz w:val="21"/>
                <w:szCs w:val="21"/>
              </w:rPr>
            </w:pPr>
          </w:p>
        </w:tc>
      </w:tr>
    </w:tbl>
    <w:p w14:paraId="42E058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D3E85"/>
    <w:multiLevelType w:val="singleLevel"/>
    <w:tmpl w:val="CE7D3E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92AA3"/>
    <w:rsid w:val="7B69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sz w:val="21"/>
      <w:szCs w:val="24"/>
      <w:lang w:val="en-US" w:eastAsia="zh-CN" w:bidi="ar-SA"/>
    </w:rPr>
  </w:style>
  <w:style w:type="paragraph" w:styleId="3">
    <w:name w:val="Date"/>
    <w:basedOn w:val="1"/>
    <w:next w:val="1"/>
    <w:qFormat/>
    <w:uiPriority w:val="0"/>
    <w:pPr>
      <w:tabs>
        <w:tab w:val="left" w:pos="600"/>
        <w:tab w:val="left" w:pos="960"/>
        <w:tab w:val="left" w:pos="1080"/>
      </w:tabs>
      <w:overflowPunct w:val="0"/>
      <w:spacing w:after="260" w:line="220" w:lineRule="atLeast"/>
      <w:ind w:left="835" w:right="28" w:firstLine="480"/>
      <w:jc w:val="right"/>
    </w:pPr>
    <w:rPr>
      <w:rFonts w:ascii="宋体" w:hAnsi="宋体" w:cs="宋体"/>
      <w:sz w:val="24"/>
      <w:lang w:val="en-US" w:eastAsia="zh-CN" w:bidi="ar-SA"/>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2025-08-13T09:05:00Z</dcterms:created>
  <dc:creator>yhhdsb</dc:creator>
  <cp:lastModifiedBy>yhhdsb</cp:lastModifiedBy>
  <dcterms:modified xsi:type="dcterms:W3CDTF">2025-08-13T09:06:28Z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2C305DFB8550452B96481C41C4DD841B_11</vt:lpwstr>
  </property>
  <property fmtid="{D5CDD505-2E9C-101B-9397-08002B2CF9AE}" pid="4" name="KSOTemplateDocerSaveRecord">
    <vt:lpwstr>eyJoZGlkIjoiYzIzOGNmMTRhNTM0YWZjZmM0M2U0OTk4ZmU2YzNiNTAiLCJ1c2VySWQiOiIxMTk3NDgzMjIwIn0=</vt:lpwstr>
  </property>
</Properties>
</file>