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1CFFDC">
      <w:pPr>
        <w:jc w:val="center"/>
        <w:rPr>
          <w:b/>
          <w:sz w:val="44"/>
        </w:rPr>
      </w:pPr>
      <w:bookmarkStart w:id="0" w:name="_Toc494597746"/>
      <w:bookmarkStart w:id="1" w:name="_Toc484848505"/>
      <w:bookmarkStart w:id="2" w:name="_Toc506611778"/>
      <w:bookmarkStart w:id="3" w:name="_Toc506628521"/>
      <w:bookmarkStart w:id="4" w:name="_Toc46738283"/>
      <w:bookmarkStart w:id="5" w:name="_Toc517502601"/>
      <w:bookmarkStart w:id="6" w:name="_Toc169338716"/>
      <w:bookmarkStart w:id="7" w:name="_Toc46738149"/>
      <w:bookmarkStart w:id="8" w:name="_Toc490832162"/>
      <w:bookmarkStart w:id="9" w:name="_Toc75917299"/>
      <w:bookmarkStart w:id="10" w:name="_Toc531987376"/>
      <w:bookmarkStart w:id="11" w:name="_Toc494875372"/>
      <w:bookmarkStart w:id="12" w:name="_Toc484827160"/>
      <w:bookmarkStart w:id="13" w:name="_Toc46738410"/>
      <w:bookmarkStart w:id="14" w:name="_Toc506611570"/>
      <w:bookmarkStart w:id="15" w:name="_Toc12118333"/>
      <w:bookmarkStart w:id="65" w:name="_GoBack"/>
      <w:bookmarkEnd w:id="65"/>
    </w:p>
    <w:p w14:paraId="1090719E">
      <w:pPr>
        <w:jc w:val="center"/>
        <w:rPr>
          <w:b/>
          <w:sz w:val="44"/>
        </w:rPr>
      </w:pPr>
    </w:p>
    <w:p w14:paraId="106373F2">
      <w:pPr>
        <w:jc w:val="center"/>
        <w:rPr>
          <w:b/>
          <w:bCs/>
          <w:sz w:val="44"/>
        </w:rPr>
      </w:pPr>
      <w:r>
        <w:rPr>
          <w:rFonts w:hint="eastAsia"/>
          <w:b/>
          <w:sz w:val="44"/>
        </w:rPr>
        <w:t>2025年采购项目</w:t>
      </w:r>
    </w:p>
    <w:p w14:paraId="5263D192">
      <w:pPr>
        <w:spacing w:line="240" w:lineRule="atLeast"/>
        <w:jc w:val="center"/>
        <w:rPr>
          <w:rFonts w:ascii="宋体"/>
          <w:sz w:val="32"/>
          <w:szCs w:val="32"/>
        </w:rPr>
      </w:pPr>
    </w:p>
    <w:p w14:paraId="5A6BB2E4">
      <w:pPr>
        <w:spacing w:line="240" w:lineRule="atLeast"/>
        <w:jc w:val="center"/>
        <w:rPr>
          <w:rFonts w:ascii="宋体"/>
          <w:sz w:val="32"/>
          <w:szCs w:val="32"/>
        </w:rPr>
      </w:pPr>
    </w:p>
    <w:p w14:paraId="70BAC166">
      <w:pPr>
        <w:spacing w:line="240" w:lineRule="atLeast"/>
        <w:jc w:val="center"/>
        <w:rPr>
          <w:rFonts w:ascii="宋体"/>
          <w:sz w:val="32"/>
          <w:szCs w:val="32"/>
        </w:rPr>
      </w:pPr>
      <w:r>
        <w:rPr>
          <w:rFonts w:hint="eastAsia" w:ascii="宋体"/>
          <w:sz w:val="32"/>
          <w:szCs w:val="32"/>
        </w:rPr>
        <w:t>项目名称：纪检谈话室项目（第三次采购）</w:t>
      </w:r>
    </w:p>
    <w:p w14:paraId="479A4776">
      <w:pPr>
        <w:spacing w:line="240" w:lineRule="atLeast"/>
        <w:jc w:val="center"/>
        <w:rPr>
          <w:rFonts w:ascii="宋体"/>
          <w:sz w:val="32"/>
          <w:szCs w:val="32"/>
        </w:rPr>
      </w:pPr>
    </w:p>
    <w:p w14:paraId="04B458CE">
      <w:pPr>
        <w:pStyle w:val="6"/>
        <w:keepNext w:val="0"/>
        <w:keepLines w:val="0"/>
        <w:widowControl/>
        <w:shd w:val="clear" w:color="auto" w:fill="FFFFFF"/>
        <w:spacing w:before="0" w:after="0"/>
        <w:jc w:val="center"/>
        <w:rPr>
          <w:rFonts w:hAnsi="Times New Roman"/>
          <w:b w:val="0"/>
          <w:sz w:val="32"/>
          <w:szCs w:val="32"/>
        </w:rPr>
      </w:pPr>
      <w:r>
        <w:rPr>
          <w:rFonts w:hint="eastAsia" w:hAnsi="Times New Roman"/>
          <w:b w:val="0"/>
          <w:sz w:val="32"/>
          <w:szCs w:val="32"/>
        </w:rPr>
        <w:t>项目编号:HNJY2025-88-29RR</w:t>
      </w:r>
    </w:p>
    <w:p w14:paraId="15BF8FA2">
      <w:pPr>
        <w:spacing w:line="240" w:lineRule="atLeast"/>
        <w:jc w:val="center"/>
        <w:rPr>
          <w:rFonts w:ascii="宋体"/>
          <w:sz w:val="32"/>
          <w:szCs w:val="32"/>
        </w:rPr>
      </w:pPr>
    </w:p>
    <w:p w14:paraId="70F6078D">
      <w:pPr>
        <w:spacing w:line="240" w:lineRule="atLeast"/>
        <w:jc w:val="center"/>
        <w:rPr>
          <w:rFonts w:hint="eastAsia" w:ascii="宋体" w:hAnsi="宋体"/>
          <w:b/>
          <w:kern w:val="0"/>
          <w:sz w:val="28"/>
          <w:szCs w:val="28"/>
        </w:rPr>
      </w:pPr>
    </w:p>
    <w:p w14:paraId="298C93ED">
      <w:pPr>
        <w:spacing w:line="240" w:lineRule="atLeast"/>
        <w:rPr>
          <w:b/>
          <w:sz w:val="28"/>
        </w:rPr>
      </w:pPr>
    </w:p>
    <w:p w14:paraId="1113AD90">
      <w:pPr>
        <w:spacing w:line="240" w:lineRule="atLeast"/>
        <w:jc w:val="center"/>
        <w:rPr>
          <w:b/>
          <w:sz w:val="28"/>
        </w:rPr>
      </w:pPr>
    </w:p>
    <w:p w14:paraId="3AF62536">
      <w:pPr>
        <w:spacing w:line="240" w:lineRule="atLeast"/>
        <w:jc w:val="center"/>
        <w:rPr>
          <w:sz w:val="72"/>
          <w:szCs w:val="72"/>
        </w:rPr>
      </w:pPr>
      <w:r>
        <w:rPr>
          <w:rFonts w:hint="eastAsia"/>
          <w:sz w:val="72"/>
          <w:szCs w:val="72"/>
        </w:rPr>
        <w:t>公开比选采购文件</w:t>
      </w:r>
    </w:p>
    <w:p w14:paraId="0FFE4F6D">
      <w:pPr>
        <w:spacing w:line="240" w:lineRule="atLeast"/>
        <w:jc w:val="center"/>
        <w:rPr>
          <w:rFonts w:ascii="宋体"/>
          <w:sz w:val="72"/>
          <w:szCs w:val="72"/>
        </w:rPr>
      </w:pPr>
    </w:p>
    <w:p w14:paraId="2A39D507">
      <w:pPr>
        <w:spacing w:line="240" w:lineRule="atLeast"/>
        <w:rPr>
          <w:rFonts w:ascii="宋体"/>
          <w:b/>
          <w:sz w:val="32"/>
        </w:rPr>
      </w:pPr>
    </w:p>
    <w:p w14:paraId="07AE2B83">
      <w:pPr>
        <w:spacing w:line="240" w:lineRule="atLeast"/>
        <w:rPr>
          <w:rFonts w:ascii="宋体"/>
          <w:b/>
          <w:sz w:val="32"/>
        </w:rPr>
      </w:pPr>
    </w:p>
    <w:p w14:paraId="3FC7FC62">
      <w:pPr>
        <w:spacing w:line="240" w:lineRule="atLeast"/>
        <w:rPr>
          <w:rFonts w:ascii="宋体"/>
          <w:b/>
          <w:sz w:val="32"/>
        </w:rPr>
      </w:pPr>
    </w:p>
    <w:p w14:paraId="762A137D">
      <w:pPr>
        <w:jc w:val="center"/>
        <w:rPr>
          <w:rFonts w:hint="eastAsia" w:ascii="宋体" w:hAnsi="宋体"/>
          <w:sz w:val="30"/>
          <w:szCs w:val="30"/>
        </w:rPr>
      </w:pPr>
      <w:r>
        <w:rPr>
          <w:rFonts w:hint="eastAsia" w:ascii="宋体" w:hAnsi="宋体"/>
          <w:sz w:val="30"/>
          <w:szCs w:val="30"/>
        </w:rPr>
        <w:t>采购人：海南省军粮统筹配送中心有限公司</w:t>
      </w:r>
    </w:p>
    <w:p w14:paraId="473AA516">
      <w:pPr>
        <w:pStyle w:val="23"/>
        <w:ind w:left="0" w:firstLine="0"/>
        <w:jc w:val="center"/>
        <w:outlineLvl w:val="0"/>
        <w:rPr>
          <w:rFonts w:hint="eastAsia"/>
          <w:b/>
          <w:sz w:val="32"/>
          <w:szCs w:val="32"/>
        </w:rPr>
      </w:pPr>
      <w:r>
        <w:rPr>
          <w:rFonts w:hint="eastAsia"/>
          <w:sz w:val="30"/>
          <w:szCs w:val="30"/>
        </w:rPr>
        <w:t>采购代理机构：海南省教学仪器设备招标中心有限公司</w:t>
      </w:r>
    </w:p>
    <w:p w14:paraId="2FDC0E71">
      <w:pPr>
        <w:pStyle w:val="23"/>
        <w:ind w:left="0" w:firstLine="0"/>
        <w:jc w:val="center"/>
        <w:rPr>
          <w:rFonts w:hint="eastAsia"/>
          <w:sz w:val="32"/>
          <w:szCs w:val="32"/>
        </w:rPr>
      </w:pPr>
      <w:bookmarkStart w:id="16" w:name="OLE_LINK1"/>
      <w:bookmarkStart w:id="17" w:name="OLE_LINK2"/>
      <w:r>
        <w:rPr>
          <w:rFonts w:hint="eastAsia"/>
          <w:sz w:val="32"/>
          <w:szCs w:val="32"/>
        </w:rPr>
        <w:t>2025年9月</w:t>
      </w:r>
    </w:p>
    <w:bookmarkEnd w:id="16"/>
    <w:bookmarkEnd w:id="17"/>
    <w:p w14:paraId="2822C989">
      <w:pPr>
        <w:jc w:val="center"/>
      </w:pPr>
    </w:p>
    <w:p w14:paraId="599A675B">
      <w:pPr>
        <w:jc w:val="center"/>
        <w:rPr>
          <w:b/>
          <w:bCs/>
          <w:sz w:val="36"/>
          <w:szCs w:val="36"/>
        </w:rPr>
      </w:pPr>
    </w:p>
    <w:p w14:paraId="137BFF0E">
      <w:pPr>
        <w:jc w:val="center"/>
        <w:rPr>
          <w:b/>
          <w:bCs/>
          <w:sz w:val="36"/>
          <w:szCs w:val="36"/>
        </w:rPr>
      </w:pPr>
      <w:r>
        <w:rPr>
          <w:rFonts w:hint="eastAsia"/>
          <w:b/>
          <w:bCs/>
          <w:sz w:val="36"/>
          <w:szCs w:val="36"/>
        </w:rPr>
        <w:t>目    录</w:t>
      </w:r>
    </w:p>
    <w:p w14:paraId="16F46C45">
      <w:pPr>
        <w:pStyle w:val="23"/>
        <w:spacing w:line="360" w:lineRule="exact"/>
        <w:ind w:left="836" w:leftChars="398" w:firstLine="1918" w:firstLineChars="597"/>
        <w:jc w:val="both"/>
        <w:rPr>
          <w:rFonts w:hint="eastAsia"/>
          <w:b/>
          <w:bCs/>
          <w:sz w:val="32"/>
          <w:szCs w:val="32"/>
        </w:rPr>
      </w:pPr>
    </w:p>
    <w:p w14:paraId="39EA3EAD"/>
    <w:p w14:paraId="6A7341BF">
      <w:pPr>
        <w:spacing w:line="900" w:lineRule="exact"/>
        <w:rPr>
          <w:b/>
          <w:sz w:val="32"/>
          <w:szCs w:val="32"/>
        </w:rPr>
      </w:pPr>
      <w:r>
        <w:rPr>
          <w:rFonts w:hint="eastAsia"/>
          <w:b/>
          <w:sz w:val="32"/>
          <w:szCs w:val="32"/>
        </w:rPr>
        <w:t>第一部分       公开比选采购邀请函</w:t>
      </w:r>
    </w:p>
    <w:p w14:paraId="62AE207D">
      <w:pPr>
        <w:spacing w:line="900" w:lineRule="exact"/>
        <w:outlineLvl w:val="0"/>
        <w:rPr>
          <w:b/>
          <w:sz w:val="32"/>
          <w:szCs w:val="32"/>
        </w:rPr>
      </w:pPr>
      <w:r>
        <w:rPr>
          <w:rFonts w:hint="eastAsia"/>
          <w:b/>
          <w:sz w:val="32"/>
          <w:szCs w:val="32"/>
        </w:rPr>
        <w:t>第二部分　     公开比选采购项目需求</w:t>
      </w:r>
    </w:p>
    <w:p w14:paraId="4D214F06">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投标人须知</w:t>
      </w:r>
    </w:p>
    <w:p w14:paraId="11E17D70">
      <w:pPr>
        <w:spacing w:line="900" w:lineRule="exact"/>
        <w:rPr>
          <w:b/>
          <w:sz w:val="32"/>
          <w:szCs w:val="32"/>
        </w:rPr>
      </w:pPr>
      <w:r>
        <w:rPr>
          <w:rFonts w:hint="eastAsia"/>
          <w:b/>
          <w:sz w:val="32"/>
          <w:szCs w:val="32"/>
        </w:rPr>
        <w:t>第四部分       评审办法</w:t>
      </w:r>
    </w:p>
    <w:p w14:paraId="1295E684">
      <w:pPr>
        <w:spacing w:line="900" w:lineRule="exact"/>
        <w:rPr>
          <w:b/>
          <w:sz w:val="32"/>
          <w:szCs w:val="32"/>
        </w:rPr>
      </w:pPr>
      <w:r>
        <w:rPr>
          <w:rFonts w:hint="eastAsia"/>
          <w:b/>
          <w:sz w:val="32"/>
          <w:szCs w:val="32"/>
        </w:rPr>
        <w:t>第五部分       合同条款格式</w:t>
      </w:r>
    </w:p>
    <w:p w14:paraId="1BB90B9B">
      <w:pPr>
        <w:spacing w:line="900" w:lineRule="exact"/>
        <w:rPr>
          <w:b/>
          <w:sz w:val="32"/>
          <w:szCs w:val="32"/>
        </w:rPr>
      </w:pPr>
      <w:r>
        <w:rPr>
          <w:rFonts w:hint="eastAsia"/>
          <w:b/>
          <w:sz w:val="32"/>
          <w:szCs w:val="32"/>
        </w:rPr>
        <w:t>第六部分       响应文件格式</w:t>
      </w:r>
    </w:p>
    <w:p w14:paraId="24FEEEE2"/>
    <w:p w14:paraId="631F2912"/>
    <w:p w14:paraId="3D7770A1"/>
    <w:p w14:paraId="2A28A934"/>
    <w:p w14:paraId="74F00C20"/>
    <w:p w14:paraId="380E1878"/>
    <w:p w14:paraId="0FCD7C5A"/>
    <w:p w14:paraId="59284A7B"/>
    <w:p w14:paraId="79BE3CF4"/>
    <w:p w14:paraId="1235488A"/>
    <w:p w14:paraId="212C9F31"/>
    <w:p w14:paraId="47E3D219"/>
    <w:p w14:paraId="09FFE4DF"/>
    <w:p w14:paraId="38FC060B"/>
    <w:p w14:paraId="3780B554"/>
    <w:p w14:paraId="5FB92F7B"/>
    <w:p w14:paraId="5E5F64F6"/>
    <w:p w14:paraId="0CB1250F"/>
    <w:p w14:paraId="02E775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048C2EC5">
      <w:pPr>
        <w:pStyle w:val="6"/>
        <w:rPr>
          <w:bCs/>
          <w:sz w:val="32"/>
          <w:szCs w:val="32"/>
        </w:rPr>
      </w:pPr>
    </w:p>
    <w:p w14:paraId="10EAF198"/>
    <w:p w14:paraId="20431D44">
      <w:pPr>
        <w:pStyle w:val="167"/>
        <w:spacing w:line="360" w:lineRule="exact"/>
        <w:ind w:left="0" w:firstLine="0"/>
        <w:jc w:val="center"/>
        <w:rPr>
          <w:rFonts w:hint="eastAsia"/>
        </w:rPr>
      </w:pPr>
      <w:r>
        <w:rPr>
          <w:rFonts w:hint="eastAsia"/>
          <w:b/>
          <w:bCs/>
          <w:sz w:val="32"/>
          <w:szCs w:val="32"/>
        </w:rPr>
        <w:t>第一部分　采购</w:t>
      </w:r>
      <w:r>
        <w:rPr>
          <w:rFonts w:hint="eastAsia"/>
          <w:b/>
          <w:sz w:val="32"/>
          <w:szCs w:val="32"/>
        </w:rPr>
        <w:t>邀请函</w:t>
      </w:r>
    </w:p>
    <w:p w14:paraId="49C6881E">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6060B0E3">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纪检谈话室项目（第三次采购）的潜在投标人应在海南阳光采购平台（https://hnsygszh.etrading.cn/）获取公开比选采购文件，并于</w:t>
      </w:r>
      <w:r>
        <w:rPr>
          <w:rFonts w:hint="eastAsia" w:ascii="宋体" w:hAnsi="宋体" w:cs="宋体"/>
          <w:kern w:val="0"/>
          <w:sz w:val="24"/>
          <w:u w:val="single"/>
        </w:rPr>
        <w:t>2025年9月9日09点00分（北京时间）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786EEFA5">
      <w:pPr>
        <w:adjustRightInd w:val="0"/>
        <w:snapToGrid w:val="0"/>
        <w:spacing w:line="360" w:lineRule="auto"/>
        <w:rPr>
          <w:rFonts w:hint="eastAsia" w:ascii="宋体" w:hAnsi="宋体" w:cs="宋体"/>
          <w:kern w:val="0"/>
          <w:sz w:val="24"/>
        </w:rPr>
      </w:pPr>
    </w:p>
    <w:p w14:paraId="52EC7E7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18" w:name="_Toc35393629"/>
      <w:bookmarkStart w:id="19" w:name="_Toc35393798"/>
      <w:bookmarkStart w:id="20" w:name="_Toc28359012"/>
      <w:bookmarkStart w:id="21" w:name="_Toc28359089"/>
      <w:r>
        <w:rPr>
          <w:rFonts w:hint="eastAsia" w:ascii="宋体" w:hAnsi="宋体" w:cs="宋体"/>
          <w:b/>
          <w:kern w:val="0"/>
          <w:sz w:val="24"/>
        </w:rPr>
        <w:t>一、项目基本情况</w:t>
      </w:r>
      <w:bookmarkEnd w:id="18"/>
      <w:bookmarkEnd w:id="19"/>
      <w:bookmarkEnd w:id="20"/>
      <w:bookmarkEnd w:id="21"/>
    </w:p>
    <w:p w14:paraId="55BC2F8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项目编号：HNJY2025-88-29RR</w:t>
      </w:r>
    </w:p>
    <w:p w14:paraId="2F787D3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项目名称：纪检谈话室项目（第三次采购）</w:t>
      </w:r>
    </w:p>
    <w:p w14:paraId="3C68E77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采购方式：公开比选 </w:t>
      </w:r>
    </w:p>
    <w:p w14:paraId="1F84D8C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预算金额：18.00万元</w:t>
      </w:r>
    </w:p>
    <w:p w14:paraId="467D69F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最高限价：18.00万元</w:t>
      </w:r>
    </w:p>
    <w:p w14:paraId="5457057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采购需求：详见公开比选采购文件采购需求</w:t>
      </w:r>
    </w:p>
    <w:p w14:paraId="297A87A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合同履行期限：合同签订后30天内安装完成。</w:t>
      </w:r>
    </w:p>
    <w:p w14:paraId="5CB37D3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6CD8905B">
      <w:pPr>
        <w:pStyle w:val="58"/>
        <w:ind w:firstLine="480" w:firstLineChars="200"/>
        <w:rPr>
          <w:rFonts w:hint="eastAsia"/>
        </w:rPr>
      </w:pPr>
      <w:r>
        <w:t>项目资金来自企业自筹。</w:t>
      </w:r>
    </w:p>
    <w:p w14:paraId="4B26F549">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2" w:name="_Toc35393799"/>
      <w:bookmarkStart w:id="23" w:name="_Toc35393630"/>
      <w:bookmarkStart w:id="24" w:name="_Toc28359013"/>
      <w:bookmarkStart w:id="25" w:name="_Toc28359090"/>
      <w:r>
        <w:rPr>
          <w:rFonts w:hint="eastAsia" w:ascii="宋体" w:hAnsi="宋体" w:cs="宋体"/>
          <w:b/>
          <w:kern w:val="0"/>
          <w:sz w:val="24"/>
        </w:rPr>
        <w:t>二、申请人的资格要求：</w:t>
      </w:r>
      <w:bookmarkEnd w:id="22"/>
      <w:bookmarkEnd w:id="23"/>
      <w:bookmarkEnd w:id="24"/>
      <w:bookmarkEnd w:id="25"/>
    </w:p>
    <w:p w14:paraId="309CBFAC">
      <w:pPr>
        <w:adjustRightInd w:val="0"/>
        <w:snapToGrid w:val="0"/>
        <w:spacing w:line="360" w:lineRule="auto"/>
        <w:ind w:firstLine="480" w:firstLineChars="200"/>
        <w:rPr>
          <w:rFonts w:hint="eastAsia" w:ascii="宋体" w:hAnsi="宋体" w:cs="宋体"/>
          <w:kern w:val="0"/>
          <w:sz w:val="24"/>
        </w:rPr>
      </w:pPr>
      <w:bookmarkStart w:id="26" w:name="_Toc28359014"/>
      <w:bookmarkStart w:id="27" w:name="_Toc35393800"/>
      <w:bookmarkStart w:id="28" w:name="_Toc35393631"/>
      <w:bookmarkStart w:id="29" w:name="_Toc28359091"/>
      <w:r>
        <w:rPr>
          <w:rFonts w:hint="eastAsia" w:ascii="宋体" w:hAnsi="宋体" w:cs="宋体"/>
          <w:kern w:val="0"/>
          <w:sz w:val="24"/>
        </w:rPr>
        <w:t>1.中华人民共和国境内注册、具有独立承担民事责任的能力（提供营业执照或事业单位法人证书）。</w:t>
      </w:r>
    </w:p>
    <w:p w14:paraId="0871EE4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2.具备《中华人民共和国政府采购法》第二十二条规定条件的承诺书。</w:t>
      </w:r>
    </w:p>
    <w:p w14:paraId="15CE9D2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3.按附件格式提供投标人投标承诺书。</w:t>
      </w:r>
    </w:p>
    <w:p w14:paraId="327034C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4.投标人承诺遵守国家有关法律法规及保密要求（提供承诺函）。</w:t>
      </w:r>
    </w:p>
    <w:p w14:paraId="15A51B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在“信用中国”网站（www.creditchina.gov.cn）没有列入失信被执行人、重大税收违法失信主体、政府采购严重违法失信行为记录名单的投标人。“中国政府采购网”（www.ccgp.gov.cn）政府采购严重违法失信行为记录名单的投标人。</w:t>
      </w:r>
    </w:p>
    <w:p w14:paraId="7A1303C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注：采购人或采购代理机构将于本项目投标截止日在“信用中国”网站、“中国政府采购网”网站等渠道对投标人进行信用记录查询，凡被列入失信被执行人、重大税收违法失信主体、政府采购严重违法失信行为记录名单的，视为存在不良信用记录，参与本项目的将被拒绝。）</w:t>
      </w:r>
    </w:p>
    <w:p w14:paraId="46848C22">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三、获取采购文件</w:t>
      </w:r>
      <w:bookmarkEnd w:id="26"/>
      <w:bookmarkEnd w:id="27"/>
      <w:bookmarkEnd w:id="28"/>
      <w:bookmarkEnd w:id="29"/>
    </w:p>
    <w:p w14:paraId="6600E006">
      <w:pPr>
        <w:adjustRightInd w:val="0"/>
        <w:snapToGrid w:val="0"/>
        <w:spacing w:line="360" w:lineRule="auto"/>
        <w:ind w:firstLine="540"/>
        <w:rPr>
          <w:rFonts w:hint="eastAsia" w:ascii="宋体" w:hAnsi="宋体" w:cs="宋体"/>
          <w:kern w:val="0"/>
          <w:sz w:val="24"/>
        </w:rPr>
      </w:pPr>
      <w:bookmarkStart w:id="30" w:name="_Toc35393801"/>
      <w:bookmarkStart w:id="31" w:name="_Toc28359015"/>
      <w:bookmarkStart w:id="32" w:name="_Toc28359092"/>
      <w:bookmarkStart w:id="33" w:name="_Toc35393632"/>
      <w:r>
        <w:rPr>
          <w:rFonts w:hint="eastAsia" w:ascii="宋体" w:hAnsi="宋体" w:cs="宋体"/>
          <w:kern w:val="0"/>
          <w:sz w:val="24"/>
        </w:rPr>
        <w:t>时间：2025年9月1日至2025年9月8日，每天上午00:00至12:00，下午12:01至17:30（北京时间，法定节假日除外 ）</w:t>
      </w:r>
    </w:p>
    <w:p w14:paraId="4A9F20B1">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地点：海南阳光采购平台（https://hnsygszh.etrading.cn/）</w:t>
      </w:r>
    </w:p>
    <w:p w14:paraId="55B61053">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方式：网上获取</w:t>
      </w:r>
    </w:p>
    <w:p w14:paraId="449D1AD1">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平台服务费：350元</w:t>
      </w:r>
    </w:p>
    <w:p w14:paraId="5A1A958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30"/>
      <w:bookmarkEnd w:id="31"/>
      <w:bookmarkEnd w:id="32"/>
      <w:bookmarkEnd w:id="33"/>
    </w:p>
    <w:p w14:paraId="48E7081A">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截止时间：2025年9月9日09点00分（北京时间）</w:t>
      </w:r>
    </w:p>
    <w:p w14:paraId="622E9FCA">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地点：海南省海口市蓝天路西2-8号、海南省教学仪器设备招标中心有限公司开标室</w:t>
      </w:r>
    </w:p>
    <w:p w14:paraId="31B4FA2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34" w:name="_Toc35393802"/>
      <w:bookmarkStart w:id="35" w:name="_Toc35393633"/>
      <w:bookmarkStart w:id="36" w:name="_Toc28359016"/>
      <w:bookmarkStart w:id="37" w:name="_Toc28359093"/>
      <w:r>
        <w:rPr>
          <w:rFonts w:hint="eastAsia" w:ascii="宋体" w:hAnsi="宋体" w:cs="宋体"/>
          <w:b/>
          <w:kern w:val="0"/>
          <w:sz w:val="24"/>
        </w:rPr>
        <w:t>五、开启</w:t>
      </w:r>
      <w:bookmarkEnd w:id="34"/>
      <w:bookmarkEnd w:id="35"/>
      <w:bookmarkEnd w:id="36"/>
      <w:bookmarkEnd w:id="37"/>
    </w:p>
    <w:p w14:paraId="06EC6D21">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时间：2025年9月9日09点00分（北京时间）</w:t>
      </w:r>
    </w:p>
    <w:p w14:paraId="372333C0">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地点：海南省海口市蓝天路西2-8号、海南省教学仪器设备招标中心有限公司开标室</w:t>
      </w:r>
    </w:p>
    <w:p w14:paraId="5C851F6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38" w:name="_Toc28359094"/>
      <w:bookmarkStart w:id="39" w:name="_Toc35393634"/>
      <w:bookmarkStart w:id="40" w:name="_Toc28359017"/>
      <w:bookmarkStart w:id="41" w:name="_Toc35393803"/>
      <w:r>
        <w:rPr>
          <w:rFonts w:hint="eastAsia" w:ascii="宋体" w:hAnsi="宋体" w:cs="宋体"/>
          <w:b/>
          <w:kern w:val="0"/>
          <w:sz w:val="24"/>
        </w:rPr>
        <w:t>六、</w:t>
      </w:r>
      <w:bookmarkEnd w:id="38"/>
      <w:bookmarkEnd w:id="39"/>
      <w:bookmarkEnd w:id="40"/>
      <w:bookmarkEnd w:id="41"/>
      <w:bookmarkStart w:id="42" w:name="_Toc35393804"/>
      <w:bookmarkStart w:id="43" w:name="_Toc35393635"/>
      <w:r>
        <w:rPr>
          <w:rFonts w:hint="eastAsia" w:ascii="宋体" w:hAnsi="宋体" w:cs="宋体"/>
          <w:b/>
          <w:kern w:val="0"/>
          <w:sz w:val="24"/>
        </w:rPr>
        <w:t>其他补充事宜</w:t>
      </w:r>
      <w:bookmarkEnd w:id="42"/>
      <w:bookmarkEnd w:id="43"/>
    </w:p>
    <w:p w14:paraId="7A124CF0">
      <w:pPr>
        <w:adjustRightInd w:val="0"/>
        <w:snapToGrid w:val="0"/>
        <w:spacing w:line="360" w:lineRule="auto"/>
        <w:ind w:firstLine="540"/>
        <w:rPr>
          <w:rFonts w:hint="eastAsia" w:ascii="宋体" w:hAnsi="宋体" w:cs="宋体"/>
          <w:kern w:val="0"/>
          <w:sz w:val="24"/>
        </w:rPr>
      </w:pPr>
      <w:bookmarkStart w:id="44" w:name="_Toc35393636"/>
      <w:bookmarkStart w:id="45" w:name="_Toc28359095"/>
      <w:bookmarkStart w:id="46" w:name="_Toc28359018"/>
      <w:bookmarkStart w:id="47" w:name="_Toc35393805"/>
      <w:r>
        <w:rPr>
          <w:rFonts w:hint="eastAsia" w:ascii="宋体" w:hAnsi="宋体" w:cs="宋体"/>
          <w:kern w:val="0"/>
          <w:sz w:val="24"/>
        </w:rPr>
        <w:t>1.供应商须登录海南阳光采购平台（https://hnsygszh.etrading.cn/）查询、获取采购文件。并按照采购平台的要求办理注册、资料核验及在线下载采购文件。已办理过海南蓝色CA锁的供应商，无需再次办理CA锁，账号注册完成后，登录平台内并进行CA锁绑定激活。</w:t>
      </w:r>
    </w:p>
    <w:p w14:paraId="2B1E9EEE">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技术咨询：4009280095-5；</w:t>
      </w:r>
    </w:p>
    <w:p w14:paraId="50C3E128">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2.投标人（供应商）操作教程：</w:t>
      </w:r>
      <w:r>
        <w:rPr>
          <w:rFonts w:hint="eastAsia"/>
        </w:rPr>
        <w:fldChar w:fldCharType="begin"/>
      </w:r>
      <w:r>
        <w:instrText xml:space="preserve"> HYPERLINK "https://www.etrading.cn/bszn/015005/video_guide.html" </w:instrText>
      </w:r>
      <w:r>
        <w:rPr>
          <w:rFonts w:hint="eastAsia"/>
        </w:rPr>
        <w:fldChar w:fldCharType="separate"/>
      </w:r>
      <w:r>
        <w:rPr>
          <w:rFonts w:hint="eastAsia" w:ascii="宋体" w:hAnsi="宋体" w:cs="宋体"/>
          <w:kern w:val="0"/>
          <w:sz w:val="24"/>
        </w:rPr>
        <w:t>https://www.etrading.cn/bszn/015005/video_guide.html</w:t>
      </w:r>
      <w:r>
        <w:rPr>
          <w:rFonts w:hint="eastAsia" w:ascii="宋体" w:hAnsi="宋体" w:cs="宋体"/>
          <w:kern w:val="0"/>
          <w:sz w:val="24"/>
        </w:rPr>
        <w:fldChar w:fldCharType="end"/>
      </w:r>
    </w:p>
    <w:p w14:paraId="05A1AD6D">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本项目为非电子标项目，需投标现场提交纸质版响应文件。</w:t>
      </w:r>
    </w:p>
    <w:p w14:paraId="2686E5A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开启前供应商应登录海南阳光采购平台（https://hnsygszh.etrading.cn/）上传PDF格式响应文件正本文件。（适用于网络递交）</w:t>
      </w:r>
    </w:p>
    <w:p w14:paraId="2025BE5E">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3、供应商应准备一份正本和</w:t>
      </w:r>
      <w:r>
        <w:rPr>
          <w:rFonts w:hint="eastAsia" w:ascii="宋体" w:hAnsi="宋体" w:cs="宋体"/>
          <w:kern w:val="0"/>
          <w:sz w:val="24"/>
          <w:lang w:val="en-US" w:eastAsia="zh-CN"/>
        </w:rPr>
        <w:t>两</w:t>
      </w:r>
      <w:r>
        <w:rPr>
          <w:rFonts w:hint="eastAsia" w:ascii="宋体" w:hAnsi="宋体" w:cs="宋体"/>
          <w:kern w:val="0"/>
          <w:sz w:val="24"/>
        </w:rPr>
        <w:t>份副本，并在每一份“响应文件”上要明确注明“正本”或“副本”字样。</w:t>
      </w:r>
    </w:p>
    <w:p w14:paraId="6304EF8B">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w:t>
      </w:r>
      <w:r>
        <w:rPr>
          <w:rFonts w:hint="eastAsia" w:ascii="宋体" w:hAnsi="宋体" w:cs="宋体"/>
          <w:b/>
          <w:bCs/>
          <w:kern w:val="0"/>
          <w:sz w:val="24"/>
        </w:rPr>
        <w:t>（响应时递交U盘拷贝的PDF格式正本的响应文件。）</w:t>
      </w:r>
    </w:p>
    <w:p w14:paraId="4F6687B4">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5、采购人不接受有任何选择的报价。</w:t>
      </w:r>
    </w:p>
    <w:p w14:paraId="2B70E6EC">
      <w:pPr>
        <w:pStyle w:val="2"/>
        <w:ind w:left="0" w:firstLine="480" w:firstLineChars="200"/>
        <w:rPr>
          <w:rFonts w:hint="eastAsia" w:ascii="宋体" w:hAnsi="宋体" w:cs="宋体"/>
          <w:kern w:val="0"/>
        </w:rPr>
      </w:pPr>
      <w:r>
        <w:rPr>
          <w:rFonts w:hint="eastAsia" w:ascii="宋体" w:hAnsi="宋体" w:cs="宋体"/>
          <w:kern w:val="0"/>
        </w:rPr>
        <w:t>6、本项目不收取保证金。</w:t>
      </w:r>
    </w:p>
    <w:p w14:paraId="2557C01B">
      <w:pPr>
        <w:pStyle w:val="2"/>
        <w:ind w:left="0" w:firstLine="0"/>
        <w:rPr>
          <w:rFonts w:hint="eastAsia" w:ascii="宋体" w:hAnsi="宋体" w:cs="宋体"/>
          <w:kern w:val="0"/>
        </w:rPr>
      </w:pPr>
      <w:r>
        <w:rPr>
          <w:rFonts w:hint="eastAsia" w:ascii="宋体" w:hAnsi="宋体" w:cs="宋体"/>
          <w:kern w:val="0"/>
        </w:rPr>
        <w:t>采购信息查询：http://www.hainjy.com/</w:t>
      </w:r>
    </w:p>
    <w:p w14:paraId="32719384">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4"/>
      <w:bookmarkEnd w:id="45"/>
      <w:bookmarkEnd w:id="46"/>
      <w:bookmarkEnd w:id="47"/>
    </w:p>
    <w:p w14:paraId="4A350246">
      <w:pPr>
        <w:adjustRightInd w:val="0"/>
        <w:snapToGrid w:val="0"/>
        <w:spacing w:line="360" w:lineRule="auto"/>
        <w:ind w:firstLine="480" w:firstLineChars="200"/>
        <w:rPr>
          <w:rFonts w:hint="eastAsia" w:ascii="宋体" w:hAnsi="宋体" w:cs="宋体"/>
          <w:kern w:val="0"/>
          <w:sz w:val="24"/>
        </w:rPr>
      </w:pPr>
      <w:bookmarkStart w:id="48" w:name="_Toc28359019"/>
      <w:bookmarkStart w:id="49" w:name="_Toc35393637"/>
      <w:bookmarkStart w:id="50" w:name="_Toc35393806"/>
      <w:bookmarkStart w:id="51" w:name="_Toc28359096"/>
      <w:r>
        <w:rPr>
          <w:rFonts w:hint="eastAsia" w:ascii="宋体" w:hAnsi="宋体" w:cs="宋体"/>
          <w:kern w:val="0"/>
          <w:sz w:val="24"/>
        </w:rPr>
        <w:t>1.采购人信息</w:t>
      </w:r>
      <w:bookmarkEnd w:id="48"/>
      <w:bookmarkEnd w:id="49"/>
      <w:bookmarkEnd w:id="50"/>
      <w:bookmarkEnd w:id="51"/>
    </w:p>
    <w:p w14:paraId="6EA510AB">
      <w:pPr>
        <w:adjustRightInd w:val="0"/>
        <w:snapToGrid w:val="0"/>
        <w:spacing w:line="360" w:lineRule="auto"/>
        <w:ind w:firstLine="480" w:firstLineChars="200"/>
        <w:rPr>
          <w:rFonts w:hint="eastAsia" w:ascii="宋体" w:hAnsi="宋体" w:cs="宋体"/>
          <w:kern w:val="0"/>
          <w:sz w:val="24"/>
        </w:rPr>
      </w:pPr>
      <w:bookmarkStart w:id="52" w:name="_Toc35393807"/>
      <w:bookmarkStart w:id="53" w:name="_Toc28359020"/>
      <w:bookmarkStart w:id="54" w:name="_Toc28359097"/>
      <w:bookmarkStart w:id="55" w:name="_Toc35393638"/>
      <w:r>
        <w:rPr>
          <w:rFonts w:hint="eastAsia" w:ascii="宋体" w:hAnsi="宋体" w:cs="宋体"/>
          <w:kern w:val="0"/>
          <w:sz w:val="24"/>
        </w:rPr>
        <w:t>名    称：　海南省军粮统筹配送中心有限公司</w:t>
      </w:r>
    </w:p>
    <w:p w14:paraId="4D7D56C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海南省海口市丘海大道52号</w:t>
      </w:r>
    </w:p>
    <w:p w14:paraId="5C76BE1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蒙先生13876379588</w:t>
      </w:r>
    </w:p>
    <w:p w14:paraId="5266B81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2"/>
      <w:bookmarkEnd w:id="53"/>
      <w:bookmarkEnd w:id="54"/>
      <w:bookmarkEnd w:id="55"/>
    </w:p>
    <w:p w14:paraId="49B043D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0A28270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海南省海口市蓝天路西2-8号　　</w:t>
      </w:r>
    </w:p>
    <w:p w14:paraId="416E757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　　</w:t>
      </w:r>
    </w:p>
    <w:p w14:paraId="459E017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59AC2AB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项目联系人：李先生</w:t>
      </w:r>
    </w:p>
    <w:p w14:paraId="3CF0B169">
      <w:pPr>
        <w:adjustRightInd w:val="0"/>
        <w:snapToGrid w:val="0"/>
        <w:spacing w:line="360" w:lineRule="auto"/>
        <w:ind w:firstLine="480" w:firstLineChars="200"/>
        <w:jc w:val="left"/>
        <w:rPr>
          <w:b/>
          <w:bCs/>
          <w:sz w:val="32"/>
          <w:szCs w:val="32"/>
        </w:rPr>
      </w:pPr>
      <w:r>
        <w:rPr>
          <w:rFonts w:hint="eastAsia" w:ascii="宋体" w:hAnsi="宋体" w:cs="宋体"/>
          <w:kern w:val="0"/>
          <w:sz w:val="24"/>
        </w:rPr>
        <w:t>电话：0898-66779294</w:t>
      </w:r>
      <w:r>
        <w:rPr>
          <w:b/>
          <w:bCs/>
          <w:sz w:val="32"/>
          <w:szCs w:val="32"/>
        </w:rPr>
        <w:br w:type="page"/>
      </w:r>
      <w:r>
        <w:rPr>
          <w:rFonts w:hint="eastAsia"/>
          <w:b/>
          <w:bCs/>
          <w:sz w:val="32"/>
          <w:szCs w:val="32"/>
        </w:rPr>
        <w:t xml:space="preserve">              第二部分  公开比选采购项目需求</w:t>
      </w:r>
    </w:p>
    <w:p w14:paraId="78D2E2AE">
      <w:pPr>
        <w:spacing w:line="360" w:lineRule="auto"/>
        <w:ind w:firstLine="112" w:firstLineChars="47"/>
        <w:outlineLvl w:val="0"/>
        <w:rPr>
          <w:rFonts w:hint="eastAsia" w:ascii="宋体" w:hAnsi="宋体"/>
          <w:b/>
          <w:kern w:val="0"/>
          <w:sz w:val="32"/>
          <w:shd w:val="clear" w:color="auto" w:fill="FFFFFF"/>
        </w:rPr>
      </w:pPr>
      <w:bookmarkStart w:id="56" w:name="_Toc373100977"/>
      <w:r>
        <w:rPr>
          <w:rFonts w:hAnsi="宋体"/>
          <w:sz w:val="24"/>
          <w:shd w:val="clear" w:color="auto" w:fill="FFFFFF"/>
        </w:rPr>
        <w:t>一、</w:t>
      </w:r>
      <w:bookmarkEnd w:id="56"/>
      <w:r>
        <w:rPr>
          <w:rFonts w:hint="eastAsia" w:ascii="宋体" w:hAnsi="宋体"/>
          <w:kern w:val="24"/>
          <w:sz w:val="24"/>
          <w:shd w:val="clear" w:color="auto" w:fill="FFFFFF"/>
        </w:rPr>
        <w:t>投标人须知前附表</w:t>
      </w:r>
    </w:p>
    <w:tbl>
      <w:tblPr>
        <w:tblStyle w:val="39"/>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3329"/>
        <w:gridCol w:w="5255"/>
      </w:tblGrid>
      <w:tr w14:paraId="5D5C7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vAlign w:val="center"/>
          </w:tcPr>
          <w:p w14:paraId="4D4F2FBC">
            <w:pPr>
              <w:pStyle w:val="121"/>
              <w:spacing w:line="500" w:lineRule="exact"/>
              <w:ind w:left="9"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3329" w:type="dxa"/>
            <w:vAlign w:val="center"/>
          </w:tcPr>
          <w:p w14:paraId="71E72951">
            <w:pPr>
              <w:pStyle w:val="121"/>
              <w:spacing w:line="500" w:lineRule="exac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255" w:type="dxa"/>
            <w:vAlign w:val="center"/>
          </w:tcPr>
          <w:p w14:paraId="4C290974">
            <w:pPr>
              <w:pStyle w:val="121"/>
              <w:spacing w:line="500" w:lineRule="exact"/>
              <w:ind w:left="571" w:leftChars="272" w:firstLine="1677" w:firstLineChars="699"/>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152D7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vAlign w:val="center"/>
          </w:tcPr>
          <w:p w14:paraId="3F967CD3">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3329" w:type="dxa"/>
            <w:vAlign w:val="center"/>
          </w:tcPr>
          <w:p w14:paraId="0B3F74C3">
            <w:pPr>
              <w:spacing w:line="380" w:lineRule="exact"/>
              <w:jc w:val="center"/>
              <w:rPr>
                <w:rFonts w:hint="eastAsia" w:ascii="宋体" w:hAnsi="宋体"/>
                <w:kern w:val="0"/>
                <w:sz w:val="24"/>
                <w:shd w:val="clear" w:color="auto" w:fill="FFFFFF"/>
              </w:rPr>
            </w:pPr>
            <w:r>
              <w:rPr>
                <w:rFonts w:hint="eastAsia" w:ascii="宋体" w:hAnsi="宋体"/>
                <w:sz w:val="24"/>
                <w:shd w:val="clear" w:color="auto" w:fill="FFFFFF"/>
                <w:lang w:val="zh-CN"/>
              </w:rPr>
              <w:t>项目预算</w:t>
            </w:r>
          </w:p>
        </w:tc>
        <w:tc>
          <w:tcPr>
            <w:tcW w:w="5255" w:type="dxa"/>
            <w:vAlign w:val="center"/>
          </w:tcPr>
          <w:p w14:paraId="1C6F029B">
            <w:pPr>
              <w:spacing w:line="380" w:lineRule="exact"/>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rPr>
              <w:t>18万元。</w:t>
            </w:r>
          </w:p>
          <w:p w14:paraId="69C3BCC3">
            <w:pPr>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折扣</w:t>
            </w:r>
            <w:r>
              <w:rPr>
                <w:rFonts w:hint="eastAsia" w:ascii="宋体" w:hAnsi="宋体" w:cs="宋体"/>
                <w:kern w:val="0"/>
                <w:sz w:val="24"/>
                <w:shd w:val="clear" w:color="auto" w:fill="FFFFFF"/>
                <w:lang w:val="zh-CN"/>
              </w:rPr>
              <w:t>报价不能超过采购预算，超过视为无效响应。</w:t>
            </w:r>
          </w:p>
        </w:tc>
      </w:tr>
      <w:tr w14:paraId="3A2D1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vAlign w:val="center"/>
          </w:tcPr>
          <w:p w14:paraId="0C4D8014">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3329" w:type="dxa"/>
            <w:vAlign w:val="center"/>
          </w:tcPr>
          <w:p w14:paraId="1437434E">
            <w:pPr>
              <w:spacing w:line="440" w:lineRule="exact"/>
              <w:ind w:firstLine="240" w:firstLineChars="1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255" w:type="dxa"/>
            <w:vAlign w:val="center"/>
          </w:tcPr>
          <w:p w14:paraId="271DB81E">
            <w:pPr>
              <w:spacing w:line="440" w:lineRule="exact"/>
              <w:ind w:firstLine="240" w:firstLineChars="1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04113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vAlign w:val="center"/>
          </w:tcPr>
          <w:p w14:paraId="6E60E61F">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3329" w:type="dxa"/>
            <w:vAlign w:val="center"/>
          </w:tcPr>
          <w:p w14:paraId="16691A5E">
            <w:pPr>
              <w:spacing w:line="500" w:lineRule="exact"/>
              <w:jc w:val="center"/>
              <w:rPr>
                <w:rFonts w:hint="eastAsia" w:ascii="宋体" w:hAnsi="宋体"/>
                <w:sz w:val="24"/>
                <w:shd w:val="clear" w:color="auto" w:fill="FFFFFF"/>
              </w:rPr>
            </w:pPr>
            <w:r>
              <w:rPr>
                <w:rFonts w:hint="eastAsia" w:ascii="宋体" w:hAnsi="宋体"/>
                <w:sz w:val="24"/>
                <w:shd w:val="clear" w:color="auto" w:fill="FFFFFF"/>
              </w:rPr>
              <w:t>标前踏勘现场或/和标前答疑会</w:t>
            </w:r>
          </w:p>
        </w:tc>
        <w:tc>
          <w:tcPr>
            <w:tcW w:w="5255" w:type="dxa"/>
            <w:vAlign w:val="center"/>
          </w:tcPr>
          <w:p w14:paraId="5925393A">
            <w:pPr>
              <w:spacing w:line="50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56954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vAlign w:val="center"/>
          </w:tcPr>
          <w:p w14:paraId="24A84100">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3329" w:type="dxa"/>
            <w:vAlign w:val="center"/>
          </w:tcPr>
          <w:p w14:paraId="65D25F3C">
            <w:pPr>
              <w:pStyle w:val="121"/>
              <w:spacing w:line="500" w:lineRule="exact"/>
              <w:ind w:left="0" w:firstLine="0"/>
              <w:rPr>
                <w:rFonts w:hint="eastAsia"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255" w:type="dxa"/>
            <w:vAlign w:val="center"/>
          </w:tcPr>
          <w:p w14:paraId="529C7084">
            <w:pPr>
              <w:widowControl/>
              <w:tabs>
                <w:tab w:val="left" w:pos="425"/>
              </w:tabs>
              <w:spacing w:line="36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3D19E2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vAlign w:val="center"/>
          </w:tcPr>
          <w:p w14:paraId="386FD5EE">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3329" w:type="dxa"/>
            <w:vAlign w:val="center"/>
          </w:tcPr>
          <w:p w14:paraId="356ED3FE">
            <w:pPr>
              <w:pStyle w:val="121"/>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255" w:type="dxa"/>
            <w:vAlign w:val="center"/>
          </w:tcPr>
          <w:p w14:paraId="77C78A84">
            <w:pPr>
              <w:pStyle w:val="121"/>
              <w:spacing w:line="360" w:lineRule="exact"/>
              <w:jc w:val="left"/>
              <w:rPr>
                <w:rFonts w:hint="eastAsia"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426B45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914" w:type="dxa"/>
            <w:vAlign w:val="center"/>
          </w:tcPr>
          <w:p w14:paraId="25167F6B">
            <w:pPr>
              <w:pStyle w:val="121"/>
              <w:spacing w:line="500" w:lineRule="exact"/>
              <w:ind w:lef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3329" w:type="dxa"/>
            <w:vAlign w:val="center"/>
          </w:tcPr>
          <w:p w14:paraId="6B22E710">
            <w:pPr>
              <w:pStyle w:val="121"/>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5255" w:type="dxa"/>
            <w:vAlign w:val="center"/>
          </w:tcPr>
          <w:p w14:paraId="35073DAF">
            <w:pPr>
              <w:pStyle w:val="121"/>
              <w:spacing w:line="440" w:lineRule="exact"/>
              <w:ind w:firstLine="240" w:firstLineChars="10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    副本</w:t>
            </w:r>
            <w:r>
              <w:rPr>
                <w:rFonts w:hint="eastAsia" w:ascii="宋体" w:hAnsi="宋体"/>
                <w:sz w:val="24"/>
                <w:szCs w:val="24"/>
                <w:u w:val="single"/>
                <w:shd w:val="clear" w:color="auto" w:fill="FFFFFF"/>
                <w:lang w:val="zh-CN"/>
              </w:rPr>
              <w:t xml:space="preserve">  </w:t>
            </w:r>
            <w:r>
              <w:rPr>
                <w:rFonts w:hint="eastAsia" w:ascii="宋体" w:hAnsi="宋体"/>
                <w:sz w:val="24"/>
                <w:szCs w:val="24"/>
                <w:u w:val="single"/>
                <w:shd w:val="clear" w:color="auto" w:fill="FFFFFF"/>
              </w:rPr>
              <w:t>贰</w:t>
            </w:r>
            <w:r>
              <w:rPr>
                <w:rFonts w:hint="eastAsia" w:ascii="宋体" w:hAnsi="宋体"/>
                <w:sz w:val="24"/>
                <w:szCs w:val="24"/>
                <w:u w:val="single"/>
                <w:shd w:val="clear" w:color="auto" w:fill="FFFFFF"/>
                <w:lang w:val="zh-CN"/>
              </w:rPr>
              <w:t xml:space="preserve"> </w:t>
            </w:r>
            <w:r>
              <w:rPr>
                <w:rFonts w:hint="eastAsia" w:ascii="宋体" w:hAnsi="宋体"/>
                <w:sz w:val="24"/>
                <w:szCs w:val="24"/>
                <w:shd w:val="clear" w:color="auto" w:fill="FFFFFF"/>
                <w:lang w:val="zh-CN"/>
              </w:rPr>
              <w:t>份</w:t>
            </w:r>
          </w:p>
          <w:p w14:paraId="71D63990">
            <w:pPr>
              <w:pStyle w:val="121"/>
              <w:spacing w:line="440" w:lineRule="exact"/>
              <w:ind w:left="0" w:firstLine="0"/>
              <w:jc w:val="left"/>
              <w:rPr>
                <w:rFonts w:hint="eastAsia" w:ascii="宋体" w:hAnsi="宋体"/>
                <w:b/>
                <w:sz w:val="18"/>
                <w:szCs w:val="18"/>
                <w:shd w:val="clear" w:color="auto" w:fill="FFFFFF"/>
                <w:lang w:val="zh-CN"/>
              </w:rPr>
            </w:pPr>
            <w:r>
              <w:rPr>
                <w:rFonts w:hint="eastAsia" w:ascii="宋体" w:hAnsi="宋体"/>
                <w:b/>
                <w:kern w:val="0"/>
                <w:sz w:val="18"/>
                <w:szCs w:val="18"/>
              </w:rPr>
              <w:t>温馨提示：为了节约能源保护环境，制作响应文件时请双面打印</w:t>
            </w:r>
          </w:p>
        </w:tc>
      </w:tr>
      <w:tr w14:paraId="4FEDCC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28468642">
            <w:pPr>
              <w:pStyle w:val="9"/>
              <w:spacing w:line="500" w:lineRule="exact"/>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7</w:t>
            </w:r>
          </w:p>
        </w:tc>
        <w:tc>
          <w:tcPr>
            <w:tcW w:w="3329" w:type="dxa"/>
            <w:vAlign w:val="center"/>
          </w:tcPr>
          <w:p w14:paraId="349951F7">
            <w:pPr>
              <w:pStyle w:val="121"/>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255" w:type="dxa"/>
            <w:vAlign w:val="center"/>
          </w:tcPr>
          <w:p w14:paraId="78EA4F36">
            <w:pPr>
              <w:pStyle w:val="121"/>
              <w:spacing w:line="400" w:lineRule="exact"/>
              <w:ind w:left="65" w:leftChars="31" w:firstLine="120" w:firstLineChars="5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270C2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70D288BA">
            <w:pPr>
              <w:pStyle w:val="9"/>
              <w:spacing w:line="500" w:lineRule="exact"/>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8</w:t>
            </w:r>
          </w:p>
        </w:tc>
        <w:tc>
          <w:tcPr>
            <w:tcW w:w="3329" w:type="dxa"/>
            <w:vAlign w:val="center"/>
          </w:tcPr>
          <w:p w14:paraId="57D42D06">
            <w:pPr>
              <w:pStyle w:val="121"/>
              <w:spacing w:line="500" w:lineRule="exact"/>
              <w:ind w:left="0" w:firstLine="0"/>
              <w:rPr>
                <w:rFonts w:hint="eastAsia" w:ascii="宋体" w:hAnsi="宋体"/>
                <w:sz w:val="24"/>
                <w:szCs w:val="24"/>
                <w:shd w:val="clear" w:color="auto" w:fill="FFFFFF"/>
              </w:rPr>
            </w:pPr>
            <w:r>
              <w:rPr>
                <w:rFonts w:hint="eastAsia" w:ascii="宋体" w:hAnsi="宋体"/>
                <w:bCs/>
                <w:sz w:val="24"/>
                <w:szCs w:val="24"/>
                <w:shd w:val="clear" w:color="auto" w:fill="FFFFFF"/>
              </w:rPr>
              <w:t>交货限</w:t>
            </w:r>
          </w:p>
        </w:tc>
        <w:tc>
          <w:tcPr>
            <w:tcW w:w="5255" w:type="dxa"/>
            <w:vAlign w:val="center"/>
          </w:tcPr>
          <w:p w14:paraId="01D016ED">
            <w:pPr>
              <w:adjustRightInd w:val="0"/>
              <w:snapToGrid w:val="0"/>
              <w:spacing w:line="360" w:lineRule="auto"/>
              <w:rPr>
                <w:rFonts w:hint="eastAsia" w:ascii="宋体" w:hAnsi="宋体"/>
                <w:sz w:val="24"/>
                <w:shd w:val="clear" w:color="auto" w:fill="FFFFFF"/>
              </w:rPr>
            </w:pPr>
            <w:r>
              <w:rPr>
                <w:rFonts w:hint="eastAsia" w:ascii="宋体" w:hAnsi="宋体" w:cs="宋体"/>
                <w:kern w:val="0"/>
                <w:sz w:val="24"/>
              </w:rPr>
              <w:t>合同签订后30天内安装完成。</w:t>
            </w:r>
          </w:p>
        </w:tc>
      </w:tr>
      <w:tr w14:paraId="770A75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3" w:hRule="atLeast"/>
        </w:trPr>
        <w:tc>
          <w:tcPr>
            <w:tcW w:w="914" w:type="dxa"/>
            <w:vAlign w:val="center"/>
          </w:tcPr>
          <w:p w14:paraId="18B84DDE">
            <w:pPr>
              <w:pStyle w:val="9"/>
              <w:spacing w:line="500" w:lineRule="exact"/>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9</w:t>
            </w:r>
          </w:p>
        </w:tc>
        <w:tc>
          <w:tcPr>
            <w:tcW w:w="3329" w:type="dxa"/>
            <w:vAlign w:val="center"/>
          </w:tcPr>
          <w:p w14:paraId="718FF205">
            <w:pPr>
              <w:pStyle w:val="121"/>
              <w:spacing w:line="500" w:lineRule="exact"/>
              <w:ind w:left="0" w:firstLine="0"/>
              <w:rPr>
                <w:rFonts w:hint="eastAsia" w:ascii="宋体" w:hAnsi="宋体"/>
                <w:sz w:val="24"/>
                <w:szCs w:val="24"/>
                <w:shd w:val="clear" w:color="auto" w:fill="FFFFFF"/>
                <w:lang w:val="zh-CN"/>
              </w:rPr>
            </w:pPr>
            <w:r>
              <w:rPr>
                <w:rFonts w:hint="eastAsia" w:ascii="宋体" w:hAnsi="宋体"/>
                <w:bCs/>
                <w:sz w:val="24"/>
                <w:szCs w:val="24"/>
                <w:shd w:val="clear" w:color="auto" w:fill="FFFFFF"/>
              </w:rPr>
              <w:t>服务</w:t>
            </w:r>
            <w:r>
              <w:rPr>
                <w:rFonts w:hint="eastAsia" w:ascii="宋体" w:hAnsi="宋体"/>
                <w:sz w:val="24"/>
                <w:szCs w:val="24"/>
                <w:shd w:val="clear" w:color="auto" w:fill="FFFFFF"/>
                <w:lang w:val="zh-CN"/>
              </w:rPr>
              <w:t>地点</w:t>
            </w:r>
          </w:p>
        </w:tc>
        <w:tc>
          <w:tcPr>
            <w:tcW w:w="5255" w:type="dxa"/>
            <w:vAlign w:val="center"/>
          </w:tcPr>
          <w:p w14:paraId="3A44A8BF">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采购人指定地点</w:t>
            </w:r>
          </w:p>
        </w:tc>
      </w:tr>
      <w:tr w14:paraId="2B331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67577366">
            <w:pPr>
              <w:pStyle w:val="9"/>
              <w:spacing w:line="500" w:lineRule="exact"/>
              <w:ind w:left="0" w:firstLine="0"/>
              <w:jc w:val="center"/>
              <w:rPr>
                <w:rFonts w:hint="eastAsia" w:ascii="宋体" w:hAnsi="宋体"/>
                <w:szCs w:val="24"/>
                <w:shd w:val="clear" w:color="auto" w:fill="FFFFFF"/>
              </w:rPr>
            </w:pPr>
            <w:r>
              <w:rPr>
                <w:rFonts w:hint="eastAsia" w:ascii="宋体" w:hAnsi="宋体"/>
                <w:szCs w:val="24"/>
                <w:shd w:val="clear" w:color="auto" w:fill="FFFFFF"/>
              </w:rPr>
              <w:t>10</w:t>
            </w:r>
          </w:p>
        </w:tc>
        <w:tc>
          <w:tcPr>
            <w:tcW w:w="3329" w:type="dxa"/>
            <w:vAlign w:val="center"/>
          </w:tcPr>
          <w:p w14:paraId="20F2F62F">
            <w:pPr>
              <w:pStyle w:val="121"/>
              <w:spacing w:line="500" w:lineRule="exact"/>
              <w:ind w:left="0" w:firstLine="0"/>
              <w:rPr>
                <w:rFonts w:hint="eastAsia" w:ascii="宋体" w:hAnsi="宋体"/>
                <w:sz w:val="24"/>
                <w:szCs w:val="24"/>
                <w:shd w:val="clear" w:color="auto" w:fill="FFFFFF"/>
              </w:rPr>
            </w:pPr>
            <w:r>
              <w:rPr>
                <w:rFonts w:ascii="宋体" w:hAnsi="宋体"/>
                <w:sz w:val="24"/>
                <w:szCs w:val="24"/>
                <w:shd w:val="clear" w:color="auto" w:fill="FFFFFF"/>
              </w:rPr>
              <w:t>质保期</w:t>
            </w:r>
          </w:p>
        </w:tc>
        <w:tc>
          <w:tcPr>
            <w:tcW w:w="5255" w:type="dxa"/>
            <w:vAlign w:val="center"/>
          </w:tcPr>
          <w:p w14:paraId="23DB32A8">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1年</w:t>
            </w:r>
          </w:p>
        </w:tc>
      </w:tr>
      <w:tr w14:paraId="3995CF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vAlign w:val="center"/>
          </w:tcPr>
          <w:p w14:paraId="62491653">
            <w:pPr>
              <w:pStyle w:val="9"/>
              <w:spacing w:line="500" w:lineRule="exact"/>
              <w:ind w:left="0" w:firstLine="0"/>
              <w:jc w:val="center"/>
              <w:rPr>
                <w:rFonts w:hint="eastAsia" w:ascii="宋体" w:hAnsi="宋体"/>
                <w:szCs w:val="24"/>
                <w:shd w:val="clear" w:color="auto" w:fill="FFFFFF"/>
              </w:rPr>
            </w:pPr>
            <w:r>
              <w:rPr>
                <w:rFonts w:hint="eastAsia" w:ascii="宋体" w:hAnsi="宋体"/>
                <w:szCs w:val="24"/>
                <w:shd w:val="clear" w:color="auto" w:fill="FFFFFF"/>
              </w:rPr>
              <w:t>11</w:t>
            </w:r>
          </w:p>
        </w:tc>
        <w:tc>
          <w:tcPr>
            <w:tcW w:w="3329" w:type="dxa"/>
            <w:vAlign w:val="center"/>
          </w:tcPr>
          <w:p w14:paraId="28EA5E2C">
            <w:pPr>
              <w:pStyle w:val="121"/>
              <w:spacing w:line="500" w:lineRule="exact"/>
              <w:ind w:left="0" w:firstLine="0"/>
              <w:rPr>
                <w:rFonts w:hint="eastAsia" w:ascii="宋体" w:hAnsi="宋体"/>
                <w:sz w:val="24"/>
                <w:szCs w:val="24"/>
                <w:shd w:val="clear" w:color="auto" w:fill="FFFFFF"/>
              </w:rPr>
            </w:pPr>
            <w:r>
              <w:rPr>
                <w:rFonts w:hint="eastAsia" w:ascii="宋体" w:hAnsi="宋体"/>
                <w:sz w:val="24"/>
                <w:szCs w:val="24"/>
                <w:shd w:val="clear" w:color="auto" w:fill="FFFFFF"/>
              </w:rPr>
              <w:t>备注</w:t>
            </w:r>
          </w:p>
        </w:tc>
        <w:tc>
          <w:tcPr>
            <w:tcW w:w="5255" w:type="dxa"/>
            <w:vAlign w:val="center"/>
          </w:tcPr>
          <w:p w14:paraId="422B86AA">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1、采购需求中未列明偏差的除特殊订制类货物以外，列明的尺寸、重量及体积允许±5</w:t>
            </w:r>
            <w:r>
              <w:rPr>
                <w:rFonts w:ascii="宋体" w:hAnsi="宋体"/>
                <w:sz w:val="24"/>
                <w:szCs w:val="24"/>
                <w:shd w:val="clear" w:color="auto" w:fill="FFFFFF"/>
              </w:rPr>
              <w:t>%</w:t>
            </w:r>
            <w:r>
              <w:rPr>
                <w:rFonts w:hint="eastAsia" w:ascii="宋体" w:hAnsi="宋体"/>
                <w:sz w:val="24"/>
                <w:szCs w:val="24"/>
                <w:shd w:val="clear" w:color="auto" w:fill="FFFFFF"/>
              </w:rPr>
              <w:t>偏差。</w:t>
            </w:r>
          </w:p>
          <w:p w14:paraId="1ADA08F1">
            <w:pPr>
              <w:pStyle w:val="121"/>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2、采购标的物需按照国家相关标准、行业标准、地方标准或者其他标准、规范执行。</w:t>
            </w:r>
          </w:p>
        </w:tc>
      </w:tr>
    </w:tbl>
    <w:p w14:paraId="43494C4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6E007F7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24269DC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787F688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4ADAEF3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4C17225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2E8C260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519C125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b/>
          <w:kern w:val="0"/>
          <w:sz w:val="32"/>
        </w:rPr>
      </w:pPr>
    </w:p>
    <w:p w14:paraId="6B78831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left="420"/>
        <w:rPr>
          <w:rFonts w:hint="eastAsia" w:ascii="宋体" w:hAnsi="宋体" w:cs="宋体"/>
          <w:color w:val="000000"/>
          <w:kern w:val="0"/>
          <w:sz w:val="24"/>
        </w:rPr>
      </w:pPr>
      <w:r>
        <w:rPr>
          <w:rFonts w:hint="eastAsia" w:ascii="宋体" w:hAnsi="宋体"/>
          <w:b/>
          <w:kern w:val="0"/>
          <w:sz w:val="32"/>
        </w:rPr>
        <w:t>采购需求：</w:t>
      </w:r>
    </w:p>
    <w:tbl>
      <w:tblPr>
        <w:tblStyle w:val="39"/>
        <w:tblW w:w="5000" w:type="pct"/>
        <w:jc w:val="center"/>
        <w:tblLayout w:type="autofit"/>
        <w:tblCellMar>
          <w:top w:w="0" w:type="dxa"/>
          <w:left w:w="108" w:type="dxa"/>
          <w:bottom w:w="0" w:type="dxa"/>
          <w:right w:w="108" w:type="dxa"/>
        </w:tblCellMar>
      </w:tblPr>
      <w:tblGrid>
        <w:gridCol w:w="778"/>
        <w:gridCol w:w="1180"/>
        <w:gridCol w:w="5804"/>
        <w:gridCol w:w="778"/>
        <w:gridCol w:w="828"/>
      </w:tblGrid>
      <w:tr w14:paraId="3939C5C6">
        <w:tblPrEx>
          <w:tblCellMar>
            <w:top w:w="0" w:type="dxa"/>
            <w:left w:w="108" w:type="dxa"/>
            <w:bottom w:w="0" w:type="dxa"/>
            <w:right w:w="108" w:type="dxa"/>
          </w:tblCellMar>
        </w:tblPrEx>
        <w:trPr>
          <w:trHeight w:val="400" w:hRule="atLeast"/>
          <w:jc w:val="center"/>
        </w:trPr>
        <w:tc>
          <w:tcPr>
            <w:tcW w:w="415" w:type="pct"/>
            <w:tcBorders>
              <w:top w:val="single" w:color="auto" w:sz="4" w:space="0"/>
              <w:left w:val="single" w:color="auto" w:sz="4" w:space="0"/>
              <w:bottom w:val="single" w:color="auto" w:sz="4" w:space="0"/>
              <w:right w:val="single" w:color="auto" w:sz="4" w:space="0"/>
            </w:tcBorders>
            <w:noWrap/>
            <w:vAlign w:val="center"/>
          </w:tcPr>
          <w:p w14:paraId="53C7F0BD">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630" w:type="pct"/>
            <w:tcBorders>
              <w:top w:val="single" w:color="auto" w:sz="4" w:space="0"/>
              <w:left w:val="nil"/>
              <w:bottom w:val="single" w:color="auto" w:sz="4" w:space="0"/>
              <w:right w:val="single" w:color="auto" w:sz="4" w:space="0"/>
            </w:tcBorders>
            <w:vAlign w:val="center"/>
          </w:tcPr>
          <w:p w14:paraId="386B644B">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设备名称</w:t>
            </w:r>
          </w:p>
        </w:tc>
        <w:tc>
          <w:tcPr>
            <w:tcW w:w="3098" w:type="pct"/>
            <w:tcBorders>
              <w:top w:val="single" w:color="auto" w:sz="4" w:space="0"/>
              <w:left w:val="nil"/>
              <w:bottom w:val="single" w:color="auto" w:sz="4" w:space="0"/>
              <w:right w:val="single" w:color="auto" w:sz="4" w:space="0"/>
            </w:tcBorders>
            <w:vAlign w:val="center"/>
          </w:tcPr>
          <w:p w14:paraId="3585B201">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参考规格型号、技术参数</w:t>
            </w:r>
          </w:p>
        </w:tc>
        <w:tc>
          <w:tcPr>
            <w:tcW w:w="415" w:type="pct"/>
            <w:tcBorders>
              <w:top w:val="single" w:color="auto" w:sz="4" w:space="0"/>
              <w:left w:val="nil"/>
              <w:bottom w:val="single" w:color="auto" w:sz="4" w:space="0"/>
              <w:right w:val="single" w:color="auto" w:sz="4" w:space="0"/>
            </w:tcBorders>
            <w:noWrap/>
            <w:vAlign w:val="center"/>
          </w:tcPr>
          <w:p w14:paraId="650A9F30">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单位</w:t>
            </w:r>
          </w:p>
        </w:tc>
        <w:tc>
          <w:tcPr>
            <w:tcW w:w="442" w:type="pct"/>
            <w:tcBorders>
              <w:top w:val="single" w:color="auto" w:sz="4" w:space="0"/>
              <w:left w:val="nil"/>
              <w:bottom w:val="single" w:color="auto" w:sz="4" w:space="0"/>
              <w:right w:val="single" w:color="auto" w:sz="4" w:space="0"/>
            </w:tcBorders>
            <w:vAlign w:val="center"/>
          </w:tcPr>
          <w:p w14:paraId="6389D192">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数量</w:t>
            </w:r>
          </w:p>
        </w:tc>
      </w:tr>
      <w:tr w14:paraId="4255E3FA">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786520CE">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一、</w:t>
            </w:r>
          </w:p>
        </w:tc>
        <w:tc>
          <w:tcPr>
            <w:tcW w:w="630" w:type="pct"/>
            <w:tcBorders>
              <w:top w:val="single" w:color="auto" w:sz="4" w:space="0"/>
              <w:left w:val="nil"/>
              <w:bottom w:val="single" w:color="auto" w:sz="4" w:space="0"/>
              <w:right w:val="single" w:color="auto" w:sz="4" w:space="0"/>
            </w:tcBorders>
            <w:vAlign w:val="center"/>
          </w:tcPr>
          <w:p w14:paraId="5AA883E8">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谈话室部分</w:t>
            </w:r>
          </w:p>
        </w:tc>
        <w:tc>
          <w:tcPr>
            <w:tcW w:w="3098" w:type="pct"/>
            <w:tcBorders>
              <w:top w:val="single" w:color="auto" w:sz="4" w:space="0"/>
              <w:left w:val="nil"/>
              <w:bottom w:val="single" w:color="auto" w:sz="4" w:space="0"/>
              <w:right w:val="single" w:color="auto" w:sz="4" w:space="0"/>
            </w:tcBorders>
            <w:vAlign w:val="center"/>
          </w:tcPr>
          <w:p w14:paraId="334ABCD5">
            <w:pPr>
              <w:widowControl/>
              <w:jc w:val="left"/>
              <w:rPr>
                <w:rFonts w:hint="eastAsia" w:ascii="微软雅黑" w:hAnsi="微软雅黑" w:eastAsia="微软雅黑" w:cs="宋体"/>
                <w:b/>
                <w:bCs/>
                <w:kern w:val="0"/>
                <w:sz w:val="18"/>
                <w:szCs w:val="18"/>
              </w:rPr>
            </w:pPr>
          </w:p>
        </w:tc>
        <w:tc>
          <w:tcPr>
            <w:tcW w:w="415" w:type="pct"/>
            <w:tcBorders>
              <w:top w:val="nil"/>
              <w:left w:val="nil"/>
              <w:bottom w:val="single" w:color="auto" w:sz="4" w:space="0"/>
              <w:right w:val="single" w:color="auto" w:sz="4" w:space="0"/>
            </w:tcBorders>
            <w:noWrap/>
            <w:vAlign w:val="center"/>
          </w:tcPr>
          <w:p w14:paraId="0DD94BE7">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442" w:type="pct"/>
            <w:tcBorders>
              <w:top w:val="nil"/>
              <w:left w:val="nil"/>
              <w:bottom w:val="single" w:color="auto" w:sz="4" w:space="0"/>
              <w:right w:val="single" w:color="auto" w:sz="4" w:space="0"/>
            </w:tcBorders>
            <w:vAlign w:val="center"/>
          </w:tcPr>
          <w:p w14:paraId="6441909E">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14:paraId="0AF33495">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7417BAD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630" w:type="pct"/>
            <w:tcBorders>
              <w:top w:val="nil"/>
              <w:left w:val="nil"/>
              <w:bottom w:val="single" w:color="auto" w:sz="4" w:space="0"/>
              <w:right w:val="single" w:color="auto" w:sz="4" w:space="0"/>
            </w:tcBorders>
            <w:vAlign w:val="center"/>
          </w:tcPr>
          <w:p w14:paraId="4D67E62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特写相机</w:t>
            </w:r>
          </w:p>
        </w:tc>
        <w:tc>
          <w:tcPr>
            <w:tcW w:w="3098" w:type="pct"/>
            <w:tcBorders>
              <w:top w:val="nil"/>
              <w:left w:val="nil"/>
              <w:bottom w:val="single" w:color="auto" w:sz="4" w:space="0"/>
              <w:right w:val="single" w:color="auto" w:sz="4" w:space="0"/>
            </w:tcBorders>
            <w:vAlign w:val="center"/>
          </w:tcPr>
          <w:p w14:paraId="76F47718">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1、3寸双光全景镜头、细节镜头一体化摄像机；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2、全景路为定焦镜头，支持垂直方向7~17°手动可调；</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3、细节路支持12倍光学变倍（5.76 mm~69.12 mm），≥16倍数字变倍；</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4、全景支持≥2560 × 1440 @30 fps高清画面输出，细节支持≥2560 × 1440 @30 fps高清画面输出；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5、支持高效补光阵列，细节路红外照射≥80 m；全景路红外照射≥30 m，白光照射≥30 m；</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6、支持双路区域入侵、越界侦测、进入区域侦测及离开区域侦测，支持设置布防后联动报警音；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7、支持点击联动功能，点击全景画面中位置可联动细节镜头得到特写画面；</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8、全景路检测到移动目标（人、车）后，可追随移动目标；</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★设备球机水平旋转范围:0°~350°垂直旋转范围:-5°~90°；全景镜头可手动调节（提供公安部门检测机构检测报告复印件证明，并加盖厂商公章）；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10、★在双路模式下，2路画面可实现画中画显示，其中悬浮画面可手动拖动，并可切换悬浮画面对应的通道（提供公安部门检测机构检测报告复印件证明，并加盖厂商公章）；</w:t>
            </w:r>
          </w:p>
        </w:tc>
        <w:tc>
          <w:tcPr>
            <w:tcW w:w="415" w:type="pct"/>
            <w:tcBorders>
              <w:top w:val="nil"/>
              <w:left w:val="nil"/>
              <w:bottom w:val="single" w:color="auto" w:sz="4" w:space="0"/>
              <w:right w:val="single" w:color="auto" w:sz="4" w:space="0"/>
            </w:tcBorders>
            <w:noWrap/>
            <w:vAlign w:val="center"/>
          </w:tcPr>
          <w:p w14:paraId="1B89DC7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12DB87B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14:paraId="1EA0E2E8">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2F34E03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630" w:type="pct"/>
            <w:tcBorders>
              <w:top w:val="nil"/>
              <w:left w:val="nil"/>
              <w:bottom w:val="single" w:color="auto" w:sz="4" w:space="0"/>
              <w:right w:val="single" w:color="auto" w:sz="4" w:space="0"/>
            </w:tcBorders>
            <w:vAlign w:val="center"/>
          </w:tcPr>
          <w:p w14:paraId="1A8A7EA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全景摄像机</w:t>
            </w:r>
          </w:p>
        </w:tc>
        <w:tc>
          <w:tcPr>
            <w:tcW w:w="3098" w:type="pct"/>
            <w:tcBorders>
              <w:top w:val="nil"/>
              <w:left w:val="nil"/>
              <w:bottom w:val="single" w:color="auto" w:sz="4" w:space="0"/>
              <w:right w:val="single" w:color="auto" w:sz="4" w:space="0"/>
            </w:tcBorders>
            <w:vAlign w:val="center"/>
          </w:tcPr>
          <w:p w14:paraId="19B84ECF">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360度全景摄像机，500万像素，传感器性能不低于1/2.8" Progressive Scan CMOS；</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彩色最低照度：0.005 lx，黑白最低照度:0.001 lx；</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最大分辨率不小于2560×1920，支持实时输出；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支持图像远端放大，支持灵活的图像矫正；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支持H.265/H.264/MJPEG视频压缩算法，支持多级别视频质量配置、编码复杂度设置；</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★内置双MIC，支持双MIC噪声过滤；对讲过程中，可过滤稳态噪声；（提供公安部门检测机构检测报告复印件证明，并加盖厂商公章）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支持宽动态范围≥120dB，适合逆光环境监控；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采用EXIR点阵式红外灯技术，照射距离≥20m；</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★设备内置不少于1颗GPU芯片、2个麦克风、1个扬声器，具有不少于1个RJ45网络接口；（提供公安部门检测机构检测报告复印件证明，并加盖厂商公章）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支持≥256GB MicroSD/MicroSDHC/MicroSDXC卡存储；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 支持两轴调节，水平范围不小于0°~355°，垂直范围不小于0°~45°；</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12、 ★支持设置纯视频流和音视频复合流两种视频类型；（提供公安部门检测机构检测报告复印件证明，并加盖厂商公章）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13、 电源电压的DC12V±20%范围变化时，设备正常工作。设备支持POE供电方式；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14、 不低于IP67防尘防水等级，不低于IK10碰撞防护等级；（提供公安部门检测机构检测报告复印件证明，并加盖厂商公章）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15、 ★设备支持开启、关闭畸变矫正功能，功能开启后畸变应有明显降低。畸变矫正支持等级1、等级2、等级3和自定义四种校正配置，当配置为自定义时，可分别调节校正强度、水平视场角、垂直视场角、远端放大等级；（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16、 同一静止场景相同图像质量下，设备在H.264、H.265编码方式时，开启智能编码功能和不开启智能编码相比，码率节约90%。（提供公安部门检测机构检测报告复印件证明，并加盖厂商公章）</w:t>
            </w:r>
          </w:p>
        </w:tc>
        <w:tc>
          <w:tcPr>
            <w:tcW w:w="415" w:type="pct"/>
            <w:tcBorders>
              <w:top w:val="nil"/>
              <w:left w:val="nil"/>
              <w:bottom w:val="single" w:color="auto" w:sz="4" w:space="0"/>
              <w:right w:val="single" w:color="auto" w:sz="4" w:space="0"/>
            </w:tcBorders>
            <w:noWrap/>
            <w:vAlign w:val="center"/>
          </w:tcPr>
          <w:p w14:paraId="4EB4252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70022DB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30E3E621">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D2DA9E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30" w:type="pct"/>
            <w:tcBorders>
              <w:top w:val="nil"/>
              <w:left w:val="nil"/>
              <w:bottom w:val="single" w:color="auto" w:sz="4" w:space="0"/>
              <w:right w:val="single" w:color="auto" w:sz="4" w:space="0"/>
            </w:tcBorders>
            <w:vAlign w:val="center"/>
          </w:tcPr>
          <w:p w14:paraId="7BDB2781">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半球网络摄像机</w:t>
            </w:r>
          </w:p>
        </w:tc>
        <w:tc>
          <w:tcPr>
            <w:tcW w:w="3098" w:type="pct"/>
            <w:tcBorders>
              <w:top w:val="nil"/>
              <w:left w:val="nil"/>
              <w:bottom w:val="single" w:color="auto" w:sz="4" w:space="0"/>
              <w:right w:val="single" w:color="auto" w:sz="4" w:space="0"/>
            </w:tcBorders>
            <w:vAlign w:val="center"/>
          </w:tcPr>
          <w:p w14:paraId="62D385C1">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最高分辨率可达2688×1520@25fps，在该分辨率下可输出实时图像；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支持场景变更侦测，区域入侵侦测，越界侦测，进入区域侦测，离开区域侦测，物品遗留侦测，物品拿取侦测，徘徊侦测，人员聚集侦测，快速移动侦测等智能侦测功能；</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支持背光补偿，强光抑制，3D数字降噪，120dB宽动态；</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采用高效阵列红外灯，使用寿命长，红外照射距离≥30m；</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内置不少于1个麦克风；</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支持DC12 V，100 mA电源输出，可用于拾音器供电；</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不低于IP67防尘防水等级；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支持最低照度：彩色：0.005Lux；</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调节角度：水平不小于0°~360°，垂直不小于0°~75°，旋转不小于0°~360°；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网络：≥1个RJ45 10M/100M自适应以太网口；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 内置MicroSD/MicroSDHC/MicroSDXC插槽，最大支持≥512 GB；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12、 支持DC12V±25%/PoE供电。</w:t>
            </w:r>
          </w:p>
        </w:tc>
        <w:tc>
          <w:tcPr>
            <w:tcW w:w="415" w:type="pct"/>
            <w:tcBorders>
              <w:top w:val="nil"/>
              <w:left w:val="nil"/>
              <w:bottom w:val="single" w:color="auto" w:sz="4" w:space="0"/>
              <w:right w:val="single" w:color="auto" w:sz="4" w:space="0"/>
            </w:tcBorders>
            <w:noWrap/>
            <w:vAlign w:val="center"/>
          </w:tcPr>
          <w:p w14:paraId="67BF20C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2A58EF5F">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2D030C19">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320058E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30" w:type="pct"/>
            <w:tcBorders>
              <w:top w:val="nil"/>
              <w:left w:val="nil"/>
              <w:bottom w:val="single" w:color="auto" w:sz="4" w:space="0"/>
              <w:right w:val="single" w:color="auto" w:sz="4" w:space="0"/>
            </w:tcBorders>
            <w:vAlign w:val="center"/>
          </w:tcPr>
          <w:p w14:paraId="52606D3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拾音器1</w:t>
            </w:r>
          </w:p>
        </w:tc>
        <w:tc>
          <w:tcPr>
            <w:tcW w:w="3098" w:type="pct"/>
            <w:tcBorders>
              <w:top w:val="nil"/>
              <w:left w:val="nil"/>
              <w:bottom w:val="single" w:color="auto" w:sz="4" w:space="0"/>
              <w:right w:val="single" w:color="auto" w:sz="4" w:space="0"/>
            </w:tcBorders>
            <w:vAlign w:val="center"/>
          </w:tcPr>
          <w:p w14:paraId="6884DA4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采用高灵敏度全指向性电容咪头，全向拾音；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支持级联拾音器，可增大拾音器范围，智能混音，声音无切换感，清晰自然；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抗混响技术，声音清晰；</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拾音范围：5～100平方米；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音频传输距离：不少于3000米；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灵敏度：-32dB；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频率响应：20Hz～20KHz；</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麦克风：震膜电容咪头；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信号处理电路：降噪处理电路。</w:t>
            </w:r>
          </w:p>
        </w:tc>
        <w:tc>
          <w:tcPr>
            <w:tcW w:w="415" w:type="pct"/>
            <w:tcBorders>
              <w:top w:val="nil"/>
              <w:left w:val="nil"/>
              <w:bottom w:val="single" w:color="auto" w:sz="4" w:space="0"/>
              <w:right w:val="single" w:color="auto" w:sz="4" w:space="0"/>
            </w:tcBorders>
            <w:noWrap/>
            <w:vAlign w:val="center"/>
          </w:tcPr>
          <w:p w14:paraId="4BB7D85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42" w:type="pct"/>
            <w:tcBorders>
              <w:top w:val="nil"/>
              <w:left w:val="nil"/>
              <w:bottom w:val="single" w:color="auto" w:sz="4" w:space="0"/>
              <w:right w:val="single" w:color="auto" w:sz="4" w:space="0"/>
            </w:tcBorders>
            <w:vAlign w:val="center"/>
          </w:tcPr>
          <w:p w14:paraId="66F3AB6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2CABE1CF">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68F3DCB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630" w:type="pct"/>
            <w:tcBorders>
              <w:top w:val="nil"/>
              <w:left w:val="nil"/>
              <w:bottom w:val="single" w:color="auto" w:sz="4" w:space="0"/>
              <w:right w:val="single" w:color="auto" w:sz="4" w:space="0"/>
            </w:tcBorders>
            <w:vAlign w:val="center"/>
          </w:tcPr>
          <w:p w14:paraId="6E675D2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拾音器2</w:t>
            </w:r>
          </w:p>
        </w:tc>
        <w:tc>
          <w:tcPr>
            <w:tcW w:w="3098" w:type="pct"/>
            <w:tcBorders>
              <w:top w:val="nil"/>
              <w:left w:val="nil"/>
              <w:bottom w:val="single" w:color="auto" w:sz="4" w:space="0"/>
              <w:right w:val="single" w:color="auto" w:sz="4" w:space="0"/>
            </w:tcBorders>
            <w:vAlign w:val="center"/>
          </w:tcPr>
          <w:p w14:paraId="3F8432D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采用高灵敏度全指向性电容咪头，全向拾音；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支持级联拾音器，可增大拾音器范围，智能混音，声音无切换感，清晰自然；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抗混响技术，声音清晰；</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拾音范围：5～100平方米；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音频传输距离：不少于3000米；</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灵敏度：-32dB；</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频率响应：20Hz～20KHz；</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麦克风：震膜电容咪头；</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信号处理电路：降噪处理电路。</w:t>
            </w:r>
          </w:p>
        </w:tc>
        <w:tc>
          <w:tcPr>
            <w:tcW w:w="415" w:type="pct"/>
            <w:tcBorders>
              <w:top w:val="nil"/>
              <w:left w:val="nil"/>
              <w:bottom w:val="single" w:color="auto" w:sz="4" w:space="0"/>
              <w:right w:val="single" w:color="auto" w:sz="4" w:space="0"/>
            </w:tcBorders>
            <w:noWrap/>
            <w:vAlign w:val="center"/>
          </w:tcPr>
          <w:p w14:paraId="4DA03AE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42" w:type="pct"/>
            <w:tcBorders>
              <w:top w:val="nil"/>
              <w:left w:val="nil"/>
              <w:bottom w:val="single" w:color="auto" w:sz="4" w:space="0"/>
              <w:right w:val="single" w:color="auto" w:sz="4" w:space="0"/>
            </w:tcBorders>
            <w:vAlign w:val="center"/>
          </w:tcPr>
          <w:p w14:paraId="17016C7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36235FAA">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5902995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630" w:type="pct"/>
            <w:tcBorders>
              <w:top w:val="nil"/>
              <w:left w:val="nil"/>
              <w:bottom w:val="single" w:color="auto" w:sz="4" w:space="0"/>
              <w:right w:val="single" w:color="auto" w:sz="4" w:space="0"/>
            </w:tcBorders>
            <w:vAlign w:val="center"/>
          </w:tcPr>
          <w:p w14:paraId="53C181F6">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拾音器电源</w:t>
            </w:r>
          </w:p>
        </w:tc>
        <w:tc>
          <w:tcPr>
            <w:tcW w:w="3098" w:type="pct"/>
            <w:tcBorders>
              <w:top w:val="nil"/>
              <w:left w:val="nil"/>
              <w:bottom w:val="single" w:color="auto" w:sz="4" w:space="0"/>
              <w:right w:val="single" w:color="auto" w:sz="4" w:space="0"/>
            </w:tcBorders>
            <w:vAlign w:val="center"/>
          </w:tcPr>
          <w:p w14:paraId="3AA4D07F">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国标，12V1A输出，两线，插墙式，输出线长1.5m</w:t>
            </w:r>
          </w:p>
        </w:tc>
        <w:tc>
          <w:tcPr>
            <w:tcW w:w="415" w:type="pct"/>
            <w:tcBorders>
              <w:top w:val="nil"/>
              <w:left w:val="nil"/>
              <w:bottom w:val="single" w:color="auto" w:sz="4" w:space="0"/>
              <w:right w:val="single" w:color="auto" w:sz="4" w:space="0"/>
            </w:tcBorders>
            <w:noWrap/>
            <w:vAlign w:val="center"/>
          </w:tcPr>
          <w:p w14:paraId="5FDF6F9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19C859A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r>
      <w:tr w14:paraId="39A9DC89">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619BF0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630" w:type="pct"/>
            <w:tcBorders>
              <w:top w:val="nil"/>
              <w:left w:val="nil"/>
              <w:bottom w:val="single" w:color="auto" w:sz="4" w:space="0"/>
              <w:right w:val="single" w:color="auto" w:sz="4" w:space="0"/>
            </w:tcBorders>
            <w:vAlign w:val="center"/>
          </w:tcPr>
          <w:p w14:paraId="24C105F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温湿度显示屏</w:t>
            </w:r>
          </w:p>
        </w:tc>
        <w:tc>
          <w:tcPr>
            <w:tcW w:w="3098" w:type="pct"/>
            <w:tcBorders>
              <w:top w:val="nil"/>
              <w:left w:val="nil"/>
              <w:bottom w:val="single" w:color="auto" w:sz="4" w:space="0"/>
              <w:right w:val="single" w:color="auto" w:sz="4" w:space="0"/>
            </w:tcBorders>
            <w:vAlign w:val="center"/>
          </w:tcPr>
          <w:p w14:paraId="218A44B8">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静态数字显示，减少白光，适于同步录音录像；采用超高精度时钟；支持自动校准时钟或与计算机时间同步；</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支持温度、湿度信息检测；</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支持1路相机接入，分辨率最高支持400W；</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支持对接入的相机画面进行环境信息叠加处理，并被平台添加；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显示时间精确到秒；</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支持网络ISAPI协议上传环境数据、校时；</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采用防反光磨砂面板设计；</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采用静态显示，防白光处理，防止图像闪烁，适合同步录像应用；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可以将采集到的环境数据和时间数据通过RS-485接口或者网络传送到计算机；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测量精度：温度＜±1℃，湿度＜±4%RH。</w:t>
            </w:r>
          </w:p>
        </w:tc>
        <w:tc>
          <w:tcPr>
            <w:tcW w:w="415" w:type="pct"/>
            <w:tcBorders>
              <w:top w:val="nil"/>
              <w:left w:val="nil"/>
              <w:bottom w:val="single" w:color="auto" w:sz="4" w:space="0"/>
              <w:right w:val="single" w:color="auto" w:sz="4" w:space="0"/>
            </w:tcBorders>
            <w:noWrap/>
            <w:vAlign w:val="center"/>
          </w:tcPr>
          <w:p w14:paraId="507B0F6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1C09A91F">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1C17902E">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47E382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30" w:type="pct"/>
            <w:tcBorders>
              <w:top w:val="nil"/>
              <w:left w:val="nil"/>
              <w:bottom w:val="single" w:color="auto" w:sz="4" w:space="0"/>
              <w:right w:val="single" w:color="auto" w:sz="4" w:space="0"/>
            </w:tcBorders>
            <w:vAlign w:val="center"/>
          </w:tcPr>
          <w:p w14:paraId="393E105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双电源司法审讯主机（DVD）</w:t>
            </w:r>
          </w:p>
        </w:tc>
        <w:tc>
          <w:tcPr>
            <w:tcW w:w="3098" w:type="pct"/>
            <w:tcBorders>
              <w:top w:val="nil"/>
              <w:left w:val="nil"/>
              <w:bottom w:val="single" w:color="auto" w:sz="4" w:space="0"/>
              <w:right w:val="single" w:color="auto" w:sz="4" w:space="0"/>
            </w:tcBorders>
            <w:vAlign w:val="center"/>
          </w:tcPr>
          <w:p w14:paraId="719905A7">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支持最大≥8路IPC接入，最大4K分辨率，输入带宽≥256Mbps，输出带宽≥256Mbps；</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设备前面板具有一块不小于7寸液晶触摸屏，可实现实时视频预览、主机硬盘录像回放及光盘录像回放；</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支持≥2路HDMI输入，最大分辨率4K；支持≥2路VGA输入，最大分辨率1080P；</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支持≥2路HDMI输出，最大分别率4K；支持≥1路VGA输出，最大分辨率1080P；</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★支持长时间审讯超时提醒功能，当审讯时间达到11.5小时和12小时时进行提醒；（提供公安部门检测机构检测报告复印件证明，并加盖厂商公章）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支持≥4个SATA硬盘接入，1个esata接口；每个SATA口容量支持最大10TB硬盘；</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具有声音、图像实时采集功能。能够实时、清晰采集工作人员及被审讯人声音和现场背景声音，实时、清晰采集被审讯人正面中景和场所全景图像，包括环境温度、湿度、时间；（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支持单画面、1大1小、1大2小、1大3小、1大4小、1大5小、1大7小、4均分等多种画面合成方式，小画面位置和大小可调；</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内置≥2个光驱；支持≥4路审讯智能行为分析；</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★支持启用无声波形通道，对无声音权限人员传输屏蔽声音的视频，但可在视频上看到音量指示波形（用于判断录制的音频是否正常）；（提供公安部门检测机构检测报告复印件证明，并加盖厂商公章）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 支持单室双刻、单室轮刻、双室双刻多种刻录模式；</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12、 支持一键开启/停止刻录、支持双光盘同时回放；</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13、 支持案件信息录入和片头片尾叠加功能，叠加案件信息位置可调；</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14、 ★支持智能行为分析，包含攀高检测、人数异常、站立起身、离床检测、离岗、睡岗、剧烈运动、声音突变9种类型；（提供公安部门检测机构检测报告复印件证明，并加盖厂商公章）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15、 支持光盘不间断刻录，更换光盘时数据不丢失；</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16、 支持刻录数据数字水印加密和哈希检验技术，防止原始音视频数据被篡改；</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17、 ★同一视频画面支持设置最多16个智能规则，支持8个智能规则同时检测；（提供公安部门检测机构检测报告复印件证明，并加盖厂商公章）</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18、 支持讯问记录恢复时音频数据屏蔽功能；</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19、 支持异常断电硬盘和光盘数据保护功能；</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20、 ★支持设置智能检测区域与屏蔽区域，屏蔽区域内无法触发智能报警。区域可设置8个。（提供公安部门检测机构检测报告复印件证明，并加盖厂商公章）</w:t>
            </w:r>
          </w:p>
        </w:tc>
        <w:tc>
          <w:tcPr>
            <w:tcW w:w="415" w:type="pct"/>
            <w:tcBorders>
              <w:top w:val="nil"/>
              <w:left w:val="nil"/>
              <w:bottom w:val="single" w:color="auto" w:sz="4" w:space="0"/>
              <w:right w:val="single" w:color="auto" w:sz="4" w:space="0"/>
            </w:tcBorders>
            <w:noWrap/>
            <w:vAlign w:val="center"/>
          </w:tcPr>
          <w:p w14:paraId="167AD38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01119F4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4BAC693E">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F02E916">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630" w:type="pct"/>
            <w:tcBorders>
              <w:top w:val="nil"/>
              <w:left w:val="nil"/>
              <w:bottom w:val="single" w:color="auto" w:sz="4" w:space="0"/>
              <w:right w:val="single" w:color="auto" w:sz="4" w:space="0"/>
            </w:tcBorders>
            <w:vAlign w:val="center"/>
          </w:tcPr>
          <w:p w14:paraId="3DB4D50F">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6T硬盘</w:t>
            </w:r>
          </w:p>
        </w:tc>
        <w:tc>
          <w:tcPr>
            <w:tcW w:w="3098" w:type="pct"/>
            <w:tcBorders>
              <w:top w:val="nil"/>
              <w:left w:val="nil"/>
              <w:bottom w:val="single" w:color="auto" w:sz="4" w:space="0"/>
              <w:right w:val="single" w:color="auto" w:sz="4" w:space="0"/>
            </w:tcBorders>
            <w:vAlign w:val="center"/>
          </w:tcPr>
          <w:p w14:paraId="0CFC1541">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6TB 容量，3.5英寸，SATA3.0 接口，5400RPM</w:t>
            </w:r>
          </w:p>
        </w:tc>
        <w:tc>
          <w:tcPr>
            <w:tcW w:w="415" w:type="pct"/>
            <w:tcBorders>
              <w:top w:val="nil"/>
              <w:left w:val="nil"/>
              <w:bottom w:val="single" w:color="auto" w:sz="4" w:space="0"/>
              <w:right w:val="single" w:color="auto" w:sz="4" w:space="0"/>
            </w:tcBorders>
            <w:noWrap/>
            <w:vAlign w:val="center"/>
          </w:tcPr>
          <w:p w14:paraId="3DC8287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块</w:t>
            </w:r>
          </w:p>
        </w:tc>
        <w:tc>
          <w:tcPr>
            <w:tcW w:w="442" w:type="pct"/>
            <w:tcBorders>
              <w:top w:val="nil"/>
              <w:left w:val="nil"/>
              <w:bottom w:val="single" w:color="auto" w:sz="4" w:space="0"/>
              <w:right w:val="single" w:color="auto" w:sz="4" w:space="0"/>
            </w:tcBorders>
            <w:vAlign w:val="center"/>
          </w:tcPr>
          <w:p w14:paraId="42C6475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w:t>
            </w:r>
          </w:p>
        </w:tc>
      </w:tr>
      <w:tr w14:paraId="7C81A40D">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304E3AA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630" w:type="pct"/>
            <w:tcBorders>
              <w:top w:val="nil"/>
              <w:left w:val="nil"/>
              <w:bottom w:val="single" w:color="auto" w:sz="4" w:space="0"/>
              <w:right w:val="single" w:color="auto" w:sz="4" w:space="0"/>
            </w:tcBorders>
            <w:vAlign w:val="center"/>
          </w:tcPr>
          <w:p w14:paraId="442DDFC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示证显示器（2K）</w:t>
            </w:r>
          </w:p>
        </w:tc>
        <w:tc>
          <w:tcPr>
            <w:tcW w:w="3098" w:type="pct"/>
            <w:tcBorders>
              <w:top w:val="nil"/>
              <w:left w:val="nil"/>
              <w:bottom w:val="single" w:color="auto" w:sz="4" w:space="0"/>
              <w:right w:val="single" w:color="auto" w:sz="4" w:space="0"/>
            </w:tcBorders>
            <w:vAlign w:val="center"/>
          </w:tcPr>
          <w:p w14:paraId="3E3EEAA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支持≥3840×2160高清显示；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采用3D降噪技术，图像鲜艳明亮，呈现真实细节；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显示尺寸不小于43 inch；</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背光源类型：D-LED；</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亮度：≥300cd/㎡；</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可视角：不小于178°(H)/178°(V)；</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对比度：≥4000：1；</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连续使用时间：不小于7×16H；</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音视频输入接口：不少于HDMI2.0×3；</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音视频输出接口：不少于Line-out×1；</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 数据传输接口：不少于USB2.0×1(支持U盘播放和程序在线升级)；</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12、 控制接口：不少于RS232-IN×1、RS232-OUT×1。</w:t>
            </w:r>
          </w:p>
        </w:tc>
        <w:tc>
          <w:tcPr>
            <w:tcW w:w="415" w:type="pct"/>
            <w:tcBorders>
              <w:top w:val="nil"/>
              <w:left w:val="nil"/>
              <w:bottom w:val="single" w:color="auto" w:sz="4" w:space="0"/>
              <w:right w:val="single" w:color="auto" w:sz="4" w:space="0"/>
            </w:tcBorders>
            <w:noWrap/>
            <w:vAlign w:val="center"/>
          </w:tcPr>
          <w:p w14:paraId="0EBDBA4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1FA0F271">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05412EBF">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47F801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630" w:type="pct"/>
            <w:tcBorders>
              <w:top w:val="nil"/>
              <w:left w:val="nil"/>
              <w:bottom w:val="single" w:color="auto" w:sz="4" w:space="0"/>
              <w:right w:val="single" w:color="auto" w:sz="4" w:space="0"/>
            </w:tcBorders>
            <w:vAlign w:val="center"/>
          </w:tcPr>
          <w:p w14:paraId="7A626F8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监视器通用壁挂支架</w:t>
            </w:r>
          </w:p>
        </w:tc>
        <w:tc>
          <w:tcPr>
            <w:tcW w:w="3098" w:type="pct"/>
            <w:tcBorders>
              <w:top w:val="nil"/>
              <w:left w:val="nil"/>
              <w:bottom w:val="single" w:color="auto" w:sz="4" w:space="0"/>
              <w:right w:val="single" w:color="auto" w:sz="4" w:space="0"/>
            </w:tcBorders>
            <w:vAlign w:val="center"/>
          </w:tcPr>
          <w:p w14:paraId="034A83E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显示器壁挂支架，主体采用SPCC高强度钢</w:t>
            </w:r>
          </w:p>
        </w:tc>
        <w:tc>
          <w:tcPr>
            <w:tcW w:w="415" w:type="pct"/>
            <w:tcBorders>
              <w:top w:val="nil"/>
              <w:left w:val="nil"/>
              <w:bottom w:val="single" w:color="auto" w:sz="4" w:space="0"/>
              <w:right w:val="single" w:color="auto" w:sz="4" w:space="0"/>
            </w:tcBorders>
            <w:noWrap/>
            <w:vAlign w:val="center"/>
          </w:tcPr>
          <w:p w14:paraId="5CB4025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42" w:type="pct"/>
            <w:tcBorders>
              <w:top w:val="nil"/>
              <w:left w:val="nil"/>
              <w:bottom w:val="single" w:color="auto" w:sz="4" w:space="0"/>
              <w:right w:val="single" w:color="auto" w:sz="4" w:space="0"/>
            </w:tcBorders>
            <w:vAlign w:val="center"/>
          </w:tcPr>
          <w:p w14:paraId="00CAF5B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714198E6">
        <w:tblPrEx>
          <w:tblCellMar>
            <w:top w:w="0" w:type="dxa"/>
            <w:left w:w="108" w:type="dxa"/>
            <w:bottom w:w="0" w:type="dxa"/>
            <w:right w:w="108" w:type="dxa"/>
          </w:tblCellMar>
        </w:tblPrEx>
        <w:trPr>
          <w:trHeight w:val="650" w:hRule="atLeast"/>
          <w:jc w:val="center"/>
        </w:trPr>
        <w:tc>
          <w:tcPr>
            <w:tcW w:w="415" w:type="pct"/>
            <w:tcBorders>
              <w:top w:val="single" w:color="auto" w:sz="4" w:space="0"/>
              <w:left w:val="single" w:color="auto" w:sz="4" w:space="0"/>
              <w:bottom w:val="single" w:color="auto" w:sz="4" w:space="0"/>
              <w:right w:val="single" w:color="auto" w:sz="4" w:space="0"/>
            </w:tcBorders>
            <w:noWrap/>
            <w:vAlign w:val="center"/>
          </w:tcPr>
          <w:p w14:paraId="30AB10E2">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二、</w:t>
            </w:r>
          </w:p>
        </w:tc>
        <w:tc>
          <w:tcPr>
            <w:tcW w:w="630" w:type="pct"/>
            <w:tcBorders>
              <w:top w:val="single" w:color="auto" w:sz="4" w:space="0"/>
              <w:left w:val="single" w:color="auto" w:sz="4" w:space="0"/>
              <w:bottom w:val="single" w:color="auto" w:sz="4" w:space="0"/>
              <w:right w:val="single" w:color="auto" w:sz="4" w:space="0"/>
            </w:tcBorders>
            <w:vAlign w:val="center"/>
          </w:tcPr>
          <w:p w14:paraId="2DB3759E">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控制室部分</w:t>
            </w:r>
          </w:p>
        </w:tc>
        <w:tc>
          <w:tcPr>
            <w:tcW w:w="3098" w:type="pct"/>
            <w:tcBorders>
              <w:top w:val="single" w:color="auto" w:sz="4" w:space="0"/>
              <w:left w:val="single" w:color="auto" w:sz="4" w:space="0"/>
              <w:bottom w:val="single" w:color="auto" w:sz="4" w:space="0"/>
              <w:right w:val="single" w:color="auto" w:sz="4" w:space="0"/>
            </w:tcBorders>
            <w:vAlign w:val="center"/>
          </w:tcPr>
          <w:p w14:paraId="78CDBE10">
            <w:pPr>
              <w:widowControl/>
              <w:jc w:val="left"/>
              <w:rPr>
                <w:rFonts w:hint="eastAsia" w:ascii="微软雅黑" w:hAnsi="微软雅黑" w:eastAsia="微软雅黑" w:cs="宋体"/>
                <w:b/>
                <w:bCs/>
                <w:kern w:val="0"/>
                <w:sz w:val="18"/>
                <w:szCs w:val="18"/>
              </w:rPr>
            </w:pPr>
          </w:p>
        </w:tc>
        <w:tc>
          <w:tcPr>
            <w:tcW w:w="415" w:type="pct"/>
            <w:tcBorders>
              <w:top w:val="single" w:color="auto" w:sz="4" w:space="0"/>
              <w:left w:val="single" w:color="auto" w:sz="4" w:space="0"/>
              <w:bottom w:val="single" w:color="auto" w:sz="4" w:space="0"/>
              <w:right w:val="single" w:color="auto" w:sz="4" w:space="0"/>
            </w:tcBorders>
            <w:noWrap/>
            <w:vAlign w:val="center"/>
          </w:tcPr>
          <w:p w14:paraId="58B3FBD6">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442" w:type="pct"/>
            <w:tcBorders>
              <w:top w:val="single" w:color="auto" w:sz="4" w:space="0"/>
              <w:left w:val="single" w:color="auto" w:sz="4" w:space="0"/>
              <w:bottom w:val="single" w:color="auto" w:sz="4" w:space="0"/>
              <w:right w:val="single" w:color="auto" w:sz="4" w:space="0"/>
            </w:tcBorders>
            <w:vAlign w:val="center"/>
          </w:tcPr>
          <w:p w14:paraId="0BD1233D">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14:paraId="463FD284">
        <w:tblPrEx>
          <w:tblCellMar>
            <w:top w:w="0" w:type="dxa"/>
            <w:left w:w="108" w:type="dxa"/>
            <w:bottom w:w="0" w:type="dxa"/>
            <w:right w:w="108" w:type="dxa"/>
          </w:tblCellMar>
        </w:tblPrEx>
        <w:trPr>
          <w:trHeight w:val="400" w:hRule="atLeast"/>
          <w:jc w:val="center"/>
        </w:trPr>
        <w:tc>
          <w:tcPr>
            <w:tcW w:w="415" w:type="pct"/>
            <w:tcBorders>
              <w:top w:val="single" w:color="auto" w:sz="4" w:space="0"/>
              <w:left w:val="single" w:color="auto" w:sz="4" w:space="0"/>
              <w:bottom w:val="single" w:color="auto" w:sz="4" w:space="0"/>
              <w:right w:val="single" w:color="auto" w:sz="4" w:space="0"/>
            </w:tcBorders>
            <w:noWrap/>
            <w:vAlign w:val="center"/>
          </w:tcPr>
          <w:p w14:paraId="7C93A32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630" w:type="pct"/>
            <w:tcBorders>
              <w:top w:val="single" w:color="auto" w:sz="4" w:space="0"/>
              <w:left w:val="single" w:color="auto" w:sz="4" w:space="0"/>
              <w:bottom w:val="single" w:color="auto" w:sz="4" w:space="0"/>
              <w:right w:val="single" w:color="auto" w:sz="4" w:space="0"/>
            </w:tcBorders>
            <w:vAlign w:val="center"/>
          </w:tcPr>
          <w:p w14:paraId="46E78CF3">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22寸监视器</w:t>
            </w:r>
          </w:p>
        </w:tc>
        <w:tc>
          <w:tcPr>
            <w:tcW w:w="3098" w:type="pct"/>
            <w:tcBorders>
              <w:top w:val="single" w:color="auto" w:sz="4" w:space="0"/>
              <w:left w:val="single" w:color="auto" w:sz="4" w:space="0"/>
              <w:bottom w:val="single" w:color="auto" w:sz="4" w:space="0"/>
              <w:right w:val="single" w:color="auto" w:sz="4" w:space="0"/>
            </w:tcBorders>
            <w:vAlign w:val="center"/>
          </w:tcPr>
          <w:p w14:paraId="5F79E216">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采用3D降噪技术，图像鲜艳明亮，呈现真实细节；</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显示尺寸：≥21.5 inch；</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物理分辨率：≥1920×1080@60Hz；</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背光源类型：E-LED；</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亮度：≥250cd/m²；</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可视角：≥178°(H)/178°(V)；</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对比度：≥3000：1；</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响应时间：6.5 ms（typ）；</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色域：72% NTSC；</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采用HDMI+VGA双接口，音视频输入接口不少于：HDMI 1.4×1，VGA×1。</w:t>
            </w:r>
          </w:p>
        </w:tc>
        <w:tc>
          <w:tcPr>
            <w:tcW w:w="415" w:type="pct"/>
            <w:tcBorders>
              <w:top w:val="single" w:color="auto" w:sz="4" w:space="0"/>
              <w:left w:val="single" w:color="auto" w:sz="4" w:space="0"/>
              <w:bottom w:val="single" w:color="auto" w:sz="4" w:space="0"/>
              <w:right w:val="single" w:color="auto" w:sz="4" w:space="0"/>
            </w:tcBorders>
            <w:noWrap/>
            <w:vAlign w:val="center"/>
          </w:tcPr>
          <w:p w14:paraId="61E33E2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single" w:color="auto" w:sz="4" w:space="0"/>
              <w:left w:val="single" w:color="auto" w:sz="4" w:space="0"/>
              <w:bottom w:val="single" w:color="auto" w:sz="4" w:space="0"/>
              <w:right w:val="single" w:color="auto" w:sz="4" w:space="0"/>
            </w:tcBorders>
            <w:vAlign w:val="center"/>
          </w:tcPr>
          <w:p w14:paraId="65D562E5">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5DFE6538">
        <w:tblPrEx>
          <w:tblCellMar>
            <w:top w:w="0" w:type="dxa"/>
            <w:left w:w="108" w:type="dxa"/>
            <w:bottom w:w="0" w:type="dxa"/>
            <w:right w:w="108" w:type="dxa"/>
          </w:tblCellMar>
        </w:tblPrEx>
        <w:trPr>
          <w:trHeight w:val="400" w:hRule="atLeast"/>
          <w:jc w:val="center"/>
        </w:trPr>
        <w:tc>
          <w:tcPr>
            <w:tcW w:w="415" w:type="pct"/>
            <w:tcBorders>
              <w:top w:val="single" w:color="auto" w:sz="4" w:space="0"/>
              <w:left w:val="single" w:color="auto" w:sz="4" w:space="0"/>
              <w:bottom w:val="single" w:color="auto" w:sz="4" w:space="0"/>
              <w:right w:val="single" w:color="auto" w:sz="4" w:space="0"/>
            </w:tcBorders>
            <w:noWrap/>
            <w:vAlign w:val="center"/>
          </w:tcPr>
          <w:p w14:paraId="197BFE4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630" w:type="pct"/>
            <w:tcBorders>
              <w:top w:val="single" w:color="auto" w:sz="4" w:space="0"/>
              <w:left w:val="nil"/>
              <w:bottom w:val="single" w:color="auto" w:sz="4" w:space="0"/>
              <w:right w:val="single" w:color="auto" w:sz="4" w:space="0"/>
            </w:tcBorders>
            <w:vAlign w:val="center"/>
          </w:tcPr>
          <w:p w14:paraId="44D79C7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硬盘录像机</w:t>
            </w:r>
          </w:p>
        </w:tc>
        <w:tc>
          <w:tcPr>
            <w:tcW w:w="3098" w:type="pct"/>
            <w:tcBorders>
              <w:top w:val="single" w:color="auto" w:sz="4" w:space="0"/>
              <w:left w:val="nil"/>
              <w:bottom w:val="single" w:color="auto" w:sz="4" w:space="0"/>
              <w:right w:val="single" w:color="auto" w:sz="4" w:space="0"/>
            </w:tcBorders>
            <w:vAlign w:val="center"/>
          </w:tcPr>
          <w:p w14:paraId="30C1D0A6">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 支持≥16路H.264、H.265格式高清码流接入，输入带宽：≥160Mbps，输出带宽：≥256Mbps；</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 支持≥16个SATA接口，1个eSATA接口；；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 支持≥16路报警输入，≥9路报警输出；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 支持不少于2×USB 2.0、2×USB 3.0；</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5、 解码能力不低于：最大支持12×1080P；</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6、 可接驳符合开放型网络视频接口、RTSP、GB28181标准的网络摄像机；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7、 支持最高800W像素高清网络视频的预览、存储、回放；</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8、 支持H.265、H.264编码前端自适应接入；</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9、 支持IPC集中管理，包括IPC参数配置、信息的导入、导出和升级等功能；</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10、 ≥2个HDMI接口，≥2个VGA接口,支持4K输出；</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11、 支持即时回放功能，在预览画面下对指定通道的当前录像进行回放，并且不影响其他通道预览；</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12、 支持重要录像文件加锁保护功能；</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13、 支持硬盘配额和硬盘盘组两种存储模式，可对不同通道分配不同的录像保存容量或周期；</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14、 设备具有不少于2×RJ45 10/100/1000Mbps自适应以太网口，支持网络容错以及多址设定等应用；</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15、 支持网络检测（网络流量监控、网络抓包、网络通畅）功能。</w:t>
            </w:r>
          </w:p>
        </w:tc>
        <w:tc>
          <w:tcPr>
            <w:tcW w:w="415" w:type="pct"/>
            <w:tcBorders>
              <w:top w:val="single" w:color="auto" w:sz="4" w:space="0"/>
              <w:left w:val="nil"/>
              <w:bottom w:val="single" w:color="auto" w:sz="4" w:space="0"/>
              <w:right w:val="single" w:color="auto" w:sz="4" w:space="0"/>
            </w:tcBorders>
            <w:noWrap/>
            <w:vAlign w:val="center"/>
          </w:tcPr>
          <w:p w14:paraId="166E489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single" w:color="auto" w:sz="4" w:space="0"/>
              <w:left w:val="nil"/>
              <w:bottom w:val="single" w:color="auto" w:sz="4" w:space="0"/>
              <w:right w:val="single" w:color="auto" w:sz="4" w:space="0"/>
            </w:tcBorders>
            <w:vAlign w:val="center"/>
          </w:tcPr>
          <w:p w14:paraId="1FE2E1D5">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354DBAC2">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37E021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30" w:type="pct"/>
            <w:tcBorders>
              <w:top w:val="nil"/>
              <w:left w:val="nil"/>
              <w:bottom w:val="single" w:color="auto" w:sz="4" w:space="0"/>
              <w:right w:val="single" w:color="auto" w:sz="4" w:space="0"/>
            </w:tcBorders>
            <w:vAlign w:val="center"/>
          </w:tcPr>
          <w:p w14:paraId="14220F2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6T硬盘</w:t>
            </w:r>
          </w:p>
        </w:tc>
        <w:tc>
          <w:tcPr>
            <w:tcW w:w="3098" w:type="pct"/>
            <w:tcBorders>
              <w:top w:val="nil"/>
              <w:left w:val="nil"/>
              <w:bottom w:val="single" w:color="auto" w:sz="4" w:space="0"/>
              <w:right w:val="single" w:color="auto" w:sz="4" w:space="0"/>
            </w:tcBorders>
            <w:vAlign w:val="center"/>
          </w:tcPr>
          <w:p w14:paraId="615B929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6TB 容量，3.5英寸，SATA3.0 接口，5400RPM</w:t>
            </w:r>
          </w:p>
        </w:tc>
        <w:tc>
          <w:tcPr>
            <w:tcW w:w="415" w:type="pct"/>
            <w:tcBorders>
              <w:top w:val="nil"/>
              <w:left w:val="nil"/>
              <w:bottom w:val="single" w:color="auto" w:sz="4" w:space="0"/>
              <w:right w:val="single" w:color="auto" w:sz="4" w:space="0"/>
            </w:tcBorders>
            <w:noWrap/>
            <w:vAlign w:val="center"/>
          </w:tcPr>
          <w:p w14:paraId="11147E0F">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块</w:t>
            </w:r>
          </w:p>
        </w:tc>
        <w:tc>
          <w:tcPr>
            <w:tcW w:w="442" w:type="pct"/>
            <w:tcBorders>
              <w:top w:val="nil"/>
              <w:left w:val="nil"/>
              <w:bottom w:val="single" w:color="auto" w:sz="4" w:space="0"/>
              <w:right w:val="single" w:color="auto" w:sz="4" w:space="0"/>
            </w:tcBorders>
            <w:vAlign w:val="center"/>
          </w:tcPr>
          <w:p w14:paraId="5A34C3F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w:t>
            </w:r>
          </w:p>
        </w:tc>
      </w:tr>
      <w:tr w14:paraId="147C2C28">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20285E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30" w:type="pct"/>
            <w:tcBorders>
              <w:top w:val="nil"/>
              <w:left w:val="nil"/>
              <w:bottom w:val="single" w:color="auto" w:sz="4" w:space="0"/>
              <w:right w:val="single" w:color="auto" w:sz="4" w:space="0"/>
            </w:tcBorders>
            <w:vAlign w:val="center"/>
          </w:tcPr>
          <w:p w14:paraId="35D70E0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台式电脑</w:t>
            </w:r>
          </w:p>
        </w:tc>
        <w:tc>
          <w:tcPr>
            <w:tcW w:w="3098" w:type="pct"/>
            <w:tcBorders>
              <w:top w:val="nil"/>
              <w:left w:val="nil"/>
              <w:bottom w:val="single" w:color="auto" w:sz="4" w:space="0"/>
              <w:right w:val="single" w:color="auto" w:sz="4" w:space="0"/>
            </w:tcBorders>
            <w:vAlign w:val="center"/>
          </w:tcPr>
          <w:p w14:paraId="08C7B6AB">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1、KX-U6780A(8核/2.7GHz) ；</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2、≥8G DDR4 3200 ，≥256G SATA SSD；</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3、操作系统: Win10 Home 不激活 x1；</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4、集显，23.8英寸，兆芯11L机箱，电源≥ 200W TFX，DVD光驱x1,有线键鼠x1。</w:t>
            </w:r>
          </w:p>
        </w:tc>
        <w:tc>
          <w:tcPr>
            <w:tcW w:w="415" w:type="pct"/>
            <w:tcBorders>
              <w:top w:val="nil"/>
              <w:left w:val="nil"/>
              <w:bottom w:val="single" w:color="auto" w:sz="4" w:space="0"/>
              <w:right w:val="single" w:color="auto" w:sz="4" w:space="0"/>
            </w:tcBorders>
            <w:noWrap/>
            <w:vAlign w:val="center"/>
          </w:tcPr>
          <w:p w14:paraId="70B7766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4945C3F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5C2CD3E5">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7AB6C84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630" w:type="pct"/>
            <w:tcBorders>
              <w:top w:val="nil"/>
              <w:left w:val="nil"/>
              <w:bottom w:val="single" w:color="auto" w:sz="4" w:space="0"/>
              <w:right w:val="single" w:color="auto" w:sz="4" w:space="0"/>
            </w:tcBorders>
            <w:vAlign w:val="center"/>
          </w:tcPr>
          <w:p w14:paraId="512F4701">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24口POE接入交换机</w:t>
            </w:r>
          </w:p>
        </w:tc>
        <w:tc>
          <w:tcPr>
            <w:tcW w:w="3098" w:type="pct"/>
            <w:tcBorders>
              <w:top w:val="nil"/>
              <w:left w:val="nil"/>
              <w:bottom w:val="single" w:color="auto" w:sz="4" w:space="0"/>
              <w:right w:val="single" w:color="auto" w:sz="4" w:space="0"/>
            </w:tcBorders>
            <w:vAlign w:val="center"/>
          </w:tcPr>
          <w:p w14:paraId="7CFB08A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固定千兆端口 24个10/100/1000Mbps自适应电口，2个10/100/1000Mbps光口</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端口缓存 4.1Mbit</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工作模式 半双工，全双工，自协商模式，支持MDI/MDI-X自适应</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交换容量 52Gbps</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包转发率 38.69Mpps</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MAC地址 8K</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端口隔离开关 支持</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流控开关 支持</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电源 100-240V AC</w:t>
            </w:r>
          </w:p>
        </w:tc>
        <w:tc>
          <w:tcPr>
            <w:tcW w:w="415" w:type="pct"/>
            <w:tcBorders>
              <w:top w:val="nil"/>
              <w:left w:val="nil"/>
              <w:bottom w:val="single" w:color="auto" w:sz="4" w:space="0"/>
              <w:right w:val="single" w:color="auto" w:sz="4" w:space="0"/>
            </w:tcBorders>
            <w:noWrap/>
            <w:vAlign w:val="center"/>
          </w:tcPr>
          <w:p w14:paraId="4588E0B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2F22914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059A47A4">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3EC9D66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630" w:type="pct"/>
            <w:tcBorders>
              <w:top w:val="nil"/>
              <w:left w:val="nil"/>
              <w:bottom w:val="single" w:color="auto" w:sz="4" w:space="0"/>
              <w:right w:val="single" w:color="auto" w:sz="4" w:space="0"/>
            </w:tcBorders>
            <w:vAlign w:val="center"/>
          </w:tcPr>
          <w:p w14:paraId="60320713">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操作台</w:t>
            </w:r>
          </w:p>
        </w:tc>
        <w:tc>
          <w:tcPr>
            <w:tcW w:w="3098" w:type="pct"/>
            <w:tcBorders>
              <w:top w:val="nil"/>
              <w:left w:val="nil"/>
              <w:bottom w:val="single" w:color="auto" w:sz="4" w:space="0"/>
              <w:right w:val="single" w:color="auto" w:sz="4" w:space="0"/>
            </w:tcBorders>
            <w:noWrap/>
            <w:vAlign w:val="center"/>
          </w:tcPr>
          <w:p w14:paraId="7816C18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一联</w:t>
            </w:r>
          </w:p>
        </w:tc>
        <w:tc>
          <w:tcPr>
            <w:tcW w:w="415" w:type="pct"/>
            <w:tcBorders>
              <w:top w:val="nil"/>
              <w:left w:val="nil"/>
              <w:bottom w:val="single" w:color="auto" w:sz="4" w:space="0"/>
              <w:right w:val="single" w:color="auto" w:sz="4" w:space="0"/>
            </w:tcBorders>
            <w:noWrap/>
            <w:vAlign w:val="center"/>
          </w:tcPr>
          <w:p w14:paraId="1C0ACAC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张</w:t>
            </w:r>
          </w:p>
        </w:tc>
        <w:tc>
          <w:tcPr>
            <w:tcW w:w="442" w:type="pct"/>
            <w:tcBorders>
              <w:top w:val="nil"/>
              <w:left w:val="nil"/>
              <w:bottom w:val="single" w:color="auto" w:sz="4" w:space="0"/>
              <w:right w:val="single" w:color="auto" w:sz="4" w:space="0"/>
            </w:tcBorders>
            <w:vAlign w:val="center"/>
          </w:tcPr>
          <w:p w14:paraId="65122EC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405BB7A9">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ABB17E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630" w:type="pct"/>
            <w:tcBorders>
              <w:top w:val="nil"/>
              <w:left w:val="nil"/>
              <w:bottom w:val="single" w:color="auto" w:sz="4" w:space="0"/>
              <w:right w:val="single" w:color="auto" w:sz="4" w:space="0"/>
            </w:tcBorders>
            <w:vAlign w:val="center"/>
          </w:tcPr>
          <w:p w14:paraId="4690AAAC">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物证展示台</w:t>
            </w:r>
          </w:p>
        </w:tc>
        <w:tc>
          <w:tcPr>
            <w:tcW w:w="3098" w:type="pct"/>
            <w:tcBorders>
              <w:top w:val="nil"/>
              <w:left w:val="nil"/>
              <w:bottom w:val="single" w:color="auto" w:sz="4" w:space="0"/>
              <w:right w:val="single" w:color="auto" w:sz="4" w:space="0"/>
            </w:tcBorders>
            <w:vAlign w:val="center"/>
          </w:tcPr>
          <w:p w14:paraId="3CB9F5B1">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物证展示台</w:t>
            </w:r>
          </w:p>
        </w:tc>
        <w:tc>
          <w:tcPr>
            <w:tcW w:w="415" w:type="pct"/>
            <w:tcBorders>
              <w:top w:val="nil"/>
              <w:left w:val="nil"/>
              <w:bottom w:val="single" w:color="auto" w:sz="4" w:space="0"/>
              <w:right w:val="single" w:color="auto" w:sz="4" w:space="0"/>
            </w:tcBorders>
            <w:noWrap/>
            <w:vAlign w:val="center"/>
          </w:tcPr>
          <w:p w14:paraId="45134CE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107A56A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23FC8666">
        <w:tblPrEx>
          <w:tblCellMar>
            <w:top w:w="0" w:type="dxa"/>
            <w:left w:w="108" w:type="dxa"/>
            <w:bottom w:w="0" w:type="dxa"/>
            <w:right w:w="108" w:type="dxa"/>
          </w:tblCellMar>
        </w:tblPrEx>
        <w:trPr>
          <w:trHeight w:val="1733" w:hRule="atLeast"/>
          <w:jc w:val="center"/>
        </w:trPr>
        <w:tc>
          <w:tcPr>
            <w:tcW w:w="415" w:type="pct"/>
            <w:tcBorders>
              <w:top w:val="nil"/>
              <w:left w:val="single" w:color="auto" w:sz="4" w:space="0"/>
              <w:bottom w:val="single" w:color="auto" w:sz="4" w:space="0"/>
              <w:right w:val="single" w:color="auto" w:sz="4" w:space="0"/>
            </w:tcBorders>
            <w:noWrap/>
            <w:vAlign w:val="center"/>
          </w:tcPr>
          <w:p w14:paraId="19A1AA8F">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630" w:type="pct"/>
            <w:tcBorders>
              <w:top w:val="nil"/>
              <w:left w:val="nil"/>
              <w:bottom w:val="single" w:color="auto" w:sz="4" w:space="0"/>
              <w:right w:val="single" w:color="auto" w:sz="4" w:space="0"/>
            </w:tcBorders>
            <w:vAlign w:val="center"/>
          </w:tcPr>
          <w:p w14:paraId="6A18F37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打印机</w:t>
            </w:r>
          </w:p>
        </w:tc>
        <w:tc>
          <w:tcPr>
            <w:tcW w:w="3098" w:type="pct"/>
            <w:tcBorders>
              <w:top w:val="nil"/>
              <w:left w:val="nil"/>
              <w:bottom w:val="single" w:color="auto" w:sz="4" w:space="0"/>
              <w:right w:val="single" w:color="auto" w:sz="4" w:space="0"/>
            </w:tcBorders>
            <w:vAlign w:val="center"/>
          </w:tcPr>
          <w:p w14:paraId="01761B10">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具备文字文档打印、图片打印、份数设置范围设置、页边距设置、缩放打印设置、打印队列管理、内存清零、有线网络端口、USB端口权限控制等基本功能，支持彩色/黑白打印、自动双面打印、网络打印、PC端打印状态监控。</w:t>
            </w:r>
            <w:r>
              <w:rPr>
                <w:rFonts w:hint="eastAsia" w:ascii="微软雅黑" w:hAnsi="微软雅黑" w:eastAsia="微软雅黑" w:cs="宋体"/>
                <w:kern w:val="0"/>
                <w:sz w:val="18"/>
                <w:szCs w:val="18"/>
              </w:rPr>
              <w:br w:type="page"/>
            </w:r>
            <w:r>
              <w:rPr>
                <w:rFonts w:hint="eastAsia" w:ascii="微软雅黑" w:hAnsi="微软雅黑" w:eastAsia="微软雅黑" w:cs="宋体"/>
                <w:kern w:val="0"/>
                <w:sz w:val="18"/>
                <w:szCs w:val="18"/>
              </w:rPr>
              <w:t>2.内存:1GB3.打印19页/分钟</w:t>
            </w:r>
          </w:p>
        </w:tc>
        <w:tc>
          <w:tcPr>
            <w:tcW w:w="415" w:type="pct"/>
            <w:tcBorders>
              <w:top w:val="nil"/>
              <w:left w:val="nil"/>
              <w:bottom w:val="single" w:color="auto" w:sz="4" w:space="0"/>
              <w:right w:val="single" w:color="auto" w:sz="4" w:space="0"/>
            </w:tcBorders>
            <w:noWrap/>
            <w:vAlign w:val="center"/>
          </w:tcPr>
          <w:p w14:paraId="2AF8E01F">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28BADEA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22AFFEEF">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29BCAB18">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三、</w:t>
            </w:r>
          </w:p>
        </w:tc>
        <w:tc>
          <w:tcPr>
            <w:tcW w:w="630" w:type="pct"/>
            <w:tcBorders>
              <w:top w:val="single" w:color="auto" w:sz="4" w:space="0"/>
              <w:left w:val="nil"/>
              <w:bottom w:val="single" w:color="auto" w:sz="4" w:space="0"/>
              <w:right w:val="single" w:color="auto" w:sz="4" w:space="0"/>
            </w:tcBorders>
            <w:vAlign w:val="center"/>
          </w:tcPr>
          <w:p w14:paraId="45FC841C">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机房装修部分</w:t>
            </w:r>
          </w:p>
        </w:tc>
        <w:tc>
          <w:tcPr>
            <w:tcW w:w="3098" w:type="pct"/>
            <w:tcBorders>
              <w:top w:val="single" w:color="auto" w:sz="4" w:space="0"/>
              <w:left w:val="nil"/>
              <w:bottom w:val="single" w:color="auto" w:sz="4" w:space="0"/>
              <w:right w:val="single" w:color="auto" w:sz="4" w:space="0"/>
            </w:tcBorders>
            <w:vAlign w:val="center"/>
          </w:tcPr>
          <w:p w14:paraId="15CA0D09">
            <w:pPr>
              <w:widowControl/>
              <w:jc w:val="left"/>
              <w:rPr>
                <w:rFonts w:hint="eastAsia" w:ascii="微软雅黑" w:hAnsi="微软雅黑" w:eastAsia="微软雅黑" w:cs="宋体"/>
                <w:b/>
                <w:bCs/>
                <w:kern w:val="0"/>
                <w:sz w:val="18"/>
                <w:szCs w:val="18"/>
              </w:rPr>
            </w:pPr>
          </w:p>
        </w:tc>
        <w:tc>
          <w:tcPr>
            <w:tcW w:w="415" w:type="pct"/>
            <w:tcBorders>
              <w:top w:val="nil"/>
              <w:left w:val="nil"/>
              <w:bottom w:val="single" w:color="auto" w:sz="4" w:space="0"/>
              <w:right w:val="single" w:color="auto" w:sz="4" w:space="0"/>
            </w:tcBorders>
            <w:noWrap/>
            <w:vAlign w:val="center"/>
          </w:tcPr>
          <w:p w14:paraId="0364F3D7">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442" w:type="pct"/>
            <w:tcBorders>
              <w:top w:val="nil"/>
              <w:left w:val="nil"/>
              <w:bottom w:val="single" w:color="auto" w:sz="4" w:space="0"/>
              <w:right w:val="single" w:color="auto" w:sz="4" w:space="0"/>
            </w:tcBorders>
            <w:vAlign w:val="center"/>
          </w:tcPr>
          <w:p w14:paraId="52EB29D0">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14:paraId="06B5F1DF">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54D3DFA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630" w:type="pct"/>
            <w:tcBorders>
              <w:top w:val="nil"/>
              <w:left w:val="nil"/>
              <w:bottom w:val="single" w:color="auto" w:sz="4" w:space="0"/>
              <w:right w:val="single" w:color="auto" w:sz="4" w:space="0"/>
            </w:tcBorders>
            <w:vAlign w:val="center"/>
          </w:tcPr>
          <w:p w14:paraId="5F37F8C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地面铺设PVC防滑地胶</w:t>
            </w:r>
          </w:p>
        </w:tc>
        <w:tc>
          <w:tcPr>
            <w:tcW w:w="3098" w:type="pct"/>
            <w:tcBorders>
              <w:top w:val="nil"/>
              <w:left w:val="nil"/>
              <w:bottom w:val="single" w:color="auto" w:sz="4" w:space="0"/>
              <w:right w:val="single" w:color="auto" w:sz="4" w:space="0"/>
            </w:tcBorders>
            <w:noWrap/>
            <w:vAlign w:val="center"/>
          </w:tcPr>
          <w:p w14:paraId="79C8A0E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3.5厘厚PVC防滑地胶，粘合剂铺设</w:t>
            </w:r>
          </w:p>
        </w:tc>
        <w:tc>
          <w:tcPr>
            <w:tcW w:w="415" w:type="pct"/>
            <w:tcBorders>
              <w:top w:val="nil"/>
              <w:left w:val="nil"/>
              <w:bottom w:val="single" w:color="auto" w:sz="4" w:space="0"/>
              <w:right w:val="single" w:color="auto" w:sz="4" w:space="0"/>
            </w:tcBorders>
            <w:noWrap/>
            <w:vAlign w:val="center"/>
          </w:tcPr>
          <w:p w14:paraId="20D136B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152D522B">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w:t>
            </w:r>
          </w:p>
        </w:tc>
      </w:tr>
      <w:tr w14:paraId="72697F9C">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D0CBEF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630" w:type="pct"/>
            <w:tcBorders>
              <w:top w:val="nil"/>
              <w:left w:val="nil"/>
              <w:bottom w:val="single" w:color="auto" w:sz="4" w:space="0"/>
              <w:right w:val="single" w:color="auto" w:sz="4" w:space="0"/>
            </w:tcBorders>
            <w:vAlign w:val="center"/>
          </w:tcPr>
          <w:p w14:paraId="3D070A7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砌墙</w:t>
            </w:r>
          </w:p>
        </w:tc>
        <w:tc>
          <w:tcPr>
            <w:tcW w:w="3098" w:type="pct"/>
            <w:tcBorders>
              <w:top w:val="nil"/>
              <w:left w:val="nil"/>
              <w:bottom w:val="single" w:color="auto" w:sz="4" w:space="0"/>
              <w:right w:val="single" w:color="auto" w:sz="4" w:space="0"/>
            </w:tcBorders>
            <w:vAlign w:val="center"/>
          </w:tcPr>
          <w:p w14:paraId="0AEEB1C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180mm墙体</w:t>
            </w:r>
          </w:p>
        </w:tc>
        <w:tc>
          <w:tcPr>
            <w:tcW w:w="415" w:type="pct"/>
            <w:tcBorders>
              <w:top w:val="nil"/>
              <w:left w:val="nil"/>
              <w:bottom w:val="single" w:color="auto" w:sz="4" w:space="0"/>
              <w:right w:val="single" w:color="auto" w:sz="4" w:space="0"/>
            </w:tcBorders>
            <w:noWrap/>
            <w:vAlign w:val="center"/>
          </w:tcPr>
          <w:p w14:paraId="022656B1">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13D8776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9.72</w:t>
            </w:r>
          </w:p>
        </w:tc>
      </w:tr>
      <w:tr w14:paraId="33E535EA">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545188AB">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30" w:type="pct"/>
            <w:tcBorders>
              <w:top w:val="nil"/>
              <w:left w:val="nil"/>
              <w:bottom w:val="single" w:color="auto" w:sz="4" w:space="0"/>
              <w:right w:val="single" w:color="auto" w:sz="4" w:space="0"/>
            </w:tcBorders>
            <w:vAlign w:val="center"/>
          </w:tcPr>
          <w:p w14:paraId="56F4F1D8">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墙面批荡</w:t>
            </w:r>
          </w:p>
        </w:tc>
        <w:tc>
          <w:tcPr>
            <w:tcW w:w="3098" w:type="pct"/>
            <w:tcBorders>
              <w:top w:val="nil"/>
              <w:left w:val="nil"/>
              <w:bottom w:val="single" w:color="auto" w:sz="4" w:space="0"/>
              <w:right w:val="single" w:color="auto" w:sz="4" w:space="0"/>
            </w:tcBorders>
            <w:vAlign w:val="center"/>
          </w:tcPr>
          <w:p w14:paraId="1DC645D8">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水泥、沙</w:t>
            </w:r>
          </w:p>
        </w:tc>
        <w:tc>
          <w:tcPr>
            <w:tcW w:w="415" w:type="pct"/>
            <w:tcBorders>
              <w:top w:val="nil"/>
              <w:left w:val="nil"/>
              <w:bottom w:val="single" w:color="auto" w:sz="4" w:space="0"/>
              <w:right w:val="single" w:color="auto" w:sz="4" w:space="0"/>
            </w:tcBorders>
            <w:noWrap/>
            <w:vAlign w:val="center"/>
          </w:tcPr>
          <w:p w14:paraId="5A72406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6C1D1CC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19.44</w:t>
            </w:r>
          </w:p>
        </w:tc>
      </w:tr>
      <w:tr w14:paraId="44572AB9">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7B521A2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30" w:type="pct"/>
            <w:tcBorders>
              <w:top w:val="nil"/>
              <w:left w:val="nil"/>
              <w:bottom w:val="single" w:color="auto" w:sz="4" w:space="0"/>
              <w:right w:val="single" w:color="auto" w:sz="4" w:space="0"/>
            </w:tcBorders>
            <w:vAlign w:val="center"/>
          </w:tcPr>
          <w:p w14:paraId="17C29407">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墙面腻子粉</w:t>
            </w:r>
          </w:p>
        </w:tc>
        <w:tc>
          <w:tcPr>
            <w:tcW w:w="3098" w:type="pct"/>
            <w:tcBorders>
              <w:top w:val="nil"/>
              <w:left w:val="nil"/>
              <w:bottom w:val="single" w:color="auto" w:sz="4" w:space="0"/>
              <w:right w:val="single" w:color="auto" w:sz="4" w:space="0"/>
            </w:tcBorders>
            <w:vAlign w:val="center"/>
          </w:tcPr>
          <w:p w14:paraId="36906EBA">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刷两遍</w:t>
            </w:r>
          </w:p>
        </w:tc>
        <w:tc>
          <w:tcPr>
            <w:tcW w:w="415" w:type="pct"/>
            <w:tcBorders>
              <w:top w:val="nil"/>
              <w:left w:val="nil"/>
              <w:bottom w:val="single" w:color="auto" w:sz="4" w:space="0"/>
              <w:right w:val="single" w:color="auto" w:sz="4" w:space="0"/>
            </w:tcBorders>
            <w:noWrap/>
            <w:vAlign w:val="center"/>
          </w:tcPr>
          <w:p w14:paraId="5DF4B28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0F72DB6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19.44</w:t>
            </w:r>
          </w:p>
        </w:tc>
      </w:tr>
      <w:tr w14:paraId="3210DEEA">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5F0ED92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630" w:type="pct"/>
            <w:tcBorders>
              <w:top w:val="nil"/>
              <w:left w:val="nil"/>
              <w:bottom w:val="single" w:color="auto" w:sz="4" w:space="0"/>
              <w:right w:val="single" w:color="auto" w:sz="4" w:space="0"/>
            </w:tcBorders>
            <w:vAlign w:val="center"/>
          </w:tcPr>
          <w:p w14:paraId="57AE17EB">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墙面乳胶漆二遍</w:t>
            </w:r>
          </w:p>
        </w:tc>
        <w:tc>
          <w:tcPr>
            <w:tcW w:w="3098" w:type="pct"/>
            <w:tcBorders>
              <w:top w:val="nil"/>
              <w:left w:val="nil"/>
              <w:bottom w:val="single" w:color="auto" w:sz="4" w:space="0"/>
              <w:right w:val="single" w:color="auto" w:sz="4" w:space="0"/>
            </w:tcBorders>
            <w:vAlign w:val="center"/>
          </w:tcPr>
          <w:p w14:paraId="2631FFF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刷两遍</w:t>
            </w:r>
          </w:p>
        </w:tc>
        <w:tc>
          <w:tcPr>
            <w:tcW w:w="415" w:type="pct"/>
            <w:tcBorders>
              <w:top w:val="nil"/>
              <w:left w:val="nil"/>
              <w:bottom w:val="single" w:color="auto" w:sz="4" w:space="0"/>
              <w:right w:val="single" w:color="auto" w:sz="4" w:space="0"/>
            </w:tcBorders>
            <w:noWrap/>
            <w:vAlign w:val="center"/>
          </w:tcPr>
          <w:p w14:paraId="673656C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2AAC60F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19.44</w:t>
            </w:r>
          </w:p>
        </w:tc>
      </w:tr>
      <w:tr w14:paraId="485BAF5E">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C44822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630" w:type="pct"/>
            <w:tcBorders>
              <w:top w:val="nil"/>
              <w:left w:val="nil"/>
              <w:bottom w:val="single" w:color="auto" w:sz="4" w:space="0"/>
              <w:right w:val="single" w:color="auto" w:sz="4" w:space="0"/>
            </w:tcBorders>
            <w:vAlign w:val="center"/>
          </w:tcPr>
          <w:p w14:paraId="7B423FD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墙面打底</w:t>
            </w:r>
          </w:p>
        </w:tc>
        <w:tc>
          <w:tcPr>
            <w:tcW w:w="3098" w:type="pct"/>
            <w:tcBorders>
              <w:top w:val="nil"/>
              <w:left w:val="nil"/>
              <w:bottom w:val="single" w:color="auto" w:sz="4" w:space="0"/>
              <w:right w:val="single" w:color="auto" w:sz="4" w:space="0"/>
            </w:tcBorders>
            <w:vAlign w:val="center"/>
          </w:tcPr>
          <w:p w14:paraId="6D1B302B">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12厘（阻燃板）夹板基层找平，轻钢龙骨搭架</w:t>
            </w:r>
          </w:p>
        </w:tc>
        <w:tc>
          <w:tcPr>
            <w:tcW w:w="415" w:type="pct"/>
            <w:tcBorders>
              <w:top w:val="nil"/>
              <w:left w:val="nil"/>
              <w:bottom w:val="single" w:color="auto" w:sz="4" w:space="0"/>
              <w:right w:val="single" w:color="auto" w:sz="4" w:space="0"/>
            </w:tcBorders>
            <w:noWrap/>
            <w:vAlign w:val="center"/>
          </w:tcPr>
          <w:p w14:paraId="4713DA6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5FAE9A2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w:t>
            </w:r>
          </w:p>
        </w:tc>
      </w:tr>
      <w:tr w14:paraId="21410667">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06378A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630" w:type="pct"/>
            <w:tcBorders>
              <w:top w:val="nil"/>
              <w:left w:val="nil"/>
              <w:bottom w:val="single" w:color="auto" w:sz="4" w:space="0"/>
              <w:right w:val="single" w:color="auto" w:sz="4" w:space="0"/>
            </w:tcBorders>
            <w:vAlign w:val="center"/>
          </w:tcPr>
          <w:p w14:paraId="0318476F">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防白蚁油漆</w:t>
            </w:r>
          </w:p>
        </w:tc>
        <w:tc>
          <w:tcPr>
            <w:tcW w:w="3098" w:type="pct"/>
            <w:tcBorders>
              <w:top w:val="nil"/>
              <w:left w:val="nil"/>
              <w:bottom w:val="single" w:color="auto" w:sz="4" w:space="0"/>
              <w:right w:val="single" w:color="auto" w:sz="4" w:space="0"/>
            </w:tcBorders>
            <w:vAlign w:val="center"/>
          </w:tcPr>
          <w:p w14:paraId="21D844F0">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防白蚁油漆</w:t>
            </w:r>
          </w:p>
        </w:tc>
        <w:tc>
          <w:tcPr>
            <w:tcW w:w="415" w:type="pct"/>
            <w:tcBorders>
              <w:top w:val="nil"/>
              <w:left w:val="nil"/>
              <w:bottom w:val="single" w:color="auto" w:sz="4" w:space="0"/>
              <w:right w:val="single" w:color="auto" w:sz="4" w:space="0"/>
            </w:tcBorders>
            <w:noWrap/>
            <w:vAlign w:val="center"/>
          </w:tcPr>
          <w:p w14:paraId="00D9657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2F1705A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w:t>
            </w:r>
          </w:p>
        </w:tc>
      </w:tr>
      <w:tr w14:paraId="1C06F90C">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569F72DF">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30" w:type="pct"/>
            <w:tcBorders>
              <w:top w:val="nil"/>
              <w:left w:val="nil"/>
              <w:bottom w:val="single" w:color="auto" w:sz="4" w:space="0"/>
              <w:right w:val="single" w:color="auto" w:sz="4" w:space="0"/>
            </w:tcBorders>
            <w:vAlign w:val="center"/>
          </w:tcPr>
          <w:p w14:paraId="3E06C837">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防火涂料</w:t>
            </w:r>
          </w:p>
        </w:tc>
        <w:tc>
          <w:tcPr>
            <w:tcW w:w="3098" w:type="pct"/>
            <w:tcBorders>
              <w:top w:val="nil"/>
              <w:left w:val="nil"/>
              <w:bottom w:val="single" w:color="auto" w:sz="4" w:space="0"/>
              <w:right w:val="single" w:color="auto" w:sz="4" w:space="0"/>
            </w:tcBorders>
            <w:vAlign w:val="center"/>
          </w:tcPr>
          <w:p w14:paraId="7EEA5C17">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防火涂料</w:t>
            </w:r>
          </w:p>
        </w:tc>
        <w:tc>
          <w:tcPr>
            <w:tcW w:w="415" w:type="pct"/>
            <w:tcBorders>
              <w:top w:val="nil"/>
              <w:left w:val="nil"/>
              <w:bottom w:val="single" w:color="auto" w:sz="4" w:space="0"/>
              <w:right w:val="single" w:color="auto" w:sz="4" w:space="0"/>
            </w:tcBorders>
            <w:noWrap/>
            <w:vAlign w:val="center"/>
          </w:tcPr>
          <w:p w14:paraId="7FDBCD8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2E6962FB">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w:t>
            </w:r>
          </w:p>
        </w:tc>
      </w:tr>
      <w:tr w14:paraId="7A2D4580">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528D0E3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630" w:type="pct"/>
            <w:tcBorders>
              <w:top w:val="nil"/>
              <w:left w:val="nil"/>
              <w:bottom w:val="single" w:color="auto" w:sz="4" w:space="0"/>
              <w:right w:val="single" w:color="auto" w:sz="4" w:space="0"/>
            </w:tcBorders>
            <w:vAlign w:val="center"/>
          </w:tcPr>
          <w:p w14:paraId="0867FB9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皮革阻燃软包隔音棉</w:t>
            </w:r>
          </w:p>
        </w:tc>
        <w:tc>
          <w:tcPr>
            <w:tcW w:w="3098" w:type="pct"/>
            <w:tcBorders>
              <w:top w:val="nil"/>
              <w:left w:val="nil"/>
              <w:bottom w:val="single" w:color="auto" w:sz="4" w:space="0"/>
              <w:right w:val="single" w:color="auto" w:sz="4" w:space="0"/>
            </w:tcBorders>
            <w:noWrap/>
            <w:vAlign w:val="center"/>
          </w:tcPr>
          <w:p w14:paraId="44A5688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定制</w:t>
            </w:r>
          </w:p>
        </w:tc>
        <w:tc>
          <w:tcPr>
            <w:tcW w:w="415" w:type="pct"/>
            <w:tcBorders>
              <w:top w:val="nil"/>
              <w:left w:val="nil"/>
              <w:bottom w:val="single" w:color="auto" w:sz="4" w:space="0"/>
              <w:right w:val="single" w:color="auto" w:sz="4" w:space="0"/>
            </w:tcBorders>
            <w:noWrap/>
            <w:vAlign w:val="center"/>
          </w:tcPr>
          <w:p w14:paraId="18A77D8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m²</w:t>
            </w:r>
          </w:p>
        </w:tc>
        <w:tc>
          <w:tcPr>
            <w:tcW w:w="442" w:type="pct"/>
            <w:tcBorders>
              <w:top w:val="nil"/>
              <w:left w:val="nil"/>
              <w:bottom w:val="single" w:color="auto" w:sz="4" w:space="0"/>
              <w:right w:val="single" w:color="auto" w:sz="4" w:space="0"/>
            </w:tcBorders>
            <w:vAlign w:val="center"/>
          </w:tcPr>
          <w:p w14:paraId="6C86606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w:t>
            </w:r>
          </w:p>
        </w:tc>
      </w:tr>
      <w:tr w14:paraId="432242A1">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35D049E5">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630" w:type="pct"/>
            <w:tcBorders>
              <w:top w:val="nil"/>
              <w:left w:val="nil"/>
              <w:bottom w:val="single" w:color="auto" w:sz="4" w:space="0"/>
              <w:right w:val="single" w:color="auto" w:sz="4" w:space="0"/>
            </w:tcBorders>
            <w:vAlign w:val="center"/>
          </w:tcPr>
          <w:p w14:paraId="12AF9C8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单开隔音门</w:t>
            </w:r>
          </w:p>
        </w:tc>
        <w:tc>
          <w:tcPr>
            <w:tcW w:w="3098" w:type="pct"/>
            <w:tcBorders>
              <w:top w:val="nil"/>
              <w:left w:val="nil"/>
              <w:bottom w:val="single" w:color="auto" w:sz="4" w:space="0"/>
              <w:right w:val="single" w:color="auto" w:sz="4" w:space="0"/>
            </w:tcBorders>
            <w:vAlign w:val="center"/>
          </w:tcPr>
          <w:p w14:paraId="35301F9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单开隔音门，900*2000MM，乙级</w:t>
            </w:r>
          </w:p>
        </w:tc>
        <w:tc>
          <w:tcPr>
            <w:tcW w:w="415" w:type="pct"/>
            <w:tcBorders>
              <w:top w:val="nil"/>
              <w:left w:val="nil"/>
              <w:bottom w:val="single" w:color="auto" w:sz="4" w:space="0"/>
              <w:right w:val="single" w:color="auto" w:sz="4" w:space="0"/>
            </w:tcBorders>
            <w:noWrap/>
            <w:vAlign w:val="center"/>
          </w:tcPr>
          <w:p w14:paraId="1238771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42" w:type="pct"/>
            <w:tcBorders>
              <w:top w:val="nil"/>
              <w:left w:val="nil"/>
              <w:bottom w:val="single" w:color="auto" w:sz="4" w:space="0"/>
              <w:right w:val="single" w:color="auto" w:sz="4" w:space="0"/>
            </w:tcBorders>
            <w:vAlign w:val="center"/>
          </w:tcPr>
          <w:p w14:paraId="1B3E612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5FD03CC1">
        <w:tblPrEx>
          <w:tblCellMar>
            <w:top w:w="0" w:type="dxa"/>
            <w:left w:w="108" w:type="dxa"/>
            <w:bottom w:w="0" w:type="dxa"/>
            <w:right w:w="108" w:type="dxa"/>
          </w:tblCellMar>
        </w:tblPrEx>
        <w:trPr>
          <w:trHeight w:val="1060" w:hRule="atLeast"/>
          <w:jc w:val="center"/>
        </w:trPr>
        <w:tc>
          <w:tcPr>
            <w:tcW w:w="415" w:type="pct"/>
            <w:tcBorders>
              <w:top w:val="nil"/>
              <w:left w:val="single" w:color="auto" w:sz="4" w:space="0"/>
              <w:bottom w:val="single" w:color="auto" w:sz="4" w:space="0"/>
              <w:right w:val="single" w:color="auto" w:sz="4" w:space="0"/>
            </w:tcBorders>
            <w:noWrap/>
            <w:vAlign w:val="center"/>
          </w:tcPr>
          <w:p w14:paraId="1462E11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630" w:type="pct"/>
            <w:tcBorders>
              <w:top w:val="nil"/>
              <w:left w:val="nil"/>
              <w:bottom w:val="single" w:color="auto" w:sz="4" w:space="0"/>
              <w:right w:val="single" w:color="auto" w:sz="4" w:space="0"/>
            </w:tcBorders>
            <w:vAlign w:val="center"/>
          </w:tcPr>
          <w:p w14:paraId="30614D6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谈话室桌椅防撞</w:t>
            </w:r>
          </w:p>
        </w:tc>
        <w:tc>
          <w:tcPr>
            <w:tcW w:w="3098" w:type="pct"/>
            <w:tcBorders>
              <w:top w:val="nil"/>
              <w:left w:val="nil"/>
              <w:bottom w:val="single" w:color="auto" w:sz="4" w:space="0"/>
              <w:right w:val="single" w:color="auto" w:sz="4" w:space="0"/>
            </w:tcBorders>
            <w:vAlign w:val="center"/>
          </w:tcPr>
          <w:p w14:paraId="0C9D1D22">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成品定制含软包桌椅：一张桌子1600*900*760MM+2张标准椅子 490*460*950MM+小圆凳</w:t>
            </w:r>
          </w:p>
        </w:tc>
        <w:tc>
          <w:tcPr>
            <w:tcW w:w="415" w:type="pct"/>
            <w:tcBorders>
              <w:top w:val="nil"/>
              <w:left w:val="nil"/>
              <w:bottom w:val="single" w:color="auto" w:sz="4" w:space="0"/>
              <w:right w:val="single" w:color="auto" w:sz="4" w:space="0"/>
            </w:tcBorders>
            <w:noWrap/>
            <w:vAlign w:val="center"/>
          </w:tcPr>
          <w:p w14:paraId="02735D7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套</w:t>
            </w:r>
          </w:p>
        </w:tc>
        <w:tc>
          <w:tcPr>
            <w:tcW w:w="442" w:type="pct"/>
            <w:tcBorders>
              <w:top w:val="nil"/>
              <w:left w:val="nil"/>
              <w:bottom w:val="single" w:color="auto" w:sz="4" w:space="0"/>
              <w:right w:val="single" w:color="auto" w:sz="4" w:space="0"/>
            </w:tcBorders>
            <w:vAlign w:val="center"/>
          </w:tcPr>
          <w:p w14:paraId="1ED4ABD1">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0887EA49">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52B7A21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30" w:type="pct"/>
            <w:tcBorders>
              <w:top w:val="nil"/>
              <w:left w:val="nil"/>
              <w:bottom w:val="single" w:color="auto" w:sz="4" w:space="0"/>
              <w:right w:val="single" w:color="auto" w:sz="4" w:space="0"/>
            </w:tcBorders>
            <w:vAlign w:val="center"/>
          </w:tcPr>
          <w:p w14:paraId="69D11381">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五孔插座</w:t>
            </w:r>
          </w:p>
        </w:tc>
        <w:tc>
          <w:tcPr>
            <w:tcW w:w="3098" w:type="pct"/>
            <w:tcBorders>
              <w:top w:val="nil"/>
              <w:left w:val="nil"/>
              <w:bottom w:val="single" w:color="auto" w:sz="4" w:space="0"/>
              <w:right w:val="single" w:color="auto" w:sz="4" w:space="0"/>
            </w:tcBorders>
            <w:vAlign w:val="center"/>
          </w:tcPr>
          <w:p w14:paraId="5EFD10F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10A五孔插座</w:t>
            </w:r>
          </w:p>
        </w:tc>
        <w:tc>
          <w:tcPr>
            <w:tcW w:w="415" w:type="pct"/>
            <w:tcBorders>
              <w:top w:val="nil"/>
              <w:left w:val="nil"/>
              <w:bottom w:val="single" w:color="auto" w:sz="4" w:space="0"/>
              <w:right w:val="single" w:color="auto" w:sz="4" w:space="0"/>
            </w:tcBorders>
            <w:noWrap/>
            <w:vAlign w:val="center"/>
          </w:tcPr>
          <w:p w14:paraId="2D80833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42" w:type="pct"/>
            <w:tcBorders>
              <w:top w:val="nil"/>
              <w:left w:val="nil"/>
              <w:bottom w:val="single" w:color="auto" w:sz="4" w:space="0"/>
              <w:right w:val="single" w:color="auto" w:sz="4" w:space="0"/>
            </w:tcBorders>
            <w:vAlign w:val="center"/>
          </w:tcPr>
          <w:p w14:paraId="363774C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w:t>
            </w:r>
          </w:p>
        </w:tc>
      </w:tr>
      <w:tr w14:paraId="4DAD7C5C">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6133ACE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630" w:type="pct"/>
            <w:tcBorders>
              <w:top w:val="nil"/>
              <w:left w:val="nil"/>
              <w:bottom w:val="single" w:color="auto" w:sz="4" w:space="0"/>
              <w:right w:val="single" w:color="auto" w:sz="4" w:space="0"/>
            </w:tcBorders>
            <w:vAlign w:val="center"/>
          </w:tcPr>
          <w:p w14:paraId="167C6D6A">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86底盒</w:t>
            </w:r>
          </w:p>
        </w:tc>
        <w:tc>
          <w:tcPr>
            <w:tcW w:w="3098" w:type="pct"/>
            <w:tcBorders>
              <w:top w:val="nil"/>
              <w:left w:val="nil"/>
              <w:bottom w:val="single" w:color="auto" w:sz="4" w:space="0"/>
              <w:right w:val="single" w:color="auto" w:sz="4" w:space="0"/>
            </w:tcBorders>
            <w:vAlign w:val="center"/>
          </w:tcPr>
          <w:p w14:paraId="0A78843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86型</w:t>
            </w:r>
          </w:p>
        </w:tc>
        <w:tc>
          <w:tcPr>
            <w:tcW w:w="415" w:type="pct"/>
            <w:tcBorders>
              <w:top w:val="nil"/>
              <w:left w:val="nil"/>
              <w:bottom w:val="single" w:color="auto" w:sz="4" w:space="0"/>
              <w:right w:val="single" w:color="auto" w:sz="4" w:space="0"/>
            </w:tcBorders>
            <w:noWrap/>
            <w:vAlign w:val="center"/>
          </w:tcPr>
          <w:p w14:paraId="4C75D2D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42" w:type="pct"/>
            <w:tcBorders>
              <w:top w:val="nil"/>
              <w:left w:val="nil"/>
              <w:bottom w:val="single" w:color="auto" w:sz="4" w:space="0"/>
              <w:right w:val="single" w:color="auto" w:sz="4" w:space="0"/>
            </w:tcBorders>
            <w:vAlign w:val="center"/>
          </w:tcPr>
          <w:p w14:paraId="5F25F17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w:t>
            </w:r>
          </w:p>
        </w:tc>
      </w:tr>
      <w:tr w14:paraId="32D1D950">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388A141">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630" w:type="pct"/>
            <w:tcBorders>
              <w:top w:val="nil"/>
              <w:left w:val="nil"/>
              <w:bottom w:val="single" w:color="auto" w:sz="4" w:space="0"/>
              <w:right w:val="single" w:color="auto" w:sz="4" w:space="0"/>
            </w:tcBorders>
            <w:vAlign w:val="center"/>
          </w:tcPr>
          <w:p w14:paraId="7B9EE731">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消防喷淋处理</w:t>
            </w:r>
          </w:p>
        </w:tc>
        <w:tc>
          <w:tcPr>
            <w:tcW w:w="3098" w:type="pct"/>
            <w:tcBorders>
              <w:top w:val="nil"/>
              <w:left w:val="nil"/>
              <w:bottom w:val="single" w:color="auto" w:sz="4" w:space="0"/>
              <w:right w:val="single" w:color="auto" w:sz="4" w:space="0"/>
            </w:tcBorders>
            <w:vAlign w:val="center"/>
          </w:tcPr>
          <w:p w14:paraId="303F6A2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消防喷淋处理</w:t>
            </w:r>
          </w:p>
        </w:tc>
        <w:tc>
          <w:tcPr>
            <w:tcW w:w="415" w:type="pct"/>
            <w:tcBorders>
              <w:top w:val="nil"/>
              <w:left w:val="nil"/>
              <w:bottom w:val="single" w:color="auto" w:sz="4" w:space="0"/>
              <w:right w:val="single" w:color="auto" w:sz="4" w:space="0"/>
            </w:tcBorders>
            <w:noWrap/>
            <w:vAlign w:val="center"/>
          </w:tcPr>
          <w:p w14:paraId="0BD7C72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项</w:t>
            </w:r>
          </w:p>
        </w:tc>
        <w:tc>
          <w:tcPr>
            <w:tcW w:w="442" w:type="pct"/>
            <w:tcBorders>
              <w:top w:val="nil"/>
              <w:left w:val="nil"/>
              <w:bottom w:val="single" w:color="auto" w:sz="4" w:space="0"/>
              <w:right w:val="single" w:color="auto" w:sz="4" w:space="0"/>
            </w:tcBorders>
            <w:vAlign w:val="center"/>
          </w:tcPr>
          <w:p w14:paraId="6FFF5E4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7E9F5AE1">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378A9905">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630" w:type="pct"/>
            <w:tcBorders>
              <w:top w:val="nil"/>
              <w:left w:val="nil"/>
              <w:bottom w:val="single" w:color="auto" w:sz="4" w:space="0"/>
              <w:right w:val="single" w:color="auto" w:sz="4" w:space="0"/>
            </w:tcBorders>
            <w:vAlign w:val="center"/>
          </w:tcPr>
          <w:p w14:paraId="5B1D2F2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灭火器</w:t>
            </w:r>
          </w:p>
        </w:tc>
        <w:tc>
          <w:tcPr>
            <w:tcW w:w="3098" w:type="pct"/>
            <w:tcBorders>
              <w:top w:val="nil"/>
              <w:left w:val="nil"/>
              <w:bottom w:val="single" w:color="auto" w:sz="4" w:space="0"/>
              <w:right w:val="single" w:color="auto" w:sz="4" w:space="0"/>
            </w:tcBorders>
            <w:vAlign w:val="center"/>
          </w:tcPr>
          <w:p w14:paraId="06751C0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灭火器</w:t>
            </w:r>
          </w:p>
        </w:tc>
        <w:tc>
          <w:tcPr>
            <w:tcW w:w="415" w:type="pct"/>
            <w:tcBorders>
              <w:top w:val="nil"/>
              <w:left w:val="nil"/>
              <w:bottom w:val="single" w:color="auto" w:sz="4" w:space="0"/>
              <w:right w:val="single" w:color="auto" w:sz="4" w:space="0"/>
            </w:tcBorders>
            <w:noWrap/>
            <w:vAlign w:val="center"/>
          </w:tcPr>
          <w:p w14:paraId="55C0964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项</w:t>
            </w:r>
          </w:p>
        </w:tc>
        <w:tc>
          <w:tcPr>
            <w:tcW w:w="442" w:type="pct"/>
            <w:tcBorders>
              <w:top w:val="nil"/>
              <w:left w:val="nil"/>
              <w:bottom w:val="single" w:color="auto" w:sz="4" w:space="0"/>
              <w:right w:val="single" w:color="auto" w:sz="4" w:space="0"/>
            </w:tcBorders>
            <w:vAlign w:val="center"/>
          </w:tcPr>
          <w:p w14:paraId="5852E17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2031CB40">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26E57B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w:t>
            </w:r>
          </w:p>
        </w:tc>
        <w:tc>
          <w:tcPr>
            <w:tcW w:w="630" w:type="pct"/>
            <w:tcBorders>
              <w:top w:val="nil"/>
              <w:left w:val="nil"/>
              <w:bottom w:val="single" w:color="auto" w:sz="4" w:space="0"/>
              <w:right w:val="single" w:color="auto" w:sz="4" w:space="0"/>
            </w:tcBorders>
            <w:vAlign w:val="center"/>
          </w:tcPr>
          <w:p w14:paraId="1E2893A7">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壁挂空调</w:t>
            </w:r>
          </w:p>
        </w:tc>
        <w:tc>
          <w:tcPr>
            <w:tcW w:w="3098" w:type="pct"/>
            <w:tcBorders>
              <w:top w:val="nil"/>
              <w:left w:val="nil"/>
              <w:bottom w:val="single" w:color="auto" w:sz="4" w:space="0"/>
              <w:right w:val="single" w:color="auto" w:sz="4" w:space="0"/>
            </w:tcBorders>
            <w:vAlign w:val="center"/>
          </w:tcPr>
          <w:p w14:paraId="614C740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1匹壁挂空调</w:t>
            </w:r>
          </w:p>
        </w:tc>
        <w:tc>
          <w:tcPr>
            <w:tcW w:w="415" w:type="pct"/>
            <w:tcBorders>
              <w:top w:val="nil"/>
              <w:left w:val="nil"/>
              <w:bottom w:val="single" w:color="auto" w:sz="4" w:space="0"/>
              <w:right w:val="single" w:color="auto" w:sz="4" w:space="0"/>
            </w:tcBorders>
            <w:noWrap/>
            <w:vAlign w:val="center"/>
          </w:tcPr>
          <w:p w14:paraId="4D0C54C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6D1D82D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0E9D3B12">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314F190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w:t>
            </w:r>
          </w:p>
        </w:tc>
        <w:tc>
          <w:tcPr>
            <w:tcW w:w="630" w:type="pct"/>
            <w:tcBorders>
              <w:top w:val="nil"/>
              <w:left w:val="nil"/>
              <w:bottom w:val="single" w:color="auto" w:sz="4" w:space="0"/>
              <w:right w:val="single" w:color="auto" w:sz="4" w:space="0"/>
            </w:tcBorders>
            <w:vAlign w:val="center"/>
          </w:tcPr>
          <w:p w14:paraId="427F5BDC">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空调排水处理</w:t>
            </w:r>
          </w:p>
        </w:tc>
        <w:tc>
          <w:tcPr>
            <w:tcW w:w="3098" w:type="pct"/>
            <w:tcBorders>
              <w:top w:val="nil"/>
              <w:left w:val="nil"/>
              <w:bottom w:val="single" w:color="auto" w:sz="4" w:space="0"/>
              <w:right w:val="single" w:color="auto" w:sz="4" w:space="0"/>
            </w:tcBorders>
            <w:vAlign w:val="center"/>
          </w:tcPr>
          <w:p w14:paraId="696FA598">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空调排水处理</w:t>
            </w:r>
          </w:p>
        </w:tc>
        <w:tc>
          <w:tcPr>
            <w:tcW w:w="415" w:type="pct"/>
            <w:tcBorders>
              <w:top w:val="nil"/>
              <w:left w:val="nil"/>
              <w:bottom w:val="single" w:color="auto" w:sz="4" w:space="0"/>
              <w:right w:val="single" w:color="auto" w:sz="4" w:space="0"/>
            </w:tcBorders>
            <w:noWrap/>
            <w:vAlign w:val="center"/>
          </w:tcPr>
          <w:p w14:paraId="7B30B4D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项</w:t>
            </w:r>
          </w:p>
        </w:tc>
        <w:tc>
          <w:tcPr>
            <w:tcW w:w="442" w:type="pct"/>
            <w:tcBorders>
              <w:top w:val="nil"/>
              <w:left w:val="nil"/>
              <w:bottom w:val="single" w:color="auto" w:sz="4" w:space="0"/>
              <w:right w:val="single" w:color="auto" w:sz="4" w:space="0"/>
            </w:tcBorders>
            <w:vAlign w:val="center"/>
          </w:tcPr>
          <w:p w14:paraId="1695DF1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7DB4BBC4">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0EFEBB8">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四、</w:t>
            </w:r>
          </w:p>
        </w:tc>
        <w:tc>
          <w:tcPr>
            <w:tcW w:w="630" w:type="pct"/>
            <w:tcBorders>
              <w:top w:val="single" w:color="auto" w:sz="4" w:space="0"/>
              <w:left w:val="nil"/>
              <w:bottom w:val="single" w:color="auto" w:sz="4" w:space="0"/>
              <w:right w:val="single" w:color="auto" w:sz="4" w:space="0"/>
            </w:tcBorders>
            <w:vAlign w:val="center"/>
          </w:tcPr>
          <w:p w14:paraId="4F32C4F0">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其他</w:t>
            </w:r>
          </w:p>
        </w:tc>
        <w:tc>
          <w:tcPr>
            <w:tcW w:w="3098" w:type="pct"/>
            <w:tcBorders>
              <w:top w:val="single" w:color="auto" w:sz="4" w:space="0"/>
              <w:left w:val="nil"/>
              <w:bottom w:val="single" w:color="auto" w:sz="4" w:space="0"/>
              <w:right w:val="single" w:color="auto" w:sz="4" w:space="0"/>
            </w:tcBorders>
            <w:vAlign w:val="center"/>
          </w:tcPr>
          <w:p w14:paraId="63665B72">
            <w:pPr>
              <w:widowControl/>
              <w:jc w:val="left"/>
              <w:rPr>
                <w:rFonts w:hint="eastAsia" w:ascii="微软雅黑" w:hAnsi="微软雅黑" w:eastAsia="微软雅黑" w:cs="宋体"/>
                <w:b/>
                <w:bCs/>
                <w:kern w:val="0"/>
                <w:sz w:val="18"/>
                <w:szCs w:val="18"/>
              </w:rPr>
            </w:pPr>
          </w:p>
        </w:tc>
        <w:tc>
          <w:tcPr>
            <w:tcW w:w="415" w:type="pct"/>
            <w:tcBorders>
              <w:top w:val="nil"/>
              <w:left w:val="nil"/>
              <w:bottom w:val="single" w:color="auto" w:sz="4" w:space="0"/>
              <w:right w:val="single" w:color="auto" w:sz="4" w:space="0"/>
            </w:tcBorders>
            <w:noWrap/>
            <w:vAlign w:val="center"/>
          </w:tcPr>
          <w:p w14:paraId="69BA15E2">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442" w:type="pct"/>
            <w:tcBorders>
              <w:top w:val="nil"/>
              <w:left w:val="nil"/>
              <w:bottom w:val="single" w:color="auto" w:sz="4" w:space="0"/>
              <w:right w:val="single" w:color="auto" w:sz="4" w:space="0"/>
            </w:tcBorders>
            <w:vAlign w:val="center"/>
          </w:tcPr>
          <w:p w14:paraId="22E6721E">
            <w:pPr>
              <w:widowControl/>
              <w:jc w:val="center"/>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14:paraId="1916AAB6">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9944A5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630" w:type="pct"/>
            <w:tcBorders>
              <w:top w:val="nil"/>
              <w:left w:val="nil"/>
              <w:bottom w:val="single" w:color="auto" w:sz="4" w:space="0"/>
              <w:right w:val="single" w:color="auto" w:sz="4" w:space="0"/>
            </w:tcBorders>
            <w:vAlign w:val="center"/>
          </w:tcPr>
          <w:p w14:paraId="68F58482">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网口双口信息面板</w:t>
            </w:r>
          </w:p>
        </w:tc>
        <w:tc>
          <w:tcPr>
            <w:tcW w:w="3098" w:type="pct"/>
            <w:tcBorders>
              <w:top w:val="nil"/>
              <w:left w:val="nil"/>
              <w:bottom w:val="single" w:color="auto" w:sz="4" w:space="0"/>
              <w:right w:val="single" w:color="auto" w:sz="4" w:space="0"/>
            </w:tcBorders>
            <w:noWrap/>
            <w:vAlign w:val="center"/>
          </w:tcPr>
          <w:p w14:paraId="6F398292">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六类</w:t>
            </w:r>
          </w:p>
        </w:tc>
        <w:tc>
          <w:tcPr>
            <w:tcW w:w="415" w:type="pct"/>
            <w:tcBorders>
              <w:top w:val="nil"/>
              <w:left w:val="nil"/>
              <w:bottom w:val="single" w:color="auto" w:sz="4" w:space="0"/>
              <w:right w:val="single" w:color="auto" w:sz="4" w:space="0"/>
            </w:tcBorders>
            <w:noWrap/>
            <w:vAlign w:val="center"/>
          </w:tcPr>
          <w:p w14:paraId="0C530BE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42" w:type="pct"/>
            <w:tcBorders>
              <w:top w:val="nil"/>
              <w:left w:val="nil"/>
              <w:bottom w:val="single" w:color="auto" w:sz="4" w:space="0"/>
              <w:right w:val="single" w:color="auto" w:sz="4" w:space="0"/>
            </w:tcBorders>
            <w:vAlign w:val="center"/>
          </w:tcPr>
          <w:p w14:paraId="68FBA5DB">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6CC35FF4">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59FCE0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630" w:type="pct"/>
            <w:tcBorders>
              <w:top w:val="nil"/>
              <w:left w:val="nil"/>
              <w:bottom w:val="single" w:color="auto" w:sz="4" w:space="0"/>
              <w:right w:val="single" w:color="auto" w:sz="4" w:space="0"/>
            </w:tcBorders>
            <w:vAlign w:val="center"/>
          </w:tcPr>
          <w:p w14:paraId="2EAFA81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86底盒</w:t>
            </w:r>
          </w:p>
        </w:tc>
        <w:tc>
          <w:tcPr>
            <w:tcW w:w="3098" w:type="pct"/>
            <w:tcBorders>
              <w:top w:val="nil"/>
              <w:left w:val="nil"/>
              <w:bottom w:val="single" w:color="auto" w:sz="4" w:space="0"/>
              <w:right w:val="single" w:color="auto" w:sz="4" w:space="0"/>
            </w:tcBorders>
            <w:vAlign w:val="center"/>
          </w:tcPr>
          <w:p w14:paraId="7677B772">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86型</w:t>
            </w:r>
          </w:p>
        </w:tc>
        <w:tc>
          <w:tcPr>
            <w:tcW w:w="415" w:type="pct"/>
            <w:tcBorders>
              <w:top w:val="nil"/>
              <w:left w:val="nil"/>
              <w:bottom w:val="single" w:color="auto" w:sz="4" w:space="0"/>
              <w:right w:val="single" w:color="auto" w:sz="4" w:space="0"/>
            </w:tcBorders>
            <w:noWrap/>
            <w:vAlign w:val="center"/>
          </w:tcPr>
          <w:p w14:paraId="69C5929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个</w:t>
            </w:r>
          </w:p>
        </w:tc>
        <w:tc>
          <w:tcPr>
            <w:tcW w:w="442" w:type="pct"/>
            <w:tcBorders>
              <w:top w:val="nil"/>
              <w:left w:val="nil"/>
              <w:bottom w:val="single" w:color="auto" w:sz="4" w:space="0"/>
              <w:right w:val="single" w:color="auto" w:sz="4" w:space="0"/>
            </w:tcBorders>
            <w:vAlign w:val="center"/>
          </w:tcPr>
          <w:p w14:paraId="5B948BC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01D3AEE5">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E450DD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630" w:type="pct"/>
            <w:tcBorders>
              <w:top w:val="nil"/>
              <w:left w:val="nil"/>
              <w:bottom w:val="single" w:color="auto" w:sz="4" w:space="0"/>
              <w:right w:val="single" w:color="auto" w:sz="4" w:space="0"/>
            </w:tcBorders>
            <w:vAlign w:val="center"/>
          </w:tcPr>
          <w:p w14:paraId="5A31218F">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32U网络机柜</w:t>
            </w:r>
          </w:p>
        </w:tc>
        <w:tc>
          <w:tcPr>
            <w:tcW w:w="3098" w:type="pct"/>
            <w:tcBorders>
              <w:top w:val="nil"/>
              <w:left w:val="nil"/>
              <w:bottom w:val="single" w:color="auto" w:sz="4" w:space="0"/>
              <w:right w:val="single" w:color="auto" w:sz="4" w:space="0"/>
            </w:tcBorders>
            <w:noWrap/>
            <w:vAlign w:val="center"/>
          </w:tcPr>
          <w:p w14:paraId="467CB87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600*600*32U</w:t>
            </w:r>
          </w:p>
        </w:tc>
        <w:tc>
          <w:tcPr>
            <w:tcW w:w="415" w:type="pct"/>
            <w:tcBorders>
              <w:top w:val="nil"/>
              <w:left w:val="nil"/>
              <w:bottom w:val="single" w:color="auto" w:sz="4" w:space="0"/>
              <w:right w:val="single" w:color="auto" w:sz="4" w:space="0"/>
            </w:tcBorders>
            <w:noWrap/>
            <w:vAlign w:val="center"/>
          </w:tcPr>
          <w:p w14:paraId="39BE6CB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台</w:t>
            </w:r>
          </w:p>
        </w:tc>
        <w:tc>
          <w:tcPr>
            <w:tcW w:w="442" w:type="pct"/>
            <w:tcBorders>
              <w:top w:val="nil"/>
              <w:left w:val="nil"/>
              <w:bottom w:val="single" w:color="auto" w:sz="4" w:space="0"/>
              <w:right w:val="single" w:color="auto" w:sz="4" w:space="0"/>
            </w:tcBorders>
            <w:vAlign w:val="center"/>
          </w:tcPr>
          <w:p w14:paraId="595DE2D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5135BC1A">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30E92C6F">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630" w:type="pct"/>
            <w:tcBorders>
              <w:top w:val="nil"/>
              <w:left w:val="nil"/>
              <w:bottom w:val="single" w:color="auto" w:sz="4" w:space="0"/>
              <w:right w:val="single" w:color="auto" w:sz="4" w:space="0"/>
            </w:tcBorders>
            <w:vAlign w:val="center"/>
          </w:tcPr>
          <w:p w14:paraId="7C5A5C5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HDMI线</w:t>
            </w:r>
          </w:p>
        </w:tc>
        <w:tc>
          <w:tcPr>
            <w:tcW w:w="3098" w:type="pct"/>
            <w:tcBorders>
              <w:top w:val="nil"/>
              <w:left w:val="nil"/>
              <w:bottom w:val="single" w:color="auto" w:sz="4" w:space="0"/>
              <w:right w:val="single" w:color="auto" w:sz="4" w:space="0"/>
            </w:tcBorders>
            <w:noWrap/>
            <w:vAlign w:val="center"/>
          </w:tcPr>
          <w:p w14:paraId="7050EADC">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10米</w:t>
            </w:r>
          </w:p>
        </w:tc>
        <w:tc>
          <w:tcPr>
            <w:tcW w:w="415" w:type="pct"/>
            <w:tcBorders>
              <w:top w:val="nil"/>
              <w:left w:val="nil"/>
              <w:bottom w:val="single" w:color="auto" w:sz="4" w:space="0"/>
              <w:right w:val="single" w:color="auto" w:sz="4" w:space="0"/>
            </w:tcBorders>
            <w:noWrap/>
            <w:vAlign w:val="center"/>
          </w:tcPr>
          <w:p w14:paraId="6B4EE55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条</w:t>
            </w:r>
          </w:p>
        </w:tc>
        <w:tc>
          <w:tcPr>
            <w:tcW w:w="442" w:type="pct"/>
            <w:tcBorders>
              <w:top w:val="nil"/>
              <w:left w:val="nil"/>
              <w:bottom w:val="single" w:color="auto" w:sz="4" w:space="0"/>
              <w:right w:val="single" w:color="auto" w:sz="4" w:space="0"/>
            </w:tcBorders>
            <w:vAlign w:val="center"/>
          </w:tcPr>
          <w:p w14:paraId="4CC23345">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1E86AF22">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57E09B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630" w:type="pct"/>
            <w:tcBorders>
              <w:top w:val="nil"/>
              <w:left w:val="nil"/>
              <w:bottom w:val="single" w:color="auto" w:sz="4" w:space="0"/>
              <w:right w:val="single" w:color="auto" w:sz="4" w:space="0"/>
            </w:tcBorders>
            <w:vAlign w:val="center"/>
          </w:tcPr>
          <w:p w14:paraId="1F4763E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HDMI线</w:t>
            </w:r>
          </w:p>
        </w:tc>
        <w:tc>
          <w:tcPr>
            <w:tcW w:w="3098" w:type="pct"/>
            <w:tcBorders>
              <w:top w:val="nil"/>
              <w:left w:val="nil"/>
              <w:bottom w:val="single" w:color="auto" w:sz="4" w:space="0"/>
              <w:right w:val="single" w:color="auto" w:sz="4" w:space="0"/>
            </w:tcBorders>
            <w:noWrap/>
            <w:vAlign w:val="center"/>
          </w:tcPr>
          <w:p w14:paraId="2E5CE7C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20米</w:t>
            </w:r>
          </w:p>
        </w:tc>
        <w:tc>
          <w:tcPr>
            <w:tcW w:w="415" w:type="pct"/>
            <w:tcBorders>
              <w:top w:val="nil"/>
              <w:left w:val="nil"/>
              <w:bottom w:val="single" w:color="auto" w:sz="4" w:space="0"/>
              <w:right w:val="single" w:color="auto" w:sz="4" w:space="0"/>
            </w:tcBorders>
            <w:noWrap/>
            <w:vAlign w:val="center"/>
          </w:tcPr>
          <w:p w14:paraId="3D34398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条</w:t>
            </w:r>
          </w:p>
        </w:tc>
        <w:tc>
          <w:tcPr>
            <w:tcW w:w="442" w:type="pct"/>
            <w:tcBorders>
              <w:top w:val="nil"/>
              <w:left w:val="nil"/>
              <w:bottom w:val="single" w:color="auto" w:sz="4" w:space="0"/>
              <w:right w:val="single" w:color="auto" w:sz="4" w:space="0"/>
            </w:tcBorders>
            <w:vAlign w:val="center"/>
          </w:tcPr>
          <w:p w14:paraId="1790868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r>
      <w:tr w14:paraId="4120925C">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2FF9720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630" w:type="pct"/>
            <w:tcBorders>
              <w:top w:val="nil"/>
              <w:left w:val="nil"/>
              <w:bottom w:val="single" w:color="auto" w:sz="4" w:space="0"/>
              <w:right w:val="single" w:color="auto" w:sz="4" w:space="0"/>
            </w:tcBorders>
            <w:vAlign w:val="center"/>
          </w:tcPr>
          <w:p w14:paraId="0F979B9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网线</w:t>
            </w:r>
          </w:p>
        </w:tc>
        <w:tc>
          <w:tcPr>
            <w:tcW w:w="3098" w:type="pct"/>
            <w:tcBorders>
              <w:top w:val="nil"/>
              <w:left w:val="nil"/>
              <w:bottom w:val="single" w:color="auto" w:sz="4" w:space="0"/>
              <w:right w:val="single" w:color="auto" w:sz="4" w:space="0"/>
            </w:tcBorders>
            <w:noWrap/>
            <w:vAlign w:val="center"/>
          </w:tcPr>
          <w:p w14:paraId="7D2DE9A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六类</w:t>
            </w:r>
          </w:p>
        </w:tc>
        <w:tc>
          <w:tcPr>
            <w:tcW w:w="415" w:type="pct"/>
            <w:tcBorders>
              <w:top w:val="nil"/>
              <w:left w:val="nil"/>
              <w:bottom w:val="single" w:color="auto" w:sz="4" w:space="0"/>
              <w:right w:val="single" w:color="auto" w:sz="4" w:space="0"/>
            </w:tcBorders>
            <w:noWrap/>
            <w:vAlign w:val="center"/>
          </w:tcPr>
          <w:p w14:paraId="6569643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17375766">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w:t>
            </w:r>
          </w:p>
        </w:tc>
      </w:tr>
      <w:tr w14:paraId="6DB2CBA6">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99BB701">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630" w:type="pct"/>
            <w:tcBorders>
              <w:top w:val="nil"/>
              <w:left w:val="nil"/>
              <w:bottom w:val="single" w:color="auto" w:sz="4" w:space="0"/>
              <w:right w:val="single" w:color="auto" w:sz="4" w:space="0"/>
            </w:tcBorders>
            <w:vAlign w:val="center"/>
          </w:tcPr>
          <w:p w14:paraId="05C8643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网线</w:t>
            </w:r>
          </w:p>
        </w:tc>
        <w:tc>
          <w:tcPr>
            <w:tcW w:w="3098" w:type="pct"/>
            <w:tcBorders>
              <w:top w:val="nil"/>
              <w:left w:val="nil"/>
              <w:bottom w:val="single" w:color="auto" w:sz="4" w:space="0"/>
              <w:right w:val="single" w:color="auto" w:sz="4" w:space="0"/>
            </w:tcBorders>
            <w:noWrap/>
            <w:vAlign w:val="center"/>
          </w:tcPr>
          <w:p w14:paraId="148DB04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超5类</w:t>
            </w:r>
          </w:p>
        </w:tc>
        <w:tc>
          <w:tcPr>
            <w:tcW w:w="415" w:type="pct"/>
            <w:tcBorders>
              <w:top w:val="nil"/>
              <w:left w:val="nil"/>
              <w:bottom w:val="single" w:color="auto" w:sz="4" w:space="0"/>
              <w:right w:val="single" w:color="auto" w:sz="4" w:space="0"/>
            </w:tcBorders>
            <w:noWrap/>
            <w:vAlign w:val="center"/>
          </w:tcPr>
          <w:p w14:paraId="1AB01585">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7036499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250</w:t>
            </w:r>
          </w:p>
        </w:tc>
      </w:tr>
      <w:tr w14:paraId="093A9821">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7F3B816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630" w:type="pct"/>
            <w:tcBorders>
              <w:top w:val="nil"/>
              <w:left w:val="nil"/>
              <w:bottom w:val="single" w:color="auto" w:sz="4" w:space="0"/>
              <w:right w:val="single" w:color="auto" w:sz="4" w:space="0"/>
            </w:tcBorders>
            <w:vAlign w:val="center"/>
          </w:tcPr>
          <w:p w14:paraId="28DF83F7">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电源线</w:t>
            </w:r>
          </w:p>
        </w:tc>
        <w:tc>
          <w:tcPr>
            <w:tcW w:w="3098" w:type="pct"/>
            <w:tcBorders>
              <w:top w:val="nil"/>
              <w:left w:val="nil"/>
              <w:bottom w:val="single" w:color="auto" w:sz="4" w:space="0"/>
              <w:right w:val="single" w:color="auto" w:sz="4" w:space="0"/>
            </w:tcBorders>
            <w:noWrap/>
            <w:vAlign w:val="center"/>
          </w:tcPr>
          <w:p w14:paraId="378E416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RVV2*1.0</w:t>
            </w:r>
          </w:p>
        </w:tc>
        <w:tc>
          <w:tcPr>
            <w:tcW w:w="415" w:type="pct"/>
            <w:tcBorders>
              <w:top w:val="nil"/>
              <w:left w:val="nil"/>
              <w:bottom w:val="single" w:color="auto" w:sz="4" w:space="0"/>
              <w:right w:val="single" w:color="auto" w:sz="4" w:space="0"/>
            </w:tcBorders>
            <w:noWrap/>
            <w:vAlign w:val="center"/>
          </w:tcPr>
          <w:p w14:paraId="676F5D96">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36662F8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w:t>
            </w:r>
          </w:p>
        </w:tc>
      </w:tr>
      <w:tr w14:paraId="715C6FE6">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27EAD90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630" w:type="pct"/>
            <w:tcBorders>
              <w:top w:val="nil"/>
              <w:left w:val="nil"/>
              <w:bottom w:val="single" w:color="auto" w:sz="4" w:space="0"/>
              <w:right w:val="single" w:color="auto" w:sz="4" w:space="0"/>
            </w:tcBorders>
            <w:vAlign w:val="center"/>
          </w:tcPr>
          <w:p w14:paraId="77955788">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电源线</w:t>
            </w:r>
          </w:p>
        </w:tc>
        <w:tc>
          <w:tcPr>
            <w:tcW w:w="3098" w:type="pct"/>
            <w:tcBorders>
              <w:top w:val="nil"/>
              <w:left w:val="nil"/>
              <w:bottom w:val="single" w:color="auto" w:sz="4" w:space="0"/>
              <w:right w:val="single" w:color="auto" w:sz="4" w:space="0"/>
            </w:tcBorders>
            <w:noWrap/>
            <w:vAlign w:val="center"/>
          </w:tcPr>
          <w:p w14:paraId="75470B1C">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RVV3*1.5</w:t>
            </w:r>
          </w:p>
        </w:tc>
        <w:tc>
          <w:tcPr>
            <w:tcW w:w="415" w:type="pct"/>
            <w:tcBorders>
              <w:top w:val="nil"/>
              <w:left w:val="nil"/>
              <w:bottom w:val="single" w:color="auto" w:sz="4" w:space="0"/>
              <w:right w:val="single" w:color="auto" w:sz="4" w:space="0"/>
            </w:tcBorders>
            <w:noWrap/>
            <w:vAlign w:val="center"/>
          </w:tcPr>
          <w:p w14:paraId="41821AD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374BC8A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40</w:t>
            </w:r>
          </w:p>
        </w:tc>
      </w:tr>
      <w:tr w14:paraId="1FE315FD">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23DB93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630" w:type="pct"/>
            <w:tcBorders>
              <w:top w:val="nil"/>
              <w:left w:val="nil"/>
              <w:bottom w:val="single" w:color="auto" w:sz="4" w:space="0"/>
              <w:right w:val="single" w:color="auto" w:sz="4" w:space="0"/>
            </w:tcBorders>
            <w:vAlign w:val="center"/>
          </w:tcPr>
          <w:p w14:paraId="14F7A47D">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电源线</w:t>
            </w:r>
          </w:p>
        </w:tc>
        <w:tc>
          <w:tcPr>
            <w:tcW w:w="3098" w:type="pct"/>
            <w:tcBorders>
              <w:top w:val="nil"/>
              <w:left w:val="nil"/>
              <w:bottom w:val="single" w:color="auto" w:sz="4" w:space="0"/>
              <w:right w:val="single" w:color="auto" w:sz="4" w:space="0"/>
            </w:tcBorders>
            <w:noWrap/>
            <w:vAlign w:val="center"/>
          </w:tcPr>
          <w:p w14:paraId="4834F2D6">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RVV3*2.5</w:t>
            </w:r>
          </w:p>
        </w:tc>
        <w:tc>
          <w:tcPr>
            <w:tcW w:w="415" w:type="pct"/>
            <w:tcBorders>
              <w:top w:val="nil"/>
              <w:left w:val="nil"/>
              <w:bottom w:val="single" w:color="auto" w:sz="4" w:space="0"/>
              <w:right w:val="single" w:color="auto" w:sz="4" w:space="0"/>
            </w:tcBorders>
            <w:noWrap/>
            <w:vAlign w:val="center"/>
          </w:tcPr>
          <w:p w14:paraId="3254D16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7AF18E0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80</w:t>
            </w:r>
          </w:p>
        </w:tc>
      </w:tr>
      <w:tr w14:paraId="4D821BF6">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65CF443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630" w:type="pct"/>
            <w:tcBorders>
              <w:top w:val="nil"/>
              <w:left w:val="nil"/>
              <w:bottom w:val="single" w:color="auto" w:sz="4" w:space="0"/>
              <w:right w:val="single" w:color="auto" w:sz="4" w:space="0"/>
            </w:tcBorders>
            <w:vAlign w:val="center"/>
          </w:tcPr>
          <w:p w14:paraId="5B79638C">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电源线</w:t>
            </w:r>
          </w:p>
        </w:tc>
        <w:tc>
          <w:tcPr>
            <w:tcW w:w="3098" w:type="pct"/>
            <w:tcBorders>
              <w:top w:val="nil"/>
              <w:left w:val="nil"/>
              <w:bottom w:val="single" w:color="auto" w:sz="4" w:space="0"/>
              <w:right w:val="single" w:color="auto" w:sz="4" w:space="0"/>
            </w:tcBorders>
            <w:noWrap/>
            <w:vAlign w:val="center"/>
          </w:tcPr>
          <w:p w14:paraId="4CD03B5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RVV3*4</w:t>
            </w:r>
          </w:p>
        </w:tc>
        <w:tc>
          <w:tcPr>
            <w:tcW w:w="415" w:type="pct"/>
            <w:tcBorders>
              <w:top w:val="nil"/>
              <w:left w:val="nil"/>
              <w:bottom w:val="single" w:color="auto" w:sz="4" w:space="0"/>
              <w:right w:val="single" w:color="auto" w:sz="4" w:space="0"/>
            </w:tcBorders>
            <w:noWrap/>
            <w:vAlign w:val="center"/>
          </w:tcPr>
          <w:p w14:paraId="6B81B14D">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697BCD5B">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w:t>
            </w:r>
          </w:p>
        </w:tc>
      </w:tr>
      <w:tr w14:paraId="0C967837">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377888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630" w:type="pct"/>
            <w:tcBorders>
              <w:top w:val="nil"/>
              <w:left w:val="nil"/>
              <w:bottom w:val="single" w:color="auto" w:sz="4" w:space="0"/>
              <w:right w:val="single" w:color="auto" w:sz="4" w:space="0"/>
            </w:tcBorders>
            <w:vAlign w:val="center"/>
          </w:tcPr>
          <w:p w14:paraId="6BBD8CEA">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电源线</w:t>
            </w:r>
          </w:p>
        </w:tc>
        <w:tc>
          <w:tcPr>
            <w:tcW w:w="3098" w:type="pct"/>
            <w:tcBorders>
              <w:top w:val="nil"/>
              <w:left w:val="nil"/>
              <w:bottom w:val="single" w:color="auto" w:sz="4" w:space="0"/>
              <w:right w:val="single" w:color="auto" w:sz="4" w:space="0"/>
            </w:tcBorders>
            <w:noWrap/>
            <w:vAlign w:val="center"/>
          </w:tcPr>
          <w:p w14:paraId="1848F8EC">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RVV4*1.0</w:t>
            </w:r>
          </w:p>
        </w:tc>
        <w:tc>
          <w:tcPr>
            <w:tcW w:w="415" w:type="pct"/>
            <w:tcBorders>
              <w:top w:val="nil"/>
              <w:left w:val="nil"/>
              <w:bottom w:val="single" w:color="auto" w:sz="4" w:space="0"/>
              <w:right w:val="single" w:color="auto" w:sz="4" w:space="0"/>
            </w:tcBorders>
            <w:noWrap/>
            <w:vAlign w:val="center"/>
          </w:tcPr>
          <w:p w14:paraId="4282476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1AFA3A2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50</w:t>
            </w:r>
          </w:p>
        </w:tc>
      </w:tr>
      <w:tr w14:paraId="16F967A3">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038E7B60">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630" w:type="pct"/>
            <w:tcBorders>
              <w:top w:val="nil"/>
              <w:left w:val="nil"/>
              <w:bottom w:val="single" w:color="auto" w:sz="4" w:space="0"/>
              <w:right w:val="single" w:color="auto" w:sz="4" w:space="0"/>
            </w:tcBorders>
            <w:vAlign w:val="center"/>
          </w:tcPr>
          <w:p w14:paraId="0C1FB77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电源线</w:t>
            </w:r>
          </w:p>
        </w:tc>
        <w:tc>
          <w:tcPr>
            <w:tcW w:w="3098" w:type="pct"/>
            <w:tcBorders>
              <w:top w:val="nil"/>
              <w:left w:val="nil"/>
              <w:bottom w:val="single" w:color="auto" w:sz="4" w:space="0"/>
              <w:right w:val="single" w:color="auto" w:sz="4" w:space="0"/>
            </w:tcBorders>
            <w:noWrap/>
            <w:vAlign w:val="center"/>
          </w:tcPr>
          <w:p w14:paraId="1EBD6CC4">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RVVP2*1.0</w:t>
            </w:r>
          </w:p>
        </w:tc>
        <w:tc>
          <w:tcPr>
            <w:tcW w:w="415" w:type="pct"/>
            <w:tcBorders>
              <w:top w:val="nil"/>
              <w:left w:val="nil"/>
              <w:bottom w:val="single" w:color="auto" w:sz="4" w:space="0"/>
              <w:right w:val="single" w:color="auto" w:sz="4" w:space="0"/>
            </w:tcBorders>
            <w:noWrap/>
            <w:vAlign w:val="center"/>
          </w:tcPr>
          <w:p w14:paraId="640270D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4CAFFFE9">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w:t>
            </w:r>
          </w:p>
        </w:tc>
      </w:tr>
      <w:tr w14:paraId="6D616FFE">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79099175">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630" w:type="pct"/>
            <w:tcBorders>
              <w:top w:val="nil"/>
              <w:left w:val="nil"/>
              <w:bottom w:val="single" w:color="auto" w:sz="4" w:space="0"/>
              <w:right w:val="single" w:color="auto" w:sz="4" w:space="0"/>
            </w:tcBorders>
            <w:vAlign w:val="center"/>
          </w:tcPr>
          <w:p w14:paraId="7F1E2D03">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墙面切槽及修复</w:t>
            </w:r>
          </w:p>
        </w:tc>
        <w:tc>
          <w:tcPr>
            <w:tcW w:w="3098" w:type="pct"/>
            <w:tcBorders>
              <w:top w:val="nil"/>
              <w:left w:val="nil"/>
              <w:bottom w:val="single" w:color="auto" w:sz="4" w:space="0"/>
              <w:right w:val="single" w:color="auto" w:sz="4" w:space="0"/>
            </w:tcBorders>
            <w:noWrap/>
            <w:vAlign w:val="center"/>
          </w:tcPr>
          <w:p w14:paraId="15593D9E">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墙面切槽及修复</w:t>
            </w:r>
          </w:p>
        </w:tc>
        <w:tc>
          <w:tcPr>
            <w:tcW w:w="415" w:type="pct"/>
            <w:tcBorders>
              <w:top w:val="nil"/>
              <w:left w:val="nil"/>
              <w:bottom w:val="single" w:color="auto" w:sz="4" w:space="0"/>
              <w:right w:val="single" w:color="auto" w:sz="4" w:space="0"/>
            </w:tcBorders>
            <w:noWrap/>
            <w:vAlign w:val="center"/>
          </w:tcPr>
          <w:p w14:paraId="1B9DA261">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096B1DC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w:t>
            </w:r>
          </w:p>
        </w:tc>
      </w:tr>
      <w:tr w14:paraId="7EB0197D">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E125F47">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630" w:type="pct"/>
            <w:tcBorders>
              <w:top w:val="nil"/>
              <w:left w:val="nil"/>
              <w:bottom w:val="single" w:color="auto" w:sz="4" w:space="0"/>
              <w:right w:val="single" w:color="auto" w:sz="4" w:space="0"/>
            </w:tcBorders>
            <w:vAlign w:val="center"/>
          </w:tcPr>
          <w:p w14:paraId="31DE184F">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UPS主电源线</w:t>
            </w:r>
          </w:p>
        </w:tc>
        <w:tc>
          <w:tcPr>
            <w:tcW w:w="3098" w:type="pct"/>
            <w:tcBorders>
              <w:top w:val="nil"/>
              <w:left w:val="nil"/>
              <w:bottom w:val="single" w:color="auto" w:sz="4" w:space="0"/>
              <w:right w:val="single" w:color="auto" w:sz="4" w:space="0"/>
            </w:tcBorders>
            <w:noWrap/>
            <w:vAlign w:val="center"/>
          </w:tcPr>
          <w:p w14:paraId="25635B85">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YJV3*6mm2</w:t>
            </w:r>
          </w:p>
        </w:tc>
        <w:tc>
          <w:tcPr>
            <w:tcW w:w="415" w:type="pct"/>
            <w:tcBorders>
              <w:top w:val="nil"/>
              <w:left w:val="nil"/>
              <w:bottom w:val="single" w:color="auto" w:sz="4" w:space="0"/>
              <w:right w:val="single" w:color="auto" w:sz="4" w:space="0"/>
            </w:tcBorders>
            <w:noWrap/>
            <w:vAlign w:val="center"/>
          </w:tcPr>
          <w:p w14:paraId="6FBACED6">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6C9DD98E">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14:paraId="21549450">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4CEC8D2">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w:t>
            </w:r>
          </w:p>
        </w:tc>
        <w:tc>
          <w:tcPr>
            <w:tcW w:w="630" w:type="pct"/>
            <w:tcBorders>
              <w:top w:val="nil"/>
              <w:left w:val="nil"/>
              <w:bottom w:val="single" w:color="auto" w:sz="4" w:space="0"/>
              <w:right w:val="single" w:color="auto" w:sz="4" w:space="0"/>
            </w:tcBorders>
            <w:vAlign w:val="center"/>
          </w:tcPr>
          <w:p w14:paraId="4BFAF63B">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PVC20线管</w:t>
            </w:r>
          </w:p>
        </w:tc>
        <w:tc>
          <w:tcPr>
            <w:tcW w:w="3098" w:type="pct"/>
            <w:tcBorders>
              <w:top w:val="nil"/>
              <w:left w:val="nil"/>
              <w:bottom w:val="single" w:color="auto" w:sz="4" w:space="0"/>
              <w:right w:val="single" w:color="auto" w:sz="4" w:space="0"/>
            </w:tcBorders>
            <w:noWrap/>
            <w:vAlign w:val="center"/>
          </w:tcPr>
          <w:p w14:paraId="25DECB7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Φ20，B管</w:t>
            </w:r>
          </w:p>
        </w:tc>
        <w:tc>
          <w:tcPr>
            <w:tcW w:w="415" w:type="pct"/>
            <w:tcBorders>
              <w:top w:val="nil"/>
              <w:left w:val="nil"/>
              <w:bottom w:val="single" w:color="auto" w:sz="4" w:space="0"/>
              <w:right w:val="single" w:color="auto" w:sz="4" w:space="0"/>
            </w:tcBorders>
            <w:noWrap/>
            <w:vAlign w:val="center"/>
          </w:tcPr>
          <w:p w14:paraId="6F309BC6">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36D4EB53">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100</w:t>
            </w:r>
          </w:p>
        </w:tc>
      </w:tr>
      <w:tr w14:paraId="7621FD76">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44CA8DA4">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w:t>
            </w:r>
          </w:p>
        </w:tc>
        <w:tc>
          <w:tcPr>
            <w:tcW w:w="630" w:type="pct"/>
            <w:tcBorders>
              <w:top w:val="nil"/>
              <w:left w:val="nil"/>
              <w:bottom w:val="single" w:color="auto" w:sz="4" w:space="0"/>
              <w:right w:val="single" w:color="auto" w:sz="4" w:space="0"/>
            </w:tcBorders>
            <w:vAlign w:val="center"/>
          </w:tcPr>
          <w:p w14:paraId="29A8987B">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PVC25线管</w:t>
            </w:r>
          </w:p>
        </w:tc>
        <w:tc>
          <w:tcPr>
            <w:tcW w:w="3098" w:type="pct"/>
            <w:tcBorders>
              <w:top w:val="nil"/>
              <w:left w:val="nil"/>
              <w:bottom w:val="single" w:color="auto" w:sz="4" w:space="0"/>
              <w:right w:val="single" w:color="auto" w:sz="4" w:space="0"/>
            </w:tcBorders>
            <w:noWrap/>
            <w:vAlign w:val="center"/>
          </w:tcPr>
          <w:p w14:paraId="2FC84639">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Φ25，B管</w:t>
            </w:r>
          </w:p>
        </w:tc>
        <w:tc>
          <w:tcPr>
            <w:tcW w:w="415" w:type="pct"/>
            <w:tcBorders>
              <w:top w:val="nil"/>
              <w:left w:val="nil"/>
              <w:bottom w:val="single" w:color="auto" w:sz="4" w:space="0"/>
              <w:right w:val="single" w:color="auto" w:sz="4" w:space="0"/>
            </w:tcBorders>
            <w:noWrap/>
            <w:vAlign w:val="center"/>
          </w:tcPr>
          <w:p w14:paraId="313ACDFA">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37FCBE6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w:t>
            </w:r>
          </w:p>
        </w:tc>
      </w:tr>
      <w:tr w14:paraId="02E4CCF2">
        <w:tblPrEx>
          <w:tblCellMar>
            <w:top w:w="0" w:type="dxa"/>
            <w:left w:w="108" w:type="dxa"/>
            <w:bottom w:w="0" w:type="dxa"/>
            <w:right w:w="108" w:type="dxa"/>
          </w:tblCellMar>
        </w:tblPrEx>
        <w:trPr>
          <w:trHeight w:val="400" w:hRule="atLeast"/>
          <w:jc w:val="center"/>
        </w:trPr>
        <w:tc>
          <w:tcPr>
            <w:tcW w:w="415" w:type="pct"/>
            <w:tcBorders>
              <w:top w:val="nil"/>
              <w:left w:val="single" w:color="auto" w:sz="4" w:space="0"/>
              <w:bottom w:val="single" w:color="auto" w:sz="4" w:space="0"/>
              <w:right w:val="single" w:color="auto" w:sz="4" w:space="0"/>
            </w:tcBorders>
            <w:noWrap/>
            <w:vAlign w:val="center"/>
          </w:tcPr>
          <w:p w14:paraId="11059BF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w:t>
            </w:r>
          </w:p>
        </w:tc>
        <w:tc>
          <w:tcPr>
            <w:tcW w:w="630" w:type="pct"/>
            <w:tcBorders>
              <w:top w:val="nil"/>
              <w:left w:val="nil"/>
              <w:bottom w:val="single" w:color="auto" w:sz="4" w:space="0"/>
              <w:right w:val="single" w:color="auto" w:sz="4" w:space="0"/>
            </w:tcBorders>
            <w:vAlign w:val="center"/>
          </w:tcPr>
          <w:p w14:paraId="1F3D3590">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不锈钢线槽</w:t>
            </w:r>
          </w:p>
        </w:tc>
        <w:tc>
          <w:tcPr>
            <w:tcW w:w="3098" w:type="pct"/>
            <w:tcBorders>
              <w:top w:val="nil"/>
              <w:left w:val="nil"/>
              <w:bottom w:val="single" w:color="auto" w:sz="4" w:space="0"/>
              <w:right w:val="single" w:color="auto" w:sz="4" w:space="0"/>
            </w:tcBorders>
            <w:noWrap/>
            <w:vAlign w:val="center"/>
          </w:tcPr>
          <w:p w14:paraId="52B3F863">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5cm*1.5cm</w:t>
            </w:r>
          </w:p>
        </w:tc>
        <w:tc>
          <w:tcPr>
            <w:tcW w:w="415" w:type="pct"/>
            <w:tcBorders>
              <w:top w:val="nil"/>
              <w:left w:val="nil"/>
              <w:bottom w:val="single" w:color="auto" w:sz="4" w:space="0"/>
              <w:right w:val="single" w:color="auto" w:sz="4" w:space="0"/>
            </w:tcBorders>
            <w:noWrap/>
            <w:vAlign w:val="center"/>
          </w:tcPr>
          <w:p w14:paraId="5D4CC2C8">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米</w:t>
            </w:r>
          </w:p>
        </w:tc>
        <w:tc>
          <w:tcPr>
            <w:tcW w:w="442" w:type="pct"/>
            <w:tcBorders>
              <w:top w:val="nil"/>
              <w:left w:val="nil"/>
              <w:bottom w:val="single" w:color="auto" w:sz="4" w:space="0"/>
              <w:right w:val="single" w:color="auto" w:sz="4" w:space="0"/>
            </w:tcBorders>
            <w:vAlign w:val="center"/>
          </w:tcPr>
          <w:p w14:paraId="64D9642C">
            <w:pPr>
              <w:widowControl/>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w:t>
            </w:r>
          </w:p>
        </w:tc>
      </w:tr>
    </w:tbl>
    <w:p w14:paraId="5FD4DE09">
      <w:pPr>
        <w:pStyle w:val="20"/>
        <w:ind w:left="0"/>
      </w:pPr>
    </w:p>
    <w:p w14:paraId="0456F92F">
      <w:pPr>
        <w:pStyle w:val="6"/>
      </w:pPr>
    </w:p>
    <w:p w14:paraId="17A2217F"/>
    <w:p w14:paraId="41EBB910">
      <w:pPr>
        <w:pStyle w:val="6"/>
      </w:pPr>
    </w:p>
    <w:p w14:paraId="0B276FEF"/>
    <w:p w14:paraId="02FDE47E">
      <w:pPr>
        <w:pStyle w:val="6"/>
      </w:pPr>
    </w:p>
    <w:p w14:paraId="61335FE2"/>
    <w:p w14:paraId="0AF23E18">
      <w:pPr>
        <w:pStyle w:val="6"/>
      </w:pPr>
    </w:p>
    <w:p w14:paraId="0A44D2CC"/>
    <w:p w14:paraId="0D5798CE">
      <w:pPr>
        <w:pStyle w:val="6"/>
      </w:pPr>
    </w:p>
    <w:p w14:paraId="748DCF41"/>
    <w:p w14:paraId="7F54E832">
      <w:pPr>
        <w:pStyle w:val="6"/>
      </w:pPr>
    </w:p>
    <w:p w14:paraId="775CC278"/>
    <w:p w14:paraId="3C9D5C9F">
      <w:pPr>
        <w:pStyle w:val="2"/>
      </w:pPr>
    </w:p>
    <w:p w14:paraId="7BF7104E">
      <w:pPr>
        <w:pStyle w:val="3"/>
      </w:pPr>
    </w:p>
    <w:p w14:paraId="50398AA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4A890E7F">
      <w:pPr>
        <w:pStyle w:val="2"/>
      </w:pPr>
    </w:p>
    <w:p w14:paraId="06FDF23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5741AD73">
      <w:pPr>
        <w:pStyle w:val="2"/>
        <w:rPr>
          <w:rFonts w:hint="eastAsia" w:ascii="宋体" w:hAnsi="宋体"/>
          <w:b/>
          <w:kern w:val="0"/>
          <w:sz w:val="32"/>
        </w:rPr>
      </w:pPr>
    </w:p>
    <w:p w14:paraId="0DA7F896">
      <w:pPr>
        <w:pStyle w:val="3"/>
      </w:pPr>
    </w:p>
    <w:p w14:paraId="5D8382CB">
      <w:pPr>
        <w:pStyle w:val="3"/>
        <w:rPr>
          <w:rFonts w:hint="eastAsia"/>
        </w:rPr>
      </w:pPr>
    </w:p>
    <w:p w14:paraId="7FF843D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r>
        <w:rPr>
          <w:rFonts w:hint="eastAsia" w:ascii="宋体" w:hAnsi="宋体"/>
          <w:b/>
          <w:kern w:val="0"/>
          <w:sz w:val="32"/>
        </w:rPr>
        <w:t>第三部分投标人须知</w:t>
      </w:r>
    </w:p>
    <w:p w14:paraId="72509062">
      <w:pPr>
        <w:adjustRightInd w:val="0"/>
        <w:snapToGrid w:val="0"/>
        <w:spacing w:line="300" w:lineRule="auto"/>
        <w:ind w:firstLine="482" w:firstLineChars="200"/>
        <w:rPr>
          <w:rFonts w:ascii="宋体"/>
          <w:b/>
          <w:bCs/>
          <w:kern w:val="0"/>
          <w:sz w:val="24"/>
        </w:rPr>
      </w:pPr>
      <w:r>
        <w:rPr>
          <w:rFonts w:hint="eastAsia" w:ascii="宋体"/>
          <w:b/>
          <w:bCs/>
          <w:kern w:val="0"/>
          <w:sz w:val="24"/>
        </w:rPr>
        <w:t>一、说明</w:t>
      </w:r>
    </w:p>
    <w:p w14:paraId="17BFFFCF">
      <w:pPr>
        <w:adjustRightInd w:val="0"/>
        <w:snapToGrid w:val="0"/>
        <w:spacing w:line="300" w:lineRule="auto"/>
        <w:ind w:firstLine="588" w:firstLineChars="245"/>
        <w:rPr>
          <w:rFonts w:ascii="宋体"/>
          <w:kern w:val="0"/>
          <w:sz w:val="24"/>
        </w:rPr>
      </w:pPr>
      <w:r>
        <w:rPr>
          <w:rFonts w:hint="eastAsia" w:ascii="宋体"/>
          <w:kern w:val="0"/>
          <w:sz w:val="24"/>
        </w:rPr>
        <w:t>1、本次采购是按照《中华人民共和国政府采购法》和《海南省粮食和物资储备集团有限公司采购管理办法》琼储规〔2024〕17号组织和实施。无论过程中的做法和结果如何，投标人自行承担所有与参加公开比选采购有关的全部费用。</w:t>
      </w:r>
    </w:p>
    <w:p w14:paraId="3BC55395">
      <w:pPr>
        <w:adjustRightInd w:val="0"/>
        <w:snapToGrid w:val="0"/>
        <w:spacing w:line="300" w:lineRule="auto"/>
        <w:ind w:firstLine="588" w:firstLineChars="245"/>
        <w:rPr>
          <w:rFonts w:ascii="宋体"/>
          <w:kern w:val="0"/>
          <w:sz w:val="24"/>
        </w:rPr>
      </w:pPr>
      <w:r>
        <w:rPr>
          <w:rFonts w:hint="eastAsia" w:ascii="宋体"/>
          <w:kern w:val="0"/>
          <w:sz w:val="24"/>
        </w:rPr>
        <w:t>2、合格的投标人</w:t>
      </w:r>
    </w:p>
    <w:p w14:paraId="1C245B7D">
      <w:pPr>
        <w:adjustRightInd w:val="0"/>
        <w:snapToGrid w:val="0"/>
        <w:spacing w:line="300" w:lineRule="auto"/>
        <w:ind w:firstLine="588" w:firstLineChars="245"/>
        <w:rPr>
          <w:rFonts w:ascii="宋体"/>
          <w:kern w:val="0"/>
          <w:sz w:val="24"/>
        </w:rPr>
      </w:pPr>
      <w:r>
        <w:rPr>
          <w:rFonts w:hint="eastAsia" w:ascii="宋体"/>
          <w:kern w:val="0"/>
          <w:sz w:val="24"/>
        </w:rPr>
        <w:t>2.1是响应公开比选采购文件，参加公开比选采购竞争，具备公开比选采购条件的中华人民共和国独立法人或其他组织，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且有能力提供货物及服务，并通过评审委员会审核的制造厂商、供货商或代理商，均为合格的投标人。</w:t>
      </w:r>
    </w:p>
    <w:p w14:paraId="39D69484">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780C5814">
      <w:pPr>
        <w:adjustRightInd w:val="0"/>
        <w:snapToGrid w:val="0"/>
        <w:spacing w:line="300" w:lineRule="auto"/>
        <w:ind w:firstLine="588" w:firstLineChars="245"/>
        <w:rPr>
          <w:rFonts w:ascii="宋体"/>
          <w:kern w:val="0"/>
          <w:sz w:val="24"/>
        </w:rPr>
      </w:pPr>
      <w:r>
        <w:rPr>
          <w:rFonts w:hint="eastAsia" w:ascii="宋体"/>
          <w:kern w:val="0"/>
          <w:sz w:val="24"/>
        </w:rPr>
        <w:t>2.2公开比选采购投标人应遵守《中华人民共和国政府采购法》有关的法律。</w:t>
      </w:r>
    </w:p>
    <w:p w14:paraId="0C9BE617">
      <w:pPr>
        <w:adjustRightInd w:val="0"/>
        <w:snapToGrid w:val="0"/>
        <w:spacing w:line="300" w:lineRule="auto"/>
        <w:ind w:firstLine="588" w:firstLineChars="245"/>
        <w:rPr>
          <w:rFonts w:ascii="宋体"/>
          <w:kern w:val="0"/>
          <w:sz w:val="24"/>
        </w:rPr>
      </w:pPr>
      <w:r>
        <w:rPr>
          <w:rFonts w:hint="eastAsia" w:ascii="宋体"/>
          <w:kern w:val="0"/>
          <w:sz w:val="24"/>
        </w:rPr>
        <w:t>2.3合同中提供的所有货物及其辅助服务，本合同的支付也仅限于这些货物和服务。</w:t>
      </w:r>
    </w:p>
    <w:p w14:paraId="53D6A658">
      <w:pPr>
        <w:adjustRightInd w:val="0"/>
        <w:snapToGrid w:val="0"/>
        <w:spacing w:line="300" w:lineRule="auto"/>
        <w:ind w:firstLine="590" w:firstLineChars="245"/>
        <w:rPr>
          <w:rFonts w:ascii="宋体"/>
          <w:b/>
          <w:bCs/>
          <w:kern w:val="0"/>
          <w:sz w:val="24"/>
        </w:rPr>
      </w:pPr>
      <w:r>
        <w:rPr>
          <w:rFonts w:hint="eastAsia" w:ascii="宋体"/>
          <w:b/>
          <w:bCs/>
          <w:kern w:val="0"/>
          <w:sz w:val="24"/>
        </w:rPr>
        <w:t>二、公开比选采购文件</w:t>
      </w:r>
    </w:p>
    <w:p w14:paraId="6CB85B54">
      <w:pPr>
        <w:adjustRightInd w:val="0"/>
        <w:snapToGrid w:val="0"/>
        <w:spacing w:line="300" w:lineRule="auto"/>
        <w:ind w:firstLine="588" w:firstLineChars="245"/>
        <w:rPr>
          <w:rFonts w:ascii="宋体"/>
          <w:kern w:val="0"/>
          <w:sz w:val="24"/>
        </w:rPr>
      </w:pPr>
      <w:r>
        <w:rPr>
          <w:rFonts w:hint="eastAsia" w:ascii="宋体"/>
          <w:kern w:val="0"/>
          <w:sz w:val="24"/>
        </w:rPr>
        <w:t>（一）公开比选采购文件：由公开比选采购文件总目录所列内容组成。</w:t>
      </w:r>
    </w:p>
    <w:p w14:paraId="77948BCA">
      <w:pPr>
        <w:adjustRightInd w:val="0"/>
        <w:snapToGrid w:val="0"/>
        <w:spacing w:line="300" w:lineRule="auto"/>
        <w:ind w:firstLine="588" w:firstLineChars="245"/>
        <w:rPr>
          <w:rFonts w:ascii="宋体"/>
          <w:kern w:val="0"/>
          <w:sz w:val="24"/>
        </w:rPr>
      </w:pPr>
      <w:r>
        <w:rPr>
          <w:rFonts w:hint="eastAsia" w:ascii="宋体"/>
          <w:kern w:val="0"/>
          <w:sz w:val="24"/>
        </w:rPr>
        <w:t>1、公开比选采购文件采购需求中列明标的物的技术要求是采购人基于实际工作需要而提出的基本需求，如果有专利、商标、品牌、型号等信息的，仅起技术说明、参考作用，不具有任何限制型，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参与公开比选采购</w:t>
      </w:r>
      <w:r>
        <w:rPr>
          <w:rFonts w:hint="eastAsia" w:ascii="宋体"/>
          <w:kern w:val="0"/>
          <w:sz w:val="24"/>
        </w:rPr>
        <w:t>产品响应其指标性能要求即可。</w:t>
      </w:r>
    </w:p>
    <w:p w14:paraId="18C3C257">
      <w:pPr>
        <w:adjustRightInd w:val="0"/>
        <w:snapToGrid w:val="0"/>
        <w:spacing w:line="300" w:lineRule="auto"/>
        <w:ind w:firstLine="480" w:firstLineChars="200"/>
        <w:rPr>
          <w:rFonts w:ascii="宋体"/>
          <w:kern w:val="0"/>
          <w:sz w:val="24"/>
        </w:rPr>
      </w:pPr>
      <w:r>
        <w:rPr>
          <w:rFonts w:hint="eastAsia" w:ascii="宋体"/>
          <w:kern w:val="0"/>
          <w:sz w:val="24"/>
        </w:rPr>
        <w:t>2、如果没有特别声明或要求，</w:t>
      </w:r>
      <w:r>
        <w:rPr>
          <w:rFonts w:hint="eastAsia" w:ascii="宋体" w:hAnsi="宋体"/>
          <w:sz w:val="24"/>
          <w:shd w:val="clear" w:color="auto" w:fill="FFFFFF"/>
        </w:rPr>
        <w:t>公开比选采购</w:t>
      </w:r>
      <w:r>
        <w:rPr>
          <w:rFonts w:hint="eastAsia" w:ascii="宋体"/>
          <w:kern w:val="0"/>
          <w:sz w:val="24"/>
        </w:rPr>
        <w:t>投标人被视为充分熟悉本公开比选采购项目所在地与履行合同有关的各种情况，包括自然环境、气候条件、劳动力及公用设施等，本采购文件不再对上述情况进行描述。</w:t>
      </w:r>
    </w:p>
    <w:p w14:paraId="2903441F">
      <w:pPr>
        <w:adjustRightInd w:val="0"/>
        <w:snapToGrid w:val="0"/>
        <w:spacing w:line="300" w:lineRule="auto"/>
        <w:ind w:firstLine="480" w:firstLineChars="200"/>
        <w:rPr>
          <w:rFonts w:ascii="宋体"/>
          <w:kern w:val="0"/>
          <w:sz w:val="24"/>
        </w:rPr>
      </w:pPr>
      <w:r>
        <w:rPr>
          <w:rFonts w:hint="eastAsia" w:ascii="宋体"/>
          <w:kern w:val="0"/>
          <w:sz w:val="24"/>
        </w:rPr>
        <w:t>（二）公开比选采购文件的质疑</w:t>
      </w:r>
    </w:p>
    <w:p w14:paraId="7D591BCB">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w:t>
      </w:r>
      <w:r>
        <w:rPr>
          <w:rFonts w:hint="eastAsia" w:ascii="宋体"/>
          <w:kern w:val="0"/>
          <w:sz w:val="24"/>
        </w:rPr>
        <w:t>公开比选采购</w:t>
      </w:r>
      <w:r>
        <w:rPr>
          <w:rFonts w:hint="eastAsia" w:ascii="宋体" w:hAnsi="宋体"/>
          <w:sz w:val="24"/>
        </w:rPr>
        <w:t>的</w:t>
      </w:r>
      <w:r>
        <w:rPr>
          <w:rFonts w:hint="eastAsia" w:ascii="宋体"/>
          <w:kern w:val="0"/>
          <w:sz w:val="24"/>
        </w:rPr>
        <w:t>投标人</w:t>
      </w:r>
      <w:r>
        <w:rPr>
          <w:rFonts w:hint="eastAsia" w:ascii="宋体" w:hAnsi="宋体"/>
          <w:sz w:val="24"/>
        </w:rPr>
        <w:t>被视为已充分认识和理解了任何与本项目有关的影响事项和困难、风险等情况。</w:t>
      </w:r>
    </w:p>
    <w:p w14:paraId="5E8C4656">
      <w:pPr>
        <w:spacing w:line="360" w:lineRule="exact"/>
        <w:ind w:firstLine="480" w:firstLineChars="200"/>
        <w:rPr>
          <w:rFonts w:hint="eastAsia" w:ascii="宋体" w:hAnsi="宋体"/>
          <w:sz w:val="24"/>
        </w:rPr>
      </w:pPr>
      <w:r>
        <w:rPr>
          <w:rFonts w:hint="eastAsia" w:ascii="宋体" w:hAnsi="宋体"/>
          <w:sz w:val="24"/>
        </w:rPr>
        <w:t>2、潜在投标人如对</w:t>
      </w:r>
      <w:r>
        <w:rPr>
          <w:rFonts w:hint="eastAsia" w:ascii="宋体"/>
          <w:kern w:val="0"/>
          <w:sz w:val="24"/>
        </w:rPr>
        <w:t>公开比选采购</w:t>
      </w:r>
      <w:r>
        <w:rPr>
          <w:rFonts w:hint="eastAsia" w:ascii="宋体" w:hAnsi="宋体"/>
          <w:sz w:val="24"/>
        </w:rPr>
        <w:t>文件有疑问，按照相关法律法规规定，按</w:t>
      </w:r>
      <w:r>
        <w:rPr>
          <w:rFonts w:hint="eastAsia" w:ascii="宋体"/>
          <w:kern w:val="0"/>
          <w:sz w:val="24"/>
        </w:rPr>
        <w:t>公开比选采购</w:t>
      </w:r>
      <w:r>
        <w:rPr>
          <w:rFonts w:hint="eastAsia" w:ascii="宋体" w:hAnsi="宋体"/>
          <w:sz w:val="24"/>
          <w:shd w:val="clear" w:color="auto" w:fill="FFFFFF"/>
        </w:rPr>
        <w:t>文件</w:t>
      </w:r>
      <w:r>
        <w:rPr>
          <w:rFonts w:hint="eastAsia" w:ascii="宋体" w:hAnsi="宋体"/>
          <w:sz w:val="24"/>
        </w:rPr>
        <w:t>邀请中载明的地址，以书面形式，通知到采购代理机构，采购代理机构将按财政部第94号令进行答复。</w:t>
      </w:r>
    </w:p>
    <w:p w14:paraId="46733A5E">
      <w:pPr>
        <w:spacing w:line="360" w:lineRule="exact"/>
        <w:ind w:firstLine="480" w:firstLineChars="200"/>
        <w:rPr>
          <w:rFonts w:hint="eastAsia" w:ascii="宋体" w:hAnsi="宋体"/>
          <w:sz w:val="24"/>
        </w:rPr>
      </w:pPr>
      <w:r>
        <w:rPr>
          <w:rFonts w:hint="eastAsia" w:ascii="宋体" w:hAnsi="宋体"/>
          <w:sz w:val="24"/>
        </w:rPr>
        <w:t>3、投标人提出质疑应当提交质疑函和必要的证明材料。质疑函应当包括下列内容：</w:t>
      </w:r>
    </w:p>
    <w:p w14:paraId="4D92FBEB">
      <w:pPr>
        <w:spacing w:line="360" w:lineRule="exact"/>
        <w:ind w:firstLine="480" w:firstLineChars="200"/>
        <w:rPr>
          <w:rFonts w:hint="eastAsia" w:ascii="宋体" w:hAnsi="宋体"/>
          <w:sz w:val="24"/>
        </w:rPr>
      </w:pPr>
      <w:r>
        <w:rPr>
          <w:rFonts w:hint="eastAsia" w:ascii="宋体" w:hAnsi="宋体"/>
          <w:sz w:val="24"/>
        </w:rPr>
        <w:t>　　3.1投标人的姓名或者名称、地址、邮编、联系人及联系电话；</w:t>
      </w:r>
    </w:p>
    <w:p w14:paraId="1AD7430F">
      <w:pPr>
        <w:spacing w:line="360" w:lineRule="exact"/>
        <w:ind w:firstLine="480" w:firstLineChars="200"/>
        <w:rPr>
          <w:rFonts w:hint="eastAsia" w:ascii="宋体" w:hAnsi="宋体"/>
          <w:sz w:val="24"/>
        </w:rPr>
      </w:pPr>
      <w:r>
        <w:rPr>
          <w:rFonts w:hint="eastAsia" w:ascii="宋体" w:hAnsi="宋体"/>
          <w:sz w:val="24"/>
        </w:rPr>
        <w:t>　　3.2质疑项目的名称、编号；</w:t>
      </w:r>
    </w:p>
    <w:p w14:paraId="4F346460">
      <w:pPr>
        <w:spacing w:line="360" w:lineRule="exact"/>
        <w:ind w:firstLine="480" w:firstLineChars="200"/>
        <w:rPr>
          <w:rFonts w:hint="eastAsia" w:ascii="宋体" w:hAnsi="宋体"/>
          <w:sz w:val="24"/>
        </w:rPr>
      </w:pPr>
      <w:r>
        <w:rPr>
          <w:rFonts w:hint="eastAsia" w:ascii="宋体" w:hAnsi="宋体"/>
          <w:sz w:val="24"/>
        </w:rPr>
        <w:t>　　3.3具体、明确的质疑事项和与质疑事项相关的请求；</w:t>
      </w:r>
    </w:p>
    <w:p w14:paraId="27FB8D1F">
      <w:pPr>
        <w:spacing w:line="360" w:lineRule="exact"/>
        <w:ind w:firstLine="480" w:firstLineChars="200"/>
        <w:rPr>
          <w:rFonts w:hint="eastAsia" w:ascii="宋体" w:hAnsi="宋体"/>
          <w:sz w:val="24"/>
        </w:rPr>
      </w:pPr>
      <w:r>
        <w:rPr>
          <w:rFonts w:hint="eastAsia" w:ascii="宋体" w:hAnsi="宋体"/>
          <w:sz w:val="24"/>
        </w:rPr>
        <w:t>　　3.4事实依据；</w:t>
      </w:r>
    </w:p>
    <w:p w14:paraId="7861945B">
      <w:pPr>
        <w:spacing w:line="360" w:lineRule="exact"/>
        <w:ind w:firstLine="480" w:firstLineChars="200"/>
        <w:rPr>
          <w:rFonts w:hint="eastAsia" w:ascii="宋体" w:hAnsi="宋体"/>
          <w:sz w:val="24"/>
        </w:rPr>
      </w:pPr>
      <w:r>
        <w:rPr>
          <w:rFonts w:hint="eastAsia" w:ascii="宋体" w:hAnsi="宋体"/>
          <w:sz w:val="24"/>
        </w:rPr>
        <w:t>　　3.5必要的法律依据；</w:t>
      </w:r>
    </w:p>
    <w:p w14:paraId="52856CCE">
      <w:pPr>
        <w:spacing w:line="360" w:lineRule="exact"/>
        <w:ind w:firstLine="480" w:firstLineChars="200"/>
        <w:rPr>
          <w:rFonts w:hint="eastAsia" w:ascii="宋体" w:hAnsi="宋体"/>
          <w:sz w:val="24"/>
        </w:rPr>
      </w:pPr>
      <w:r>
        <w:rPr>
          <w:rFonts w:hint="eastAsia" w:ascii="宋体" w:hAnsi="宋体"/>
          <w:sz w:val="24"/>
        </w:rPr>
        <w:t>　　3.6提出质疑的日期。</w:t>
      </w:r>
    </w:p>
    <w:p w14:paraId="63ABFD84">
      <w:pPr>
        <w:spacing w:line="360" w:lineRule="exact"/>
        <w:ind w:firstLine="480" w:firstLineChars="200"/>
        <w:rPr>
          <w:rFonts w:hint="eastAsia" w:ascii="宋体" w:hAnsi="宋体"/>
          <w:sz w:val="24"/>
        </w:rPr>
      </w:pPr>
      <w:r>
        <w:rPr>
          <w:rFonts w:hint="eastAsia" w:ascii="宋体" w:hAnsi="宋体"/>
          <w:sz w:val="24"/>
        </w:rPr>
        <w:t>投标人为自然人的，应当由本人签字；投标人为法人或者其他组织的，应当由法定代表人、主要负责人，或者其授权代表签字或者盖章，并加盖公章。</w:t>
      </w:r>
    </w:p>
    <w:p w14:paraId="58299342">
      <w:pPr>
        <w:spacing w:line="360" w:lineRule="exact"/>
        <w:ind w:firstLine="480" w:firstLineChars="200"/>
        <w:rPr>
          <w:rFonts w:hint="eastAsia" w:ascii="宋体" w:hAnsi="宋体"/>
          <w:sz w:val="24"/>
        </w:rPr>
      </w:pPr>
      <w:r>
        <w:rPr>
          <w:rFonts w:hint="eastAsia" w:ascii="宋体" w:hAnsi="宋体"/>
          <w:sz w:val="24"/>
        </w:rPr>
        <w:t>4、投标人应</w:t>
      </w:r>
      <w:r>
        <w:rPr>
          <w:rFonts w:ascii="宋体" w:hAnsi="宋体"/>
          <w:sz w:val="24"/>
        </w:rPr>
        <w:t>在法定质疑期内一次性提出针对同一采购程序环节的质疑。</w:t>
      </w:r>
    </w:p>
    <w:p w14:paraId="4E0330CE">
      <w:pPr>
        <w:adjustRightInd w:val="0"/>
        <w:snapToGrid w:val="0"/>
        <w:spacing w:line="300" w:lineRule="auto"/>
        <w:ind w:firstLine="480" w:firstLineChars="200"/>
        <w:rPr>
          <w:rFonts w:hint="eastAsia"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6B7422E7">
      <w:pPr>
        <w:adjustRightInd w:val="0"/>
        <w:snapToGrid w:val="0"/>
        <w:spacing w:line="300" w:lineRule="auto"/>
        <w:ind w:firstLine="480" w:firstLineChars="200"/>
        <w:rPr>
          <w:rFonts w:ascii="宋体"/>
          <w:kern w:val="0"/>
          <w:sz w:val="24"/>
        </w:rPr>
      </w:pPr>
      <w:r>
        <w:rPr>
          <w:rFonts w:hint="eastAsia" w:ascii="宋体"/>
          <w:kern w:val="0"/>
          <w:sz w:val="24"/>
        </w:rPr>
        <w:t>（三）公开比选采购文件的</w:t>
      </w:r>
      <w:r>
        <w:rPr>
          <w:rFonts w:ascii="宋体"/>
          <w:kern w:val="0"/>
          <w:sz w:val="24"/>
        </w:rPr>
        <w:t>澄清或者修改</w:t>
      </w:r>
    </w:p>
    <w:p w14:paraId="616BF07A">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w:t>
      </w:r>
      <w:r>
        <w:rPr>
          <w:rFonts w:hint="eastAsia" w:ascii="宋体"/>
          <w:kern w:val="0"/>
          <w:sz w:val="24"/>
        </w:rPr>
        <w:t>公开比选采购</w:t>
      </w:r>
      <w:r>
        <w:rPr>
          <w:rFonts w:ascii="宋体"/>
          <w:kern w:val="0"/>
          <w:sz w:val="24"/>
        </w:rPr>
        <w:t>小组可以对已发出的</w:t>
      </w:r>
      <w:r>
        <w:rPr>
          <w:rFonts w:hint="eastAsia" w:ascii="宋体"/>
          <w:kern w:val="0"/>
          <w:sz w:val="24"/>
        </w:rPr>
        <w:t>公开比选采购</w:t>
      </w:r>
      <w:r>
        <w:rPr>
          <w:rFonts w:ascii="宋体"/>
          <w:kern w:val="0"/>
          <w:sz w:val="24"/>
        </w:rPr>
        <w:t>文件进行必要的澄清或者修改，澄清或者修改的内容作为</w:t>
      </w:r>
      <w:r>
        <w:rPr>
          <w:rFonts w:hint="eastAsia" w:ascii="宋体"/>
          <w:kern w:val="0"/>
          <w:sz w:val="24"/>
        </w:rPr>
        <w:t>公开比选采购</w:t>
      </w:r>
      <w:r>
        <w:rPr>
          <w:rFonts w:ascii="宋体"/>
          <w:kern w:val="0"/>
          <w:sz w:val="24"/>
        </w:rPr>
        <w:t>文件的组成部分。澄清或者修改的内容可能影响响应文件编制的，采购人、采购代理机构应当在提交首次响应文件截止时间至少5日前，以书面形式通知所有获取</w:t>
      </w:r>
      <w:r>
        <w:rPr>
          <w:rFonts w:hint="eastAsia" w:ascii="宋体"/>
          <w:kern w:val="0"/>
          <w:sz w:val="24"/>
        </w:rPr>
        <w:t>公开比选采购</w:t>
      </w:r>
      <w:r>
        <w:rPr>
          <w:rFonts w:ascii="宋体"/>
          <w:kern w:val="0"/>
          <w:sz w:val="24"/>
        </w:rPr>
        <w:t>文件的</w:t>
      </w:r>
      <w:r>
        <w:rPr>
          <w:rFonts w:hint="eastAsia" w:ascii="宋体"/>
          <w:kern w:val="0"/>
          <w:sz w:val="24"/>
        </w:rPr>
        <w:t>投标人</w:t>
      </w:r>
      <w:r>
        <w:rPr>
          <w:rFonts w:ascii="宋体"/>
          <w:kern w:val="0"/>
          <w:sz w:val="24"/>
        </w:rPr>
        <w:t>；不足5日的，采购人、采购代理机构应当顺延提交首次响应文件截止时间。</w:t>
      </w:r>
    </w:p>
    <w:p w14:paraId="04F55C34">
      <w:pPr>
        <w:adjustRightInd w:val="0"/>
        <w:snapToGrid w:val="0"/>
        <w:spacing w:line="300" w:lineRule="auto"/>
        <w:ind w:firstLine="480" w:firstLineChars="200"/>
        <w:rPr>
          <w:rFonts w:ascii="宋体"/>
          <w:kern w:val="0"/>
          <w:sz w:val="24"/>
        </w:rPr>
      </w:pPr>
      <w:r>
        <w:rPr>
          <w:rFonts w:hint="eastAsia" w:ascii="宋体"/>
          <w:kern w:val="0"/>
          <w:sz w:val="24"/>
        </w:rPr>
        <w:t>2、公开比选采购文件的修改书将构成公开比选采购文件的一部分，对公开比选采购投标人有约束力。</w:t>
      </w:r>
    </w:p>
    <w:p w14:paraId="53DEEF3C">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2A8CC16A">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4E4D992">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、公开比选采购投标人应仔细阅读公开比选采购文件的所有内容，按公开比选采购文件的要求及采购设备技术规格要求，详细编制响应文件，并保证响应文件的正确性和真实性。</w:t>
      </w:r>
    </w:p>
    <w:p w14:paraId="0A7B9C9F">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、不按公开比选采购文件的资格要求提供的</w:t>
      </w:r>
      <w:r>
        <w:rPr>
          <w:rFonts w:hint="eastAsia" w:ascii="宋体" w:hAnsi="宋体"/>
          <w:sz w:val="24"/>
          <w:shd w:val="clear" w:color="auto" w:fill="FFFFFF"/>
        </w:rPr>
        <w:t>响应</w:t>
      </w:r>
      <w:r>
        <w:rPr>
          <w:rFonts w:hint="eastAsia" w:ascii="宋体"/>
          <w:kern w:val="0"/>
          <w:sz w:val="24"/>
        </w:rPr>
        <w:t>文件将被拒绝。</w:t>
      </w:r>
    </w:p>
    <w:p w14:paraId="43342680">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42B5D2D1">
      <w:pPr>
        <w:adjustRightInd w:val="0"/>
        <w:snapToGrid w:val="0"/>
        <w:spacing w:line="300" w:lineRule="auto"/>
        <w:ind w:firstLine="480" w:firstLineChars="200"/>
        <w:rPr>
          <w:rFonts w:ascii="宋体"/>
          <w:kern w:val="0"/>
          <w:sz w:val="24"/>
        </w:rPr>
      </w:pPr>
      <w:r>
        <w:rPr>
          <w:rFonts w:hint="eastAsia" w:ascii="宋体"/>
          <w:kern w:val="0"/>
          <w:sz w:val="24"/>
        </w:rPr>
        <w:t>公开比选采购投标人接到公开比选采购文件后，按照采购人和响应文件的要求提供公开比选投标文件，</w:t>
      </w:r>
    </w:p>
    <w:p w14:paraId="54657F5B">
      <w:pPr>
        <w:adjustRightInd w:val="0"/>
        <w:snapToGrid w:val="0"/>
        <w:spacing w:line="300" w:lineRule="auto"/>
        <w:ind w:firstLine="480" w:firstLineChars="200"/>
        <w:rPr>
          <w:rFonts w:ascii="宋体"/>
          <w:kern w:val="0"/>
          <w:sz w:val="24"/>
        </w:rPr>
      </w:pPr>
      <w:r>
        <w:rPr>
          <w:rFonts w:hint="eastAsia" w:ascii="宋体"/>
          <w:kern w:val="0"/>
          <w:sz w:val="24"/>
        </w:rPr>
        <w:t>（三）公开比选采购保证金、投标人服务费及履约保证金</w:t>
      </w:r>
    </w:p>
    <w:p w14:paraId="54D3A152">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本项目不收取</w:t>
      </w:r>
      <w:r>
        <w:rPr>
          <w:rFonts w:hint="eastAsia" w:ascii="宋体"/>
          <w:kern w:val="0"/>
          <w:sz w:val="24"/>
        </w:rPr>
        <w:t>保证金。</w:t>
      </w:r>
    </w:p>
    <w:p w14:paraId="55E0A9C5">
      <w:pPr>
        <w:adjustRightInd w:val="0"/>
        <w:snapToGrid w:val="0"/>
        <w:spacing w:line="300" w:lineRule="auto"/>
        <w:ind w:firstLine="482" w:firstLineChars="200"/>
        <w:rPr>
          <w:rFonts w:ascii="宋体"/>
          <w:b/>
          <w:kern w:val="0"/>
          <w:sz w:val="24"/>
        </w:rPr>
      </w:pPr>
      <w:r>
        <w:rPr>
          <w:rFonts w:hint="eastAsia" w:ascii="宋体"/>
          <w:b/>
          <w:kern w:val="0"/>
          <w:sz w:val="24"/>
        </w:rPr>
        <w:t>2、投标人支付本项目的中标服务费，服务费按照“《海南省物价局关于降低部分招标代理服务收费标准的通知》(琼价费管[2011]225 号)收费标准的68%收取，不足5000.00元的按照最低5000.00元收取。</w:t>
      </w:r>
    </w:p>
    <w:p w14:paraId="26DDC262">
      <w:pPr>
        <w:pStyle w:val="22"/>
        <w:adjustRightInd w:val="0"/>
        <w:snapToGrid w:val="0"/>
        <w:spacing w:line="300" w:lineRule="auto"/>
        <w:ind w:firstLine="450" w:firstLineChars="200"/>
        <w:rPr>
          <w:rFonts w:hAnsi="Times New Roman"/>
          <w:b/>
          <w:spacing w:val="0"/>
          <w:kern w:val="0"/>
          <w:szCs w:val="24"/>
        </w:rPr>
      </w:pPr>
      <w:r>
        <w:rPr>
          <w:rFonts w:hint="eastAsia"/>
          <w:b/>
          <w:kern w:val="0"/>
        </w:rPr>
        <w:t>3、履约保证金由采购人自行收取。</w:t>
      </w:r>
    </w:p>
    <w:p w14:paraId="2476FEF2">
      <w:pPr>
        <w:adjustRightInd w:val="0"/>
        <w:snapToGrid w:val="0"/>
        <w:spacing w:line="300" w:lineRule="auto"/>
        <w:ind w:firstLine="480" w:firstLineChars="200"/>
        <w:rPr>
          <w:rFonts w:ascii="宋体"/>
          <w:kern w:val="0"/>
          <w:sz w:val="24"/>
        </w:rPr>
      </w:pPr>
      <w:r>
        <w:rPr>
          <w:rFonts w:hint="eastAsia" w:ascii="宋体"/>
          <w:kern w:val="0"/>
          <w:sz w:val="24"/>
        </w:rPr>
        <w:t>4、发生下列情况之一，公开比选采购保证金将被没收：</w:t>
      </w:r>
    </w:p>
    <w:p w14:paraId="041F5F7C">
      <w:pPr>
        <w:adjustRightInd w:val="0"/>
        <w:snapToGrid w:val="0"/>
        <w:spacing w:line="300" w:lineRule="auto"/>
        <w:ind w:firstLine="480" w:firstLineChars="200"/>
        <w:rPr>
          <w:rFonts w:ascii="宋体"/>
          <w:kern w:val="0"/>
          <w:sz w:val="24"/>
        </w:rPr>
      </w:pPr>
      <w:r>
        <w:rPr>
          <w:rFonts w:hint="eastAsia" w:ascii="宋体"/>
          <w:kern w:val="0"/>
          <w:sz w:val="24"/>
        </w:rPr>
        <w:t>（1）投标人在提交响应文件截止时间后撤回响应文件的；</w:t>
      </w:r>
    </w:p>
    <w:p w14:paraId="429EDC28">
      <w:pPr>
        <w:adjustRightInd w:val="0"/>
        <w:snapToGrid w:val="0"/>
        <w:spacing w:line="300" w:lineRule="auto"/>
        <w:ind w:firstLine="480" w:firstLineChars="200"/>
        <w:rPr>
          <w:rFonts w:ascii="宋体"/>
          <w:kern w:val="0"/>
          <w:sz w:val="24"/>
        </w:rPr>
      </w:pPr>
      <w:r>
        <w:rPr>
          <w:rFonts w:hint="eastAsia" w:ascii="宋体"/>
          <w:kern w:val="0"/>
          <w:sz w:val="24"/>
        </w:rPr>
        <w:t>（2）投标人在响应文件中提供虚假材料的；</w:t>
      </w:r>
    </w:p>
    <w:p w14:paraId="6370C8A4">
      <w:pPr>
        <w:adjustRightInd w:val="0"/>
        <w:snapToGrid w:val="0"/>
        <w:spacing w:line="300" w:lineRule="auto"/>
        <w:ind w:firstLine="480" w:firstLineChars="200"/>
        <w:rPr>
          <w:rFonts w:ascii="宋体"/>
          <w:kern w:val="0"/>
          <w:sz w:val="24"/>
        </w:rPr>
      </w:pPr>
      <w:r>
        <w:rPr>
          <w:rFonts w:hint="eastAsia" w:ascii="宋体"/>
          <w:kern w:val="0"/>
          <w:sz w:val="24"/>
        </w:rPr>
        <w:t>（3）除因不可抗力或公开比选采购文件认可的情形以外，投标人不与采购人签订合同的；</w:t>
      </w:r>
    </w:p>
    <w:p w14:paraId="78CE1ACF">
      <w:pPr>
        <w:adjustRightInd w:val="0"/>
        <w:snapToGrid w:val="0"/>
        <w:spacing w:line="300" w:lineRule="auto"/>
        <w:ind w:firstLine="480" w:firstLineChars="200"/>
        <w:rPr>
          <w:rFonts w:ascii="宋体"/>
          <w:kern w:val="0"/>
          <w:sz w:val="24"/>
        </w:rPr>
      </w:pPr>
      <w:r>
        <w:rPr>
          <w:rFonts w:hint="eastAsia" w:ascii="宋体"/>
          <w:kern w:val="0"/>
          <w:sz w:val="24"/>
        </w:rPr>
        <w:t>（4）投标人与采购人、其他投标人或者采购代理机构恶意串通的；</w:t>
      </w:r>
    </w:p>
    <w:p w14:paraId="15E7723C">
      <w:pPr>
        <w:adjustRightInd w:val="0"/>
        <w:snapToGrid w:val="0"/>
        <w:spacing w:line="300" w:lineRule="auto"/>
        <w:ind w:firstLine="480" w:firstLineChars="200"/>
        <w:rPr>
          <w:rFonts w:ascii="宋体"/>
          <w:kern w:val="0"/>
          <w:sz w:val="24"/>
        </w:rPr>
      </w:pPr>
      <w:r>
        <w:rPr>
          <w:rFonts w:hint="eastAsia" w:ascii="宋体"/>
          <w:kern w:val="0"/>
          <w:sz w:val="24"/>
        </w:rPr>
        <w:t>（5）公开比选采购文件规定的其他情形。</w:t>
      </w:r>
    </w:p>
    <w:p w14:paraId="6B162529">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4B9C8D08">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、自公开比选采购之日起90天内，</w:t>
      </w:r>
      <w:r>
        <w:rPr>
          <w:rFonts w:hint="eastAsia" w:ascii="宋体" w:hAnsi="宋体"/>
          <w:sz w:val="24"/>
          <w:shd w:val="clear" w:color="auto" w:fill="FFFFFF"/>
        </w:rPr>
        <w:t>响应文件</w:t>
      </w:r>
      <w:r>
        <w:rPr>
          <w:rFonts w:hint="eastAsia" w:ascii="宋体"/>
          <w:kern w:val="0"/>
          <w:sz w:val="24"/>
        </w:rPr>
        <w:t>应保持有效。有效期短于这个规定期限的公开比选采购投标人将被拒绝。</w:t>
      </w:r>
    </w:p>
    <w:p w14:paraId="4FDB3E8D">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、在特殊情况下，采购人可与公开比选采购投标人协商延长投标书的有效期，这种要求和答复均应书面形式进行。</w:t>
      </w:r>
    </w:p>
    <w:p w14:paraId="28FB8E7A">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、公开比选采购投标人可拒绝接受延期要求而不会导致公开比选采购投标人保证金被没收。同意延长有效期的公开比选采购投标人不能修改响应文件。</w:t>
      </w:r>
    </w:p>
    <w:p w14:paraId="55959D56">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67C1BCDD">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14:paraId="0E775536">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130CB3D0">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）公开比选投标文件密封袋内正本一份、副本二份。封口处有投标人公章。封面上写明项目编号、项目名称、投标人名称，并注明“响应文件”、“开启截止时间前请勿启封”字样。</w:t>
      </w:r>
    </w:p>
    <w:p w14:paraId="695AF911">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。如因装订问题而出现漏页或缺页，由此产生的一切后果由投标人自行承担。</w:t>
      </w:r>
    </w:p>
    <w:p w14:paraId="6211FE74">
      <w:pPr>
        <w:adjustRightInd w:val="0"/>
        <w:snapToGrid w:val="0"/>
        <w:spacing w:line="300" w:lineRule="auto"/>
        <w:ind w:firstLine="480" w:firstLineChars="200"/>
        <w:rPr>
          <w:rFonts w:ascii="宋体"/>
          <w:kern w:val="0"/>
          <w:sz w:val="24"/>
        </w:rPr>
      </w:pPr>
      <w:r>
        <w:rPr>
          <w:rFonts w:hint="eastAsia" w:ascii="宋体"/>
          <w:kern w:val="0"/>
          <w:sz w:val="24"/>
        </w:rPr>
        <w:t>（4）投标人的授权代表须携带《法定代表人授权书》及个人身份证原件亲临开标会现场以备查验。其现场所签署确认的文件均代表投标人单位的决定，并作为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675B9CF4">
      <w:pPr>
        <w:pStyle w:val="31"/>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投标人应当在公开比选采购文件要求的截止时间前，将响应文件密封送达指定地点。在截止时间后送达的响应文件为无效文件，采购人、采购代理机构或者公开比选采购小组应当拒收。</w:t>
      </w:r>
    </w:p>
    <w:p w14:paraId="40A11D4C">
      <w:pPr>
        <w:pStyle w:val="31"/>
        <w:adjustRightInd w:val="0"/>
        <w:snapToGrid w:val="0"/>
        <w:spacing w:line="300" w:lineRule="auto"/>
        <w:ind w:firstLine="480" w:firstLineChars="200"/>
        <w:rPr>
          <w:rFonts w:ascii="宋体"/>
          <w:kern w:val="0"/>
          <w:sz w:val="24"/>
        </w:rPr>
      </w:pPr>
      <w:r>
        <w:rPr>
          <w:rFonts w:hint="eastAsia" w:ascii="宋体"/>
          <w:kern w:val="0"/>
          <w:sz w:val="24"/>
        </w:rPr>
        <w:t>投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FEDD295">
      <w:pPr>
        <w:adjustRightInd w:val="0"/>
        <w:snapToGrid w:val="0"/>
        <w:spacing w:line="300" w:lineRule="auto"/>
        <w:ind w:firstLine="482" w:firstLineChars="200"/>
        <w:rPr>
          <w:rFonts w:hint="eastAsia" w:ascii="宋体" w:hAnsi="宋体"/>
          <w:b/>
          <w:sz w:val="24"/>
        </w:rPr>
      </w:pPr>
      <w:r>
        <w:rPr>
          <w:rFonts w:hint="eastAsia" w:ascii="宋体"/>
          <w:b/>
          <w:kern w:val="0"/>
          <w:sz w:val="24"/>
        </w:rPr>
        <w:t>五、</w:t>
      </w:r>
      <w:r>
        <w:rPr>
          <w:rFonts w:hint="eastAsia" w:ascii="宋体" w:hAnsi="宋体"/>
          <w:b/>
          <w:sz w:val="24"/>
        </w:rPr>
        <w:t>开标和评标</w:t>
      </w:r>
    </w:p>
    <w:p w14:paraId="61B4A67F">
      <w:pPr>
        <w:spacing w:line="360" w:lineRule="exact"/>
        <w:ind w:firstLine="480" w:firstLineChars="200"/>
        <w:rPr>
          <w:rFonts w:hint="eastAsia" w:ascii="宋体" w:hAnsi="宋体"/>
          <w:sz w:val="24"/>
        </w:rPr>
      </w:pPr>
      <w:r>
        <w:rPr>
          <w:rFonts w:hint="eastAsia" w:ascii="宋体" w:hAnsi="宋体"/>
          <w:sz w:val="24"/>
        </w:rPr>
        <w:t>1、开标</w:t>
      </w:r>
    </w:p>
    <w:p w14:paraId="6A644674">
      <w:pPr>
        <w:spacing w:line="360" w:lineRule="exact"/>
        <w:ind w:firstLine="465"/>
        <w:rPr>
          <w:rFonts w:hint="eastAsia" w:ascii="宋体" w:hAnsi="宋体"/>
          <w:sz w:val="24"/>
        </w:rPr>
      </w:pPr>
      <w:r>
        <w:rPr>
          <w:rFonts w:hint="eastAsia" w:ascii="宋体" w:hAnsi="宋体"/>
          <w:sz w:val="24"/>
        </w:rPr>
        <w:t>1.1采购代理机构在“招标公告”或“投标邀请函”规定的时间和地点公开开标。</w:t>
      </w:r>
    </w:p>
    <w:p w14:paraId="23EFB4B2">
      <w:pPr>
        <w:spacing w:line="360" w:lineRule="exact"/>
        <w:ind w:firstLine="465"/>
        <w:rPr>
          <w:rFonts w:hint="eastAsia" w:ascii="宋体" w:hAnsi="宋体"/>
          <w:sz w:val="24"/>
        </w:rPr>
      </w:pPr>
      <w:r>
        <w:rPr>
          <w:rFonts w:hint="eastAsia" w:ascii="宋体" w:hAnsi="宋体"/>
          <w:sz w:val="24"/>
        </w:rPr>
        <w:t>1.2投标人</w:t>
      </w:r>
      <w:r>
        <w:rPr>
          <w:rFonts w:ascii="宋体" w:hAnsi="宋体"/>
          <w:sz w:val="24"/>
        </w:rPr>
        <w:t>不足3家的，不得开标。</w:t>
      </w:r>
    </w:p>
    <w:p w14:paraId="3DF3E15D">
      <w:pPr>
        <w:spacing w:line="360" w:lineRule="exact"/>
        <w:ind w:firstLine="465"/>
        <w:rPr>
          <w:rFonts w:hint="eastAsia" w:ascii="宋体" w:hAnsi="宋体"/>
          <w:sz w:val="24"/>
        </w:rPr>
      </w:pPr>
      <w:r>
        <w:rPr>
          <w:rFonts w:ascii="宋体" w:hAnsi="宋体"/>
          <w:sz w:val="24"/>
        </w:rPr>
        <w:t>开标过程应当由采购人或者采购代理机构负责记录，由参加开标的各</w:t>
      </w:r>
      <w:r>
        <w:rPr>
          <w:rFonts w:hint="eastAsia" w:ascii="宋体" w:hAnsi="宋体"/>
          <w:sz w:val="24"/>
        </w:rPr>
        <w:t>投标人</w:t>
      </w:r>
      <w:r>
        <w:rPr>
          <w:rFonts w:ascii="宋体" w:hAnsi="宋体"/>
          <w:sz w:val="24"/>
        </w:rPr>
        <w:t>代表和相关工作人员签字确认后随采购文件一并存档。</w:t>
      </w:r>
    </w:p>
    <w:p w14:paraId="50197850">
      <w:pPr>
        <w:spacing w:line="360" w:lineRule="exact"/>
        <w:rPr>
          <w:rFonts w:hint="eastAsia" w:ascii="宋体" w:hAnsi="宋体"/>
          <w:sz w:val="24"/>
        </w:rPr>
      </w:pPr>
      <w:r>
        <w:rPr>
          <w:rFonts w:ascii="宋体" w:hAnsi="宋体"/>
          <w:sz w:val="24"/>
        </w:rPr>
        <w:t>　　</w:t>
      </w:r>
      <w:r>
        <w:rPr>
          <w:rFonts w:hint="eastAsia" w:ascii="宋体" w:hAnsi="宋体"/>
          <w:sz w:val="24"/>
        </w:rPr>
        <w:t>投标人</w:t>
      </w:r>
      <w:r>
        <w:rPr>
          <w:rFonts w:ascii="宋体" w:hAnsi="宋体"/>
          <w:sz w:val="24"/>
        </w:rPr>
        <w:t>代表对开标过程和开标记录有疑义，以及认为采购人、采购代理机构相关工作人员有需要回避的情形的，应当场提出询问或者回避申请。采购人、采购代理机构对</w:t>
      </w:r>
      <w:r>
        <w:rPr>
          <w:rFonts w:hint="eastAsia" w:ascii="宋体" w:hAnsi="宋体"/>
          <w:sz w:val="24"/>
        </w:rPr>
        <w:t>投标人</w:t>
      </w:r>
      <w:r>
        <w:rPr>
          <w:rFonts w:ascii="宋体" w:hAnsi="宋体"/>
          <w:sz w:val="24"/>
        </w:rPr>
        <w:t>代表提出的询问或者回避申请应当及时处理。</w:t>
      </w:r>
      <w:r>
        <w:rPr>
          <w:rFonts w:hint="eastAsia" w:ascii="宋体" w:hAnsi="宋体"/>
          <w:sz w:val="24"/>
        </w:rPr>
        <w:t>投标人</w:t>
      </w:r>
      <w:r>
        <w:rPr>
          <w:rFonts w:ascii="宋体" w:hAnsi="宋体"/>
          <w:sz w:val="24"/>
        </w:rPr>
        <w:t>未参加开标的，视同认可开标结果。</w:t>
      </w:r>
    </w:p>
    <w:p w14:paraId="7C29727F">
      <w:pPr>
        <w:spacing w:line="360" w:lineRule="exact"/>
        <w:ind w:firstLine="480" w:firstLineChars="200"/>
        <w:rPr>
          <w:rFonts w:hint="eastAsia" w:ascii="宋体" w:hAnsi="宋体"/>
          <w:sz w:val="24"/>
        </w:rPr>
      </w:pPr>
      <w:r>
        <w:rPr>
          <w:rFonts w:hint="eastAsia" w:ascii="宋体" w:hAnsi="宋体"/>
          <w:sz w:val="24"/>
        </w:rPr>
        <w:t>2、评标委员会</w:t>
      </w:r>
    </w:p>
    <w:p w14:paraId="5D1A5F61">
      <w:pPr>
        <w:spacing w:line="360" w:lineRule="exact"/>
        <w:ind w:firstLine="480" w:firstLineChars="200"/>
        <w:rPr>
          <w:rFonts w:hint="eastAsia" w:ascii="宋体" w:hAnsi="宋体"/>
          <w:sz w:val="24"/>
        </w:rPr>
      </w:pPr>
      <w:r>
        <w:rPr>
          <w:rFonts w:hint="eastAsia" w:ascii="宋体" w:hAnsi="宋体"/>
          <w:sz w:val="24"/>
        </w:rPr>
        <w:t>2.1评标委员会是依据《中华人民共和国政府采购法》、</w:t>
      </w:r>
      <w:r>
        <w:rPr>
          <w:rFonts w:hint="eastAsia" w:ascii="宋体"/>
          <w:kern w:val="0"/>
          <w:sz w:val="24"/>
        </w:rPr>
        <w:t>《海南省粮食和物资储备集团有限公司采购管理办法》琼储规〔2024〕17号</w:t>
      </w:r>
      <w:r>
        <w:rPr>
          <w:rFonts w:hint="eastAsia" w:ascii="宋体" w:hAnsi="宋体"/>
          <w:sz w:val="24"/>
        </w:rPr>
        <w:t>并结合本项目的特点，组建的专门负责本次招标评标工作的临时性机构，其成员由评审专家组成，成员人数应当为3人以上单数。该委员会独立工作，负责评审所有投标文件并推荐中标候选人。评标委员会对“投标文件”进行审查、质疑、评估和比较。</w:t>
      </w:r>
    </w:p>
    <w:p w14:paraId="57CA0625">
      <w:pPr>
        <w:spacing w:line="360" w:lineRule="exact"/>
        <w:ind w:firstLine="480" w:firstLineChars="200"/>
        <w:rPr>
          <w:rFonts w:hint="eastAsia" w:ascii="宋体" w:hAnsi="宋体"/>
          <w:sz w:val="24"/>
        </w:rPr>
      </w:pPr>
      <w:r>
        <w:rPr>
          <w:rFonts w:hint="eastAsia" w:ascii="宋体" w:hAnsi="宋体"/>
          <w:sz w:val="24"/>
        </w:rPr>
        <w:t>2</w:t>
      </w:r>
      <w:r>
        <w:rPr>
          <w:rFonts w:ascii="宋体" w:hAnsi="宋体"/>
          <w:sz w:val="24"/>
        </w:rPr>
        <w:t xml:space="preserve">.2 </w:t>
      </w:r>
      <w:r>
        <w:rPr>
          <w:rFonts w:hint="eastAsia" w:ascii="宋体" w:hAnsi="宋体"/>
          <w:sz w:val="24"/>
        </w:rPr>
        <w:t>评标期间，投标人应由法人代表或授权委托人应答必须的询标。</w:t>
      </w:r>
    </w:p>
    <w:p w14:paraId="7C5AA795">
      <w:pPr>
        <w:spacing w:line="360" w:lineRule="exact"/>
        <w:ind w:firstLine="480" w:firstLineChars="200"/>
        <w:rPr>
          <w:rFonts w:hint="eastAsia" w:ascii="宋体" w:hAnsi="宋体"/>
          <w:sz w:val="24"/>
        </w:rPr>
      </w:pPr>
      <w:r>
        <w:rPr>
          <w:rFonts w:hint="eastAsia" w:ascii="宋体" w:hAnsi="宋体"/>
          <w:sz w:val="24"/>
        </w:rPr>
        <w:t>3、对“公开比选投标文件”的审查和响应性的确定</w:t>
      </w:r>
    </w:p>
    <w:p w14:paraId="3CDBFFC8">
      <w:pPr>
        <w:spacing w:line="360" w:lineRule="exact"/>
        <w:ind w:firstLine="480" w:firstLineChars="200"/>
        <w:rPr>
          <w:rFonts w:hint="eastAsia" w:ascii="宋体" w:hAnsi="宋体"/>
          <w:sz w:val="24"/>
        </w:rPr>
      </w:pPr>
      <w:r>
        <w:rPr>
          <w:rFonts w:hint="eastAsia" w:ascii="宋体" w:hAnsi="宋体"/>
          <w:sz w:val="24"/>
        </w:rPr>
        <w:t>3.1</w:t>
      </w:r>
      <w:r>
        <w:rPr>
          <w:rFonts w:hint="eastAsia"/>
          <w:sz w:val="24"/>
        </w:rPr>
        <w:t>开标结束后，采购人或者采购代理机构应当依法对投标人的资格进行审查。</w:t>
      </w:r>
      <w:r>
        <w:rPr>
          <w:rFonts w:hint="eastAsia" w:ascii="宋体" w:hAnsi="宋体"/>
          <w:sz w:val="24"/>
        </w:rPr>
        <w:t>合格投标人不足3家的，不得评标。</w:t>
      </w:r>
    </w:p>
    <w:p w14:paraId="5EF070D9">
      <w:pPr>
        <w:spacing w:line="360" w:lineRule="exact"/>
        <w:ind w:firstLine="480" w:firstLineChars="200"/>
        <w:rPr>
          <w:rFonts w:hint="eastAsia" w:ascii="宋体" w:hAnsi="宋体"/>
          <w:sz w:val="24"/>
        </w:rPr>
      </w:pPr>
      <w:r>
        <w:rPr>
          <w:rFonts w:hint="eastAsia" w:ascii="宋体" w:hAnsi="宋体"/>
          <w:sz w:val="24"/>
        </w:rPr>
        <w:t>公开比选投标文件</w:t>
      </w:r>
      <w:r>
        <w:rPr>
          <w:rFonts w:ascii="宋体" w:hAnsi="宋体"/>
          <w:sz w:val="24"/>
        </w:rPr>
        <w:t>报价出现前后不一致的，按照下列规定修正：（一）</w:t>
      </w:r>
      <w:r>
        <w:rPr>
          <w:rFonts w:hint="eastAsia" w:ascii="宋体" w:hAnsi="宋体"/>
          <w:sz w:val="24"/>
        </w:rPr>
        <w:t>公开比选投标文件</w:t>
      </w:r>
      <w:r>
        <w:rPr>
          <w:rFonts w:ascii="宋体" w:hAnsi="宋体"/>
          <w:sz w:val="24"/>
        </w:rPr>
        <w:t>中开标一览表（报价表）内容与</w:t>
      </w:r>
      <w:r>
        <w:rPr>
          <w:rFonts w:hint="eastAsia" w:ascii="宋体" w:hAnsi="宋体"/>
          <w:sz w:val="24"/>
        </w:rPr>
        <w:t>公开比选投标文件</w:t>
      </w:r>
      <w:r>
        <w:rPr>
          <w:rFonts w:ascii="宋体" w:hAnsi="宋体"/>
          <w:sz w:val="24"/>
        </w:rPr>
        <w:t>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492622D4">
      <w:pPr>
        <w:spacing w:line="360" w:lineRule="exact"/>
        <w:ind w:firstLine="480" w:firstLineChars="200"/>
        <w:rPr>
          <w:rFonts w:hint="eastAsia" w:ascii="宋体" w:hAnsi="宋体"/>
          <w:sz w:val="24"/>
        </w:rPr>
      </w:pPr>
      <w:r>
        <w:rPr>
          <w:rFonts w:hint="eastAsia" w:ascii="宋体" w:hAnsi="宋体"/>
          <w:sz w:val="24"/>
        </w:rPr>
        <w:t>3.2在对“公开比选投标文件”进行详细评估之前，评标委员会将依据公开比选采购文件规定对投标人进行符合性审查，没有通过审查的，其投标将被拒绝。</w:t>
      </w:r>
    </w:p>
    <w:p w14:paraId="5712EB5E">
      <w:pPr>
        <w:spacing w:line="360" w:lineRule="exact"/>
        <w:ind w:firstLine="480" w:firstLineChars="200"/>
        <w:rPr>
          <w:rFonts w:hint="eastAsia" w:ascii="宋体" w:hAnsi="宋体"/>
          <w:sz w:val="24"/>
        </w:rPr>
      </w:pPr>
      <w:r>
        <w:rPr>
          <w:rFonts w:hint="eastAsia" w:ascii="宋体" w:hAnsi="宋体"/>
          <w:sz w:val="24"/>
        </w:rPr>
        <w:t>3.3在评标过程中，评标委员会将确定每份投标是否对“公开比选采购文件”的实质性要求，做出了实质性的响应。实质性响应的投标是指符合“公开比选采购文件”的实质性条款、条件和规定。评标委员会判断“公开比选投标文件”的响应性，仅基于“公开比选投标文件”本身而不靠外部证据。</w:t>
      </w:r>
    </w:p>
    <w:p w14:paraId="0BDC5283">
      <w:pPr>
        <w:spacing w:line="360" w:lineRule="exact"/>
        <w:ind w:firstLine="480" w:firstLineChars="200"/>
        <w:rPr>
          <w:rFonts w:hint="eastAsia" w:ascii="宋体" w:hAnsi="宋体"/>
          <w:sz w:val="24"/>
        </w:rPr>
      </w:pPr>
      <w:r>
        <w:rPr>
          <w:rFonts w:hint="eastAsia" w:ascii="宋体" w:hAnsi="宋体"/>
          <w:sz w:val="24"/>
        </w:rPr>
        <w:t>3.3.1实质性偏离是指公开比选投标文件未能响应公开比选采购文件的要求。以下情况属于实质性偏离：</w:t>
      </w:r>
    </w:p>
    <w:p w14:paraId="1E562B82">
      <w:pPr>
        <w:spacing w:line="360" w:lineRule="exact"/>
        <w:ind w:firstLine="480" w:firstLineChars="200"/>
        <w:rPr>
          <w:rFonts w:hint="eastAsia" w:ascii="宋体" w:hAnsi="宋体"/>
          <w:sz w:val="24"/>
        </w:rPr>
      </w:pPr>
      <w:r>
        <w:rPr>
          <w:rFonts w:hint="eastAsia" w:ascii="宋体" w:hAnsi="宋体"/>
          <w:sz w:val="24"/>
        </w:rPr>
        <w:t>（1）公开比选采购文件载明的招标项目完成期限超过了公开比选采购文件规定的期限；</w:t>
      </w:r>
    </w:p>
    <w:p w14:paraId="6ACFCB61">
      <w:pPr>
        <w:spacing w:line="360" w:lineRule="exact"/>
        <w:ind w:firstLine="480"/>
        <w:rPr>
          <w:rFonts w:hint="eastAsia" w:ascii="宋体" w:hAnsi="宋体"/>
          <w:sz w:val="24"/>
        </w:rPr>
      </w:pPr>
      <w:r>
        <w:rPr>
          <w:rFonts w:hint="eastAsia" w:ascii="宋体" w:hAnsi="宋体"/>
          <w:sz w:val="24"/>
        </w:rPr>
        <w:t>（2）投标人的投标报价超过了采购人的预算最高限价；</w:t>
      </w:r>
    </w:p>
    <w:p w14:paraId="40BA2812">
      <w:pPr>
        <w:spacing w:line="360" w:lineRule="exact"/>
        <w:ind w:firstLine="480"/>
        <w:rPr>
          <w:rFonts w:hint="eastAsia" w:ascii="宋体" w:hAnsi="宋体"/>
          <w:sz w:val="24"/>
        </w:rPr>
      </w:pPr>
      <w:r>
        <w:rPr>
          <w:rFonts w:hint="eastAsia" w:ascii="宋体" w:hAnsi="宋体"/>
          <w:sz w:val="24"/>
        </w:rPr>
        <w:t>（3）公开比选投标文件中附有采购人不能接受的条件；</w:t>
      </w:r>
    </w:p>
    <w:p w14:paraId="40A020AB">
      <w:pPr>
        <w:spacing w:line="360" w:lineRule="exact"/>
        <w:ind w:firstLine="480"/>
        <w:rPr>
          <w:rFonts w:hint="eastAsia" w:ascii="宋体" w:hAnsi="宋体"/>
          <w:sz w:val="24"/>
        </w:rPr>
      </w:pPr>
      <w:r>
        <w:rPr>
          <w:rFonts w:hint="eastAsia" w:ascii="宋体" w:hAnsi="宋体"/>
          <w:sz w:val="24"/>
        </w:rPr>
        <w:t>公开比选投标文件有上述情形之一的，在评标时视为：对公开比选采购文件要求有实质性偏离处理。</w:t>
      </w:r>
    </w:p>
    <w:p w14:paraId="5A1209B3">
      <w:pPr>
        <w:spacing w:line="360" w:lineRule="exact"/>
        <w:ind w:firstLine="480"/>
        <w:rPr>
          <w:rFonts w:hint="eastAsia" w:ascii="宋体" w:hAnsi="宋体"/>
          <w:sz w:val="24"/>
        </w:rPr>
      </w:pPr>
      <w:r>
        <w:rPr>
          <w:rFonts w:hint="eastAsia" w:ascii="宋体" w:hAnsi="宋体"/>
          <w:sz w:val="24"/>
        </w:rPr>
        <w:t>3.3.2采用最低评标价法的采购项目，提供相同品牌产品的不同投标人参加同一合同项下投标的，以其中通过资格审查、符合性审查且报价最低的参加评标；报价相同的，由采购人或者采购人委托评标委员会按照公开比选采购文件规定的方式确定一个参加评标的投标人，公开比选采购文件未规定的采取随机抽取方式确定，其他投标无效。</w:t>
      </w:r>
    </w:p>
    <w:p w14:paraId="010B001B">
      <w:pPr>
        <w:spacing w:line="360" w:lineRule="exact"/>
        <w:ind w:firstLine="48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公开比选采购文件规定的方式确定一个投标人获得中标人推荐资格，公开比选采购文件未规定的采取随机抽取方式确定，其他同品牌投标人不作为中标候选人。</w:t>
      </w:r>
    </w:p>
    <w:p w14:paraId="1E0FCAC0">
      <w:pPr>
        <w:spacing w:line="360" w:lineRule="exact"/>
        <w:ind w:firstLine="480"/>
        <w:rPr>
          <w:rFonts w:hint="eastAsia" w:ascii="宋体" w:hAnsi="宋体"/>
          <w:sz w:val="24"/>
        </w:rPr>
      </w:pPr>
      <w:r>
        <w:rPr>
          <w:rFonts w:hint="eastAsia" w:ascii="宋体" w:hAnsi="宋体"/>
          <w:sz w:val="24"/>
        </w:rPr>
        <w:t>非单一产品采购项目，采购人应当根据采购项目技术构成、产品价格比重等合理确定核心产品，并在公开比选采购文件中载明。多家投标人提供的核心产品品牌相同的，按前两款规定处理。核心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5EE1F167">
      <w:pPr>
        <w:spacing w:line="360" w:lineRule="exact"/>
        <w:ind w:firstLine="480"/>
        <w:rPr>
          <w:rFonts w:hint="eastAsia" w:ascii="宋体" w:hAnsi="宋体"/>
          <w:sz w:val="24"/>
        </w:rPr>
      </w:pPr>
      <w:r>
        <w:rPr>
          <w:rFonts w:hint="eastAsia" w:ascii="宋体" w:hAnsi="宋体"/>
          <w:sz w:val="24"/>
        </w:rPr>
        <w:t>3.3.3非实质性偏离是指公开比选投标文件在实质上响应公开比选采购文件的要求，但在个别地方存在一些不规则、不一致、不完整的内容，并且澄清、说明或者补正这些内容不会改变公开比选投标文件的实质性内容。以下情况属于非实质性偏离：</w:t>
      </w:r>
    </w:p>
    <w:p w14:paraId="1CF6F6F7">
      <w:pPr>
        <w:spacing w:line="360" w:lineRule="exact"/>
        <w:ind w:firstLine="480"/>
        <w:rPr>
          <w:rFonts w:hint="eastAsia" w:ascii="宋体" w:hAnsi="宋体"/>
          <w:sz w:val="24"/>
        </w:rPr>
      </w:pPr>
      <w:r>
        <w:rPr>
          <w:rFonts w:hint="eastAsia" w:ascii="宋体" w:hAnsi="宋体"/>
          <w:sz w:val="24"/>
        </w:rPr>
        <w:t>（1）文字表述的内容含义不明确；</w:t>
      </w:r>
    </w:p>
    <w:p w14:paraId="496D2B29">
      <w:pPr>
        <w:spacing w:line="360" w:lineRule="exact"/>
        <w:ind w:firstLine="480"/>
        <w:rPr>
          <w:rFonts w:hint="eastAsia" w:ascii="宋体" w:hAnsi="宋体"/>
          <w:sz w:val="24"/>
        </w:rPr>
      </w:pPr>
      <w:r>
        <w:rPr>
          <w:rFonts w:hint="eastAsia" w:ascii="宋体" w:hAnsi="宋体"/>
          <w:sz w:val="24"/>
        </w:rPr>
        <w:t>（2）同类问题表述不一致；</w:t>
      </w:r>
    </w:p>
    <w:p w14:paraId="7C1D9E08">
      <w:pPr>
        <w:spacing w:line="360" w:lineRule="exact"/>
        <w:ind w:firstLine="480"/>
        <w:rPr>
          <w:rFonts w:hint="eastAsia" w:ascii="宋体" w:hAnsi="宋体"/>
          <w:sz w:val="24"/>
        </w:rPr>
      </w:pPr>
      <w:r>
        <w:rPr>
          <w:rFonts w:hint="eastAsia" w:ascii="宋体" w:hAnsi="宋体"/>
          <w:sz w:val="24"/>
        </w:rPr>
        <w:t>（3）有明显文字和计算错误；</w:t>
      </w:r>
    </w:p>
    <w:p w14:paraId="17448674">
      <w:pPr>
        <w:spacing w:line="360" w:lineRule="exact"/>
        <w:ind w:firstLine="480"/>
        <w:rPr>
          <w:rFonts w:hint="eastAsia" w:ascii="宋体" w:hAnsi="宋体"/>
          <w:sz w:val="24"/>
        </w:rPr>
      </w:pPr>
      <w:r>
        <w:rPr>
          <w:rFonts w:hint="eastAsia" w:ascii="宋体" w:hAnsi="宋体"/>
          <w:sz w:val="24"/>
        </w:rPr>
        <w:t>（4）提供的技术信息和数据资料不完整；</w:t>
      </w:r>
    </w:p>
    <w:p w14:paraId="3AE6D932">
      <w:pPr>
        <w:spacing w:line="360" w:lineRule="exact"/>
        <w:ind w:firstLine="480"/>
        <w:rPr>
          <w:rFonts w:hint="eastAsia" w:ascii="宋体" w:hAnsi="宋体"/>
          <w:sz w:val="24"/>
        </w:rPr>
      </w:pPr>
      <w:r>
        <w:rPr>
          <w:rFonts w:hint="eastAsia" w:ascii="宋体" w:hAnsi="宋体"/>
          <w:sz w:val="24"/>
        </w:rPr>
        <w:t>（5）公开比选投标文件未按公开比选采购文件要求进行装订或未编制目录、页码；</w:t>
      </w:r>
    </w:p>
    <w:p w14:paraId="452730D3">
      <w:pPr>
        <w:spacing w:line="360" w:lineRule="exact"/>
        <w:ind w:firstLine="480"/>
        <w:rPr>
          <w:rFonts w:hint="eastAsia" w:ascii="宋体" w:hAnsi="宋体"/>
          <w:sz w:val="24"/>
        </w:rPr>
      </w:pPr>
      <w:r>
        <w:rPr>
          <w:rFonts w:hint="eastAsia" w:ascii="宋体" w:hAnsi="宋体"/>
          <w:sz w:val="24"/>
        </w:rPr>
        <w:t>（6）评标委员会认定的其他非实质性偏离。</w:t>
      </w:r>
    </w:p>
    <w:p w14:paraId="0B88EA71">
      <w:pPr>
        <w:spacing w:line="360" w:lineRule="exact"/>
        <w:ind w:firstLine="480"/>
        <w:rPr>
          <w:rFonts w:hint="eastAsia" w:ascii="宋体" w:hAnsi="宋体"/>
          <w:sz w:val="24"/>
        </w:rPr>
      </w:pPr>
      <w:r>
        <w:rPr>
          <w:rFonts w:hint="eastAsia" w:ascii="宋体" w:hAnsi="宋体"/>
          <w:sz w:val="24"/>
        </w:rPr>
        <w:t>公开比选投标文件有上述（1）--（4）情形之一的，</w:t>
      </w:r>
      <w:r>
        <w:rPr>
          <w:rFonts w:ascii="宋体" w:hAnsi="宋体" w:cs="Arial"/>
          <w:kern w:val="0"/>
          <w:sz w:val="24"/>
        </w:rPr>
        <w:t>评标委员会应当以书面形式要求</w:t>
      </w:r>
      <w:r>
        <w:rPr>
          <w:rFonts w:hint="eastAsia" w:ascii="宋体" w:hAnsi="宋体" w:cs="Arial"/>
          <w:kern w:val="0"/>
          <w:sz w:val="24"/>
        </w:rPr>
        <w:t>投标人</w:t>
      </w:r>
      <w:r>
        <w:rPr>
          <w:rFonts w:ascii="宋体" w:hAnsi="宋体" w:cs="Arial"/>
          <w:kern w:val="0"/>
          <w:sz w:val="24"/>
        </w:rPr>
        <w:t>作出必要的澄清、说明或者补正。</w:t>
      </w:r>
      <w:r>
        <w:rPr>
          <w:rFonts w:hint="eastAsia" w:ascii="宋体" w:hAnsi="宋体" w:cs="Arial"/>
          <w:kern w:val="0"/>
          <w:sz w:val="24"/>
        </w:rPr>
        <w:t>投标人</w:t>
      </w:r>
      <w:r>
        <w:rPr>
          <w:rFonts w:ascii="宋体" w:hAnsi="宋体" w:cs="Arial"/>
          <w:kern w:val="0"/>
          <w:sz w:val="24"/>
        </w:rPr>
        <w:t>的澄清、说明或者补正应当采用书面形式，并加盖公章，或者由法定代表人或其授权的代表签字。</w:t>
      </w:r>
      <w:r>
        <w:rPr>
          <w:rFonts w:hint="eastAsia" w:ascii="宋体" w:hAnsi="宋体" w:cs="Arial"/>
          <w:kern w:val="0"/>
          <w:sz w:val="24"/>
        </w:rPr>
        <w:t>投标人</w:t>
      </w:r>
      <w:r>
        <w:rPr>
          <w:rFonts w:ascii="宋体" w:hAnsi="宋体" w:cs="Arial"/>
          <w:kern w:val="0"/>
          <w:sz w:val="24"/>
        </w:rPr>
        <w:t>的澄清、说明或者补正不得超出</w:t>
      </w:r>
      <w:r>
        <w:rPr>
          <w:rFonts w:hint="eastAsia" w:ascii="宋体" w:hAnsi="宋体" w:cs="Arial"/>
          <w:kern w:val="0"/>
          <w:sz w:val="24"/>
        </w:rPr>
        <w:t>公开比选投标文件</w:t>
      </w:r>
      <w:r>
        <w:rPr>
          <w:rFonts w:ascii="宋体" w:hAnsi="宋体" w:cs="Arial"/>
          <w:kern w:val="0"/>
          <w:sz w:val="24"/>
        </w:rPr>
        <w:t>的范围或者改变</w:t>
      </w:r>
      <w:r>
        <w:rPr>
          <w:rFonts w:hint="eastAsia" w:ascii="宋体" w:hAnsi="宋体" w:cs="Arial"/>
          <w:kern w:val="0"/>
          <w:sz w:val="24"/>
        </w:rPr>
        <w:t>公开比选投标文件</w:t>
      </w:r>
      <w:r>
        <w:rPr>
          <w:rFonts w:ascii="宋体" w:hAnsi="宋体" w:cs="Arial"/>
          <w:kern w:val="0"/>
          <w:sz w:val="24"/>
        </w:rPr>
        <w:t>的实质性内容。</w:t>
      </w:r>
      <w:r>
        <w:rPr>
          <w:rFonts w:hint="eastAsia" w:ascii="宋体" w:hAnsi="宋体"/>
          <w:sz w:val="24"/>
        </w:rPr>
        <w:t>澄清、说明、补正的内容也不能说明问题的，视为公开比选投标文件制作不规范。按每一项非实质性偏离进行扣分处理，直至该项分值扣完为止。评标委员会不接受投标人主动提出的澄清、说明或补正。</w:t>
      </w:r>
    </w:p>
    <w:p w14:paraId="1E96B816">
      <w:pPr>
        <w:spacing w:line="360" w:lineRule="exact"/>
        <w:ind w:firstLine="480"/>
        <w:rPr>
          <w:rFonts w:hint="eastAsia" w:ascii="宋体" w:hAnsi="宋体"/>
          <w:sz w:val="24"/>
        </w:rPr>
      </w:pPr>
      <w:r>
        <w:rPr>
          <w:rFonts w:hint="eastAsia" w:ascii="宋体" w:hAnsi="宋体"/>
          <w:sz w:val="24"/>
        </w:rPr>
        <w:t>3.3.4 在公开比选投标文件初审过程中，如果出现评标委员会成员意见不一致的情况，按照少数服从多数的原则确定。</w:t>
      </w:r>
    </w:p>
    <w:p w14:paraId="1720DEF7">
      <w:pPr>
        <w:spacing w:line="360" w:lineRule="exact"/>
        <w:ind w:firstLine="482" w:firstLineChars="200"/>
        <w:rPr>
          <w:rFonts w:ascii="宋体"/>
          <w:b/>
          <w:kern w:val="0"/>
          <w:sz w:val="24"/>
        </w:rPr>
      </w:pPr>
      <w:r>
        <w:rPr>
          <w:rFonts w:hint="eastAsia" w:ascii="宋体"/>
          <w:b/>
          <w:kern w:val="0"/>
          <w:sz w:val="24"/>
        </w:rPr>
        <w:t>3</w:t>
      </w:r>
      <w:r>
        <w:rPr>
          <w:rFonts w:ascii="宋体"/>
          <w:b/>
          <w:kern w:val="0"/>
          <w:sz w:val="24"/>
        </w:rPr>
        <w:t>.</w:t>
      </w:r>
      <w:r>
        <w:rPr>
          <w:rFonts w:hint="eastAsia" w:ascii="宋体"/>
          <w:b/>
          <w:kern w:val="0"/>
          <w:sz w:val="24"/>
        </w:rPr>
        <w:t>4如投标人提交的公开比选投标文件为虚假材料的，按无效标处理。</w:t>
      </w:r>
    </w:p>
    <w:p w14:paraId="63165B55">
      <w:pPr>
        <w:spacing w:line="360" w:lineRule="exact"/>
        <w:ind w:firstLine="480" w:firstLineChars="200"/>
        <w:rPr>
          <w:rFonts w:hint="eastAsia" w:ascii="宋体" w:hAnsi="宋体"/>
          <w:sz w:val="24"/>
        </w:rPr>
      </w:pPr>
      <w:r>
        <w:rPr>
          <w:rFonts w:hint="eastAsia" w:ascii="宋体" w:hAnsi="宋体"/>
          <w:sz w:val="24"/>
        </w:rPr>
        <w:t>4、公开比选采购文件的澄清</w:t>
      </w:r>
    </w:p>
    <w:p w14:paraId="6BBAAF28">
      <w:pPr>
        <w:spacing w:line="360" w:lineRule="exact"/>
        <w:ind w:firstLine="480" w:firstLineChars="200"/>
        <w:rPr>
          <w:rFonts w:hint="eastAsia" w:ascii="宋体" w:hAnsi="宋体"/>
          <w:sz w:val="24"/>
        </w:rPr>
      </w:pPr>
      <w:r>
        <w:rPr>
          <w:rFonts w:hint="eastAsia" w:ascii="宋体" w:hAnsi="宋体"/>
          <w:sz w:val="24"/>
        </w:rPr>
        <w:t>4.1为了有助于对“公开比选投标文件”进行审查、评估和比较，评标委员会有权向投标人提出质疑，并请投标人澄清其投标内容。投标人有责任，按照采购代理机构通知的时间、地点，指派专人进行答疑和澄清。</w:t>
      </w:r>
    </w:p>
    <w:p w14:paraId="73DE8538">
      <w:pPr>
        <w:jc w:val="center"/>
        <w:rPr>
          <w:rFonts w:hint="eastAsia" w:ascii="宋体" w:hAnsi="宋体"/>
          <w:sz w:val="24"/>
        </w:rPr>
      </w:pPr>
      <w:r>
        <w:rPr>
          <w:rFonts w:hint="eastAsia" w:ascii="宋体" w:hAnsi="宋体"/>
          <w:sz w:val="24"/>
        </w:rPr>
        <w:t>4.2重要的澄清答复应是书面的，但不得对投标内容进行实质性修改。</w:t>
      </w:r>
    </w:p>
    <w:p w14:paraId="3AA9A091">
      <w:pPr>
        <w:spacing w:line="360" w:lineRule="exact"/>
        <w:ind w:firstLine="482" w:firstLineChars="200"/>
        <w:rPr>
          <w:rFonts w:hint="eastAsia" w:ascii="宋体" w:hAnsi="宋体"/>
          <w:b/>
          <w:sz w:val="24"/>
        </w:rPr>
      </w:pPr>
      <w:r>
        <w:rPr>
          <w:rFonts w:hint="eastAsia" w:ascii="宋体" w:hAnsi="宋体"/>
          <w:b/>
          <w:sz w:val="24"/>
        </w:rPr>
        <w:t>六、授予合同</w:t>
      </w:r>
    </w:p>
    <w:p w14:paraId="1881B1D2">
      <w:pPr>
        <w:spacing w:line="360" w:lineRule="exact"/>
        <w:ind w:left="479" w:leftChars="228"/>
        <w:jc w:val="left"/>
        <w:rPr>
          <w:rFonts w:hint="eastAsia" w:ascii="宋体" w:hAnsi="宋体"/>
          <w:b/>
          <w:sz w:val="24"/>
        </w:rPr>
      </w:pPr>
      <w:r>
        <w:rPr>
          <w:rFonts w:hint="eastAsia" w:ascii="宋体" w:hAnsi="宋体"/>
          <w:sz w:val="24"/>
        </w:rPr>
        <w:t>1、定标原则</w:t>
      </w:r>
    </w:p>
    <w:p w14:paraId="428F8248">
      <w:pPr>
        <w:spacing w:line="360" w:lineRule="exact"/>
        <w:ind w:left="479" w:leftChars="228"/>
        <w:jc w:val="left"/>
        <w:rPr>
          <w:rFonts w:hint="eastAsia" w:ascii="宋体" w:hAnsi="宋体"/>
          <w:b/>
          <w:sz w:val="24"/>
        </w:rPr>
      </w:pPr>
      <w:r>
        <w:rPr>
          <w:rFonts w:hint="eastAsia" w:ascii="宋体" w:hAnsi="宋体"/>
          <w:sz w:val="24"/>
        </w:rPr>
        <w:t>1.1严格按照“公开比选采购文件”的要求和条件进行评标，择优定标。</w:t>
      </w:r>
    </w:p>
    <w:p w14:paraId="1685D874">
      <w:pPr>
        <w:pStyle w:val="31"/>
        <w:spacing w:line="360" w:lineRule="exact"/>
        <w:ind w:firstLine="480" w:firstLineChars="200"/>
        <w:rPr>
          <w:rFonts w:hint="eastAsia" w:ascii="宋体" w:hAnsi="宋体"/>
          <w:sz w:val="24"/>
        </w:rPr>
      </w:pPr>
      <w:r>
        <w:rPr>
          <w:rFonts w:hint="eastAsia" w:ascii="宋体" w:hAnsi="宋体"/>
          <w:sz w:val="24"/>
        </w:rPr>
        <w:t>1.2本次招标，合同将授予符合“公开比选采购文件”的要求，并且性价比最合理，能提供最佳服务的投标者。</w:t>
      </w:r>
    </w:p>
    <w:p w14:paraId="27CD9AE1">
      <w:pPr>
        <w:spacing w:line="360" w:lineRule="exact"/>
        <w:ind w:firstLine="480" w:firstLineChars="200"/>
        <w:rPr>
          <w:rFonts w:hint="eastAsia" w:ascii="宋体" w:hAnsi="宋体"/>
          <w:sz w:val="24"/>
        </w:rPr>
      </w:pPr>
      <w:r>
        <w:rPr>
          <w:rFonts w:hint="eastAsia" w:ascii="宋体" w:hAnsi="宋体"/>
          <w:sz w:val="24"/>
        </w:rPr>
        <w:t>1.3不能保证最低报价的投标最终中标。</w:t>
      </w:r>
    </w:p>
    <w:p w14:paraId="15BB812F">
      <w:pPr>
        <w:spacing w:line="360" w:lineRule="exact"/>
        <w:ind w:firstLine="480" w:firstLineChars="200"/>
        <w:rPr>
          <w:rFonts w:hint="eastAsia" w:ascii="宋体" w:hAnsi="宋体"/>
          <w:sz w:val="24"/>
        </w:rPr>
      </w:pPr>
      <w:r>
        <w:rPr>
          <w:rFonts w:hint="eastAsia" w:ascii="宋体" w:hAnsi="宋体"/>
          <w:sz w:val="24"/>
        </w:rPr>
        <w:t>1.4评标结束后，采购代理机构组织编写评标报告，采购人根据评标报告和授标建议书推荐的中标候选投标人确定中标人，并送报采购管理机关备案。</w:t>
      </w:r>
    </w:p>
    <w:p w14:paraId="55579A93">
      <w:pPr>
        <w:widowControl/>
        <w:spacing w:line="360" w:lineRule="exact"/>
        <w:ind w:firstLine="480" w:firstLineChars="200"/>
        <w:rPr>
          <w:rFonts w:hint="eastAsia" w:ascii="宋体" w:hAnsi="宋体" w:cs="宋体"/>
          <w:kern w:val="0"/>
          <w:sz w:val="24"/>
        </w:rPr>
      </w:pPr>
      <w:r>
        <w:rPr>
          <w:rFonts w:hint="eastAsia" w:ascii="宋体" w:hAnsi="宋体"/>
          <w:sz w:val="24"/>
        </w:rPr>
        <w:t>1.5根据评标办法推荐出一至三人为中标候选人，并标明排列顺序。采购人将确定排名第一的中标候选人为中标人并向其授予合同。</w:t>
      </w:r>
      <w:r>
        <w:rPr>
          <w:rFonts w:ascii="宋体" w:hAnsi="宋体"/>
          <w:sz w:val="24"/>
        </w:rPr>
        <w:t>中标或者</w:t>
      </w:r>
      <w:r>
        <w:rPr>
          <w:rFonts w:hint="eastAsia" w:ascii="宋体" w:hAnsi="宋体"/>
          <w:sz w:val="24"/>
        </w:rPr>
        <w:t>投标人</w:t>
      </w:r>
      <w:r>
        <w:rPr>
          <w:rFonts w:ascii="宋体" w:hAnsi="宋体"/>
          <w:sz w:val="24"/>
        </w:rPr>
        <w:t>拒绝与采购人签订合同的，采购人可以按照评审报告推荐的中标或者候选人名单排序，确定下一候选人为中标</w:t>
      </w:r>
      <w:r>
        <w:rPr>
          <w:rFonts w:hint="eastAsia" w:ascii="宋体" w:hAnsi="宋体"/>
          <w:sz w:val="24"/>
        </w:rPr>
        <w:t>人</w:t>
      </w:r>
      <w:r>
        <w:rPr>
          <w:rFonts w:ascii="宋体" w:hAnsi="宋体"/>
          <w:sz w:val="24"/>
        </w:rPr>
        <w:t>，也可以重新开展政府采购活动</w:t>
      </w:r>
      <w:r>
        <w:rPr>
          <w:rFonts w:hint="eastAsia" w:ascii="宋体" w:hAnsi="宋体"/>
          <w:sz w:val="24"/>
        </w:rPr>
        <w:t>。或因投标人对采购过程、中标或者成交结果提出的质疑，合格投标人符合法定数量时，可以从合格的中标或者成交候选人中另行确定中标、成交人的，应当依法另行确定中标、成交成人；否则应当重新开展采购活动。采购人对影响的投标人不承担任何责任。</w:t>
      </w:r>
      <w:r>
        <w:rPr>
          <w:rFonts w:hint="eastAsia" w:ascii="宋体" w:hAnsi="宋体" w:cs="宋体"/>
          <w:kern w:val="0"/>
          <w:sz w:val="24"/>
        </w:rPr>
        <w:t>中标人将在指定的网站上公示。</w:t>
      </w:r>
    </w:p>
    <w:p w14:paraId="1CD1E394">
      <w:pPr>
        <w:spacing w:line="360" w:lineRule="exact"/>
        <w:ind w:firstLine="480" w:firstLineChars="200"/>
        <w:rPr>
          <w:rFonts w:hint="eastAsia" w:ascii="宋体" w:hAnsi="宋体"/>
          <w:sz w:val="24"/>
        </w:rPr>
      </w:pPr>
      <w:r>
        <w:rPr>
          <w:rFonts w:hint="eastAsia" w:ascii="宋体" w:hAnsi="宋体"/>
          <w:sz w:val="24"/>
        </w:rPr>
        <w:t>2、中标通知</w:t>
      </w:r>
    </w:p>
    <w:p w14:paraId="3B146701">
      <w:pPr>
        <w:spacing w:line="360" w:lineRule="exact"/>
        <w:rPr>
          <w:rFonts w:hint="eastAsia" w:ascii="宋体" w:hAnsi="宋体"/>
          <w:sz w:val="24"/>
        </w:rPr>
      </w:pPr>
      <w:r>
        <w:rPr>
          <w:rFonts w:hint="eastAsia" w:ascii="宋体" w:hAnsi="宋体"/>
          <w:sz w:val="24"/>
        </w:rPr>
        <w:t xml:space="preserve">  2.1评标结束后，根据评标委员会裁定的结果，由海南省教学仪器设备招标中心有限公司签发《中标通知书》。</w:t>
      </w:r>
    </w:p>
    <w:p w14:paraId="18C05AB9">
      <w:pPr>
        <w:spacing w:line="360" w:lineRule="exact"/>
        <w:ind w:firstLine="480" w:firstLineChars="200"/>
        <w:rPr>
          <w:rFonts w:hint="eastAsia" w:ascii="宋体" w:hAnsi="宋体"/>
          <w:sz w:val="24"/>
        </w:rPr>
      </w:pPr>
      <w:r>
        <w:rPr>
          <w:rFonts w:hint="eastAsia" w:ascii="宋体" w:hAnsi="宋体"/>
          <w:sz w:val="24"/>
        </w:rPr>
        <w:t>2.2《中标通知书》将作为签订合同的重要依据。中标人不与招标人按期订立合同的，其投标保证金不予退还并取消其中标资格，给招标人造成的损失超过投标保证金金额的，应当对超出部分予以赔偿。</w:t>
      </w:r>
    </w:p>
    <w:p w14:paraId="26651804">
      <w:pPr>
        <w:spacing w:line="360" w:lineRule="exact"/>
        <w:ind w:firstLine="360" w:firstLineChars="150"/>
        <w:rPr>
          <w:rFonts w:hint="eastAsia" w:ascii="宋体" w:hAnsi="宋体"/>
          <w:sz w:val="24"/>
        </w:rPr>
      </w:pPr>
      <w:r>
        <w:rPr>
          <w:rFonts w:hint="eastAsia" w:ascii="宋体" w:hAnsi="宋体"/>
          <w:sz w:val="24"/>
        </w:rPr>
        <w:t>3、授予合同时变更数量的权力</w:t>
      </w:r>
    </w:p>
    <w:p w14:paraId="0F571CC2">
      <w:pPr>
        <w:spacing w:line="360" w:lineRule="exact"/>
        <w:ind w:firstLine="360"/>
        <w:rPr>
          <w:rFonts w:hint="eastAsia" w:ascii="宋体" w:hAnsi="宋体"/>
          <w:sz w:val="24"/>
        </w:rPr>
      </w:pPr>
      <w:r>
        <w:rPr>
          <w:rFonts w:hint="eastAsia" w:ascii="宋体" w:hAnsi="宋体"/>
          <w:sz w:val="24"/>
        </w:rPr>
        <w:t>采购代理机构在授予合同时，可根据采购人的需求的情况，对“招标货物一览表”中列明的货物的数量和服务予以增加或减少，额度不大于10%。</w:t>
      </w:r>
    </w:p>
    <w:p w14:paraId="1BF70702">
      <w:pPr>
        <w:spacing w:line="360" w:lineRule="exact"/>
        <w:ind w:firstLine="360" w:firstLineChars="150"/>
        <w:rPr>
          <w:rFonts w:hint="eastAsia" w:ascii="宋体" w:hAnsi="宋体"/>
          <w:sz w:val="24"/>
        </w:rPr>
      </w:pPr>
      <w:r>
        <w:rPr>
          <w:rFonts w:hint="eastAsia" w:ascii="宋体" w:hAnsi="宋体"/>
          <w:sz w:val="24"/>
        </w:rPr>
        <w:t>4、签订合同</w:t>
      </w:r>
    </w:p>
    <w:p w14:paraId="6ED4AAF8">
      <w:pPr>
        <w:snapToGrid w:val="0"/>
        <w:spacing w:line="360" w:lineRule="exact"/>
        <w:rPr>
          <w:rFonts w:hint="eastAsia" w:ascii="宋体" w:hAnsi="宋体"/>
          <w:sz w:val="24"/>
        </w:rPr>
      </w:pPr>
      <w:r>
        <w:rPr>
          <w:rFonts w:hint="eastAsia" w:ascii="宋体" w:hAnsi="宋体"/>
          <w:sz w:val="24"/>
        </w:rPr>
        <w:t xml:space="preserve">   4.1中标方应按《中标通知书》指定的时间、地点与采购人签订合同，采购代理机构予以鉴证。</w:t>
      </w:r>
    </w:p>
    <w:p w14:paraId="6FAFE4BA">
      <w:pPr>
        <w:spacing w:line="360" w:lineRule="exact"/>
        <w:ind w:firstLine="480"/>
        <w:rPr>
          <w:rFonts w:hint="eastAsia" w:ascii="宋体" w:hAnsi="宋体"/>
          <w:sz w:val="24"/>
        </w:rPr>
      </w:pPr>
      <w:r>
        <w:rPr>
          <w:rFonts w:hint="eastAsia" w:ascii="宋体" w:hAnsi="宋体"/>
          <w:sz w:val="24"/>
        </w:rPr>
        <w:t>4.2、《中标通知书》中标方的“公开比选采购文件”及其澄清文件等，均为签订经济合同的依据。</w:t>
      </w:r>
      <w:r>
        <w:rPr>
          <w:rFonts w:hint="eastAsia" w:ascii="宋体" w:hAnsi="宋体" w:cs="宋体"/>
          <w:kern w:val="0"/>
          <w:sz w:val="24"/>
        </w:rPr>
        <w:t>中标投标人不得延误合同签订、仪器设备交付时间（除业主单位施工现场不具备条件外）。</w:t>
      </w:r>
    </w:p>
    <w:p w14:paraId="49E69E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2F5B2968">
      <w:pPr>
        <w:spacing w:line="360" w:lineRule="exact"/>
        <w:ind w:firstLine="480" w:firstLineChars="200"/>
        <w:rPr>
          <w:rFonts w:hint="eastAsia" w:ascii="宋体" w:hAnsi="宋体"/>
          <w:sz w:val="24"/>
        </w:rPr>
      </w:pPr>
      <w:r>
        <w:rPr>
          <w:rFonts w:hint="eastAsia" w:ascii="宋体" w:hAnsi="宋体"/>
          <w:sz w:val="24"/>
        </w:rPr>
        <w:t xml:space="preserve"> 1.1 评标基本原则：评标工作应依据《中华人民共和国政府采购法》、</w:t>
      </w:r>
      <w:r>
        <w:rPr>
          <w:rFonts w:hint="eastAsia" w:ascii="宋体"/>
          <w:kern w:val="0"/>
          <w:sz w:val="24"/>
        </w:rPr>
        <w:t>海南省粮食和物资储备集团有限公司采购管理办法》琼储规〔2024〕17号的规定</w:t>
      </w:r>
      <w:r>
        <w:rPr>
          <w:rFonts w:hint="eastAsia" w:ascii="宋体" w:hAnsi="宋体"/>
          <w:sz w:val="24"/>
        </w:rPr>
        <w:t>以及国家及地方政府有关政府采购的有关规定，按照客观、公正、审慎的原则进行，评委会对所有投标人的投标评估，都采用相同的程序和标准。本次综合评分的主要因素是：价格、技术、信誉、服务、对招标文件的响应程度。</w:t>
      </w:r>
    </w:p>
    <w:p w14:paraId="57504842">
      <w:pPr>
        <w:spacing w:line="360" w:lineRule="exact"/>
        <w:ind w:firstLine="480" w:firstLineChars="200"/>
        <w:rPr>
          <w:rFonts w:hint="eastAsia" w:ascii="宋体" w:hAnsi="宋体"/>
          <w:sz w:val="24"/>
        </w:rPr>
      </w:pPr>
      <w:r>
        <w:rPr>
          <w:rFonts w:hint="eastAsia" w:ascii="宋体" w:hAnsi="宋体"/>
          <w:sz w:val="24"/>
        </w:rPr>
        <w:t>1</w:t>
      </w:r>
      <w:r>
        <w:rPr>
          <w:rFonts w:ascii="宋体" w:hAnsi="宋体"/>
          <w:sz w:val="24"/>
        </w:rPr>
        <w:t>.2</w:t>
      </w:r>
      <w:r>
        <w:rPr>
          <w:rFonts w:hint="eastAsia" w:ascii="宋体" w:hAnsi="宋体"/>
          <w:sz w:val="24"/>
        </w:rPr>
        <w:t>评委会对每个“公开比选投标文件”的投标报价进行比较。</w:t>
      </w:r>
    </w:p>
    <w:p w14:paraId="3DF0DEC6">
      <w:pPr>
        <w:spacing w:line="360" w:lineRule="exact"/>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对各投标者所报技术性能进行比较。</w:t>
      </w:r>
    </w:p>
    <w:p w14:paraId="5C9F20C1">
      <w:pPr>
        <w:spacing w:line="360" w:lineRule="exact"/>
        <w:ind w:firstLine="480" w:firstLineChars="200"/>
        <w:rPr>
          <w:rFonts w:hint="eastAsia" w:ascii="宋体" w:hAnsi="宋体"/>
          <w:sz w:val="24"/>
        </w:rPr>
      </w:pPr>
      <w:r>
        <w:rPr>
          <w:rFonts w:hint="eastAsia" w:ascii="宋体" w:hAnsi="宋体"/>
          <w:sz w:val="24"/>
        </w:rPr>
        <w:t>1.4对其他内容进行分析比较</w:t>
      </w:r>
    </w:p>
    <w:p w14:paraId="5FB8693F">
      <w:pPr>
        <w:spacing w:line="360" w:lineRule="exact"/>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40AA8D9F">
      <w:pPr>
        <w:spacing w:line="360" w:lineRule="exact"/>
        <w:ind w:firstLine="480" w:firstLineChars="200"/>
        <w:rPr>
          <w:rFonts w:hint="eastAsia" w:ascii="宋体" w:hAnsi="宋体"/>
          <w:sz w:val="24"/>
        </w:rPr>
      </w:pPr>
      <w:r>
        <w:rPr>
          <w:rFonts w:hint="eastAsia" w:ascii="宋体" w:hAnsi="宋体"/>
          <w:sz w:val="24"/>
        </w:rPr>
        <w:t>1.6分值权重分配（具体见评分细则）评标委员会按得分高低顺序确定候中标人。</w:t>
      </w:r>
    </w:p>
    <w:p w14:paraId="6A07F0A4">
      <w:pPr>
        <w:spacing w:line="360" w:lineRule="exact"/>
        <w:ind w:firstLine="480" w:firstLineChars="200"/>
        <w:rPr>
          <w:rFonts w:hint="eastAsia" w:ascii="宋体" w:hAnsi="宋体"/>
          <w:sz w:val="24"/>
        </w:rPr>
      </w:pPr>
      <w:r>
        <w:rPr>
          <w:rFonts w:hint="eastAsia" w:ascii="宋体" w:hAnsi="宋体"/>
          <w:sz w:val="24"/>
        </w:rPr>
        <w:t>1.7综合以上分析比较最后做出评标结论。</w:t>
      </w:r>
    </w:p>
    <w:p w14:paraId="4DA7A249">
      <w:pPr>
        <w:spacing w:line="360" w:lineRule="exact"/>
        <w:ind w:firstLine="480" w:firstLineChars="200"/>
        <w:rPr>
          <w:rFonts w:hint="eastAsia" w:ascii="宋体" w:hAnsi="宋体"/>
          <w:sz w:val="24"/>
        </w:rPr>
      </w:pPr>
      <w:r>
        <w:rPr>
          <w:rFonts w:hint="eastAsia" w:ascii="宋体" w:hAnsi="宋体"/>
          <w:sz w:val="24"/>
        </w:rPr>
        <w:t>2、保密及其它注意事项</w:t>
      </w:r>
    </w:p>
    <w:p w14:paraId="3309BB23">
      <w:pPr>
        <w:spacing w:line="360" w:lineRule="exact"/>
        <w:ind w:firstLine="480" w:firstLineChars="200"/>
        <w:rPr>
          <w:rFonts w:hint="eastAsia" w:ascii="宋体" w:hAnsi="宋体"/>
          <w:sz w:val="24"/>
        </w:rPr>
      </w:pPr>
      <w:r>
        <w:rPr>
          <w:rFonts w:hint="eastAsia" w:ascii="宋体" w:hAnsi="宋体"/>
          <w:sz w:val="24"/>
        </w:rPr>
        <w:t>2.1评标是招标工作的重要环节，评标工作在评委会内独立进行。评委会将遵照评标原则，客观、公正、审慎地对待所有投标人。</w:t>
      </w:r>
    </w:p>
    <w:p w14:paraId="175D07C8">
      <w:pPr>
        <w:spacing w:line="360" w:lineRule="exact"/>
        <w:ind w:firstLine="480" w:firstLineChars="200"/>
        <w:rPr>
          <w:rFonts w:hint="eastAsia" w:ascii="宋体" w:hAnsi="宋体"/>
          <w:sz w:val="24"/>
        </w:rPr>
      </w:pPr>
      <w:r>
        <w:rPr>
          <w:rFonts w:hint="eastAsia" w:ascii="宋体" w:hAnsi="宋体"/>
          <w:sz w:val="24"/>
        </w:rPr>
        <w:t>2.2评标后，评委会可能对投标文件中有关问题分别向投标人进行询问。各投标人应予以认真答复。重要或复杂问题的答复需以书面形式，并经法定代表人或授权人签署。澄清文件将作为“投标文件”的组成部份。</w:t>
      </w:r>
    </w:p>
    <w:p w14:paraId="670043DE">
      <w:pPr>
        <w:spacing w:line="360" w:lineRule="exact"/>
        <w:ind w:firstLine="480" w:firstLineChars="200"/>
        <w:rPr>
          <w:rFonts w:hint="eastAsia" w:ascii="宋体" w:hAnsi="宋体"/>
          <w:sz w:val="24"/>
        </w:rPr>
      </w:pPr>
      <w:r>
        <w:rPr>
          <w:rFonts w:hint="eastAsia" w:ascii="宋体" w:hAnsi="宋体"/>
          <w:sz w:val="24"/>
        </w:rPr>
        <w:t>2.3在开标、评标期间，投标人不得向评委询问评标情况，不得进行旨在影响评标结果的活动。</w:t>
      </w:r>
    </w:p>
    <w:p w14:paraId="10388F0B">
      <w:pPr>
        <w:spacing w:line="360" w:lineRule="exact"/>
        <w:ind w:firstLine="480" w:firstLineChars="200"/>
        <w:rPr>
          <w:rFonts w:hint="eastAsia" w:ascii="宋体" w:hAnsi="宋体"/>
          <w:sz w:val="24"/>
        </w:rPr>
      </w:pPr>
      <w:r>
        <w:rPr>
          <w:rFonts w:hint="eastAsia" w:ascii="宋体" w:hAnsi="宋体"/>
          <w:sz w:val="24"/>
        </w:rPr>
        <w:t>2.4为保证定标的公正性，在评标过程中，评委不得与投标人私下交换意见。在招标工作结束后，凡与评标情况有接触的任何人，不得也不应将评标情况扩散出评委人员之外。</w:t>
      </w:r>
    </w:p>
    <w:p w14:paraId="64D441FB">
      <w:pPr>
        <w:spacing w:line="360" w:lineRule="exact"/>
        <w:ind w:firstLine="480" w:firstLineChars="200"/>
        <w:rPr>
          <w:rFonts w:hint="eastAsia"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评委会不向落标方解释落标原因，不退还投标文件。</w:t>
      </w:r>
    </w:p>
    <w:p w14:paraId="3DF421BC">
      <w:pPr>
        <w:spacing w:line="360" w:lineRule="exact"/>
        <w:ind w:firstLine="480" w:firstLineChars="200"/>
        <w:rPr>
          <w:rFonts w:hint="eastAsia" w:ascii="宋体" w:hAnsi="宋体"/>
          <w:sz w:val="24"/>
        </w:rPr>
      </w:pPr>
      <w:r>
        <w:rPr>
          <w:rFonts w:hint="eastAsia" w:ascii="宋体" w:hAnsi="宋体"/>
          <w:sz w:val="24"/>
        </w:rPr>
        <w:t>3、评标步骤及评标方法</w:t>
      </w:r>
    </w:p>
    <w:p w14:paraId="59BF042F">
      <w:pPr>
        <w:spacing w:line="360" w:lineRule="exact"/>
        <w:ind w:firstLine="480" w:firstLineChars="20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1评标步骤：先进行投标人初步评审，再进行技术、商务及价格的详细评审。只有通过初步评审的投标人才能进入详细的评审。</w:t>
      </w:r>
    </w:p>
    <w:p w14:paraId="10106594">
      <w:pPr>
        <w:spacing w:line="360" w:lineRule="exact"/>
        <w:ind w:firstLine="480" w:firstLineChars="200"/>
        <w:rPr>
          <w:rFonts w:hint="eastAsia" w:ascii="宋体" w:hAnsi="宋体"/>
          <w:sz w:val="24"/>
        </w:rPr>
      </w:pPr>
      <w:r>
        <w:rPr>
          <w:rFonts w:hint="eastAsia" w:ascii="宋体" w:hAnsi="宋体"/>
          <w:sz w:val="24"/>
        </w:rPr>
        <w:t>3.2本项目评标采用综合评分法。</w:t>
      </w:r>
    </w:p>
    <w:p w14:paraId="6015A4D2">
      <w:pPr>
        <w:spacing w:line="360" w:lineRule="exact"/>
        <w:ind w:firstLine="480" w:firstLineChars="200"/>
        <w:rPr>
          <w:rFonts w:hint="eastAsia"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投标人，综合得分次高的投标人为第二中标候选投标人。本项目仅推荐3名中标候选投标人。</w:t>
      </w:r>
    </w:p>
    <w:p w14:paraId="39610620">
      <w:pPr>
        <w:spacing w:line="360" w:lineRule="exact"/>
        <w:ind w:firstLine="480" w:firstLineChars="200"/>
        <w:rPr>
          <w:rFonts w:hint="eastAsia" w:ascii="宋体" w:hAnsi="宋体"/>
          <w:sz w:val="24"/>
        </w:rPr>
      </w:pPr>
      <w:r>
        <w:rPr>
          <w:rFonts w:hint="eastAsia" w:ascii="宋体" w:hAnsi="宋体"/>
          <w:sz w:val="24"/>
        </w:rPr>
        <w:t>4、初步评审</w:t>
      </w:r>
    </w:p>
    <w:p w14:paraId="5A34BA70">
      <w:pPr>
        <w:spacing w:line="360" w:lineRule="exact"/>
        <w:ind w:firstLine="480" w:firstLineChars="200"/>
        <w:rPr>
          <w:rFonts w:hint="eastAsia" w:ascii="宋体" w:hAnsi="宋体"/>
          <w:sz w:val="24"/>
        </w:rPr>
      </w:pPr>
      <w:r>
        <w:rPr>
          <w:rFonts w:hint="eastAsia" w:ascii="宋体" w:hAnsi="宋体"/>
          <w:sz w:val="24"/>
        </w:rPr>
        <w:t>4.1采购人和代理机构根据资格性审查表对投标人的资格进行审查。</w:t>
      </w:r>
    </w:p>
    <w:p w14:paraId="33E13919">
      <w:pPr>
        <w:spacing w:line="360" w:lineRule="exact"/>
        <w:ind w:firstLine="480" w:firstLineChars="200"/>
        <w:rPr>
          <w:rFonts w:hint="eastAsia" w:ascii="宋体" w:hAnsi="宋体"/>
          <w:sz w:val="24"/>
        </w:rPr>
      </w:pPr>
      <w:r>
        <w:rPr>
          <w:rFonts w:hint="eastAsia" w:ascii="宋体" w:hAnsi="宋体"/>
          <w:sz w:val="24"/>
        </w:rPr>
        <w:t>4.2评标委员会根据符合性审查表对公开比选投标文件符合性进行评审，以确定其是否满足招标文件中的实质性要求。</w:t>
      </w:r>
    </w:p>
    <w:p w14:paraId="625848D3">
      <w:pPr>
        <w:spacing w:line="50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3无效投标的认定</w:t>
      </w:r>
    </w:p>
    <w:p w14:paraId="6FEEB133">
      <w:pPr>
        <w:spacing w:line="360" w:lineRule="exact"/>
        <w:ind w:left="1" w:firstLine="480" w:firstLineChars="200"/>
        <w:jc w:val="left"/>
        <w:rPr>
          <w:rFonts w:hint="eastAsia" w:ascii="宋体" w:hAnsi="宋体"/>
          <w:sz w:val="24"/>
        </w:rPr>
      </w:pPr>
      <w:r>
        <w:rPr>
          <w:rFonts w:hint="eastAsia" w:ascii="宋体" w:hAnsi="宋体"/>
          <w:sz w:val="24"/>
        </w:rPr>
        <w:t>投标文件出现但不限于下列情况的将被认定为无效投标：</w:t>
      </w:r>
    </w:p>
    <w:p w14:paraId="3310D69B">
      <w:pPr>
        <w:spacing w:line="360" w:lineRule="exact"/>
        <w:ind w:firstLine="477" w:firstLineChars="199"/>
        <w:jc w:val="left"/>
        <w:rPr>
          <w:rFonts w:hint="eastAsia" w:ascii="宋体" w:hAnsi="宋体"/>
          <w:sz w:val="24"/>
        </w:rPr>
      </w:pPr>
      <w:r>
        <w:rPr>
          <w:rFonts w:hint="eastAsia" w:ascii="宋体" w:hAnsi="宋体"/>
          <w:sz w:val="24"/>
        </w:rPr>
        <w:t>1）未按照公开比选采购文件要求的规定提交投标保证金的；</w:t>
      </w:r>
    </w:p>
    <w:p w14:paraId="2805D380">
      <w:pPr>
        <w:spacing w:line="360" w:lineRule="exact"/>
        <w:ind w:firstLine="477" w:firstLineChars="199"/>
        <w:jc w:val="left"/>
        <w:rPr>
          <w:rFonts w:hint="eastAsia" w:ascii="宋体" w:hAnsi="宋体"/>
          <w:sz w:val="24"/>
        </w:rPr>
      </w:pPr>
      <w:r>
        <w:rPr>
          <w:rFonts w:hint="eastAsia" w:ascii="宋体" w:hAnsi="宋体"/>
          <w:sz w:val="24"/>
        </w:rPr>
        <w:t>2）投标文件未按招标文件要求签署、盖章的；</w:t>
      </w:r>
    </w:p>
    <w:p w14:paraId="028F8B27">
      <w:pPr>
        <w:spacing w:line="360" w:lineRule="exact"/>
        <w:ind w:firstLine="477" w:firstLineChars="199"/>
        <w:jc w:val="left"/>
        <w:rPr>
          <w:rFonts w:hint="eastAsia" w:ascii="宋体" w:hAnsi="宋体"/>
          <w:sz w:val="24"/>
        </w:rPr>
      </w:pPr>
      <w:r>
        <w:rPr>
          <w:rFonts w:hint="eastAsia" w:ascii="宋体" w:hAnsi="宋体"/>
          <w:sz w:val="24"/>
        </w:rPr>
        <w:t>3）不具备公开比选采购文件中规定的资格要求的；</w:t>
      </w:r>
    </w:p>
    <w:p w14:paraId="57DA0CBE">
      <w:pPr>
        <w:spacing w:line="360" w:lineRule="exact"/>
        <w:ind w:firstLine="477" w:firstLineChars="199"/>
        <w:jc w:val="left"/>
        <w:rPr>
          <w:rFonts w:hint="eastAsia" w:ascii="宋体" w:hAnsi="宋体"/>
          <w:sz w:val="24"/>
        </w:rPr>
      </w:pPr>
      <w:r>
        <w:rPr>
          <w:rFonts w:hint="eastAsia" w:ascii="宋体" w:hAnsi="宋体"/>
          <w:sz w:val="24"/>
        </w:rPr>
        <w:t>4）报价超过公开比选采购文件中规定的预算金额或者最高限价的；</w:t>
      </w:r>
    </w:p>
    <w:p w14:paraId="6327A9FE">
      <w:pPr>
        <w:spacing w:line="360" w:lineRule="exact"/>
        <w:ind w:firstLine="477" w:firstLineChars="199"/>
        <w:jc w:val="left"/>
        <w:rPr>
          <w:rFonts w:hint="eastAsia" w:ascii="宋体" w:hAnsi="宋体"/>
          <w:sz w:val="24"/>
        </w:rPr>
      </w:pPr>
      <w:r>
        <w:rPr>
          <w:rFonts w:hint="eastAsia" w:ascii="宋体" w:hAnsi="宋体"/>
          <w:sz w:val="24"/>
        </w:rPr>
        <w:t>5）公开比选投标文件含有采购人不能接受的附加条件的;</w:t>
      </w:r>
    </w:p>
    <w:p w14:paraId="03B1655F">
      <w:pPr>
        <w:spacing w:line="360" w:lineRule="exact"/>
        <w:ind w:firstLine="477" w:firstLineChars="199"/>
        <w:jc w:val="left"/>
        <w:rPr>
          <w:rFonts w:hint="eastAsia" w:ascii="宋体" w:hAnsi="宋体"/>
          <w:sz w:val="24"/>
        </w:rPr>
      </w:pPr>
      <w:r>
        <w:rPr>
          <w:rFonts w:hint="eastAsia" w:ascii="宋体" w:hAnsi="宋体"/>
          <w:sz w:val="24"/>
        </w:rPr>
        <w:t>6）法律、法规和招标文件规定的其他无效情形。</w:t>
      </w:r>
    </w:p>
    <w:p w14:paraId="478A96CC">
      <w:pPr>
        <w:spacing w:line="360" w:lineRule="exact"/>
        <w:ind w:firstLine="477" w:firstLineChars="199"/>
        <w:jc w:val="left"/>
        <w:rPr>
          <w:rFonts w:hint="eastAsia" w:ascii="宋体" w:hAnsi="宋体"/>
          <w:sz w:val="24"/>
        </w:rPr>
      </w:pPr>
      <w:r>
        <w:rPr>
          <w:rFonts w:hint="eastAsia" w:ascii="宋体" w:hAnsi="宋体"/>
          <w:sz w:val="24"/>
        </w:rPr>
        <w:t>7）投标报价明显低于其他投标报价而投标人不能合理说明的。</w:t>
      </w:r>
    </w:p>
    <w:p w14:paraId="2AC7ED2C">
      <w:pPr>
        <w:spacing w:line="360" w:lineRule="exact"/>
        <w:ind w:firstLine="477" w:firstLineChars="199"/>
        <w:jc w:val="left"/>
        <w:rPr>
          <w:rFonts w:hint="eastAsia" w:ascii="宋体" w:hAnsi="宋体"/>
          <w:sz w:val="24"/>
        </w:rPr>
      </w:pPr>
      <w:r>
        <w:rPr>
          <w:rFonts w:hint="eastAsia" w:ascii="宋体" w:hAnsi="宋体"/>
          <w:sz w:val="24"/>
        </w:rPr>
        <w:t>8）不同投标人的公开比选投标文件由同一单位或者个人编制；</w:t>
      </w:r>
    </w:p>
    <w:p w14:paraId="52E27B63">
      <w:pPr>
        <w:spacing w:line="360" w:lineRule="exact"/>
        <w:ind w:firstLine="477" w:firstLineChars="199"/>
        <w:jc w:val="left"/>
        <w:rPr>
          <w:rFonts w:hint="eastAsia" w:ascii="宋体" w:hAnsi="宋体"/>
          <w:sz w:val="24"/>
        </w:rPr>
      </w:pPr>
      <w:r>
        <w:rPr>
          <w:rFonts w:hint="eastAsia" w:ascii="宋体" w:hAnsi="宋体"/>
          <w:sz w:val="24"/>
        </w:rPr>
        <w:t>9）不同投标人委托同一单位或者个人办理投标事宜；</w:t>
      </w:r>
    </w:p>
    <w:p w14:paraId="55A46CF7">
      <w:pPr>
        <w:spacing w:line="360" w:lineRule="exact"/>
        <w:ind w:firstLine="477" w:firstLineChars="199"/>
        <w:jc w:val="left"/>
        <w:rPr>
          <w:rFonts w:hint="eastAsia" w:ascii="宋体" w:hAnsi="宋体"/>
          <w:sz w:val="24"/>
        </w:rPr>
      </w:pPr>
      <w:r>
        <w:rPr>
          <w:rFonts w:hint="eastAsia" w:ascii="宋体" w:hAnsi="宋体"/>
          <w:sz w:val="24"/>
        </w:rPr>
        <w:t>10）不同投标人的公开比选投标文件载明的项目管理成员或者联系人员为同一人；</w:t>
      </w:r>
    </w:p>
    <w:p w14:paraId="1FF51E11">
      <w:pPr>
        <w:spacing w:line="360" w:lineRule="exact"/>
        <w:ind w:firstLine="477" w:firstLineChars="199"/>
        <w:jc w:val="left"/>
        <w:rPr>
          <w:rFonts w:hint="eastAsia" w:ascii="宋体" w:hAnsi="宋体"/>
          <w:sz w:val="24"/>
        </w:rPr>
      </w:pPr>
      <w:r>
        <w:rPr>
          <w:rFonts w:hint="eastAsia" w:ascii="宋体" w:hAnsi="宋体"/>
          <w:sz w:val="24"/>
        </w:rPr>
        <w:t>11）不同投标人的公开比选投标文件异常一致或者投标报价呈规律性差异；</w:t>
      </w:r>
    </w:p>
    <w:p w14:paraId="198F3FF4">
      <w:pPr>
        <w:spacing w:line="360" w:lineRule="exact"/>
        <w:ind w:firstLine="477" w:firstLineChars="199"/>
        <w:jc w:val="left"/>
        <w:rPr>
          <w:rFonts w:hint="eastAsia" w:ascii="宋体" w:hAnsi="宋体"/>
          <w:sz w:val="24"/>
        </w:rPr>
      </w:pPr>
      <w:r>
        <w:rPr>
          <w:rFonts w:hint="eastAsia" w:ascii="宋体" w:hAnsi="宋体"/>
          <w:sz w:val="24"/>
        </w:rPr>
        <w:t>12）不同投标人的公开比选投标文件相互混装；</w:t>
      </w:r>
    </w:p>
    <w:p w14:paraId="27953BF3">
      <w:pPr>
        <w:spacing w:line="500" w:lineRule="exact"/>
        <w:ind w:firstLine="480" w:firstLineChars="200"/>
        <w:rPr>
          <w:rFonts w:hint="eastAsia" w:ascii="宋体" w:hAnsi="宋体"/>
          <w:sz w:val="24"/>
        </w:rPr>
      </w:pPr>
      <w:r>
        <w:rPr>
          <w:rFonts w:hint="eastAsia" w:ascii="宋体" w:hAnsi="宋体"/>
          <w:sz w:val="24"/>
        </w:rPr>
        <w:t>13）如投标人提交的公开比选投标文件为虚假材料的，按无效标处理</w:t>
      </w:r>
    </w:p>
    <w:p w14:paraId="2329979F">
      <w:pPr>
        <w:spacing w:line="360" w:lineRule="exact"/>
        <w:ind w:firstLine="480" w:firstLineChars="200"/>
        <w:rPr>
          <w:rFonts w:hint="eastAsia" w:ascii="宋体" w:hAnsi="宋体"/>
          <w:sz w:val="24"/>
        </w:rPr>
      </w:pPr>
      <w:r>
        <w:rPr>
          <w:rFonts w:hint="eastAsia" w:ascii="宋体" w:hAnsi="宋体"/>
          <w:sz w:val="24"/>
        </w:rPr>
        <w:t>5、详细评审</w:t>
      </w:r>
    </w:p>
    <w:p w14:paraId="0DAA6709">
      <w:pPr>
        <w:spacing w:line="360" w:lineRule="exact"/>
        <w:ind w:left="1"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1详细评审是对通过初步评审的投标进行技术、商务（授权）、售后服务及信誉、价格的评审。</w:t>
      </w:r>
    </w:p>
    <w:p w14:paraId="5D3F878E">
      <w:pPr>
        <w:spacing w:line="360" w:lineRule="exact"/>
        <w:ind w:firstLine="477" w:firstLineChars="199"/>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14:paraId="694030C5">
      <w:pPr>
        <w:spacing w:line="360" w:lineRule="auto"/>
        <w:jc w:val="left"/>
        <w:outlineLvl w:val="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5E9BDBC4">
      <w:pPr>
        <w:spacing w:line="360" w:lineRule="auto"/>
        <w:ind w:firstLine="470" w:firstLineChars="196"/>
        <w:rPr>
          <w:rFonts w:ascii="宋体" w:eastAsiaTheme="minorEastAsia"/>
          <w:sz w:val="24"/>
        </w:rPr>
      </w:pPr>
      <w:r>
        <w:rPr>
          <w:rFonts w:hint="eastAsia" w:ascii="宋体" w:hAnsi="宋体"/>
          <w:sz w:val="24"/>
        </w:rPr>
        <w:t>5</w:t>
      </w:r>
      <w:r>
        <w:rPr>
          <w:rFonts w:ascii="宋体" w:hAnsi="宋体"/>
          <w:sz w:val="24"/>
        </w:rPr>
        <w:t>.</w:t>
      </w:r>
      <w:r>
        <w:rPr>
          <w:rFonts w:hint="eastAsia" w:ascii="宋体" w:hAnsi="宋体"/>
          <w:sz w:val="24"/>
        </w:rPr>
        <w:t>4</w:t>
      </w:r>
      <w:r>
        <w:rPr>
          <w:rFonts w:hint="eastAsia" w:ascii="宋体"/>
          <w:sz w:val="24"/>
        </w:rPr>
        <w:t>《政府采购货物和服务招标投标管理办法》（财政部令第87号，以下简称“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4AE51E">
      <w:pPr>
        <w:spacing w:line="360" w:lineRule="auto"/>
        <w:ind w:firstLine="470" w:firstLineChars="196"/>
        <w:rPr>
          <w:rFonts w:ascii="宋体"/>
          <w:kern w:val="0"/>
          <w:sz w:val="24"/>
        </w:rPr>
      </w:pPr>
      <w:r>
        <w:rPr>
          <w:rFonts w:hint="eastAsia" w:ascii="宋体" w:hAnsi="宋体"/>
          <w:sz w:val="24"/>
        </w:rPr>
        <w:t>5</w:t>
      </w:r>
      <w:r>
        <w:rPr>
          <w:rFonts w:ascii="宋体" w:hAnsi="宋体"/>
          <w:sz w:val="24"/>
        </w:rPr>
        <w:t>.</w:t>
      </w:r>
      <w:r>
        <w:rPr>
          <w:rFonts w:hint="eastAsia" w:ascii="宋体" w:hAnsi="宋体"/>
          <w:sz w:val="24"/>
        </w:rPr>
        <w:t>5</w:t>
      </w:r>
      <w:r>
        <w:rPr>
          <w:rFonts w:hint="eastAsia" w:ascii="宋体"/>
          <w:kern w:val="0"/>
          <w:sz w:val="24"/>
        </w:rPr>
        <w:t>投标人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投标人的同一评审项，评审专家的评分分值偏离幅度不得超过该评审项平均分值的30%，否则，该项评审意见无效。</w:t>
      </w:r>
    </w:p>
    <w:p w14:paraId="00446D7E">
      <w:pPr>
        <w:spacing w:line="480" w:lineRule="exact"/>
        <w:jc w:val="center"/>
        <w:rPr>
          <w:rFonts w:cs="宋体"/>
        </w:rPr>
      </w:pPr>
    </w:p>
    <w:p w14:paraId="5C293A16">
      <w:pPr>
        <w:spacing w:line="480" w:lineRule="exact"/>
        <w:jc w:val="center"/>
        <w:rPr>
          <w:rFonts w:cs="宋体"/>
        </w:rPr>
      </w:pPr>
    </w:p>
    <w:p w14:paraId="34A64A7E">
      <w:pPr>
        <w:spacing w:line="480" w:lineRule="exact"/>
        <w:jc w:val="center"/>
        <w:rPr>
          <w:rFonts w:cs="宋体"/>
          <w:b/>
          <w:bCs/>
          <w:sz w:val="24"/>
        </w:rPr>
      </w:pPr>
      <w:r>
        <w:rPr>
          <w:rFonts w:hint="eastAsia" w:cs="宋体"/>
          <w:b/>
          <w:bCs/>
          <w:sz w:val="24"/>
        </w:rPr>
        <w:t>资格性审查标准</w:t>
      </w:r>
    </w:p>
    <w:p w14:paraId="6A84863C">
      <w:pPr>
        <w:spacing w:line="480" w:lineRule="exact"/>
        <w:rPr>
          <w:rFonts w:cs="宋体"/>
        </w:rPr>
      </w:pPr>
    </w:p>
    <w:p w14:paraId="791E8A0E">
      <w:pPr>
        <w:spacing w:line="480" w:lineRule="exact"/>
        <w:rPr>
          <w:rFonts w:cs="宋体"/>
        </w:rPr>
      </w:pPr>
      <w:r>
        <w:rPr>
          <w:rFonts w:hint="eastAsia" w:cs="宋体"/>
        </w:rPr>
        <w:t>项目名称：                      </w:t>
      </w:r>
    </w:p>
    <w:p w14:paraId="23A32842">
      <w:pPr>
        <w:spacing w:line="480" w:lineRule="exact"/>
        <w:rPr>
          <w:rFonts w:cs="宋体"/>
        </w:rPr>
      </w:pPr>
      <w:r>
        <w:rPr>
          <w:rFonts w:hint="eastAsia" w:cs="宋体"/>
        </w:rPr>
        <w:t>项目编号：</w:t>
      </w:r>
    </w:p>
    <w:tbl>
      <w:tblPr>
        <w:tblStyle w:val="39"/>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7797"/>
      </w:tblGrid>
      <w:tr w14:paraId="5369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14:paraId="454C387A">
            <w:pPr>
              <w:spacing w:line="360" w:lineRule="auto"/>
              <w:jc w:val="center"/>
              <w:rPr>
                <w:rFonts w:ascii="宋体"/>
                <w:kern w:val="0"/>
                <w:sz w:val="24"/>
              </w:rPr>
            </w:pPr>
            <w:r>
              <w:rPr>
                <w:rFonts w:hint="eastAsia" w:ascii="宋体"/>
                <w:kern w:val="0"/>
                <w:sz w:val="24"/>
              </w:rPr>
              <w:t>序号</w:t>
            </w:r>
          </w:p>
        </w:tc>
        <w:tc>
          <w:tcPr>
            <w:tcW w:w="1417" w:type="dxa"/>
            <w:vAlign w:val="center"/>
          </w:tcPr>
          <w:p w14:paraId="181F8B9F">
            <w:pPr>
              <w:spacing w:line="360" w:lineRule="auto"/>
              <w:jc w:val="center"/>
              <w:rPr>
                <w:rFonts w:ascii="宋体"/>
                <w:kern w:val="0"/>
                <w:sz w:val="24"/>
              </w:rPr>
            </w:pPr>
            <w:r>
              <w:rPr>
                <w:rFonts w:hint="eastAsia" w:ascii="宋体"/>
                <w:kern w:val="0"/>
                <w:sz w:val="24"/>
              </w:rPr>
              <w:t>审查项目</w:t>
            </w:r>
          </w:p>
        </w:tc>
        <w:tc>
          <w:tcPr>
            <w:tcW w:w="7797" w:type="dxa"/>
            <w:vAlign w:val="center"/>
          </w:tcPr>
          <w:p w14:paraId="0D3C0A70">
            <w:pPr>
              <w:spacing w:line="360" w:lineRule="auto"/>
              <w:jc w:val="center"/>
              <w:rPr>
                <w:rFonts w:ascii="宋体"/>
                <w:kern w:val="0"/>
                <w:sz w:val="24"/>
              </w:rPr>
            </w:pPr>
            <w:r>
              <w:rPr>
                <w:rFonts w:hint="eastAsia" w:ascii="宋体"/>
                <w:kern w:val="0"/>
                <w:sz w:val="24"/>
              </w:rPr>
              <w:t>评议内容</w:t>
            </w:r>
          </w:p>
        </w:tc>
      </w:tr>
      <w:tr w14:paraId="4357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75" w:type="dxa"/>
            <w:vMerge w:val="restart"/>
            <w:vAlign w:val="center"/>
          </w:tcPr>
          <w:p w14:paraId="027AA5A6">
            <w:pPr>
              <w:spacing w:line="360" w:lineRule="auto"/>
              <w:jc w:val="center"/>
              <w:rPr>
                <w:rFonts w:ascii="宋体"/>
                <w:kern w:val="0"/>
                <w:sz w:val="24"/>
              </w:rPr>
            </w:pPr>
            <w:r>
              <w:rPr>
                <w:rFonts w:hint="eastAsia" w:ascii="宋体"/>
                <w:kern w:val="0"/>
                <w:sz w:val="24"/>
              </w:rPr>
              <w:t>1</w:t>
            </w:r>
          </w:p>
        </w:tc>
        <w:tc>
          <w:tcPr>
            <w:tcW w:w="1417" w:type="dxa"/>
            <w:vMerge w:val="restart"/>
            <w:vAlign w:val="center"/>
          </w:tcPr>
          <w:p w14:paraId="36318E26">
            <w:pPr>
              <w:spacing w:line="360" w:lineRule="auto"/>
              <w:jc w:val="center"/>
              <w:rPr>
                <w:rFonts w:ascii="宋体"/>
                <w:kern w:val="0"/>
                <w:sz w:val="24"/>
              </w:rPr>
            </w:pPr>
            <w:r>
              <w:rPr>
                <w:rFonts w:hint="eastAsia" w:ascii="宋体"/>
                <w:kern w:val="0"/>
                <w:sz w:val="24"/>
              </w:rPr>
              <w:t>相关资格证明文件</w:t>
            </w:r>
          </w:p>
        </w:tc>
        <w:tc>
          <w:tcPr>
            <w:tcW w:w="7797" w:type="dxa"/>
            <w:vAlign w:val="center"/>
          </w:tcPr>
          <w:p w14:paraId="26270E2B">
            <w:pPr>
              <w:spacing w:line="360" w:lineRule="auto"/>
              <w:jc w:val="left"/>
              <w:rPr>
                <w:rFonts w:ascii="宋体"/>
                <w:kern w:val="0"/>
                <w:sz w:val="24"/>
              </w:rPr>
            </w:pPr>
            <w:r>
              <w:rPr>
                <w:rFonts w:hint="eastAsia" w:ascii="宋体"/>
                <w:kern w:val="0"/>
                <w:sz w:val="24"/>
              </w:rPr>
              <w:t>1.中华人民共和国境内注册、具有独立承担民事责任的能力（提供营业执照或事业单位法人证书）。</w:t>
            </w:r>
          </w:p>
        </w:tc>
      </w:tr>
      <w:tr w14:paraId="1A77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vMerge w:val="continue"/>
            <w:vAlign w:val="center"/>
          </w:tcPr>
          <w:p w14:paraId="056EB527">
            <w:pPr>
              <w:spacing w:line="360" w:lineRule="auto"/>
              <w:ind w:firstLine="470" w:firstLineChars="196"/>
              <w:jc w:val="left"/>
              <w:rPr>
                <w:rFonts w:ascii="宋体"/>
                <w:kern w:val="0"/>
                <w:sz w:val="24"/>
              </w:rPr>
            </w:pPr>
          </w:p>
        </w:tc>
        <w:tc>
          <w:tcPr>
            <w:tcW w:w="1417" w:type="dxa"/>
            <w:vMerge w:val="continue"/>
            <w:vAlign w:val="center"/>
          </w:tcPr>
          <w:p w14:paraId="0328538B">
            <w:pPr>
              <w:spacing w:line="360" w:lineRule="auto"/>
              <w:ind w:firstLine="470" w:firstLineChars="196"/>
              <w:jc w:val="left"/>
              <w:rPr>
                <w:rFonts w:ascii="宋体"/>
                <w:kern w:val="0"/>
                <w:sz w:val="24"/>
              </w:rPr>
            </w:pPr>
          </w:p>
        </w:tc>
        <w:tc>
          <w:tcPr>
            <w:tcW w:w="7797" w:type="dxa"/>
            <w:vAlign w:val="center"/>
          </w:tcPr>
          <w:p w14:paraId="3D199BB7">
            <w:pPr>
              <w:spacing w:line="360" w:lineRule="auto"/>
              <w:jc w:val="left"/>
              <w:rPr>
                <w:rFonts w:ascii="宋体"/>
                <w:kern w:val="0"/>
                <w:sz w:val="24"/>
              </w:rPr>
            </w:pPr>
            <w:r>
              <w:rPr>
                <w:rFonts w:hint="eastAsia" w:ascii="宋体"/>
                <w:kern w:val="0"/>
                <w:sz w:val="24"/>
              </w:rPr>
              <w:t>2.具备《中华人民共和国政府采购法》第二十二条规定条件的承诺书。</w:t>
            </w:r>
          </w:p>
        </w:tc>
      </w:tr>
      <w:tr w14:paraId="36C0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Merge w:val="continue"/>
            <w:vAlign w:val="center"/>
          </w:tcPr>
          <w:p w14:paraId="79438C7A">
            <w:pPr>
              <w:spacing w:line="360" w:lineRule="auto"/>
              <w:ind w:firstLine="470" w:firstLineChars="196"/>
              <w:jc w:val="left"/>
              <w:rPr>
                <w:rFonts w:ascii="宋体"/>
                <w:kern w:val="0"/>
                <w:sz w:val="24"/>
              </w:rPr>
            </w:pPr>
          </w:p>
        </w:tc>
        <w:tc>
          <w:tcPr>
            <w:tcW w:w="1417" w:type="dxa"/>
            <w:vMerge w:val="continue"/>
            <w:vAlign w:val="center"/>
          </w:tcPr>
          <w:p w14:paraId="2F7122A7">
            <w:pPr>
              <w:spacing w:line="360" w:lineRule="auto"/>
              <w:ind w:firstLine="470" w:firstLineChars="196"/>
              <w:jc w:val="left"/>
              <w:rPr>
                <w:rFonts w:ascii="宋体"/>
                <w:kern w:val="0"/>
                <w:sz w:val="24"/>
              </w:rPr>
            </w:pPr>
          </w:p>
        </w:tc>
        <w:tc>
          <w:tcPr>
            <w:tcW w:w="7797" w:type="dxa"/>
            <w:vAlign w:val="center"/>
          </w:tcPr>
          <w:p w14:paraId="224B1DBD">
            <w:pPr>
              <w:spacing w:line="360" w:lineRule="auto"/>
              <w:jc w:val="left"/>
              <w:rPr>
                <w:rFonts w:ascii="宋体"/>
                <w:kern w:val="0"/>
                <w:sz w:val="24"/>
              </w:rPr>
            </w:pPr>
            <w:r>
              <w:rPr>
                <w:rFonts w:hint="eastAsia" w:ascii="宋体"/>
                <w:kern w:val="0"/>
                <w:sz w:val="24"/>
              </w:rPr>
              <w:t>3.按附件格式提供投标人投标承诺书。</w:t>
            </w:r>
          </w:p>
        </w:tc>
      </w:tr>
      <w:tr w14:paraId="08F0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Merge w:val="continue"/>
            <w:vAlign w:val="center"/>
          </w:tcPr>
          <w:p w14:paraId="1476A0EF">
            <w:pPr>
              <w:spacing w:line="360" w:lineRule="auto"/>
              <w:ind w:firstLine="470" w:firstLineChars="196"/>
              <w:jc w:val="left"/>
              <w:rPr>
                <w:rFonts w:ascii="宋体"/>
                <w:kern w:val="0"/>
                <w:sz w:val="24"/>
              </w:rPr>
            </w:pPr>
          </w:p>
        </w:tc>
        <w:tc>
          <w:tcPr>
            <w:tcW w:w="1417" w:type="dxa"/>
            <w:vMerge w:val="continue"/>
            <w:vAlign w:val="center"/>
          </w:tcPr>
          <w:p w14:paraId="2608A247">
            <w:pPr>
              <w:spacing w:line="360" w:lineRule="auto"/>
              <w:ind w:firstLine="470" w:firstLineChars="196"/>
              <w:jc w:val="left"/>
              <w:rPr>
                <w:rFonts w:ascii="宋体"/>
                <w:kern w:val="0"/>
                <w:sz w:val="24"/>
              </w:rPr>
            </w:pPr>
          </w:p>
        </w:tc>
        <w:tc>
          <w:tcPr>
            <w:tcW w:w="7797" w:type="dxa"/>
            <w:vAlign w:val="center"/>
          </w:tcPr>
          <w:p w14:paraId="34465323">
            <w:pPr>
              <w:spacing w:line="360" w:lineRule="auto"/>
              <w:jc w:val="left"/>
              <w:rPr>
                <w:rFonts w:ascii="宋体"/>
                <w:kern w:val="0"/>
                <w:sz w:val="24"/>
              </w:rPr>
            </w:pPr>
            <w:r>
              <w:rPr>
                <w:rFonts w:hint="eastAsia" w:ascii="宋体"/>
                <w:kern w:val="0"/>
                <w:sz w:val="24"/>
              </w:rPr>
              <w:t>4.投标人承诺遵守国家和军队有关法律法规及保密要求（提供承诺函）</w:t>
            </w:r>
          </w:p>
        </w:tc>
      </w:tr>
      <w:tr w14:paraId="24FA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031F23A2">
            <w:pPr>
              <w:spacing w:line="360" w:lineRule="auto"/>
              <w:ind w:firstLine="470" w:firstLineChars="196"/>
              <w:jc w:val="left"/>
              <w:rPr>
                <w:rFonts w:ascii="宋体"/>
                <w:kern w:val="0"/>
                <w:sz w:val="24"/>
              </w:rPr>
            </w:pPr>
          </w:p>
        </w:tc>
        <w:tc>
          <w:tcPr>
            <w:tcW w:w="1417" w:type="dxa"/>
            <w:vMerge w:val="continue"/>
            <w:vAlign w:val="center"/>
          </w:tcPr>
          <w:p w14:paraId="5CA6B599">
            <w:pPr>
              <w:spacing w:line="360" w:lineRule="auto"/>
              <w:ind w:firstLine="470" w:firstLineChars="196"/>
              <w:jc w:val="left"/>
              <w:rPr>
                <w:rFonts w:ascii="宋体"/>
                <w:kern w:val="0"/>
                <w:sz w:val="24"/>
              </w:rPr>
            </w:pPr>
          </w:p>
        </w:tc>
        <w:tc>
          <w:tcPr>
            <w:tcW w:w="7797" w:type="dxa"/>
            <w:vAlign w:val="center"/>
          </w:tcPr>
          <w:p w14:paraId="02918DD3">
            <w:pPr>
              <w:spacing w:line="360" w:lineRule="auto"/>
              <w:jc w:val="left"/>
              <w:rPr>
                <w:rFonts w:ascii="宋体"/>
                <w:kern w:val="0"/>
                <w:sz w:val="24"/>
              </w:rPr>
            </w:pPr>
            <w:r>
              <w:rPr>
                <w:rFonts w:hint="eastAsia" w:ascii="宋体"/>
                <w:kern w:val="0"/>
                <w:sz w:val="24"/>
              </w:rPr>
              <w:t>5.信用信息查询</w:t>
            </w:r>
          </w:p>
        </w:tc>
      </w:tr>
      <w:tr w14:paraId="51C4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37A4A619">
            <w:pPr>
              <w:spacing w:line="360" w:lineRule="auto"/>
              <w:ind w:firstLine="470" w:firstLineChars="196"/>
              <w:jc w:val="left"/>
              <w:rPr>
                <w:rFonts w:ascii="宋体"/>
                <w:kern w:val="0"/>
                <w:sz w:val="24"/>
              </w:rPr>
            </w:pPr>
          </w:p>
        </w:tc>
        <w:tc>
          <w:tcPr>
            <w:tcW w:w="1417" w:type="dxa"/>
            <w:vMerge w:val="continue"/>
            <w:vAlign w:val="center"/>
          </w:tcPr>
          <w:p w14:paraId="4284E7BF">
            <w:pPr>
              <w:spacing w:line="360" w:lineRule="auto"/>
              <w:ind w:firstLine="470" w:firstLineChars="196"/>
              <w:jc w:val="left"/>
              <w:rPr>
                <w:rFonts w:ascii="宋体"/>
                <w:kern w:val="0"/>
                <w:sz w:val="24"/>
              </w:rPr>
            </w:pPr>
          </w:p>
        </w:tc>
        <w:tc>
          <w:tcPr>
            <w:tcW w:w="7797" w:type="dxa"/>
            <w:vAlign w:val="center"/>
          </w:tcPr>
          <w:p w14:paraId="7FBB5BFB">
            <w:pPr>
              <w:spacing w:line="360" w:lineRule="auto"/>
              <w:jc w:val="left"/>
              <w:rPr>
                <w:rFonts w:ascii="宋体"/>
                <w:kern w:val="0"/>
                <w:sz w:val="24"/>
              </w:rPr>
            </w:pPr>
            <w:r>
              <w:rPr>
                <w:rFonts w:hint="eastAsia" w:ascii="宋体"/>
                <w:kern w:val="0"/>
                <w:sz w:val="24"/>
              </w:rPr>
              <w:t>6.无其他不符合招标文件资格要求的条件</w:t>
            </w:r>
          </w:p>
        </w:tc>
      </w:tr>
      <w:tr w14:paraId="2427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89" w:type="dxa"/>
            <w:gridSpan w:val="3"/>
            <w:vAlign w:val="center"/>
          </w:tcPr>
          <w:p w14:paraId="7FF99070">
            <w:pPr>
              <w:spacing w:line="480" w:lineRule="exact"/>
              <w:rPr>
                <w:rFonts w:cs="宋体"/>
              </w:rPr>
            </w:pPr>
            <w:r>
              <w:rPr>
                <w:rFonts w:hint="eastAsia" w:cs="宋体"/>
              </w:rPr>
              <w:t>结论</w:t>
            </w:r>
          </w:p>
        </w:tc>
      </w:tr>
    </w:tbl>
    <w:p w14:paraId="08C7ED9D">
      <w:pPr>
        <w:spacing w:line="480" w:lineRule="exact"/>
        <w:rPr>
          <w:rFonts w:cs="宋体"/>
        </w:rPr>
      </w:pPr>
    </w:p>
    <w:p w14:paraId="78F356BB">
      <w:pPr>
        <w:spacing w:line="480" w:lineRule="exact"/>
        <w:jc w:val="center"/>
        <w:rPr>
          <w:rFonts w:cs="宋体"/>
          <w:b/>
          <w:bCs/>
          <w:sz w:val="24"/>
        </w:rPr>
      </w:pPr>
    </w:p>
    <w:p w14:paraId="2A5334B4">
      <w:pPr>
        <w:spacing w:line="480" w:lineRule="exact"/>
        <w:jc w:val="center"/>
        <w:rPr>
          <w:rFonts w:cs="宋体"/>
          <w:b/>
          <w:bCs/>
          <w:sz w:val="24"/>
        </w:rPr>
      </w:pPr>
    </w:p>
    <w:p w14:paraId="55199F1A">
      <w:pPr>
        <w:spacing w:line="480" w:lineRule="exact"/>
        <w:jc w:val="center"/>
        <w:rPr>
          <w:rFonts w:cs="宋体"/>
          <w:b/>
          <w:bCs/>
          <w:sz w:val="24"/>
        </w:rPr>
      </w:pPr>
    </w:p>
    <w:p w14:paraId="52F98DBF">
      <w:pPr>
        <w:spacing w:line="480" w:lineRule="exact"/>
        <w:jc w:val="center"/>
        <w:rPr>
          <w:rFonts w:cs="宋体"/>
          <w:b/>
          <w:bCs/>
          <w:sz w:val="24"/>
        </w:rPr>
      </w:pPr>
    </w:p>
    <w:p w14:paraId="4ABFC867">
      <w:pPr>
        <w:spacing w:line="480" w:lineRule="exact"/>
        <w:jc w:val="center"/>
        <w:rPr>
          <w:rFonts w:cs="宋体"/>
          <w:b/>
          <w:bCs/>
          <w:sz w:val="24"/>
        </w:rPr>
      </w:pPr>
    </w:p>
    <w:p w14:paraId="3A780676">
      <w:pPr>
        <w:spacing w:line="480" w:lineRule="exact"/>
        <w:jc w:val="center"/>
        <w:rPr>
          <w:rFonts w:cs="宋体"/>
          <w:b/>
          <w:bCs/>
          <w:sz w:val="24"/>
        </w:rPr>
      </w:pPr>
    </w:p>
    <w:p w14:paraId="299CBE0D">
      <w:pPr>
        <w:spacing w:line="480" w:lineRule="exact"/>
        <w:jc w:val="center"/>
        <w:rPr>
          <w:rFonts w:cs="宋体"/>
          <w:b/>
          <w:bCs/>
          <w:sz w:val="24"/>
        </w:rPr>
      </w:pPr>
    </w:p>
    <w:p w14:paraId="7D33C2C0">
      <w:pPr>
        <w:spacing w:line="480" w:lineRule="exact"/>
        <w:jc w:val="center"/>
        <w:rPr>
          <w:rFonts w:cs="宋体"/>
          <w:b/>
          <w:bCs/>
          <w:sz w:val="24"/>
        </w:rPr>
      </w:pPr>
    </w:p>
    <w:p w14:paraId="45C32B46">
      <w:pPr>
        <w:spacing w:line="480" w:lineRule="exact"/>
        <w:jc w:val="center"/>
        <w:rPr>
          <w:rFonts w:cs="宋体"/>
          <w:b/>
          <w:bCs/>
          <w:sz w:val="24"/>
        </w:rPr>
      </w:pPr>
    </w:p>
    <w:p w14:paraId="6B5FE914">
      <w:pPr>
        <w:spacing w:line="480" w:lineRule="exact"/>
        <w:jc w:val="center"/>
        <w:rPr>
          <w:rFonts w:cs="宋体"/>
          <w:b/>
          <w:bCs/>
          <w:sz w:val="24"/>
        </w:rPr>
      </w:pPr>
    </w:p>
    <w:p w14:paraId="597D9D80">
      <w:pPr>
        <w:spacing w:line="480" w:lineRule="exact"/>
        <w:jc w:val="center"/>
        <w:rPr>
          <w:rFonts w:cs="宋体"/>
          <w:b/>
          <w:bCs/>
          <w:sz w:val="24"/>
        </w:rPr>
      </w:pPr>
    </w:p>
    <w:p w14:paraId="43100D71">
      <w:pPr>
        <w:spacing w:line="480" w:lineRule="exact"/>
        <w:jc w:val="center"/>
        <w:rPr>
          <w:rFonts w:cs="宋体"/>
          <w:b/>
          <w:bCs/>
          <w:sz w:val="24"/>
        </w:rPr>
      </w:pPr>
      <w:r>
        <w:rPr>
          <w:rFonts w:hint="eastAsia" w:cs="宋体"/>
          <w:b/>
          <w:bCs/>
          <w:sz w:val="24"/>
        </w:rPr>
        <w:t>符合性审查标准</w:t>
      </w:r>
    </w:p>
    <w:p w14:paraId="59E08F00">
      <w:pPr>
        <w:spacing w:line="480" w:lineRule="exact"/>
        <w:rPr>
          <w:rFonts w:cs="宋体"/>
        </w:rPr>
      </w:pPr>
    </w:p>
    <w:p w14:paraId="16DAE2DF">
      <w:pPr>
        <w:spacing w:line="480" w:lineRule="exact"/>
        <w:rPr>
          <w:rFonts w:cs="宋体"/>
        </w:rPr>
      </w:pPr>
      <w:r>
        <w:rPr>
          <w:rFonts w:hint="eastAsia" w:cs="宋体"/>
        </w:rPr>
        <w:t>项目名称：                      </w:t>
      </w:r>
    </w:p>
    <w:p w14:paraId="663E3FC1">
      <w:pPr>
        <w:spacing w:line="480" w:lineRule="exact"/>
        <w:rPr>
          <w:rFonts w:hint="eastAsia" w:ascii="仿宋" w:hAnsi="仿宋" w:eastAsia="仿宋"/>
          <w:sz w:val="27"/>
          <w:szCs w:val="27"/>
          <w:shd w:val="clear" w:color="auto" w:fill="FFFFFF"/>
        </w:rPr>
      </w:pPr>
      <w:r>
        <w:rPr>
          <w:rFonts w:hint="eastAsia" w:cs="宋体"/>
        </w:rPr>
        <w:t>项目编号：</w:t>
      </w:r>
    </w:p>
    <w:tbl>
      <w:tblPr>
        <w:tblStyle w:val="3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2AF2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7" w:type="dxa"/>
            <w:vAlign w:val="center"/>
          </w:tcPr>
          <w:p w14:paraId="7D20B889">
            <w:pPr>
              <w:spacing w:line="480" w:lineRule="exact"/>
              <w:jc w:val="center"/>
              <w:rPr>
                <w:b/>
                <w:bCs/>
              </w:rPr>
            </w:pPr>
            <w:r>
              <w:rPr>
                <w:rFonts w:hint="eastAsia" w:cs="宋体"/>
                <w:b/>
                <w:bCs/>
              </w:rPr>
              <w:t>序号</w:t>
            </w:r>
          </w:p>
        </w:tc>
        <w:tc>
          <w:tcPr>
            <w:tcW w:w="1491" w:type="dxa"/>
            <w:vAlign w:val="center"/>
          </w:tcPr>
          <w:p w14:paraId="6B544F69">
            <w:pPr>
              <w:spacing w:line="480" w:lineRule="exact"/>
              <w:jc w:val="center"/>
              <w:rPr>
                <w:b/>
                <w:bCs/>
              </w:rPr>
            </w:pPr>
            <w:r>
              <w:rPr>
                <w:rFonts w:hint="eastAsia" w:cs="宋体"/>
                <w:b/>
                <w:bCs/>
              </w:rPr>
              <w:t>审查项目</w:t>
            </w:r>
          </w:p>
        </w:tc>
        <w:tc>
          <w:tcPr>
            <w:tcW w:w="7514" w:type="dxa"/>
            <w:vAlign w:val="center"/>
          </w:tcPr>
          <w:p w14:paraId="1C7761DD">
            <w:pPr>
              <w:spacing w:line="480" w:lineRule="exact"/>
              <w:jc w:val="center"/>
              <w:rPr>
                <w:b/>
                <w:bCs/>
              </w:rPr>
            </w:pPr>
            <w:r>
              <w:rPr>
                <w:rFonts w:hint="eastAsia" w:cs="宋体"/>
                <w:b/>
                <w:bCs/>
              </w:rPr>
              <w:t>评审内容</w:t>
            </w:r>
          </w:p>
        </w:tc>
      </w:tr>
      <w:tr w14:paraId="53EB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3B71A4E">
            <w:pPr>
              <w:spacing w:line="320" w:lineRule="exact"/>
              <w:jc w:val="center"/>
              <w:rPr>
                <w:b/>
                <w:bCs/>
              </w:rPr>
            </w:pPr>
            <w:r>
              <w:rPr>
                <w:rFonts w:hint="eastAsia"/>
                <w:b/>
                <w:bCs/>
              </w:rPr>
              <w:t>1</w:t>
            </w:r>
          </w:p>
        </w:tc>
        <w:tc>
          <w:tcPr>
            <w:tcW w:w="1491" w:type="dxa"/>
            <w:vAlign w:val="center"/>
          </w:tcPr>
          <w:p w14:paraId="4278F5BB">
            <w:pPr>
              <w:spacing w:line="320" w:lineRule="exact"/>
              <w:jc w:val="center"/>
              <w:rPr>
                <w:b/>
                <w:bCs/>
              </w:rPr>
            </w:pPr>
            <w:r>
              <w:rPr>
                <w:rFonts w:hint="eastAsia" w:cs="宋体"/>
                <w:b/>
                <w:bCs/>
              </w:rPr>
              <w:t>投标文件的有效性</w:t>
            </w:r>
          </w:p>
        </w:tc>
        <w:tc>
          <w:tcPr>
            <w:tcW w:w="7514" w:type="dxa"/>
            <w:vAlign w:val="center"/>
          </w:tcPr>
          <w:p w14:paraId="3577E724">
            <w:pPr>
              <w:spacing w:line="360" w:lineRule="exact"/>
            </w:pPr>
            <w:r>
              <w:rPr>
                <w:rFonts w:hint="eastAsia" w:cs="宋体"/>
              </w:rPr>
              <w:t>是否符合投标文件的式样和签署要求且内容完整无缺漏</w:t>
            </w:r>
          </w:p>
        </w:tc>
      </w:tr>
      <w:tr w14:paraId="7CF0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1015F0C">
            <w:pPr>
              <w:spacing w:line="320" w:lineRule="exact"/>
              <w:jc w:val="center"/>
              <w:rPr>
                <w:b/>
                <w:bCs/>
              </w:rPr>
            </w:pPr>
            <w:r>
              <w:rPr>
                <w:rFonts w:hint="eastAsia"/>
                <w:b/>
                <w:bCs/>
              </w:rPr>
              <w:t>2</w:t>
            </w:r>
          </w:p>
        </w:tc>
        <w:tc>
          <w:tcPr>
            <w:tcW w:w="1491" w:type="dxa"/>
            <w:vAlign w:val="center"/>
          </w:tcPr>
          <w:p w14:paraId="2CA7F0B4">
            <w:pPr>
              <w:spacing w:line="480" w:lineRule="exact"/>
              <w:jc w:val="center"/>
              <w:rPr>
                <w:b/>
                <w:bCs/>
              </w:rPr>
            </w:pPr>
            <w:r>
              <w:rPr>
                <w:rFonts w:hint="eastAsia" w:cs="宋体"/>
                <w:b/>
                <w:bCs/>
              </w:rPr>
              <w:t>投标有效期</w:t>
            </w:r>
          </w:p>
        </w:tc>
        <w:tc>
          <w:tcPr>
            <w:tcW w:w="7514" w:type="dxa"/>
            <w:vAlign w:val="center"/>
          </w:tcPr>
          <w:p w14:paraId="41C9FCB6">
            <w:pPr>
              <w:spacing w:line="480" w:lineRule="exact"/>
            </w:pPr>
            <w:r>
              <w:rPr>
                <w:rFonts w:hint="eastAsia" w:cs="宋体"/>
              </w:rPr>
              <w:t>投标有效期是否满足90天</w:t>
            </w:r>
          </w:p>
        </w:tc>
      </w:tr>
      <w:tr w14:paraId="49BD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47" w:type="dxa"/>
            <w:vAlign w:val="center"/>
          </w:tcPr>
          <w:p w14:paraId="39A3E4E6">
            <w:pPr>
              <w:spacing w:line="320" w:lineRule="exact"/>
              <w:jc w:val="center"/>
              <w:rPr>
                <w:b/>
                <w:bCs/>
              </w:rPr>
            </w:pPr>
            <w:r>
              <w:rPr>
                <w:rFonts w:hint="eastAsia"/>
                <w:b/>
                <w:bCs/>
              </w:rPr>
              <w:t>3</w:t>
            </w:r>
          </w:p>
        </w:tc>
        <w:tc>
          <w:tcPr>
            <w:tcW w:w="1491" w:type="dxa"/>
            <w:vAlign w:val="center"/>
          </w:tcPr>
          <w:p w14:paraId="5F91106A">
            <w:pPr>
              <w:spacing w:line="360" w:lineRule="exact"/>
              <w:jc w:val="center"/>
              <w:rPr>
                <w:b/>
                <w:bCs/>
              </w:rPr>
            </w:pPr>
            <w:r>
              <w:rPr>
                <w:rFonts w:hint="eastAsia" w:cs="宋体"/>
                <w:b/>
                <w:bCs/>
              </w:rPr>
              <w:t>投标价</w:t>
            </w:r>
          </w:p>
        </w:tc>
        <w:tc>
          <w:tcPr>
            <w:tcW w:w="7514" w:type="dxa"/>
            <w:vAlign w:val="center"/>
          </w:tcPr>
          <w:p w14:paraId="5B2F8993">
            <w:pPr>
              <w:spacing w:line="360" w:lineRule="exact"/>
            </w:pPr>
            <w:r>
              <w:rPr>
                <w:rFonts w:hint="eastAsia" w:cs="宋体"/>
              </w:rPr>
              <w:t>投标价是否唯一且不超过采购预算</w:t>
            </w:r>
          </w:p>
        </w:tc>
      </w:tr>
      <w:tr w14:paraId="3A28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C0125CD">
            <w:pPr>
              <w:spacing w:line="320" w:lineRule="exact"/>
              <w:jc w:val="center"/>
              <w:rPr>
                <w:b/>
                <w:bCs/>
              </w:rPr>
            </w:pPr>
            <w:r>
              <w:rPr>
                <w:rFonts w:hint="eastAsia"/>
                <w:b/>
                <w:bCs/>
              </w:rPr>
              <w:t>4</w:t>
            </w:r>
          </w:p>
        </w:tc>
        <w:tc>
          <w:tcPr>
            <w:tcW w:w="1491" w:type="dxa"/>
            <w:vAlign w:val="center"/>
          </w:tcPr>
          <w:p w14:paraId="2313E9D7">
            <w:pPr>
              <w:spacing w:line="360" w:lineRule="exact"/>
              <w:jc w:val="center"/>
              <w:rPr>
                <w:b/>
                <w:bCs/>
              </w:rPr>
            </w:pPr>
            <w:r>
              <w:rPr>
                <w:rFonts w:hint="eastAsia" w:cs="宋体"/>
                <w:b/>
                <w:bCs/>
              </w:rPr>
              <w:t>交货期</w:t>
            </w:r>
          </w:p>
        </w:tc>
        <w:tc>
          <w:tcPr>
            <w:tcW w:w="7514" w:type="dxa"/>
            <w:vAlign w:val="center"/>
          </w:tcPr>
          <w:p w14:paraId="4DFE91B4">
            <w:pPr>
              <w:spacing w:line="360" w:lineRule="exact"/>
            </w:pPr>
            <w:r>
              <w:rPr>
                <w:rFonts w:hint="eastAsia" w:cs="宋体"/>
              </w:rPr>
              <w:t>是否按照招标文件规定时间</w:t>
            </w:r>
          </w:p>
        </w:tc>
      </w:tr>
      <w:tr w14:paraId="5C79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1BD4739">
            <w:pPr>
              <w:spacing w:line="320" w:lineRule="exact"/>
              <w:jc w:val="center"/>
              <w:rPr>
                <w:b/>
                <w:bCs/>
              </w:rPr>
            </w:pPr>
            <w:r>
              <w:rPr>
                <w:rFonts w:hint="eastAsia"/>
                <w:b/>
                <w:bCs/>
              </w:rPr>
              <w:t>5</w:t>
            </w:r>
          </w:p>
        </w:tc>
        <w:tc>
          <w:tcPr>
            <w:tcW w:w="1491" w:type="dxa"/>
            <w:vAlign w:val="center"/>
          </w:tcPr>
          <w:p w14:paraId="1562298E">
            <w:pPr>
              <w:spacing w:line="360" w:lineRule="exact"/>
              <w:jc w:val="center"/>
              <w:rPr>
                <w:b/>
                <w:bCs/>
              </w:rPr>
            </w:pPr>
            <w:r>
              <w:rPr>
                <w:rFonts w:hint="eastAsia" w:cs="宋体"/>
                <w:b/>
                <w:bCs/>
              </w:rPr>
              <w:t>其它</w:t>
            </w:r>
          </w:p>
        </w:tc>
        <w:tc>
          <w:tcPr>
            <w:tcW w:w="7514" w:type="dxa"/>
            <w:vAlign w:val="center"/>
          </w:tcPr>
          <w:p w14:paraId="71E0E9E0">
            <w:pPr>
              <w:spacing w:line="360" w:lineRule="exact"/>
            </w:pPr>
            <w:r>
              <w:rPr>
                <w:rFonts w:hint="eastAsia" w:cs="宋体"/>
              </w:rPr>
              <w:t>无其它符合招标文件中或相关法律法规规定的无效投标认定条件</w:t>
            </w:r>
          </w:p>
        </w:tc>
      </w:tr>
      <w:tr w14:paraId="5BDE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52" w:type="dxa"/>
            <w:gridSpan w:val="3"/>
            <w:vAlign w:val="center"/>
          </w:tcPr>
          <w:p w14:paraId="2EC87931">
            <w:pPr>
              <w:spacing w:line="480" w:lineRule="exact"/>
              <w:jc w:val="center"/>
            </w:pPr>
            <w:r>
              <w:rPr>
                <w:rFonts w:hint="eastAsia" w:cs="宋体"/>
                <w:b/>
                <w:bCs/>
              </w:rPr>
              <w:t>结论</w:t>
            </w:r>
          </w:p>
        </w:tc>
      </w:tr>
    </w:tbl>
    <w:p w14:paraId="6FA64AFD">
      <w:pPr>
        <w:spacing w:before="156" w:beforeLines="50" w:after="156" w:afterLines="50" w:line="440" w:lineRule="exact"/>
        <w:jc w:val="center"/>
        <w:rPr>
          <w:rFonts w:hint="eastAsia"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9"/>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5"/>
        <w:gridCol w:w="6945"/>
        <w:gridCol w:w="829"/>
      </w:tblGrid>
      <w:tr w14:paraId="35C7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44" w:type="dxa"/>
            <w:noWrap/>
            <w:vAlign w:val="center"/>
          </w:tcPr>
          <w:p w14:paraId="5997B0C3">
            <w:pPr>
              <w:spacing w:line="360" w:lineRule="exact"/>
              <w:rPr>
                <w:rFonts w:cs="宋体"/>
              </w:rPr>
            </w:pPr>
            <w:r>
              <w:rPr>
                <w:rFonts w:hint="eastAsia" w:cs="宋体"/>
              </w:rPr>
              <w:t>序号</w:t>
            </w:r>
          </w:p>
        </w:tc>
        <w:tc>
          <w:tcPr>
            <w:tcW w:w="1145" w:type="dxa"/>
            <w:noWrap/>
            <w:vAlign w:val="center"/>
          </w:tcPr>
          <w:p w14:paraId="2B651590">
            <w:pPr>
              <w:spacing w:line="360" w:lineRule="exact"/>
              <w:rPr>
                <w:rFonts w:cs="宋体"/>
              </w:rPr>
            </w:pPr>
            <w:r>
              <w:rPr>
                <w:rFonts w:hint="eastAsia" w:cs="宋体"/>
              </w:rPr>
              <w:t>评分指标</w:t>
            </w:r>
          </w:p>
        </w:tc>
        <w:tc>
          <w:tcPr>
            <w:tcW w:w="6945" w:type="dxa"/>
            <w:noWrap/>
            <w:vAlign w:val="center"/>
          </w:tcPr>
          <w:p w14:paraId="5FF8FE4B">
            <w:pPr>
              <w:spacing w:line="360" w:lineRule="exact"/>
              <w:rPr>
                <w:rFonts w:cs="宋体"/>
              </w:rPr>
            </w:pPr>
            <w:r>
              <w:rPr>
                <w:rFonts w:hint="eastAsia" w:cs="宋体"/>
              </w:rPr>
              <w:t>评分标准</w:t>
            </w:r>
          </w:p>
        </w:tc>
        <w:tc>
          <w:tcPr>
            <w:tcW w:w="829" w:type="dxa"/>
            <w:noWrap/>
            <w:vAlign w:val="center"/>
          </w:tcPr>
          <w:p w14:paraId="6E4059F0">
            <w:pPr>
              <w:spacing w:line="360" w:lineRule="exact"/>
              <w:rPr>
                <w:rFonts w:cs="宋体"/>
              </w:rPr>
            </w:pPr>
            <w:r>
              <w:rPr>
                <w:rFonts w:hint="eastAsia" w:cs="宋体"/>
              </w:rPr>
              <w:t>分值</w:t>
            </w:r>
          </w:p>
        </w:tc>
      </w:tr>
      <w:tr w14:paraId="70A5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44" w:type="dxa"/>
            <w:noWrap/>
            <w:vAlign w:val="center"/>
          </w:tcPr>
          <w:p w14:paraId="34F381BE">
            <w:pPr>
              <w:spacing w:line="360" w:lineRule="exact"/>
              <w:jc w:val="center"/>
              <w:rPr>
                <w:rFonts w:cs="宋体"/>
              </w:rPr>
            </w:pPr>
            <w:r>
              <w:rPr>
                <w:rFonts w:hint="eastAsia" w:cs="宋体"/>
              </w:rPr>
              <w:t>1</w:t>
            </w:r>
          </w:p>
        </w:tc>
        <w:tc>
          <w:tcPr>
            <w:tcW w:w="1145" w:type="dxa"/>
            <w:noWrap/>
            <w:vAlign w:val="center"/>
          </w:tcPr>
          <w:p w14:paraId="7CC51483">
            <w:pPr>
              <w:spacing w:line="360" w:lineRule="exact"/>
              <w:jc w:val="center"/>
              <w:rPr>
                <w:rFonts w:cs="宋体"/>
              </w:rPr>
            </w:pPr>
            <w:r>
              <w:rPr>
                <w:rFonts w:hint="eastAsia" w:cs="宋体"/>
              </w:rPr>
              <w:t>类似项目业绩</w:t>
            </w:r>
          </w:p>
        </w:tc>
        <w:tc>
          <w:tcPr>
            <w:tcW w:w="6945" w:type="dxa"/>
            <w:noWrap/>
            <w:vAlign w:val="center"/>
          </w:tcPr>
          <w:p w14:paraId="2FB0D22A">
            <w:pPr>
              <w:spacing w:line="360" w:lineRule="exact"/>
              <w:rPr>
                <w:rFonts w:cs="宋体"/>
              </w:rPr>
            </w:pPr>
            <w:r>
              <w:rPr>
                <w:rFonts w:hint="eastAsia" w:cs="宋体"/>
              </w:rPr>
              <w:t>供应商自 2022年1月1日以来具有类似项目，每项得5分，满分10分。</w:t>
            </w:r>
          </w:p>
          <w:p w14:paraId="2D7B5061">
            <w:pPr>
              <w:spacing w:line="360" w:lineRule="exact"/>
              <w:rPr>
                <w:rFonts w:cs="宋体"/>
              </w:rPr>
            </w:pPr>
            <w:r>
              <w:rPr>
                <w:rFonts w:hint="eastAsia" w:cs="宋体"/>
              </w:rPr>
              <w:t>证明材料：提供合同协议书关键页复印件加盖公章（时间以合同签订时间为准）。</w:t>
            </w:r>
          </w:p>
        </w:tc>
        <w:tc>
          <w:tcPr>
            <w:tcW w:w="829" w:type="dxa"/>
            <w:noWrap/>
            <w:vAlign w:val="center"/>
          </w:tcPr>
          <w:p w14:paraId="6EC758C6">
            <w:pPr>
              <w:spacing w:line="360" w:lineRule="exact"/>
              <w:jc w:val="center"/>
              <w:rPr>
                <w:rFonts w:cs="宋体"/>
              </w:rPr>
            </w:pPr>
            <w:r>
              <w:rPr>
                <w:rFonts w:hint="eastAsia" w:cs="宋体"/>
              </w:rPr>
              <w:t>10分</w:t>
            </w:r>
          </w:p>
        </w:tc>
      </w:tr>
      <w:tr w14:paraId="05C4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44" w:type="dxa"/>
            <w:noWrap/>
            <w:vAlign w:val="center"/>
          </w:tcPr>
          <w:p w14:paraId="1DC47C08">
            <w:pPr>
              <w:spacing w:line="360" w:lineRule="exact"/>
              <w:jc w:val="center"/>
              <w:rPr>
                <w:rFonts w:cs="宋体"/>
              </w:rPr>
            </w:pPr>
            <w:r>
              <w:rPr>
                <w:rFonts w:hint="eastAsia" w:cs="宋体"/>
              </w:rPr>
              <w:t>2</w:t>
            </w:r>
          </w:p>
        </w:tc>
        <w:tc>
          <w:tcPr>
            <w:tcW w:w="1145" w:type="dxa"/>
            <w:noWrap/>
            <w:vAlign w:val="center"/>
          </w:tcPr>
          <w:p w14:paraId="15D703C5">
            <w:pPr>
              <w:spacing w:line="360" w:lineRule="exact"/>
              <w:jc w:val="center"/>
              <w:rPr>
                <w:rFonts w:cs="宋体"/>
              </w:rPr>
            </w:pPr>
            <w:r>
              <w:rPr>
                <w:rFonts w:hint="eastAsia" w:cs="宋体"/>
              </w:rPr>
              <w:t>技术响应部分</w:t>
            </w:r>
          </w:p>
        </w:tc>
        <w:tc>
          <w:tcPr>
            <w:tcW w:w="6945" w:type="dxa"/>
            <w:noWrap/>
            <w:vAlign w:val="center"/>
          </w:tcPr>
          <w:p w14:paraId="74B84D44">
            <w:pPr>
              <w:spacing w:line="360" w:lineRule="exact"/>
              <w:rPr>
                <w:rFonts w:cs="宋体"/>
              </w:rPr>
            </w:pPr>
            <w:r>
              <w:rPr>
                <w:rFonts w:hint="eastAsia" w:cs="宋体"/>
              </w:rPr>
              <w:t>技术部分40分。供应商须对比选文件“采购项目需求书”各项技术参数及功能要求的响应情况进行逐一响应。</w:t>
            </w:r>
          </w:p>
          <w:p w14:paraId="5D792C74">
            <w:pPr>
              <w:spacing w:line="360" w:lineRule="exact"/>
              <w:rPr>
                <w:rFonts w:cs="宋体"/>
              </w:rPr>
            </w:pPr>
            <w:r>
              <w:rPr>
                <w:rFonts w:hint="eastAsia" w:cs="宋体"/>
              </w:rPr>
              <w:t>“★”号参数为重点参数，每有一条不满足或有负偏离的，扣1.5分，非“★”参数每有一条不满足或有负偏离的，扣0.2分，扣完为止。</w:t>
            </w:r>
          </w:p>
          <w:p w14:paraId="0CAB36A2">
            <w:pPr>
              <w:spacing w:line="360" w:lineRule="exact"/>
              <w:rPr>
                <w:rFonts w:cs="宋体"/>
              </w:rPr>
            </w:pPr>
            <w:r>
              <w:rPr>
                <w:rFonts w:hint="eastAsia" w:cs="宋体"/>
              </w:rPr>
              <w:t>注：1、比选文件中要求的技术参数及功能要求为基本要求，供应商投标技术参数和功能要求优于或等于比选文件的均不扣分，优于的须提供相关证明文件和说明。</w:t>
            </w:r>
          </w:p>
          <w:p w14:paraId="1F5BAC30">
            <w:pPr>
              <w:spacing w:line="360" w:lineRule="exact"/>
              <w:rPr>
                <w:rFonts w:cs="宋体"/>
              </w:rPr>
            </w:pPr>
            <w:r>
              <w:rPr>
                <w:rFonts w:hint="eastAsia" w:cs="宋体"/>
              </w:rPr>
              <w:t>2、供应商须对所投标产品技术参数及功能要求的真实性负责，提供虚假印章、参数、证明或伪造、变更或虚假响应者，按废标处理。</w:t>
            </w:r>
          </w:p>
        </w:tc>
        <w:tc>
          <w:tcPr>
            <w:tcW w:w="829" w:type="dxa"/>
            <w:noWrap/>
            <w:vAlign w:val="center"/>
          </w:tcPr>
          <w:p w14:paraId="1AE95DEB">
            <w:pPr>
              <w:spacing w:line="360" w:lineRule="exact"/>
              <w:jc w:val="center"/>
              <w:rPr>
                <w:rFonts w:cs="宋体"/>
              </w:rPr>
            </w:pPr>
            <w:r>
              <w:rPr>
                <w:rFonts w:hint="eastAsia" w:cs="宋体"/>
              </w:rPr>
              <w:t>40分</w:t>
            </w:r>
          </w:p>
        </w:tc>
      </w:tr>
      <w:tr w14:paraId="436C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44" w:type="dxa"/>
            <w:noWrap/>
            <w:vAlign w:val="center"/>
          </w:tcPr>
          <w:p w14:paraId="6933DAF9">
            <w:pPr>
              <w:spacing w:line="360" w:lineRule="exact"/>
              <w:jc w:val="center"/>
              <w:rPr>
                <w:rFonts w:cs="宋体"/>
              </w:rPr>
            </w:pPr>
            <w:r>
              <w:rPr>
                <w:rFonts w:hint="eastAsia" w:cs="宋体"/>
              </w:rPr>
              <w:t>3</w:t>
            </w:r>
          </w:p>
        </w:tc>
        <w:tc>
          <w:tcPr>
            <w:tcW w:w="1145" w:type="dxa"/>
            <w:noWrap/>
            <w:vAlign w:val="center"/>
          </w:tcPr>
          <w:p w14:paraId="05646810">
            <w:pPr>
              <w:spacing w:line="360" w:lineRule="exact"/>
              <w:rPr>
                <w:rFonts w:cs="宋体"/>
              </w:rPr>
            </w:pPr>
            <w:r>
              <w:rPr>
                <w:rFonts w:hint="eastAsia" w:cs="宋体"/>
              </w:rPr>
              <w:t>项目实施方案</w:t>
            </w:r>
          </w:p>
        </w:tc>
        <w:tc>
          <w:tcPr>
            <w:tcW w:w="6945" w:type="dxa"/>
            <w:noWrap/>
            <w:vAlign w:val="center"/>
          </w:tcPr>
          <w:p w14:paraId="77F8ECF9">
            <w:pPr>
              <w:spacing w:line="360" w:lineRule="exact"/>
              <w:rPr>
                <w:rFonts w:cs="宋体"/>
              </w:rPr>
            </w:pPr>
            <w:r>
              <w:rPr>
                <w:rFonts w:hint="eastAsia" w:cs="宋体"/>
              </w:rPr>
              <w:t>投标人根据本项目的特点及需求，编制详细、全面的项目实施方案，方案内容应至少包含：①对本项目的理解、②项目组织计划、③进度计划及保障措施、④安装调试方案、⑤质量保证方案等内容，对上述内容综合情况进行打分。</w:t>
            </w:r>
          </w:p>
          <w:p w14:paraId="23A81162">
            <w:pPr>
              <w:spacing w:line="360" w:lineRule="exact"/>
              <w:rPr>
                <w:rFonts w:cs="宋体"/>
              </w:rPr>
            </w:pPr>
            <w:r>
              <w:rPr>
                <w:rFonts w:hint="eastAsia" w:cs="宋体"/>
              </w:rPr>
              <w:t>1.方案涵盖上述所有内容且方案内容全面、合理、可行，并满足或优于采购需求的得8分；</w:t>
            </w:r>
          </w:p>
          <w:p w14:paraId="01AF9913">
            <w:pPr>
              <w:spacing w:line="360" w:lineRule="exact"/>
              <w:rPr>
                <w:rFonts w:cs="宋体"/>
              </w:rPr>
            </w:pPr>
            <w:r>
              <w:rPr>
                <w:rFonts w:hint="eastAsia" w:cs="宋体"/>
              </w:rPr>
              <w:t>2.方案每缺少一项上述应包含的内容扣2分；方案内容存在一处缺陷（内容缺陷是指：内容非专门针对本项目或不适用项目特性的情形、内容不够完整或缺少关键节点、套用其他项目方案、内容前后矛盾、涉及的规范及标准错误、不利于项目实施、不可能实现的情形等任意一种情形）扣1分；</w:t>
            </w:r>
          </w:p>
          <w:p w14:paraId="4890116B">
            <w:pPr>
              <w:spacing w:line="360" w:lineRule="exact"/>
              <w:rPr>
                <w:rFonts w:cs="宋体"/>
              </w:rPr>
            </w:pPr>
            <w:r>
              <w:rPr>
                <w:rFonts w:hint="eastAsia" w:cs="宋体"/>
              </w:rPr>
              <w:t>3.不提供方案的，不得分。</w:t>
            </w:r>
          </w:p>
        </w:tc>
        <w:tc>
          <w:tcPr>
            <w:tcW w:w="829" w:type="dxa"/>
            <w:noWrap/>
            <w:vAlign w:val="center"/>
          </w:tcPr>
          <w:p w14:paraId="59F91375">
            <w:pPr>
              <w:spacing w:line="360" w:lineRule="exact"/>
              <w:rPr>
                <w:rFonts w:cs="宋体"/>
              </w:rPr>
            </w:pPr>
            <w:r>
              <w:rPr>
                <w:rFonts w:hint="eastAsia" w:cs="宋体"/>
              </w:rPr>
              <w:t>8分</w:t>
            </w:r>
          </w:p>
        </w:tc>
      </w:tr>
      <w:tr w14:paraId="3502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44" w:type="dxa"/>
            <w:noWrap/>
            <w:vAlign w:val="center"/>
          </w:tcPr>
          <w:p w14:paraId="2EF8679B">
            <w:pPr>
              <w:spacing w:line="360" w:lineRule="exact"/>
              <w:jc w:val="center"/>
              <w:rPr>
                <w:rFonts w:cs="宋体"/>
              </w:rPr>
            </w:pPr>
            <w:r>
              <w:rPr>
                <w:rFonts w:hint="eastAsia" w:cs="宋体"/>
              </w:rPr>
              <w:t>4</w:t>
            </w:r>
          </w:p>
        </w:tc>
        <w:tc>
          <w:tcPr>
            <w:tcW w:w="1145" w:type="dxa"/>
            <w:noWrap/>
            <w:vAlign w:val="center"/>
          </w:tcPr>
          <w:p w14:paraId="0AAB60BB">
            <w:pPr>
              <w:spacing w:line="360" w:lineRule="exact"/>
              <w:rPr>
                <w:rFonts w:cs="宋体"/>
              </w:rPr>
            </w:pPr>
            <w:r>
              <w:rPr>
                <w:rFonts w:hint="eastAsia" w:cs="宋体"/>
              </w:rPr>
              <w:t>售后服务方案</w:t>
            </w:r>
          </w:p>
        </w:tc>
        <w:tc>
          <w:tcPr>
            <w:tcW w:w="6945" w:type="dxa"/>
            <w:noWrap/>
            <w:vAlign w:val="center"/>
          </w:tcPr>
          <w:p w14:paraId="6BAA9AFB">
            <w:pPr>
              <w:spacing w:line="360" w:lineRule="exact"/>
              <w:rPr>
                <w:rFonts w:cs="宋体"/>
              </w:rPr>
            </w:pPr>
            <w:r>
              <w:rPr>
                <w:rFonts w:hint="eastAsia" w:cs="宋体"/>
              </w:rPr>
              <w:t>投标人根据本项目的特点及需求，编制详细、全面、切合项目需求的售后服务方案，方案内容应至少包含：</w:t>
            </w:r>
            <w:r>
              <w:rPr>
                <w:rFonts w:hint="eastAsia" w:cs="宋体"/>
              </w:rPr>
              <w:fldChar w:fldCharType="begin"/>
            </w:r>
            <w:r>
              <w:rPr>
                <w:rFonts w:hint="eastAsia" w:cs="宋体"/>
              </w:rPr>
              <w:instrText xml:space="preserve"> = 1 \* GB3 </w:instrText>
            </w:r>
            <w:r>
              <w:rPr>
                <w:rFonts w:hint="eastAsia" w:cs="宋体"/>
              </w:rPr>
              <w:fldChar w:fldCharType="separate"/>
            </w:r>
            <w:r>
              <w:rPr>
                <w:rFonts w:hint="eastAsia" w:cs="宋体"/>
              </w:rPr>
              <w:t>①</w:t>
            </w:r>
            <w:r>
              <w:rPr>
                <w:rFonts w:hint="eastAsia" w:cs="宋体"/>
              </w:rPr>
              <w:fldChar w:fldCharType="end"/>
            </w:r>
            <w:r>
              <w:rPr>
                <w:rFonts w:hint="eastAsia" w:cs="宋体"/>
              </w:rPr>
              <w:t>售后服务体系、</w:t>
            </w:r>
            <w:r>
              <w:rPr>
                <w:rFonts w:hint="eastAsia" w:cs="宋体"/>
              </w:rPr>
              <w:fldChar w:fldCharType="begin"/>
            </w:r>
            <w:r>
              <w:rPr>
                <w:rFonts w:hint="eastAsia" w:cs="宋体"/>
              </w:rPr>
              <w:instrText xml:space="preserve"> = 2 \* GB3 </w:instrText>
            </w:r>
            <w:r>
              <w:rPr>
                <w:rFonts w:hint="eastAsia" w:cs="宋体"/>
              </w:rPr>
              <w:fldChar w:fldCharType="separate"/>
            </w:r>
            <w:r>
              <w:rPr>
                <w:rFonts w:hint="eastAsia" w:cs="宋体"/>
              </w:rPr>
              <w:t>②</w:t>
            </w:r>
            <w:r>
              <w:rPr>
                <w:rFonts w:hint="eastAsia" w:cs="宋体"/>
              </w:rPr>
              <w:fldChar w:fldCharType="end"/>
            </w:r>
            <w:r>
              <w:rPr>
                <w:rFonts w:hint="eastAsia" w:cs="宋体"/>
              </w:rPr>
              <w:t>服务方案、</w:t>
            </w:r>
            <w:r>
              <w:rPr>
                <w:rFonts w:hint="eastAsia" w:cs="宋体"/>
              </w:rPr>
              <w:fldChar w:fldCharType="begin"/>
            </w:r>
            <w:r>
              <w:rPr>
                <w:rFonts w:hint="eastAsia" w:cs="宋体"/>
              </w:rPr>
              <w:instrText xml:space="preserve"> = 3 \* GB3 </w:instrText>
            </w:r>
            <w:r>
              <w:rPr>
                <w:rFonts w:hint="eastAsia" w:cs="宋体"/>
              </w:rPr>
              <w:fldChar w:fldCharType="separate"/>
            </w:r>
            <w:r>
              <w:rPr>
                <w:rFonts w:hint="eastAsia" w:cs="宋体"/>
              </w:rPr>
              <w:t>③</w:t>
            </w:r>
            <w:r>
              <w:rPr>
                <w:rFonts w:hint="eastAsia" w:cs="宋体"/>
              </w:rPr>
              <w:fldChar w:fldCharType="end"/>
            </w:r>
            <w:r>
              <w:rPr>
                <w:rFonts w:hint="eastAsia" w:cs="宋体"/>
              </w:rPr>
              <w:t>服务网点及团队、</w:t>
            </w:r>
            <w:r>
              <w:rPr>
                <w:rFonts w:hint="eastAsia" w:cs="宋体"/>
              </w:rPr>
              <w:fldChar w:fldCharType="begin"/>
            </w:r>
            <w:r>
              <w:rPr>
                <w:rFonts w:hint="eastAsia" w:cs="宋体"/>
              </w:rPr>
              <w:instrText xml:space="preserve"> = 4 \* GB3 </w:instrText>
            </w:r>
            <w:r>
              <w:rPr>
                <w:rFonts w:hint="eastAsia" w:cs="宋体"/>
              </w:rPr>
              <w:fldChar w:fldCharType="separate"/>
            </w:r>
            <w:r>
              <w:rPr>
                <w:rFonts w:hint="eastAsia" w:cs="宋体"/>
              </w:rPr>
              <w:t>④</w:t>
            </w:r>
            <w:r>
              <w:rPr>
                <w:rFonts w:hint="eastAsia" w:cs="宋体"/>
              </w:rPr>
              <w:fldChar w:fldCharType="end"/>
            </w:r>
            <w:r>
              <w:rPr>
                <w:rFonts w:hint="eastAsia" w:cs="宋体"/>
              </w:rPr>
              <w:t>服务质量保证措施、⑤用户培训方案等内容，对上述内容综合情况进行打分。</w:t>
            </w:r>
          </w:p>
          <w:p w14:paraId="0B08801B">
            <w:pPr>
              <w:spacing w:line="360" w:lineRule="exact"/>
              <w:rPr>
                <w:rFonts w:cs="宋体"/>
              </w:rPr>
            </w:pPr>
            <w:r>
              <w:rPr>
                <w:rFonts w:hint="eastAsia" w:cs="宋体"/>
              </w:rPr>
              <w:t>1.方案涵盖上述所有内容且方案内容全面、合理、可行，并满足或优于采购需求的得12分；</w:t>
            </w:r>
          </w:p>
          <w:p w14:paraId="60273518">
            <w:pPr>
              <w:spacing w:line="360" w:lineRule="exact"/>
              <w:rPr>
                <w:rFonts w:cs="宋体"/>
              </w:rPr>
            </w:pPr>
            <w:r>
              <w:rPr>
                <w:rFonts w:hint="eastAsia" w:cs="宋体"/>
              </w:rPr>
              <w:t>2.方案每缺少一项上述应包含的内容扣2分；方案内容存在一处缺陷（内容缺陷是指：内容非专门针对本项目或不适用项目特性的情形、内容不够完整或缺少关键节点、套用其他项目方案、内容前后矛盾、涉及的规范及标准错误、不利于项目实施、不可能实现的情形等任意一种情形）扣1分；</w:t>
            </w:r>
          </w:p>
          <w:p w14:paraId="5B2CB6C7">
            <w:pPr>
              <w:spacing w:line="360" w:lineRule="exact"/>
              <w:rPr>
                <w:rFonts w:cs="宋体"/>
              </w:rPr>
            </w:pPr>
            <w:r>
              <w:rPr>
                <w:rFonts w:hint="eastAsia" w:cs="宋体"/>
              </w:rPr>
              <w:t>3.不提供方案的，不得分。</w:t>
            </w:r>
          </w:p>
        </w:tc>
        <w:tc>
          <w:tcPr>
            <w:tcW w:w="829" w:type="dxa"/>
            <w:noWrap/>
            <w:vAlign w:val="center"/>
          </w:tcPr>
          <w:p w14:paraId="5D6CE10F">
            <w:pPr>
              <w:spacing w:line="360" w:lineRule="exact"/>
              <w:rPr>
                <w:rFonts w:cs="宋体"/>
              </w:rPr>
            </w:pPr>
            <w:r>
              <w:rPr>
                <w:rFonts w:hint="eastAsia" w:cs="宋体"/>
              </w:rPr>
              <w:t>12分</w:t>
            </w:r>
          </w:p>
        </w:tc>
      </w:tr>
      <w:tr w14:paraId="51F9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044" w:type="dxa"/>
            <w:noWrap/>
            <w:vAlign w:val="center"/>
          </w:tcPr>
          <w:p w14:paraId="4B02EE1D">
            <w:pPr>
              <w:spacing w:line="360" w:lineRule="exact"/>
              <w:jc w:val="center"/>
              <w:rPr>
                <w:rFonts w:cs="宋体"/>
              </w:rPr>
            </w:pPr>
            <w:r>
              <w:rPr>
                <w:rFonts w:hint="eastAsia" w:cs="宋体"/>
              </w:rPr>
              <w:t>价格部分</w:t>
            </w:r>
          </w:p>
          <w:p w14:paraId="4A759C4F">
            <w:pPr>
              <w:spacing w:line="360" w:lineRule="exact"/>
              <w:jc w:val="center"/>
              <w:rPr>
                <w:rFonts w:cs="宋体"/>
              </w:rPr>
            </w:pPr>
            <w:r>
              <w:rPr>
                <w:rFonts w:hint="eastAsia" w:cs="宋体"/>
              </w:rPr>
              <w:t>（30分）</w:t>
            </w:r>
          </w:p>
        </w:tc>
        <w:tc>
          <w:tcPr>
            <w:tcW w:w="8090" w:type="dxa"/>
            <w:gridSpan w:val="2"/>
            <w:noWrap/>
            <w:vAlign w:val="center"/>
          </w:tcPr>
          <w:p w14:paraId="1CFA715F">
            <w:pPr>
              <w:spacing w:line="360" w:lineRule="exact"/>
              <w:rPr>
                <w:rFonts w:cs="宋体"/>
              </w:rPr>
            </w:pPr>
            <w:r>
              <w:rPr>
                <w:rFonts w:hint="eastAsia" w:cs="宋体"/>
                <w:lang w:val="en-GB"/>
              </w:rPr>
              <w:t>价格部分得分</w:t>
            </w:r>
            <w:r>
              <w:rPr>
                <w:rFonts w:hint="eastAsia" w:cs="宋体"/>
              </w:rPr>
              <w:t>=（磋商基准价／最终磋商报价）×价格权重×100</w:t>
            </w:r>
          </w:p>
          <w:p w14:paraId="4EDC07DA">
            <w:pPr>
              <w:spacing w:line="360" w:lineRule="exact"/>
              <w:rPr>
                <w:rFonts w:cs="宋体"/>
              </w:rPr>
            </w:pPr>
            <w:r>
              <w:rPr>
                <w:rFonts w:hint="eastAsia" w:cs="宋体"/>
              </w:rPr>
              <w:t>（</w:t>
            </w:r>
            <w:r>
              <w:rPr>
                <w:rFonts w:hint="eastAsia" w:cs="宋体"/>
                <w:lang w:val="en-GB"/>
              </w:rPr>
              <w:t>满足磋商文件要求且价格最低的报价为磋商基准价）</w:t>
            </w:r>
          </w:p>
        </w:tc>
        <w:tc>
          <w:tcPr>
            <w:tcW w:w="829" w:type="dxa"/>
            <w:noWrap/>
            <w:vAlign w:val="center"/>
          </w:tcPr>
          <w:p w14:paraId="6A2614D4">
            <w:pPr>
              <w:spacing w:line="360" w:lineRule="exact"/>
              <w:rPr>
                <w:rFonts w:cs="宋体"/>
              </w:rPr>
            </w:pPr>
            <w:r>
              <w:rPr>
                <w:rFonts w:hint="eastAsia" w:cs="宋体"/>
              </w:rPr>
              <w:t>30分</w:t>
            </w:r>
          </w:p>
        </w:tc>
      </w:tr>
    </w:tbl>
    <w:p w14:paraId="7CDF41F0">
      <w:pPr>
        <w:spacing w:before="156" w:beforeLines="50" w:after="156" w:afterLines="50" w:line="440" w:lineRule="exact"/>
        <w:jc w:val="center"/>
        <w:rPr>
          <w:rFonts w:hint="eastAsia" w:ascii="宋体" w:hAnsi="宋体"/>
          <w:b/>
          <w:sz w:val="32"/>
          <w:szCs w:val="32"/>
        </w:rPr>
      </w:pPr>
    </w:p>
    <w:p w14:paraId="1BF1A0C1">
      <w:pPr>
        <w:spacing w:line="360" w:lineRule="exact"/>
        <w:ind w:firstLine="480" w:firstLineChars="200"/>
        <w:rPr>
          <w:rFonts w:hint="eastAsia" w:ascii="宋体" w:hAnsi="宋体"/>
          <w:sz w:val="24"/>
        </w:rPr>
      </w:pPr>
    </w:p>
    <w:p w14:paraId="1FB0DCAA">
      <w:pPr>
        <w:spacing w:before="156" w:beforeLines="50" w:after="156" w:afterLines="50" w:line="440" w:lineRule="exact"/>
        <w:jc w:val="center"/>
        <w:rPr>
          <w:rFonts w:hint="eastAsia" w:ascii="宋体" w:hAnsi="宋体"/>
          <w:b/>
          <w:sz w:val="30"/>
          <w:szCs w:val="30"/>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5F0E2359">
      <w:pPr>
        <w:spacing w:line="460" w:lineRule="exact"/>
        <w:jc w:val="center"/>
        <w:rPr>
          <w:rFonts w:hint="eastAsia" w:ascii="宋体" w:hAnsi="宋体" w:cs="宋体"/>
          <w:b/>
          <w:sz w:val="28"/>
          <w:szCs w:val="28"/>
        </w:rPr>
      </w:pPr>
      <w:r>
        <w:rPr>
          <w:rFonts w:hint="eastAsia" w:ascii="宋体" w:hAnsi="宋体" w:cs="宋体"/>
          <w:b/>
          <w:sz w:val="28"/>
          <w:szCs w:val="28"/>
        </w:rPr>
        <w:t xml:space="preserve">                                       合同编号：</w:t>
      </w:r>
    </w:p>
    <w:p w14:paraId="3C6EF303">
      <w:pPr>
        <w:spacing w:line="460" w:lineRule="exact"/>
        <w:jc w:val="center"/>
        <w:rPr>
          <w:rFonts w:hint="eastAsia" w:ascii="宋体" w:hAnsi="宋体" w:cs="宋体"/>
          <w:b/>
          <w:sz w:val="28"/>
          <w:szCs w:val="28"/>
        </w:rPr>
      </w:pPr>
      <w:r>
        <w:rPr>
          <w:rFonts w:hint="eastAsia" w:ascii="宋体" w:hAnsi="宋体" w:cs="宋体"/>
          <w:b/>
          <w:sz w:val="28"/>
          <w:szCs w:val="28"/>
        </w:rPr>
        <w:t>（本合同为参考合同，正式合同以采购人最终确认为准。）</w:t>
      </w:r>
    </w:p>
    <w:p w14:paraId="076D803A">
      <w:pPr>
        <w:spacing w:line="460" w:lineRule="exact"/>
        <w:rPr>
          <w:rFonts w:hint="eastAsia" w:ascii="宋体" w:hAnsi="宋体" w:cs="宋体"/>
          <w:sz w:val="28"/>
          <w:szCs w:val="28"/>
        </w:rPr>
      </w:pPr>
    </w:p>
    <w:p w14:paraId="0EDCE526">
      <w:pPr>
        <w:pStyle w:val="174"/>
        <w:snapToGrid w:val="0"/>
        <w:spacing w:before="120" w:after="120" w:line="360" w:lineRule="auto"/>
        <w:jc w:val="left"/>
        <w:rPr>
          <w:rStyle w:val="62"/>
          <w:rFonts w:hint="eastAsia" w:hAnsi="宋体"/>
          <w:sz w:val="21"/>
          <w:szCs w:val="21"/>
        </w:rPr>
      </w:pPr>
      <w:r>
        <w:rPr>
          <w:rStyle w:val="62"/>
          <w:rFonts w:hAnsi="宋体"/>
          <w:sz w:val="21"/>
          <w:szCs w:val="21"/>
        </w:rPr>
        <w:t xml:space="preserve">项目名称：                                      </w:t>
      </w:r>
    </w:p>
    <w:p w14:paraId="4B4F9F7F">
      <w:pPr>
        <w:pStyle w:val="174"/>
        <w:snapToGrid w:val="0"/>
        <w:spacing w:before="120" w:after="120" w:line="360" w:lineRule="auto"/>
        <w:rPr>
          <w:rStyle w:val="62"/>
          <w:rFonts w:hint="eastAsia" w:hAnsi="宋体"/>
          <w:sz w:val="21"/>
          <w:szCs w:val="21"/>
        </w:rPr>
      </w:pPr>
      <w:r>
        <w:rPr>
          <w:rStyle w:val="62"/>
          <w:rFonts w:hAnsi="宋体"/>
          <w:sz w:val="21"/>
          <w:szCs w:val="21"/>
        </w:rPr>
        <w:t>甲方：（买方）</w:t>
      </w:r>
    </w:p>
    <w:p w14:paraId="48A6A9EC">
      <w:pPr>
        <w:pStyle w:val="174"/>
        <w:snapToGrid w:val="0"/>
        <w:spacing w:before="120" w:after="120" w:line="360" w:lineRule="auto"/>
        <w:rPr>
          <w:rStyle w:val="62"/>
          <w:rFonts w:hint="eastAsia" w:hAnsi="宋体"/>
          <w:sz w:val="21"/>
          <w:szCs w:val="21"/>
        </w:rPr>
      </w:pPr>
      <w:r>
        <w:rPr>
          <w:rStyle w:val="62"/>
          <w:rFonts w:hAnsi="宋体"/>
          <w:sz w:val="21"/>
          <w:szCs w:val="21"/>
        </w:rPr>
        <w:t>乙方：（卖方）</w:t>
      </w:r>
    </w:p>
    <w:p w14:paraId="3CD193F5">
      <w:pPr>
        <w:pStyle w:val="174"/>
        <w:snapToGrid w:val="0"/>
        <w:spacing w:before="120" w:after="120" w:line="360" w:lineRule="auto"/>
        <w:ind w:firstLine="420" w:firstLineChars="200"/>
        <w:rPr>
          <w:rStyle w:val="62"/>
          <w:rFonts w:hint="eastAsia" w:hAnsi="宋体"/>
          <w:b/>
          <w:sz w:val="21"/>
          <w:szCs w:val="21"/>
        </w:rPr>
      </w:pPr>
      <w:r>
        <w:rPr>
          <w:rStyle w:val="62"/>
          <w:rFonts w:hAnsi="宋体"/>
          <w:sz w:val="21"/>
          <w:szCs w:val="21"/>
        </w:rPr>
        <w:t>甲、乙双方根据项目公开</w:t>
      </w:r>
      <w:r>
        <w:rPr>
          <w:rStyle w:val="62"/>
          <w:rFonts w:hint="eastAsia" w:hAnsi="宋体"/>
          <w:sz w:val="21"/>
          <w:szCs w:val="21"/>
        </w:rPr>
        <w:t>比选</w:t>
      </w:r>
      <w:r>
        <w:rPr>
          <w:rStyle w:val="62"/>
          <w:rFonts w:hAnsi="宋体"/>
          <w:sz w:val="21"/>
          <w:szCs w:val="21"/>
        </w:rPr>
        <w:t>的中标结果及中标通知书，签署本合同。</w:t>
      </w:r>
    </w:p>
    <w:p w14:paraId="4F25F3F2">
      <w:pPr>
        <w:pStyle w:val="174"/>
        <w:snapToGrid w:val="0"/>
        <w:spacing w:before="120" w:after="120" w:line="360" w:lineRule="auto"/>
        <w:rPr>
          <w:rStyle w:val="62"/>
          <w:rFonts w:hint="eastAsia" w:hAnsi="宋体"/>
          <w:b/>
          <w:sz w:val="21"/>
          <w:szCs w:val="21"/>
        </w:rPr>
      </w:pPr>
      <w:r>
        <w:rPr>
          <w:rStyle w:val="62"/>
          <w:rFonts w:hAnsi="宋体"/>
          <w:b/>
          <w:sz w:val="21"/>
          <w:szCs w:val="21"/>
        </w:rPr>
        <w:t>一、货物内容</w:t>
      </w:r>
    </w:p>
    <w:p w14:paraId="7E0C71DD">
      <w:pPr>
        <w:pStyle w:val="174"/>
        <w:snapToGrid w:val="0"/>
        <w:spacing w:before="120" w:after="120" w:line="360" w:lineRule="auto"/>
        <w:rPr>
          <w:rStyle w:val="62"/>
          <w:rFonts w:hint="eastAsia" w:hAnsi="宋体"/>
          <w:sz w:val="21"/>
          <w:szCs w:val="21"/>
        </w:rPr>
      </w:pPr>
      <w:r>
        <w:rPr>
          <w:rStyle w:val="62"/>
          <w:rFonts w:hAnsi="宋体"/>
          <w:sz w:val="21"/>
          <w:szCs w:val="21"/>
        </w:rPr>
        <w:t>1. 货物名称：</w:t>
      </w:r>
    </w:p>
    <w:p w14:paraId="3E791B27">
      <w:pPr>
        <w:pStyle w:val="174"/>
        <w:snapToGrid w:val="0"/>
        <w:spacing w:before="120" w:after="120" w:line="360" w:lineRule="auto"/>
        <w:rPr>
          <w:rStyle w:val="62"/>
          <w:rFonts w:hint="eastAsia" w:hAnsi="宋体"/>
          <w:sz w:val="21"/>
          <w:szCs w:val="21"/>
        </w:rPr>
      </w:pPr>
      <w:r>
        <w:rPr>
          <w:rStyle w:val="62"/>
          <w:rFonts w:hAnsi="宋体"/>
          <w:sz w:val="21"/>
          <w:szCs w:val="21"/>
        </w:rPr>
        <w:t>2. 型号规格：</w:t>
      </w:r>
    </w:p>
    <w:p w14:paraId="4713885A">
      <w:pPr>
        <w:pStyle w:val="174"/>
        <w:snapToGrid w:val="0"/>
        <w:spacing w:before="120" w:after="120" w:line="360" w:lineRule="auto"/>
        <w:rPr>
          <w:rStyle w:val="62"/>
          <w:rFonts w:hint="eastAsia" w:hAnsi="宋体"/>
          <w:sz w:val="21"/>
          <w:szCs w:val="21"/>
        </w:rPr>
      </w:pPr>
      <w:r>
        <w:rPr>
          <w:rStyle w:val="62"/>
          <w:rFonts w:hAnsi="宋体"/>
          <w:sz w:val="21"/>
          <w:szCs w:val="21"/>
        </w:rPr>
        <w:t>3. 技术参数：</w:t>
      </w:r>
    </w:p>
    <w:p w14:paraId="5362AEB9">
      <w:pPr>
        <w:pStyle w:val="174"/>
        <w:snapToGrid w:val="0"/>
        <w:spacing w:before="120" w:after="120" w:line="360" w:lineRule="auto"/>
        <w:rPr>
          <w:rStyle w:val="62"/>
          <w:rFonts w:hint="eastAsia" w:hAnsi="宋体"/>
          <w:sz w:val="21"/>
          <w:szCs w:val="21"/>
        </w:rPr>
      </w:pPr>
      <w:r>
        <w:rPr>
          <w:rStyle w:val="62"/>
          <w:rFonts w:hAnsi="宋体"/>
          <w:sz w:val="21"/>
          <w:szCs w:val="21"/>
        </w:rPr>
        <w:t>4. 数量（单位）：</w:t>
      </w:r>
    </w:p>
    <w:p w14:paraId="0BD5DABC">
      <w:pPr>
        <w:pStyle w:val="174"/>
        <w:snapToGrid w:val="0"/>
        <w:spacing w:before="120" w:after="120" w:line="360" w:lineRule="auto"/>
        <w:rPr>
          <w:rStyle w:val="62"/>
          <w:rFonts w:hint="eastAsia" w:hAnsi="宋体"/>
          <w:b/>
          <w:sz w:val="21"/>
          <w:szCs w:val="21"/>
        </w:rPr>
      </w:pPr>
      <w:r>
        <w:rPr>
          <w:rStyle w:val="62"/>
          <w:rFonts w:hAnsi="宋体"/>
          <w:b/>
          <w:sz w:val="21"/>
          <w:szCs w:val="21"/>
        </w:rPr>
        <w:t>二、合同金额</w:t>
      </w:r>
    </w:p>
    <w:p w14:paraId="26350483">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 xml:space="preserve"> 本合同金额为（大写）：________________________元（¥___________元）。</w:t>
      </w:r>
    </w:p>
    <w:p w14:paraId="5AFAE17E">
      <w:pPr>
        <w:pStyle w:val="174"/>
        <w:snapToGrid w:val="0"/>
        <w:spacing w:before="120" w:after="120" w:line="360" w:lineRule="auto"/>
        <w:rPr>
          <w:rStyle w:val="62"/>
          <w:rFonts w:hint="eastAsia" w:hAnsi="宋体"/>
          <w:b/>
          <w:sz w:val="21"/>
          <w:szCs w:val="21"/>
        </w:rPr>
      </w:pPr>
      <w:r>
        <w:rPr>
          <w:rStyle w:val="62"/>
          <w:rFonts w:hAnsi="宋体"/>
          <w:b/>
          <w:sz w:val="21"/>
          <w:szCs w:val="21"/>
        </w:rPr>
        <w:t>三、技术资料</w:t>
      </w:r>
    </w:p>
    <w:p w14:paraId="65A978AF">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1.乙方应按采购文件规定的时间向甲方提供使用货物的有关技术资料。</w:t>
      </w:r>
    </w:p>
    <w:p w14:paraId="3187D094">
      <w:pPr>
        <w:pStyle w:val="174"/>
        <w:snapToGrid w:val="0"/>
        <w:spacing w:before="120" w:after="120" w:line="360" w:lineRule="auto"/>
        <w:rPr>
          <w:rStyle w:val="62"/>
          <w:rFonts w:hint="eastAsia" w:hAnsi="宋体"/>
          <w:sz w:val="21"/>
          <w:szCs w:val="21"/>
        </w:rPr>
      </w:pPr>
      <w:r>
        <w:rPr>
          <w:rStyle w:val="62"/>
          <w:rFonts w:hAnsi="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599309">
      <w:pPr>
        <w:pStyle w:val="174"/>
        <w:snapToGrid w:val="0"/>
        <w:spacing w:before="120" w:after="120" w:line="360" w:lineRule="auto"/>
        <w:ind w:left="360" w:hanging="361"/>
        <w:rPr>
          <w:rStyle w:val="62"/>
          <w:rFonts w:hint="eastAsia" w:hAnsi="宋体"/>
          <w:b/>
          <w:sz w:val="21"/>
          <w:szCs w:val="21"/>
        </w:rPr>
      </w:pPr>
      <w:r>
        <w:rPr>
          <w:rStyle w:val="62"/>
          <w:rFonts w:hAnsi="宋体"/>
          <w:b/>
          <w:sz w:val="21"/>
          <w:szCs w:val="21"/>
        </w:rPr>
        <w:t>四、知识产权、产权担保</w:t>
      </w:r>
    </w:p>
    <w:p w14:paraId="016A8EE0">
      <w:pPr>
        <w:pStyle w:val="174"/>
        <w:snapToGrid w:val="0"/>
        <w:spacing w:before="120" w:after="120" w:line="360" w:lineRule="auto"/>
        <w:rPr>
          <w:rStyle w:val="62"/>
          <w:rFonts w:hint="eastAsia" w:hAnsi="宋体" w:cs="宋体"/>
          <w:bCs/>
          <w:sz w:val="21"/>
          <w:szCs w:val="21"/>
        </w:rPr>
      </w:pPr>
      <w:r>
        <w:rPr>
          <w:rStyle w:val="62"/>
          <w:rFonts w:hAnsi="宋体"/>
          <w:sz w:val="21"/>
          <w:szCs w:val="21"/>
        </w:rPr>
        <w:t>1.乙方应保证所提供的货物或其任何一部分均不会侵犯任何第三方的知识产权</w:t>
      </w:r>
      <w:r>
        <w:rPr>
          <w:rStyle w:val="62"/>
          <w:rFonts w:hAnsi="宋体" w:cs="宋体"/>
          <w:bCs/>
          <w:sz w:val="21"/>
          <w:szCs w:val="21"/>
        </w:rPr>
        <w:t>。</w:t>
      </w:r>
    </w:p>
    <w:p w14:paraId="6FF7C93D">
      <w:pPr>
        <w:pStyle w:val="174"/>
        <w:snapToGrid w:val="0"/>
        <w:spacing w:before="120" w:after="120" w:line="360" w:lineRule="auto"/>
        <w:ind w:left="357" w:hanging="357"/>
        <w:rPr>
          <w:rStyle w:val="62"/>
          <w:rFonts w:hint="eastAsia" w:hAnsi="宋体"/>
          <w:sz w:val="21"/>
          <w:szCs w:val="21"/>
          <w:u w:val="single"/>
        </w:rPr>
      </w:pPr>
      <w:r>
        <w:rPr>
          <w:rStyle w:val="62"/>
          <w:rFonts w:hAnsi="宋体" w:cs="宋体"/>
          <w:bCs/>
          <w:sz w:val="21"/>
          <w:szCs w:val="21"/>
        </w:rPr>
        <w:t>2.</w:t>
      </w:r>
      <w:r>
        <w:rPr>
          <w:rStyle w:val="62"/>
          <w:rFonts w:hAnsi="宋体"/>
          <w:sz w:val="21"/>
          <w:szCs w:val="21"/>
        </w:rPr>
        <w:t>乙方保证所交付的货物的所有权完全属于乙方且无任何抵押、查封等产权瑕疵。</w:t>
      </w:r>
    </w:p>
    <w:p w14:paraId="0FF02D43">
      <w:pPr>
        <w:pStyle w:val="174"/>
        <w:snapToGrid w:val="0"/>
        <w:spacing w:before="120" w:after="120" w:line="360" w:lineRule="auto"/>
        <w:ind w:left="360" w:hanging="361"/>
        <w:rPr>
          <w:rStyle w:val="62"/>
          <w:rFonts w:hint="eastAsia" w:hAnsi="宋体"/>
          <w:b/>
          <w:sz w:val="21"/>
          <w:szCs w:val="21"/>
        </w:rPr>
      </w:pPr>
      <w:r>
        <w:rPr>
          <w:rStyle w:val="62"/>
          <w:rFonts w:hAnsi="宋体"/>
          <w:b/>
          <w:sz w:val="21"/>
          <w:szCs w:val="21"/>
        </w:rPr>
        <w:t>五、乙方承担的义务和责任</w:t>
      </w:r>
    </w:p>
    <w:p w14:paraId="0C052B59">
      <w:pPr>
        <w:pStyle w:val="174"/>
        <w:snapToGrid w:val="0"/>
        <w:spacing w:before="120" w:after="120" w:line="360" w:lineRule="auto"/>
        <w:rPr>
          <w:rStyle w:val="62"/>
          <w:rFonts w:hint="eastAsia" w:hAnsi="宋体"/>
          <w:sz w:val="21"/>
          <w:szCs w:val="21"/>
        </w:rPr>
      </w:pPr>
      <w:r>
        <w:rPr>
          <w:rStyle w:val="62"/>
          <w:rFonts w:hAnsi="宋体"/>
          <w:sz w:val="21"/>
          <w:szCs w:val="21"/>
        </w:rPr>
        <w:t>1.乙方保证具备实施本工程的合法资格，且已依法取得国家要求的资格、资质。</w:t>
      </w:r>
    </w:p>
    <w:p w14:paraId="3D5CBE2A">
      <w:pPr>
        <w:pStyle w:val="174"/>
        <w:snapToGrid w:val="0"/>
        <w:spacing w:before="120" w:after="120" w:line="360" w:lineRule="auto"/>
        <w:rPr>
          <w:rStyle w:val="62"/>
          <w:rFonts w:hint="eastAsia" w:hAnsi="宋体"/>
          <w:sz w:val="21"/>
          <w:szCs w:val="21"/>
        </w:rPr>
      </w:pPr>
      <w:r>
        <w:rPr>
          <w:rStyle w:val="62"/>
          <w:rFonts w:hAnsi="宋体"/>
          <w:sz w:val="21"/>
          <w:szCs w:val="21"/>
        </w:rPr>
        <w:t>2.根据合同要求按时优质完成维修服务，对维修质量负责。</w:t>
      </w:r>
    </w:p>
    <w:p w14:paraId="29F81A04">
      <w:pPr>
        <w:pStyle w:val="174"/>
        <w:snapToGrid w:val="0"/>
        <w:spacing w:before="120" w:after="120" w:line="360" w:lineRule="auto"/>
        <w:rPr>
          <w:rStyle w:val="62"/>
          <w:rFonts w:hint="eastAsia" w:hAnsi="宋体"/>
          <w:sz w:val="21"/>
          <w:szCs w:val="21"/>
        </w:rPr>
      </w:pPr>
      <w:r>
        <w:rPr>
          <w:rStyle w:val="62"/>
          <w:rFonts w:hAnsi="宋体"/>
          <w:sz w:val="21"/>
          <w:szCs w:val="21"/>
        </w:rPr>
        <w:t xml:space="preserve">3.完成项目中需要的设备、材料等由乙方负责，所需费用已包含在合同价款中。 </w:t>
      </w:r>
    </w:p>
    <w:p w14:paraId="2E0ACD3E">
      <w:pPr>
        <w:pStyle w:val="174"/>
        <w:snapToGrid w:val="0"/>
        <w:spacing w:before="120" w:after="120" w:line="360" w:lineRule="auto"/>
        <w:rPr>
          <w:rStyle w:val="62"/>
          <w:rFonts w:hint="eastAsia" w:hAnsi="宋体"/>
          <w:sz w:val="21"/>
          <w:szCs w:val="21"/>
        </w:rPr>
      </w:pPr>
      <w:r>
        <w:rPr>
          <w:rStyle w:val="62"/>
          <w:rFonts w:hAnsi="宋体"/>
          <w:sz w:val="21"/>
          <w:szCs w:val="21"/>
        </w:rPr>
        <w:t>4.乙方人员须遵守甲方现场及国家相关安全管理规定，其一切安全（含人身安全）由乙方负责，甲方不负任何责任，</w:t>
      </w:r>
      <w:r>
        <w:rPr>
          <w:rStyle w:val="62"/>
          <w:rFonts w:hint="eastAsia" w:hAnsi="宋体"/>
          <w:sz w:val="21"/>
          <w:szCs w:val="21"/>
        </w:rPr>
        <w:t>其他</w:t>
      </w:r>
      <w:r>
        <w:rPr>
          <w:rStyle w:val="62"/>
          <w:rFonts w:hAnsi="宋体"/>
          <w:sz w:val="21"/>
          <w:szCs w:val="21"/>
        </w:rPr>
        <w:t xml:space="preserve">方造成人身伤亡或安全事故的由责任方承担。如因乙方自身原因发生的事故，所产生的损失及费用由乙方自行承担。 </w:t>
      </w:r>
    </w:p>
    <w:p w14:paraId="6F70896E">
      <w:pPr>
        <w:pStyle w:val="174"/>
        <w:snapToGrid w:val="0"/>
        <w:spacing w:before="120" w:after="120" w:line="360" w:lineRule="auto"/>
        <w:rPr>
          <w:rStyle w:val="62"/>
          <w:rFonts w:hint="eastAsia" w:hAnsi="宋体"/>
          <w:b/>
          <w:sz w:val="21"/>
          <w:szCs w:val="21"/>
        </w:rPr>
      </w:pPr>
      <w:r>
        <w:rPr>
          <w:rStyle w:val="62"/>
          <w:rFonts w:hAnsi="宋体"/>
          <w:b/>
          <w:sz w:val="21"/>
          <w:szCs w:val="21"/>
        </w:rPr>
        <w:t>六、转包或分包</w:t>
      </w:r>
    </w:p>
    <w:p w14:paraId="4B552CDB">
      <w:pPr>
        <w:snapToGrid w:val="0"/>
        <w:spacing w:before="156" w:after="156" w:line="360" w:lineRule="auto"/>
        <w:rPr>
          <w:rStyle w:val="62"/>
          <w:rFonts w:hint="eastAsia" w:ascii="宋体" w:hAnsi="宋体"/>
          <w:szCs w:val="21"/>
        </w:rPr>
      </w:pPr>
      <w:r>
        <w:rPr>
          <w:rStyle w:val="62"/>
          <w:rFonts w:ascii="宋体" w:hAnsi="宋体"/>
          <w:szCs w:val="21"/>
        </w:rPr>
        <w:t>1.本合同范围的货物，应由乙方直接供应，不得转让他人供应；</w:t>
      </w:r>
    </w:p>
    <w:p w14:paraId="1DA6BCFB">
      <w:pPr>
        <w:snapToGrid w:val="0"/>
        <w:spacing w:before="156" w:after="156" w:line="360" w:lineRule="auto"/>
        <w:rPr>
          <w:rStyle w:val="62"/>
          <w:rFonts w:hint="eastAsia" w:ascii="宋体" w:hAnsi="宋体"/>
          <w:szCs w:val="21"/>
        </w:rPr>
      </w:pPr>
      <w:r>
        <w:rPr>
          <w:rStyle w:val="62"/>
          <w:rFonts w:ascii="宋体" w:hAnsi="宋体"/>
          <w:szCs w:val="21"/>
        </w:rPr>
        <w:t>2.除非得到甲方的书面同意，乙方不得将本合同范围的货物全部或部分分包给他人供应；</w:t>
      </w:r>
    </w:p>
    <w:p w14:paraId="20ACA07C">
      <w:pPr>
        <w:snapToGrid w:val="0"/>
        <w:spacing w:before="156" w:after="156" w:line="360" w:lineRule="auto"/>
        <w:rPr>
          <w:rStyle w:val="62"/>
          <w:rFonts w:hint="eastAsia" w:ascii="宋体" w:hAnsi="宋体"/>
          <w:szCs w:val="21"/>
        </w:rPr>
      </w:pPr>
      <w:r>
        <w:rPr>
          <w:rStyle w:val="62"/>
          <w:rFonts w:ascii="宋体" w:hAnsi="宋体"/>
          <w:szCs w:val="21"/>
        </w:rPr>
        <w:t>3.如有转让和未经甲方同意的分包行为，甲方有权解除合同，没收履约保证金并追究乙方的违约责任。</w:t>
      </w:r>
    </w:p>
    <w:p w14:paraId="19956A79">
      <w:pPr>
        <w:pStyle w:val="174"/>
        <w:snapToGrid w:val="0"/>
        <w:spacing w:before="120" w:after="120" w:line="360" w:lineRule="auto"/>
        <w:rPr>
          <w:rStyle w:val="62"/>
          <w:rFonts w:hint="eastAsia" w:hAnsi="宋体"/>
          <w:sz w:val="21"/>
          <w:szCs w:val="21"/>
        </w:rPr>
      </w:pPr>
      <w:r>
        <w:rPr>
          <w:rStyle w:val="62"/>
          <w:rFonts w:hAnsi="宋体"/>
          <w:b/>
          <w:sz w:val="21"/>
          <w:szCs w:val="21"/>
        </w:rPr>
        <w:t>七、质保金</w:t>
      </w:r>
    </w:p>
    <w:p w14:paraId="14226AFE">
      <w:pPr>
        <w:pStyle w:val="174"/>
        <w:snapToGrid w:val="0"/>
        <w:spacing w:before="120" w:after="120" w:line="360" w:lineRule="auto"/>
        <w:ind w:left="359" w:hanging="359"/>
        <w:rPr>
          <w:rStyle w:val="62"/>
          <w:rFonts w:hint="eastAsia" w:hAnsi="宋体"/>
          <w:sz w:val="21"/>
          <w:szCs w:val="21"/>
        </w:rPr>
      </w:pPr>
      <w:r>
        <w:rPr>
          <w:rStyle w:val="62"/>
          <w:rFonts w:hAnsi="宋体"/>
          <w:sz w:val="21"/>
          <w:szCs w:val="21"/>
          <w:u w:val="single"/>
        </w:rPr>
        <w:t>中标价的</w:t>
      </w:r>
      <w:r>
        <w:rPr>
          <w:rStyle w:val="62"/>
          <w:rFonts w:hint="eastAsia" w:hAnsi="宋体"/>
          <w:sz w:val="21"/>
          <w:szCs w:val="21"/>
          <w:u w:val="single"/>
        </w:rPr>
        <w:t>5</w:t>
      </w:r>
      <w:r>
        <w:rPr>
          <w:rStyle w:val="62"/>
          <w:rFonts w:hAnsi="宋体"/>
          <w:sz w:val="21"/>
          <w:szCs w:val="21"/>
          <w:u w:val="single"/>
        </w:rPr>
        <w:t>%</w:t>
      </w:r>
      <w:r>
        <w:rPr>
          <w:rStyle w:val="62"/>
          <w:rFonts w:hAnsi="宋体"/>
          <w:sz w:val="21"/>
          <w:szCs w:val="21"/>
        </w:rPr>
        <w:t>质保金。</w:t>
      </w:r>
    </w:p>
    <w:p w14:paraId="076F4D3F">
      <w:pPr>
        <w:pStyle w:val="174"/>
        <w:snapToGrid w:val="0"/>
        <w:spacing w:before="120" w:after="120" w:line="360" w:lineRule="auto"/>
        <w:rPr>
          <w:rStyle w:val="62"/>
          <w:rFonts w:hint="eastAsia" w:hAnsi="宋体"/>
          <w:b/>
          <w:sz w:val="21"/>
          <w:szCs w:val="21"/>
        </w:rPr>
      </w:pPr>
      <w:r>
        <w:rPr>
          <w:rStyle w:val="62"/>
          <w:rFonts w:hAnsi="宋体"/>
          <w:b/>
          <w:sz w:val="21"/>
          <w:szCs w:val="21"/>
        </w:rPr>
        <w:t>八、交货期、交货方式及交货地点</w:t>
      </w:r>
    </w:p>
    <w:p w14:paraId="53F31B7D">
      <w:pPr>
        <w:pStyle w:val="174"/>
        <w:snapToGrid w:val="0"/>
        <w:spacing w:before="120" w:after="120" w:line="360" w:lineRule="auto"/>
        <w:rPr>
          <w:rStyle w:val="62"/>
          <w:rFonts w:hint="eastAsia" w:hAnsi="宋体" w:cs="宋体"/>
          <w:bCs/>
          <w:sz w:val="21"/>
          <w:szCs w:val="21"/>
        </w:rPr>
      </w:pPr>
      <w:r>
        <w:rPr>
          <w:rStyle w:val="62"/>
          <w:rFonts w:hAnsi="宋体" w:cs="宋体"/>
          <w:bCs/>
          <w:sz w:val="21"/>
          <w:szCs w:val="21"/>
        </w:rPr>
        <w:t>1. 交货期：</w:t>
      </w:r>
    </w:p>
    <w:p w14:paraId="30726DB1">
      <w:pPr>
        <w:pStyle w:val="174"/>
        <w:snapToGrid w:val="0"/>
        <w:spacing w:before="120" w:after="120" w:line="360" w:lineRule="auto"/>
        <w:rPr>
          <w:rStyle w:val="62"/>
          <w:rFonts w:hint="eastAsia" w:hAnsi="宋体" w:cs="宋体"/>
          <w:bCs/>
          <w:sz w:val="21"/>
          <w:szCs w:val="21"/>
        </w:rPr>
      </w:pPr>
      <w:r>
        <w:rPr>
          <w:rStyle w:val="62"/>
          <w:rFonts w:hAnsi="宋体" w:cs="宋体"/>
          <w:bCs/>
          <w:sz w:val="21"/>
          <w:szCs w:val="21"/>
        </w:rPr>
        <w:t>2. 交货方式：现场交货。</w:t>
      </w:r>
    </w:p>
    <w:p w14:paraId="30E6ECA1">
      <w:pPr>
        <w:pStyle w:val="174"/>
        <w:snapToGrid w:val="0"/>
        <w:spacing w:before="120" w:after="120" w:line="360" w:lineRule="auto"/>
        <w:rPr>
          <w:rStyle w:val="62"/>
          <w:rFonts w:hint="eastAsia" w:hAnsi="宋体"/>
          <w:b/>
          <w:sz w:val="21"/>
          <w:szCs w:val="21"/>
        </w:rPr>
      </w:pPr>
      <w:r>
        <w:rPr>
          <w:rStyle w:val="62"/>
          <w:rFonts w:hAnsi="宋体" w:cs="宋体"/>
          <w:bCs/>
          <w:sz w:val="21"/>
          <w:szCs w:val="21"/>
        </w:rPr>
        <w:t>3. 交货地点：采购人指定地点。</w:t>
      </w:r>
    </w:p>
    <w:p w14:paraId="2610A159">
      <w:pPr>
        <w:pStyle w:val="174"/>
        <w:snapToGrid w:val="0"/>
        <w:spacing w:before="120" w:after="120" w:line="360" w:lineRule="auto"/>
        <w:rPr>
          <w:rStyle w:val="62"/>
          <w:rFonts w:hint="eastAsia" w:hAnsi="宋体"/>
          <w:b/>
          <w:sz w:val="21"/>
          <w:szCs w:val="21"/>
        </w:rPr>
      </w:pPr>
      <w:r>
        <w:rPr>
          <w:rStyle w:val="62"/>
          <w:rFonts w:hAnsi="宋体"/>
          <w:b/>
          <w:sz w:val="21"/>
          <w:szCs w:val="21"/>
        </w:rPr>
        <w:t>九、货款支付</w:t>
      </w:r>
    </w:p>
    <w:p w14:paraId="670AAA66">
      <w:pPr>
        <w:pStyle w:val="174"/>
        <w:snapToGrid w:val="0"/>
        <w:spacing w:before="120" w:after="120" w:line="360" w:lineRule="auto"/>
        <w:rPr>
          <w:rStyle w:val="62"/>
          <w:rFonts w:hint="eastAsia" w:hAnsi="宋体" w:cs="宋体"/>
          <w:bCs/>
          <w:sz w:val="21"/>
          <w:szCs w:val="21"/>
        </w:rPr>
      </w:pPr>
      <w:r>
        <w:rPr>
          <w:rStyle w:val="62"/>
          <w:rFonts w:hAnsi="宋体" w:cs="宋体"/>
          <w:bCs/>
          <w:sz w:val="21"/>
          <w:szCs w:val="21"/>
        </w:rPr>
        <w:t>1. 付款方式：</w:t>
      </w:r>
    </w:p>
    <w:p w14:paraId="1F37E772">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（1）合同签订生效后7个工作日内，甲方支付乙方本合同金额的30%作为预付款；</w:t>
      </w:r>
    </w:p>
    <w:p w14:paraId="3EB6B277">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（2）本项目实施完成，具备进粮条件并通过甲乙双方验收，甲方7个工作日内支付55%的合同款；</w:t>
      </w:r>
    </w:p>
    <w:p w14:paraId="01E965F6">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（3）验收完成后甲方7个工作日内支付10%的合同款；</w:t>
      </w:r>
    </w:p>
    <w:p w14:paraId="71F942F7">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（4）合同剩余5%款项作为质保金，自项目改造完成甲乙双方验收签字盖章验收之日起计算，质保期满后甲方无息支付尾款。</w:t>
      </w:r>
    </w:p>
    <w:p w14:paraId="028AEB35">
      <w:pPr>
        <w:pStyle w:val="174"/>
        <w:snapToGrid w:val="0"/>
        <w:spacing w:before="120" w:after="120" w:line="360" w:lineRule="auto"/>
        <w:ind w:left="420" w:leftChars="200"/>
        <w:rPr>
          <w:rStyle w:val="62"/>
          <w:rFonts w:hint="eastAsia" w:hAnsi="宋体" w:cs="宋体"/>
          <w:bCs/>
          <w:sz w:val="21"/>
          <w:szCs w:val="21"/>
        </w:rPr>
      </w:pPr>
      <w:r>
        <w:rPr>
          <w:rStyle w:val="62"/>
          <w:rFonts w:hint="eastAsia" w:hAnsi="宋体" w:cs="宋体"/>
          <w:bCs/>
          <w:sz w:val="21"/>
          <w:szCs w:val="21"/>
        </w:rPr>
        <w:t>注：乙方应在甲方支付合同款项前提供等额有效发票。</w:t>
      </w:r>
      <w:r>
        <w:rPr>
          <w:rStyle w:val="62"/>
          <w:rFonts w:hAnsi="宋体" w:cs="宋体"/>
          <w:bCs/>
          <w:sz w:val="21"/>
          <w:szCs w:val="21"/>
        </w:rPr>
        <w:t>。</w:t>
      </w:r>
    </w:p>
    <w:p w14:paraId="266E02D5">
      <w:pPr>
        <w:pStyle w:val="174"/>
        <w:snapToGrid w:val="0"/>
        <w:spacing w:before="120" w:after="120" w:line="360" w:lineRule="auto"/>
        <w:ind w:left="420" w:hanging="420"/>
        <w:jc w:val="left"/>
        <w:rPr>
          <w:rStyle w:val="62"/>
          <w:rFonts w:hint="eastAsia" w:hAnsi="宋体" w:cs="宋体"/>
          <w:bCs/>
          <w:sz w:val="21"/>
          <w:szCs w:val="21"/>
        </w:rPr>
      </w:pPr>
      <w:r>
        <w:rPr>
          <w:rStyle w:val="62"/>
          <w:rFonts w:hAnsi="宋体" w:cs="宋体"/>
          <w:bCs/>
          <w:sz w:val="21"/>
          <w:szCs w:val="21"/>
        </w:rPr>
        <w:t xml:space="preserve">2. </w:t>
      </w:r>
      <w:r>
        <w:rPr>
          <w:rStyle w:val="62"/>
          <w:rFonts w:hAnsi="宋体"/>
          <w:sz w:val="21"/>
          <w:szCs w:val="21"/>
        </w:rPr>
        <w:t>乙方应根据实际使用量供货，合同的最终结算金额按实际使用量乘以成交单价进行计算。</w:t>
      </w:r>
    </w:p>
    <w:p w14:paraId="656F7028">
      <w:pPr>
        <w:snapToGrid w:val="0"/>
        <w:spacing w:before="156" w:after="156" w:line="360" w:lineRule="auto"/>
        <w:rPr>
          <w:rStyle w:val="62"/>
          <w:rFonts w:hint="eastAsia" w:ascii="宋体" w:hAnsi="宋体"/>
          <w:b/>
          <w:szCs w:val="21"/>
        </w:rPr>
      </w:pPr>
      <w:r>
        <w:rPr>
          <w:rStyle w:val="62"/>
          <w:rFonts w:ascii="宋体" w:hAnsi="宋体"/>
          <w:b/>
          <w:szCs w:val="21"/>
        </w:rPr>
        <w:t>十、税费</w:t>
      </w:r>
    </w:p>
    <w:p w14:paraId="7F2EAA02">
      <w:pPr>
        <w:snapToGrid w:val="0"/>
        <w:spacing w:before="156" w:after="156" w:line="360" w:lineRule="auto"/>
        <w:rPr>
          <w:rStyle w:val="62"/>
          <w:rFonts w:hint="eastAsia" w:ascii="宋体" w:hAnsi="宋体"/>
          <w:szCs w:val="21"/>
        </w:rPr>
      </w:pPr>
      <w:r>
        <w:rPr>
          <w:rStyle w:val="62"/>
          <w:rFonts w:ascii="宋体" w:hAnsi="宋体"/>
          <w:szCs w:val="21"/>
        </w:rPr>
        <w:t>本合同执行中相关的一切税费均由乙方负担</w:t>
      </w:r>
      <w:r>
        <w:rPr>
          <w:rStyle w:val="62"/>
          <w:rFonts w:hint="eastAsia" w:ascii="宋体" w:hAnsi="宋体"/>
          <w:szCs w:val="21"/>
        </w:rPr>
        <w:t>。</w:t>
      </w:r>
    </w:p>
    <w:p w14:paraId="3C3D1C1E">
      <w:pPr>
        <w:pStyle w:val="174"/>
        <w:snapToGrid w:val="0"/>
        <w:spacing w:before="120" w:after="120" w:line="360" w:lineRule="auto"/>
        <w:ind w:left="360" w:hanging="361"/>
        <w:rPr>
          <w:rStyle w:val="62"/>
          <w:rFonts w:hint="eastAsia" w:hAnsi="宋体"/>
          <w:sz w:val="21"/>
          <w:szCs w:val="21"/>
        </w:rPr>
      </w:pPr>
      <w:r>
        <w:rPr>
          <w:rStyle w:val="62"/>
          <w:rFonts w:hAnsi="宋体"/>
          <w:b/>
          <w:sz w:val="21"/>
          <w:szCs w:val="21"/>
        </w:rPr>
        <w:t>十一、质量保证及售后服务</w:t>
      </w:r>
    </w:p>
    <w:p w14:paraId="0F6C7B73">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1. 乙方应按采购文件规定的货物性能、技术要求、质量标准向甲方提供未经使用的全新产品。乙方为客户提供24小时服务电话，保证及时服务。</w:t>
      </w:r>
    </w:p>
    <w:p w14:paraId="4FC8A85E">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2. 乙方提供的货物在质保期内因货物本身的质量问题发生故障，乙方应负责免费更换。对达不到技术要求者，根据实际情况，经双方协商，可按以下办法处理：</w:t>
      </w:r>
    </w:p>
    <w:p w14:paraId="5FF003D3">
      <w:pPr>
        <w:pStyle w:val="174"/>
        <w:snapToGrid w:val="0"/>
        <w:spacing w:before="120" w:after="120" w:line="360" w:lineRule="auto"/>
        <w:ind w:firstLine="420"/>
        <w:rPr>
          <w:rStyle w:val="62"/>
          <w:rFonts w:hint="eastAsia" w:hAnsi="宋体"/>
          <w:sz w:val="21"/>
          <w:szCs w:val="21"/>
        </w:rPr>
      </w:pPr>
      <w:r>
        <w:rPr>
          <w:rStyle w:val="62"/>
          <w:rFonts w:hAnsi="宋体"/>
          <w:sz w:val="21"/>
          <w:szCs w:val="21"/>
        </w:rPr>
        <w:t>⑴更换：由乙方承担所发生的全部费用。</w:t>
      </w:r>
    </w:p>
    <w:p w14:paraId="15CFA227">
      <w:pPr>
        <w:pStyle w:val="174"/>
        <w:snapToGrid w:val="0"/>
        <w:spacing w:before="120" w:after="120" w:line="360" w:lineRule="auto"/>
        <w:ind w:firstLine="420"/>
        <w:rPr>
          <w:rStyle w:val="62"/>
          <w:rFonts w:hint="eastAsia" w:hAnsi="宋体"/>
          <w:sz w:val="21"/>
          <w:szCs w:val="21"/>
        </w:rPr>
      </w:pPr>
      <w:r>
        <w:rPr>
          <w:rStyle w:val="62"/>
          <w:rFonts w:hAnsi="宋体"/>
          <w:sz w:val="21"/>
          <w:szCs w:val="21"/>
        </w:rPr>
        <w:t>⑵贬值处理：由甲乙双方合议定价。</w:t>
      </w:r>
    </w:p>
    <w:p w14:paraId="598C663E">
      <w:pPr>
        <w:pStyle w:val="174"/>
        <w:snapToGrid w:val="0"/>
        <w:spacing w:before="120" w:after="120" w:line="360" w:lineRule="auto"/>
        <w:ind w:left="420" w:leftChars="200"/>
        <w:rPr>
          <w:rStyle w:val="62"/>
          <w:rFonts w:hint="eastAsia" w:hAnsi="宋体"/>
          <w:sz w:val="21"/>
          <w:szCs w:val="21"/>
        </w:rPr>
      </w:pPr>
      <w:r>
        <w:rPr>
          <w:rStyle w:val="62"/>
          <w:rFonts w:hAnsi="宋体"/>
          <w:sz w:val="21"/>
          <w:szCs w:val="21"/>
        </w:rPr>
        <w:t>⑶退货处理：乙方应退还甲方支付的合同款，同时应承担该货物的直接费用（运输、保险、检验、货款利息及银行手续费等）。</w:t>
      </w:r>
    </w:p>
    <w:p w14:paraId="7A3B3B93">
      <w:pPr>
        <w:pStyle w:val="174"/>
        <w:snapToGrid w:val="0"/>
        <w:spacing w:before="120" w:after="120" w:line="360" w:lineRule="auto"/>
        <w:rPr>
          <w:rStyle w:val="62"/>
          <w:rFonts w:hint="eastAsia" w:hAnsi="宋体"/>
          <w:sz w:val="21"/>
          <w:szCs w:val="21"/>
        </w:rPr>
      </w:pPr>
      <w:r>
        <w:rPr>
          <w:rStyle w:val="62"/>
          <w:rFonts w:hAnsi="宋体"/>
          <w:sz w:val="21"/>
          <w:szCs w:val="21"/>
        </w:rPr>
        <w:t>3. 如在使用过程中发生质量问题，乙方在接到甲方通知后在6小时内到达甲方现场。</w:t>
      </w:r>
    </w:p>
    <w:p w14:paraId="4D697B8D">
      <w:pPr>
        <w:pStyle w:val="174"/>
        <w:snapToGrid w:val="0"/>
        <w:spacing w:before="120" w:after="120" w:line="360" w:lineRule="auto"/>
        <w:rPr>
          <w:rStyle w:val="62"/>
          <w:rFonts w:hint="eastAsia" w:hAnsi="宋体"/>
          <w:sz w:val="21"/>
          <w:szCs w:val="21"/>
        </w:rPr>
      </w:pPr>
      <w:r>
        <w:rPr>
          <w:rStyle w:val="62"/>
          <w:rFonts w:hAnsi="宋体"/>
          <w:sz w:val="21"/>
          <w:szCs w:val="21"/>
        </w:rPr>
        <w:t>4. 在质保期内，乙方应对货物出现的质量及安全问题负责处理解决并承担一切费用。</w:t>
      </w:r>
    </w:p>
    <w:p w14:paraId="62B5A185">
      <w:pPr>
        <w:pStyle w:val="174"/>
        <w:snapToGrid w:val="0"/>
        <w:spacing w:before="120" w:after="120" w:line="360" w:lineRule="auto"/>
        <w:rPr>
          <w:rStyle w:val="62"/>
          <w:rFonts w:hint="eastAsia" w:hAnsi="宋体"/>
          <w:sz w:val="21"/>
          <w:szCs w:val="21"/>
        </w:rPr>
      </w:pPr>
      <w:r>
        <w:rPr>
          <w:rStyle w:val="62"/>
          <w:rFonts w:hAnsi="宋体"/>
          <w:sz w:val="21"/>
          <w:szCs w:val="21"/>
        </w:rPr>
        <w:t>5.质保期内出现质量问题的，乙方应当自接到甲方通知后5日内解决，所需费用由乙方承担，因此影响甲方生产的，乙方应赔偿甲方的实际损失。如乙方未在规定期限内解决质量问题，甲方有权自行或委托他人修理，乙方负责所需费用并赔偿由此给甲方造成的损失。</w:t>
      </w:r>
    </w:p>
    <w:p w14:paraId="6D02483A">
      <w:pPr>
        <w:pStyle w:val="174"/>
        <w:snapToGrid w:val="0"/>
        <w:spacing w:before="120" w:after="120" w:line="360" w:lineRule="auto"/>
        <w:rPr>
          <w:rStyle w:val="62"/>
          <w:rFonts w:hint="eastAsia" w:hAnsi="宋体"/>
          <w:b/>
          <w:sz w:val="21"/>
          <w:szCs w:val="21"/>
        </w:rPr>
      </w:pPr>
      <w:r>
        <w:rPr>
          <w:rStyle w:val="62"/>
          <w:rFonts w:hAnsi="宋体"/>
          <w:b/>
          <w:sz w:val="21"/>
          <w:szCs w:val="21"/>
        </w:rPr>
        <w:t>十二、调试和验收</w:t>
      </w:r>
    </w:p>
    <w:p w14:paraId="0B99BBE7">
      <w:pPr>
        <w:pStyle w:val="174"/>
        <w:snapToGrid w:val="0"/>
        <w:spacing w:before="120" w:after="120" w:line="360" w:lineRule="auto"/>
        <w:ind w:right="-312"/>
        <w:jc w:val="left"/>
        <w:rPr>
          <w:rStyle w:val="62"/>
          <w:rFonts w:hint="eastAsia" w:hAnsi="宋体"/>
          <w:sz w:val="21"/>
          <w:szCs w:val="21"/>
        </w:rPr>
      </w:pPr>
      <w:r>
        <w:rPr>
          <w:rStyle w:val="62"/>
          <w:rFonts w:hAnsi="宋体"/>
          <w:sz w:val="21"/>
          <w:szCs w:val="21"/>
        </w:rPr>
        <w:t>1. 甲方对乙方提交的货物依据采购文件上的技术规格要求和国家有关质量标准进行现场初步验收，外观、说明书符合采购文件技术要求的，给予签收，初步验收不合格的不予签收。所有更换的备件在装配前，由甲方人员确认后方可使用，甲方的确认并不免除乙方的质量责任。</w:t>
      </w:r>
    </w:p>
    <w:p w14:paraId="23CA56E0">
      <w:pPr>
        <w:pStyle w:val="174"/>
        <w:snapToGrid w:val="0"/>
        <w:spacing w:before="120" w:after="120" w:line="360" w:lineRule="auto"/>
        <w:ind w:right="-312"/>
        <w:rPr>
          <w:rStyle w:val="62"/>
          <w:rFonts w:hint="eastAsia" w:hAnsi="宋体"/>
          <w:sz w:val="21"/>
          <w:szCs w:val="21"/>
        </w:rPr>
      </w:pPr>
      <w:r>
        <w:rPr>
          <w:rStyle w:val="62"/>
          <w:rFonts w:hAnsi="宋体"/>
          <w:sz w:val="21"/>
          <w:szCs w:val="21"/>
        </w:rPr>
        <w:t>2. 乙方交货前应对产品</w:t>
      </w:r>
      <w:r>
        <w:rPr>
          <w:rStyle w:val="62"/>
          <w:rFonts w:hint="eastAsia" w:hAnsi="宋体"/>
          <w:sz w:val="21"/>
          <w:szCs w:val="21"/>
        </w:rPr>
        <w:t>做出</w:t>
      </w:r>
      <w:r>
        <w:rPr>
          <w:rStyle w:val="62"/>
          <w:rFonts w:hAnsi="宋体"/>
          <w:sz w:val="21"/>
          <w:szCs w:val="21"/>
        </w:rPr>
        <w:t>全面检查和对验收文件进行整理，并列出清单，作为甲方收货验收和使用的技术条件依据，检验的结果应随货物交甲方。</w:t>
      </w:r>
    </w:p>
    <w:p w14:paraId="24738D91">
      <w:pPr>
        <w:pStyle w:val="174"/>
        <w:snapToGrid w:val="0"/>
        <w:spacing w:before="120" w:after="120" w:line="360" w:lineRule="auto"/>
        <w:ind w:right="-312"/>
        <w:rPr>
          <w:rStyle w:val="62"/>
          <w:rFonts w:hint="eastAsia" w:hAnsi="宋体"/>
          <w:sz w:val="21"/>
          <w:szCs w:val="21"/>
        </w:rPr>
      </w:pPr>
      <w:r>
        <w:rPr>
          <w:rStyle w:val="62"/>
          <w:rFonts w:hAnsi="宋体"/>
          <w:sz w:val="21"/>
          <w:szCs w:val="21"/>
        </w:rPr>
        <w:t>3.货物安装完毕后，设备的精度、性能，达到或恢复维修前使用要求和技术要求。</w:t>
      </w:r>
    </w:p>
    <w:p w14:paraId="000AC461">
      <w:pPr>
        <w:pStyle w:val="174"/>
        <w:snapToGrid w:val="0"/>
        <w:spacing w:before="120" w:after="120" w:line="360" w:lineRule="auto"/>
        <w:ind w:right="-312"/>
        <w:rPr>
          <w:rStyle w:val="62"/>
          <w:rFonts w:hint="eastAsia" w:hAnsi="宋体"/>
          <w:sz w:val="21"/>
          <w:szCs w:val="21"/>
        </w:rPr>
      </w:pPr>
      <w:r>
        <w:rPr>
          <w:rStyle w:val="62"/>
          <w:rFonts w:hAnsi="宋体"/>
          <w:sz w:val="21"/>
          <w:szCs w:val="21"/>
        </w:rPr>
        <w:t>3. 乙方需协助甲方一起调试，直到符合技术要求，甲方才做最终验收。</w:t>
      </w:r>
    </w:p>
    <w:p w14:paraId="381C6267">
      <w:pPr>
        <w:pStyle w:val="174"/>
        <w:snapToGrid w:val="0"/>
        <w:spacing w:before="120" w:after="120" w:line="360" w:lineRule="auto"/>
        <w:ind w:right="-312"/>
        <w:rPr>
          <w:rStyle w:val="62"/>
          <w:rFonts w:hint="eastAsia" w:hAnsi="宋体"/>
          <w:sz w:val="21"/>
          <w:szCs w:val="21"/>
        </w:rPr>
      </w:pPr>
      <w:r>
        <w:rPr>
          <w:rStyle w:val="62"/>
          <w:rFonts w:hAnsi="宋体"/>
          <w:sz w:val="21"/>
          <w:szCs w:val="21"/>
        </w:rPr>
        <w:t>4. 货物安装完毕，乙方调试正常后，准备验收报告，通知甲方验收，甲填写验收意见，验收合格后，双方签署验收报告，验收合格并不免除乙方的质量责任。 验收时乙方必须在现场，验收完毕后作出验收结果报告；验收费用由乙方负责。</w:t>
      </w:r>
    </w:p>
    <w:p w14:paraId="33F7E6DB">
      <w:pPr>
        <w:pStyle w:val="174"/>
        <w:snapToGrid w:val="0"/>
        <w:spacing w:before="120" w:after="120" w:line="360" w:lineRule="auto"/>
        <w:rPr>
          <w:rStyle w:val="62"/>
          <w:rFonts w:hint="eastAsia" w:hAnsi="宋体"/>
          <w:b/>
          <w:color w:val="FF0000"/>
          <w:sz w:val="21"/>
          <w:szCs w:val="21"/>
        </w:rPr>
      </w:pPr>
      <w:r>
        <w:rPr>
          <w:rStyle w:val="62"/>
          <w:rFonts w:hAnsi="宋体"/>
          <w:b/>
          <w:sz w:val="21"/>
          <w:szCs w:val="21"/>
        </w:rPr>
        <w:t>十三、货物包装、发运及运输</w:t>
      </w:r>
    </w:p>
    <w:p w14:paraId="48603414">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1. 乙方应在货物发运前对其进行满足运输距离、防潮、防震、防锈和防破损装卸等要求包装，以保证货物安全运达甲方指定地点。</w:t>
      </w:r>
    </w:p>
    <w:p w14:paraId="2DBAB8E9">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2. 使用说明书、质量检验证明书、随配附件和工具以及清单一并附于货物内。</w:t>
      </w:r>
    </w:p>
    <w:p w14:paraId="6F548DB8">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3. 乙方在货物发运手续办理完毕后24小时内或货到甲方48小时前通知甲方，以准备接货。</w:t>
      </w:r>
    </w:p>
    <w:p w14:paraId="19CDCC33">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4. 货物在交付甲方前发生的风险均由乙方负责。</w:t>
      </w:r>
    </w:p>
    <w:p w14:paraId="071F79DA">
      <w:pPr>
        <w:pStyle w:val="174"/>
        <w:snapToGrid w:val="0"/>
        <w:spacing w:after="120" w:line="360" w:lineRule="auto"/>
        <w:ind w:left="420" w:right="26" w:hanging="420"/>
        <w:rPr>
          <w:rStyle w:val="62"/>
          <w:rFonts w:hint="eastAsia" w:hAnsi="宋体"/>
          <w:sz w:val="21"/>
          <w:szCs w:val="21"/>
        </w:rPr>
      </w:pPr>
      <w:r>
        <w:rPr>
          <w:rStyle w:val="62"/>
          <w:rFonts w:hAnsi="宋体"/>
          <w:sz w:val="21"/>
          <w:szCs w:val="21"/>
        </w:rPr>
        <w:t>5. 货物在规定的交付期限内由乙方送达甲方指定的地点视为交付，乙方同时需通知甲方货物已送达。</w:t>
      </w:r>
    </w:p>
    <w:p w14:paraId="5D9251F2">
      <w:pPr>
        <w:pStyle w:val="174"/>
        <w:snapToGrid w:val="0"/>
        <w:spacing w:before="120" w:after="120" w:line="360" w:lineRule="auto"/>
        <w:rPr>
          <w:rStyle w:val="62"/>
          <w:rFonts w:hint="eastAsia" w:hAnsi="宋体"/>
          <w:b/>
          <w:sz w:val="21"/>
          <w:szCs w:val="21"/>
        </w:rPr>
      </w:pPr>
      <w:r>
        <w:rPr>
          <w:rStyle w:val="62"/>
          <w:rFonts w:hAnsi="宋体"/>
          <w:b/>
          <w:sz w:val="21"/>
          <w:szCs w:val="21"/>
        </w:rPr>
        <w:t>十四、违约责任</w:t>
      </w:r>
    </w:p>
    <w:p w14:paraId="515EA221">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1. 甲方无正当理由拒收货物的，甲方向乙方偿付拒收货款总值的百分之五违约金。</w:t>
      </w:r>
    </w:p>
    <w:p w14:paraId="367EB770">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2. 甲方无故逾期验收和办理货款支付手续的</w:t>
      </w:r>
      <w:r>
        <w:rPr>
          <w:rStyle w:val="62"/>
          <w:rFonts w:hint="eastAsia" w:hAnsi="宋体"/>
          <w:sz w:val="21"/>
          <w:szCs w:val="21"/>
        </w:rPr>
        <w:t>，</w:t>
      </w:r>
      <w:r>
        <w:rPr>
          <w:rStyle w:val="62"/>
          <w:rFonts w:hAnsi="宋体"/>
          <w:sz w:val="21"/>
          <w:szCs w:val="21"/>
        </w:rPr>
        <w:t>甲方应按逾期付款总额每日万分之五向乙方支付违约金。</w:t>
      </w:r>
    </w:p>
    <w:p w14:paraId="3650094C">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78178A2">
      <w:pPr>
        <w:pStyle w:val="174"/>
        <w:snapToGrid w:val="0"/>
        <w:spacing w:before="120" w:after="120" w:line="360" w:lineRule="auto"/>
        <w:ind w:left="359" w:hanging="359"/>
        <w:rPr>
          <w:rStyle w:val="62"/>
          <w:rFonts w:hint="eastAsia" w:hAnsi="宋体"/>
          <w:sz w:val="21"/>
          <w:szCs w:val="21"/>
        </w:rPr>
      </w:pPr>
      <w:r>
        <w:rPr>
          <w:rStyle w:val="62"/>
          <w:rFonts w:hAnsi="宋体"/>
          <w:sz w:val="21"/>
          <w:szCs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CFDB863">
      <w:pPr>
        <w:pStyle w:val="174"/>
        <w:snapToGrid w:val="0"/>
        <w:spacing w:before="120" w:after="120" w:line="360" w:lineRule="auto"/>
        <w:rPr>
          <w:rStyle w:val="62"/>
          <w:rFonts w:hint="eastAsia" w:hAnsi="宋体"/>
          <w:b/>
          <w:sz w:val="21"/>
          <w:szCs w:val="21"/>
        </w:rPr>
      </w:pPr>
      <w:r>
        <w:rPr>
          <w:rStyle w:val="62"/>
          <w:rFonts w:hAnsi="宋体"/>
          <w:b/>
          <w:sz w:val="21"/>
          <w:szCs w:val="21"/>
        </w:rPr>
        <w:t>十五、不可抗力事件处理</w:t>
      </w:r>
    </w:p>
    <w:p w14:paraId="2C97B07E">
      <w:pPr>
        <w:pStyle w:val="174"/>
        <w:snapToGrid w:val="0"/>
        <w:spacing w:before="120" w:after="120" w:line="360" w:lineRule="auto"/>
        <w:rPr>
          <w:rStyle w:val="62"/>
          <w:rFonts w:hint="eastAsia" w:hAnsi="宋体"/>
          <w:sz w:val="21"/>
          <w:szCs w:val="21"/>
        </w:rPr>
      </w:pPr>
      <w:r>
        <w:rPr>
          <w:rStyle w:val="62"/>
          <w:rFonts w:hAnsi="宋体"/>
          <w:sz w:val="21"/>
          <w:szCs w:val="21"/>
        </w:rPr>
        <w:t>1. 在合同有效期内，任何一方因不可抗力事件导致不能履行合同，则合同履行期可延长，其延长期与不可抗力影响期相同。</w:t>
      </w:r>
    </w:p>
    <w:p w14:paraId="525A956F">
      <w:pPr>
        <w:pStyle w:val="174"/>
        <w:snapToGrid w:val="0"/>
        <w:spacing w:before="120" w:after="120" w:line="360" w:lineRule="auto"/>
        <w:rPr>
          <w:rStyle w:val="62"/>
          <w:rFonts w:hint="eastAsia" w:hAnsi="宋体"/>
          <w:sz w:val="21"/>
          <w:szCs w:val="21"/>
        </w:rPr>
      </w:pPr>
      <w:r>
        <w:rPr>
          <w:rStyle w:val="62"/>
          <w:rFonts w:hAnsi="宋体"/>
          <w:sz w:val="21"/>
          <w:szCs w:val="21"/>
        </w:rPr>
        <w:t>2. 不可抗力事件发生后，应立即通知对方，并寄送有关权威机构出具的证明。</w:t>
      </w:r>
    </w:p>
    <w:p w14:paraId="78239DFC">
      <w:pPr>
        <w:pStyle w:val="174"/>
        <w:snapToGrid w:val="0"/>
        <w:spacing w:before="120" w:after="120" w:line="360" w:lineRule="auto"/>
        <w:rPr>
          <w:rStyle w:val="62"/>
          <w:rFonts w:hint="eastAsia" w:hAnsi="宋体"/>
          <w:w w:val="90"/>
          <w:sz w:val="21"/>
          <w:szCs w:val="21"/>
        </w:rPr>
      </w:pPr>
      <w:r>
        <w:rPr>
          <w:rStyle w:val="62"/>
          <w:rFonts w:hAnsi="宋体"/>
          <w:sz w:val="21"/>
          <w:szCs w:val="21"/>
        </w:rPr>
        <w:t>3. 不可抗力事件延续120天以上，双方应通过友好协商，确定是否继续履行合同。</w:t>
      </w:r>
    </w:p>
    <w:p w14:paraId="0970C483">
      <w:pPr>
        <w:pStyle w:val="174"/>
        <w:snapToGrid w:val="0"/>
        <w:spacing w:before="120" w:after="120" w:line="360" w:lineRule="auto"/>
        <w:rPr>
          <w:rStyle w:val="62"/>
          <w:rFonts w:hint="eastAsia" w:hAnsi="宋体"/>
          <w:b/>
          <w:sz w:val="21"/>
          <w:szCs w:val="21"/>
        </w:rPr>
      </w:pPr>
      <w:r>
        <w:rPr>
          <w:rStyle w:val="62"/>
          <w:rFonts w:hAnsi="宋体"/>
          <w:b/>
          <w:sz w:val="21"/>
          <w:szCs w:val="21"/>
        </w:rPr>
        <w:t>十六、诉讼</w:t>
      </w:r>
    </w:p>
    <w:p w14:paraId="462F81B9">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 xml:space="preserve"> 双方在执行合同中所发生的一切争议，应通过协商解决。如协商不成，可向甲方所在地法院起诉。</w:t>
      </w:r>
    </w:p>
    <w:p w14:paraId="27906F86">
      <w:pPr>
        <w:pStyle w:val="174"/>
        <w:snapToGrid w:val="0"/>
        <w:spacing w:before="120" w:after="120" w:line="360" w:lineRule="auto"/>
        <w:rPr>
          <w:rStyle w:val="62"/>
          <w:rFonts w:hint="eastAsia" w:hAnsi="宋体"/>
          <w:b/>
          <w:sz w:val="21"/>
          <w:szCs w:val="21"/>
        </w:rPr>
      </w:pPr>
      <w:r>
        <w:rPr>
          <w:rStyle w:val="62"/>
          <w:rFonts w:hAnsi="宋体"/>
          <w:b/>
          <w:sz w:val="21"/>
          <w:szCs w:val="21"/>
        </w:rPr>
        <w:t>十七、合同生效及其它</w:t>
      </w:r>
    </w:p>
    <w:p w14:paraId="6B132EEF">
      <w:pPr>
        <w:pStyle w:val="174"/>
        <w:snapToGrid w:val="0"/>
        <w:spacing w:before="120" w:after="120" w:line="360" w:lineRule="auto"/>
        <w:rPr>
          <w:rStyle w:val="62"/>
          <w:rFonts w:hint="eastAsia" w:hAnsi="宋体"/>
          <w:sz w:val="21"/>
          <w:szCs w:val="21"/>
        </w:rPr>
      </w:pPr>
      <w:r>
        <w:rPr>
          <w:rStyle w:val="62"/>
          <w:rFonts w:hAnsi="宋体"/>
          <w:sz w:val="21"/>
          <w:szCs w:val="21"/>
        </w:rPr>
        <w:t>1. 合同经双方法定代表人或授权代表签字并加盖单位公章后生效。</w:t>
      </w:r>
    </w:p>
    <w:p w14:paraId="59FC7D0F">
      <w:pPr>
        <w:pStyle w:val="174"/>
        <w:snapToGrid w:val="0"/>
        <w:spacing w:before="120" w:after="120" w:line="360" w:lineRule="auto"/>
        <w:rPr>
          <w:rStyle w:val="62"/>
          <w:rFonts w:hint="eastAsia" w:hAnsi="宋体"/>
          <w:sz w:val="21"/>
          <w:szCs w:val="21"/>
        </w:rPr>
      </w:pPr>
      <w:r>
        <w:rPr>
          <w:rStyle w:val="62"/>
          <w:rFonts w:hAnsi="宋体"/>
          <w:sz w:val="21"/>
          <w:szCs w:val="21"/>
        </w:rPr>
        <w:t>2.合同执行中涉及采购资金和采购内容修改或补充的，须经有关部门审批，并签书面补充协议报政府采购监督管理部门备案，方可作为主合同不可分割的一部分。</w:t>
      </w:r>
    </w:p>
    <w:p w14:paraId="46569A91">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3.本合同未尽事宜，遵照《合同法》有关条文执行。</w:t>
      </w:r>
    </w:p>
    <w:p w14:paraId="037478A8">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4.本合同一式四份，具有同等法律效力，甲、乙双方各执两份。</w:t>
      </w:r>
    </w:p>
    <w:p w14:paraId="26457F8D">
      <w:pPr>
        <w:pStyle w:val="174"/>
        <w:snapToGrid w:val="0"/>
        <w:spacing w:before="120" w:after="120" w:line="360" w:lineRule="auto"/>
        <w:ind w:left="420" w:hanging="420"/>
        <w:rPr>
          <w:rStyle w:val="62"/>
          <w:rFonts w:hint="eastAsia" w:hAnsi="宋体"/>
          <w:sz w:val="21"/>
          <w:szCs w:val="21"/>
        </w:rPr>
      </w:pPr>
      <w:r>
        <w:rPr>
          <w:rStyle w:val="62"/>
          <w:rFonts w:hAnsi="宋体"/>
          <w:sz w:val="21"/>
          <w:szCs w:val="21"/>
        </w:rPr>
        <w:t xml:space="preserve">  甲方：                                   乙方： </w:t>
      </w:r>
    </w:p>
    <w:p w14:paraId="533B18BE">
      <w:pPr>
        <w:pStyle w:val="174"/>
        <w:snapToGrid w:val="0"/>
        <w:spacing w:before="120" w:after="120" w:line="360" w:lineRule="auto"/>
        <w:rPr>
          <w:rStyle w:val="62"/>
          <w:rFonts w:hint="eastAsia" w:hAnsi="宋体"/>
          <w:sz w:val="21"/>
          <w:szCs w:val="21"/>
        </w:rPr>
      </w:pPr>
      <w:r>
        <w:rPr>
          <w:rStyle w:val="62"/>
          <w:rFonts w:hAnsi="宋体"/>
          <w:sz w:val="21"/>
          <w:szCs w:val="21"/>
        </w:rPr>
        <w:t xml:space="preserve">  地址：                                   地址： </w:t>
      </w:r>
    </w:p>
    <w:p w14:paraId="1D3106AB">
      <w:pPr>
        <w:pStyle w:val="174"/>
        <w:snapToGrid w:val="0"/>
        <w:spacing w:before="120" w:after="120" w:line="360" w:lineRule="auto"/>
        <w:rPr>
          <w:rStyle w:val="62"/>
          <w:rFonts w:hint="eastAsia" w:hAnsi="宋体"/>
          <w:sz w:val="21"/>
          <w:szCs w:val="21"/>
        </w:rPr>
      </w:pPr>
      <w:r>
        <w:rPr>
          <w:rStyle w:val="62"/>
          <w:rFonts w:hAnsi="宋体"/>
          <w:sz w:val="21"/>
          <w:szCs w:val="21"/>
        </w:rPr>
        <w:t xml:space="preserve">  法定（授权）代表人：                     法定（授权）代表人：</w:t>
      </w:r>
    </w:p>
    <w:p w14:paraId="7CD99932">
      <w:pPr>
        <w:pStyle w:val="174"/>
        <w:snapToGrid w:val="0"/>
        <w:spacing w:before="120" w:after="120" w:line="360" w:lineRule="auto"/>
        <w:rPr>
          <w:rStyle w:val="62"/>
          <w:rFonts w:hint="eastAsia" w:hAnsi="宋体"/>
          <w:sz w:val="21"/>
          <w:szCs w:val="21"/>
        </w:rPr>
        <w:sectPr>
          <w:footerReference r:id="rId3" w:type="default"/>
          <w:pgSz w:w="11906" w:h="16838"/>
          <w:pgMar w:top="1134" w:right="1134" w:bottom="1134" w:left="1620" w:header="851" w:footer="992" w:gutter="0"/>
          <w:cols w:space="425" w:num="1"/>
          <w:docGrid w:type="lines" w:linePitch="312" w:charSpace="0"/>
        </w:sectPr>
      </w:pPr>
      <w:r>
        <w:rPr>
          <w:rStyle w:val="62"/>
          <w:rFonts w:hAnsi="宋体"/>
          <w:sz w:val="21"/>
          <w:szCs w:val="21"/>
        </w:rPr>
        <w:t xml:space="preserve">  签字日期：      年  月  日            签字日期：      年  月  </w:t>
      </w:r>
      <w:r>
        <w:rPr>
          <w:rStyle w:val="62"/>
          <w:rFonts w:hint="eastAsia" w:hAnsi="宋体"/>
          <w:sz w:val="21"/>
          <w:szCs w:val="21"/>
        </w:rPr>
        <w:t>日</w:t>
      </w:r>
    </w:p>
    <w:p w14:paraId="42D7138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50148EA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3FB0DB5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7EDB16BB">
      <w:pPr>
        <w:snapToGrid w:val="0"/>
        <w:spacing w:line="240" w:lineRule="atLeast"/>
        <w:jc w:val="center"/>
        <w:rPr>
          <w:rStyle w:val="62"/>
          <w:rFonts w:hint="eastAsia" w:hAnsi="宋体"/>
          <w:b/>
          <w:kern w:val="0"/>
          <w:sz w:val="32"/>
          <w:szCs w:val="32"/>
        </w:rPr>
      </w:pPr>
      <w:r>
        <w:rPr>
          <w:rStyle w:val="62"/>
          <w:rFonts w:hAnsi="宋体"/>
          <w:b/>
          <w:kern w:val="0"/>
          <w:sz w:val="32"/>
          <w:szCs w:val="32"/>
        </w:rPr>
        <w:t xml:space="preserve">项目名称： </w:t>
      </w:r>
    </w:p>
    <w:p w14:paraId="3603EF62">
      <w:pPr>
        <w:snapToGrid w:val="0"/>
        <w:spacing w:line="240" w:lineRule="atLeast"/>
        <w:rPr>
          <w:rStyle w:val="62"/>
          <w:rFonts w:hint="eastAsia" w:hAnsi="宋体"/>
          <w:b/>
          <w:kern w:val="0"/>
          <w:sz w:val="32"/>
          <w:szCs w:val="32"/>
        </w:rPr>
      </w:pPr>
    </w:p>
    <w:p w14:paraId="5003485C">
      <w:pPr>
        <w:snapToGrid w:val="0"/>
        <w:spacing w:line="240" w:lineRule="atLeast"/>
        <w:jc w:val="center"/>
        <w:rPr>
          <w:rStyle w:val="62"/>
          <w:rFonts w:hint="eastAsia" w:hAnsi="宋体"/>
          <w:b/>
          <w:kern w:val="0"/>
          <w:sz w:val="32"/>
          <w:szCs w:val="32"/>
        </w:rPr>
      </w:pPr>
      <w:r>
        <w:rPr>
          <w:rStyle w:val="62"/>
          <w:rFonts w:hAnsi="宋体"/>
          <w:b/>
          <w:kern w:val="0"/>
          <w:sz w:val="32"/>
          <w:szCs w:val="32"/>
        </w:rPr>
        <w:t>项目编号: HNJY202</w:t>
      </w:r>
      <w:r>
        <w:rPr>
          <w:rStyle w:val="62"/>
          <w:rFonts w:hint="eastAsia" w:hAnsi="宋体"/>
          <w:b/>
          <w:kern w:val="0"/>
          <w:sz w:val="32"/>
          <w:szCs w:val="32"/>
        </w:rPr>
        <w:t>5</w:t>
      </w:r>
      <w:r>
        <w:rPr>
          <w:rStyle w:val="62"/>
          <w:rFonts w:hAnsi="宋体"/>
          <w:b/>
          <w:kern w:val="0"/>
          <w:sz w:val="32"/>
          <w:szCs w:val="32"/>
        </w:rPr>
        <w:t>-</w:t>
      </w:r>
    </w:p>
    <w:p w14:paraId="28FBCF62">
      <w:pPr>
        <w:pStyle w:val="111"/>
        <w:snapToGrid w:val="0"/>
        <w:rPr>
          <w:rStyle w:val="62"/>
          <w:rFonts w:hint="eastAsia" w:hAnsi="宋体"/>
          <w:b/>
          <w:kern w:val="0"/>
          <w:sz w:val="32"/>
          <w:szCs w:val="32"/>
        </w:rPr>
      </w:pPr>
    </w:p>
    <w:p w14:paraId="5F4FB3E6">
      <w:pPr>
        <w:pStyle w:val="111"/>
        <w:snapToGrid w:val="0"/>
        <w:rPr>
          <w:rStyle w:val="62"/>
          <w:rFonts w:hint="eastAsia" w:hAnsi="宋体"/>
          <w:b/>
          <w:kern w:val="0"/>
          <w:sz w:val="32"/>
          <w:szCs w:val="32"/>
        </w:rPr>
      </w:pPr>
    </w:p>
    <w:p w14:paraId="0FB55B78">
      <w:pPr>
        <w:pStyle w:val="111"/>
        <w:snapToGrid w:val="0"/>
        <w:rPr>
          <w:rStyle w:val="62"/>
          <w:rFonts w:hint="eastAsia" w:hAnsi="宋体"/>
          <w:b/>
          <w:kern w:val="0"/>
          <w:sz w:val="32"/>
          <w:szCs w:val="32"/>
        </w:rPr>
      </w:pPr>
    </w:p>
    <w:p w14:paraId="3B82C710">
      <w:pPr>
        <w:pStyle w:val="111"/>
        <w:snapToGrid w:val="0"/>
        <w:rPr>
          <w:rStyle w:val="62"/>
          <w:rFonts w:hint="eastAsia" w:hAnsi="宋体"/>
          <w:b/>
          <w:kern w:val="0"/>
          <w:sz w:val="32"/>
          <w:szCs w:val="32"/>
        </w:rPr>
      </w:pPr>
    </w:p>
    <w:p w14:paraId="231B7AB2">
      <w:pPr>
        <w:snapToGrid w:val="0"/>
        <w:spacing w:line="320" w:lineRule="exact"/>
        <w:ind w:right="2278"/>
        <w:rPr>
          <w:rStyle w:val="62"/>
          <w:rFonts w:hint="eastAsia" w:hAnsi="宋体"/>
          <w:b/>
          <w:kern w:val="0"/>
          <w:sz w:val="32"/>
          <w:szCs w:val="32"/>
        </w:rPr>
      </w:pPr>
    </w:p>
    <w:p w14:paraId="703EB5E2">
      <w:pPr>
        <w:snapToGrid w:val="0"/>
        <w:ind w:right="2279"/>
        <w:jc w:val="center"/>
        <w:rPr>
          <w:rStyle w:val="62"/>
          <w:rFonts w:hint="eastAsia" w:hAnsi="宋体"/>
          <w:b/>
          <w:kern w:val="0"/>
          <w:sz w:val="32"/>
          <w:szCs w:val="32"/>
        </w:rPr>
      </w:pPr>
      <w:r>
        <w:rPr>
          <w:rStyle w:val="62"/>
          <w:rFonts w:hint="eastAsia" w:hAnsi="宋体"/>
          <w:b/>
          <w:kern w:val="0"/>
          <w:sz w:val="32"/>
          <w:szCs w:val="32"/>
        </w:rPr>
        <w:t xml:space="preserve">             公开比选采购</w:t>
      </w:r>
    </w:p>
    <w:p w14:paraId="30D49A49">
      <w:pPr>
        <w:snapToGrid w:val="0"/>
        <w:ind w:right="2279"/>
        <w:jc w:val="center"/>
        <w:rPr>
          <w:rStyle w:val="62"/>
          <w:rFonts w:hint="eastAsia" w:hAnsi="宋体"/>
          <w:b/>
          <w:kern w:val="0"/>
          <w:sz w:val="32"/>
          <w:szCs w:val="32"/>
        </w:rPr>
      </w:pPr>
      <w:r>
        <w:rPr>
          <w:rStyle w:val="62"/>
          <w:rFonts w:hint="eastAsia" w:hAnsi="宋体"/>
          <w:b/>
          <w:kern w:val="0"/>
          <w:sz w:val="32"/>
          <w:szCs w:val="32"/>
        </w:rPr>
        <w:t xml:space="preserve">             投标</w:t>
      </w:r>
      <w:r>
        <w:rPr>
          <w:rStyle w:val="62"/>
          <w:rFonts w:hAnsi="宋体"/>
          <w:b/>
          <w:kern w:val="0"/>
          <w:sz w:val="32"/>
          <w:szCs w:val="32"/>
        </w:rPr>
        <w:t>文件</w:t>
      </w:r>
    </w:p>
    <w:p w14:paraId="672FADAC">
      <w:pPr>
        <w:snapToGrid w:val="0"/>
        <w:spacing w:line="320" w:lineRule="exact"/>
        <w:ind w:right="2278"/>
        <w:rPr>
          <w:rStyle w:val="62"/>
          <w:rFonts w:hint="eastAsia" w:hAnsi="宋体"/>
          <w:b/>
          <w:sz w:val="30"/>
          <w:szCs w:val="30"/>
        </w:rPr>
      </w:pPr>
    </w:p>
    <w:p w14:paraId="2B268071">
      <w:pPr>
        <w:snapToGrid w:val="0"/>
        <w:spacing w:line="320" w:lineRule="exact"/>
        <w:ind w:right="2278"/>
        <w:rPr>
          <w:rStyle w:val="62"/>
          <w:rFonts w:hint="eastAsia" w:hAnsi="宋体"/>
          <w:b/>
          <w:sz w:val="30"/>
          <w:szCs w:val="30"/>
        </w:rPr>
      </w:pPr>
    </w:p>
    <w:p w14:paraId="7F1A4A89">
      <w:pPr>
        <w:snapToGrid w:val="0"/>
        <w:spacing w:line="320" w:lineRule="exact"/>
        <w:ind w:right="2278"/>
        <w:rPr>
          <w:rStyle w:val="62"/>
          <w:rFonts w:hint="eastAsia" w:hAnsi="宋体"/>
          <w:b/>
          <w:sz w:val="30"/>
          <w:szCs w:val="30"/>
        </w:rPr>
      </w:pPr>
    </w:p>
    <w:p w14:paraId="2EAA61A8">
      <w:pPr>
        <w:pStyle w:val="111"/>
      </w:pPr>
    </w:p>
    <w:p w14:paraId="5971357C">
      <w:pPr>
        <w:pStyle w:val="111"/>
      </w:pPr>
    </w:p>
    <w:p w14:paraId="671DAC83">
      <w:pPr>
        <w:pStyle w:val="111"/>
      </w:pPr>
    </w:p>
    <w:p w14:paraId="78700EF4">
      <w:pPr>
        <w:snapToGrid w:val="0"/>
        <w:spacing w:line="320" w:lineRule="exact"/>
        <w:ind w:right="2278"/>
        <w:rPr>
          <w:rStyle w:val="62"/>
          <w:rFonts w:hint="eastAsia" w:hAnsi="宋体"/>
          <w:b/>
          <w:sz w:val="30"/>
          <w:szCs w:val="30"/>
        </w:rPr>
      </w:pPr>
    </w:p>
    <w:p w14:paraId="7DFAA005">
      <w:pPr>
        <w:snapToGrid w:val="0"/>
        <w:spacing w:line="320" w:lineRule="exact"/>
        <w:ind w:right="2278"/>
        <w:rPr>
          <w:rStyle w:val="62"/>
          <w:rFonts w:hint="eastAsia" w:hAnsi="宋体"/>
          <w:b/>
          <w:sz w:val="30"/>
          <w:szCs w:val="30"/>
        </w:rPr>
      </w:pPr>
    </w:p>
    <w:p w14:paraId="12D9E9EA">
      <w:pPr>
        <w:snapToGrid w:val="0"/>
        <w:spacing w:line="320" w:lineRule="exact"/>
        <w:ind w:right="2278"/>
        <w:rPr>
          <w:rStyle w:val="62"/>
          <w:rFonts w:hint="eastAsia" w:hAnsi="宋体"/>
          <w:b/>
          <w:sz w:val="30"/>
          <w:szCs w:val="30"/>
        </w:rPr>
      </w:pPr>
    </w:p>
    <w:p w14:paraId="4CEF607E">
      <w:pPr>
        <w:snapToGrid w:val="0"/>
        <w:spacing w:line="320" w:lineRule="exact"/>
        <w:ind w:right="2278"/>
        <w:rPr>
          <w:rStyle w:val="62"/>
          <w:rFonts w:hint="eastAsia" w:hAnsi="宋体"/>
          <w:b/>
          <w:sz w:val="30"/>
          <w:szCs w:val="30"/>
        </w:rPr>
      </w:pPr>
    </w:p>
    <w:p w14:paraId="16559B3E">
      <w:pPr>
        <w:snapToGrid w:val="0"/>
        <w:spacing w:line="320" w:lineRule="exact"/>
        <w:ind w:right="2278"/>
        <w:rPr>
          <w:rStyle w:val="62"/>
          <w:rFonts w:hint="eastAsia" w:hAnsi="宋体"/>
          <w:b/>
          <w:sz w:val="30"/>
          <w:szCs w:val="30"/>
        </w:rPr>
      </w:pPr>
    </w:p>
    <w:p w14:paraId="6D31485A">
      <w:pPr>
        <w:snapToGrid w:val="0"/>
        <w:spacing w:line="320" w:lineRule="exact"/>
        <w:ind w:right="2278"/>
        <w:rPr>
          <w:rStyle w:val="62"/>
          <w:rFonts w:hint="eastAsia" w:hAnsi="宋体"/>
          <w:b/>
          <w:sz w:val="30"/>
          <w:szCs w:val="30"/>
        </w:rPr>
      </w:pPr>
    </w:p>
    <w:p w14:paraId="16B192B1">
      <w:pPr>
        <w:snapToGrid w:val="0"/>
        <w:spacing w:line="320" w:lineRule="exact"/>
        <w:ind w:right="2278"/>
        <w:rPr>
          <w:rStyle w:val="62"/>
          <w:rFonts w:hint="eastAsia" w:hAnsi="宋体"/>
          <w:b/>
          <w:sz w:val="30"/>
          <w:szCs w:val="30"/>
        </w:rPr>
      </w:pPr>
    </w:p>
    <w:p w14:paraId="35555CA7">
      <w:pPr>
        <w:snapToGrid w:val="0"/>
        <w:spacing w:line="320" w:lineRule="exact"/>
        <w:ind w:right="2278"/>
        <w:rPr>
          <w:rStyle w:val="62"/>
          <w:rFonts w:hint="eastAsia" w:hAnsi="宋体"/>
          <w:b/>
          <w:sz w:val="30"/>
          <w:szCs w:val="30"/>
        </w:rPr>
      </w:pPr>
    </w:p>
    <w:p w14:paraId="26D05008">
      <w:pPr>
        <w:snapToGrid w:val="0"/>
        <w:ind w:right="2279"/>
        <w:rPr>
          <w:rStyle w:val="62"/>
          <w:rFonts w:hint="eastAsia" w:hAnsi="宋体"/>
          <w:b/>
          <w:sz w:val="30"/>
          <w:szCs w:val="30"/>
        </w:rPr>
      </w:pPr>
      <w:r>
        <w:rPr>
          <w:rStyle w:val="62"/>
          <w:rFonts w:hint="eastAsia" w:hAnsi="宋体"/>
          <w:b/>
          <w:sz w:val="30"/>
          <w:szCs w:val="30"/>
        </w:rPr>
        <w:t>投标人</w:t>
      </w:r>
      <w:r>
        <w:rPr>
          <w:rStyle w:val="62"/>
          <w:rFonts w:hAnsi="宋体"/>
          <w:b/>
          <w:sz w:val="30"/>
          <w:szCs w:val="30"/>
        </w:rPr>
        <w:t>名称：               （盖章）</w:t>
      </w:r>
    </w:p>
    <w:p w14:paraId="209B02D3">
      <w:pPr>
        <w:snapToGrid w:val="0"/>
        <w:ind w:right="2279"/>
        <w:rPr>
          <w:rStyle w:val="62"/>
          <w:rFonts w:hint="eastAsia" w:hAnsi="宋体"/>
          <w:b/>
          <w:sz w:val="30"/>
          <w:szCs w:val="30"/>
        </w:rPr>
      </w:pPr>
      <w:r>
        <w:rPr>
          <w:rStyle w:val="62"/>
          <w:rFonts w:hAnsi="宋体"/>
          <w:b/>
          <w:sz w:val="30"/>
          <w:szCs w:val="30"/>
        </w:rPr>
        <w:t>公司地址：</w:t>
      </w:r>
    </w:p>
    <w:p w14:paraId="75C809CD">
      <w:pPr>
        <w:snapToGrid w:val="0"/>
        <w:ind w:right="2279"/>
        <w:rPr>
          <w:rStyle w:val="62"/>
          <w:rFonts w:hint="eastAsia" w:hAnsi="宋体"/>
          <w:b/>
          <w:sz w:val="30"/>
          <w:szCs w:val="30"/>
        </w:rPr>
      </w:pPr>
      <w:r>
        <w:rPr>
          <w:rStyle w:val="62"/>
          <w:rFonts w:hAnsi="宋体"/>
          <w:b/>
          <w:sz w:val="30"/>
          <w:szCs w:val="30"/>
        </w:rPr>
        <w:t>联系人：</w:t>
      </w:r>
    </w:p>
    <w:p w14:paraId="162D03AC">
      <w:pPr>
        <w:snapToGrid w:val="0"/>
        <w:ind w:right="2279"/>
        <w:rPr>
          <w:rStyle w:val="62"/>
          <w:rFonts w:hint="eastAsia" w:hAnsi="宋体"/>
          <w:b/>
          <w:sz w:val="30"/>
          <w:szCs w:val="30"/>
        </w:rPr>
      </w:pPr>
      <w:r>
        <w:rPr>
          <w:rStyle w:val="62"/>
          <w:rFonts w:hAnsi="宋体"/>
          <w:b/>
          <w:sz w:val="30"/>
          <w:szCs w:val="30"/>
        </w:rPr>
        <w:t>联系电话：</w:t>
      </w:r>
    </w:p>
    <w:p w14:paraId="57F29D3F">
      <w:pPr>
        <w:snapToGrid w:val="0"/>
        <w:spacing w:line="320" w:lineRule="exact"/>
        <w:ind w:right="2278"/>
        <w:rPr>
          <w:rFonts w:ascii="宋体"/>
          <w:b/>
          <w:bCs/>
          <w:kern w:val="0"/>
          <w:sz w:val="32"/>
          <w:szCs w:val="32"/>
        </w:rPr>
      </w:pPr>
      <w:r>
        <w:rPr>
          <w:rStyle w:val="62"/>
          <w:rFonts w:hAnsi="宋体"/>
          <w:b/>
          <w:sz w:val="30"/>
          <w:szCs w:val="30"/>
        </w:rPr>
        <w:t>日期：</w:t>
      </w:r>
    </w:p>
    <w:p w14:paraId="118769D5">
      <w:pPr>
        <w:spacing w:line="360" w:lineRule="exact"/>
        <w:jc w:val="center"/>
        <w:outlineLvl w:val="0"/>
        <w:rPr>
          <w:rFonts w:hint="eastAsia" w:ascii="宋体" w:hAnsi="宋体"/>
          <w:b/>
          <w:sz w:val="24"/>
        </w:rPr>
      </w:pPr>
    </w:p>
    <w:p w14:paraId="12F3D218">
      <w:pPr>
        <w:pStyle w:val="18"/>
        <w:rPr>
          <w:rFonts w:hint="eastAsia" w:ascii="宋体" w:hAnsi="宋体"/>
          <w:b/>
          <w:sz w:val="24"/>
        </w:rPr>
      </w:pPr>
    </w:p>
    <w:p w14:paraId="2ECFA1A9">
      <w:pPr>
        <w:spacing w:line="360" w:lineRule="exact"/>
        <w:jc w:val="left"/>
        <w:outlineLvl w:val="0"/>
        <w:rPr>
          <w:rFonts w:hint="eastAsia" w:ascii="宋体" w:hAnsi="宋体"/>
          <w:b/>
          <w:sz w:val="24"/>
        </w:rPr>
      </w:pPr>
      <w:r>
        <w:rPr>
          <w:rFonts w:hint="eastAsia" w:ascii="宋体" w:hAnsi="宋体"/>
          <w:b/>
          <w:sz w:val="24"/>
        </w:rPr>
        <w:t xml:space="preserve">附件1                             </w:t>
      </w:r>
    </w:p>
    <w:p w14:paraId="6E799A0C">
      <w:pPr>
        <w:spacing w:line="360" w:lineRule="exact"/>
        <w:jc w:val="center"/>
        <w:outlineLvl w:val="0"/>
        <w:rPr>
          <w:rFonts w:hint="eastAsia" w:ascii="宋体" w:hAnsi="宋体"/>
          <w:b/>
          <w:sz w:val="24"/>
        </w:rPr>
      </w:pPr>
      <w:r>
        <w:rPr>
          <w:rFonts w:hint="eastAsia" w:ascii="宋体" w:hAnsi="宋体"/>
          <w:b/>
          <w:sz w:val="24"/>
        </w:rPr>
        <w:t>响应函</w:t>
      </w:r>
    </w:p>
    <w:p w14:paraId="4A17AD67">
      <w:pPr>
        <w:spacing w:line="360" w:lineRule="exact"/>
        <w:ind w:firstLine="3510"/>
        <w:outlineLvl w:val="0"/>
        <w:rPr>
          <w:rFonts w:hint="eastAsia" w:ascii="宋体" w:hAnsi="宋体"/>
          <w:b/>
          <w:sz w:val="24"/>
        </w:rPr>
      </w:pPr>
    </w:p>
    <w:p w14:paraId="096429C1">
      <w:pPr>
        <w:spacing w:line="360" w:lineRule="exact"/>
        <w:outlineLvl w:val="0"/>
        <w:rPr>
          <w:rFonts w:hint="eastAsia" w:ascii="宋体" w:hAnsi="宋体"/>
          <w:sz w:val="24"/>
        </w:rPr>
      </w:pPr>
      <w:r>
        <w:rPr>
          <w:rFonts w:hint="eastAsia" w:ascii="宋体" w:hAnsi="宋体"/>
          <w:sz w:val="24"/>
        </w:rPr>
        <w:t>致：海南省教学仪器设备招标中心有限公司：</w:t>
      </w:r>
    </w:p>
    <w:p w14:paraId="62A282B7">
      <w:pPr>
        <w:spacing w:line="360" w:lineRule="exact"/>
        <w:outlineLvl w:val="0"/>
        <w:rPr>
          <w:rFonts w:hint="eastAsia" w:ascii="宋体" w:hAnsi="宋体"/>
          <w:sz w:val="24"/>
        </w:rPr>
      </w:pPr>
    </w:p>
    <w:p w14:paraId="0F7D89C4">
      <w:pPr>
        <w:spacing w:line="360" w:lineRule="exact"/>
        <w:ind w:firstLine="480"/>
        <w:rPr>
          <w:rFonts w:hint="eastAsia" w:ascii="宋体" w:hAnsi="宋体"/>
          <w:sz w:val="24"/>
        </w:rPr>
      </w:pPr>
      <w:r>
        <w:rPr>
          <w:rFonts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60288;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），正式授权下签字代表（全名、职务）代表响应投标人（投标人名称、地址）提交下述文件正本壹份和副本贰份。</w:t>
      </w:r>
    </w:p>
    <w:p w14:paraId="5E1ACB2A">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44F0F57B">
      <w:pPr>
        <w:snapToGrid w:val="0"/>
        <w:spacing w:line="480" w:lineRule="exact"/>
        <w:rPr>
          <w:rFonts w:hint="eastAsia"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6B0646BF">
      <w:pPr>
        <w:snapToGrid w:val="0"/>
        <w:spacing w:line="480" w:lineRule="exact"/>
        <w:ind w:firstLine="480" w:firstLineChars="200"/>
        <w:rPr>
          <w:rFonts w:hint="eastAsia" w:ascii="宋体" w:hAnsi="宋体"/>
          <w:sz w:val="24"/>
        </w:rPr>
      </w:pPr>
      <w:r>
        <w:rPr>
          <w:rFonts w:hint="eastAsia" w:ascii="宋体" w:hAnsi="宋体"/>
          <w:sz w:val="24"/>
        </w:rPr>
        <w:t>2、我方同意按照公开比选采购文件第三部分 “投标人须知”的规定，本响应文件的有效期为自递交响应文件截止日期起计算的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6AD51022">
      <w:pPr>
        <w:snapToGrid w:val="0"/>
        <w:spacing w:line="480" w:lineRule="exact"/>
        <w:ind w:firstLine="48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0AD8E735">
      <w:pPr>
        <w:snapToGrid w:val="0"/>
        <w:spacing w:line="480" w:lineRule="exact"/>
        <w:ind w:firstLine="480"/>
        <w:rPr>
          <w:rFonts w:hint="eastAsia" w:ascii="宋体" w:hAnsi="宋体"/>
          <w:sz w:val="24"/>
        </w:rPr>
      </w:pPr>
      <w:r>
        <w:rPr>
          <w:rFonts w:hint="eastAsia" w:ascii="宋体" w:hAnsi="宋体"/>
          <w:sz w:val="24"/>
        </w:rPr>
        <w:t>4、如果我方投标人，我们将根据采购文件的规定严格履行自己的责任和义务。</w:t>
      </w:r>
    </w:p>
    <w:p w14:paraId="3E2AA3A9">
      <w:pPr>
        <w:snapToGrid w:val="0"/>
        <w:spacing w:line="480" w:lineRule="exact"/>
        <w:ind w:firstLine="570"/>
        <w:rPr>
          <w:rFonts w:hint="eastAsia" w:ascii="宋体" w:hAnsi="宋体"/>
          <w:sz w:val="24"/>
        </w:rPr>
      </w:pPr>
    </w:p>
    <w:p w14:paraId="04D56835">
      <w:pPr>
        <w:snapToGrid w:val="0"/>
        <w:spacing w:line="480" w:lineRule="exact"/>
        <w:rPr>
          <w:rFonts w:hint="eastAsia" w:ascii="宋体" w:hAnsi="宋体"/>
          <w:sz w:val="24"/>
        </w:rPr>
      </w:pPr>
      <w:r>
        <w:rPr>
          <w:rFonts w:hint="eastAsia" w:ascii="宋体" w:hAnsi="宋体"/>
          <w:sz w:val="24"/>
        </w:rPr>
        <w:t xml:space="preserve">        投标人名称：</w:t>
      </w:r>
      <w:r>
        <w:rPr>
          <w:rFonts w:hint="eastAsia" w:ascii="宋体" w:hAnsi="宋体"/>
          <w:sz w:val="24"/>
          <w:u w:val="single"/>
        </w:rPr>
        <w:t xml:space="preserve">              （公章）</w:t>
      </w:r>
    </w:p>
    <w:p w14:paraId="0A0B7C9E">
      <w:pPr>
        <w:snapToGrid w:val="0"/>
        <w:spacing w:line="480" w:lineRule="exact"/>
        <w:rPr>
          <w:rFonts w:hint="eastAsia" w:ascii="宋体" w:hAnsi="宋体"/>
          <w:sz w:val="24"/>
          <w:u w:val="single"/>
        </w:rPr>
      </w:pPr>
      <w:r>
        <w:rPr>
          <w:rFonts w:hint="eastAsia" w:ascii="宋体" w:hAnsi="宋体"/>
          <w:sz w:val="24"/>
        </w:rPr>
        <w:t xml:space="preserve">        地址：邮编：</w:t>
      </w:r>
    </w:p>
    <w:p w14:paraId="75B8782F">
      <w:pPr>
        <w:snapToGrid w:val="0"/>
        <w:spacing w:line="480" w:lineRule="exact"/>
        <w:rPr>
          <w:rFonts w:hint="eastAsia" w:ascii="宋体" w:hAnsi="宋体"/>
          <w:sz w:val="24"/>
          <w:u w:val="single"/>
        </w:rPr>
      </w:pPr>
      <w:r>
        <w:rPr>
          <w:rFonts w:hint="eastAsia" w:ascii="宋体" w:hAnsi="宋体"/>
          <w:sz w:val="24"/>
        </w:rPr>
        <w:t xml:space="preserve">        电话：传真：</w:t>
      </w:r>
    </w:p>
    <w:p w14:paraId="40E7AB85">
      <w:pPr>
        <w:snapToGrid w:val="0"/>
        <w:spacing w:line="480" w:lineRule="exact"/>
        <w:rPr>
          <w:rFonts w:hint="eastAsia" w:ascii="宋体" w:hAnsi="宋体"/>
          <w:sz w:val="24"/>
          <w:u w:val="single"/>
        </w:rPr>
      </w:pPr>
      <w:r>
        <w:rPr>
          <w:rFonts w:hint="eastAsia" w:ascii="宋体" w:hAnsi="宋体"/>
          <w:sz w:val="24"/>
        </w:rPr>
        <w:t xml:space="preserve">        授权代表签字：   职务：</w:t>
      </w:r>
    </w:p>
    <w:p w14:paraId="12ABDE51">
      <w:pPr>
        <w:snapToGrid w:val="0"/>
        <w:spacing w:line="480" w:lineRule="exact"/>
        <w:rPr>
          <w:rFonts w:hint="eastAsia" w:ascii="宋体" w:hAnsi="宋体"/>
          <w:sz w:val="24"/>
          <w:u w:val="single"/>
        </w:rPr>
      </w:pPr>
      <w:r>
        <w:rPr>
          <w:rFonts w:hint="eastAsia" w:ascii="宋体" w:hAnsi="宋体"/>
          <w:sz w:val="24"/>
        </w:rPr>
        <w:t xml:space="preserve">        日期：</w:t>
      </w:r>
    </w:p>
    <w:p w14:paraId="667C8A76">
      <w:pPr>
        <w:spacing w:line="360" w:lineRule="exact"/>
        <w:rPr>
          <w:rFonts w:hint="eastAsia" w:ascii="宋体" w:hAnsi="宋体"/>
          <w:sz w:val="24"/>
        </w:rPr>
      </w:pPr>
    </w:p>
    <w:p w14:paraId="52D8C42E">
      <w:pPr>
        <w:spacing w:line="360" w:lineRule="exact"/>
        <w:rPr>
          <w:rFonts w:hint="eastAsia" w:ascii="宋体" w:hAnsi="宋体"/>
          <w:sz w:val="24"/>
        </w:rPr>
      </w:pPr>
    </w:p>
    <w:p w14:paraId="60EB0774">
      <w:pPr>
        <w:spacing w:line="360" w:lineRule="exact"/>
        <w:rPr>
          <w:rFonts w:hint="eastAsia" w:ascii="宋体" w:hAnsi="宋体"/>
          <w:sz w:val="24"/>
        </w:rPr>
      </w:pPr>
    </w:p>
    <w:p w14:paraId="3389D8D0">
      <w:pPr>
        <w:pStyle w:val="23"/>
        <w:spacing w:line="360" w:lineRule="exact"/>
        <w:outlineLvl w:val="0"/>
        <w:rPr>
          <w:rFonts w:hint="eastAsia"/>
          <w:kern w:val="2"/>
          <w:szCs w:val="24"/>
        </w:rPr>
      </w:pPr>
    </w:p>
    <w:p w14:paraId="4A4F7E13"/>
    <w:p w14:paraId="66A488ED"/>
    <w:p w14:paraId="5125C6C3"/>
    <w:p w14:paraId="3146F870"/>
    <w:p w14:paraId="0AB5B31D">
      <w:pPr>
        <w:pStyle w:val="23"/>
        <w:spacing w:line="360" w:lineRule="exact"/>
        <w:ind w:left="480" w:right="508" w:hanging="480"/>
        <w:jc w:val="both"/>
        <w:outlineLvl w:val="0"/>
        <w:rPr>
          <w:rFonts w:hint="eastAsia"/>
          <w:b/>
          <w:kern w:val="2"/>
          <w:szCs w:val="24"/>
        </w:rPr>
      </w:pPr>
    </w:p>
    <w:p w14:paraId="77A50B84">
      <w:pPr>
        <w:pStyle w:val="23"/>
        <w:spacing w:line="360" w:lineRule="exact"/>
        <w:ind w:left="480" w:right="508" w:hanging="480"/>
        <w:jc w:val="both"/>
        <w:outlineLvl w:val="0"/>
        <w:rPr>
          <w:rFonts w:hint="eastAsia"/>
          <w:b/>
          <w:kern w:val="2"/>
          <w:szCs w:val="24"/>
        </w:rPr>
      </w:pPr>
      <w:r>
        <w:rPr>
          <w:rFonts w:hint="eastAsia"/>
          <w:b/>
          <w:kern w:val="2"/>
          <w:szCs w:val="24"/>
        </w:rPr>
        <w:t>附件2</w:t>
      </w:r>
    </w:p>
    <w:p w14:paraId="11B7B8B3">
      <w:pPr>
        <w:spacing w:line="360" w:lineRule="exact"/>
        <w:ind w:right="2278"/>
        <w:jc w:val="center"/>
        <w:outlineLvl w:val="0"/>
        <w:rPr>
          <w:rFonts w:hint="eastAsia" w:ascii="宋体" w:hAnsi="宋体"/>
          <w:sz w:val="28"/>
          <w:szCs w:val="28"/>
        </w:rPr>
      </w:pPr>
      <w:bookmarkStart w:id="57" w:name="_Toc373100990"/>
      <w:r>
        <w:rPr>
          <w:rFonts w:hint="eastAsia" w:ascii="宋体" w:hAnsi="宋体"/>
          <w:b/>
          <w:sz w:val="28"/>
          <w:szCs w:val="28"/>
        </w:rPr>
        <w:t xml:space="preserve">                 报价一览表</w:t>
      </w:r>
      <w:bookmarkEnd w:id="57"/>
    </w:p>
    <w:p w14:paraId="50355450">
      <w:pPr>
        <w:spacing w:line="360" w:lineRule="exact"/>
        <w:ind w:right="2278"/>
        <w:jc w:val="center"/>
        <w:outlineLvl w:val="0"/>
        <w:rPr>
          <w:rFonts w:hint="eastAsia" w:ascii="宋体" w:hAnsi="宋体"/>
          <w:sz w:val="28"/>
          <w:szCs w:val="28"/>
        </w:rPr>
      </w:pPr>
    </w:p>
    <w:p w14:paraId="28F05E20">
      <w:pPr>
        <w:spacing w:line="360" w:lineRule="exact"/>
        <w:outlineLvl w:val="0"/>
        <w:rPr>
          <w:rFonts w:hint="eastAsia" w:ascii="宋体" w:hAnsi="宋体"/>
          <w:sz w:val="24"/>
        </w:rPr>
      </w:pPr>
      <w:r>
        <w:rPr>
          <w:rFonts w:hint="eastAsia" w:ascii="宋体" w:hAnsi="宋体"/>
          <w:sz w:val="24"/>
        </w:rPr>
        <w:t>项目名称：</w:t>
      </w:r>
    </w:p>
    <w:p w14:paraId="2857BC08">
      <w:pPr>
        <w:spacing w:line="360" w:lineRule="exact"/>
        <w:rPr>
          <w:rFonts w:hint="eastAsia" w:ascii="宋体" w:hAnsi="宋体"/>
          <w:sz w:val="24"/>
        </w:rPr>
      </w:pPr>
      <w:r>
        <w:rPr>
          <w:rFonts w:hint="eastAsia" w:ascii="宋体" w:hAnsi="宋体"/>
          <w:sz w:val="24"/>
        </w:rPr>
        <w:t xml:space="preserve">供应商名称： （盖章）                           </w:t>
      </w:r>
    </w:p>
    <w:p w14:paraId="48D5408B">
      <w:pPr>
        <w:spacing w:line="360" w:lineRule="exact"/>
        <w:rPr>
          <w:rFonts w:hint="eastAsia" w:ascii="宋体" w:hAnsi="宋体"/>
          <w:sz w:val="24"/>
        </w:rPr>
      </w:pPr>
    </w:p>
    <w:tbl>
      <w:tblPr>
        <w:tblStyle w:val="39"/>
        <w:tblW w:w="9177"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851"/>
        <w:gridCol w:w="851"/>
      </w:tblGrid>
      <w:tr w14:paraId="0DF39896">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3819F2D5">
            <w:pPr>
              <w:spacing w:line="360" w:lineRule="exact"/>
              <w:jc w:val="center"/>
              <w:rPr>
                <w:rFonts w:hint="eastAsia"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noWrap/>
            <w:vAlign w:val="center"/>
          </w:tcPr>
          <w:p w14:paraId="5685A327">
            <w:pPr>
              <w:spacing w:line="360" w:lineRule="exact"/>
              <w:jc w:val="center"/>
              <w:rPr>
                <w:rFonts w:hint="eastAsia"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noWrap/>
            <w:vAlign w:val="center"/>
          </w:tcPr>
          <w:p w14:paraId="5FD0FDD6">
            <w:pPr>
              <w:spacing w:line="360" w:lineRule="exact"/>
              <w:jc w:val="center"/>
              <w:rPr>
                <w:rFonts w:hint="eastAsia"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noWrap/>
            <w:vAlign w:val="center"/>
          </w:tcPr>
          <w:p w14:paraId="6FA6DF71">
            <w:pPr>
              <w:spacing w:line="360" w:lineRule="exact"/>
              <w:jc w:val="center"/>
              <w:rPr>
                <w:rFonts w:hint="eastAsia"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noWrap/>
            <w:vAlign w:val="center"/>
          </w:tcPr>
          <w:p w14:paraId="6FD6F70C">
            <w:pPr>
              <w:spacing w:line="360" w:lineRule="exact"/>
              <w:jc w:val="center"/>
              <w:rPr>
                <w:rFonts w:hint="eastAsia"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noWrap/>
            <w:vAlign w:val="center"/>
          </w:tcPr>
          <w:p w14:paraId="24D07116">
            <w:pPr>
              <w:spacing w:line="360" w:lineRule="exact"/>
              <w:jc w:val="center"/>
              <w:rPr>
                <w:rFonts w:hint="eastAsia"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noWrap/>
            <w:vAlign w:val="center"/>
          </w:tcPr>
          <w:p w14:paraId="6B8F17DB">
            <w:pPr>
              <w:spacing w:line="360" w:lineRule="exact"/>
              <w:jc w:val="center"/>
              <w:rPr>
                <w:rFonts w:hint="eastAsia" w:ascii="宋体" w:hAnsi="宋体"/>
                <w:sz w:val="24"/>
              </w:rPr>
            </w:pPr>
            <w:r>
              <w:rPr>
                <w:rFonts w:hint="eastAsia" w:ascii="宋体" w:hAnsi="宋体"/>
                <w:sz w:val="24"/>
              </w:rPr>
              <w:t>7</w:t>
            </w:r>
          </w:p>
        </w:tc>
        <w:tc>
          <w:tcPr>
            <w:tcW w:w="851" w:type="dxa"/>
            <w:tcBorders>
              <w:top w:val="single" w:color="auto" w:sz="6" w:space="0"/>
              <w:left w:val="single" w:color="auto" w:sz="4" w:space="0"/>
              <w:bottom w:val="single" w:color="auto" w:sz="6" w:space="0"/>
              <w:right w:val="single" w:color="auto" w:sz="4" w:space="0"/>
            </w:tcBorders>
            <w:noWrap/>
            <w:vAlign w:val="center"/>
          </w:tcPr>
          <w:p w14:paraId="6B93159B">
            <w:pPr>
              <w:spacing w:line="360" w:lineRule="exact"/>
              <w:jc w:val="center"/>
              <w:rPr>
                <w:rFonts w:hint="eastAsia"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noWrap/>
          </w:tcPr>
          <w:p w14:paraId="04B0CEA1">
            <w:pPr>
              <w:spacing w:line="360" w:lineRule="exact"/>
              <w:jc w:val="center"/>
              <w:rPr>
                <w:rFonts w:hint="eastAsia" w:ascii="宋体" w:hAnsi="宋体"/>
                <w:sz w:val="24"/>
              </w:rPr>
            </w:pPr>
            <w:r>
              <w:rPr>
                <w:rFonts w:hint="eastAsia" w:ascii="宋体" w:hAnsi="宋体"/>
                <w:sz w:val="24"/>
              </w:rPr>
              <w:t>9</w:t>
            </w:r>
          </w:p>
        </w:tc>
      </w:tr>
      <w:tr w14:paraId="624A7B75">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55315868">
            <w:pPr>
              <w:spacing w:line="360" w:lineRule="exact"/>
              <w:jc w:val="center"/>
              <w:rPr>
                <w:rFonts w:hint="eastAsia"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noWrap/>
            <w:vAlign w:val="center"/>
          </w:tcPr>
          <w:p w14:paraId="6119642C">
            <w:pPr>
              <w:spacing w:line="360" w:lineRule="exact"/>
              <w:jc w:val="center"/>
              <w:rPr>
                <w:rFonts w:hint="eastAsia" w:ascii="宋体" w:hAnsi="宋体"/>
                <w:sz w:val="24"/>
              </w:rPr>
            </w:pPr>
            <w:r>
              <w:rPr>
                <w:rFonts w:hint="eastAsia" w:ascii="宋体" w:hAnsi="宋体"/>
                <w:sz w:val="24"/>
              </w:rPr>
              <w:t>货物名称</w:t>
            </w:r>
          </w:p>
        </w:tc>
        <w:tc>
          <w:tcPr>
            <w:tcW w:w="2396" w:type="dxa"/>
            <w:tcBorders>
              <w:top w:val="single" w:color="auto" w:sz="6" w:space="0"/>
              <w:left w:val="single" w:color="auto" w:sz="6" w:space="0"/>
              <w:bottom w:val="single" w:color="auto" w:sz="6" w:space="0"/>
              <w:right w:val="single" w:color="auto" w:sz="6" w:space="0"/>
            </w:tcBorders>
            <w:noWrap/>
            <w:vAlign w:val="center"/>
          </w:tcPr>
          <w:p w14:paraId="2624D662">
            <w:pPr>
              <w:spacing w:line="360" w:lineRule="exact"/>
              <w:jc w:val="center"/>
              <w:rPr>
                <w:rFonts w:hint="eastAsia" w:ascii="宋体" w:hAnsi="宋体"/>
                <w:sz w:val="24"/>
              </w:rPr>
            </w:pPr>
            <w:r>
              <w:rPr>
                <w:rFonts w:hint="eastAsia" w:ascii="宋体" w:hAnsi="宋体"/>
                <w:color w:val="000000"/>
                <w:sz w:val="24"/>
              </w:rPr>
              <w:t>品牌型号、生产厂家、产地及技术参</w:t>
            </w:r>
            <w:r>
              <w:rPr>
                <w:rFonts w:hint="eastAsia" w:ascii="宋体" w:hAnsi="宋体"/>
                <w:sz w:val="24"/>
              </w:rPr>
              <w:t>数</w:t>
            </w:r>
          </w:p>
        </w:tc>
        <w:tc>
          <w:tcPr>
            <w:tcW w:w="724" w:type="dxa"/>
            <w:tcBorders>
              <w:top w:val="single" w:color="auto" w:sz="6" w:space="0"/>
              <w:left w:val="single" w:color="auto" w:sz="6" w:space="0"/>
              <w:bottom w:val="single" w:color="auto" w:sz="6" w:space="0"/>
              <w:right w:val="single" w:color="auto" w:sz="4" w:space="0"/>
            </w:tcBorders>
            <w:noWrap/>
            <w:vAlign w:val="center"/>
          </w:tcPr>
          <w:p w14:paraId="6E4144BE">
            <w:pPr>
              <w:spacing w:line="360" w:lineRule="exact"/>
              <w:jc w:val="center"/>
              <w:rPr>
                <w:rFonts w:hint="eastAsia"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noWrap/>
            <w:vAlign w:val="center"/>
          </w:tcPr>
          <w:p w14:paraId="58F71061">
            <w:pPr>
              <w:spacing w:line="360" w:lineRule="exact"/>
              <w:jc w:val="center"/>
              <w:rPr>
                <w:rFonts w:hint="eastAsia"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noWrap/>
            <w:vAlign w:val="center"/>
          </w:tcPr>
          <w:p w14:paraId="193C2DAF">
            <w:pPr>
              <w:spacing w:line="360" w:lineRule="exact"/>
              <w:jc w:val="center"/>
              <w:rPr>
                <w:rFonts w:hint="eastAsia"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noWrap/>
            <w:vAlign w:val="center"/>
          </w:tcPr>
          <w:p w14:paraId="34B16140">
            <w:pPr>
              <w:spacing w:line="360" w:lineRule="exact"/>
              <w:jc w:val="center"/>
              <w:rPr>
                <w:rFonts w:hint="eastAsia" w:ascii="宋体" w:hAnsi="宋体"/>
                <w:sz w:val="24"/>
              </w:rPr>
            </w:pPr>
            <w:r>
              <w:rPr>
                <w:rFonts w:hint="eastAsia" w:ascii="宋体" w:hAnsi="宋体"/>
                <w:sz w:val="24"/>
              </w:rPr>
              <w:t>投标单项总价</w:t>
            </w:r>
          </w:p>
        </w:tc>
        <w:tc>
          <w:tcPr>
            <w:tcW w:w="851" w:type="dxa"/>
            <w:tcBorders>
              <w:top w:val="single" w:color="auto" w:sz="6" w:space="0"/>
              <w:left w:val="single" w:color="auto" w:sz="4" w:space="0"/>
              <w:bottom w:val="single" w:color="auto" w:sz="6" w:space="0"/>
              <w:right w:val="single" w:color="auto" w:sz="4" w:space="0"/>
            </w:tcBorders>
            <w:noWrap/>
            <w:vAlign w:val="center"/>
          </w:tcPr>
          <w:p w14:paraId="13ECA374">
            <w:pPr>
              <w:spacing w:line="360" w:lineRule="exact"/>
              <w:jc w:val="center"/>
              <w:rPr>
                <w:rFonts w:hint="eastAsia" w:ascii="宋体" w:hAnsi="宋体"/>
                <w:sz w:val="24"/>
              </w:rPr>
            </w:pPr>
            <w:r>
              <w:rPr>
                <w:rFonts w:hint="eastAsia" w:ascii="宋体" w:hAnsi="宋体"/>
                <w:sz w:val="24"/>
              </w:rPr>
              <w:t>交货期</w:t>
            </w:r>
          </w:p>
        </w:tc>
        <w:tc>
          <w:tcPr>
            <w:tcW w:w="851" w:type="dxa"/>
            <w:tcBorders>
              <w:top w:val="single" w:color="auto" w:sz="6" w:space="0"/>
              <w:left w:val="single" w:color="auto" w:sz="4" w:space="0"/>
              <w:bottom w:val="single" w:color="auto" w:sz="6" w:space="0"/>
              <w:right w:val="single" w:color="auto" w:sz="4" w:space="0"/>
            </w:tcBorders>
            <w:noWrap/>
            <w:vAlign w:val="center"/>
          </w:tcPr>
          <w:p w14:paraId="78474C63">
            <w:pPr>
              <w:spacing w:line="360" w:lineRule="exact"/>
              <w:jc w:val="center"/>
              <w:rPr>
                <w:rFonts w:hint="eastAsia" w:ascii="宋体" w:hAnsi="宋体"/>
                <w:sz w:val="24"/>
              </w:rPr>
            </w:pPr>
            <w:r>
              <w:rPr>
                <w:rFonts w:hint="eastAsia" w:ascii="宋体" w:hAnsi="宋体"/>
                <w:sz w:val="24"/>
              </w:rPr>
              <w:t>免费质保期</w:t>
            </w:r>
          </w:p>
        </w:tc>
      </w:tr>
      <w:tr w14:paraId="056EB015">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noWrap/>
          </w:tcPr>
          <w:p w14:paraId="5E6F1D54">
            <w:pPr>
              <w:spacing w:line="360" w:lineRule="exact"/>
              <w:rPr>
                <w:rFonts w:hint="eastAsia" w:ascii="宋体" w:hAnsi="宋体"/>
                <w:sz w:val="24"/>
              </w:rPr>
            </w:pPr>
          </w:p>
        </w:tc>
        <w:tc>
          <w:tcPr>
            <w:tcW w:w="1224" w:type="dxa"/>
            <w:tcBorders>
              <w:top w:val="single" w:color="auto" w:sz="6" w:space="0"/>
              <w:left w:val="single" w:color="auto" w:sz="6" w:space="0"/>
              <w:bottom w:val="single" w:color="auto" w:sz="4" w:space="0"/>
              <w:right w:val="single" w:color="auto" w:sz="6" w:space="0"/>
            </w:tcBorders>
            <w:noWrap/>
          </w:tcPr>
          <w:p w14:paraId="67C519F2">
            <w:pPr>
              <w:spacing w:line="360" w:lineRule="exact"/>
              <w:rPr>
                <w:rFonts w:hint="eastAsia" w:ascii="宋体" w:hAnsi="宋体"/>
                <w:sz w:val="24"/>
              </w:rPr>
            </w:pPr>
          </w:p>
        </w:tc>
        <w:tc>
          <w:tcPr>
            <w:tcW w:w="2396" w:type="dxa"/>
            <w:tcBorders>
              <w:top w:val="single" w:color="auto" w:sz="6" w:space="0"/>
              <w:left w:val="single" w:color="auto" w:sz="6" w:space="0"/>
              <w:bottom w:val="single" w:color="auto" w:sz="4" w:space="0"/>
              <w:right w:val="single" w:color="auto" w:sz="6" w:space="0"/>
            </w:tcBorders>
            <w:noWrap/>
          </w:tcPr>
          <w:p w14:paraId="0F81517A">
            <w:pPr>
              <w:spacing w:line="360" w:lineRule="exact"/>
              <w:rPr>
                <w:rFonts w:hint="eastAsia" w:ascii="宋体" w:hAnsi="宋体"/>
                <w:sz w:val="24"/>
              </w:rPr>
            </w:pPr>
          </w:p>
        </w:tc>
        <w:tc>
          <w:tcPr>
            <w:tcW w:w="724" w:type="dxa"/>
            <w:tcBorders>
              <w:top w:val="single" w:color="auto" w:sz="6" w:space="0"/>
              <w:left w:val="single" w:color="auto" w:sz="6" w:space="0"/>
              <w:bottom w:val="single" w:color="auto" w:sz="4" w:space="0"/>
              <w:right w:val="single" w:color="auto" w:sz="4" w:space="0"/>
            </w:tcBorders>
            <w:noWrap/>
          </w:tcPr>
          <w:p w14:paraId="6F1F72C2">
            <w:pPr>
              <w:spacing w:line="360" w:lineRule="exact"/>
              <w:rPr>
                <w:rFonts w:hint="eastAsia" w:ascii="宋体" w:hAnsi="宋体"/>
                <w:sz w:val="24"/>
              </w:rPr>
            </w:pPr>
          </w:p>
        </w:tc>
        <w:tc>
          <w:tcPr>
            <w:tcW w:w="724" w:type="dxa"/>
            <w:tcBorders>
              <w:top w:val="single" w:color="auto" w:sz="6" w:space="0"/>
              <w:left w:val="single" w:color="auto" w:sz="4" w:space="0"/>
              <w:bottom w:val="single" w:color="auto" w:sz="4" w:space="0"/>
              <w:right w:val="single" w:color="auto" w:sz="4" w:space="0"/>
            </w:tcBorders>
            <w:noWrap/>
          </w:tcPr>
          <w:p w14:paraId="24827A95">
            <w:pPr>
              <w:spacing w:line="360" w:lineRule="exact"/>
              <w:rPr>
                <w:rFonts w:hint="eastAsia" w:ascii="宋体" w:hAnsi="宋体"/>
                <w:sz w:val="24"/>
              </w:rPr>
            </w:pPr>
          </w:p>
        </w:tc>
        <w:tc>
          <w:tcPr>
            <w:tcW w:w="905" w:type="dxa"/>
            <w:tcBorders>
              <w:top w:val="single" w:color="auto" w:sz="6" w:space="0"/>
              <w:left w:val="single" w:color="auto" w:sz="4" w:space="0"/>
              <w:bottom w:val="single" w:color="auto" w:sz="4" w:space="0"/>
              <w:right w:val="single" w:color="auto" w:sz="6" w:space="0"/>
            </w:tcBorders>
            <w:noWrap/>
          </w:tcPr>
          <w:p w14:paraId="3CA57494">
            <w:pPr>
              <w:spacing w:line="360" w:lineRule="exact"/>
              <w:rPr>
                <w:rFonts w:hint="eastAsia" w:ascii="宋体" w:hAnsi="宋体"/>
                <w:sz w:val="24"/>
              </w:rPr>
            </w:pPr>
          </w:p>
        </w:tc>
        <w:tc>
          <w:tcPr>
            <w:tcW w:w="905" w:type="dxa"/>
            <w:tcBorders>
              <w:top w:val="single" w:color="auto" w:sz="6" w:space="0"/>
              <w:left w:val="single" w:color="auto" w:sz="6" w:space="0"/>
              <w:bottom w:val="single" w:color="auto" w:sz="4" w:space="0"/>
              <w:right w:val="single" w:color="auto" w:sz="4" w:space="0"/>
            </w:tcBorders>
            <w:noWrap/>
          </w:tcPr>
          <w:p w14:paraId="3276326D">
            <w:pPr>
              <w:spacing w:line="360" w:lineRule="exact"/>
              <w:rPr>
                <w:rFonts w:hint="eastAsia" w:ascii="宋体" w:hAnsi="宋体"/>
                <w:sz w:val="24"/>
              </w:rPr>
            </w:pPr>
          </w:p>
        </w:tc>
        <w:tc>
          <w:tcPr>
            <w:tcW w:w="851" w:type="dxa"/>
            <w:tcBorders>
              <w:top w:val="single" w:color="auto" w:sz="6" w:space="0"/>
              <w:left w:val="single" w:color="auto" w:sz="4" w:space="0"/>
              <w:bottom w:val="single" w:color="auto" w:sz="4" w:space="0"/>
              <w:right w:val="single" w:color="auto" w:sz="4" w:space="0"/>
            </w:tcBorders>
            <w:noWrap/>
          </w:tcPr>
          <w:p w14:paraId="7B793F35">
            <w:pPr>
              <w:spacing w:line="360" w:lineRule="exact"/>
              <w:rPr>
                <w:rFonts w:hint="eastAsia" w:ascii="宋体" w:hAnsi="宋体"/>
                <w:sz w:val="24"/>
              </w:rPr>
            </w:pPr>
          </w:p>
        </w:tc>
        <w:tc>
          <w:tcPr>
            <w:tcW w:w="851" w:type="dxa"/>
            <w:tcBorders>
              <w:top w:val="single" w:color="auto" w:sz="6" w:space="0"/>
              <w:left w:val="single" w:color="auto" w:sz="4" w:space="0"/>
              <w:bottom w:val="single" w:color="auto" w:sz="4" w:space="0"/>
              <w:right w:val="single" w:color="auto" w:sz="4" w:space="0"/>
            </w:tcBorders>
            <w:noWrap/>
          </w:tcPr>
          <w:p w14:paraId="757ADC9F">
            <w:pPr>
              <w:spacing w:line="360" w:lineRule="exact"/>
              <w:rPr>
                <w:rFonts w:hint="eastAsia" w:ascii="宋体" w:hAnsi="宋体"/>
                <w:sz w:val="24"/>
              </w:rPr>
            </w:pPr>
          </w:p>
        </w:tc>
      </w:tr>
      <w:tr w14:paraId="075DB0A8">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0265D3E6">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177ECFDC">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76F8F254">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47757554">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0022F841">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589A75D5">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38A74A44">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04D8EB6C">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10CC441C">
            <w:pPr>
              <w:spacing w:line="360" w:lineRule="exact"/>
              <w:rPr>
                <w:rFonts w:hint="eastAsia" w:ascii="宋体" w:hAnsi="宋体"/>
                <w:sz w:val="24"/>
              </w:rPr>
            </w:pPr>
          </w:p>
        </w:tc>
      </w:tr>
      <w:tr w14:paraId="32D0249F">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304EBF46">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580CBAA4">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7B611A17">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5732CF80">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534F581C">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25F4189E">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20613533">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4C42AA29">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3486CF6C">
            <w:pPr>
              <w:spacing w:line="360" w:lineRule="exact"/>
              <w:rPr>
                <w:rFonts w:hint="eastAsia" w:ascii="宋体" w:hAnsi="宋体"/>
                <w:sz w:val="24"/>
              </w:rPr>
            </w:pPr>
          </w:p>
        </w:tc>
      </w:tr>
      <w:tr w14:paraId="2F9224C9">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7619BF0D">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54C34703">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62883081">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1DB9ACB7">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7723B8E0">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307865C2">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15E48B09">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7BB69DA6">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27CAF127">
            <w:pPr>
              <w:spacing w:line="360" w:lineRule="exact"/>
              <w:rPr>
                <w:rFonts w:hint="eastAsia" w:ascii="宋体" w:hAnsi="宋体"/>
                <w:sz w:val="24"/>
              </w:rPr>
            </w:pPr>
          </w:p>
        </w:tc>
      </w:tr>
      <w:tr w14:paraId="6693D8D0">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1499EEAA">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7065B9B6">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09925FAD">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4F6D1A55">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27980858">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0E84ED2A">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1C8B2BE4">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221F962F">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30D14013">
            <w:pPr>
              <w:spacing w:line="360" w:lineRule="exact"/>
              <w:rPr>
                <w:rFonts w:hint="eastAsia" w:ascii="宋体" w:hAnsi="宋体"/>
                <w:sz w:val="24"/>
              </w:rPr>
            </w:pPr>
          </w:p>
        </w:tc>
      </w:tr>
      <w:tr w14:paraId="252D02EB">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50F1A171">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60CB4BE2">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722B0327">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7724D824">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5B84C959">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102D474F">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34154B5C">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2FF8E1F6">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7A017687">
            <w:pPr>
              <w:spacing w:line="360" w:lineRule="exact"/>
              <w:rPr>
                <w:rFonts w:hint="eastAsia" w:ascii="宋体" w:hAnsi="宋体"/>
                <w:sz w:val="24"/>
              </w:rPr>
            </w:pPr>
          </w:p>
        </w:tc>
      </w:tr>
    </w:tbl>
    <w:p w14:paraId="4AD5BE2C">
      <w:pPr>
        <w:spacing w:line="360" w:lineRule="exact"/>
        <w:rPr>
          <w:rFonts w:hint="eastAsia" w:ascii="宋体" w:hAnsi="宋体"/>
          <w:sz w:val="24"/>
        </w:rPr>
      </w:pPr>
    </w:p>
    <w:p w14:paraId="04ED7ECC">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2625FF4C">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1ABFE060">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4E0F8D94">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45B74447">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22C325A5">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3387FA37">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0296F091">
      <w:pPr>
        <w:spacing w:line="320" w:lineRule="exact"/>
        <w:rPr>
          <w:rFonts w:hint="eastAsia" w:ascii="宋体" w:hAnsi="宋体"/>
          <w:b/>
          <w:sz w:val="24"/>
        </w:rPr>
      </w:pPr>
    </w:p>
    <w:p w14:paraId="7397A352">
      <w:pPr>
        <w:spacing w:line="360" w:lineRule="exact"/>
        <w:rPr>
          <w:rFonts w:hint="eastAsia" w:ascii="宋体" w:hAnsi="宋体"/>
          <w:b/>
          <w:sz w:val="24"/>
        </w:rPr>
      </w:pPr>
    </w:p>
    <w:p w14:paraId="1B6166EC">
      <w:pPr>
        <w:spacing w:line="360" w:lineRule="exact"/>
        <w:rPr>
          <w:rFonts w:hint="eastAsia" w:ascii="宋体" w:hAnsi="宋体"/>
          <w:b/>
          <w:sz w:val="24"/>
        </w:rPr>
      </w:pPr>
    </w:p>
    <w:p w14:paraId="02B625F5">
      <w:pPr>
        <w:spacing w:line="360" w:lineRule="exact"/>
        <w:rPr>
          <w:rFonts w:hint="eastAsia" w:ascii="宋体" w:hAnsi="宋体"/>
          <w:b/>
          <w:sz w:val="24"/>
        </w:rPr>
      </w:pPr>
    </w:p>
    <w:p w14:paraId="20DAE0A7">
      <w:pPr>
        <w:spacing w:line="360" w:lineRule="exact"/>
        <w:rPr>
          <w:rFonts w:hint="eastAsia" w:ascii="宋体" w:hAnsi="宋体"/>
          <w:b/>
          <w:sz w:val="24"/>
        </w:rPr>
      </w:pPr>
    </w:p>
    <w:p w14:paraId="07E92670">
      <w:pPr>
        <w:pStyle w:val="18"/>
        <w:rPr>
          <w:rFonts w:hint="eastAsia" w:ascii="宋体" w:hAnsi="宋体"/>
          <w:b/>
          <w:sz w:val="24"/>
        </w:rPr>
      </w:pPr>
    </w:p>
    <w:p w14:paraId="167450E9">
      <w:pPr>
        <w:pStyle w:val="18"/>
        <w:rPr>
          <w:rFonts w:hint="eastAsia" w:ascii="宋体" w:hAnsi="宋体"/>
          <w:b/>
          <w:sz w:val="24"/>
        </w:rPr>
      </w:pPr>
    </w:p>
    <w:p w14:paraId="0750B34B">
      <w:pPr>
        <w:pStyle w:val="18"/>
        <w:rPr>
          <w:rFonts w:hint="eastAsia" w:ascii="宋体" w:hAnsi="宋体"/>
          <w:b/>
          <w:sz w:val="24"/>
        </w:rPr>
      </w:pPr>
    </w:p>
    <w:p w14:paraId="3DFB0403">
      <w:pPr>
        <w:pStyle w:val="18"/>
        <w:rPr>
          <w:rFonts w:hint="eastAsia" w:ascii="宋体" w:hAnsi="宋体"/>
          <w:b/>
          <w:sz w:val="24"/>
        </w:rPr>
      </w:pPr>
    </w:p>
    <w:p w14:paraId="61D5B0AB">
      <w:pPr>
        <w:spacing w:line="360" w:lineRule="exact"/>
        <w:rPr>
          <w:rFonts w:hint="eastAsia" w:ascii="宋体" w:hAnsi="宋体"/>
          <w:b/>
          <w:sz w:val="24"/>
        </w:rPr>
      </w:pPr>
      <w:r>
        <w:rPr>
          <w:rFonts w:hint="eastAsia" w:ascii="宋体" w:hAnsi="宋体"/>
          <w:b/>
          <w:sz w:val="24"/>
        </w:rPr>
        <w:t>附件3</w:t>
      </w:r>
    </w:p>
    <w:p w14:paraId="5DE77832">
      <w:pPr>
        <w:pStyle w:val="5"/>
        <w:rPr>
          <w:rFonts w:hint="eastAsia" w:ascii="宋体" w:hAnsi="宋体" w:eastAsia="宋体" w:cs="仿宋"/>
          <w:bCs/>
          <w:spacing w:val="0"/>
          <w:kern w:val="2"/>
          <w:szCs w:val="24"/>
        </w:rPr>
      </w:pPr>
      <w:r>
        <w:rPr>
          <w:rFonts w:hint="eastAsia" w:ascii="宋体" w:hAnsi="宋体" w:eastAsia="宋体" w:cs="仿宋"/>
          <w:bCs/>
          <w:spacing w:val="0"/>
          <w:kern w:val="2"/>
          <w:szCs w:val="24"/>
        </w:rPr>
        <w:t>采购需求响应表</w:t>
      </w:r>
    </w:p>
    <w:p w14:paraId="13FAFB78">
      <w:pPr>
        <w:spacing w:line="320" w:lineRule="exact"/>
        <w:jc w:val="center"/>
        <w:rPr>
          <w:rFonts w:hint="eastAsia" w:ascii="宋体" w:hAnsi="宋体"/>
          <w:b/>
          <w:sz w:val="28"/>
          <w:szCs w:val="28"/>
        </w:rPr>
      </w:pPr>
    </w:p>
    <w:p w14:paraId="1E8DF440">
      <w:pPr>
        <w:spacing w:line="320" w:lineRule="exact"/>
        <w:jc w:val="left"/>
        <w:rPr>
          <w:rFonts w:hint="eastAsia" w:ascii="宋体" w:hAnsi="宋体"/>
          <w:sz w:val="24"/>
        </w:rPr>
      </w:pPr>
      <w:r>
        <w:rPr>
          <w:rFonts w:hint="eastAsia" w:ascii="宋体" w:hAnsi="宋体"/>
          <w:sz w:val="24"/>
        </w:rPr>
        <w:t>说明：响应供应商必须仔细阅读采购文件中所有技术规范条款和相关功能要求，并对所有技术规范和功能偏离的条目列入下表，未列入下表的视作响应供应商不响应。响应供应商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46E003EE">
      <w:pPr>
        <w:tabs>
          <w:tab w:val="left" w:pos="9654"/>
        </w:tabs>
        <w:spacing w:line="320" w:lineRule="exact"/>
        <w:rPr>
          <w:rFonts w:hint="eastAsia" w:ascii="宋体" w:hAnsi="宋体"/>
          <w:sz w:val="24"/>
        </w:rPr>
      </w:pPr>
    </w:p>
    <w:p w14:paraId="1B03A2A5">
      <w:pPr>
        <w:tabs>
          <w:tab w:val="left" w:pos="635"/>
          <w:tab w:val="left" w:pos="2852"/>
          <w:tab w:val="left" w:pos="5260"/>
          <w:tab w:val="left" w:pos="9654"/>
        </w:tabs>
        <w:spacing w:line="320" w:lineRule="exact"/>
        <w:rPr>
          <w:rFonts w:hint="eastAsia" w:ascii="宋体" w:hAnsi="宋体"/>
          <w:sz w:val="24"/>
        </w:rPr>
      </w:pPr>
    </w:p>
    <w:tbl>
      <w:tblPr>
        <w:tblStyle w:val="39"/>
        <w:tblW w:w="0" w:type="auto"/>
        <w:jc w:val="center"/>
        <w:tblLayout w:type="fixed"/>
        <w:tblCellMar>
          <w:top w:w="0" w:type="dxa"/>
          <w:left w:w="54" w:type="dxa"/>
          <w:bottom w:w="0" w:type="dxa"/>
          <w:right w:w="54" w:type="dxa"/>
        </w:tblCellMar>
      </w:tblPr>
      <w:tblGrid>
        <w:gridCol w:w="660"/>
        <w:gridCol w:w="3300"/>
        <w:gridCol w:w="3300"/>
        <w:gridCol w:w="2552"/>
      </w:tblGrid>
      <w:tr w14:paraId="6C4C976C">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6" w:space="0"/>
              <w:right w:val="single" w:color="auto" w:sz="4" w:space="0"/>
            </w:tcBorders>
            <w:noWrap/>
            <w:vAlign w:val="center"/>
          </w:tcPr>
          <w:p w14:paraId="75835DF8">
            <w:pPr>
              <w:spacing w:line="320" w:lineRule="exact"/>
              <w:jc w:val="center"/>
              <w:rPr>
                <w:rFonts w:hint="eastAsia"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4BB8DE9E">
            <w:pPr>
              <w:spacing w:line="320" w:lineRule="exact"/>
              <w:jc w:val="center"/>
              <w:rPr>
                <w:rFonts w:hint="eastAsia"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0E41200E">
            <w:pPr>
              <w:spacing w:line="320" w:lineRule="exact"/>
              <w:jc w:val="center"/>
              <w:rPr>
                <w:rFonts w:hint="eastAsia"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73776597">
            <w:pPr>
              <w:spacing w:line="320" w:lineRule="exact"/>
              <w:jc w:val="center"/>
              <w:rPr>
                <w:rFonts w:hint="eastAsia" w:ascii="宋体" w:hAnsi="宋体"/>
                <w:sz w:val="24"/>
              </w:rPr>
            </w:pPr>
            <w:r>
              <w:rPr>
                <w:rFonts w:ascii="宋体" w:hAnsi="宋体"/>
                <w:sz w:val="24"/>
              </w:rPr>
              <w:t>偏离情况</w:t>
            </w:r>
          </w:p>
          <w:p w14:paraId="46814E03">
            <w:pPr>
              <w:spacing w:line="320" w:lineRule="exact"/>
              <w:jc w:val="center"/>
              <w:rPr>
                <w:rFonts w:hint="eastAsia" w:ascii="宋体" w:hAnsi="宋体"/>
                <w:sz w:val="24"/>
              </w:rPr>
            </w:pPr>
            <w:r>
              <w:rPr>
                <w:rFonts w:ascii="宋体" w:hAnsi="宋体"/>
                <w:sz w:val="24"/>
              </w:rPr>
              <w:t>（无偏离，正/负偏离）</w:t>
            </w:r>
          </w:p>
          <w:p w14:paraId="699AA22D">
            <w:pPr>
              <w:spacing w:line="320" w:lineRule="exact"/>
              <w:jc w:val="center"/>
              <w:rPr>
                <w:rFonts w:hint="eastAsia" w:ascii="宋体" w:hAnsi="宋体"/>
                <w:sz w:val="24"/>
              </w:rPr>
            </w:pPr>
          </w:p>
        </w:tc>
      </w:tr>
      <w:tr w14:paraId="22712039">
        <w:tblPrEx>
          <w:tblCellMar>
            <w:top w:w="0" w:type="dxa"/>
            <w:left w:w="54" w:type="dxa"/>
            <w:bottom w:w="0" w:type="dxa"/>
            <w:right w:w="54" w:type="dxa"/>
          </w:tblCellMar>
        </w:tblPrEx>
        <w:trPr>
          <w:cantSplit/>
          <w:trHeight w:val="160" w:hRule="atLeast"/>
          <w:jc w:val="center"/>
        </w:trPr>
        <w:tc>
          <w:tcPr>
            <w:tcW w:w="660" w:type="dxa"/>
            <w:tcBorders>
              <w:top w:val="single" w:color="auto" w:sz="6" w:space="0"/>
              <w:left w:val="single" w:color="auto" w:sz="6" w:space="0"/>
              <w:bottom w:val="single" w:color="auto" w:sz="4" w:space="0"/>
              <w:right w:val="single" w:color="auto" w:sz="4" w:space="0"/>
            </w:tcBorders>
            <w:noWrap/>
          </w:tcPr>
          <w:p w14:paraId="515A0CD5">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06AB384D">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719B8B2E">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7737602A">
            <w:pPr>
              <w:spacing w:line="320" w:lineRule="exact"/>
              <w:rPr>
                <w:rFonts w:hint="eastAsia" w:ascii="宋体" w:hAnsi="宋体"/>
                <w:sz w:val="24"/>
              </w:rPr>
            </w:pPr>
          </w:p>
        </w:tc>
      </w:tr>
      <w:tr w14:paraId="76F57CA6">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4" w:space="0"/>
              <w:right w:val="single" w:color="auto" w:sz="4" w:space="0"/>
            </w:tcBorders>
            <w:noWrap/>
          </w:tcPr>
          <w:p w14:paraId="68EDF303">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0B909ECC">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4628B061">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220362E4">
            <w:pPr>
              <w:spacing w:line="320" w:lineRule="exact"/>
              <w:rPr>
                <w:rFonts w:hint="eastAsia" w:ascii="宋体" w:hAnsi="宋体"/>
                <w:sz w:val="24"/>
              </w:rPr>
            </w:pPr>
          </w:p>
        </w:tc>
      </w:tr>
      <w:tr w14:paraId="3D24C5DD">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6" w:space="0"/>
              <w:right w:val="single" w:color="auto" w:sz="4" w:space="0"/>
            </w:tcBorders>
            <w:noWrap/>
          </w:tcPr>
          <w:p w14:paraId="42BBD282">
            <w:pPr>
              <w:spacing w:line="320" w:lineRule="exact"/>
              <w:rPr>
                <w:rFonts w:hint="eastAsia"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3A8795C6">
            <w:pPr>
              <w:spacing w:line="320" w:lineRule="exact"/>
              <w:rPr>
                <w:rFonts w:hint="eastAsia"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7E89B0E1">
            <w:pPr>
              <w:spacing w:line="320" w:lineRule="exact"/>
              <w:rPr>
                <w:rFonts w:hint="eastAsia"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0353B3C9">
            <w:pPr>
              <w:spacing w:line="320" w:lineRule="exact"/>
              <w:rPr>
                <w:rFonts w:hint="eastAsia" w:ascii="宋体" w:hAnsi="宋体"/>
                <w:sz w:val="24"/>
              </w:rPr>
            </w:pPr>
          </w:p>
        </w:tc>
      </w:tr>
      <w:tr w14:paraId="77632835">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4" w:space="0"/>
              <w:right w:val="single" w:color="auto" w:sz="4" w:space="0"/>
            </w:tcBorders>
            <w:noWrap/>
          </w:tcPr>
          <w:p w14:paraId="46C790B2">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7106CC3C">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2CD61641">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2C208A37">
            <w:pPr>
              <w:spacing w:line="320" w:lineRule="exact"/>
              <w:rPr>
                <w:rFonts w:hint="eastAsia" w:ascii="宋体" w:hAnsi="宋体"/>
                <w:sz w:val="24"/>
              </w:rPr>
            </w:pPr>
          </w:p>
        </w:tc>
      </w:tr>
      <w:tr w14:paraId="6ED7999B">
        <w:tblPrEx>
          <w:tblCellMar>
            <w:top w:w="0" w:type="dxa"/>
            <w:left w:w="54" w:type="dxa"/>
            <w:bottom w:w="0" w:type="dxa"/>
            <w:right w:w="54" w:type="dxa"/>
          </w:tblCellMar>
        </w:tblPrEx>
        <w:trPr>
          <w:trHeight w:val="160" w:hRule="atLeast"/>
          <w:jc w:val="center"/>
        </w:trPr>
        <w:tc>
          <w:tcPr>
            <w:tcW w:w="660" w:type="dxa"/>
            <w:tcBorders>
              <w:top w:val="single" w:color="auto" w:sz="4" w:space="0"/>
              <w:left w:val="single" w:color="auto" w:sz="6" w:space="0"/>
              <w:bottom w:val="single" w:color="auto" w:sz="4" w:space="0"/>
              <w:right w:val="single" w:color="auto" w:sz="4" w:space="0"/>
            </w:tcBorders>
            <w:noWrap/>
          </w:tcPr>
          <w:p w14:paraId="320A7D5B">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5777C886">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2954ACED">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307AB752">
            <w:pPr>
              <w:spacing w:line="320" w:lineRule="exact"/>
              <w:rPr>
                <w:rFonts w:hint="eastAsia" w:ascii="宋体" w:hAnsi="宋体"/>
                <w:sz w:val="24"/>
              </w:rPr>
            </w:pPr>
          </w:p>
        </w:tc>
      </w:tr>
    </w:tbl>
    <w:p w14:paraId="602CC0D3">
      <w:pPr>
        <w:spacing w:line="320" w:lineRule="exact"/>
        <w:outlineLvl w:val="0"/>
        <w:rPr>
          <w:rFonts w:hint="eastAsia" w:ascii="宋体" w:hAnsi="宋体"/>
          <w:b/>
          <w:sz w:val="24"/>
        </w:rPr>
      </w:pPr>
    </w:p>
    <w:p w14:paraId="2FEE3FB0">
      <w:pPr>
        <w:spacing w:line="320" w:lineRule="exact"/>
        <w:outlineLvl w:val="0"/>
        <w:rPr>
          <w:rFonts w:hint="eastAsia" w:ascii="宋体" w:hAnsi="宋体"/>
          <w:b/>
          <w:sz w:val="24"/>
        </w:rPr>
      </w:pPr>
      <w:r>
        <w:rPr>
          <w:rFonts w:hint="eastAsia" w:ascii="宋体" w:hAnsi="宋体"/>
          <w:b/>
          <w:sz w:val="24"/>
        </w:rPr>
        <w:t>注：1、采购规格按磋商采购文件要求填写。</w:t>
      </w:r>
    </w:p>
    <w:p w14:paraId="620DFF07">
      <w:pPr>
        <w:spacing w:line="320" w:lineRule="exact"/>
        <w:ind w:firstLine="482" w:firstLineChars="200"/>
        <w:outlineLvl w:val="0"/>
        <w:rPr>
          <w:rFonts w:hint="eastAsia" w:ascii="宋体" w:hAnsi="宋体"/>
          <w:b/>
          <w:sz w:val="24"/>
        </w:rPr>
      </w:pPr>
      <w:r>
        <w:rPr>
          <w:rFonts w:hint="eastAsia" w:ascii="宋体" w:hAnsi="宋体"/>
          <w:b/>
          <w:bCs/>
          <w:sz w:val="24"/>
        </w:rPr>
        <w:t>2、响应规格按所投产品规格填写</w:t>
      </w:r>
      <w:r>
        <w:rPr>
          <w:rFonts w:hint="eastAsia" w:ascii="宋体" w:hAnsi="宋体"/>
          <w:b/>
          <w:sz w:val="24"/>
        </w:rPr>
        <w:t>。不接受有选择性的参数。</w:t>
      </w:r>
    </w:p>
    <w:p w14:paraId="4DFDA34F">
      <w:pPr>
        <w:spacing w:line="320" w:lineRule="exact"/>
        <w:jc w:val="left"/>
        <w:outlineLvl w:val="0"/>
        <w:rPr>
          <w:rFonts w:hint="eastAsia" w:ascii="宋体" w:hAnsi="宋体"/>
          <w:b/>
          <w:sz w:val="24"/>
        </w:rPr>
      </w:pPr>
    </w:p>
    <w:p w14:paraId="166ED988">
      <w:pPr>
        <w:spacing w:line="320" w:lineRule="exact"/>
        <w:ind w:left="420" w:leftChars="200"/>
        <w:jc w:val="left"/>
        <w:outlineLvl w:val="0"/>
        <w:rPr>
          <w:rFonts w:hint="eastAsia" w:ascii="宋体" w:hAnsi="宋体"/>
          <w:b/>
          <w:sz w:val="24"/>
        </w:rPr>
      </w:pPr>
    </w:p>
    <w:p w14:paraId="359BE2FD">
      <w:pPr>
        <w:topLinePunct/>
        <w:snapToGrid w:val="0"/>
        <w:spacing w:line="360" w:lineRule="auto"/>
        <w:rPr>
          <w:rFonts w:hint="eastAsia" w:ascii="宋体" w:hAnsi="宋体" w:cs="仿宋"/>
          <w:b/>
          <w:bCs/>
          <w:sz w:val="24"/>
        </w:rPr>
      </w:pPr>
    </w:p>
    <w:p w14:paraId="385FE0AC">
      <w:pPr>
        <w:topLinePunct/>
        <w:snapToGrid w:val="0"/>
        <w:spacing w:line="360" w:lineRule="auto"/>
        <w:rPr>
          <w:rFonts w:hint="eastAsia" w:ascii="宋体" w:hAnsi="宋体" w:cs="仿宋"/>
          <w:b/>
          <w:bCs/>
          <w:sz w:val="24"/>
          <w:u w:val="single"/>
        </w:rPr>
      </w:pPr>
      <w:r>
        <w:rPr>
          <w:rFonts w:hint="eastAsia" w:ascii="宋体" w:hAnsi="宋体" w:cs="仿宋"/>
          <w:b/>
          <w:bCs/>
          <w:sz w:val="24"/>
        </w:rPr>
        <w:t>投标人名称（盖章）：</w:t>
      </w:r>
    </w:p>
    <w:p w14:paraId="513AFB61">
      <w:pPr>
        <w:topLinePunct/>
        <w:snapToGrid w:val="0"/>
        <w:spacing w:before="4" w:line="360" w:lineRule="auto"/>
        <w:rPr>
          <w:rFonts w:hint="eastAsia" w:ascii="宋体" w:hAnsi="宋体" w:cs="仿宋"/>
          <w:b/>
          <w:bCs/>
          <w:sz w:val="24"/>
        </w:rPr>
      </w:pPr>
    </w:p>
    <w:p w14:paraId="5ECA8A5C">
      <w:pPr>
        <w:topLinePunct/>
        <w:snapToGrid w:val="0"/>
        <w:spacing w:before="4" w:line="360" w:lineRule="auto"/>
        <w:rPr>
          <w:rFonts w:hint="eastAsia" w:ascii="宋体" w:hAnsi="宋体" w:cs="仿宋"/>
          <w:b/>
          <w:bCs/>
          <w:sz w:val="24"/>
        </w:rPr>
      </w:pPr>
      <w:r>
        <w:rPr>
          <w:rFonts w:hint="eastAsia" w:ascii="宋体" w:hAnsi="宋体" w:cs="仿宋"/>
          <w:b/>
          <w:bCs/>
          <w:sz w:val="24"/>
        </w:rPr>
        <w:t>法定代表人或授权代表（签字或盖章）</w:t>
      </w:r>
    </w:p>
    <w:p w14:paraId="1B2AC843">
      <w:pPr>
        <w:pStyle w:val="22"/>
        <w:ind w:firstLine="422"/>
        <w:rPr>
          <w:rFonts w:hint="eastAsia" w:hAnsi="宋体" w:cs="仿宋"/>
          <w:b/>
          <w:szCs w:val="21"/>
        </w:rPr>
      </w:pPr>
    </w:p>
    <w:p w14:paraId="535167D6">
      <w:pPr>
        <w:spacing w:line="360" w:lineRule="exact"/>
        <w:outlineLvl w:val="0"/>
        <w:rPr>
          <w:rFonts w:hint="eastAsia" w:ascii="宋体" w:hAnsi="宋体"/>
          <w:b/>
          <w:sz w:val="24"/>
        </w:rPr>
      </w:pPr>
    </w:p>
    <w:p w14:paraId="7509711A">
      <w:pPr>
        <w:spacing w:line="360" w:lineRule="exact"/>
        <w:outlineLvl w:val="0"/>
        <w:rPr>
          <w:rFonts w:hint="eastAsia" w:ascii="宋体" w:hAnsi="宋体"/>
          <w:b/>
          <w:sz w:val="24"/>
        </w:rPr>
      </w:pPr>
    </w:p>
    <w:p w14:paraId="0644F606">
      <w:pPr>
        <w:spacing w:line="360" w:lineRule="exact"/>
        <w:outlineLvl w:val="0"/>
        <w:rPr>
          <w:rFonts w:hint="eastAsia" w:ascii="宋体" w:hAnsi="宋体"/>
          <w:b/>
          <w:sz w:val="24"/>
        </w:rPr>
      </w:pPr>
    </w:p>
    <w:p w14:paraId="1E9EF629">
      <w:pPr>
        <w:spacing w:line="360" w:lineRule="exact"/>
        <w:outlineLvl w:val="0"/>
        <w:rPr>
          <w:rFonts w:hint="eastAsia" w:ascii="宋体" w:hAnsi="宋体"/>
          <w:b/>
          <w:sz w:val="24"/>
        </w:rPr>
      </w:pPr>
    </w:p>
    <w:p w14:paraId="53563C4A">
      <w:pPr>
        <w:spacing w:line="360" w:lineRule="exact"/>
        <w:outlineLvl w:val="0"/>
        <w:rPr>
          <w:rFonts w:hint="eastAsia" w:ascii="宋体" w:hAnsi="宋体"/>
          <w:b/>
          <w:sz w:val="24"/>
        </w:rPr>
      </w:pPr>
    </w:p>
    <w:p w14:paraId="2E53C1F8">
      <w:pPr>
        <w:spacing w:line="360" w:lineRule="exact"/>
        <w:outlineLvl w:val="0"/>
        <w:rPr>
          <w:rFonts w:hint="eastAsia" w:ascii="宋体" w:hAnsi="宋体"/>
          <w:b/>
          <w:sz w:val="24"/>
        </w:rPr>
      </w:pPr>
    </w:p>
    <w:p w14:paraId="5E450DD3">
      <w:pPr>
        <w:spacing w:line="360" w:lineRule="exact"/>
        <w:outlineLvl w:val="0"/>
        <w:rPr>
          <w:rFonts w:hint="eastAsia" w:ascii="宋体" w:hAnsi="宋体"/>
          <w:b/>
          <w:sz w:val="24"/>
        </w:rPr>
      </w:pPr>
    </w:p>
    <w:p w14:paraId="1A30437A">
      <w:pPr>
        <w:spacing w:line="360" w:lineRule="exact"/>
        <w:outlineLvl w:val="0"/>
        <w:rPr>
          <w:rFonts w:hint="eastAsia" w:ascii="宋体" w:hAnsi="宋体"/>
          <w:b/>
          <w:sz w:val="24"/>
        </w:rPr>
      </w:pPr>
    </w:p>
    <w:p w14:paraId="48996168">
      <w:pPr>
        <w:spacing w:line="360" w:lineRule="exact"/>
        <w:outlineLvl w:val="0"/>
        <w:rPr>
          <w:rFonts w:hint="eastAsia" w:ascii="宋体" w:hAnsi="宋体"/>
          <w:b/>
          <w:sz w:val="24"/>
        </w:rPr>
      </w:pPr>
    </w:p>
    <w:p w14:paraId="3F3AB490">
      <w:pPr>
        <w:spacing w:line="360" w:lineRule="exact"/>
        <w:outlineLvl w:val="0"/>
        <w:rPr>
          <w:rFonts w:hint="eastAsia" w:ascii="宋体" w:hAnsi="宋体"/>
          <w:b/>
          <w:sz w:val="24"/>
        </w:rPr>
      </w:pPr>
      <w:r>
        <w:rPr>
          <w:rFonts w:hint="eastAsia" w:ascii="宋体" w:hAnsi="宋体"/>
          <w:b/>
          <w:sz w:val="24"/>
        </w:rPr>
        <w:t>附件4</w:t>
      </w:r>
    </w:p>
    <w:p w14:paraId="4A2DD3BA">
      <w:pPr>
        <w:pStyle w:val="5"/>
        <w:keepNext w:val="0"/>
        <w:keepLines w:val="0"/>
        <w:spacing w:line="415" w:lineRule="auto"/>
        <w:rPr>
          <w:rFonts w:hint="eastAsia" w:ascii="宋体" w:hAnsi="宋体" w:eastAsia="宋体"/>
          <w:szCs w:val="24"/>
        </w:rPr>
      </w:pPr>
      <w:bookmarkStart w:id="58" w:name="_Toc183588706"/>
      <w:r>
        <w:rPr>
          <w:rFonts w:hint="eastAsia" w:ascii="宋体" w:hAnsi="宋体" w:eastAsia="宋体"/>
          <w:szCs w:val="24"/>
        </w:rPr>
        <w:t>法定代表人授权书</w:t>
      </w:r>
      <w:bookmarkEnd w:id="58"/>
    </w:p>
    <w:p w14:paraId="5B20511F">
      <w:pPr>
        <w:pStyle w:val="9"/>
        <w:ind w:firstLine="480"/>
        <w:rPr>
          <w:rFonts w:hint="eastAsia" w:hAnsi="宋体"/>
        </w:rPr>
      </w:pPr>
    </w:p>
    <w:p w14:paraId="01D50834">
      <w:pPr>
        <w:pStyle w:val="22"/>
        <w:rPr>
          <w:rFonts w:hint="eastAsia"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64A8629E">
      <w:pPr>
        <w:pStyle w:val="22"/>
        <w:tabs>
          <w:tab w:val="left" w:pos="5580"/>
        </w:tabs>
        <w:ind w:firstLine="480"/>
        <w:rPr>
          <w:rFonts w:hint="eastAsia"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2ADC3C4A">
      <w:pPr>
        <w:pStyle w:val="22"/>
        <w:tabs>
          <w:tab w:val="left" w:pos="5580"/>
        </w:tabs>
        <w:rPr>
          <w:rFonts w:hint="eastAsia" w:hAnsi="宋体"/>
          <w:szCs w:val="24"/>
        </w:rPr>
      </w:pPr>
      <w:r>
        <w:rPr>
          <w:rFonts w:hint="eastAsia" w:hAnsi="宋体"/>
          <w:szCs w:val="24"/>
        </w:rPr>
        <w:cr/>
      </w:r>
      <w:r>
        <w:rPr>
          <w:rFonts w:hint="eastAsia" w:hAnsi="宋体"/>
          <w:szCs w:val="24"/>
        </w:rPr>
        <w:t>被授权人签字_______________________________</w:t>
      </w:r>
    </w:p>
    <w:p w14:paraId="5E01BB26">
      <w:pPr>
        <w:pStyle w:val="22"/>
        <w:tabs>
          <w:tab w:val="left" w:pos="5580"/>
        </w:tabs>
        <w:rPr>
          <w:rFonts w:hint="eastAsia" w:hAnsi="宋体"/>
          <w:szCs w:val="24"/>
        </w:rPr>
      </w:pPr>
      <w:r>
        <w:rPr>
          <w:rFonts w:hint="eastAsia" w:hAnsi="宋体"/>
          <w:szCs w:val="24"/>
        </w:rPr>
        <w:t xml:space="preserve">公司盖章：                                 </w:t>
      </w:r>
    </w:p>
    <w:p w14:paraId="03757999">
      <w:pPr>
        <w:pStyle w:val="22"/>
        <w:tabs>
          <w:tab w:val="left" w:pos="5580"/>
        </w:tabs>
        <w:rPr>
          <w:rFonts w:hint="eastAsia" w:hAnsi="宋体"/>
          <w:szCs w:val="24"/>
        </w:rPr>
      </w:pPr>
      <w:r>
        <w:rPr>
          <w:rFonts w:hint="eastAsia" w:hAnsi="宋体"/>
          <w:szCs w:val="24"/>
        </w:rPr>
        <w:t>附：</w:t>
      </w:r>
    </w:p>
    <w:p w14:paraId="4CC69F6C">
      <w:pPr>
        <w:pStyle w:val="22"/>
        <w:tabs>
          <w:tab w:val="left" w:pos="5580"/>
        </w:tabs>
        <w:rPr>
          <w:rFonts w:hint="eastAsia" w:hAnsi="宋体"/>
          <w:szCs w:val="24"/>
        </w:rPr>
      </w:pPr>
      <w:r>
        <w:rPr>
          <w:rFonts w:hint="eastAsia" w:hAnsi="宋体"/>
          <w:szCs w:val="24"/>
        </w:rPr>
        <w:t>被授权人姓名：</w:t>
      </w:r>
    </w:p>
    <w:p w14:paraId="7ADEDEF4">
      <w:pPr>
        <w:pStyle w:val="22"/>
        <w:tabs>
          <w:tab w:val="left" w:pos="5580"/>
        </w:tabs>
        <w:rPr>
          <w:rFonts w:hint="eastAsia" w:hAnsi="宋体"/>
          <w:szCs w:val="24"/>
        </w:rPr>
      </w:pPr>
      <w:r>
        <w:rPr>
          <w:rFonts w:hint="eastAsia" w:hAnsi="宋体"/>
          <w:szCs w:val="24"/>
        </w:rPr>
        <w:t>职　　　　务：</w:t>
      </w:r>
    </w:p>
    <w:p w14:paraId="531C25FC">
      <w:pPr>
        <w:pStyle w:val="22"/>
        <w:tabs>
          <w:tab w:val="left" w:pos="5580"/>
        </w:tabs>
        <w:rPr>
          <w:rFonts w:hint="eastAsia" w:hAnsi="宋体"/>
          <w:szCs w:val="24"/>
        </w:rPr>
      </w:pPr>
      <w:r>
        <w:rPr>
          <w:rFonts w:hint="eastAsia" w:hAnsi="宋体"/>
          <w:szCs w:val="24"/>
        </w:rPr>
        <w:t>详细通讯地址：</w:t>
      </w:r>
    </w:p>
    <w:p w14:paraId="79EA0B63">
      <w:pPr>
        <w:pStyle w:val="22"/>
        <w:tabs>
          <w:tab w:val="left" w:pos="5580"/>
        </w:tabs>
        <w:rPr>
          <w:rFonts w:hint="eastAsia" w:hAnsi="宋体"/>
          <w:szCs w:val="24"/>
        </w:rPr>
      </w:pPr>
      <w:r>
        <w:rPr>
          <w:rFonts w:hint="eastAsia" w:hAnsi="宋体"/>
          <w:szCs w:val="24"/>
        </w:rPr>
        <w:t>邮政编码　　：</w:t>
      </w:r>
    </w:p>
    <w:p w14:paraId="22C3C2D0">
      <w:pPr>
        <w:pStyle w:val="22"/>
        <w:tabs>
          <w:tab w:val="left" w:pos="5580"/>
        </w:tabs>
        <w:rPr>
          <w:rFonts w:hint="eastAsia" w:hAnsi="宋体"/>
          <w:szCs w:val="24"/>
        </w:rPr>
      </w:pPr>
      <w:r>
        <w:rPr>
          <w:rFonts w:hint="eastAsia" w:hAnsi="宋体"/>
          <w:szCs w:val="24"/>
        </w:rPr>
        <w:t>传　　　　真：</w:t>
      </w:r>
    </w:p>
    <w:p w14:paraId="4B156421">
      <w:pPr>
        <w:pStyle w:val="22"/>
        <w:tabs>
          <w:tab w:val="left" w:pos="5580"/>
        </w:tabs>
        <w:rPr>
          <w:rFonts w:hint="eastAsia" w:hAnsi="宋体"/>
          <w:szCs w:val="24"/>
        </w:rPr>
      </w:pPr>
      <w:r>
        <w:rPr>
          <w:rFonts w:hint="eastAsia" w:hAnsi="宋体"/>
          <w:szCs w:val="24"/>
        </w:rPr>
        <w:t>电　　　　话：</w:t>
      </w:r>
    </w:p>
    <w:tbl>
      <w:tblPr>
        <w:tblStyle w:val="39"/>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E84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14:paraId="0EAF132B">
            <w:pPr>
              <w:spacing w:line="360" w:lineRule="exact"/>
              <w:jc w:val="center"/>
              <w:rPr>
                <w:rFonts w:hint="eastAsia" w:ascii="宋体" w:hAnsi="宋体"/>
                <w:sz w:val="24"/>
              </w:rPr>
            </w:pPr>
            <w:r>
              <w:rPr>
                <w:rFonts w:hint="eastAsia" w:ascii="宋体" w:hAnsi="宋体"/>
                <w:sz w:val="24"/>
              </w:rPr>
              <w:t>粘贴</w:t>
            </w:r>
          </w:p>
          <w:p w14:paraId="6D7F0F8B">
            <w:pPr>
              <w:spacing w:line="360" w:lineRule="exact"/>
              <w:jc w:val="center"/>
              <w:rPr>
                <w:rFonts w:hint="eastAsia" w:ascii="宋体" w:hAnsi="宋体"/>
                <w:sz w:val="24"/>
              </w:rPr>
            </w:pPr>
            <w:r>
              <w:rPr>
                <w:rFonts w:hint="eastAsia" w:ascii="宋体" w:hAnsi="宋体"/>
                <w:sz w:val="24"/>
              </w:rPr>
              <w:t>法人及投标方代表身份证复印件</w:t>
            </w:r>
          </w:p>
        </w:tc>
      </w:tr>
    </w:tbl>
    <w:p w14:paraId="6ED18879">
      <w:pPr>
        <w:spacing w:before="240" w:line="360" w:lineRule="exact"/>
        <w:rPr>
          <w:rFonts w:hint="eastAsia" w:ascii="宋体" w:hAnsi="宋体"/>
          <w:sz w:val="24"/>
        </w:rPr>
      </w:pPr>
    </w:p>
    <w:p w14:paraId="776D696A">
      <w:pPr>
        <w:spacing w:before="240" w:line="360" w:lineRule="exact"/>
        <w:rPr>
          <w:rFonts w:hint="eastAsia" w:ascii="宋体" w:hAnsi="宋体"/>
          <w:sz w:val="24"/>
        </w:rPr>
      </w:pPr>
    </w:p>
    <w:p w14:paraId="3B71F13B">
      <w:pPr>
        <w:spacing w:before="240" w:line="360" w:lineRule="exact"/>
        <w:rPr>
          <w:rFonts w:hint="eastAsia" w:ascii="宋体" w:hAnsi="宋体"/>
          <w:sz w:val="24"/>
        </w:rPr>
      </w:pPr>
    </w:p>
    <w:p w14:paraId="1D4049AA">
      <w:pPr>
        <w:spacing w:before="240" w:line="360" w:lineRule="exact"/>
        <w:rPr>
          <w:rFonts w:hint="eastAsia" w:ascii="宋体" w:hAnsi="宋体"/>
          <w:sz w:val="24"/>
        </w:rPr>
      </w:pPr>
    </w:p>
    <w:p w14:paraId="4656C172">
      <w:pPr>
        <w:spacing w:line="360" w:lineRule="exact"/>
        <w:rPr>
          <w:rFonts w:hint="eastAsia" w:ascii="宋体" w:hAnsi="宋体"/>
          <w:sz w:val="24"/>
        </w:rPr>
      </w:pPr>
    </w:p>
    <w:p w14:paraId="0947FF38">
      <w:pPr>
        <w:spacing w:line="360" w:lineRule="exact"/>
        <w:rPr>
          <w:rFonts w:hint="eastAsia" w:ascii="宋体" w:hAnsi="宋体"/>
          <w:sz w:val="24"/>
        </w:rPr>
      </w:pPr>
    </w:p>
    <w:p w14:paraId="2A16C1CA">
      <w:pPr>
        <w:spacing w:line="360" w:lineRule="exact"/>
        <w:rPr>
          <w:rFonts w:hint="eastAsia" w:ascii="宋体" w:hAnsi="宋体"/>
          <w:sz w:val="24"/>
        </w:rPr>
      </w:pPr>
    </w:p>
    <w:p w14:paraId="46152FEF">
      <w:pPr>
        <w:spacing w:line="360" w:lineRule="exact"/>
        <w:rPr>
          <w:rFonts w:hint="eastAsia" w:ascii="宋体" w:hAnsi="宋体"/>
          <w:sz w:val="24"/>
        </w:rPr>
      </w:pPr>
    </w:p>
    <w:p w14:paraId="35DCBD97">
      <w:pPr>
        <w:adjustRightInd w:val="0"/>
        <w:snapToGrid w:val="0"/>
        <w:spacing w:line="360" w:lineRule="auto"/>
        <w:rPr>
          <w:rFonts w:hint="eastAsia" w:ascii="宋体" w:hAnsi="宋体" w:cs="宋体"/>
          <w:kern w:val="0"/>
          <w:sz w:val="24"/>
        </w:rPr>
      </w:pPr>
      <w:bookmarkStart w:id="59" w:name="_Ref467988543"/>
      <w:bookmarkStart w:id="60" w:name="_Toc480942355"/>
      <w:bookmarkStart w:id="61" w:name="_Toc520356224"/>
      <w:bookmarkStart w:id="62" w:name="_Toc183588702"/>
      <w:r>
        <w:rPr>
          <w:rFonts w:hint="eastAsia" w:ascii="宋体" w:hAnsi="宋体"/>
          <w:b/>
          <w:bCs/>
          <w:sz w:val="24"/>
        </w:rPr>
        <w:t>附件5 资格证明文件（格式</w:t>
      </w:r>
      <w:bookmarkEnd w:id="59"/>
      <w:bookmarkEnd w:id="60"/>
      <w:bookmarkEnd w:id="61"/>
      <w:r>
        <w:rPr>
          <w:rFonts w:hint="eastAsia" w:ascii="宋体" w:hAnsi="宋体"/>
          <w:b/>
          <w:bCs/>
          <w:sz w:val="24"/>
        </w:rPr>
        <w:t>）</w:t>
      </w:r>
      <w:bookmarkEnd w:id="62"/>
      <w:r>
        <w:rPr>
          <w:rFonts w:ascii="宋体" w:hAnsi="宋体"/>
        </w:rPr>
        <w:cr/>
      </w:r>
      <w:r>
        <w:rPr>
          <w:rFonts w:hint="eastAsia" w:ascii="宋体" w:hAnsi="宋体"/>
        </w:rPr>
        <w:t>5.</w:t>
      </w:r>
      <w:r>
        <w:rPr>
          <w:rFonts w:hint="eastAsia" w:ascii="宋体" w:hAnsi="宋体" w:cs="宋体"/>
          <w:kern w:val="0"/>
          <w:sz w:val="24"/>
        </w:rPr>
        <w:t>1中华人民共和国境内注册、具有独立承担民事责任的能力（提供营业执照或事业单位法人证书）。</w:t>
      </w:r>
    </w:p>
    <w:p w14:paraId="7062148E">
      <w:pPr>
        <w:adjustRightInd w:val="0"/>
        <w:snapToGrid w:val="0"/>
        <w:spacing w:line="360" w:lineRule="auto"/>
        <w:rPr>
          <w:rFonts w:hint="eastAsia" w:ascii="宋体" w:hAnsi="宋体" w:cs="宋体"/>
          <w:kern w:val="0"/>
          <w:sz w:val="24"/>
        </w:rPr>
      </w:pPr>
      <w:r>
        <w:rPr>
          <w:rFonts w:hint="eastAsia" w:ascii="宋体" w:hAnsi="宋体" w:cs="宋体"/>
          <w:kern w:val="0"/>
          <w:sz w:val="24"/>
        </w:rPr>
        <w:t>5.2具备《中华人民共和国政府采购法》第二十二条规定条件的承诺书。</w:t>
      </w:r>
    </w:p>
    <w:p w14:paraId="7DBB8F75">
      <w:pPr>
        <w:adjustRightInd w:val="0"/>
        <w:snapToGrid w:val="0"/>
        <w:spacing w:line="360" w:lineRule="auto"/>
        <w:rPr>
          <w:rFonts w:hint="eastAsia" w:ascii="宋体" w:hAnsi="宋体"/>
          <w:b/>
          <w:bCs/>
          <w:sz w:val="24"/>
        </w:rPr>
      </w:pPr>
    </w:p>
    <w:p w14:paraId="1F7B6FB8">
      <w:pPr>
        <w:adjustRightInd w:val="0"/>
        <w:snapToGrid w:val="0"/>
        <w:spacing w:line="360" w:lineRule="auto"/>
        <w:rPr>
          <w:rFonts w:hint="eastAsia" w:ascii="宋体" w:hAnsi="宋体"/>
          <w:b/>
          <w:bCs/>
          <w:sz w:val="24"/>
        </w:rPr>
      </w:pPr>
    </w:p>
    <w:p w14:paraId="5D79B531">
      <w:pPr>
        <w:adjustRightInd w:val="0"/>
        <w:snapToGrid w:val="0"/>
        <w:spacing w:line="360" w:lineRule="auto"/>
        <w:ind w:firstLine="723" w:firstLineChars="300"/>
        <w:rPr>
          <w:rFonts w:hint="eastAsia" w:ascii="宋体" w:hAnsi="宋体"/>
          <w:b/>
          <w:bCs/>
          <w:sz w:val="24"/>
        </w:rPr>
      </w:pPr>
      <w:r>
        <w:rPr>
          <w:rFonts w:hint="eastAsia" w:ascii="宋体" w:hAnsi="宋体"/>
          <w:b/>
          <w:bCs/>
          <w:sz w:val="24"/>
        </w:rPr>
        <w:t>具备《中华人民共和国政府采购法》第二十二条规定条件的承诺书</w:t>
      </w:r>
    </w:p>
    <w:p w14:paraId="2129005B">
      <w:pPr>
        <w:spacing w:line="480" w:lineRule="auto"/>
        <w:rPr>
          <w:rFonts w:hint="eastAsia" w:ascii="宋体" w:hAnsi="宋体" w:cs="仿宋"/>
          <w:sz w:val="24"/>
        </w:rPr>
      </w:pPr>
      <w:r>
        <w:rPr>
          <w:rFonts w:hint="eastAsia" w:ascii="宋体" w:hAnsi="宋体" w:cs="仿宋"/>
          <w:b/>
          <w:bCs/>
          <w:sz w:val="24"/>
        </w:rPr>
        <w:t>致：海南省教学仪器设备招标中心有限公司</w:t>
      </w:r>
    </w:p>
    <w:p w14:paraId="3CFF5795">
      <w:pPr>
        <w:spacing w:line="360" w:lineRule="auto"/>
        <w:ind w:firstLine="480" w:firstLineChars="200"/>
        <w:rPr>
          <w:rFonts w:hint="eastAsia" w:ascii="宋体" w:hAnsi="宋体" w:cs="仿宋"/>
          <w:sz w:val="24"/>
        </w:rPr>
      </w:pPr>
      <w:r>
        <w:rPr>
          <w:rFonts w:hint="eastAsia" w:ascii="宋体" w:hAnsi="宋体" w:cs="仿宋"/>
          <w:sz w:val="24"/>
        </w:rPr>
        <w:t xml:space="preserve">本公司作为参加本次（项目编号为：）的投标人，现郑重承诺具备以下条件（《中华人民共和国政府采购法》第二十二条）： </w:t>
      </w:r>
    </w:p>
    <w:p w14:paraId="2ACFD5A2">
      <w:pPr>
        <w:numPr>
          <w:ilvl w:val="0"/>
          <w:numId w:val="1"/>
        </w:numPr>
        <w:spacing w:line="360" w:lineRule="auto"/>
        <w:ind w:firstLine="480"/>
        <w:rPr>
          <w:rFonts w:hint="eastAsia" w:ascii="宋体" w:hAnsi="宋体" w:cs="仿宋"/>
          <w:sz w:val="24"/>
        </w:rPr>
      </w:pPr>
      <w:r>
        <w:rPr>
          <w:rFonts w:hint="eastAsia" w:ascii="宋体" w:hAnsi="宋体" w:cs="仿宋"/>
          <w:sz w:val="24"/>
        </w:rPr>
        <w:t xml:space="preserve">具有独立承担民事责任的能力； </w:t>
      </w:r>
    </w:p>
    <w:p w14:paraId="02436DEA">
      <w:pPr>
        <w:numPr>
          <w:ilvl w:val="0"/>
          <w:numId w:val="1"/>
        </w:numPr>
        <w:spacing w:line="360" w:lineRule="auto"/>
        <w:ind w:firstLine="480"/>
        <w:rPr>
          <w:rFonts w:hint="eastAsia" w:ascii="宋体" w:hAnsi="宋体" w:cs="仿宋"/>
          <w:sz w:val="24"/>
        </w:rPr>
      </w:pPr>
      <w:r>
        <w:rPr>
          <w:rFonts w:hint="eastAsia" w:ascii="宋体" w:hAnsi="宋体" w:cs="仿宋"/>
          <w:sz w:val="24"/>
        </w:rPr>
        <w:t xml:space="preserve">具有良好的商业信誉和健全的财务会计制度； </w:t>
      </w:r>
    </w:p>
    <w:p w14:paraId="6FDC571D">
      <w:pPr>
        <w:numPr>
          <w:ilvl w:val="0"/>
          <w:numId w:val="1"/>
        </w:numPr>
        <w:spacing w:line="360" w:lineRule="auto"/>
        <w:ind w:firstLine="480"/>
        <w:rPr>
          <w:rFonts w:hint="eastAsia" w:ascii="宋体" w:hAnsi="宋体" w:cs="仿宋"/>
          <w:sz w:val="24"/>
        </w:rPr>
      </w:pPr>
      <w:r>
        <w:rPr>
          <w:rFonts w:hint="eastAsia" w:ascii="宋体" w:hAnsi="宋体" w:cs="仿宋"/>
          <w:sz w:val="24"/>
        </w:rPr>
        <w:t xml:space="preserve">具有履行合同所必需的设备和专业技术能力； </w:t>
      </w:r>
    </w:p>
    <w:p w14:paraId="7306DAB6">
      <w:pPr>
        <w:numPr>
          <w:ilvl w:val="0"/>
          <w:numId w:val="1"/>
        </w:numPr>
        <w:spacing w:line="360" w:lineRule="auto"/>
        <w:ind w:firstLine="480"/>
        <w:rPr>
          <w:rFonts w:hint="eastAsia" w:ascii="宋体" w:hAnsi="宋体" w:cs="仿宋"/>
          <w:sz w:val="24"/>
        </w:rPr>
      </w:pPr>
      <w:r>
        <w:rPr>
          <w:rFonts w:hint="eastAsia" w:ascii="宋体" w:hAnsi="宋体" w:cs="仿宋"/>
          <w:sz w:val="24"/>
        </w:rPr>
        <w:t xml:space="preserve">具有依法缴纳税收和社会保障资金的良好记录； </w:t>
      </w:r>
    </w:p>
    <w:p w14:paraId="69016D87">
      <w:pPr>
        <w:numPr>
          <w:ilvl w:val="0"/>
          <w:numId w:val="1"/>
        </w:numPr>
        <w:spacing w:line="360" w:lineRule="auto"/>
        <w:ind w:firstLine="480"/>
        <w:rPr>
          <w:rFonts w:hint="eastAsia" w:ascii="宋体" w:hAnsi="宋体" w:cs="仿宋"/>
          <w:sz w:val="24"/>
        </w:rPr>
      </w:pPr>
      <w:r>
        <w:rPr>
          <w:rFonts w:hint="eastAsia" w:ascii="宋体" w:hAnsi="宋体" w:cs="仿宋"/>
          <w:sz w:val="24"/>
        </w:rPr>
        <w:t>参加本次政府采购活动前三年内，在经营活动中没有重大违法违规记录及</w:t>
      </w:r>
      <w:r>
        <w:rPr>
          <w:rFonts w:hint="eastAsia" w:ascii="宋体" w:hAnsi="宋体" w:cs="宋体"/>
          <w:kern w:val="0"/>
          <w:sz w:val="24"/>
        </w:rPr>
        <w:t>环保类行政处罚记录</w:t>
      </w:r>
      <w:r>
        <w:rPr>
          <w:rFonts w:hint="eastAsia" w:ascii="宋体" w:hAnsi="宋体" w:cs="仿宋"/>
          <w:sz w:val="24"/>
        </w:rPr>
        <w:t>；（成立不足三年的从成立之日起计算，提供声明函）</w:t>
      </w:r>
    </w:p>
    <w:p w14:paraId="76D3C628">
      <w:pPr>
        <w:numPr>
          <w:ilvl w:val="0"/>
          <w:numId w:val="1"/>
        </w:numPr>
        <w:spacing w:line="360" w:lineRule="auto"/>
        <w:ind w:firstLine="480"/>
        <w:rPr>
          <w:rFonts w:hint="eastAsia" w:ascii="宋体" w:hAnsi="宋体" w:cs="仿宋"/>
          <w:sz w:val="24"/>
        </w:rPr>
      </w:pPr>
      <w:r>
        <w:rPr>
          <w:rFonts w:hint="eastAsia" w:ascii="宋体" w:hAnsi="宋体" w:cs="仿宋"/>
          <w:sz w:val="24"/>
        </w:rPr>
        <w:t xml:space="preserve">法律、行政法规规定的其他条件。 </w:t>
      </w:r>
    </w:p>
    <w:p w14:paraId="3565DEDF">
      <w:pPr>
        <w:spacing w:line="360" w:lineRule="auto"/>
        <w:ind w:firstLine="482" w:firstLineChars="200"/>
        <w:rPr>
          <w:rFonts w:hint="eastAsia" w:ascii="宋体" w:hAnsi="宋体" w:cs="仿宋"/>
          <w:b/>
          <w:bCs/>
          <w:sz w:val="24"/>
        </w:rPr>
      </w:pPr>
    </w:p>
    <w:p w14:paraId="2023F20C">
      <w:pPr>
        <w:spacing w:line="360" w:lineRule="auto"/>
        <w:ind w:firstLine="482" w:firstLineChars="200"/>
        <w:rPr>
          <w:rFonts w:hint="eastAsia" w:ascii="宋体" w:hAnsi="宋体" w:cs="仿宋"/>
          <w:b/>
          <w:bCs/>
          <w:sz w:val="24"/>
        </w:rPr>
      </w:pPr>
      <w:r>
        <w:rPr>
          <w:rFonts w:hint="eastAsia" w:ascii="宋体" w:hAnsi="宋体" w:cs="仿宋"/>
          <w:b/>
          <w:bCs/>
          <w:sz w:val="24"/>
        </w:rPr>
        <w:t>本公司对上述承诺的真实性负责。如有虚假，将依法承担相应责任。</w:t>
      </w:r>
    </w:p>
    <w:p w14:paraId="1E097274">
      <w:pPr>
        <w:spacing w:line="360" w:lineRule="auto"/>
        <w:ind w:firstLine="480" w:firstLineChars="200"/>
        <w:rPr>
          <w:rFonts w:hint="eastAsia" w:ascii="宋体" w:hAnsi="宋体" w:cs="仿宋"/>
          <w:sz w:val="24"/>
        </w:rPr>
      </w:pPr>
    </w:p>
    <w:p w14:paraId="6B78998A">
      <w:pPr>
        <w:spacing w:line="360" w:lineRule="auto"/>
        <w:ind w:firstLine="480" w:firstLineChars="200"/>
        <w:rPr>
          <w:rFonts w:hint="eastAsia" w:ascii="宋体" w:hAnsi="宋体" w:cs="仿宋"/>
          <w:sz w:val="24"/>
        </w:rPr>
      </w:pPr>
      <w:r>
        <w:rPr>
          <w:rFonts w:hint="eastAsia" w:ascii="宋体" w:hAnsi="宋体" w:cs="仿宋"/>
          <w:sz w:val="24"/>
        </w:rPr>
        <w:t>特此承诺。</w:t>
      </w:r>
    </w:p>
    <w:p w14:paraId="0CA73554">
      <w:pPr>
        <w:spacing w:line="360" w:lineRule="auto"/>
        <w:rPr>
          <w:rFonts w:hint="eastAsia" w:ascii="宋体" w:hAnsi="宋体" w:cs="仿宋"/>
          <w:sz w:val="24"/>
        </w:rPr>
      </w:pPr>
    </w:p>
    <w:p w14:paraId="05B5841A">
      <w:pPr>
        <w:pStyle w:val="9"/>
        <w:rPr>
          <w:rFonts w:hint="eastAsia" w:ascii="宋体" w:hAnsi="宋体" w:cs="仿宋"/>
        </w:rPr>
      </w:pPr>
    </w:p>
    <w:p w14:paraId="1F998FD8">
      <w:pPr>
        <w:shd w:val="clear" w:color="auto" w:fill="FFFFFF"/>
        <w:snapToGrid w:val="0"/>
        <w:spacing w:line="360" w:lineRule="auto"/>
        <w:ind w:firstLine="480" w:firstLineChars="200"/>
        <w:rPr>
          <w:rFonts w:hint="eastAsia" w:ascii="宋体" w:hAnsi="宋体" w:cs="仿宋"/>
          <w:sz w:val="24"/>
        </w:rPr>
      </w:pPr>
      <w:r>
        <w:rPr>
          <w:rFonts w:hint="eastAsia" w:ascii="宋体" w:hAnsi="宋体" w:cs="仿宋"/>
          <w:sz w:val="24"/>
        </w:rPr>
        <w:t>投标人名称：</w:t>
      </w:r>
      <w:r>
        <w:rPr>
          <w:rFonts w:hint="eastAsia" w:ascii="宋体" w:hAnsi="宋体" w:cs="仿宋"/>
          <w:sz w:val="24"/>
          <w:u w:val="single"/>
        </w:rPr>
        <w:t xml:space="preserve">                 （盖章）</w:t>
      </w:r>
    </w:p>
    <w:p w14:paraId="6130265C">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地址：邮编：</w:t>
      </w:r>
    </w:p>
    <w:p w14:paraId="0F3C8FE9">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电话：传真：</w:t>
      </w:r>
    </w:p>
    <w:p w14:paraId="2169941F">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授权代表：</w:t>
      </w:r>
      <w:r>
        <w:rPr>
          <w:rFonts w:hint="eastAsia" w:ascii="宋体" w:hAnsi="宋体" w:cs="仿宋"/>
          <w:sz w:val="24"/>
          <w:u w:val="single"/>
        </w:rPr>
        <w:t xml:space="preserve">             （签名或私章）</w:t>
      </w:r>
      <w:r>
        <w:rPr>
          <w:rFonts w:hint="eastAsia" w:ascii="宋体" w:hAnsi="宋体" w:cs="仿宋"/>
          <w:sz w:val="24"/>
        </w:rPr>
        <w:t>职务：</w:t>
      </w:r>
    </w:p>
    <w:p w14:paraId="6A641EC2">
      <w:pPr>
        <w:shd w:val="clear" w:color="auto" w:fill="FFFFFF"/>
        <w:snapToGrid w:val="0"/>
        <w:spacing w:line="360" w:lineRule="auto"/>
        <w:rPr>
          <w:rFonts w:hint="eastAsia" w:ascii="宋体" w:hAnsi="宋体" w:cs="仿宋"/>
          <w:sz w:val="24"/>
          <w:u w:val="single"/>
        </w:rPr>
      </w:pPr>
      <w:r>
        <w:rPr>
          <w:rFonts w:hint="eastAsia" w:ascii="宋体" w:hAnsi="宋体" w:cs="仿宋"/>
          <w:sz w:val="24"/>
        </w:rPr>
        <w:t xml:space="preserve">    日期：</w:t>
      </w:r>
    </w:p>
    <w:p w14:paraId="1DFCECD8">
      <w:pPr>
        <w:rPr>
          <w:rFonts w:hint="eastAsia" w:ascii="宋体" w:hAnsi="宋体"/>
        </w:rPr>
        <w:sectPr>
          <w:footerReference r:id="rId4" w:type="default"/>
          <w:pgSz w:w="11906" w:h="16838"/>
          <w:pgMar w:top="1440" w:right="1701" w:bottom="1440" w:left="1701" w:header="851" w:footer="992" w:gutter="0"/>
          <w:cols w:space="720" w:num="1"/>
          <w:docGrid w:type="lines" w:linePitch="312" w:charSpace="0"/>
        </w:sectPr>
      </w:pPr>
    </w:p>
    <w:p w14:paraId="0B16D152">
      <w:pPr>
        <w:adjustRightInd w:val="0"/>
        <w:snapToGrid w:val="0"/>
        <w:spacing w:line="360" w:lineRule="auto"/>
        <w:rPr>
          <w:rFonts w:hint="eastAsia" w:ascii="宋体" w:hAnsi="宋体" w:cs="宋体"/>
          <w:kern w:val="0"/>
          <w:sz w:val="24"/>
        </w:rPr>
      </w:pPr>
      <w:r>
        <w:rPr>
          <w:rFonts w:hint="eastAsia" w:ascii="宋体" w:hAnsi="宋体" w:cs="宋体"/>
          <w:kern w:val="0"/>
          <w:sz w:val="24"/>
        </w:rPr>
        <w:t>5.3按附件格式提供投标人投标承诺书。</w:t>
      </w:r>
    </w:p>
    <w:p w14:paraId="0568E8C5">
      <w:pPr>
        <w:adjustRightInd w:val="0"/>
        <w:snapToGrid w:val="0"/>
        <w:jc w:val="center"/>
        <w:rPr>
          <w:rFonts w:hint="eastAsia" w:ascii="宋体" w:hAnsi="宋体"/>
          <w:b/>
          <w:sz w:val="24"/>
        </w:rPr>
      </w:pPr>
      <w:r>
        <w:rPr>
          <w:rFonts w:hint="eastAsia" w:ascii="宋体" w:hAnsi="宋体"/>
          <w:b/>
          <w:bCs/>
          <w:sz w:val="24"/>
          <w:szCs w:val="20"/>
        </w:rPr>
        <w:t>投标人投标承诺书</w:t>
      </w:r>
    </w:p>
    <w:p w14:paraId="24B686F7">
      <w:pPr>
        <w:adjustRightInd w:val="0"/>
        <w:snapToGrid w:val="0"/>
        <w:rPr>
          <w:rFonts w:hint="eastAsia" w:ascii="宋体" w:hAnsi="宋体"/>
          <w:sz w:val="24"/>
        </w:rPr>
      </w:pPr>
      <w:r>
        <w:rPr>
          <w:rFonts w:hint="eastAsia" w:ascii="宋体" w:hAnsi="宋体"/>
          <w:sz w:val="24"/>
        </w:rPr>
        <w:t>致：海南省教学仪器设备招标中心有限公司：</w:t>
      </w:r>
    </w:p>
    <w:p w14:paraId="09646A74">
      <w:pPr>
        <w:rPr>
          <w:rFonts w:hint="eastAsia" w:ascii="宋体" w:hAnsi="宋体"/>
          <w:sz w:val="24"/>
        </w:rPr>
      </w:pPr>
      <w:r>
        <w:rPr>
          <w:rFonts w:hint="eastAsia" w:ascii="宋体" w:hAnsi="宋体"/>
          <w:sz w:val="24"/>
        </w:rPr>
        <w:t>我单位在参加项目的投标活动中，郑重承诺如下：</w:t>
      </w:r>
    </w:p>
    <w:p w14:paraId="6C54AADF">
      <w:pPr>
        <w:ind w:firstLine="480" w:firstLineChars="200"/>
        <w:rPr>
          <w:rFonts w:hint="eastAsia" w:ascii="宋体" w:hAnsi="宋体"/>
          <w:sz w:val="24"/>
        </w:rPr>
      </w:pPr>
      <w:r>
        <w:rPr>
          <w:rFonts w:hint="eastAsia" w:ascii="宋体" w:hAnsi="宋体"/>
          <w:sz w:val="24"/>
        </w:rPr>
        <w:t>1、我方在此声明，本次招标投标活动中提交的所有资料都是真实、准确完整的，如发现提供虚假资料，或与事实不符而导致投标无效，甚至造成任何法律和经济责任，完全由我方负责；</w:t>
      </w:r>
    </w:p>
    <w:p w14:paraId="072C18D6">
      <w:pPr>
        <w:ind w:firstLine="480" w:firstLineChars="200"/>
        <w:rPr>
          <w:rFonts w:hint="eastAsia" w:ascii="宋体" w:hAnsi="宋体"/>
          <w:sz w:val="24"/>
        </w:rPr>
      </w:pPr>
      <w:r>
        <w:rPr>
          <w:rFonts w:hint="eastAsia" w:ascii="宋体" w:hAnsi="宋体"/>
          <w:sz w:val="24"/>
        </w:rPr>
        <w:t xml:space="preserve">2、参加本次政府采购活动前三年内，在经营活动中没有重大违法违规记录及环保类行政处罚记录，我方人员针对本项目没有重大违法记录； </w:t>
      </w:r>
    </w:p>
    <w:p w14:paraId="41C18BE7">
      <w:pPr>
        <w:ind w:firstLine="480" w:firstLineChars="200"/>
        <w:rPr>
          <w:rFonts w:hint="eastAsia" w:ascii="宋体" w:hAnsi="宋体"/>
          <w:sz w:val="24"/>
        </w:rPr>
      </w:pPr>
      <w:r>
        <w:rPr>
          <w:rFonts w:hint="eastAsia" w:ascii="宋体" w:hAnsi="宋体"/>
          <w:sz w:val="24"/>
        </w:rPr>
        <w:t>3、我方未被地市级及其以上行政主管部门做出取消投标资格的处罚且该处罚在有效期内的；</w:t>
      </w:r>
    </w:p>
    <w:p w14:paraId="392105AB">
      <w:pPr>
        <w:ind w:firstLine="480" w:firstLineChars="200"/>
        <w:rPr>
          <w:rFonts w:hint="eastAsia" w:ascii="宋体" w:hAnsi="宋体"/>
          <w:sz w:val="24"/>
        </w:rPr>
      </w:pPr>
      <w:r>
        <w:rPr>
          <w:rFonts w:hint="eastAsia" w:ascii="宋体" w:hAnsi="宋体"/>
          <w:sz w:val="24"/>
        </w:rPr>
        <w:t>4、我方一旦中标，将严格按照公开比选投标文件中所承诺的报价、质量、工期、措施、项目负责人等内容组织实施；</w:t>
      </w:r>
    </w:p>
    <w:p w14:paraId="42E3486A">
      <w:pPr>
        <w:ind w:firstLine="480" w:firstLineChars="200"/>
        <w:rPr>
          <w:rFonts w:hint="eastAsia" w:ascii="宋体" w:hAnsi="宋体"/>
          <w:sz w:val="24"/>
        </w:rPr>
      </w:pPr>
      <w:r>
        <w:rPr>
          <w:rFonts w:hint="eastAsia" w:ascii="宋体" w:hAnsi="宋体"/>
          <w:sz w:val="24"/>
        </w:rPr>
        <w:t>5、我方一旦中标，将按规定及时与采购人签订合同。</w:t>
      </w:r>
    </w:p>
    <w:p w14:paraId="245DD570">
      <w:pPr>
        <w:ind w:firstLine="480" w:firstLineChars="200"/>
        <w:rPr>
          <w:rFonts w:hint="eastAsia" w:ascii="宋体" w:hAnsi="宋体"/>
          <w:sz w:val="24"/>
        </w:rPr>
      </w:pPr>
      <w:r>
        <w:rPr>
          <w:rFonts w:hint="eastAsia" w:ascii="宋体" w:hAnsi="宋体"/>
          <w:sz w:val="24"/>
        </w:rPr>
        <w:t>6、</w:t>
      </w:r>
      <w:r>
        <w:rPr>
          <w:rFonts w:hint="eastAsia" w:ascii="宋体" w:hAnsi="宋体"/>
          <w:sz w:val="24"/>
          <w:szCs w:val="20"/>
        </w:rPr>
        <w:t>我公司如果中标本项目，对本项目提供的所有货物保证货源全新正品，保质保量，按时供货，否则按合同赔偿违约金，并自愿接受省财政部门的相关处罚。</w:t>
      </w:r>
    </w:p>
    <w:p w14:paraId="3ED1F5BD">
      <w:pPr>
        <w:ind w:firstLine="480" w:firstLineChars="200"/>
        <w:rPr>
          <w:rFonts w:hint="eastAsia" w:ascii="宋体" w:hAnsi="宋体"/>
          <w:sz w:val="24"/>
        </w:rPr>
      </w:pPr>
      <w:r>
        <w:rPr>
          <w:rFonts w:hint="eastAsia" w:ascii="宋体" w:hAnsi="宋体"/>
          <w:sz w:val="24"/>
        </w:rPr>
        <w:t>7、我方在本次投标活动中绝无资质挂靠、串标、围标情形，若出现下列情形，立即取消我方投标资格并承担相应的法律责任；</w:t>
      </w:r>
    </w:p>
    <w:p w14:paraId="17CD3B83">
      <w:pPr>
        <w:ind w:firstLine="480" w:firstLineChars="200"/>
        <w:rPr>
          <w:rFonts w:hint="eastAsia" w:ascii="宋体" w:hAnsi="宋体"/>
          <w:sz w:val="24"/>
        </w:rPr>
      </w:pPr>
      <w:r>
        <w:rPr>
          <w:rFonts w:hint="eastAsia" w:ascii="宋体" w:hAnsi="宋体"/>
          <w:sz w:val="24"/>
        </w:rPr>
        <w:t>（1）不同投标人的公开比选投标文件由同一单位或者个人编制；</w:t>
      </w:r>
    </w:p>
    <w:p w14:paraId="3770E0FD">
      <w:pPr>
        <w:ind w:firstLine="480" w:firstLineChars="200"/>
        <w:rPr>
          <w:rFonts w:hint="eastAsia" w:ascii="宋体" w:hAnsi="宋体"/>
          <w:sz w:val="24"/>
        </w:rPr>
      </w:pPr>
      <w:r>
        <w:rPr>
          <w:rFonts w:hint="eastAsia" w:ascii="宋体" w:hAnsi="宋体"/>
          <w:sz w:val="24"/>
        </w:rPr>
        <w:t>（2）不同投标人委托同一单位或者个人办理投标事宜；</w:t>
      </w:r>
    </w:p>
    <w:p w14:paraId="00741FEF">
      <w:pPr>
        <w:ind w:firstLine="480" w:firstLineChars="200"/>
        <w:rPr>
          <w:rFonts w:hint="eastAsia" w:ascii="宋体" w:hAnsi="宋体"/>
          <w:sz w:val="24"/>
        </w:rPr>
      </w:pPr>
      <w:r>
        <w:rPr>
          <w:rFonts w:hint="eastAsia" w:ascii="宋体" w:hAnsi="宋体"/>
          <w:sz w:val="24"/>
        </w:rPr>
        <w:t>（3）不同投标人的公开比选投标文件载明的项目管理成员或者联系人员为同一人；</w:t>
      </w:r>
    </w:p>
    <w:p w14:paraId="01F9B506">
      <w:pPr>
        <w:ind w:firstLine="480" w:firstLineChars="200"/>
        <w:rPr>
          <w:rFonts w:hint="eastAsia" w:ascii="宋体" w:hAnsi="宋体"/>
          <w:sz w:val="24"/>
        </w:rPr>
      </w:pPr>
      <w:r>
        <w:rPr>
          <w:rFonts w:hint="eastAsia" w:ascii="宋体" w:hAnsi="宋体"/>
          <w:sz w:val="24"/>
        </w:rPr>
        <w:t>（4）不同投标人的公开比选投标文件异常一致或者投标报价呈规律性差异；</w:t>
      </w:r>
    </w:p>
    <w:p w14:paraId="63A24633">
      <w:pPr>
        <w:ind w:firstLine="480" w:firstLineChars="200"/>
        <w:rPr>
          <w:rFonts w:hint="eastAsia" w:ascii="宋体" w:hAnsi="宋体"/>
          <w:sz w:val="24"/>
        </w:rPr>
      </w:pPr>
      <w:r>
        <w:rPr>
          <w:rFonts w:hint="eastAsia" w:ascii="宋体" w:hAnsi="宋体"/>
          <w:sz w:val="24"/>
        </w:rPr>
        <w:t>（5）不同投标人的公开比选投标文件相互混装；</w:t>
      </w:r>
    </w:p>
    <w:p w14:paraId="636BFF82">
      <w:pPr>
        <w:ind w:firstLine="480" w:firstLineChars="200"/>
        <w:rPr>
          <w:rFonts w:hint="eastAsia" w:ascii="宋体" w:hAnsi="宋体"/>
          <w:sz w:val="24"/>
        </w:rPr>
      </w:pPr>
      <w:r>
        <w:rPr>
          <w:rFonts w:hint="eastAsia" w:ascii="宋体" w:hAnsi="宋体"/>
          <w:sz w:val="24"/>
        </w:rPr>
        <w:t>（6）单位负责人为同一人或者存在直接控股、管理关系的不同投标人，同时参加本项目采购活动；</w:t>
      </w:r>
    </w:p>
    <w:p w14:paraId="4135FBD0">
      <w:pPr>
        <w:rPr>
          <w:rFonts w:hint="eastAsia" w:ascii="宋体" w:hAnsi="宋体"/>
          <w:sz w:val="24"/>
        </w:rPr>
      </w:pPr>
    </w:p>
    <w:p w14:paraId="4F0A2F61">
      <w:pPr>
        <w:ind w:left="2698" w:leftChars="1285"/>
        <w:rPr>
          <w:rFonts w:hint="eastAsia" w:ascii="宋体" w:hAnsi="宋体"/>
          <w:sz w:val="24"/>
        </w:rPr>
      </w:pPr>
      <w:r>
        <w:rPr>
          <w:rFonts w:hint="eastAsia" w:ascii="宋体" w:hAnsi="宋体"/>
          <w:sz w:val="24"/>
        </w:rPr>
        <w:t>投标人名称： （盖公章）</w:t>
      </w:r>
    </w:p>
    <w:p w14:paraId="54C88DC1">
      <w:pPr>
        <w:ind w:left="2698" w:leftChars="1285"/>
        <w:rPr>
          <w:rFonts w:hint="eastAsia" w:ascii="宋体" w:hAnsi="宋体"/>
          <w:sz w:val="24"/>
        </w:rPr>
      </w:pPr>
      <w:r>
        <w:rPr>
          <w:rFonts w:hint="eastAsia" w:ascii="宋体" w:hAnsi="宋体"/>
          <w:sz w:val="24"/>
        </w:rPr>
        <w:t>法定代表人（或授权代理人）： （签字或盖章）</w:t>
      </w:r>
    </w:p>
    <w:p w14:paraId="2CF30612">
      <w:pPr>
        <w:adjustRightInd w:val="0"/>
        <w:snapToGrid w:val="0"/>
        <w:spacing w:line="300" w:lineRule="auto"/>
        <w:ind w:firstLine="2640" w:firstLineChars="1100"/>
        <w:rPr>
          <w:rFonts w:hint="eastAsia" w:ascii="宋体" w:hAnsi="宋体"/>
          <w:sz w:val="24"/>
        </w:rPr>
      </w:pPr>
      <w:r>
        <w:rPr>
          <w:rFonts w:hint="eastAsia" w:ascii="宋体" w:hAnsi="宋体"/>
          <w:sz w:val="24"/>
        </w:rPr>
        <w:t>日期： 年 月 日</w:t>
      </w:r>
    </w:p>
    <w:p w14:paraId="023CBC08">
      <w:pPr>
        <w:adjustRightInd w:val="0"/>
        <w:snapToGrid w:val="0"/>
        <w:spacing w:line="360" w:lineRule="auto"/>
        <w:rPr>
          <w:rFonts w:hint="eastAsia" w:ascii="宋体" w:hAnsi="宋体" w:cs="宋体"/>
          <w:kern w:val="0"/>
          <w:sz w:val="24"/>
        </w:rPr>
      </w:pPr>
    </w:p>
    <w:p w14:paraId="6F062A10">
      <w:pPr>
        <w:adjustRightInd w:val="0"/>
        <w:snapToGrid w:val="0"/>
        <w:spacing w:line="360" w:lineRule="auto"/>
        <w:rPr>
          <w:rFonts w:hint="eastAsia" w:ascii="宋体" w:hAnsi="宋体" w:cs="宋体"/>
          <w:kern w:val="0"/>
          <w:sz w:val="24"/>
        </w:rPr>
      </w:pPr>
    </w:p>
    <w:p w14:paraId="5A8899A1">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5.4投标人承诺遵守国家有关法律法规及保密要求（提供承诺函），格式自行提供。</w:t>
      </w:r>
    </w:p>
    <w:p w14:paraId="457AA2F5">
      <w:pPr>
        <w:adjustRightInd w:val="0"/>
        <w:snapToGrid w:val="0"/>
        <w:spacing w:line="360" w:lineRule="auto"/>
        <w:rPr>
          <w:rFonts w:hint="eastAsia" w:ascii="宋体" w:hAnsi="宋体" w:cs="宋体"/>
          <w:kern w:val="0"/>
          <w:sz w:val="24"/>
        </w:rPr>
      </w:pPr>
    </w:p>
    <w:p w14:paraId="0CCA794F">
      <w:pPr>
        <w:adjustRightInd w:val="0"/>
        <w:snapToGrid w:val="0"/>
        <w:spacing w:line="360" w:lineRule="auto"/>
        <w:rPr>
          <w:rFonts w:hint="eastAsia" w:ascii="宋体" w:hAnsi="宋体" w:cs="宋体"/>
          <w:kern w:val="0"/>
          <w:sz w:val="24"/>
        </w:rPr>
      </w:pPr>
    </w:p>
    <w:p w14:paraId="4E9C792E">
      <w:pPr>
        <w:adjustRightInd w:val="0"/>
        <w:snapToGrid w:val="0"/>
        <w:spacing w:line="360" w:lineRule="auto"/>
        <w:rPr>
          <w:rFonts w:hint="eastAsia" w:ascii="宋体" w:hAnsi="宋体" w:cs="宋体"/>
          <w:kern w:val="0"/>
          <w:sz w:val="24"/>
        </w:rPr>
      </w:pPr>
      <w:r>
        <w:rPr>
          <w:rFonts w:hint="eastAsia" w:ascii="宋体" w:hAnsi="宋体" w:cs="宋体"/>
          <w:kern w:val="0"/>
          <w:sz w:val="24"/>
        </w:rPr>
        <w:t>5.5在“信用中国”网站（www.creditchina.gov.cn）没有列入失信被执行人、重大税收违法失信主体、政府采购严重违法失信行为记录名单的投标人。“中国政府采购网”（www.ccgp.gov.cn）政府采购严重违法失信行为记录名单的投标人。</w:t>
      </w:r>
    </w:p>
    <w:p w14:paraId="63E1BD5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注：采购人或采购代理机构将于本项目投标截止日在“信用中国”网站、“中国政府采购网”网站等渠道对投标人进行信用记录查询，凡被列入失信被执行人、重大税收违法失信主体、政府采购严重违法失信行为记录名单的，视为存在不良信用记录，参与本项目的将被拒绝。）</w:t>
      </w:r>
    </w:p>
    <w:p w14:paraId="662A88F3">
      <w:pPr>
        <w:rPr>
          <w:rFonts w:hint="eastAsia" w:ascii="宋体" w:hAnsi="宋体"/>
        </w:rPr>
      </w:pPr>
    </w:p>
    <w:p w14:paraId="08D4CF43">
      <w:pPr>
        <w:adjustRightInd w:val="0"/>
        <w:snapToGrid w:val="0"/>
        <w:spacing w:line="360" w:lineRule="auto"/>
        <w:ind w:firstLine="420" w:firstLineChars="200"/>
      </w:pPr>
      <w:bookmarkStart w:id="63" w:name="_Toc183588717"/>
    </w:p>
    <w:bookmarkEnd w:id="63"/>
    <w:p w14:paraId="671FEFEA">
      <w:pPr>
        <w:pStyle w:val="5"/>
        <w:keepNext w:val="0"/>
        <w:keepLines w:val="0"/>
        <w:spacing w:line="415" w:lineRule="auto"/>
        <w:ind w:firstLine="576" w:firstLineChars="200"/>
        <w:jc w:val="both"/>
        <w:rPr>
          <w:rFonts w:hint="eastAsia" w:ascii="宋体" w:hAnsi="宋体" w:eastAsia="宋体"/>
          <w:bCs/>
          <w:szCs w:val="24"/>
        </w:rPr>
      </w:pPr>
      <w:bookmarkStart w:id="64" w:name="_Toc183588719"/>
      <w:r>
        <w:rPr>
          <w:rFonts w:hint="eastAsia" w:ascii="宋体" w:hAnsi="宋体" w:eastAsia="宋体"/>
          <w:bCs/>
          <w:szCs w:val="24"/>
        </w:rPr>
        <w:t xml:space="preserve">附件6、 </w:t>
      </w:r>
      <w:r>
        <w:rPr>
          <w:rFonts w:hint="eastAsia" w:ascii="宋体" w:hAnsi="宋体" w:eastAsia="宋体"/>
          <w:szCs w:val="24"/>
        </w:rPr>
        <w:t>投标人</w:t>
      </w:r>
      <w:r>
        <w:rPr>
          <w:rFonts w:hint="eastAsia" w:ascii="宋体" w:hAnsi="宋体" w:eastAsia="宋体"/>
          <w:bCs/>
          <w:szCs w:val="24"/>
        </w:rPr>
        <w:t>认为需要提供的用于参与评审其他相关资料</w:t>
      </w:r>
      <w:bookmarkEnd w:id="64"/>
    </w:p>
    <w:p w14:paraId="4F43D526">
      <w:pPr>
        <w:adjustRightInd w:val="0"/>
        <w:snapToGrid w:val="0"/>
        <w:spacing w:line="300" w:lineRule="auto"/>
        <w:rPr>
          <w:rFonts w:hint="eastAsia" w:ascii="宋体" w:hAnsi="宋体"/>
          <w:sz w:val="24"/>
        </w:rPr>
      </w:pPr>
    </w:p>
    <w:sectPr>
      <w:headerReference r:id="rId5" w:type="default"/>
      <w:footerReference r:id="rId6" w:type="default"/>
      <w:footerReference r:id="rId7"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FB58">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2D9CB5">
                          <w:pPr>
                            <w:pStyle w:val="2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82D9CB5">
                    <w:pPr>
                      <w:pStyle w:val="26"/>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5C82A">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B20B64">
                          <w:pPr>
                            <w:pStyle w:val="26"/>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0B20B64">
                    <w:pPr>
                      <w:pStyle w:val="26"/>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p w14:paraId="1D3CBCD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2324">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07130D">
                          <w:pPr>
                            <w:pStyle w:val="26"/>
                            <w:rPr>
                              <w:rStyle w:val="43"/>
                            </w:rPr>
                          </w:pPr>
                          <w:r>
                            <w:rPr>
                              <w:rStyle w:val="43"/>
                            </w:rPr>
                            <w:t xml:space="preserve">第 </w:t>
                          </w:r>
                          <w:r>
                            <w:rPr>
                              <w:rStyle w:val="43"/>
                            </w:rPr>
                            <w:fldChar w:fldCharType="begin"/>
                          </w:r>
                          <w:r>
                            <w:rPr>
                              <w:rStyle w:val="43"/>
                            </w:rPr>
                            <w:instrText xml:space="preserve"> PAGE  \* MERGEFORMAT </w:instrText>
                          </w:r>
                          <w:r>
                            <w:rPr>
                              <w:rStyle w:val="43"/>
                            </w:rPr>
                            <w:fldChar w:fldCharType="separate"/>
                          </w:r>
                          <w:r>
                            <w:rPr>
                              <w:rStyle w:val="43"/>
                            </w:rPr>
                            <w:t>33</w:t>
                          </w:r>
                          <w:r>
                            <w:rPr>
                              <w:rStyle w:val="43"/>
                            </w:rPr>
                            <w:fldChar w:fldCharType="end"/>
                          </w:r>
                          <w:r>
                            <w:rPr>
                              <w:rStyle w:val="43"/>
                            </w:rPr>
                            <w:t xml:space="preserve"> 页 共 </w:t>
                          </w:r>
                          <w:r>
                            <w:fldChar w:fldCharType="begin"/>
                          </w:r>
                          <w:r>
                            <w:instrText xml:space="preserve"> NUMPAGES  \* MERGEFORMAT </w:instrText>
                          </w:r>
                          <w:r>
                            <w:fldChar w:fldCharType="separate"/>
                          </w:r>
                          <w:r>
                            <w:rPr>
                              <w:rStyle w:val="43"/>
                            </w:rPr>
                            <w:t>33</w:t>
                          </w:r>
                          <w:r>
                            <w:rPr>
                              <w:rStyle w:val="43"/>
                            </w:rPr>
                            <w:fldChar w:fldCharType="end"/>
                          </w:r>
                          <w:r>
                            <w:rPr>
                              <w:rStyle w:val="43"/>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207130D">
                    <w:pPr>
                      <w:pStyle w:val="26"/>
                      <w:rPr>
                        <w:rStyle w:val="43"/>
                      </w:rPr>
                    </w:pPr>
                    <w:r>
                      <w:rPr>
                        <w:rStyle w:val="43"/>
                      </w:rPr>
                      <w:t xml:space="preserve">第 </w:t>
                    </w:r>
                    <w:r>
                      <w:rPr>
                        <w:rStyle w:val="43"/>
                      </w:rPr>
                      <w:fldChar w:fldCharType="begin"/>
                    </w:r>
                    <w:r>
                      <w:rPr>
                        <w:rStyle w:val="43"/>
                      </w:rPr>
                      <w:instrText xml:space="preserve"> PAGE  \* MERGEFORMAT </w:instrText>
                    </w:r>
                    <w:r>
                      <w:rPr>
                        <w:rStyle w:val="43"/>
                      </w:rPr>
                      <w:fldChar w:fldCharType="separate"/>
                    </w:r>
                    <w:r>
                      <w:rPr>
                        <w:rStyle w:val="43"/>
                      </w:rPr>
                      <w:t>33</w:t>
                    </w:r>
                    <w:r>
                      <w:rPr>
                        <w:rStyle w:val="43"/>
                      </w:rPr>
                      <w:fldChar w:fldCharType="end"/>
                    </w:r>
                    <w:r>
                      <w:rPr>
                        <w:rStyle w:val="43"/>
                      </w:rPr>
                      <w:t xml:space="preserve"> 页 共 </w:t>
                    </w:r>
                    <w:r>
                      <w:fldChar w:fldCharType="begin"/>
                    </w:r>
                    <w:r>
                      <w:instrText xml:space="preserve"> NUMPAGES  \* MERGEFORMAT </w:instrText>
                    </w:r>
                    <w:r>
                      <w:fldChar w:fldCharType="separate"/>
                    </w:r>
                    <w:r>
                      <w:rPr>
                        <w:rStyle w:val="43"/>
                      </w:rPr>
                      <w:t>33</w:t>
                    </w:r>
                    <w:r>
                      <w:rPr>
                        <w:rStyle w:val="43"/>
                      </w:rPr>
                      <w:fldChar w:fldCharType="end"/>
                    </w:r>
                    <w:r>
                      <w:rPr>
                        <w:rStyle w:val="43"/>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4009">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14:paraId="76937A7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483B">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BA76F"/>
    <w:multiLevelType w:val="singleLevel"/>
    <w:tmpl w:val="917BA76F"/>
    <w:lvl w:ilvl="0" w:tentative="0">
      <w:start w:val="1"/>
      <w:numFmt w:val="chineseCounting"/>
      <w:suff w:val="nothing"/>
      <w:lvlText w:val="（%1）"/>
      <w:lvlJc w:val="left"/>
      <w:pPr>
        <w:ind w:left="-6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MjZjYmMzNzNhM2YyMzBhYWRkNmYwNDRkYTJhM2MifQ=="/>
  </w:docVars>
  <w:rsids>
    <w:rsidRoot w:val="00172A27"/>
    <w:rsid w:val="000001B8"/>
    <w:rsid w:val="00004197"/>
    <w:rsid w:val="00010D6B"/>
    <w:rsid w:val="00011053"/>
    <w:rsid w:val="00020B83"/>
    <w:rsid w:val="000312D5"/>
    <w:rsid w:val="000326A0"/>
    <w:rsid w:val="00033873"/>
    <w:rsid w:val="000371AB"/>
    <w:rsid w:val="000436F1"/>
    <w:rsid w:val="000445B9"/>
    <w:rsid w:val="00045337"/>
    <w:rsid w:val="00050091"/>
    <w:rsid w:val="000506D4"/>
    <w:rsid w:val="000545B2"/>
    <w:rsid w:val="00054AED"/>
    <w:rsid w:val="000562FE"/>
    <w:rsid w:val="00056954"/>
    <w:rsid w:val="000576AF"/>
    <w:rsid w:val="000601D9"/>
    <w:rsid w:val="00063962"/>
    <w:rsid w:val="00066904"/>
    <w:rsid w:val="00066AA1"/>
    <w:rsid w:val="00067DCD"/>
    <w:rsid w:val="00071C9C"/>
    <w:rsid w:val="00072322"/>
    <w:rsid w:val="0007676A"/>
    <w:rsid w:val="00077604"/>
    <w:rsid w:val="00080FF1"/>
    <w:rsid w:val="0008152A"/>
    <w:rsid w:val="00082BD9"/>
    <w:rsid w:val="00086C3D"/>
    <w:rsid w:val="00087E36"/>
    <w:rsid w:val="0009167D"/>
    <w:rsid w:val="00093A38"/>
    <w:rsid w:val="000953DE"/>
    <w:rsid w:val="00096F8B"/>
    <w:rsid w:val="000979A0"/>
    <w:rsid w:val="000A297D"/>
    <w:rsid w:val="000A4D2D"/>
    <w:rsid w:val="000A5E73"/>
    <w:rsid w:val="000B01CF"/>
    <w:rsid w:val="000B1D44"/>
    <w:rsid w:val="000B1D87"/>
    <w:rsid w:val="000B26FB"/>
    <w:rsid w:val="000B3BE4"/>
    <w:rsid w:val="000B5331"/>
    <w:rsid w:val="000C1B7F"/>
    <w:rsid w:val="000C46B5"/>
    <w:rsid w:val="000C5A12"/>
    <w:rsid w:val="000D07EC"/>
    <w:rsid w:val="000D205E"/>
    <w:rsid w:val="000D5F87"/>
    <w:rsid w:val="000D67F5"/>
    <w:rsid w:val="000D6CDF"/>
    <w:rsid w:val="000D7801"/>
    <w:rsid w:val="000D7BE8"/>
    <w:rsid w:val="000E0C99"/>
    <w:rsid w:val="000E2E89"/>
    <w:rsid w:val="000F18C4"/>
    <w:rsid w:val="000F33A7"/>
    <w:rsid w:val="00101BCF"/>
    <w:rsid w:val="001023C8"/>
    <w:rsid w:val="0010742D"/>
    <w:rsid w:val="0011063D"/>
    <w:rsid w:val="00111EAF"/>
    <w:rsid w:val="00116ECD"/>
    <w:rsid w:val="001207F7"/>
    <w:rsid w:val="00121ED3"/>
    <w:rsid w:val="00124ED9"/>
    <w:rsid w:val="0012740B"/>
    <w:rsid w:val="00134A8B"/>
    <w:rsid w:val="00135448"/>
    <w:rsid w:val="0014253C"/>
    <w:rsid w:val="00142CA1"/>
    <w:rsid w:val="001476AE"/>
    <w:rsid w:val="001546B2"/>
    <w:rsid w:val="001571D2"/>
    <w:rsid w:val="001612FE"/>
    <w:rsid w:val="0016180D"/>
    <w:rsid w:val="0016494A"/>
    <w:rsid w:val="00165C57"/>
    <w:rsid w:val="00165E9E"/>
    <w:rsid w:val="001673F4"/>
    <w:rsid w:val="0017182D"/>
    <w:rsid w:val="00172A27"/>
    <w:rsid w:val="00176565"/>
    <w:rsid w:val="00184D45"/>
    <w:rsid w:val="00186B06"/>
    <w:rsid w:val="00186F54"/>
    <w:rsid w:val="0018749E"/>
    <w:rsid w:val="0019210E"/>
    <w:rsid w:val="00192744"/>
    <w:rsid w:val="00192A9F"/>
    <w:rsid w:val="00196098"/>
    <w:rsid w:val="00196E77"/>
    <w:rsid w:val="001977FD"/>
    <w:rsid w:val="001A2801"/>
    <w:rsid w:val="001A28B5"/>
    <w:rsid w:val="001A36FE"/>
    <w:rsid w:val="001A5A11"/>
    <w:rsid w:val="001A5BAB"/>
    <w:rsid w:val="001A6B5F"/>
    <w:rsid w:val="001A7448"/>
    <w:rsid w:val="001B143D"/>
    <w:rsid w:val="001C3343"/>
    <w:rsid w:val="001C3823"/>
    <w:rsid w:val="001C5556"/>
    <w:rsid w:val="001C63AA"/>
    <w:rsid w:val="001C751F"/>
    <w:rsid w:val="001C7A4B"/>
    <w:rsid w:val="001D0383"/>
    <w:rsid w:val="001D613C"/>
    <w:rsid w:val="001E2CB4"/>
    <w:rsid w:val="001E4E27"/>
    <w:rsid w:val="001E7E2D"/>
    <w:rsid w:val="001F40CF"/>
    <w:rsid w:val="001F6512"/>
    <w:rsid w:val="001F6880"/>
    <w:rsid w:val="0020183F"/>
    <w:rsid w:val="00205E3A"/>
    <w:rsid w:val="0020798F"/>
    <w:rsid w:val="00221252"/>
    <w:rsid w:val="00221A03"/>
    <w:rsid w:val="00231B68"/>
    <w:rsid w:val="00235E37"/>
    <w:rsid w:val="002366AF"/>
    <w:rsid w:val="00241CE4"/>
    <w:rsid w:val="00247619"/>
    <w:rsid w:val="00251B8C"/>
    <w:rsid w:val="00252529"/>
    <w:rsid w:val="00254F34"/>
    <w:rsid w:val="0026069A"/>
    <w:rsid w:val="00261526"/>
    <w:rsid w:val="0026269F"/>
    <w:rsid w:val="00263546"/>
    <w:rsid w:val="002643B9"/>
    <w:rsid w:val="0026537D"/>
    <w:rsid w:val="00270839"/>
    <w:rsid w:val="002761E2"/>
    <w:rsid w:val="002767FB"/>
    <w:rsid w:val="00277007"/>
    <w:rsid w:val="00280521"/>
    <w:rsid w:val="00281AEB"/>
    <w:rsid w:val="00283C5F"/>
    <w:rsid w:val="00286C29"/>
    <w:rsid w:val="00290B4F"/>
    <w:rsid w:val="00291928"/>
    <w:rsid w:val="00295115"/>
    <w:rsid w:val="0029617A"/>
    <w:rsid w:val="00297164"/>
    <w:rsid w:val="002A486C"/>
    <w:rsid w:val="002A572D"/>
    <w:rsid w:val="002A6228"/>
    <w:rsid w:val="002A7DD9"/>
    <w:rsid w:val="002A7E1E"/>
    <w:rsid w:val="002B040B"/>
    <w:rsid w:val="002B09A7"/>
    <w:rsid w:val="002B2000"/>
    <w:rsid w:val="002B4FD1"/>
    <w:rsid w:val="002B6FD1"/>
    <w:rsid w:val="002C0896"/>
    <w:rsid w:val="002C43AD"/>
    <w:rsid w:val="002C7C22"/>
    <w:rsid w:val="002D1C63"/>
    <w:rsid w:val="002D3A0E"/>
    <w:rsid w:val="002E0D61"/>
    <w:rsid w:val="002E3301"/>
    <w:rsid w:val="002E4A9F"/>
    <w:rsid w:val="002F45C0"/>
    <w:rsid w:val="002F6F61"/>
    <w:rsid w:val="003016D4"/>
    <w:rsid w:val="00301895"/>
    <w:rsid w:val="00305FAD"/>
    <w:rsid w:val="00306B15"/>
    <w:rsid w:val="00306D09"/>
    <w:rsid w:val="003127DE"/>
    <w:rsid w:val="00312B08"/>
    <w:rsid w:val="00313645"/>
    <w:rsid w:val="00320D1B"/>
    <w:rsid w:val="00322CBF"/>
    <w:rsid w:val="00323574"/>
    <w:rsid w:val="00332440"/>
    <w:rsid w:val="00333BC8"/>
    <w:rsid w:val="0033452E"/>
    <w:rsid w:val="00336B51"/>
    <w:rsid w:val="00344385"/>
    <w:rsid w:val="00352DFF"/>
    <w:rsid w:val="0035393B"/>
    <w:rsid w:val="00355252"/>
    <w:rsid w:val="00357C42"/>
    <w:rsid w:val="00362B82"/>
    <w:rsid w:val="00366D50"/>
    <w:rsid w:val="00367E22"/>
    <w:rsid w:val="00373DC8"/>
    <w:rsid w:val="0037524A"/>
    <w:rsid w:val="00376C28"/>
    <w:rsid w:val="003774CE"/>
    <w:rsid w:val="003813AE"/>
    <w:rsid w:val="003846BF"/>
    <w:rsid w:val="0038632D"/>
    <w:rsid w:val="003925C1"/>
    <w:rsid w:val="003933ED"/>
    <w:rsid w:val="00393981"/>
    <w:rsid w:val="00395AD9"/>
    <w:rsid w:val="003A0690"/>
    <w:rsid w:val="003A36CA"/>
    <w:rsid w:val="003A4E7F"/>
    <w:rsid w:val="003A6D85"/>
    <w:rsid w:val="003B1E8C"/>
    <w:rsid w:val="003B2FCA"/>
    <w:rsid w:val="003B5806"/>
    <w:rsid w:val="003B6347"/>
    <w:rsid w:val="003B7590"/>
    <w:rsid w:val="003C0897"/>
    <w:rsid w:val="003C3024"/>
    <w:rsid w:val="003C5CB8"/>
    <w:rsid w:val="003D23F0"/>
    <w:rsid w:val="003D3DBF"/>
    <w:rsid w:val="003D57E0"/>
    <w:rsid w:val="003D6011"/>
    <w:rsid w:val="003E075B"/>
    <w:rsid w:val="003E142A"/>
    <w:rsid w:val="003E529B"/>
    <w:rsid w:val="003F3DB3"/>
    <w:rsid w:val="003F6248"/>
    <w:rsid w:val="003F62FA"/>
    <w:rsid w:val="0040043D"/>
    <w:rsid w:val="004009D3"/>
    <w:rsid w:val="0040629C"/>
    <w:rsid w:val="004062E5"/>
    <w:rsid w:val="00410398"/>
    <w:rsid w:val="00415FC8"/>
    <w:rsid w:val="00416D06"/>
    <w:rsid w:val="0042162E"/>
    <w:rsid w:val="0042529A"/>
    <w:rsid w:val="00430894"/>
    <w:rsid w:val="004356CE"/>
    <w:rsid w:val="00443A85"/>
    <w:rsid w:val="00443D23"/>
    <w:rsid w:val="0044588F"/>
    <w:rsid w:val="004468C0"/>
    <w:rsid w:val="00452595"/>
    <w:rsid w:val="00452E92"/>
    <w:rsid w:val="00453C3B"/>
    <w:rsid w:val="00454A19"/>
    <w:rsid w:val="00455D8D"/>
    <w:rsid w:val="004569EF"/>
    <w:rsid w:val="00456B0C"/>
    <w:rsid w:val="004605E7"/>
    <w:rsid w:val="00470B04"/>
    <w:rsid w:val="0047283A"/>
    <w:rsid w:val="004737E8"/>
    <w:rsid w:val="0048657B"/>
    <w:rsid w:val="00486618"/>
    <w:rsid w:val="0048701C"/>
    <w:rsid w:val="0049383B"/>
    <w:rsid w:val="00494C20"/>
    <w:rsid w:val="004A602D"/>
    <w:rsid w:val="004A7D73"/>
    <w:rsid w:val="004B02A5"/>
    <w:rsid w:val="004B24B6"/>
    <w:rsid w:val="004B2595"/>
    <w:rsid w:val="004B3D1B"/>
    <w:rsid w:val="004B447C"/>
    <w:rsid w:val="004B4C75"/>
    <w:rsid w:val="004C6012"/>
    <w:rsid w:val="004D21A5"/>
    <w:rsid w:val="004D46E0"/>
    <w:rsid w:val="004D6142"/>
    <w:rsid w:val="004E1677"/>
    <w:rsid w:val="004E22DE"/>
    <w:rsid w:val="004E3750"/>
    <w:rsid w:val="004E6E5E"/>
    <w:rsid w:val="004F0166"/>
    <w:rsid w:val="004F0AF3"/>
    <w:rsid w:val="004F3490"/>
    <w:rsid w:val="004F5295"/>
    <w:rsid w:val="004F5CC9"/>
    <w:rsid w:val="005033DE"/>
    <w:rsid w:val="00505977"/>
    <w:rsid w:val="00513D41"/>
    <w:rsid w:val="00515670"/>
    <w:rsid w:val="0051723B"/>
    <w:rsid w:val="005205FD"/>
    <w:rsid w:val="00523504"/>
    <w:rsid w:val="00523B92"/>
    <w:rsid w:val="0052564C"/>
    <w:rsid w:val="00525902"/>
    <w:rsid w:val="00525CEA"/>
    <w:rsid w:val="00530197"/>
    <w:rsid w:val="0054029A"/>
    <w:rsid w:val="005412F8"/>
    <w:rsid w:val="00543E01"/>
    <w:rsid w:val="00552FF8"/>
    <w:rsid w:val="005546C1"/>
    <w:rsid w:val="00561A4F"/>
    <w:rsid w:val="005660E4"/>
    <w:rsid w:val="005661B6"/>
    <w:rsid w:val="00566F8D"/>
    <w:rsid w:val="00567F7C"/>
    <w:rsid w:val="005712BF"/>
    <w:rsid w:val="005713A3"/>
    <w:rsid w:val="005732F9"/>
    <w:rsid w:val="00576F64"/>
    <w:rsid w:val="005812B8"/>
    <w:rsid w:val="00590849"/>
    <w:rsid w:val="00591AC4"/>
    <w:rsid w:val="00596260"/>
    <w:rsid w:val="005A029E"/>
    <w:rsid w:val="005A2372"/>
    <w:rsid w:val="005A2389"/>
    <w:rsid w:val="005A351E"/>
    <w:rsid w:val="005B11C9"/>
    <w:rsid w:val="005B11E5"/>
    <w:rsid w:val="005B176F"/>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4081"/>
    <w:rsid w:val="005E77EC"/>
    <w:rsid w:val="005E7C03"/>
    <w:rsid w:val="005F0807"/>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301F9"/>
    <w:rsid w:val="0063683F"/>
    <w:rsid w:val="00641766"/>
    <w:rsid w:val="00645696"/>
    <w:rsid w:val="006470E8"/>
    <w:rsid w:val="0064787A"/>
    <w:rsid w:val="00652F61"/>
    <w:rsid w:val="00652FE5"/>
    <w:rsid w:val="00692D10"/>
    <w:rsid w:val="00693D70"/>
    <w:rsid w:val="0069454F"/>
    <w:rsid w:val="00694889"/>
    <w:rsid w:val="00696A6A"/>
    <w:rsid w:val="006A2179"/>
    <w:rsid w:val="006A3A67"/>
    <w:rsid w:val="006A3DC5"/>
    <w:rsid w:val="006A3FF2"/>
    <w:rsid w:val="006A7095"/>
    <w:rsid w:val="006B14C0"/>
    <w:rsid w:val="006B2095"/>
    <w:rsid w:val="006B585F"/>
    <w:rsid w:val="006B7B47"/>
    <w:rsid w:val="006D0BC1"/>
    <w:rsid w:val="006D21CD"/>
    <w:rsid w:val="006D38A5"/>
    <w:rsid w:val="006D4DAE"/>
    <w:rsid w:val="006E051C"/>
    <w:rsid w:val="006E0CB2"/>
    <w:rsid w:val="006E53B4"/>
    <w:rsid w:val="006F0520"/>
    <w:rsid w:val="006F220C"/>
    <w:rsid w:val="006F40A3"/>
    <w:rsid w:val="00701EA1"/>
    <w:rsid w:val="0070324B"/>
    <w:rsid w:val="007063D1"/>
    <w:rsid w:val="007111C0"/>
    <w:rsid w:val="0072445D"/>
    <w:rsid w:val="00724F1F"/>
    <w:rsid w:val="00730C0E"/>
    <w:rsid w:val="00740798"/>
    <w:rsid w:val="00745490"/>
    <w:rsid w:val="0074682C"/>
    <w:rsid w:val="0075119B"/>
    <w:rsid w:val="0075136B"/>
    <w:rsid w:val="007546E7"/>
    <w:rsid w:val="00760991"/>
    <w:rsid w:val="00761DA2"/>
    <w:rsid w:val="007634C0"/>
    <w:rsid w:val="00767B62"/>
    <w:rsid w:val="00770E66"/>
    <w:rsid w:val="00773CF8"/>
    <w:rsid w:val="00777B93"/>
    <w:rsid w:val="00790B1C"/>
    <w:rsid w:val="0079218D"/>
    <w:rsid w:val="00793675"/>
    <w:rsid w:val="00793BA0"/>
    <w:rsid w:val="00795BDF"/>
    <w:rsid w:val="00797796"/>
    <w:rsid w:val="007A2B7F"/>
    <w:rsid w:val="007A3381"/>
    <w:rsid w:val="007B0396"/>
    <w:rsid w:val="007B24D9"/>
    <w:rsid w:val="007B4DB7"/>
    <w:rsid w:val="007C4BF7"/>
    <w:rsid w:val="007C4F7B"/>
    <w:rsid w:val="007C6A39"/>
    <w:rsid w:val="007D489E"/>
    <w:rsid w:val="007D6EC4"/>
    <w:rsid w:val="007E19B7"/>
    <w:rsid w:val="007E281C"/>
    <w:rsid w:val="007E2D61"/>
    <w:rsid w:val="007E6251"/>
    <w:rsid w:val="007E6B9D"/>
    <w:rsid w:val="007E784E"/>
    <w:rsid w:val="007F020D"/>
    <w:rsid w:val="007F1A6E"/>
    <w:rsid w:val="007F2EF5"/>
    <w:rsid w:val="007F4596"/>
    <w:rsid w:val="007F470A"/>
    <w:rsid w:val="007F4F6E"/>
    <w:rsid w:val="007F659E"/>
    <w:rsid w:val="007F6AEE"/>
    <w:rsid w:val="00800403"/>
    <w:rsid w:val="00801970"/>
    <w:rsid w:val="008048D1"/>
    <w:rsid w:val="008055A6"/>
    <w:rsid w:val="00807032"/>
    <w:rsid w:val="0081517D"/>
    <w:rsid w:val="00817D27"/>
    <w:rsid w:val="008204F5"/>
    <w:rsid w:val="00821650"/>
    <w:rsid w:val="00822DF2"/>
    <w:rsid w:val="008230DE"/>
    <w:rsid w:val="008243A4"/>
    <w:rsid w:val="00826ACE"/>
    <w:rsid w:val="00827E77"/>
    <w:rsid w:val="00831360"/>
    <w:rsid w:val="0083332E"/>
    <w:rsid w:val="008343E5"/>
    <w:rsid w:val="00840472"/>
    <w:rsid w:val="008436B5"/>
    <w:rsid w:val="00847C9F"/>
    <w:rsid w:val="008514F6"/>
    <w:rsid w:val="00851A36"/>
    <w:rsid w:val="00852668"/>
    <w:rsid w:val="00852752"/>
    <w:rsid w:val="00854706"/>
    <w:rsid w:val="00855AA8"/>
    <w:rsid w:val="00856BC8"/>
    <w:rsid w:val="008674F7"/>
    <w:rsid w:val="00870A07"/>
    <w:rsid w:val="00872644"/>
    <w:rsid w:val="008744C5"/>
    <w:rsid w:val="00874A20"/>
    <w:rsid w:val="00875615"/>
    <w:rsid w:val="00876AA6"/>
    <w:rsid w:val="0088565D"/>
    <w:rsid w:val="0089338B"/>
    <w:rsid w:val="00893D5E"/>
    <w:rsid w:val="00893F82"/>
    <w:rsid w:val="00895991"/>
    <w:rsid w:val="008A09C8"/>
    <w:rsid w:val="008A3ABE"/>
    <w:rsid w:val="008A41F1"/>
    <w:rsid w:val="008A63A0"/>
    <w:rsid w:val="008A6597"/>
    <w:rsid w:val="008A78CD"/>
    <w:rsid w:val="008B2CDC"/>
    <w:rsid w:val="008B4597"/>
    <w:rsid w:val="008B7729"/>
    <w:rsid w:val="008C00F7"/>
    <w:rsid w:val="008C43CB"/>
    <w:rsid w:val="008C4DB5"/>
    <w:rsid w:val="008D44FA"/>
    <w:rsid w:val="008E2CD4"/>
    <w:rsid w:val="008E395E"/>
    <w:rsid w:val="008E7E02"/>
    <w:rsid w:val="008F099F"/>
    <w:rsid w:val="008F33B6"/>
    <w:rsid w:val="008F4CDB"/>
    <w:rsid w:val="008F5648"/>
    <w:rsid w:val="00900FD9"/>
    <w:rsid w:val="00907716"/>
    <w:rsid w:val="00910EDA"/>
    <w:rsid w:val="00920E79"/>
    <w:rsid w:val="00922F4D"/>
    <w:rsid w:val="0092731A"/>
    <w:rsid w:val="00937742"/>
    <w:rsid w:val="009443AA"/>
    <w:rsid w:val="009508DD"/>
    <w:rsid w:val="009545C5"/>
    <w:rsid w:val="00956887"/>
    <w:rsid w:val="00966225"/>
    <w:rsid w:val="00966256"/>
    <w:rsid w:val="00971C0D"/>
    <w:rsid w:val="00971DB2"/>
    <w:rsid w:val="00972984"/>
    <w:rsid w:val="00976B5C"/>
    <w:rsid w:val="00982510"/>
    <w:rsid w:val="0098566A"/>
    <w:rsid w:val="009859E0"/>
    <w:rsid w:val="00986B6B"/>
    <w:rsid w:val="00986D37"/>
    <w:rsid w:val="00993400"/>
    <w:rsid w:val="00993AA0"/>
    <w:rsid w:val="009A0085"/>
    <w:rsid w:val="009A1C60"/>
    <w:rsid w:val="009B0782"/>
    <w:rsid w:val="009B24FB"/>
    <w:rsid w:val="009B2D0E"/>
    <w:rsid w:val="009B6360"/>
    <w:rsid w:val="009C7425"/>
    <w:rsid w:val="009D10B7"/>
    <w:rsid w:val="009D11CB"/>
    <w:rsid w:val="009D2C2B"/>
    <w:rsid w:val="009D38AB"/>
    <w:rsid w:val="009F289E"/>
    <w:rsid w:val="009F2E0D"/>
    <w:rsid w:val="009F3FD6"/>
    <w:rsid w:val="00A01F77"/>
    <w:rsid w:val="00A021BD"/>
    <w:rsid w:val="00A02242"/>
    <w:rsid w:val="00A07E35"/>
    <w:rsid w:val="00A206FB"/>
    <w:rsid w:val="00A32F1C"/>
    <w:rsid w:val="00A42373"/>
    <w:rsid w:val="00A425A4"/>
    <w:rsid w:val="00A43BA9"/>
    <w:rsid w:val="00A5274D"/>
    <w:rsid w:val="00A5515C"/>
    <w:rsid w:val="00A56C72"/>
    <w:rsid w:val="00A60DB7"/>
    <w:rsid w:val="00A62016"/>
    <w:rsid w:val="00A62AEB"/>
    <w:rsid w:val="00A64D5E"/>
    <w:rsid w:val="00A65525"/>
    <w:rsid w:val="00A6638D"/>
    <w:rsid w:val="00A676FE"/>
    <w:rsid w:val="00A67DB6"/>
    <w:rsid w:val="00A827AE"/>
    <w:rsid w:val="00A90CFE"/>
    <w:rsid w:val="00A914EF"/>
    <w:rsid w:val="00A921B7"/>
    <w:rsid w:val="00A9348D"/>
    <w:rsid w:val="00A97137"/>
    <w:rsid w:val="00A975DC"/>
    <w:rsid w:val="00AB04DC"/>
    <w:rsid w:val="00AB1D38"/>
    <w:rsid w:val="00AB1FF7"/>
    <w:rsid w:val="00AB3447"/>
    <w:rsid w:val="00AB3A69"/>
    <w:rsid w:val="00AC38FF"/>
    <w:rsid w:val="00AC5805"/>
    <w:rsid w:val="00AD124C"/>
    <w:rsid w:val="00AD1B15"/>
    <w:rsid w:val="00AD529C"/>
    <w:rsid w:val="00AD7A7D"/>
    <w:rsid w:val="00AE344B"/>
    <w:rsid w:val="00AE46EA"/>
    <w:rsid w:val="00AE6F1C"/>
    <w:rsid w:val="00AF15F6"/>
    <w:rsid w:val="00AF4A7A"/>
    <w:rsid w:val="00AF581E"/>
    <w:rsid w:val="00AF6B9F"/>
    <w:rsid w:val="00AF7255"/>
    <w:rsid w:val="00B009BD"/>
    <w:rsid w:val="00B00A61"/>
    <w:rsid w:val="00B06B99"/>
    <w:rsid w:val="00B102E3"/>
    <w:rsid w:val="00B11F24"/>
    <w:rsid w:val="00B12224"/>
    <w:rsid w:val="00B14B7F"/>
    <w:rsid w:val="00B1638F"/>
    <w:rsid w:val="00B170A6"/>
    <w:rsid w:val="00B17616"/>
    <w:rsid w:val="00B21296"/>
    <w:rsid w:val="00B21A22"/>
    <w:rsid w:val="00B229CA"/>
    <w:rsid w:val="00B30863"/>
    <w:rsid w:val="00B358B4"/>
    <w:rsid w:val="00B364EB"/>
    <w:rsid w:val="00B43A03"/>
    <w:rsid w:val="00B44185"/>
    <w:rsid w:val="00B444F6"/>
    <w:rsid w:val="00B46AA3"/>
    <w:rsid w:val="00B47E41"/>
    <w:rsid w:val="00B50C95"/>
    <w:rsid w:val="00B525BC"/>
    <w:rsid w:val="00B64EF9"/>
    <w:rsid w:val="00B666EC"/>
    <w:rsid w:val="00B669B5"/>
    <w:rsid w:val="00B71F44"/>
    <w:rsid w:val="00B73420"/>
    <w:rsid w:val="00B73A03"/>
    <w:rsid w:val="00B7507C"/>
    <w:rsid w:val="00B750DD"/>
    <w:rsid w:val="00B80694"/>
    <w:rsid w:val="00B8108A"/>
    <w:rsid w:val="00B816FB"/>
    <w:rsid w:val="00B85286"/>
    <w:rsid w:val="00B86334"/>
    <w:rsid w:val="00B86816"/>
    <w:rsid w:val="00BA23ED"/>
    <w:rsid w:val="00BA7A40"/>
    <w:rsid w:val="00BB2F1F"/>
    <w:rsid w:val="00BC2D2D"/>
    <w:rsid w:val="00BC4A59"/>
    <w:rsid w:val="00BC582E"/>
    <w:rsid w:val="00BC6BF6"/>
    <w:rsid w:val="00BD0786"/>
    <w:rsid w:val="00BD0D65"/>
    <w:rsid w:val="00BE3E9E"/>
    <w:rsid w:val="00BE6714"/>
    <w:rsid w:val="00BF1D33"/>
    <w:rsid w:val="00BF4F2E"/>
    <w:rsid w:val="00BF5A79"/>
    <w:rsid w:val="00BF60D1"/>
    <w:rsid w:val="00BF736E"/>
    <w:rsid w:val="00C011AE"/>
    <w:rsid w:val="00C0127A"/>
    <w:rsid w:val="00C11B7B"/>
    <w:rsid w:val="00C15848"/>
    <w:rsid w:val="00C15C91"/>
    <w:rsid w:val="00C21F29"/>
    <w:rsid w:val="00C222D2"/>
    <w:rsid w:val="00C240E4"/>
    <w:rsid w:val="00C2499F"/>
    <w:rsid w:val="00C271A6"/>
    <w:rsid w:val="00C338FC"/>
    <w:rsid w:val="00C33C13"/>
    <w:rsid w:val="00C341FA"/>
    <w:rsid w:val="00C374FA"/>
    <w:rsid w:val="00C376EA"/>
    <w:rsid w:val="00C47AB3"/>
    <w:rsid w:val="00C51427"/>
    <w:rsid w:val="00C524CB"/>
    <w:rsid w:val="00C52F2A"/>
    <w:rsid w:val="00C559AB"/>
    <w:rsid w:val="00C61955"/>
    <w:rsid w:val="00C65450"/>
    <w:rsid w:val="00C716A9"/>
    <w:rsid w:val="00C74505"/>
    <w:rsid w:val="00C75802"/>
    <w:rsid w:val="00C7690F"/>
    <w:rsid w:val="00C80E72"/>
    <w:rsid w:val="00C83DF6"/>
    <w:rsid w:val="00C849DE"/>
    <w:rsid w:val="00C8594F"/>
    <w:rsid w:val="00C85B6D"/>
    <w:rsid w:val="00C9631B"/>
    <w:rsid w:val="00CA0DFA"/>
    <w:rsid w:val="00CB4335"/>
    <w:rsid w:val="00CB4DCC"/>
    <w:rsid w:val="00CC01ED"/>
    <w:rsid w:val="00CC6B91"/>
    <w:rsid w:val="00CD002D"/>
    <w:rsid w:val="00CD150C"/>
    <w:rsid w:val="00CD428D"/>
    <w:rsid w:val="00CD5C09"/>
    <w:rsid w:val="00CE06DC"/>
    <w:rsid w:val="00CE5136"/>
    <w:rsid w:val="00CE6EBD"/>
    <w:rsid w:val="00CE701B"/>
    <w:rsid w:val="00CE725D"/>
    <w:rsid w:val="00CF0CB4"/>
    <w:rsid w:val="00CF0ED5"/>
    <w:rsid w:val="00CF3E33"/>
    <w:rsid w:val="00CF7E73"/>
    <w:rsid w:val="00D016F7"/>
    <w:rsid w:val="00D019F0"/>
    <w:rsid w:val="00D10353"/>
    <w:rsid w:val="00D10F20"/>
    <w:rsid w:val="00D125BB"/>
    <w:rsid w:val="00D12B1A"/>
    <w:rsid w:val="00D17023"/>
    <w:rsid w:val="00D27705"/>
    <w:rsid w:val="00D320BD"/>
    <w:rsid w:val="00D366B7"/>
    <w:rsid w:val="00D41771"/>
    <w:rsid w:val="00D42942"/>
    <w:rsid w:val="00D42B93"/>
    <w:rsid w:val="00D42E99"/>
    <w:rsid w:val="00D433E8"/>
    <w:rsid w:val="00D44FC3"/>
    <w:rsid w:val="00D51A0B"/>
    <w:rsid w:val="00D52190"/>
    <w:rsid w:val="00D5502F"/>
    <w:rsid w:val="00D6319B"/>
    <w:rsid w:val="00D65BA9"/>
    <w:rsid w:val="00D66087"/>
    <w:rsid w:val="00D679C7"/>
    <w:rsid w:val="00D67C81"/>
    <w:rsid w:val="00D7143E"/>
    <w:rsid w:val="00D72F71"/>
    <w:rsid w:val="00D74FA1"/>
    <w:rsid w:val="00D77615"/>
    <w:rsid w:val="00D82B9B"/>
    <w:rsid w:val="00D83691"/>
    <w:rsid w:val="00D85BC7"/>
    <w:rsid w:val="00D86857"/>
    <w:rsid w:val="00D87350"/>
    <w:rsid w:val="00D9025F"/>
    <w:rsid w:val="00D93135"/>
    <w:rsid w:val="00D94FCC"/>
    <w:rsid w:val="00D963B6"/>
    <w:rsid w:val="00DA20F0"/>
    <w:rsid w:val="00DA2FBC"/>
    <w:rsid w:val="00DA3C7B"/>
    <w:rsid w:val="00DA4BC9"/>
    <w:rsid w:val="00DA6CF8"/>
    <w:rsid w:val="00DB01B7"/>
    <w:rsid w:val="00DB15F7"/>
    <w:rsid w:val="00DB1613"/>
    <w:rsid w:val="00DB30B2"/>
    <w:rsid w:val="00DB43A5"/>
    <w:rsid w:val="00DB6345"/>
    <w:rsid w:val="00DB6688"/>
    <w:rsid w:val="00DB7EB0"/>
    <w:rsid w:val="00DC4677"/>
    <w:rsid w:val="00DC73E7"/>
    <w:rsid w:val="00DC79BE"/>
    <w:rsid w:val="00DD1F27"/>
    <w:rsid w:val="00DD4188"/>
    <w:rsid w:val="00DD7658"/>
    <w:rsid w:val="00DE06D6"/>
    <w:rsid w:val="00DE0755"/>
    <w:rsid w:val="00DE27F8"/>
    <w:rsid w:val="00DE3FCA"/>
    <w:rsid w:val="00E03DC5"/>
    <w:rsid w:val="00E13B6D"/>
    <w:rsid w:val="00E13EF2"/>
    <w:rsid w:val="00E15079"/>
    <w:rsid w:val="00E164E7"/>
    <w:rsid w:val="00E248A8"/>
    <w:rsid w:val="00E24DE9"/>
    <w:rsid w:val="00E269BA"/>
    <w:rsid w:val="00E27BF2"/>
    <w:rsid w:val="00E31D32"/>
    <w:rsid w:val="00E37B8A"/>
    <w:rsid w:val="00E41763"/>
    <w:rsid w:val="00E41E24"/>
    <w:rsid w:val="00E43B72"/>
    <w:rsid w:val="00E47FD6"/>
    <w:rsid w:val="00E50443"/>
    <w:rsid w:val="00E51368"/>
    <w:rsid w:val="00E514E0"/>
    <w:rsid w:val="00E5433B"/>
    <w:rsid w:val="00E560A7"/>
    <w:rsid w:val="00E61592"/>
    <w:rsid w:val="00E6422C"/>
    <w:rsid w:val="00E672F5"/>
    <w:rsid w:val="00E673CD"/>
    <w:rsid w:val="00E67880"/>
    <w:rsid w:val="00E7225C"/>
    <w:rsid w:val="00E735BC"/>
    <w:rsid w:val="00E73BFC"/>
    <w:rsid w:val="00E754AE"/>
    <w:rsid w:val="00E8551B"/>
    <w:rsid w:val="00E90033"/>
    <w:rsid w:val="00E95437"/>
    <w:rsid w:val="00E96406"/>
    <w:rsid w:val="00E9706E"/>
    <w:rsid w:val="00EA1DC2"/>
    <w:rsid w:val="00EA43B7"/>
    <w:rsid w:val="00EA7004"/>
    <w:rsid w:val="00EB00E1"/>
    <w:rsid w:val="00EB17DE"/>
    <w:rsid w:val="00EB1AD7"/>
    <w:rsid w:val="00EB2155"/>
    <w:rsid w:val="00EB3C38"/>
    <w:rsid w:val="00EB4DBD"/>
    <w:rsid w:val="00EC1359"/>
    <w:rsid w:val="00EC31A6"/>
    <w:rsid w:val="00EC6294"/>
    <w:rsid w:val="00EC7A22"/>
    <w:rsid w:val="00ED0F1E"/>
    <w:rsid w:val="00EE059F"/>
    <w:rsid w:val="00EE4E1E"/>
    <w:rsid w:val="00EE6236"/>
    <w:rsid w:val="00EE7386"/>
    <w:rsid w:val="00EF1499"/>
    <w:rsid w:val="00EF35B2"/>
    <w:rsid w:val="00EF36DA"/>
    <w:rsid w:val="00EF4841"/>
    <w:rsid w:val="00EF49FB"/>
    <w:rsid w:val="00EF61C9"/>
    <w:rsid w:val="00F03BE8"/>
    <w:rsid w:val="00F044EF"/>
    <w:rsid w:val="00F050E9"/>
    <w:rsid w:val="00F0719B"/>
    <w:rsid w:val="00F1405D"/>
    <w:rsid w:val="00F144D8"/>
    <w:rsid w:val="00F173C1"/>
    <w:rsid w:val="00F17537"/>
    <w:rsid w:val="00F2544E"/>
    <w:rsid w:val="00F27A9E"/>
    <w:rsid w:val="00F31012"/>
    <w:rsid w:val="00F32DCA"/>
    <w:rsid w:val="00F33A51"/>
    <w:rsid w:val="00F33BCB"/>
    <w:rsid w:val="00F35386"/>
    <w:rsid w:val="00F361F7"/>
    <w:rsid w:val="00F37DAB"/>
    <w:rsid w:val="00F45784"/>
    <w:rsid w:val="00F54435"/>
    <w:rsid w:val="00F54721"/>
    <w:rsid w:val="00F56C18"/>
    <w:rsid w:val="00F579E6"/>
    <w:rsid w:val="00F606B4"/>
    <w:rsid w:val="00F60A8C"/>
    <w:rsid w:val="00F652A0"/>
    <w:rsid w:val="00F71333"/>
    <w:rsid w:val="00F72B8A"/>
    <w:rsid w:val="00F733D1"/>
    <w:rsid w:val="00F76898"/>
    <w:rsid w:val="00F854A2"/>
    <w:rsid w:val="00F90638"/>
    <w:rsid w:val="00F9603C"/>
    <w:rsid w:val="00F96644"/>
    <w:rsid w:val="00FA0787"/>
    <w:rsid w:val="00FA3790"/>
    <w:rsid w:val="00FB141D"/>
    <w:rsid w:val="00FB4FED"/>
    <w:rsid w:val="00FB7444"/>
    <w:rsid w:val="00FB75E4"/>
    <w:rsid w:val="00FC0D5F"/>
    <w:rsid w:val="00FC3285"/>
    <w:rsid w:val="00FC6EC0"/>
    <w:rsid w:val="00FD388D"/>
    <w:rsid w:val="00FE4D79"/>
    <w:rsid w:val="00FE50C9"/>
    <w:rsid w:val="00FE6713"/>
    <w:rsid w:val="00FE6A5A"/>
    <w:rsid w:val="00FE7554"/>
    <w:rsid w:val="00FF11B0"/>
    <w:rsid w:val="00FF1624"/>
    <w:rsid w:val="00FF1966"/>
    <w:rsid w:val="00FF3FEB"/>
    <w:rsid w:val="00FF67AE"/>
    <w:rsid w:val="00FF715E"/>
    <w:rsid w:val="01B93F77"/>
    <w:rsid w:val="01D20695"/>
    <w:rsid w:val="039B46FF"/>
    <w:rsid w:val="04073203"/>
    <w:rsid w:val="046C31A4"/>
    <w:rsid w:val="06B16ADD"/>
    <w:rsid w:val="082C723D"/>
    <w:rsid w:val="087B1631"/>
    <w:rsid w:val="090460C5"/>
    <w:rsid w:val="0941554B"/>
    <w:rsid w:val="0A133E84"/>
    <w:rsid w:val="0BF41AF2"/>
    <w:rsid w:val="0C40215D"/>
    <w:rsid w:val="0CFD4E74"/>
    <w:rsid w:val="0D821B4C"/>
    <w:rsid w:val="0E857111"/>
    <w:rsid w:val="0EEC2FFB"/>
    <w:rsid w:val="0F1023F8"/>
    <w:rsid w:val="0F2D097A"/>
    <w:rsid w:val="10C57233"/>
    <w:rsid w:val="127039FD"/>
    <w:rsid w:val="15026BF7"/>
    <w:rsid w:val="184957D7"/>
    <w:rsid w:val="18ED4FD8"/>
    <w:rsid w:val="1A5A0F83"/>
    <w:rsid w:val="1B625407"/>
    <w:rsid w:val="1BCD22A3"/>
    <w:rsid w:val="1CC449EE"/>
    <w:rsid w:val="1D293D92"/>
    <w:rsid w:val="1D695934"/>
    <w:rsid w:val="1E0572E4"/>
    <w:rsid w:val="1E2A0371"/>
    <w:rsid w:val="1E8A0861"/>
    <w:rsid w:val="1F38206B"/>
    <w:rsid w:val="1F39532A"/>
    <w:rsid w:val="1F932500"/>
    <w:rsid w:val="209F52B9"/>
    <w:rsid w:val="21953B19"/>
    <w:rsid w:val="21A13378"/>
    <w:rsid w:val="2232017D"/>
    <w:rsid w:val="228C50A0"/>
    <w:rsid w:val="2514056A"/>
    <w:rsid w:val="253604E7"/>
    <w:rsid w:val="253D00AD"/>
    <w:rsid w:val="2619693E"/>
    <w:rsid w:val="27D14773"/>
    <w:rsid w:val="27DB2255"/>
    <w:rsid w:val="298E71C2"/>
    <w:rsid w:val="2A692A82"/>
    <w:rsid w:val="2A6B6334"/>
    <w:rsid w:val="2B253F3C"/>
    <w:rsid w:val="2E1A242E"/>
    <w:rsid w:val="2E294A91"/>
    <w:rsid w:val="2E386967"/>
    <w:rsid w:val="2E612F14"/>
    <w:rsid w:val="2E902D4D"/>
    <w:rsid w:val="2EC00C3A"/>
    <w:rsid w:val="30E27286"/>
    <w:rsid w:val="317C672F"/>
    <w:rsid w:val="33543E57"/>
    <w:rsid w:val="34FA0097"/>
    <w:rsid w:val="35380BBF"/>
    <w:rsid w:val="358B6F41"/>
    <w:rsid w:val="35CC4711"/>
    <w:rsid w:val="36112941"/>
    <w:rsid w:val="36F9612C"/>
    <w:rsid w:val="36FB264A"/>
    <w:rsid w:val="37FC608E"/>
    <w:rsid w:val="380356E1"/>
    <w:rsid w:val="38A32C62"/>
    <w:rsid w:val="38C41EFC"/>
    <w:rsid w:val="3A6A181A"/>
    <w:rsid w:val="3CD61426"/>
    <w:rsid w:val="3E7C195D"/>
    <w:rsid w:val="3F0B5B5B"/>
    <w:rsid w:val="3FD12AA3"/>
    <w:rsid w:val="40245174"/>
    <w:rsid w:val="43A21908"/>
    <w:rsid w:val="447F5EC2"/>
    <w:rsid w:val="44895F78"/>
    <w:rsid w:val="45116316"/>
    <w:rsid w:val="45D814A9"/>
    <w:rsid w:val="46D63FB4"/>
    <w:rsid w:val="47273282"/>
    <w:rsid w:val="47BF153E"/>
    <w:rsid w:val="47D31486"/>
    <w:rsid w:val="489F2E1F"/>
    <w:rsid w:val="48C60564"/>
    <w:rsid w:val="4B5E0C31"/>
    <w:rsid w:val="4B7B626D"/>
    <w:rsid w:val="4C0E789E"/>
    <w:rsid w:val="4C4A08D0"/>
    <w:rsid w:val="4C6807BE"/>
    <w:rsid w:val="4C8F4ECC"/>
    <w:rsid w:val="4DFA3B8B"/>
    <w:rsid w:val="4FC04FA2"/>
    <w:rsid w:val="50716C98"/>
    <w:rsid w:val="50D457E8"/>
    <w:rsid w:val="50FD1198"/>
    <w:rsid w:val="51187F34"/>
    <w:rsid w:val="513D4EA5"/>
    <w:rsid w:val="52B66476"/>
    <w:rsid w:val="541D74A6"/>
    <w:rsid w:val="54DA7A86"/>
    <w:rsid w:val="555420C8"/>
    <w:rsid w:val="555F46EB"/>
    <w:rsid w:val="56CE2D52"/>
    <w:rsid w:val="5B7333DE"/>
    <w:rsid w:val="5B8F0C89"/>
    <w:rsid w:val="5BB44C81"/>
    <w:rsid w:val="5CA47B63"/>
    <w:rsid w:val="5CEF3915"/>
    <w:rsid w:val="5D0266BB"/>
    <w:rsid w:val="5D0C3EE4"/>
    <w:rsid w:val="5E6C74CA"/>
    <w:rsid w:val="5F3B6A32"/>
    <w:rsid w:val="5FC20C8C"/>
    <w:rsid w:val="60BC655E"/>
    <w:rsid w:val="627866F2"/>
    <w:rsid w:val="63304B00"/>
    <w:rsid w:val="637C38A9"/>
    <w:rsid w:val="63D274BB"/>
    <w:rsid w:val="648D7855"/>
    <w:rsid w:val="64E70858"/>
    <w:rsid w:val="65E6756F"/>
    <w:rsid w:val="67BE7815"/>
    <w:rsid w:val="682A513E"/>
    <w:rsid w:val="683F16C8"/>
    <w:rsid w:val="68452F01"/>
    <w:rsid w:val="68DE109F"/>
    <w:rsid w:val="69304602"/>
    <w:rsid w:val="69E67492"/>
    <w:rsid w:val="6A875C5B"/>
    <w:rsid w:val="6BD149A6"/>
    <w:rsid w:val="6D5663ED"/>
    <w:rsid w:val="6D942FA1"/>
    <w:rsid w:val="70BB1961"/>
    <w:rsid w:val="70D17B7A"/>
    <w:rsid w:val="724B4E84"/>
    <w:rsid w:val="72544ED6"/>
    <w:rsid w:val="72903472"/>
    <w:rsid w:val="745148D6"/>
    <w:rsid w:val="74912E09"/>
    <w:rsid w:val="74B70B38"/>
    <w:rsid w:val="75E34125"/>
    <w:rsid w:val="7616320C"/>
    <w:rsid w:val="763C2C36"/>
    <w:rsid w:val="77393B4E"/>
    <w:rsid w:val="78C171F1"/>
    <w:rsid w:val="78D27468"/>
    <w:rsid w:val="797B6622"/>
    <w:rsid w:val="79B50E56"/>
    <w:rsid w:val="79F674FE"/>
    <w:rsid w:val="79FC3536"/>
    <w:rsid w:val="7A806F5C"/>
    <w:rsid w:val="7C065A34"/>
    <w:rsid w:val="7DA72FBA"/>
    <w:rsid w:val="7DE70DFE"/>
    <w:rsid w:val="7E89554E"/>
    <w:rsid w:val="7EF912D0"/>
    <w:rsid w:val="7FA64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60" w:after="360"/>
      <w:jc w:val="center"/>
      <w:textAlignment w:val="baseline"/>
      <w:outlineLvl w:val="0"/>
    </w:pPr>
    <w:rPr>
      <w:rFonts w:ascii="宋体" w:hAnsi="宋体"/>
      <w:b/>
      <w:kern w:val="44"/>
      <w:sz w:val="44"/>
      <w:szCs w:val="44"/>
    </w:rPr>
  </w:style>
  <w:style w:type="paragraph" w:styleId="5">
    <w:name w:val="heading 2"/>
    <w:basedOn w:val="1"/>
    <w:next w:val="1"/>
    <w:link w:val="47"/>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6">
    <w:name w:val="heading 3"/>
    <w:basedOn w:val="1"/>
    <w:next w:val="1"/>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7">
    <w:name w:val="heading 4"/>
    <w:basedOn w:val="1"/>
    <w:next w:val="1"/>
    <w:qFormat/>
    <w:uiPriority w:val="0"/>
    <w:pPr>
      <w:widowControl/>
      <w:spacing w:before="100" w:beforeAutospacing="1" w:after="100" w:afterAutospacing="1"/>
      <w:jc w:val="center"/>
      <w:outlineLvl w:val="3"/>
    </w:pPr>
    <w:rPr>
      <w:rFonts w:ascii="宋体" w:hAnsi="宋体" w:cs="宋体"/>
      <w:b/>
      <w:bCs/>
      <w:kern w:val="0"/>
      <w:sz w:val="24"/>
    </w:rPr>
  </w:style>
  <w:style w:type="paragraph" w:styleId="8">
    <w:name w:val="heading 5"/>
    <w:basedOn w:val="1"/>
    <w:next w:val="9"/>
    <w:qFormat/>
    <w:uiPriority w:val="0"/>
    <w:pPr>
      <w:keepNext/>
      <w:keepLines/>
      <w:tabs>
        <w:tab w:val="left" w:pos="312"/>
      </w:tabs>
      <w:spacing w:before="280" w:after="290" w:line="372" w:lineRule="auto"/>
      <w:outlineLvl w:val="4"/>
    </w:pPr>
    <w:rPr>
      <w:b/>
      <w:sz w:val="28"/>
      <w:szCs w:val="20"/>
    </w:rPr>
  </w:style>
  <w:style w:type="paragraph" w:styleId="10">
    <w:name w:val="heading 6"/>
    <w:basedOn w:val="1"/>
    <w:next w:val="9"/>
    <w:qFormat/>
    <w:uiPriority w:val="0"/>
    <w:pPr>
      <w:keepNext/>
      <w:keepLines/>
      <w:tabs>
        <w:tab w:val="left" w:pos="312"/>
      </w:tabs>
      <w:spacing w:before="240" w:after="64" w:line="317" w:lineRule="auto"/>
      <w:outlineLvl w:val="5"/>
    </w:pPr>
    <w:rPr>
      <w:rFonts w:ascii="Arial" w:hAnsi="Arial" w:eastAsia="黑体"/>
      <w:b/>
      <w:sz w:val="24"/>
      <w:szCs w:val="20"/>
    </w:rPr>
  </w:style>
  <w:style w:type="paragraph" w:styleId="11">
    <w:name w:val="heading 7"/>
    <w:basedOn w:val="1"/>
    <w:next w:val="9"/>
    <w:qFormat/>
    <w:uiPriority w:val="0"/>
    <w:pPr>
      <w:keepNext/>
      <w:keepLines/>
      <w:tabs>
        <w:tab w:val="left" w:pos="312"/>
      </w:tabs>
      <w:spacing w:before="240" w:after="64" w:line="317" w:lineRule="auto"/>
      <w:outlineLvl w:val="6"/>
    </w:pPr>
    <w:rPr>
      <w:b/>
      <w:sz w:val="24"/>
      <w:szCs w:val="20"/>
    </w:rPr>
  </w:style>
  <w:style w:type="paragraph" w:styleId="12">
    <w:name w:val="heading 8"/>
    <w:basedOn w:val="1"/>
    <w:next w:val="9"/>
    <w:qFormat/>
    <w:uiPriority w:val="0"/>
    <w:pPr>
      <w:keepNext/>
      <w:keepLines/>
      <w:tabs>
        <w:tab w:val="left" w:pos="312"/>
      </w:tabs>
      <w:spacing w:before="240" w:after="64" w:line="317" w:lineRule="auto"/>
      <w:outlineLvl w:val="7"/>
    </w:pPr>
    <w:rPr>
      <w:rFonts w:ascii="Arial" w:hAnsi="Arial" w:eastAsia="黑体"/>
      <w:sz w:val="24"/>
      <w:szCs w:val="20"/>
    </w:rPr>
  </w:style>
  <w:style w:type="paragraph" w:styleId="13">
    <w:name w:val="heading 9"/>
    <w:basedOn w:val="1"/>
    <w:next w:val="9"/>
    <w:qFormat/>
    <w:uiPriority w:val="0"/>
    <w:pPr>
      <w:keepNext/>
      <w:keepLines/>
      <w:tabs>
        <w:tab w:val="left" w:pos="312"/>
      </w:tabs>
      <w:spacing w:before="240" w:after="64" w:line="317"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0"/>
    <w:qFormat/>
    <w:uiPriority w:val="0"/>
    <w:pPr>
      <w:autoSpaceDE w:val="0"/>
      <w:autoSpaceDN w:val="0"/>
      <w:spacing w:line="360" w:lineRule="auto"/>
      <w:ind w:left="181" w:firstLine="539"/>
    </w:pPr>
    <w:rPr>
      <w:sz w:val="24"/>
      <w:szCs w:val="20"/>
    </w:rPr>
  </w:style>
  <w:style w:type="paragraph" w:styleId="3">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9">
    <w:name w:val="Normal Indent"/>
    <w:basedOn w:val="1"/>
    <w:link w:val="48"/>
    <w:qFormat/>
    <w:uiPriority w:val="0"/>
    <w:pPr>
      <w:autoSpaceDE w:val="0"/>
      <w:autoSpaceDN w:val="0"/>
      <w:spacing w:line="360" w:lineRule="auto"/>
      <w:ind w:left="181" w:firstLine="420"/>
    </w:pPr>
    <w:rPr>
      <w:sz w:val="24"/>
      <w:szCs w:val="20"/>
    </w:rPr>
  </w:style>
  <w:style w:type="paragraph" w:styleId="14">
    <w:name w:val="caption"/>
    <w:basedOn w:val="1"/>
    <w:next w:val="1"/>
    <w:qFormat/>
    <w:uiPriority w:val="0"/>
    <w:pPr>
      <w:spacing w:before="240" w:after="240" w:line="360" w:lineRule="auto"/>
      <w:jc w:val="center"/>
    </w:pPr>
    <w:rPr>
      <w:rFonts w:ascii="Arial" w:hAnsi="Arial" w:eastAsia="黑体"/>
      <w:sz w:val="24"/>
      <w:szCs w:val="20"/>
    </w:rPr>
  </w:style>
  <w:style w:type="paragraph" w:styleId="15">
    <w:name w:val="Document Map"/>
    <w:basedOn w:val="1"/>
    <w:qFormat/>
    <w:uiPriority w:val="0"/>
    <w:pPr>
      <w:shd w:val="clear" w:color="auto" w:fill="000080"/>
    </w:pPr>
  </w:style>
  <w:style w:type="paragraph" w:styleId="16">
    <w:name w:val="annotation text"/>
    <w:basedOn w:val="1"/>
    <w:link w:val="49"/>
    <w:qFormat/>
    <w:uiPriority w:val="99"/>
    <w:pPr>
      <w:jc w:val="left"/>
    </w:pPr>
  </w:style>
  <w:style w:type="paragraph" w:styleId="17">
    <w:name w:val="Body Text 3"/>
    <w:basedOn w:val="1"/>
    <w:qFormat/>
    <w:uiPriority w:val="0"/>
    <w:pPr>
      <w:spacing w:line="240" w:lineRule="exact"/>
    </w:pPr>
    <w:rPr>
      <w:rFonts w:ascii="宋体" w:hAnsi="宋体"/>
      <w:sz w:val="18"/>
    </w:rPr>
  </w:style>
  <w:style w:type="paragraph" w:styleId="18">
    <w:name w:val="Body Text"/>
    <w:basedOn w:val="1"/>
    <w:qFormat/>
    <w:uiPriority w:val="0"/>
    <w:pPr>
      <w:spacing w:after="120"/>
    </w:pPr>
  </w:style>
  <w:style w:type="paragraph" w:styleId="19">
    <w:name w:val="Block Text"/>
    <w:basedOn w:val="1"/>
    <w:qFormat/>
    <w:uiPriority w:val="0"/>
    <w:pPr>
      <w:spacing w:after="120"/>
      <w:ind w:left="1440" w:leftChars="700" w:right="1440" w:rightChars="700"/>
    </w:pPr>
  </w:style>
  <w:style w:type="paragraph" w:styleId="20">
    <w:name w:val="toc 5"/>
    <w:basedOn w:val="1"/>
    <w:next w:val="1"/>
    <w:unhideWhenUsed/>
    <w:qFormat/>
    <w:uiPriority w:val="0"/>
    <w:pPr>
      <w:ind w:left="840"/>
    </w:pPr>
    <w:rPr>
      <w:sz w:val="18"/>
      <w:szCs w:val="18"/>
    </w:rPr>
  </w:style>
  <w:style w:type="paragraph" w:styleId="21">
    <w:name w:val="toc 3"/>
    <w:basedOn w:val="1"/>
    <w:next w:val="1"/>
    <w:qFormat/>
    <w:uiPriority w:val="0"/>
    <w:pPr>
      <w:ind w:left="420"/>
      <w:jc w:val="left"/>
    </w:pPr>
    <w:rPr>
      <w:i/>
      <w:iCs/>
    </w:rPr>
  </w:style>
  <w:style w:type="paragraph" w:styleId="22">
    <w:name w:val="Plain Text"/>
    <w:basedOn w:val="1"/>
    <w:link w:val="51"/>
    <w:qFormat/>
    <w:uiPriority w:val="99"/>
    <w:pPr>
      <w:spacing w:line="360" w:lineRule="auto"/>
    </w:pPr>
    <w:rPr>
      <w:rFonts w:ascii="宋体" w:hAnsi="Courier New"/>
      <w:spacing w:val="-8"/>
      <w:sz w:val="24"/>
      <w:szCs w:val="20"/>
    </w:rPr>
  </w:style>
  <w:style w:type="paragraph" w:styleId="23">
    <w:name w:val="Date"/>
    <w:basedOn w:val="1"/>
    <w:next w:val="1"/>
    <w:link w:val="52"/>
    <w:qFormat/>
    <w:uiPriority w:val="9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4">
    <w:name w:val="Body Text Indent 2"/>
    <w:basedOn w:val="1"/>
    <w:qFormat/>
    <w:uiPriority w:val="0"/>
    <w:pPr>
      <w:ind w:firstLine="540"/>
    </w:pPr>
    <w:rPr>
      <w:szCs w:val="20"/>
    </w:rPr>
  </w:style>
  <w:style w:type="paragraph" w:styleId="25">
    <w:name w:val="Balloon Text"/>
    <w:basedOn w:val="1"/>
    <w:link w:val="53"/>
    <w:qFormat/>
    <w:uiPriority w:val="0"/>
    <w:rPr>
      <w:sz w:val="18"/>
      <w:szCs w:val="18"/>
    </w:rPr>
  </w:style>
  <w:style w:type="paragraph" w:styleId="26">
    <w:name w:val="footer"/>
    <w:basedOn w:val="1"/>
    <w:link w:val="54"/>
    <w:qFormat/>
    <w:uiPriority w:val="99"/>
    <w:pPr>
      <w:tabs>
        <w:tab w:val="center" w:pos="4153"/>
        <w:tab w:val="right" w:pos="8306"/>
      </w:tabs>
      <w:snapToGrid w:val="0"/>
      <w:jc w:val="left"/>
    </w:pPr>
    <w:rPr>
      <w:sz w:val="18"/>
      <w:szCs w:val="20"/>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4320"/>
    </w:pPr>
    <w:rPr>
      <w:rFonts w:eastAsia="楷体_GB2312"/>
      <w:szCs w:val="20"/>
    </w:rPr>
  </w:style>
  <w:style w:type="paragraph" w:styleId="29">
    <w:name w:val="toc 1"/>
    <w:basedOn w:val="1"/>
    <w:next w:val="1"/>
    <w:qFormat/>
    <w:uiPriority w:val="0"/>
    <w:pPr>
      <w:spacing w:before="120" w:after="120"/>
      <w:jc w:val="left"/>
    </w:pPr>
    <w:rPr>
      <w:b/>
      <w:bCs/>
      <w:caps/>
    </w:rPr>
  </w:style>
  <w:style w:type="paragraph" w:styleId="30">
    <w:name w:val="Body Text Indent 3"/>
    <w:basedOn w:val="1"/>
    <w:qFormat/>
    <w:uiPriority w:val="0"/>
    <w:pPr>
      <w:ind w:firstLine="426"/>
    </w:pPr>
    <w:rPr>
      <w:szCs w:val="20"/>
    </w:rPr>
  </w:style>
  <w:style w:type="paragraph" w:styleId="31">
    <w:name w:val="Body Text 2"/>
    <w:basedOn w:val="1"/>
    <w:qFormat/>
    <w:uiPriority w:val="0"/>
    <w:rPr>
      <w:sz w:val="28"/>
      <w:szCs w:val="20"/>
    </w:rPr>
  </w:style>
  <w:style w:type="paragraph" w:styleId="3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36">
    <w:name w:val="annotation subject"/>
    <w:basedOn w:val="16"/>
    <w:next w:val="16"/>
    <w:link w:val="56"/>
    <w:qFormat/>
    <w:uiPriority w:val="0"/>
    <w:rPr>
      <w:b/>
      <w:bCs/>
    </w:rPr>
  </w:style>
  <w:style w:type="paragraph" w:styleId="37">
    <w:name w:val="Body Text First Indent"/>
    <w:basedOn w:val="18"/>
    <w:qFormat/>
    <w:uiPriority w:val="0"/>
    <w:pPr>
      <w:ind w:firstLine="420"/>
    </w:pPr>
    <w:rPr>
      <w:szCs w:val="20"/>
    </w:rPr>
  </w:style>
  <w:style w:type="paragraph" w:styleId="38">
    <w:name w:val="Body Text First Indent 2"/>
    <w:basedOn w:val="2"/>
    <w:link w:val="57"/>
    <w:qFormat/>
    <w:uiPriority w:val="0"/>
    <w:pPr>
      <w:autoSpaceDE/>
      <w:autoSpaceDN/>
      <w:spacing w:after="120" w:line="240" w:lineRule="auto"/>
      <w:ind w:left="420" w:leftChars="200" w:firstLine="420" w:firstLineChars="200"/>
    </w:pPr>
    <w:rPr>
      <w:sz w:val="21"/>
      <w:szCs w:val="24"/>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bCs/>
    </w:rPr>
  </w:style>
  <w:style w:type="character" w:styleId="43">
    <w:name w:val="page number"/>
    <w:qFormat/>
    <w:uiPriority w:val="0"/>
  </w:style>
  <w:style w:type="character" w:styleId="44">
    <w:name w:val="Emphasis"/>
    <w:qFormat/>
    <w:uiPriority w:val="20"/>
    <w:rPr>
      <w:i/>
      <w:iCs/>
    </w:rPr>
  </w:style>
  <w:style w:type="character" w:styleId="45">
    <w:name w:val="Hyperlink"/>
    <w:qFormat/>
    <w:uiPriority w:val="99"/>
    <w:rPr>
      <w:rFonts w:eastAsia="宋体"/>
      <w:color w:val="0000FF"/>
      <w:kern w:val="2"/>
      <w:sz w:val="24"/>
      <w:szCs w:val="24"/>
      <w:u w:val="single"/>
      <w:lang w:val="en-US" w:eastAsia="zh-CN" w:bidi="ar-SA"/>
    </w:rPr>
  </w:style>
  <w:style w:type="character" w:styleId="46">
    <w:name w:val="annotation reference"/>
    <w:qFormat/>
    <w:uiPriority w:val="0"/>
    <w:rPr>
      <w:sz w:val="21"/>
      <w:szCs w:val="21"/>
    </w:rPr>
  </w:style>
  <w:style w:type="character" w:customStyle="1" w:styleId="47">
    <w:name w:val="标题 2 字符"/>
    <w:link w:val="5"/>
    <w:qFormat/>
    <w:uiPriority w:val="0"/>
    <w:rPr>
      <w:rFonts w:ascii="Arial" w:hAnsi="Arial" w:eastAsia="黑体"/>
      <w:b/>
      <w:spacing w:val="24"/>
      <w:sz w:val="24"/>
      <w:lang w:val="en-US" w:eastAsia="zh-CN" w:bidi="ar-SA"/>
    </w:rPr>
  </w:style>
  <w:style w:type="character" w:customStyle="1" w:styleId="48">
    <w:name w:val="正文缩进 字符"/>
    <w:link w:val="9"/>
    <w:qFormat/>
    <w:uiPriority w:val="0"/>
    <w:rPr>
      <w:kern w:val="2"/>
      <w:sz w:val="24"/>
    </w:rPr>
  </w:style>
  <w:style w:type="character" w:customStyle="1" w:styleId="49">
    <w:name w:val="批注文字 字符"/>
    <w:link w:val="16"/>
    <w:qFormat/>
    <w:uiPriority w:val="99"/>
    <w:rPr>
      <w:rFonts w:eastAsia="宋体"/>
      <w:kern w:val="2"/>
      <w:sz w:val="21"/>
      <w:szCs w:val="24"/>
      <w:lang w:val="en-US" w:eastAsia="zh-CN" w:bidi="ar-SA"/>
    </w:rPr>
  </w:style>
  <w:style w:type="character" w:customStyle="1" w:styleId="50">
    <w:name w:val="正文文本缩进 字符"/>
    <w:link w:val="2"/>
    <w:qFormat/>
    <w:uiPriority w:val="0"/>
    <w:rPr>
      <w:kern w:val="2"/>
      <w:sz w:val="24"/>
    </w:rPr>
  </w:style>
  <w:style w:type="character" w:customStyle="1" w:styleId="51">
    <w:name w:val="纯文本 字符"/>
    <w:link w:val="22"/>
    <w:qFormat/>
    <w:uiPriority w:val="99"/>
    <w:rPr>
      <w:rFonts w:ascii="宋体" w:hAnsi="Courier New"/>
      <w:spacing w:val="-8"/>
      <w:kern w:val="2"/>
      <w:sz w:val="24"/>
    </w:rPr>
  </w:style>
  <w:style w:type="character" w:customStyle="1" w:styleId="52">
    <w:name w:val="日期 字符"/>
    <w:link w:val="23"/>
    <w:qFormat/>
    <w:uiPriority w:val="99"/>
    <w:rPr>
      <w:rFonts w:ascii="宋体" w:hAnsi="宋体"/>
      <w:sz w:val="24"/>
    </w:rPr>
  </w:style>
  <w:style w:type="character" w:customStyle="1" w:styleId="53">
    <w:name w:val="批注框文本 字符"/>
    <w:link w:val="25"/>
    <w:qFormat/>
    <w:uiPriority w:val="0"/>
    <w:rPr>
      <w:kern w:val="2"/>
      <w:sz w:val="18"/>
      <w:szCs w:val="18"/>
    </w:rPr>
  </w:style>
  <w:style w:type="character" w:customStyle="1" w:styleId="54">
    <w:name w:val="页脚 字符"/>
    <w:link w:val="26"/>
    <w:qFormat/>
    <w:uiPriority w:val="99"/>
    <w:rPr>
      <w:kern w:val="2"/>
      <w:sz w:val="18"/>
    </w:rPr>
  </w:style>
  <w:style w:type="character" w:customStyle="1" w:styleId="55">
    <w:name w:val="页眉 字符"/>
    <w:link w:val="27"/>
    <w:qFormat/>
    <w:uiPriority w:val="0"/>
    <w:rPr>
      <w:kern w:val="2"/>
      <w:sz w:val="18"/>
      <w:szCs w:val="18"/>
    </w:rPr>
  </w:style>
  <w:style w:type="character" w:customStyle="1" w:styleId="56">
    <w:name w:val="批注主题 字符"/>
    <w:link w:val="36"/>
    <w:qFormat/>
    <w:uiPriority w:val="0"/>
    <w:rPr>
      <w:rFonts w:eastAsia="宋体"/>
      <w:b/>
      <w:bCs/>
      <w:kern w:val="2"/>
      <w:sz w:val="21"/>
      <w:szCs w:val="24"/>
      <w:lang w:val="en-US" w:eastAsia="zh-CN" w:bidi="ar-SA"/>
    </w:rPr>
  </w:style>
  <w:style w:type="character" w:customStyle="1" w:styleId="57">
    <w:name w:val="正文文本首行缩进 2 字符"/>
    <w:basedOn w:val="50"/>
    <w:link w:val="38"/>
    <w:qFormat/>
    <w:uiPriority w:val="0"/>
    <w:rPr>
      <w:kern w:val="2"/>
      <w:sz w:val="21"/>
      <w:szCs w:val="24"/>
    </w:rPr>
  </w:style>
  <w:style w:type="paragraph" w:customStyle="1" w:styleId="58">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59">
    <w:name w:val="my正文 Char"/>
    <w:link w:val="60"/>
    <w:qFormat/>
    <w:uiPriority w:val="0"/>
    <w:rPr>
      <w:sz w:val="24"/>
      <w:szCs w:val="24"/>
    </w:rPr>
  </w:style>
  <w:style w:type="paragraph" w:customStyle="1" w:styleId="60">
    <w:name w:val="my正文"/>
    <w:basedOn w:val="1"/>
    <w:link w:val="59"/>
    <w:qFormat/>
    <w:uiPriority w:val="0"/>
    <w:pPr>
      <w:spacing w:line="360" w:lineRule="auto"/>
      <w:ind w:firstLine="200" w:firstLineChars="200"/>
    </w:pPr>
    <w:rPr>
      <w:kern w:val="0"/>
      <w:sz w:val="24"/>
    </w:rPr>
  </w:style>
  <w:style w:type="character" w:customStyle="1" w:styleId="61">
    <w:name w:val="font11"/>
    <w:qFormat/>
    <w:uiPriority w:val="0"/>
    <w:rPr>
      <w:rFonts w:hint="default" w:ascii="Times New Roman" w:hAnsi="Times New Roman" w:cs="Times New Roman"/>
      <w:color w:val="000000"/>
      <w:sz w:val="24"/>
      <w:szCs w:val="24"/>
      <w:u w:val="none"/>
    </w:rPr>
  </w:style>
  <w:style w:type="character" w:customStyle="1" w:styleId="62">
    <w:name w:val="NormalCharacter"/>
    <w:qFormat/>
    <w:uiPriority w:val="0"/>
  </w:style>
  <w:style w:type="character" w:customStyle="1" w:styleId="63">
    <w:name w:val="CSS1级正文 Char"/>
    <w:link w:val="64"/>
    <w:qFormat/>
    <w:uiPriority w:val="0"/>
    <w:rPr>
      <w:kern w:val="2"/>
      <w:sz w:val="21"/>
      <w:lang w:val="zh-CN"/>
    </w:rPr>
  </w:style>
  <w:style w:type="paragraph" w:customStyle="1" w:styleId="64">
    <w:name w:val="CSS1级正文"/>
    <w:basedOn w:val="18"/>
    <w:link w:val="63"/>
    <w:qFormat/>
    <w:uiPriority w:val="0"/>
    <w:pPr>
      <w:widowControl/>
      <w:spacing w:afterLines="100" w:line="360" w:lineRule="auto"/>
      <w:ind w:firstLine="480" w:firstLineChars="200"/>
      <w:jc w:val="left"/>
    </w:pPr>
    <w:rPr>
      <w:szCs w:val="20"/>
      <w:lang w:val="zh-CN"/>
    </w:rPr>
  </w:style>
  <w:style w:type="character" w:customStyle="1" w:styleId="65">
    <w:name w:val="普通文字 Char Char Char"/>
    <w:qFormat/>
    <w:uiPriority w:val="0"/>
    <w:rPr>
      <w:rFonts w:ascii="宋体" w:hAnsi="Courier New" w:eastAsia="宋体"/>
      <w:kern w:val="2"/>
      <w:sz w:val="21"/>
      <w:lang w:val="en-US" w:eastAsia="zh-CN" w:bidi="ar-SA"/>
    </w:rPr>
  </w:style>
  <w:style w:type="character" w:customStyle="1" w:styleId="66">
    <w:name w:val="文字 Char"/>
    <w:link w:val="67"/>
    <w:qFormat/>
    <w:uiPriority w:val="0"/>
    <w:rPr>
      <w:rFonts w:ascii="宋体" w:hAnsi="宋体" w:eastAsia="宋体"/>
      <w:kern w:val="2"/>
      <w:sz w:val="28"/>
      <w:lang w:val="en-US" w:eastAsia="zh-CN" w:bidi="ar-SA"/>
    </w:rPr>
  </w:style>
  <w:style w:type="paragraph" w:customStyle="1" w:styleId="67">
    <w:name w:val="文字"/>
    <w:basedOn w:val="1"/>
    <w:link w:val="66"/>
    <w:qFormat/>
    <w:uiPriority w:val="0"/>
    <w:pPr>
      <w:tabs>
        <w:tab w:val="left" w:pos="8520"/>
      </w:tabs>
      <w:spacing w:line="312" w:lineRule="auto"/>
      <w:ind w:right="-210" w:firstLine="556"/>
    </w:pPr>
    <w:rPr>
      <w:rFonts w:ascii="宋体" w:hAnsi="宋体"/>
      <w:sz w:val="28"/>
      <w:szCs w:val="20"/>
    </w:rPr>
  </w:style>
  <w:style w:type="character" w:customStyle="1" w:styleId="68">
    <w:name w:val="列表段落 字符"/>
    <w:link w:val="69"/>
    <w:qFormat/>
    <w:uiPriority w:val="34"/>
    <w:rPr>
      <w:rFonts w:ascii="Calibri" w:hAnsi="Calibri"/>
      <w:kern w:val="2"/>
      <w:sz w:val="21"/>
      <w:szCs w:val="22"/>
    </w:rPr>
  </w:style>
  <w:style w:type="paragraph" w:styleId="69">
    <w:name w:val="List Paragraph"/>
    <w:basedOn w:val="1"/>
    <w:link w:val="68"/>
    <w:qFormat/>
    <w:uiPriority w:val="34"/>
    <w:pPr>
      <w:ind w:firstLine="420" w:firstLineChars="200"/>
    </w:pPr>
    <w:rPr>
      <w:szCs w:val="22"/>
    </w:rPr>
  </w:style>
  <w:style w:type="character" w:customStyle="1" w:styleId="70">
    <w:name w:val="列出段落 Char"/>
    <w:link w:val="71"/>
    <w:qFormat/>
    <w:locked/>
    <w:uiPriority w:val="34"/>
    <w:rPr>
      <w:kern w:val="2"/>
      <w:sz w:val="21"/>
      <w:szCs w:val="21"/>
    </w:rPr>
  </w:style>
  <w:style w:type="paragraph" w:customStyle="1" w:styleId="71">
    <w:name w:val="列出段落1"/>
    <w:basedOn w:val="1"/>
    <w:link w:val="70"/>
    <w:qFormat/>
    <w:uiPriority w:val="34"/>
    <w:pPr>
      <w:ind w:firstLine="420" w:firstLineChars="200"/>
    </w:pPr>
    <w:rPr>
      <w:szCs w:val="21"/>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qFormat/>
    <w:uiPriority w:val="0"/>
    <w:pPr>
      <w:spacing w:line="360" w:lineRule="auto"/>
      <w:ind w:firstLine="200" w:firstLineChars="200"/>
    </w:pPr>
    <w:rPr>
      <w:rFonts w:ascii="宋体" w:hAnsi="宋体"/>
      <w:sz w:val="24"/>
      <w:szCs w:val="20"/>
    </w:rPr>
  </w:style>
  <w:style w:type="character" w:customStyle="1" w:styleId="74">
    <w:name w:val="style1"/>
    <w:qFormat/>
    <w:uiPriority w:val="0"/>
  </w:style>
  <w:style w:type="character" w:customStyle="1" w:styleId="75">
    <w:name w:val="apple-converted-space"/>
    <w:qFormat/>
    <w:uiPriority w:val="0"/>
  </w:style>
  <w:style w:type="character" w:customStyle="1" w:styleId="76">
    <w:name w:val="纯文本 Char"/>
    <w:qFormat/>
    <w:uiPriority w:val="99"/>
    <w:rPr>
      <w:rFonts w:ascii="宋体" w:hAnsi="Courier New" w:eastAsia="宋体"/>
      <w:kern w:val="2"/>
      <w:sz w:val="21"/>
      <w:szCs w:val="24"/>
      <w:lang w:val="en-US" w:eastAsia="zh-CN" w:bidi="ar-SA"/>
    </w:rPr>
  </w:style>
  <w:style w:type="character" w:customStyle="1" w:styleId="77">
    <w:name w:val="Char Char"/>
    <w:qFormat/>
    <w:uiPriority w:val="0"/>
    <w:rPr>
      <w:rFonts w:ascii="宋体" w:hAnsi="Courier New" w:eastAsia="宋体"/>
      <w:kern w:val="2"/>
      <w:sz w:val="21"/>
      <w:lang w:val="en-US" w:eastAsia="zh-CN" w:bidi="ar-SA"/>
    </w:rPr>
  </w:style>
  <w:style w:type="character" w:customStyle="1" w:styleId="78">
    <w:name w:val="纯文本 Char Char"/>
    <w:qFormat/>
    <w:uiPriority w:val="0"/>
    <w:rPr>
      <w:rFonts w:ascii="宋体" w:hAnsi="Courier New" w:eastAsia="宋体"/>
      <w:kern w:val="2"/>
      <w:sz w:val="21"/>
      <w:lang w:val="en-US" w:eastAsia="zh-CN" w:bidi="ar-SA"/>
    </w:rPr>
  </w:style>
  <w:style w:type="character" w:customStyle="1" w:styleId="79">
    <w:name w:val="￥正文 Char"/>
    <w:link w:val="80"/>
    <w:qFormat/>
    <w:uiPriority w:val="0"/>
    <w:rPr>
      <w:kern w:val="2"/>
      <w:sz w:val="24"/>
      <w:szCs w:val="22"/>
    </w:rPr>
  </w:style>
  <w:style w:type="paragraph" w:customStyle="1" w:styleId="80">
    <w:name w:val="￥正文"/>
    <w:basedOn w:val="1"/>
    <w:link w:val="79"/>
    <w:qFormat/>
    <w:uiPriority w:val="0"/>
    <w:pPr>
      <w:spacing w:line="360" w:lineRule="auto"/>
      <w:ind w:firstLine="200" w:firstLineChars="200"/>
    </w:pPr>
    <w:rPr>
      <w:sz w:val="24"/>
      <w:szCs w:val="22"/>
    </w:rPr>
  </w:style>
  <w:style w:type="character" w:customStyle="1" w:styleId="81">
    <w:name w:val="表正文 Char"/>
    <w:qFormat/>
    <w:uiPriority w:val="0"/>
    <w:rPr>
      <w:rFonts w:eastAsia="宋体"/>
      <w:kern w:val="2"/>
      <w:sz w:val="21"/>
      <w:szCs w:val="24"/>
      <w:lang w:val="en-US" w:eastAsia="zh-CN" w:bidi="ar-SA"/>
    </w:rPr>
  </w:style>
  <w:style w:type="paragraph" w:customStyle="1" w:styleId="82">
    <w:name w:val="正文内容"/>
    <w:basedOn w:val="1"/>
    <w:qFormat/>
    <w:uiPriority w:val="0"/>
    <w:rPr>
      <w:rFonts w:ascii="Arial" w:hAnsi="Arial"/>
      <w:spacing w:val="-12"/>
      <w:szCs w:val="20"/>
    </w:rPr>
  </w:style>
  <w:style w:type="paragraph" w:customStyle="1" w:styleId="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84">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5">
    <w:name w:val="文档正文"/>
    <w:basedOn w:val="1"/>
    <w:qFormat/>
    <w:uiPriority w:val="0"/>
    <w:rPr>
      <w:rFonts w:ascii="Arial" w:hAnsi="Arial" w:cs="Arial"/>
      <w:bCs/>
      <w:sz w:val="24"/>
    </w:rPr>
  </w:style>
  <w:style w:type="paragraph" w:customStyle="1" w:styleId="8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8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88">
    <w:name w:val="样式2"/>
    <w:basedOn w:val="21"/>
    <w:qFormat/>
    <w:uiPriority w:val="0"/>
    <w:pPr>
      <w:tabs>
        <w:tab w:val="right" w:leader="dot" w:pos="9458"/>
      </w:tabs>
    </w:pPr>
    <w:rPr>
      <w:rFonts w:ascii="Arial" w:cs="Arial"/>
      <w:i w:val="0"/>
    </w:rPr>
  </w:style>
  <w:style w:type="paragraph" w:customStyle="1" w:styleId="8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9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2">
    <w:name w:val="表格文字"/>
    <w:basedOn w:val="1"/>
    <w:qFormat/>
    <w:uiPriority w:val="0"/>
    <w:pPr>
      <w:spacing w:before="25" w:after="25"/>
      <w:jc w:val="left"/>
    </w:pPr>
    <w:rPr>
      <w:spacing w:val="10"/>
      <w:kern w:val="0"/>
      <w:sz w:val="24"/>
    </w:rPr>
  </w:style>
  <w:style w:type="paragraph" w:customStyle="1" w:styleId="93">
    <w:name w:val="Char Char Char Char Char Char Char Char"/>
    <w:basedOn w:val="1"/>
    <w:qFormat/>
    <w:uiPriority w:val="0"/>
    <w:pPr>
      <w:tabs>
        <w:tab w:val="left" w:pos="360"/>
      </w:tabs>
    </w:pPr>
    <w:rPr>
      <w:sz w:val="24"/>
    </w:rPr>
  </w:style>
  <w:style w:type="paragraph" w:customStyle="1" w:styleId="94">
    <w:name w:val="Char1 Char Char Char Char Char Char"/>
    <w:basedOn w:val="1"/>
    <w:qFormat/>
    <w:uiPriority w:val="0"/>
    <w:pPr>
      <w:tabs>
        <w:tab w:val="left" w:pos="425"/>
      </w:tabs>
      <w:ind w:left="425" w:hanging="425"/>
    </w:pPr>
    <w:rPr>
      <w:sz w:val="24"/>
    </w:rPr>
  </w:style>
  <w:style w:type="paragraph" w:customStyle="1" w:styleId="95">
    <w:name w:val="签名 - 公司"/>
    <w:basedOn w:val="28"/>
    <w:next w:val="86"/>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9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97">
    <w:name w:val="Char Char Char Char Char Char Char Char Char Char Char Char Char Char Char Char"/>
    <w:basedOn w:val="1"/>
    <w:qFormat/>
    <w:uiPriority w:val="0"/>
    <w:pPr>
      <w:tabs>
        <w:tab w:val="left" w:pos="360"/>
      </w:tabs>
    </w:pPr>
    <w:rPr>
      <w:sz w:val="24"/>
    </w:rPr>
  </w:style>
  <w:style w:type="paragraph" w:customStyle="1" w:styleId="98">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1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01">
    <w:name w:val="样式3"/>
    <w:basedOn w:val="21"/>
    <w:qFormat/>
    <w:uiPriority w:val="0"/>
    <w:pPr>
      <w:tabs>
        <w:tab w:val="right" w:leader="dot" w:pos="9458"/>
      </w:tabs>
    </w:pPr>
    <w:rPr>
      <w:i w:val="0"/>
    </w:rPr>
  </w:style>
  <w:style w:type="paragraph" w:customStyle="1" w:styleId="10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0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04">
    <w:name w:val="_Style 101"/>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l2"/>
    <w:basedOn w:val="1"/>
    <w:qFormat/>
    <w:uiPriority w:val="0"/>
    <w:pPr>
      <w:keepLines/>
      <w:widowControl/>
      <w:spacing w:beforeLines="50" w:afterLines="50" w:line="300" w:lineRule="auto"/>
    </w:pPr>
    <w:rPr>
      <w:rFonts w:ascii="Arial" w:hAnsi="Arial"/>
      <w:bCs/>
    </w:rPr>
  </w:style>
  <w:style w:type="paragraph" w:customStyle="1" w:styleId="1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07">
    <w:name w:val="样式4"/>
    <w:basedOn w:val="29"/>
    <w:qFormat/>
    <w:uiPriority w:val="0"/>
    <w:pPr>
      <w:tabs>
        <w:tab w:val="right" w:leader="dot" w:pos="9458"/>
      </w:tabs>
    </w:pPr>
    <w:rPr>
      <w:b w:val="0"/>
    </w:rPr>
  </w:style>
  <w:style w:type="paragraph" w:customStyle="1" w:styleId="10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09">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110">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11">
    <w:name w:val="BodyText"/>
    <w:basedOn w:val="1"/>
    <w:qFormat/>
    <w:uiPriority w:val="0"/>
    <w:pPr>
      <w:widowControl/>
      <w:spacing w:after="120"/>
      <w:textAlignment w:val="baseline"/>
    </w:pPr>
    <w:rPr>
      <w:rFonts w:ascii="Calibri" w:hAnsi="Calibri"/>
    </w:rPr>
  </w:style>
  <w:style w:type="paragraph" w:customStyle="1" w:styleId="11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1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14">
    <w:name w:val="4"/>
    <w:basedOn w:val="1"/>
    <w:next w:val="1"/>
    <w:qFormat/>
    <w:uiPriority w:val="0"/>
  </w:style>
  <w:style w:type="paragraph" w:customStyle="1" w:styleId="115">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6">
    <w:name w:val="Table Body"/>
    <w:basedOn w:val="1"/>
    <w:qFormat/>
    <w:uiPriority w:val="0"/>
    <w:pPr>
      <w:widowControl/>
      <w:jc w:val="center"/>
    </w:pPr>
    <w:rPr>
      <w:rFonts w:ascii="Arial" w:hAnsi="Arial"/>
      <w:snapToGrid w:val="0"/>
      <w:kern w:val="0"/>
      <w:sz w:val="18"/>
      <w:szCs w:val="20"/>
    </w:rPr>
  </w:style>
  <w:style w:type="paragraph" w:customStyle="1" w:styleId="117">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1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20">
    <w:name w:val="Char"/>
    <w:basedOn w:val="1"/>
    <w:qFormat/>
    <w:uiPriority w:val="0"/>
    <w:pPr>
      <w:tabs>
        <w:tab w:val="left" w:pos="425"/>
      </w:tabs>
      <w:ind w:left="425" w:hanging="425"/>
    </w:pPr>
    <w:rPr>
      <w:sz w:val="24"/>
    </w:rPr>
  </w:style>
  <w:style w:type="paragraph" w:customStyle="1" w:styleId="121">
    <w:name w:val="样式"/>
    <w:basedOn w:val="1"/>
    <w:next w:val="19"/>
    <w:qFormat/>
    <w:uiPriority w:val="0"/>
    <w:pPr>
      <w:ind w:left="572" w:right="32" w:firstLine="478"/>
    </w:pPr>
    <w:rPr>
      <w:szCs w:val="21"/>
    </w:rPr>
  </w:style>
  <w:style w:type="paragraph" w:customStyle="1" w:styleId="122">
    <w:name w:val="标题5"/>
    <w:basedOn w:val="1"/>
    <w:qFormat/>
    <w:uiPriority w:val="0"/>
    <w:pPr>
      <w:spacing w:before="120" w:after="120"/>
    </w:pPr>
    <w:rPr>
      <w:rFonts w:ascii="宋体"/>
      <w:b/>
      <w:sz w:val="28"/>
    </w:rPr>
  </w:style>
  <w:style w:type="paragraph" w:customStyle="1" w:styleId="123">
    <w:name w:val="列表2"/>
    <w:basedOn w:val="1"/>
    <w:next w:val="1"/>
    <w:qFormat/>
    <w:uiPriority w:val="0"/>
    <w:pPr>
      <w:tabs>
        <w:tab w:val="left" w:pos="312"/>
        <w:tab w:val="left" w:pos="1547"/>
      </w:tabs>
      <w:spacing w:line="200" w:lineRule="atLeast"/>
      <w:ind w:left="1547" w:hanging="507"/>
    </w:pPr>
    <w:rPr>
      <w:sz w:val="28"/>
    </w:rPr>
  </w:style>
  <w:style w:type="paragraph" w:customStyle="1" w:styleId="124">
    <w:name w:val="Char Char Char Char"/>
    <w:basedOn w:val="1"/>
    <w:qFormat/>
    <w:uiPriority w:val="0"/>
    <w:pPr>
      <w:widowControl/>
      <w:spacing w:after="160" w:line="240" w:lineRule="exact"/>
      <w:jc w:val="left"/>
    </w:pPr>
  </w:style>
  <w:style w:type="paragraph" w:customStyle="1" w:styleId="12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26">
    <w:name w:val="Char11"/>
    <w:basedOn w:val="1"/>
    <w:qFormat/>
    <w:uiPriority w:val="0"/>
    <w:pPr>
      <w:tabs>
        <w:tab w:val="left" w:pos="825"/>
      </w:tabs>
      <w:ind w:left="825" w:hanging="360"/>
    </w:pPr>
    <w:rPr>
      <w:sz w:val="24"/>
    </w:rPr>
  </w:style>
  <w:style w:type="paragraph" w:customStyle="1" w:styleId="1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8">
    <w:name w:val="正文文本缩进 21"/>
    <w:basedOn w:val="1"/>
    <w:qFormat/>
    <w:uiPriority w:val="0"/>
    <w:pPr>
      <w:adjustRightInd w:val="0"/>
      <w:spacing w:before="120"/>
      <w:ind w:firstLine="420"/>
      <w:textAlignment w:val="baseline"/>
    </w:pPr>
    <w:rPr>
      <w:sz w:val="24"/>
      <w:szCs w:val="20"/>
    </w:rPr>
  </w:style>
  <w:style w:type="paragraph" w:customStyle="1" w:styleId="12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32">
    <w:name w:val="List Paragraph1"/>
    <w:basedOn w:val="1"/>
    <w:qFormat/>
    <w:uiPriority w:val="0"/>
    <w:pPr>
      <w:widowControl/>
      <w:ind w:firstLine="420" w:firstLineChars="200"/>
      <w:jc w:val="left"/>
    </w:pPr>
    <w:rPr>
      <w:kern w:val="0"/>
      <w:szCs w:val="20"/>
    </w:rPr>
  </w:style>
  <w:style w:type="paragraph" w:customStyle="1" w:styleId="133">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3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38">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39">
    <w:name w:val="font7"/>
    <w:basedOn w:val="1"/>
    <w:qFormat/>
    <w:uiPriority w:val="0"/>
    <w:pPr>
      <w:widowControl/>
      <w:spacing w:before="100" w:beforeAutospacing="1" w:after="100" w:afterAutospacing="1"/>
      <w:jc w:val="left"/>
    </w:pPr>
    <w:rPr>
      <w:kern w:val="0"/>
      <w:sz w:val="22"/>
      <w:szCs w:val="22"/>
    </w:rPr>
  </w:style>
  <w:style w:type="paragraph" w:customStyle="1" w:styleId="140">
    <w:name w:val="p0"/>
    <w:basedOn w:val="1"/>
    <w:qFormat/>
    <w:uiPriority w:val="0"/>
    <w:pPr>
      <w:widowControl/>
    </w:pPr>
    <w:rPr>
      <w:rFonts w:ascii="Calibri" w:hAnsi="Calibri" w:cs="Calibri"/>
      <w:kern w:val="0"/>
      <w:szCs w:val="21"/>
    </w:rPr>
  </w:style>
  <w:style w:type="paragraph" w:customStyle="1" w:styleId="141">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42">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43">
    <w:name w:val="Char Char Char Char Char Char Char Char1"/>
    <w:basedOn w:val="1"/>
    <w:qFormat/>
    <w:uiPriority w:val="0"/>
    <w:pPr>
      <w:tabs>
        <w:tab w:val="left" w:pos="360"/>
      </w:tabs>
    </w:pPr>
    <w:rPr>
      <w:sz w:val="24"/>
    </w:rPr>
  </w:style>
  <w:style w:type="paragraph" w:customStyle="1" w:styleId="144">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45">
    <w:name w:val="Char Char11"/>
    <w:basedOn w:val="1"/>
    <w:qFormat/>
    <w:uiPriority w:val="0"/>
    <w:pPr>
      <w:widowControl/>
      <w:spacing w:after="160" w:line="240" w:lineRule="exact"/>
      <w:jc w:val="left"/>
    </w:pPr>
    <w:rPr>
      <w:rFonts w:ascii="宋体" w:hAnsi="宋体"/>
      <w:kern w:val="0"/>
      <w:sz w:val="20"/>
      <w:szCs w:val="20"/>
      <w:lang w:eastAsia="en-US"/>
    </w:rPr>
  </w:style>
  <w:style w:type="paragraph" w:customStyle="1" w:styleId="146">
    <w:name w:val="GP正文(首行缩进)"/>
    <w:basedOn w:val="1"/>
    <w:qFormat/>
    <w:uiPriority w:val="0"/>
    <w:pPr>
      <w:spacing w:line="360" w:lineRule="auto"/>
      <w:ind w:firstLine="200" w:firstLineChars="200"/>
      <w:jc w:val="left"/>
    </w:pPr>
    <w:rPr>
      <w:sz w:val="24"/>
      <w:szCs w:val="21"/>
    </w:rPr>
  </w:style>
  <w:style w:type="paragraph" w:customStyle="1" w:styleId="14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49">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Char Char Char Char Char Char Char Char Char Char Char Char Char"/>
    <w:basedOn w:val="1"/>
    <w:qFormat/>
    <w:uiPriority w:val="0"/>
    <w:pPr>
      <w:widowControl/>
      <w:spacing w:after="160" w:line="240" w:lineRule="exact"/>
      <w:jc w:val="left"/>
    </w:pPr>
    <w:rPr>
      <w:szCs w:val="20"/>
    </w:rPr>
  </w:style>
  <w:style w:type="paragraph" w:customStyle="1" w:styleId="152">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53">
    <w:name w:val="Char Char Char Char Char Char Char"/>
    <w:basedOn w:val="1"/>
    <w:qFormat/>
    <w:uiPriority w:val="0"/>
  </w:style>
  <w:style w:type="paragraph" w:customStyle="1" w:styleId="154">
    <w:name w:val="正文缩进1"/>
    <w:basedOn w:val="1"/>
    <w:qFormat/>
    <w:uiPriority w:val="0"/>
    <w:pPr>
      <w:ind w:firstLine="567"/>
    </w:pPr>
    <w:rPr>
      <w:spacing w:val="20"/>
      <w:sz w:val="24"/>
      <w:szCs w:val="20"/>
    </w:rPr>
  </w:style>
  <w:style w:type="paragraph" w:customStyle="1" w:styleId="15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56">
    <w:name w:val="样式5"/>
    <w:basedOn w:val="107"/>
    <w:next w:val="107"/>
    <w:qFormat/>
    <w:uiPriority w:val="0"/>
  </w:style>
  <w:style w:type="paragraph" w:customStyle="1" w:styleId="157">
    <w:name w:val="Char Char Char Char1"/>
    <w:basedOn w:val="15"/>
    <w:qFormat/>
    <w:uiPriority w:val="0"/>
    <w:rPr>
      <w:rFonts w:ascii="Tahoma" w:hAnsi="Tahoma"/>
      <w:sz w:val="24"/>
    </w:rPr>
  </w:style>
  <w:style w:type="paragraph" w:customStyle="1" w:styleId="158">
    <w:name w:val="Table Heading"/>
    <w:basedOn w:val="1"/>
    <w:qFormat/>
    <w:uiPriority w:val="0"/>
    <w:pPr>
      <w:widowControl/>
      <w:jc w:val="center"/>
    </w:pPr>
    <w:rPr>
      <w:rFonts w:ascii="Arial" w:hAnsi="Arial"/>
      <w:b/>
      <w:kern w:val="0"/>
      <w:sz w:val="18"/>
      <w:szCs w:val="20"/>
    </w:rPr>
  </w:style>
  <w:style w:type="paragraph" w:customStyle="1" w:styleId="159">
    <w:name w:val="表格内容"/>
    <w:basedOn w:val="1"/>
    <w:qFormat/>
    <w:uiPriority w:val="0"/>
    <w:pPr>
      <w:tabs>
        <w:tab w:val="left" w:pos="312"/>
      </w:tabs>
      <w:spacing w:line="312" w:lineRule="auto"/>
    </w:pPr>
    <w:rPr>
      <w:rFonts w:ascii="宋体"/>
      <w:sz w:val="24"/>
      <w:szCs w:val="20"/>
    </w:rPr>
  </w:style>
  <w:style w:type="paragraph" w:customStyle="1" w:styleId="16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2">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63">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9">
    <w:name w:val="Char1"/>
    <w:basedOn w:val="1"/>
    <w:qFormat/>
    <w:uiPriority w:val="0"/>
    <w:rPr>
      <w:rFonts w:ascii="Tahoma" w:hAnsi="Tahoma"/>
      <w:sz w:val="24"/>
      <w:szCs w:val="20"/>
    </w:rPr>
  </w:style>
  <w:style w:type="paragraph" w:customStyle="1" w:styleId="170">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71">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table" w:customStyle="1" w:styleId="172">
    <w:name w:val="TableGrid"/>
    <w:qFormat/>
    <w:uiPriority w:val="0"/>
    <w:rPr>
      <w:kern w:val="2"/>
      <w:sz w:val="21"/>
      <w:szCs w:val="22"/>
    </w:rPr>
    <w:tblPr>
      <w:tblCellMar>
        <w:top w:w="0" w:type="dxa"/>
        <w:left w:w="0" w:type="dxa"/>
        <w:bottom w:w="0" w:type="dxa"/>
        <w:right w:w="0" w:type="dxa"/>
      </w:tblCellMar>
    </w:tblPr>
  </w:style>
  <w:style w:type="character" w:customStyle="1" w:styleId="173">
    <w:name w:val="font21"/>
    <w:basedOn w:val="41"/>
    <w:qFormat/>
    <w:uiPriority w:val="0"/>
    <w:rPr>
      <w:rFonts w:hint="eastAsia" w:ascii="黑体" w:hAnsi="宋体" w:eastAsia="黑体" w:cs="黑体"/>
      <w:color w:val="000000"/>
      <w:sz w:val="36"/>
      <w:szCs w:val="36"/>
      <w:u w:val="none"/>
    </w:rPr>
  </w:style>
  <w:style w:type="paragraph" w:customStyle="1" w:styleId="174">
    <w:name w:val="PlainText"/>
    <w:basedOn w:val="1"/>
    <w:qFormat/>
    <w:uiPriority w:val="0"/>
    <w:rPr>
      <w:rFonts w:ascii="宋体" w:hAnsi="Courier New"/>
      <w:sz w:val="28"/>
      <w:szCs w:val="20"/>
    </w:rPr>
  </w:style>
  <w:style w:type="paragraph" w:customStyle="1" w:styleId="17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6">
    <w:name w:val="日期2"/>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77">
    <w:name w:val="*正文"/>
    <w:basedOn w:val="1"/>
    <w:qFormat/>
    <w:uiPriority w:val="0"/>
    <w:pPr>
      <w:spacing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1842</Words>
  <Characters>2221</Characters>
  <Lines>176</Lines>
  <Paragraphs>49</Paragraphs>
  <TotalTime>51</TotalTime>
  <ScaleCrop>false</ScaleCrop>
  <LinksUpToDate>false</LinksUpToDate>
  <CharactersWithSpaces>2343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2024-12-05T08:36:00Z</dcterms:created>
  <dc:creator>Lenovo User</dc:creator>
  <cp:lastModifiedBy>HUAWEI</cp:lastModifiedBy>
  <cp:lastPrinted>2025-03-04T00:51:00Z</cp:lastPrinted>
  <dcterms:modified xsi:type="dcterms:W3CDTF">2025-09-08T03:25:05Z</dcterms:modified>
  <dc:title>2017省本级政府设备采购招标项目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FF0A279B25B348FE92BB86A0C9CE59E5_13</vt:lpwstr>
  </property>
  <property fmtid="{D5CDD505-2E9C-101B-9397-08002B2CF9AE}" pid="4" name="KSOTemplateDocerSaveRecord">
    <vt:lpwstr>eyJoZGlkIjoiNjBhMGRkMWJjMTQ3NjczMjQ1MzJjODllNmU0NTkyZGQiLCJ1c2VySWQiOiIxNTk1MDQ5MjkwIn0=</vt:lpwstr>
  </property>
</Properties>
</file>