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FF3CE1">
      <w:pPr>
        <w:jc w:val="center"/>
        <w:rPr>
          <w:b/>
          <w:sz w:val="36"/>
          <w:szCs w:val="36"/>
        </w:rPr>
      </w:pPr>
      <w:bookmarkStart w:id="0" w:name="_Toc484848505"/>
      <w:bookmarkStart w:id="1" w:name="_Toc506611778"/>
      <w:bookmarkStart w:id="2" w:name="_Toc75917299"/>
      <w:bookmarkStart w:id="3" w:name="_Toc490832162"/>
      <w:bookmarkStart w:id="4" w:name="_Toc46738283"/>
      <w:bookmarkStart w:id="5" w:name="_Toc506611570"/>
      <w:bookmarkStart w:id="6" w:name="_Toc46738149"/>
      <w:bookmarkStart w:id="7" w:name="_Toc12118333"/>
      <w:bookmarkStart w:id="8" w:name="_Toc46738410"/>
      <w:bookmarkStart w:id="9" w:name="_Toc517502601"/>
      <w:bookmarkStart w:id="10" w:name="_Toc494875372"/>
      <w:bookmarkStart w:id="11" w:name="_Toc531987376"/>
      <w:bookmarkStart w:id="12" w:name="_Toc484827160"/>
      <w:bookmarkStart w:id="13" w:name="_Toc169338716"/>
      <w:bookmarkStart w:id="14" w:name="_Toc494597746"/>
      <w:bookmarkStart w:id="15" w:name="_Toc506628521"/>
    </w:p>
    <w:p w14:paraId="58C37D1F">
      <w:pPr>
        <w:jc w:val="center"/>
        <w:rPr>
          <w:b/>
          <w:sz w:val="44"/>
        </w:rPr>
      </w:pPr>
    </w:p>
    <w:p w14:paraId="32DE1E21">
      <w:pPr>
        <w:jc w:val="center"/>
        <w:rPr>
          <w:b/>
          <w:bCs/>
          <w:sz w:val="44"/>
        </w:rPr>
      </w:pPr>
      <w:r>
        <w:rPr>
          <w:rFonts w:hint="eastAsia"/>
          <w:b/>
          <w:sz w:val="44"/>
        </w:rPr>
        <w:t>2025年采购项目</w:t>
      </w:r>
    </w:p>
    <w:p w14:paraId="2907B7AC">
      <w:pPr>
        <w:spacing w:line="240" w:lineRule="atLeast"/>
        <w:jc w:val="center"/>
        <w:rPr>
          <w:rFonts w:ascii="宋体"/>
          <w:sz w:val="32"/>
          <w:szCs w:val="32"/>
        </w:rPr>
      </w:pPr>
    </w:p>
    <w:p w14:paraId="72C5AB06">
      <w:pPr>
        <w:spacing w:line="240" w:lineRule="atLeast"/>
        <w:jc w:val="center"/>
        <w:rPr>
          <w:rFonts w:ascii="宋体"/>
          <w:sz w:val="32"/>
          <w:szCs w:val="32"/>
        </w:rPr>
      </w:pPr>
    </w:p>
    <w:p w14:paraId="4FA645FD">
      <w:pPr>
        <w:spacing w:line="240" w:lineRule="atLeast"/>
        <w:jc w:val="center"/>
        <w:rPr>
          <w:rFonts w:hint="eastAsia" w:ascii="宋体" w:eastAsia="宋体"/>
          <w:sz w:val="32"/>
          <w:szCs w:val="32"/>
          <w:lang w:eastAsia="zh-CN"/>
        </w:rPr>
      </w:pPr>
      <w:r>
        <w:rPr>
          <w:rFonts w:hint="eastAsia" w:ascii="宋体"/>
          <w:sz w:val="32"/>
          <w:szCs w:val="32"/>
        </w:rPr>
        <w:t>项目名称：海南省电化教育馆2025年网络安全技术服务项目</w:t>
      </w:r>
    </w:p>
    <w:p w14:paraId="22A2418F">
      <w:pPr>
        <w:spacing w:line="240" w:lineRule="atLeast"/>
        <w:jc w:val="center"/>
        <w:rPr>
          <w:rFonts w:ascii="宋体"/>
          <w:sz w:val="32"/>
          <w:szCs w:val="32"/>
        </w:rPr>
      </w:pPr>
    </w:p>
    <w:p w14:paraId="548EDAF7">
      <w:pPr>
        <w:spacing w:line="240" w:lineRule="atLeast"/>
        <w:jc w:val="center"/>
        <w:rPr>
          <w:rFonts w:hint="eastAsia" w:ascii="宋体" w:eastAsia="宋体"/>
          <w:sz w:val="32"/>
          <w:szCs w:val="32"/>
          <w:lang w:eastAsia="zh-CN"/>
        </w:rPr>
      </w:pPr>
      <w:r>
        <w:rPr>
          <w:rFonts w:hint="eastAsia" w:ascii="宋体"/>
          <w:sz w:val="32"/>
          <w:szCs w:val="32"/>
        </w:rPr>
        <w:t>项目编号：</w:t>
      </w:r>
      <w:r>
        <w:rPr>
          <w:rFonts w:hint="eastAsia" w:ascii="宋体"/>
          <w:sz w:val="32"/>
          <w:szCs w:val="32"/>
          <w:lang w:eastAsia="zh-CN"/>
        </w:rPr>
        <w:t>HNJY2025-6-7</w:t>
      </w:r>
    </w:p>
    <w:p w14:paraId="3829F3CB">
      <w:pPr>
        <w:spacing w:line="240" w:lineRule="atLeast"/>
        <w:jc w:val="center"/>
        <w:rPr>
          <w:rFonts w:ascii="宋体" w:hAnsi="宋体"/>
          <w:b/>
          <w:kern w:val="0"/>
          <w:sz w:val="28"/>
          <w:szCs w:val="28"/>
        </w:rPr>
      </w:pPr>
    </w:p>
    <w:p w14:paraId="59999D41">
      <w:pPr>
        <w:spacing w:line="240" w:lineRule="atLeast"/>
        <w:jc w:val="center"/>
        <w:rPr>
          <w:rFonts w:ascii="宋体" w:hAnsi="宋体"/>
          <w:b/>
          <w:kern w:val="0"/>
          <w:sz w:val="28"/>
          <w:szCs w:val="28"/>
        </w:rPr>
      </w:pPr>
    </w:p>
    <w:p w14:paraId="0174EF83">
      <w:pPr>
        <w:spacing w:line="240" w:lineRule="atLeast"/>
        <w:jc w:val="center"/>
        <w:rPr>
          <w:b/>
          <w:sz w:val="28"/>
        </w:rPr>
      </w:pPr>
    </w:p>
    <w:p w14:paraId="1D8303F8">
      <w:pPr>
        <w:spacing w:line="240" w:lineRule="atLeast"/>
        <w:jc w:val="center"/>
        <w:rPr>
          <w:b/>
          <w:sz w:val="28"/>
        </w:rPr>
      </w:pPr>
    </w:p>
    <w:p w14:paraId="6F3917F4">
      <w:pPr>
        <w:spacing w:line="240" w:lineRule="atLeast"/>
        <w:jc w:val="center"/>
        <w:rPr>
          <w:sz w:val="72"/>
          <w:szCs w:val="72"/>
        </w:rPr>
      </w:pPr>
      <w:bookmarkStart w:id="16" w:name="OLE_LINK4"/>
      <w:r>
        <w:rPr>
          <w:rFonts w:hint="eastAsia"/>
          <w:sz w:val="72"/>
          <w:szCs w:val="72"/>
        </w:rPr>
        <w:t>竞争性磋商采购文件</w:t>
      </w:r>
    </w:p>
    <w:bookmarkEnd w:id="16"/>
    <w:p w14:paraId="78CDA35A">
      <w:pPr>
        <w:spacing w:line="240" w:lineRule="atLeast"/>
        <w:rPr>
          <w:rFonts w:ascii="宋体"/>
          <w:b/>
          <w:sz w:val="32"/>
        </w:rPr>
      </w:pPr>
    </w:p>
    <w:p w14:paraId="2944AB0B">
      <w:pPr>
        <w:spacing w:line="240" w:lineRule="atLeast"/>
        <w:rPr>
          <w:rFonts w:ascii="宋体"/>
          <w:b/>
          <w:sz w:val="32"/>
        </w:rPr>
      </w:pPr>
    </w:p>
    <w:p w14:paraId="70E3055F">
      <w:pPr>
        <w:spacing w:line="240" w:lineRule="atLeast"/>
        <w:rPr>
          <w:rFonts w:ascii="宋体"/>
          <w:b/>
          <w:sz w:val="32"/>
        </w:rPr>
      </w:pPr>
    </w:p>
    <w:p w14:paraId="43DA035D">
      <w:pPr>
        <w:spacing w:line="240" w:lineRule="atLeast"/>
        <w:rPr>
          <w:rFonts w:ascii="宋体"/>
          <w:b/>
          <w:sz w:val="32"/>
        </w:rPr>
      </w:pPr>
    </w:p>
    <w:p w14:paraId="4E7FADFA">
      <w:pPr>
        <w:pStyle w:val="22"/>
        <w:ind w:left="0" w:leftChars="0" w:right="0" w:firstLine="0"/>
        <w:jc w:val="center"/>
        <w:outlineLvl w:val="0"/>
        <w:rPr>
          <w:rFonts w:hint="default"/>
          <w:sz w:val="30"/>
          <w:szCs w:val="30"/>
          <w:lang w:val="en-US"/>
        </w:rPr>
      </w:pPr>
      <w:r>
        <w:rPr>
          <w:rFonts w:hint="eastAsia"/>
          <w:sz w:val="30"/>
          <w:szCs w:val="30"/>
        </w:rPr>
        <w:t>采购人：</w:t>
      </w:r>
      <w:r>
        <w:rPr>
          <w:rFonts w:hint="eastAsia"/>
          <w:sz w:val="30"/>
          <w:szCs w:val="30"/>
          <w:lang w:eastAsia="zh-CN"/>
        </w:rPr>
        <w:t>海南省电化教育馆</w:t>
      </w:r>
    </w:p>
    <w:p w14:paraId="5926811B">
      <w:pPr>
        <w:pStyle w:val="22"/>
        <w:ind w:left="0" w:leftChars="0" w:right="0" w:firstLine="0"/>
        <w:jc w:val="center"/>
        <w:outlineLvl w:val="0"/>
        <w:rPr>
          <w:b/>
          <w:sz w:val="32"/>
          <w:szCs w:val="32"/>
        </w:rPr>
      </w:pPr>
      <w:r>
        <w:rPr>
          <w:rFonts w:hint="eastAsia"/>
          <w:sz w:val="30"/>
          <w:szCs w:val="30"/>
        </w:rPr>
        <w:t>采购代理机构：海南省教学仪器设备招标中心有限公司</w:t>
      </w:r>
    </w:p>
    <w:p w14:paraId="24CC9FC2">
      <w:pPr>
        <w:pStyle w:val="22"/>
        <w:ind w:left="0" w:leftChars="0" w:right="0" w:firstLine="0" w:firstLineChars="0"/>
        <w:jc w:val="center"/>
        <w:rPr>
          <w:color w:val="000000"/>
          <w:sz w:val="32"/>
          <w:szCs w:val="32"/>
        </w:rPr>
      </w:pPr>
      <w:bookmarkStart w:id="17" w:name="OLE_LINK1"/>
      <w:bookmarkStart w:id="18" w:name="OLE_LINK2"/>
      <w:r>
        <w:rPr>
          <w:rFonts w:hint="eastAsia"/>
          <w:color w:val="000000"/>
          <w:sz w:val="32"/>
          <w:szCs w:val="32"/>
        </w:rPr>
        <w:t>2025年</w:t>
      </w:r>
      <w:r>
        <w:rPr>
          <w:rFonts w:hint="eastAsia"/>
          <w:color w:val="000000"/>
          <w:sz w:val="32"/>
          <w:szCs w:val="32"/>
          <w:lang w:val="en-US" w:eastAsia="zh-CN"/>
        </w:rPr>
        <w:t>9</w:t>
      </w:r>
      <w:r>
        <w:rPr>
          <w:rFonts w:hint="eastAsia"/>
          <w:color w:val="000000"/>
          <w:sz w:val="32"/>
          <w:szCs w:val="32"/>
        </w:rPr>
        <w:t>月</w:t>
      </w:r>
    </w:p>
    <w:p w14:paraId="6D18E527"/>
    <w:p w14:paraId="13BAD2B3">
      <w:pPr>
        <w:pStyle w:val="36"/>
      </w:pPr>
    </w:p>
    <w:p w14:paraId="68CA6D52"/>
    <w:p w14:paraId="614AD567">
      <w:pPr>
        <w:pStyle w:val="46"/>
      </w:pPr>
    </w:p>
    <w:bookmarkEnd w:id="17"/>
    <w:bookmarkEnd w:id="18"/>
    <w:p w14:paraId="13C71E15">
      <w:pPr>
        <w:jc w:val="center"/>
        <w:rPr>
          <w:b/>
          <w:bCs/>
          <w:sz w:val="36"/>
          <w:szCs w:val="36"/>
        </w:rPr>
      </w:pPr>
      <w:r>
        <w:rPr>
          <w:rFonts w:hint="eastAsia"/>
          <w:b/>
          <w:bCs/>
          <w:sz w:val="36"/>
          <w:szCs w:val="36"/>
        </w:rPr>
        <w:t>目    录</w:t>
      </w:r>
    </w:p>
    <w:p w14:paraId="1E192930">
      <w:pPr>
        <w:pStyle w:val="22"/>
        <w:spacing w:line="360" w:lineRule="exact"/>
        <w:ind w:left="835" w:leftChars="398" w:firstLine="1910" w:firstLineChars="597"/>
        <w:jc w:val="both"/>
        <w:rPr>
          <w:b/>
          <w:bCs/>
          <w:sz w:val="32"/>
          <w:szCs w:val="32"/>
        </w:rPr>
      </w:pPr>
    </w:p>
    <w:p w14:paraId="722FBF4D"/>
    <w:p w14:paraId="78764449">
      <w:pPr>
        <w:spacing w:line="900" w:lineRule="exact"/>
        <w:ind w:firstLine="640" w:firstLineChars="200"/>
        <w:rPr>
          <w:b/>
          <w:sz w:val="32"/>
          <w:szCs w:val="32"/>
        </w:rPr>
      </w:pPr>
      <w:r>
        <w:rPr>
          <w:rFonts w:hint="eastAsia"/>
          <w:b/>
          <w:sz w:val="32"/>
          <w:szCs w:val="32"/>
        </w:rPr>
        <w:t>第一部分       竞争性磋商采购邀请函</w:t>
      </w:r>
    </w:p>
    <w:p w14:paraId="1C537172">
      <w:pPr>
        <w:spacing w:line="900" w:lineRule="exact"/>
        <w:ind w:firstLine="640" w:firstLineChars="200"/>
        <w:outlineLvl w:val="9"/>
        <w:rPr>
          <w:b/>
          <w:sz w:val="32"/>
          <w:szCs w:val="32"/>
        </w:rPr>
      </w:pPr>
      <w:r>
        <w:rPr>
          <w:rFonts w:hint="eastAsia"/>
          <w:b/>
          <w:sz w:val="32"/>
          <w:szCs w:val="32"/>
        </w:rPr>
        <w:t>第二部分       竞争性磋商采购项目需求</w:t>
      </w:r>
    </w:p>
    <w:p w14:paraId="6026D931">
      <w:pPr>
        <w:tabs>
          <w:tab w:val="left" w:pos="720"/>
          <w:tab w:val="left" w:pos="1260"/>
          <w:tab w:val="left" w:pos="2160"/>
          <w:tab w:val="left" w:pos="2880"/>
          <w:tab w:val="left" w:pos="3600"/>
          <w:tab w:val="left" w:pos="4320"/>
          <w:tab w:val="left" w:pos="5040"/>
          <w:tab w:val="left" w:pos="5760"/>
        </w:tabs>
        <w:autoSpaceDE w:val="0"/>
        <w:autoSpaceDN w:val="0"/>
        <w:adjustRightInd w:val="0"/>
        <w:spacing w:line="900" w:lineRule="exact"/>
        <w:ind w:right="258" w:rightChars="123" w:firstLine="640" w:firstLineChars="200"/>
        <w:rPr>
          <w:b/>
          <w:sz w:val="32"/>
          <w:szCs w:val="32"/>
        </w:rPr>
      </w:pPr>
      <w:r>
        <w:rPr>
          <w:rFonts w:hint="eastAsia"/>
          <w:b/>
          <w:sz w:val="32"/>
          <w:szCs w:val="32"/>
        </w:rPr>
        <w:t xml:space="preserve">第三部分   </w:t>
      </w:r>
      <w:r>
        <w:rPr>
          <w:rFonts w:hint="eastAsia"/>
          <w:b/>
          <w:sz w:val="32"/>
          <w:szCs w:val="32"/>
          <w:lang w:val="en-US" w:eastAsia="zh-CN"/>
        </w:rPr>
        <w:t xml:space="preserve">    </w:t>
      </w:r>
      <w:r>
        <w:rPr>
          <w:rFonts w:hint="eastAsia"/>
          <w:b/>
          <w:sz w:val="32"/>
          <w:szCs w:val="32"/>
        </w:rPr>
        <w:t>供应商须知</w:t>
      </w:r>
    </w:p>
    <w:p w14:paraId="6343934B">
      <w:pPr>
        <w:spacing w:line="900" w:lineRule="exact"/>
        <w:ind w:firstLine="640" w:firstLineChars="200"/>
        <w:rPr>
          <w:b/>
          <w:sz w:val="32"/>
          <w:szCs w:val="32"/>
        </w:rPr>
      </w:pPr>
      <w:r>
        <w:rPr>
          <w:rFonts w:hint="eastAsia"/>
          <w:b/>
          <w:sz w:val="32"/>
          <w:szCs w:val="32"/>
        </w:rPr>
        <w:t>第四部分       评审办法</w:t>
      </w:r>
    </w:p>
    <w:p w14:paraId="5AA1A3AF">
      <w:pPr>
        <w:spacing w:line="900" w:lineRule="exact"/>
        <w:ind w:firstLine="640" w:firstLineChars="200"/>
        <w:rPr>
          <w:b/>
          <w:sz w:val="32"/>
          <w:szCs w:val="32"/>
        </w:rPr>
      </w:pPr>
      <w:r>
        <w:rPr>
          <w:rFonts w:hint="eastAsia"/>
          <w:b/>
          <w:sz w:val="32"/>
          <w:szCs w:val="32"/>
        </w:rPr>
        <w:t>第五部分       合同条款格式</w:t>
      </w:r>
    </w:p>
    <w:p w14:paraId="7ACECB52">
      <w:pPr>
        <w:spacing w:line="900" w:lineRule="exact"/>
        <w:ind w:firstLine="640" w:firstLineChars="200"/>
        <w:rPr>
          <w:b/>
          <w:sz w:val="32"/>
          <w:szCs w:val="32"/>
        </w:rPr>
      </w:pPr>
      <w:r>
        <w:rPr>
          <w:rFonts w:hint="eastAsia"/>
          <w:b/>
          <w:sz w:val="32"/>
          <w:szCs w:val="32"/>
        </w:rPr>
        <w:t>第六部分       响应文件格式</w:t>
      </w:r>
    </w:p>
    <w:p w14:paraId="6464C3D7"/>
    <w:p w14:paraId="0021DCA7"/>
    <w:p w14:paraId="6252ADC8"/>
    <w:p w14:paraId="795F710C"/>
    <w:p w14:paraId="3934CE35"/>
    <w:p w14:paraId="1D53A16E">
      <w:pPr>
        <w:bidi w:val="0"/>
      </w:pPr>
    </w:p>
    <w:p w14:paraId="4BCF8411"/>
    <w:p w14:paraId="56663F5B">
      <w:pPr>
        <w:bidi w:val="0"/>
      </w:pPr>
    </w:p>
    <w:p w14:paraId="44097433"/>
    <w:p w14:paraId="2641FDC8"/>
    <w:p w14:paraId="4CCB8B20"/>
    <w:p w14:paraId="1E8194E8"/>
    <w:p w14:paraId="2A1BDCA2"/>
    <w:p w14:paraId="6BCC0E08"/>
    <w:p w14:paraId="6BF2935F"/>
    <w:p w14:paraId="57222843"/>
    <w:p w14:paraId="0D6B1ED8"/>
    <w:p w14:paraId="067C730B"/>
    <w:p w14:paraId="6706FDE4"/>
    <w:p w14:paraId="05ACF64D">
      <w:pPr>
        <w:pStyle w:val="46"/>
      </w:pPr>
    </w:p>
    <w:p w14:paraId="3CDB2781">
      <w:pPr>
        <w:pStyle w:val="12"/>
      </w:pPr>
    </w:p>
    <w:p w14:paraId="7DCDDDA6"/>
    <w:p w14:paraId="57CFA3D3">
      <w:pPr>
        <w:bidi w:val="0"/>
      </w:pPr>
    </w:p>
    <w:p w14:paraId="68FC1DE5">
      <w:pPr>
        <w:pStyle w:val="46"/>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4E3719BC">
      <w:pPr>
        <w:spacing w:line="500" w:lineRule="exact"/>
        <w:jc w:val="center"/>
        <w:outlineLvl w:val="0"/>
        <w:rPr>
          <w:rFonts w:hint="eastAsia" w:ascii="宋体" w:hAnsi="宋体"/>
          <w:b/>
          <w:bCs/>
          <w:sz w:val="36"/>
          <w:szCs w:val="36"/>
        </w:rPr>
      </w:pPr>
      <w:bookmarkStart w:id="19" w:name="OLE_LINK3"/>
      <w:bookmarkStart w:id="20" w:name="OLE_LINK6"/>
      <w:r>
        <w:rPr>
          <w:rFonts w:hint="eastAsia"/>
          <w:b/>
          <w:bCs/>
          <w:sz w:val="32"/>
          <w:szCs w:val="32"/>
        </w:rPr>
        <w:t>第一部分　采购</w:t>
      </w:r>
      <w:r>
        <w:rPr>
          <w:rFonts w:hint="eastAsia"/>
          <w:b/>
          <w:sz w:val="32"/>
          <w:szCs w:val="32"/>
        </w:rPr>
        <w:t>邀请函</w:t>
      </w:r>
    </w:p>
    <w:p w14:paraId="2B774D3A">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项目概况</w:t>
      </w:r>
    </w:p>
    <w:p w14:paraId="55389D55">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szCs w:val="24"/>
          <w:u w:val="single"/>
        </w:rPr>
        <w:t>海南省电化教育馆2025年网络安全技术服务项目</w:t>
      </w:r>
      <w:r>
        <w:rPr>
          <w:rFonts w:hint="eastAsia" w:ascii="宋体" w:hAnsi="宋体" w:cs="宋体"/>
          <w:kern w:val="0"/>
          <w:sz w:val="24"/>
        </w:rPr>
        <w:t>的潜在供应商应在</w:t>
      </w:r>
      <w:r>
        <w:rPr>
          <w:rFonts w:hint="eastAsia" w:ascii="宋体" w:hAnsi="宋体" w:cs="宋体"/>
          <w:kern w:val="0"/>
          <w:sz w:val="24"/>
          <w:u w:val="single"/>
        </w:rPr>
        <w:t>（海南省海口市蓝天路西2-8号、海南省教学仪器设备招标中心有限公司）</w:t>
      </w:r>
      <w:r>
        <w:rPr>
          <w:rFonts w:hint="eastAsia" w:ascii="宋体" w:hAnsi="宋体" w:cs="宋体"/>
          <w:kern w:val="0"/>
          <w:sz w:val="24"/>
        </w:rPr>
        <w:t>获取采购文件，并于</w:t>
      </w:r>
      <w:r>
        <w:rPr>
          <w:rFonts w:hint="eastAsia" w:ascii="宋体" w:hAnsi="宋体" w:cs="宋体"/>
          <w:kern w:val="0"/>
          <w:sz w:val="24"/>
          <w:u w:val="single"/>
        </w:rPr>
        <w:t>2025年</w:t>
      </w:r>
      <w:r>
        <w:rPr>
          <w:rFonts w:hint="eastAsia" w:ascii="宋体" w:hAnsi="宋体" w:cs="宋体"/>
          <w:kern w:val="0"/>
          <w:sz w:val="24"/>
          <w:u w:val="single"/>
          <w:lang w:val="en-US" w:eastAsia="zh-CN"/>
        </w:rPr>
        <w:t>9</w:t>
      </w:r>
      <w:r>
        <w:rPr>
          <w:rFonts w:hint="eastAsia" w:ascii="宋体" w:hAnsi="宋体" w:cs="宋体"/>
          <w:kern w:val="0"/>
          <w:sz w:val="24"/>
          <w:u w:val="single"/>
        </w:rPr>
        <w:t>月</w:t>
      </w:r>
      <w:r>
        <w:rPr>
          <w:rFonts w:hint="eastAsia" w:ascii="宋体" w:hAnsi="宋体" w:cs="宋体"/>
          <w:kern w:val="0"/>
          <w:sz w:val="24"/>
          <w:u w:val="single"/>
          <w:lang w:val="en-US" w:eastAsia="zh-CN"/>
        </w:rPr>
        <w:t>30</w:t>
      </w:r>
      <w:r>
        <w:rPr>
          <w:rFonts w:hint="eastAsia" w:ascii="宋体" w:hAnsi="宋体" w:cs="宋体"/>
          <w:kern w:val="0"/>
          <w:sz w:val="24"/>
          <w:u w:val="single"/>
        </w:rPr>
        <w:t>日</w:t>
      </w:r>
      <w:r>
        <w:rPr>
          <w:rFonts w:hint="eastAsia" w:ascii="宋体" w:hAnsi="宋体" w:cs="宋体"/>
          <w:kern w:val="0"/>
          <w:sz w:val="24"/>
          <w:u w:val="single"/>
          <w:lang w:val="en-US" w:eastAsia="zh-CN"/>
        </w:rPr>
        <w:t xml:space="preserve"> 8</w:t>
      </w:r>
      <w:r>
        <w:rPr>
          <w:rFonts w:hint="eastAsia" w:ascii="宋体" w:hAnsi="宋体" w:cs="宋体"/>
          <w:kern w:val="0"/>
          <w:sz w:val="24"/>
          <w:u w:val="single"/>
        </w:rPr>
        <w:t>点</w:t>
      </w:r>
      <w:r>
        <w:rPr>
          <w:rFonts w:hint="eastAsia" w:ascii="宋体" w:hAnsi="宋体" w:cs="宋体"/>
          <w:kern w:val="0"/>
          <w:sz w:val="24"/>
          <w:u w:val="single"/>
          <w:lang w:val="en-US" w:eastAsia="zh-CN"/>
        </w:rPr>
        <w:t>30</w:t>
      </w:r>
      <w:r>
        <w:rPr>
          <w:rFonts w:hint="eastAsia" w:ascii="宋体" w:hAnsi="宋体" w:cs="宋体"/>
          <w:kern w:val="0"/>
          <w:sz w:val="24"/>
          <w:u w:val="single"/>
        </w:rPr>
        <w:t>分（北京时间）</w:t>
      </w:r>
      <w:r>
        <w:rPr>
          <w:rFonts w:hint="eastAsia" w:ascii="宋体" w:hAnsi="宋体" w:cs="宋体"/>
          <w:kern w:val="0"/>
          <w:sz w:val="24"/>
        </w:rPr>
        <w:t>前提交响应</w:t>
      </w:r>
      <w:r>
        <w:rPr>
          <w:rFonts w:ascii="宋体" w:hAnsi="宋体" w:cs="宋体"/>
          <w:kern w:val="0"/>
          <w:sz w:val="24"/>
        </w:rPr>
        <w:t>文件</w:t>
      </w:r>
      <w:r>
        <w:rPr>
          <w:rFonts w:hint="eastAsia" w:ascii="宋体" w:hAnsi="宋体" w:cs="宋体"/>
          <w:kern w:val="0"/>
          <w:sz w:val="24"/>
        </w:rPr>
        <w:t>。</w:t>
      </w:r>
    </w:p>
    <w:p w14:paraId="0049769E">
      <w:pPr>
        <w:adjustRightInd w:val="0"/>
        <w:snapToGrid w:val="0"/>
        <w:spacing w:line="360" w:lineRule="auto"/>
        <w:rPr>
          <w:rFonts w:hint="eastAsia" w:ascii="宋体" w:hAnsi="宋体" w:cs="宋体"/>
          <w:kern w:val="0"/>
          <w:sz w:val="24"/>
        </w:rPr>
      </w:pPr>
    </w:p>
    <w:p w14:paraId="0A1083E3">
      <w:pPr>
        <w:keepNext/>
        <w:keepLines/>
        <w:autoSpaceDE w:val="0"/>
        <w:autoSpaceDN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bookmarkStart w:id="21" w:name="_Toc35393798"/>
      <w:bookmarkStart w:id="22" w:name="_Toc28359089"/>
      <w:bookmarkStart w:id="23" w:name="_Toc28359012"/>
      <w:bookmarkStart w:id="24" w:name="_Toc35393629"/>
      <w:r>
        <w:rPr>
          <w:rFonts w:hint="eastAsia" w:ascii="黑体" w:hAnsi="黑体" w:eastAsia="黑体" w:cs="黑体"/>
          <w:b w:val="0"/>
          <w:bCs/>
          <w:kern w:val="0"/>
          <w:sz w:val="24"/>
        </w:rPr>
        <w:t>一、项目基本情况</w:t>
      </w:r>
      <w:bookmarkEnd w:id="21"/>
      <w:bookmarkEnd w:id="22"/>
      <w:bookmarkEnd w:id="23"/>
      <w:bookmarkEnd w:id="24"/>
    </w:p>
    <w:p w14:paraId="67A7B849">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b/>
          <w:bCs/>
          <w:kern w:val="0"/>
          <w:sz w:val="24"/>
        </w:rPr>
        <w:t>项目编号：</w:t>
      </w:r>
      <w:r>
        <w:rPr>
          <w:rFonts w:hint="eastAsia" w:ascii="宋体" w:hAnsi="宋体" w:cs="宋体"/>
          <w:kern w:val="0"/>
          <w:sz w:val="24"/>
          <w:lang w:eastAsia="zh-CN"/>
        </w:rPr>
        <w:t>HNJY2025-6-7</w:t>
      </w:r>
    </w:p>
    <w:p w14:paraId="6622F434">
      <w:pPr>
        <w:adjustRightInd w:val="0"/>
        <w:snapToGrid w:val="0"/>
        <w:spacing w:line="360" w:lineRule="auto"/>
        <w:ind w:firstLine="480" w:firstLineChars="200"/>
        <w:rPr>
          <w:rFonts w:hint="eastAsia" w:ascii="宋体" w:hAnsi="宋体" w:cs="宋体"/>
          <w:kern w:val="0"/>
          <w:sz w:val="24"/>
          <w:lang w:eastAsia="zh-CN"/>
        </w:rPr>
      </w:pPr>
      <w:r>
        <w:rPr>
          <w:rFonts w:hint="eastAsia" w:ascii="宋体" w:hAnsi="宋体" w:cs="宋体"/>
          <w:b/>
          <w:bCs/>
          <w:kern w:val="0"/>
          <w:sz w:val="24"/>
        </w:rPr>
        <w:t>项目名称：</w:t>
      </w:r>
      <w:r>
        <w:rPr>
          <w:rFonts w:hint="eastAsia" w:ascii="宋体" w:hAnsi="宋体" w:cs="宋体"/>
          <w:kern w:val="0"/>
          <w:sz w:val="24"/>
          <w:szCs w:val="24"/>
        </w:rPr>
        <w:t>海南省电化教育馆2025年网络安全技术服务项目</w:t>
      </w:r>
      <w:r>
        <w:rPr>
          <w:rFonts w:hint="eastAsia" w:ascii="宋体" w:hAnsi="宋体" w:cs="宋体"/>
          <w:kern w:val="0"/>
          <w:sz w:val="24"/>
          <w:lang w:eastAsia="zh-CN"/>
        </w:rPr>
        <w:t>（共分为</w:t>
      </w:r>
      <w:r>
        <w:rPr>
          <w:rFonts w:hint="eastAsia" w:ascii="宋体" w:hAnsi="宋体" w:cs="宋体"/>
          <w:kern w:val="0"/>
          <w:sz w:val="24"/>
          <w:lang w:val="en-US" w:eastAsia="zh-CN"/>
        </w:rPr>
        <w:t>四</w:t>
      </w:r>
      <w:r>
        <w:rPr>
          <w:rFonts w:hint="eastAsia" w:ascii="宋体" w:hAnsi="宋体" w:cs="宋体"/>
          <w:kern w:val="0"/>
          <w:sz w:val="24"/>
          <w:lang w:eastAsia="zh-CN"/>
        </w:rPr>
        <w:t>个包）</w:t>
      </w:r>
    </w:p>
    <w:p w14:paraId="1A39A286">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1包：2025年商用密码应用安全性评估（包含10个测评对象）；</w:t>
      </w:r>
    </w:p>
    <w:p w14:paraId="6A0B457B">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2包：数字底座与教育教学管理服务一体化系统（海南省智慧教育平台（一期））商用密码应用安全性评估；</w:t>
      </w:r>
    </w:p>
    <w:p w14:paraId="5A65040A">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3包：海南省教育省域网商用密码应用安全性评估；</w:t>
      </w:r>
    </w:p>
    <w:p w14:paraId="5943FF32">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4包：海南省教育省域网等级保护测评。</w:t>
      </w:r>
    </w:p>
    <w:p w14:paraId="24E115EB">
      <w:pPr>
        <w:adjustRightInd w:val="0"/>
        <w:snapToGrid w:val="0"/>
        <w:spacing w:line="360" w:lineRule="auto"/>
        <w:ind w:firstLine="480" w:firstLineChars="200"/>
        <w:rPr>
          <w:rFonts w:hint="eastAsia" w:ascii="宋体" w:hAnsi="宋体" w:cs="宋体"/>
          <w:kern w:val="0"/>
          <w:sz w:val="24"/>
        </w:rPr>
      </w:pPr>
      <w:r>
        <w:rPr>
          <w:rFonts w:hint="eastAsia" w:ascii="宋体" w:hAnsi="宋体" w:cs="宋体"/>
          <w:b/>
          <w:bCs/>
          <w:kern w:val="0"/>
          <w:sz w:val="24"/>
        </w:rPr>
        <w:t>采购方式：</w:t>
      </w:r>
      <w:r>
        <w:rPr>
          <w:rFonts w:hint="eastAsia" w:ascii="宋体" w:hAnsi="宋体" w:cs="宋体"/>
          <w:kern w:val="0"/>
          <w:sz w:val="24"/>
          <w:lang w:val="en-US" w:eastAsia="zh-CN"/>
        </w:rPr>
        <w:t>竞争性磋商</w:t>
      </w:r>
      <w:r>
        <w:rPr>
          <w:rFonts w:hint="eastAsia" w:ascii="宋体" w:hAnsi="宋体" w:cs="宋体"/>
          <w:kern w:val="0"/>
          <w:sz w:val="24"/>
        </w:rPr>
        <w:t xml:space="preserve"> </w:t>
      </w:r>
    </w:p>
    <w:p w14:paraId="6CC395E1">
      <w:pPr>
        <w:adjustRightInd w:val="0"/>
        <w:snapToGrid w:val="0"/>
        <w:spacing w:line="360" w:lineRule="auto"/>
        <w:ind w:firstLine="480" w:firstLineChars="200"/>
        <w:rPr>
          <w:rFonts w:hint="eastAsia" w:ascii="宋体" w:hAnsi="宋体" w:cs="宋体"/>
          <w:kern w:val="0"/>
          <w:sz w:val="24"/>
        </w:rPr>
      </w:pPr>
      <w:r>
        <w:rPr>
          <w:rFonts w:hint="eastAsia" w:ascii="宋体" w:hAnsi="宋体" w:cs="宋体"/>
          <w:b/>
          <w:bCs/>
          <w:kern w:val="0"/>
          <w:sz w:val="24"/>
        </w:rPr>
        <w:t>预算金额：</w:t>
      </w:r>
      <w:r>
        <w:rPr>
          <w:rFonts w:hint="eastAsia" w:ascii="宋体" w:hAnsi="宋体" w:cs="宋体"/>
          <w:color w:val="auto"/>
          <w:kern w:val="0"/>
          <w:sz w:val="24"/>
          <w:lang w:val="en-US" w:eastAsia="zh-CN"/>
        </w:rPr>
        <w:t>91.8</w:t>
      </w:r>
      <w:r>
        <w:rPr>
          <w:rFonts w:hint="eastAsia" w:ascii="宋体" w:hAnsi="宋体" w:cs="宋体"/>
          <w:color w:val="auto"/>
          <w:kern w:val="0"/>
          <w:sz w:val="24"/>
        </w:rPr>
        <w:t>万元</w:t>
      </w:r>
    </w:p>
    <w:p w14:paraId="7F7A8206">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其中，1包：2025年商用密码应用安全性评估（包含10个测评对象）45万元；</w:t>
      </w:r>
    </w:p>
    <w:p w14:paraId="174090AC">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2包：数字底座与教育教学管理服务一体化系统（海南省智慧教育平台（一期））商用密码应用安全性评估28.8万元；</w:t>
      </w:r>
    </w:p>
    <w:p w14:paraId="18681E4A">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3包：海南省教育省域网商用密码应用安全性评估10万元；</w:t>
      </w:r>
    </w:p>
    <w:p w14:paraId="06BAD668">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4包：海南省教育省域网等级保护测评8万元。</w:t>
      </w:r>
    </w:p>
    <w:p w14:paraId="344AD887">
      <w:pPr>
        <w:adjustRightInd w:val="0"/>
        <w:snapToGrid w:val="0"/>
        <w:spacing w:line="360" w:lineRule="auto"/>
        <w:ind w:firstLine="480" w:firstLineChars="200"/>
        <w:rPr>
          <w:rFonts w:hint="eastAsia" w:ascii="宋体" w:hAnsi="宋体" w:cs="宋体"/>
          <w:kern w:val="0"/>
          <w:sz w:val="24"/>
        </w:rPr>
      </w:pPr>
      <w:r>
        <w:rPr>
          <w:rFonts w:hint="eastAsia" w:ascii="宋体" w:hAnsi="宋体" w:cs="宋体"/>
          <w:b/>
          <w:bCs/>
          <w:kern w:val="0"/>
          <w:sz w:val="24"/>
        </w:rPr>
        <w:t>最高限价：</w:t>
      </w:r>
      <w:r>
        <w:rPr>
          <w:rFonts w:hint="eastAsia" w:ascii="宋体" w:hAnsi="宋体" w:cs="宋体"/>
          <w:color w:val="auto"/>
          <w:kern w:val="0"/>
          <w:sz w:val="24"/>
          <w:lang w:val="en-US" w:eastAsia="zh-CN"/>
        </w:rPr>
        <w:t>91.8</w:t>
      </w:r>
      <w:r>
        <w:rPr>
          <w:rFonts w:hint="eastAsia" w:ascii="宋体" w:hAnsi="宋体" w:cs="宋体"/>
          <w:kern w:val="0"/>
          <w:sz w:val="24"/>
        </w:rPr>
        <w:t>万元</w:t>
      </w:r>
    </w:p>
    <w:p w14:paraId="437AC896">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其中，1包：2025年商用密码应用安全性评估（包含10个测评对象）45万元；</w:t>
      </w:r>
    </w:p>
    <w:p w14:paraId="64FDBA56">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2包：数字底座与教育教学管理服务一体化系统（海南省智慧教育平台（一期））商用密码应用安全性评估28.8万元；</w:t>
      </w:r>
    </w:p>
    <w:p w14:paraId="40956FDF">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3包：海南省教育省域网商用密码应用安全性评估10万元；</w:t>
      </w:r>
    </w:p>
    <w:p w14:paraId="54730219">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4包：海南省教育省域网等级保护测评8万元。</w:t>
      </w:r>
    </w:p>
    <w:p w14:paraId="7AF9E8F9">
      <w:pPr>
        <w:adjustRightInd w:val="0"/>
        <w:snapToGrid w:val="0"/>
        <w:spacing w:line="360" w:lineRule="auto"/>
        <w:rPr>
          <w:rFonts w:hint="eastAsia" w:ascii="宋体" w:hAnsi="宋体" w:cs="宋体"/>
          <w:kern w:val="0"/>
          <w:sz w:val="24"/>
        </w:rPr>
      </w:pPr>
    </w:p>
    <w:p w14:paraId="5C969C3F">
      <w:pPr>
        <w:adjustRightInd w:val="0"/>
        <w:snapToGrid w:val="0"/>
        <w:spacing w:line="360" w:lineRule="auto"/>
        <w:ind w:firstLine="480" w:firstLineChars="200"/>
        <w:rPr>
          <w:rFonts w:hint="default" w:ascii="宋体" w:hAnsi="宋体" w:eastAsia="宋体" w:cs="宋体"/>
          <w:kern w:val="0"/>
          <w:sz w:val="24"/>
          <w:lang w:val="en-US" w:eastAsia="zh-CN"/>
        </w:rPr>
      </w:pPr>
      <w:r>
        <w:rPr>
          <w:rFonts w:hint="eastAsia" w:ascii="宋体" w:hAnsi="宋体" w:cs="宋体"/>
          <w:b/>
          <w:bCs/>
          <w:kern w:val="0"/>
          <w:sz w:val="24"/>
        </w:rPr>
        <w:t>采购需求：</w:t>
      </w:r>
      <w:r>
        <w:rPr>
          <w:rFonts w:hint="eastAsia" w:ascii="宋体" w:hAnsi="宋体" w:cs="宋体"/>
          <w:kern w:val="0"/>
          <w:sz w:val="24"/>
          <w:lang w:val="en-US" w:eastAsia="zh-CN"/>
        </w:rPr>
        <w:t>详见磋商标文件采购需求清单</w:t>
      </w:r>
    </w:p>
    <w:p w14:paraId="4E275526">
      <w:pPr>
        <w:shd w:val="clear" w:fill="FFFFFF" w:themeFill="background1"/>
        <w:adjustRightInd w:val="0"/>
        <w:snapToGrid w:val="0"/>
        <w:spacing w:line="360" w:lineRule="auto"/>
        <w:ind w:firstLine="480" w:firstLineChars="200"/>
        <w:rPr>
          <w:rFonts w:hint="eastAsia" w:ascii="宋体" w:hAnsi="宋体" w:cs="宋体"/>
          <w:b/>
          <w:bCs/>
          <w:kern w:val="0"/>
          <w:sz w:val="24"/>
        </w:rPr>
      </w:pPr>
      <w:r>
        <w:rPr>
          <w:rFonts w:hint="eastAsia" w:ascii="宋体" w:hAnsi="宋体" w:cs="宋体"/>
          <w:b/>
          <w:bCs/>
          <w:kern w:val="0"/>
          <w:sz w:val="24"/>
        </w:rPr>
        <w:t>合同履行期限：</w:t>
      </w:r>
    </w:p>
    <w:p w14:paraId="4D579A55">
      <w:pPr>
        <w:shd w:val="clear" w:fill="FFFFFF" w:themeFill="background1"/>
        <w:adjustRightInd w:val="0"/>
        <w:snapToGrid w:val="0"/>
        <w:spacing w:line="360" w:lineRule="auto"/>
        <w:ind w:firstLine="480" w:firstLineChars="200"/>
        <w:rPr>
          <w:rFonts w:hint="default" w:ascii="宋体" w:hAnsi="宋体" w:eastAsia="宋体" w:cs="宋体"/>
          <w:kern w:val="0"/>
          <w:sz w:val="24"/>
          <w:highlight w:val="none"/>
          <w:lang w:val="en-US" w:eastAsia="zh-CN"/>
        </w:rPr>
      </w:pPr>
      <w:r>
        <w:rPr>
          <w:rFonts w:hint="eastAsia" w:ascii="宋体" w:hAnsi="宋体" w:eastAsia="宋体" w:cs="宋体"/>
          <w:kern w:val="0"/>
          <w:sz w:val="24"/>
          <w:lang w:val="en-US" w:eastAsia="zh-CN"/>
        </w:rPr>
        <w:t>1包</w:t>
      </w:r>
      <w:r>
        <w:rPr>
          <w:rFonts w:hint="eastAsia" w:ascii="宋体" w:hAnsi="宋体" w:cs="宋体"/>
          <w:kern w:val="0"/>
          <w:sz w:val="24"/>
          <w:lang w:val="en-US" w:eastAsia="zh-CN"/>
        </w:rPr>
        <w:t>自合同签订之日起60天</w:t>
      </w:r>
      <w:r>
        <w:rPr>
          <w:rFonts w:hint="eastAsia" w:ascii="宋体" w:hAnsi="宋体" w:cs="宋体"/>
          <w:kern w:val="0"/>
          <w:sz w:val="24"/>
          <w:highlight w:val="none"/>
          <w:lang w:val="en-US" w:eastAsia="zh-CN"/>
        </w:rPr>
        <w:t>。</w:t>
      </w:r>
    </w:p>
    <w:p w14:paraId="0B495926">
      <w:pPr>
        <w:shd w:val="clear" w:fill="FFFFFF" w:themeFill="background1"/>
        <w:adjustRightInd w:val="0"/>
        <w:snapToGrid w:val="0"/>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2包</w:t>
      </w:r>
      <w:r>
        <w:rPr>
          <w:rFonts w:hint="eastAsia" w:ascii="宋体" w:hAnsi="宋体" w:cs="宋体"/>
          <w:kern w:val="0"/>
          <w:sz w:val="24"/>
          <w:highlight w:val="none"/>
          <w:lang w:val="en-US" w:eastAsia="zh-CN"/>
        </w:rPr>
        <w:t>自</w:t>
      </w:r>
      <w:r>
        <w:rPr>
          <w:rFonts w:hint="eastAsia" w:ascii="宋体" w:hAnsi="宋体" w:cs="宋体"/>
          <w:kern w:val="0"/>
          <w:sz w:val="24"/>
          <w:lang w:val="en-US" w:eastAsia="zh-CN"/>
        </w:rPr>
        <w:t>数字底座与教育教学管理服务一体化系统（海南省智慧教育平台（一期））</w:t>
      </w:r>
      <w:r>
        <w:rPr>
          <w:rFonts w:hint="eastAsia" w:ascii="宋体" w:hAnsi="宋体" w:cs="宋体"/>
          <w:kern w:val="0"/>
          <w:sz w:val="24"/>
          <w:highlight w:val="none"/>
          <w:lang w:val="en-US" w:eastAsia="zh-CN"/>
        </w:rPr>
        <w:t>项目初验通过</w:t>
      </w:r>
      <w:r>
        <w:rPr>
          <w:rFonts w:hint="eastAsia" w:ascii="宋体" w:hAnsi="宋体" w:cs="宋体"/>
          <w:kern w:val="0"/>
          <w:sz w:val="24"/>
          <w:lang w:val="en-US" w:eastAsia="zh-CN"/>
        </w:rPr>
        <w:t>之日起60天</w:t>
      </w:r>
      <w:r>
        <w:rPr>
          <w:rFonts w:hint="eastAsia" w:ascii="宋体" w:hAnsi="宋体" w:cs="宋体"/>
          <w:kern w:val="0"/>
          <w:sz w:val="24"/>
          <w:highlight w:val="none"/>
          <w:lang w:val="en-US" w:eastAsia="zh-CN"/>
        </w:rPr>
        <w:t>。</w:t>
      </w:r>
    </w:p>
    <w:p w14:paraId="548E4DC4">
      <w:pPr>
        <w:shd w:val="clear" w:fill="FFFFFF" w:themeFill="background1"/>
        <w:adjustRightInd w:val="0"/>
        <w:snapToGrid w:val="0"/>
        <w:spacing w:line="360" w:lineRule="auto"/>
        <w:ind w:firstLine="480" w:firstLineChars="200"/>
        <w:rPr>
          <w:rFonts w:hint="eastAsia" w:ascii="宋体" w:hAnsi="宋体" w:eastAsia="宋体" w:cs="宋体"/>
          <w:kern w:val="0"/>
          <w:sz w:val="24"/>
          <w:highlight w:val="yellow"/>
          <w:lang w:val="en-US" w:eastAsia="zh-CN"/>
        </w:rPr>
      </w:pPr>
      <w:r>
        <w:rPr>
          <w:rFonts w:hint="eastAsia" w:ascii="宋体" w:hAnsi="宋体" w:eastAsia="宋体" w:cs="宋体"/>
          <w:kern w:val="0"/>
          <w:sz w:val="24"/>
          <w:highlight w:val="none"/>
          <w:lang w:val="en-US" w:eastAsia="zh-CN"/>
        </w:rPr>
        <w:t>3包自合同</w:t>
      </w:r>
      <w:r>
        <w:rPr>
          <w:rFonts w:hint="eastAsia" w:ascii="宋体" w:hAnsi="宋体" w:cs="宋体"/>
          <w:kern w:val="0"/>
          <w:sz w:val="24"/>
          <w:highlight w:val="none"/>
          <w:lang w:val="en-US" w:eastAsia="zh-CN"/>
        </w:rPr>
        <w:t>签订</w:t>
      </w:r>
      <w:r>
        <w:rPr>
          <w:rFonts w:hint="eastAsia" w:ascii="宋体" w:hAnsi="宋体" w:eastAsia="宋体" w:cs="宋体"/>
          <w:kern w:val="0"/>
          <w:sz w:val="24"/>
          <w:highlight w:val="none"/>
          <w:lang w:val="en-US" w:eastAsia="zh-CN"/>
        </w:rPr>
        <w:t>之日起</w:t>
      </w:r>
      <w:r>
        <w:rPr>
          <w:rFonts w:hint="eastAsia" w:ascii="宋体" w:hAnsi="宋体" w:cs="宋体"/>
          <w:kern w:val="0"/>
          <w:sz w:val="24"/>
          <w:lang w:val="en-US" w:eastAsia="zh-CN"/>
        </w:rPr>
        <w:t>60天。</w:t>
      </w:r>
    </w:p>
    <w:p w14:paraId="19482192">
      <w:pPr>
        <w:adjustRightInd w:val="0"/>
        <w:snapToGrid w:val="0"/>
        <w:spacing w:line="360" w:lineRule="auto"/>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4包自合同</w:t>
      </w:r>
      <w:r>
        <w:rPr>
          <w:rFonts w:hint="eastAsia" w:ascii="宋体" w:hAnsi="宋体" w:cs="宋体"/>
          <w:kern w:val="0"/>
          <w:sz w:val="24"/>
          <w:highlight w:val="none"/>
          <w:lang w:val="en-US" w:eastAsia="zh-CN"/>
        </w:rPr>
        <w:t>签订</w:t>
      </w:r>
      <w:r>
        <w:rPr>
          <w:rFonts w:hint="eastAsia" w:ascii="宋体" w:hAnsi="宋体" w:eastAsia="宋体" w:cs="宋体"/>
          <w:kern w:val="0"/>
          <w:sz w:val="24"/>
          <w:highlight w:val="none"/>
          <w:lang w:val="en-US" w:eastAsia="zh-CN"/>
        </w:rPr>
        <w:t>之日起</w:t>
      </w:r>
      <w:r>
        <w:rPr>
          <w:rFonts w:hint="eastAsia" w:ascii="宋体" w:hAnsi="宋体" w:cs="宋体"/>
          <w:kern w:val="0"/>
          <w:sz w:val="24"/>
          <w:lang w:val="en-US" w:eastAsia="zh-CN"/>
        </w:rPr>
        <w:t>60天。</w:t>
      </w:r>
    </w:p>
    <w:p w14:paraId="4C98AECE">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本项目不接受联合体。</w:t>
      </w:r>
    </w:p>
    <w:p w14:paraId="49E72380">
      <w:pPr>
        <w:keepNext/>
        <w:keepLines/>
        <w:autoSpaceDE w:val="0"/>
        <w:autoSpaceDN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bookmarkStart w:id="25" w:name="_Toc28359013"/>
      <w:bookmarkStart w:id="26" w:name="_Toc35393630"/>
      <w:bookmarkStart w:id="27" w:name="_Toc35393799"/>
      <w:bookmarkStart w:id="28" w:name="_Toc28359090"/>
      <w:r>
        <w:rPr>
          <w:rFonts w:hint="eastAsia" w:ascii="黑体" w:hAnsi="黑体" w:eastAsia="黑体" w:cs="黑体"/>
          <w:b w:val="0"/>
          <w:bCs/>
          <w:kern w:val="0"/>
          <w:sz w:val="24"/>
        </w:rPr>
        <w:t>二、申请人的资格要求：</w:t>
      </w:r>
      <w:bookmarkEnd w:id="25"/>
      <w:bookmarkEnd w:id="26"/>
      <w:bookmarkEnd w:id="27"/>
      <w:bookmarkEnd w:id="28"/>
    </w:p>
    <w:p w14:paraId="3BF4C8E3">
      <w:pPr>
        <w:adjustRightInd w:val="0"/>
        <w:snapToGrid w:val="0"/>
        <w:spacing w:line="360" w:lineRule="auto"/>
        <w:ind w:firstLine="480" w:firstLineChars="200"/>
        <w:rPr>
          <w:rFonts w:hint="eastAsia" w:ascii="宋体" w:hAnsi="宋体" w:cs="宋体"/>
          <w:kern w:val="0"/>
          <w:sz w:val="24"/>
        </w:rPr>
      </w:pPr>
      <w:bookmarkStart w:id="29" w:name="_Toc35393631"/>
      <w:bookmarkStart w:id="30" w:name="_Toc28359014"/>
      <w:bookmarkStart w:id="31" w:name="_Toc35393800"/>
      <w:bookmarkStart w:id="32" w:name="_Toc28359091"/>
      <w:bookmarkStart w:id="33" w:name="_Toc28359018"/>
      <w:bookmarkStart w:id="34" w:name="_Toc35393636"/>
      <w:bookmarkStart w:id="35" w:name="_Toc28359095"/>
      <w:bookmarkStart w:id="36" w:name="_Toc35393805"/>
      <w:r>
        <w:rPr>
          <w:rFonts w:hint="eastAsia" w:ascii="宋体" w:hAnsi="宋体" w:cs="宋体"/>
          <w:kern w:val="0"/>
          <w:sz w:val="24"/>
        </w:rPr>
        <w:t xml:space="preserve">1.满足《中华人民共和国政府采购法》第二十二条规定； </w:t>
      </w:r>
    </w:p>
    <w:p w14:paraId="6FF75ACF">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2.落实政府采购政策需满足的资格要求：无</w:t>
      </w:r>
    </w:p>
    <w:p w14:paraId="4EE79EAF">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3.本项目的特定资格要求：</w:t>
      </w:r>
    </w:p>
    <w:p w14:paraId="7919176B">
      <w:pPr>
        <w:adjustRightInd w:val="0"/>
        <w:snapToGri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（1）1包、2包、3包需</w:t>
      </w:r>
      <w:bookmarkStart w:id="111" w:name="_GoBack"/>
      <w:bookmarkEnd w:id="111"/>
      <w:r>
        <w:rPr>
          <w:rFonts w:hint="eastAsia" w:ascii="宋体" w:hAnsi="宋体" w:cs="宋体"/>
          <w:color w:val="auto"/>
          <w:kern w:val="0"/>
          <w:sz w:val="24"/>
          <w:lang w:val="en-US" w:eastAsia="zh-CN"/>
        </w:rPr>
        <w:t>在国家密码管理局下发的《商用密码应用安全性评估试点机构目录》里或具有海南本地商用密码应用安全性评估试点资质（提供相关证明材料并加盖公章）。</w:t>
      </w:r>
    </w:p>
    <w:p w14:paraId="607C9EAB">
      <w:pPr>
        <w:pStyle w:val="3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cs="宋体"/>
          <w:color w:val="auto"/>
          <w:kern w:val="0"/>
          <w:sz w:val="24"/>
          <w:szCs w:val="24"/>
          <w:lang w:val="en-US" w:eastAsia="zh-CN" w:bidi="ar-SA"/>
        </w:rPr>
        <w:t>4包</w:t>
      </w:r>
      <w:r>
        <w:rPr>
          <w:rFonts w:hint="eastAsia" w:ascii="宋体" w:hAnsi="宋体" w:eastAsia="宋体" w:cs="宋体"/>
          <w:color w:val="auto"/>
          <w:kern w:val="0"/>
          <w:sz w:val="24"/>
          <w:szCs w:val="24"/>
          <w:lang w:val="en-US" w:eastAsia="zh-CN" w:bidi="ar-SA"/>
        </w:rPr>
        <w:t>需具有公安部第三研究所颁发的网络安全等级测评与检测评估机构服务认证证书（提供有效期内的资质证书扫描件加盖公章）</w:t>
      </w:r>
    </w:p>
    <w:p w14:paraId="49A6F5BB">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4.在中华人民共和国境内注册、具有独立承担民事责任的能力（提供营业执照或事业单位法人证书）；</w:t>
      </w:r>
    </w:p>
    <w:p w14:paraId="624A662C">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5.具有良好的商业信誉和健全的财务会计制度</w:t>
      </w:r>
      <w:r>
        <w:rPr>
          <w:rFonts w:hint="eastAsia" w:ascii="宋体" w:hAnsi="宋体" w:cs="宋体"/>
          <w:sz w:val="24"/>
          <w:szCs w:val="24"/>
          <w:lang w:eastAsia="zh-CN"/>
        </w:rPr>
        <w:t>（</w:t>
      </w:r>
      <w:r>
        <w:rPr>
          <w:rFonts w:ascii="宋体" w:hAnsi="宋体" w:eastAsia="宋体" w:cs="宋体"/>
          <w:sz w:val="24"/>
          <w:szCs w:val="24"/>
        </w:rPr>
        <w:t>提供承诺函）</w:t>
      </w:r>
    </w:p>
    <w:p w14:paraId="00CF98B3">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6.具有履行合同所必需的设备和专业技术能力（提供承诺书）；</w:t>
      </w:r>
    </w:p>
    <w:p w14:paraId="18FAB4F0">
      <w:pPr>
        <w:adjustRightInd w:val="0"/>
        <w:snapToGrid w:val="0"/>
        <w:spacing w:line="360" w:lineRule="auto"/>
        <w:ind w:firstLine="480" w:firstLineChars="200"/>
        <w:rPr>
          <w:rFonts w:ascii="宋体" w:hAnsi="宋体" w:eastAsia="宋体" w:cs="宋体"/>
          <w:sz w:val="24"/>
          <w:szCs w:val="24"/>
        </w:rPr>
      </w:pPr>
      <w:r>
        <w:rPr>
          <w:rFonts w:ascii="宋体" w:hAnsi="宋体" w:eastAsia="宋体" w:cs="宋体"/>
          <w:sz w:val="24"/>
          <w:szCs w:val="24"/>
        </w:rPr>
        <w:t>7.具有依法缴纳税收和社会保障资金的良好记录（提供承诺函）；</w:t>
      </w:r>
    </w:p>
    <w:p w14:paraId="107B510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8.</w:t>
      </w:r>
      <w:r>
        <w:rPr>
          <w:rFonts w:ascii="宋体" w:hAnsi="宋体" w:eastAsia="宋体" w:cs="宋体"/>
          <w:sz w:val="24"/>
          <w:szCs w:val="24"/>
        </w:rPr>
        <w:t>参加本次政府采购活动前三年内，在经营活动中没有重大违法记录（成立不足三年的从成立之日起计算，提供声明）；</w:t>
      </w:r>
      <w:r>
        <w:rPr>
          <w:rFonts w:hint="eastAsia" w:ascii="宋体" w:hAnsi="宋体" w:eastAsia="宋体" w:cs="宋体"/>
          <w:sz w:val="24"/>
          <w:szCs w:val="24"/>
        </w:rPr>
        <w:t>未被列入“信用中国”网站“失信被执行人、重大税收违法失信主体、政府采购严重违法失信行为记录名单”中；不处于中国政府采购网“政府采购严重违法失信行为信息记录”中的禁止参加政府采购活动期间（以采购代理机构于</w:t>
      </w:r>
      <w:r>
        <w:rPr>
          <w:rFonts w:hint="eastAsia" w:ascii="宋体" w:hAnsi="宋体" w:cs="宋体"/>
          <w:sz w:val="24"/>
          <w:szCs w:val="24"/>
          <w:lang w:val="en-US" w:eastAsia="zh-CN"/>
        </w:rPr>
        <w:t>响应</w:t>
      </w:r>
      <w:r>
        <w:rPr>
          <w:rFonts w:hint="eastAsia" w:ascii="宋体" w:hAnsi="宋体" w:eastAsia="宋体" w:cs="宋体"/>
          <w:sz w:val="24"/>
          <w:szCs w:val="24"/>
        </w:rPr>
        <w:t>截止日当天资格审查前在上述网站查询结果为准，如相关记录已失效，供应商需提供相关证明资料；未查询到的视为未被列入上述名单）</w:t>
      </w:r>
    </w:p>
    <w:p w14:paraId="480AD06F">
      <w:pPr>
        <w:adjustRightInd w:val="0"/>
        <w:snapToGrid w:val="0"/>
        <w:spacing w:line="360" w:lineRule="auto"/>
        <w:ind w:firstLine="480" w:firstLineChars="200"/>
        <w:rPr>
          <w:rFonts w:ascii="宋体" w:hAnsi="宋体" w:eastAsia="宋体" w:cs="宋体"/>
          <w:sz w:val="24"/>
          <w:szCs w:val="24"/>
        </w:rPr>
      </w:pPr>
      <w:r>
        <w:rPr>
          <w:rFonts w:hint="eastAsia" w:ascii="宋体" w:hAnsi="宋体" w:cs="宋体"/>
          <w:sz w:val="24"/>
          <w:szCs w:val="24"/>
          <w:lang w:eastAsia="zh-CN"/>
        </w:rPr>
        <w:t>9.</w:t>
      </w:r>
      <w:r>
        <w:rPr>
          <w:rFonts w:ascii="宋体" w:hAnsi="宋体" w:eastAsia="宋体" w:cs="宋体"/>
          <w:sz w:val="24"/>
          <w:szCs w:val="24"/>
        </w:rPr>
        <w:t xml:space="preserve">参加政府采购活动前三年内，在经营活动中没有环保类行政处罚记录（成立不足三年的从成立之日起计算，提供声明） </w:t>
      </w:r>
    </w:p>
    <w:p w14:paraId="78E0271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b w:val="0"/>
          <w:bCs w:val="0"/>
          <w:sz w:val="24"/>
          <w:szCs w:val="24"/>
          <w:lang w:val="en-US" w:eastAsia="zh-CN"/>
        </w:rPr>
        <w:t>10.</w:t>
      </w:r>
      <w:r>
        <w:rPr>
          <w:rFonts w:ascii="宋体" w:hAnsi="宋体" w:eastAsia="宋体" w:cs="宋体"/>
          <w:sz w:val="24"/>
          <w:szCs w:val="24"/>
        </w:rPr>
        <w:t>提供</w:t>
      </w:r>
      <w:r>
        <w:rPr>
          <w:rFonts w:hint="eastAsia" w:ascii="宋体" w:hAnsi="宋体" w:eastAsia="宋体" w:cs="宋体"/>
          <w:sz w:val="24"/>
          <w:szCs w:val="24"/>
        </w:rPr>
        <w:t>供应商承诺书</w:t>
      </w:r>
      <w:r>
        <w:rPr>
          <w:rFonts w:hint="eastAsia" w:ascii="宋体" w:hAnsi="宋体" w:eastAsia="宋体" w:cs="宋体"/>
          <w:sz w:val="24"/>
          <w:szCs w:val="24"/>
          <w:lang w:val="en-US" w:eastAsia="zh-CN"/>
        </w:rPr>
        <w:t>及响应函</w:t>
      </w:r>
      <w:r>
        <w:rPr>
          <w:rFonts w:ascii="宋体" w:hAnsi="宋体" w:eastAsia="宋体" w:cs="宋体"/>
          <w:sz w:val="24"/>
          <w:szCs w:val="24"/>
        </w:rPr>
        <w:t>。</w:t>
      </w:r>
    </w:p>
    <w:p w14:paraId="33ABDA49">
      <w:pPr>
        <w:keepNext/>
        <w:keepLines/>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r>
        <w:rPr>
          <w:rFonts w:hint="eastAsia" w:ascii="黑体" w:hAnsi="黑体" w:eastAsia="黑体" w:cs="黑体"/>
          <w:b w:val="0"/>
          <w:bCs/>
          <w:kern w:val="0"/>
          <w:sz w:val="24"/>
        </w:rPr>
        <w:t>三、获取采购文件</w:t>
      </w:r>
      <w:bookmarkEnd w:id="29"/>
      <w:bookmarkEnd w:id="30"/>
      <w:bookmarkEnd w:id="31"/>
      <w:bookmarkEnd w:id="32"/>
    </w:p>
    <w:p w14:paraId="220C776C">
      <w:pPr>
        <w:adjustRightInd w:val="0"/>
        <w:snapToGrid w:val="0"/>
        <w:spacing w:line="360" w:lineRule="auto"/>
        <w:ind w:firstLine="540"/>
        <w:rPr>
          <w:rFonts w:hint="eastAsia" w:ascii="宋体" w:hAnsi="宋体" w:cs="宋体"/>
          <w:kern w:val="0"/>
          <w:sz w:val="24"/>
        </w:rPr>
      </w:pPr>
      <w:r>
        <w:rPr>
          <w:rFonts w:hint="eastAsia" w:ascii="宋体" w:hAnsi="宋体" w:cs="宋体"/>
          <w:kern w:val="0"/>
          <w:sz w:val="24"/>
        </w:rPr>
        <w:t>时间：2025年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19</w:t>
      </w:r>
      <w:r>
        <w:rPr>
          <w:rFonts w:hint="eastAsia" w:ascii="宋体" w:hAnsi="宋体" w:cs="宋体"/>
          <w:kern w:val="0"/>
          <w:sz w:val="24"/>
        </w:rPr>
        <w:t>日至2025年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26</w:t>
      </w:r>
      <w:r>
        <w:rPr>
          <w:rFonts w:hint="eastAsia" w:ascii="宋体" w:hAnsi="宋体" w:cs="宋体"/>
          <w:kern w:val="0"/>
          <w:sz w:val="24"/>
        </w:rPr>
        <w:t>日，每天上午08:00至12:00　，下午14:30至17:30（北京时间，</w:t>
      </w:r>
      <w:r>
        <w:rPr>
          <w:rFonts w:ascii="宋体" w:hAnsi="宋体" w:cs="宋体"/>
          <w:kern w:val="0"/>
          <w:sz w:val="24"/>
        </w:rPr>
        <w:t>法定节假日</w:t>
      </w:r>
      <w:r>
        <w:rPr>
          <w:rFonts w:hint="eastAsia" w:ascii="宋体" w:hAnsi="宋体" w:cs="宋体"/>
          <w:kern w:val="0"/>
          <w:sz w:val="24"/>
        </w:rPr>
        <w:t>除外 ）</w:t>
      </w:r>
    </w:p>
    <w:p w14:paraId="1883FE9B">
      <w:pPr>
        <w:adjustRightInd w:val="0"/>
        <w:snapToGrid w:val="0"/>
        <w:spacing w:line="360" w:lineRule="auto"/>
        <w:ind w:firstLine="540"/>
        <w:rPr>
          <w:rFonts w:hint="eastAsia" w:ascii="宋体" w:hAnsi="宋体" w:cs="宋体"/>
          <w:color w:val="000000"/>
          <w:kern w:val="0"/>
          <w:sz w:val="24"/>
        </w:rPr>
      </w:pPr>
      <w:bookmarkStart w:id="37" w:name="_Toc35393632"/>
      <w:bookmarkStart w:id="38" w:name="_Toc35393801"/>
      <w:bookmarkStart w:id="39" w:name="_Toc28359092"/>
      <w:bookmarkStart w:id="40" w:name="_Toc28359015"/>
      <w:r>
        <w:rPr>
          <w:rFonts w:hint="eastAsia" w:ascii="宋体" w:hAnsi="宋体" w:cs="宋体"/>
          <w:color w:val="000000"/>
          <w:kern w:val="0"/>
          <w:sz w:val="24"/>
        </w:rPr>
        <w:t>地点：海南省海口市蓝天路西2-8号</w:t>
      </w:r>
    </w:p>
    <w:p w14:paraId="48236F01">
      <w:pPr>
        <w:adjustRightInd w:val="0"/>
        <w:snapToGrid w:val="0"/>
        <w:spacing w:line="360" w:lineRule="auto"/>
        <w:ind w:firstLine="540"/>
        <w:rPr>
          <w:rFonts w:hint="default" w:ascii="宋体" w:hAnsi="宋体" w:eastAsia="宋体" w:cs="宋体"/>
          <w:color w:val="000000"/>
          <w:kern w:val="0"/>
          <w:sz w:val="24"/>
          <w:lang w:val="en-US" w:eastAsia="zh-CN"/>
        </w:rPr>
      </w:pPr>
      <w:r>
        <w:rPr>
          <w:rFonts w:hint="eastAsia" w:ascii="宋体" w:hAnsi="宋体" w:cs="宋体"/>
          <w:color w:val="000000"/>
          <w:kern w:val="0"/>
          <w:sz w:val="24"/>
        </w:rPr>
        <w:t>方式：现场购买</w:t>
      </w:r>
      <w:r>
        <w:rPr>
          <w:rFonts w:hint="eastAsia" w:ascii="宋体" w:hAnsi="宋体" w:cs="宋体"/>
          <w:color w:val="000000"/>
          <w:kern w:val="0"/>
          <w:sz w:val="24"/>
          <w:lang w:val="en-US" w:eastAsia="zh-CN"/>
        </w:rPr>
        <w:t>或通过邮箱报名购买</w:t>
      </w:r>
    </w:p>
    <w:p w14:paraId="4DF7C44F">
      <w:pPr>
        <w:adjustRightInd w:val="0"/>
        <w:snapToGrid w:val="0"/>
        <w:spacing w:line="360" w:lineRule="auto"/>
        <w:ind w:firstLine="540"/>
        <w:rPr>
          <w:rFonts w:hint="eastAsia" w:ascii="宋体" w:hAnsi="宋体" w:cs="宋体"/>
          <w:color w:val="000000"/>
          <w:kern w:val="0"/>
          <w:sz w:val="24"/>
        </w:rPr>
      </w:pPr>
      <w:r>
        <w:rPr>
          <w:rFonts w:hint="eastAsia" w:ascii="宋体" w:hAnsi="宋体" w:cs="宋体"/>
          <w:color w:val="000000"/>
          <w:kern w:val="0"/>
          <w:sz w:val="24"/>
        </w:rPr>
        <w:t xml:space="preserve">售价：300元每包 </w:t>
      </w:r>
    </w:p>
    <w:p w14:paraId="55978620">
      <w:pPr>
        <w:keepNext/>
        <w:keepLines/>
        <w:autoSpaceDE w:val="0"/>
        <w:autoSpaceDN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r>
        <w:rPr>
          <w:rFonts w:hint="eastAsia" w:ascii="黑体" w:hAnsi="黑体" w:eastAsia="黑体" w:cs="黑体"/>
          <w:b w:val="0"/>
          <w:bCs/>
          <w:kern w:val="0"/>
          <w:sz w:val="24"/>
        </w:rPr>
        <w:t>四、响应文件提交</w:t>
      </w:r>
      <w:bookmarkEnd w:id="37"/>
      <w:bookmarkEnd w:id="38"/>
      <w:bookmarkEnd w:id="39"/>
      <w:bookmarkEnd w:id="40"/>
    </w:p>
    <w:p w14:paraId="30C33AAC">
      <w:pPr>
        <w:adjustRightInd w:val="0"/>
        <w:snapToGrid w:val="0"/>
        <w:spacing w:line="360" w:lineRule="auto"/>
        <w:ind w:firstLine="540"/>
        <w:rPr>
          <w:rFonts w:hint="eastAsia" w:ascii="宋体" w:hAnsi="宋体" w:cs="宋体"/>
          <w:kern w:val="0"/>
          <w:sz w:val="24"/>
        </w:rPr>
      </w:pPr>
      <w:r>
        <w:rPr>
          <w:rFonts w:hint="eastAsia" w:ascii="宋体" w:hAnsi="宋体" w:cs="宋体"/>
          <w:kern w:val="0"/>
          <w:sz w:val="24"/>
        </w:rPr>
        <w:t>截止时间：2025年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30</w:t>
      </w:r>
      <w:r>
        <w:rPr>
          <w:rFonts w:hint="eastAsia" w:ascii="宋体" w:hAnsi="宋体" w:cs="宋体"/>
          <w:kern w:val="0"/>
          <w:sz w:val="24"/>
        </w:rPr>
        <w:t>日</w:t>
      </w:r>
      <w:r>
        <w:rPr>
          <w:rFonts w:hint="eastAsia" w:ascii="宋体" w:hAnsi="宋体" w:cs="宋体"/>
          <w:kern w:val="0"/>
          <w:sz w:val="24"/>
          <w:lang w:val="en-US" w:eastAsia="zh-CN"/>
        </w:rPr>
        <w:t>08</w:t>
      </w:r>
      <w:r>
        <w:rPr>
          <w:rFonts w:hint="eastAsia" w:ascii="宋体" w:hAnsi="宋体" w:cs="宋体"/>
          <w:kern w:val="0"/>
          <w:sz w:val="24"/>
        </w:rPr>
        <w:t>点</w:t>
      </w:r>
      <w:r>
        <w:rPr>
          <w:rFonts w:hint="eastAsia" w:ascii="宋体" w:hAnsi="宋体" w:cs="宋体"/>
          <w:kern w:val="0"/>
          <w:sz w:val="24"/>
          <w:lang w:val="en-US" w:eastAsia="zh-CN"/>
        </w:rPr>
        <w:t>3</w:t>
      </w:r>
      <w:r>
        <w:rPr>
          <w:rFonts w:hint="eastAsia" w:ascii="宋体" w:hAnsi="宋体" w:cs="宋体"/>
          <w:kern w:val="0"/>
          <w:sz w:val="24"/>
        </w:rPr>
        <w:t>0分（北京时间）</w:t>
      </w:r>
    </w:p>
    <w:p w14:paraId="2F432383">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地点：海南省海口市蓝天路2-8号、海南省教学仪器设备招标中心有限公司开标室</w:t>
      </w:r>
    </w:p>
    <w:p w14:paraId="16FC4DB9">
      <w:pPr>
        <w:keepNext/>
        <w:keepLines/>
        <w:autoSpaceDE w:val="0"/>
        <w:autoSpaceDN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bookmarkStart w:id="41" w:name="_Toc35393633"/>
      <w:bookmarkStart w:id="42" w:name="_Toc35393802"/>
      <w:bookmarkStart w:id="43" w:name="_Toc28359016"/>
      <w:bookmarkStart w:id="44" w:name="_Toc28359093"/>
      <w:r>
        <w:rPr>
          <w:rFonts w:hint="eastAsia" w:ascii="黑体" w:hAnsi="黑体" w:eastAsia="黑体" w:cs="黑体"/>
          <w:b w:val="0"/>
          <w:bCs/>
          <w:kern w:val="0"/>
          <w:sz w:val="24"/>
        </w:rPr>
        <w:t>五、开启</w:t>
      </w:r>
      <w:bookmarkEnd w:id="41"/>
      <w:bookmarkEnd w:id="42"/>
      <w:bookmarkEnd w:id="43"/>
      <w:bookmarkEnd w:id="44"/>
    </w:p>
    <w:p w14:paraId="663D47B5">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时间：2025年</w:t>
      </w:r>
      <w:r>
        <w:rPr>
          <w:rFonts w:hint="eastAsia" w:ascii="宋体" w:hAnsi="宋体" w:cs="宋体"/>
          <w:kern w:val="0"/>
          <w:sz w:val="24"/>
          <w:lang w:val="en-US" w:eastAsia="zh-CN"/>
        </w:rPr>
        <w:t>9</w:t>
      </w:r>
      <w:r>
        <w:rPr>
          <w:rFonts w:hint="eastAsia" w:ascii="宋体" w:hAnsi="宋体" w:cs="宋体"/>
          <w:kern w:val="0"/>
          <w:sz w:val="24"/>
        </w:rPr>
        <w:t>月</w:t>
      </w:r>
      <w:r>
        <w:rPr>
          <w:rFonts w:hint="eastAsia" w:ascii="宋体" w:hAnsi="宋体" w:cs="宋体"/>
          <w:kern w:val="0"/>
          <w:sz w:val="24"/>
          <w:lang w:val="en-US" w:eastAsia="zh-CN"/>
        </w:rPr>
        <w:t>30</w:t>
      </w:r>
      <w:r>
        <w:rPr>
          <w:rFonts w:hint="eastAsia" w:ascii="宋体" w:hAnsi="宋体" w:cs="宋体"/>
          <w:kern w:val="0"/>
          <w:sz w:val="24"/>
        </w:rPr>
        <w:t>日</w:t>
      </w:r>
      <w:r>
        <w:rPr>
          <w:rFonts w:hint="eastAsia" w:ascii="宋体" w:hAnsi="宋体" w:cs="宋体"/>
          <w:kern w:val="0"/>
          <w:sz w:val="24"/>
          <w:lang w:val="en-US" w:eastAsia="zh-CN"/>
        </w:rPr>
        <w:t>08</w:t>
      </w:r>
      <w:r>
        <w:rPr>
          <w:rFonts w:hint="eastAsia" w:ascii="宋体" w:hAnsi="宋体" w:cs="宋体"/>
          <w:kern w:val="0"/>
          <w:sz w:val="24"/>
        </w:rPr>
        <w:t>点</w:t>
      </w:r>
      <w:r>
        <w:rPr>
          <w:rFonts w:hint="eastAsia" w:ascii="宋体" w:hAnsi="宋体" w:cs="宋体"/>
          <w:kern w:val="0"/>
          <w:sz w:val="24"/>
          <w:lang w:val="en-US" w:eastAsia="zh-CN"/>
        </w:rPr>
        <w:t>3</w:t>
      </w:r>
      <w:r>
        <w:rPr>
          <w:rFonts w:hint="eastAsia" w:ascii="宋体" w:hAnsi="宋体" w:cs="宋体"/>
          <w:kern w:val="0"/>
          <w:sz w:val="24"/>
        </w:rPr>
        <w:t>0分（北京时间）</w:t>
      </w:r>
    </w:p>
    <w:p w14:paraId="5B1EE36C">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地点：海南省海口市蓝天路2-8号、海南省教学仪器设备招标中心有限公司开标室</w:t>
      </w:r>
    </w:p>
    <w:p w14:paraId="11CA6F47">
      <w:pPr>
        <w:keepNext/>
        <w:keepLines/>
        <w:autoSpaceDE w:val="0"/>
        <w:autoSpaceDN w:val="0"/>
        <w:adjustRightInd w:val="0"/>
        <w:snapToGrid w:val="0"/>
        <w:spacing w:line="360" w:lineRule="auto"/>
        <w:ind w:firstLine="480" w:firstLineChars="200"/>
        <w:textAlignment w:val="baseline"/>
        <w:outlineLvl w:val="1"/>
        <w:rPr>
          <w:rFonts w:hint="eastAsia" w:ascii="宋体" w:hAnsi="宋体" w:cs="宋体"/>
          <w:b/>
          <w:kern w:val="0"/>
          <w:sz w:val="24"/>
        </w:rPr>
      </w:pPr>
      <w:r>
        <w:rPr>
          <w:rFonts w:hint="eastAsia" w:ascii="黑体" w:hAnsi="黑体" w:eastAsia="黑体" w:cs="黑体"/>
          <w:b w:val="0"/>
          <w:bCs/>
          <w:kern w:val="0"/>
          <w:sz w:val="24"/>
        </w:rPr>
        <w:t>六、公告期限：</w:t>
      </w:r>
      <w:r>
        <w:rPr>
          <w:rFonts w:hint="eastAsia" w:ascii="宋体" w:hAnsi="宋体" w:cs="宋体"/>
          <w:kern w:val="0"/>
          <w:sz w:val="24"/>
        </w:rPr>
        <w:t>自公告发出之日起</w:t>
      </w:r>
      <w:r>
        <w:rPr>
          <w:rFonts w:hint="eastAsia" w:ascii="宋体" w:hAnsi="宋体" w:cs="宋体"/>
          <w:kern w:val="0"/>
          <w:sz w:val="24"/>
          <w:lang w:val="en-US" w:eastAsia="zh-CN"/>
        </w:rPr>
        <w:t>五</w:t>
      </w:r>
      <w:r>
        <w:rPr>
          <w:rFonts w:hint="eastAsia" w:ascii="宋体" w:hAnsi="宋体" w:cs="宋体"/>
          <w:kern w:val="0"/>
          <w:sz w:val="24"/>
        </w:rPr>
        <w:t>个工作日内</w:t>
      </w:r>
    </w:p>
    <w:p w14:paraId="741B95E5">
      <w:pPr>
        <w:keepNext/>
        <w:keepLines/>
        <w:autoSpaceDE w:val="0"/>
        <w:autoSpaceDN w:val="0"/>
        <w:adjustRightInd w:val="0"/>
        <w:snapToGrid w:val="0"/>
        <w:spacing w:line="360" w:lineRule="auto"/>
        <w:ind w:firstLine="480" w:firstLineChars="200"/>
        <w:textAlignment w:val="baseline"/>
        <w:outlineLvl w:val="1"/>
        <w:rPr>
          <w:rFonts w:hint="eastAsia" w:ascii="黑体" w:hAnsi="黑体" w:eastAsia="黑体" w:cs="黑体"/>
          <w:b w:val="0"/>
          <w:bCs/>
          <w:kern w:val="0"/>
          <w:sz w:val="24"/>
        </w:rPr>
      </w:pPr>
      <w:bookmarkStart w:id="45" w:name="_Toc28359094"/>
      <w:bookmarkStart w:id="46" w:name="_Toc35393803"/>
      <w:bookmarkStart w:id="47" w:name="_Toc28359017"/>
      <w:bookmarkStart w:id="48" w:name="_Toc35393634"/>
      <w:r>
        <w:rPr>
          <w:rFonts w:hint="eastAsia" w:ascii="黑体" w:hAnsi="黑体" w:eastAsia="黑体" w:cs="黑体"/>
          <w:b w:val="0"/>
          <w:bCs/>
          <w:kern w:val="0"/>
          <w:sz w:val="24"/>
        </w:rPr>
        <w:t>七、</w:t>
      </w:r>
      <w:bookmarkEnd w:id="45"/>
      <w:bookmarkEnd w:id="46"/>
      <w:bookmarkEnd w:id="47"/>
      <w:bookmarkEnd w:id="48"/>
      <w:bookmarkStart w:id="49" w:name="_Toc35393635"/>
      <w:bookmarkStart w:id="50" w:name="_Toc35393804"/>
      <w:r>
        <w:rPr>
          <w:rFonts w:hint="eastAsia" w:ascii="黑体" w:hAnsi="黑体" w:eastAsia="黑体" w:cs="黑体"/>
          <w:b w:val="0"/>
          <w:bCs/>
          <w:kern w:val="0"/>
          <w:sz w:val="24"/>
        </w:rPr>
        <w:t>其他补充事宜</w:t>
      </w:r>
      <w:bookmarkEnd w:id="49"/>
      <w:bookmarkEnd w:id="50"/>
    </w:p>
    <w:p w14:paraId="225B9572">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eastAsia="zh-CN"/>
        </w:rPr>
        <w:t>1.</w:t>
      </w:r>
      <w:r>
        <w:rPr>
          <w:rFonts w:hint="eastAsia" w:ascii="宋体" w:hAnsi="宋体" w:cs="宋体"/>
          <w:color w:val="000000"/>
          <w:kern w:val="0"/>
          <w:sz w:val="24"/>
        </w:rPr>
        <w:t>标书售后不退，购买标书时需提供以下证明资料及备案：营业执照复印件（加盖本单位公章）、法人授权函（法定代</w:t>
      </w:r>
      <w:r>
        <w:rPr>
          <w:rFonts w:hint="eastAsia" w:ascii="宋体" w:hAnsi="宋体" w:cs="宋体"/>
          <w:color w:val="000000"/>
          <w:kern w:val="0"/>
          <w:sz w:val="24"/>
          <w:lang w:eastAsia="zh-CN"/>
        </w:rPr>
        <w:t>表人</w:t>
      </w:r>
      <w:r>
        <w:rPr>
          <w:rFonts w:hint="eastAsia" w:ascii="宋体" w:hAnsi="宋体" w:cs="宋体"/>
          <w:color w:val="000000"/>
          <w:kern w:val="0"/>
          <w:sz w:val="24"/>
        </w:rPr>
        <w:t>身份证和被授权人身份证复印件、函中内容要有报名人的联系方式及邮箱）</w:t>
      </w:r>
    </w:p>
    <w:p w14:paraId="52966935">
      <w:pPr>
        <w:adjustRightInd w:val="0"/>
        <w:snapToGrid w:val="0"/>
        <w:spacing w:line="360" w:lineRule="auto"/>
        <w:ind w:firstLine="480" w:firstLineChars="200"/>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通过邮箱报名购买响应文件请将上述材料及购买采购文件凭证发送至66779794@163.com</w:t>
      </w:r>
    </w:p>
    <w:p w14:paraId="2E81040B">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eastAsia="zh-CN"/>
        </w:rPr>
        <w:t>2.</w:t>
      </w:r>
      <w:r>
        <w:rPr>
          <w:rFonts w:hint="eastAsia" w:ascii="宋体" w:hAnsi="宋体" w:cs="宋体"/>
          <w:color w:val="000000"/>
          <w:kern w:val="0"/>
          <w:sz w:val="24"/>
        </w:rPr>
        <w:t>购买采购文件</w:t>
      </w:r>
      <w:r>
        <w:rPr>
          <w:rFonts w:hint="eastAsia" w:ascii="宋体" w:hAnsi="宋体" w:cs="宋体"/>
          <w:color w:val="000000"/>
          <w:kern w:val="0"/>
          <w:sz w:val="24"/>
          <w:lang w:eastAsia="zh-CN"/>
        </w:rPr>
        <w:t>银行账户</w:t>
      </w:r>
      <w:r>
        <w:rPr>
          <w:rFonts w:hint="eastAsia" w:ascii="宋体" w:hAnsi="宋体" w:cs="宋体"/>
          <w:color w:val="000000"/>
          <w:kern w:val="0"/>
          <w:sz w:val="24"/>
        </w:rPr>
        <w:t>：</w:t>
      </w:r>
    </w:p>
    <w:p w14:paraId="2684D45E">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单位名称：海南省教学仪器设备招标中心有限公司</w:t>
      </w:r>
    </w:p>
    <w:p w14:paraId="732769BF">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开户银行：中国建设银行股份有限公司海口国兴大道支行</w:t>
      </w:r>
    </w:p>
    <w:p w14:paraId="2325E1E8">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银行账号：46001002537052500288</w:t>
      </w:r>
    </w:p>
    <w:p w14:paraId="0D73999F">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财务联系电话：0898-66737260</w:t>
      </w:r>
    </w:p>
    <w:p w14:paraId="03F43A93">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eastAsia="zh-CN"/>
        </w:rPr>
        <w:t>3.</w:t>
      </w:r>
      <w:r>
        <w:rPr>
          <w:rFonts w:hint="eastAsia" w:ascii="宋体" w:hAnsi="宋体" w:cs="宋体"/>
          <w:color w:val="000000"/>
          <w:kern w:val="0"/>
          <w:sz w:val="24"/>
        </w:rPr>
        <w:t>供应商应准备一份正本和</w:t>
      </w:r>
      <w:r>
        <w:rPr>
          <w:rFonts w:hint="eastAsia" w:ascii="宋体" w:hAnsi="宋体" w:cs="宋体"/>
          <w:color w:val="000000"/>
          <w:kern w:val="0"/>
          <w:sz w:val="24"/>
          <w:lang w:val="en-US" w:eastAsia="zh-CN"/>
        </w:rPr>
        <w:t>两</w:t>
      </w:r>
      <w:r>
        <w:rPr>
          <w:rFonts w:hint="eastAsia" w:ascii="宋体" w:hAnsi="宋体" w:cs="宋体"/>
          <w:color w:val="000000"/>
          <w:kern w:val="0"/>
          <w:sz w:val="24"/>
        </w:rPr>
        <w:t>份副本，并在每一份“响应文件”上要明确注明“正本”或“副本”字样。</w:t>
      </w:r>
    </w:p>
    <w:p w14:paraId="4B77C4EF">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eastAsia="zh-CN"/>
        </w:rPr>
        <w:t>4.</w:t>
      </w:r>
      <w:r>
        <w:rPr>
          <w:rFonts w:hint="eastAsia" w:ascii="宋体" w:hAnsi="宋体" w:cs="宋体"/>
          <w:color w:val="000000"/>
          <w:kern w:val="0"/>
          <w:sz w:val="24"/>
        </w:rPr>
        <w:t>供应商应将“响应文件”胶装成册。为了方便开标、评标，供应商应将“响应文件”正本的 “报价一览表和规格响应多备一份（以包为单位）”单独密封于一小信封内，并在该信封上标明“报价一览表”字样，然后再装入“响应文件”正本的密封袋中。（响应时递交U盘拷贝的PDF格式正本的响应文件。）</w:t>
      </w:r>
    </w:p>
    <w:p w14:paraId="4CCAF31E">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eastAsia="zh-CN"/>
        </w:rPr>
        <w:t>5.</w:t>
      </w:r>
      <w:r>
        <w:rPr>
          <w:rFonts w:hint="eastAsia" w:ascii="宋体" w:hAnsi="宋体" w:cs="宋体"/>
          <w:color w:val="000000"/>
          <w:kern w:val="0"/>
          <w:sz w:val="24"/>
        </w:rPr>
        <w:t>采购人不接受有任何选择的报价。</w:t>
      </w:r>
    </w:p>
    <w:p w14:paraId="7164B839">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lang w:eastAsia="zh-CN"/>
        </w:rPr>
        <w:t>6.</w:t>
      </w:r>
      <w:r>
        <w:rPr>
          <w:rFonts w:hint="eastAsia" w:ascii="宋体" w:hAnsi="宋体" w:cs="宋体"/>
          <w:kern w:val="0"/>
          <w:sz w:val="24"/>
        </w:rPr>
        <w:t>本项目支持节能产品、环境标志产品、中小微企业发展、监狱企业发展及残疾人福利性单位等相关扶持政策。</w:t>
      </w:r>
    </w:p>
    <w:p w14:paraId="40830CEB">
      <w:pPr>
        <w:adjustRightInd w:val="0"/>
        <w:snapToGrid w:val="0"/>
        <w:spacing w:line="360" w:lineRule="auto"/>
        <w:ind w:firstLine="480" w:firstLineChars="200"/>
        <w:rPr>
          <w:rFonts w:hint="eastAsia" w:ascii="宋体" w:hAnsi="宋体" w:cs="宋体"/>
          <w:kern w:val="0"/>
          <w:sz w:val="24"/>
        </w:rPr>
      </w:pPr>
    </w:p>
    <w:p w14:paraId="1B4AE48B">
      <w:pPr>
        <w:adjustRightInd w:val="0"/>
        <w:snapToGrid w:val="0"/>
        <w:spacing w:line="360" w:lineRule="auto"/>
        <w:ind w:firstLine="480" w:firstLineChars="200"/>
        <w:rPr>
          <w:rFonts w:hint="eastAsia" w:ascii="宋体" w:hAnsi="宋体" w:cs="宋体"/>
          <w:b/>
          <w:kern w:val="0"/>
          <w:sz w:val="24"/>
        </w:rPr>
      </w:pPr>
      <w:r>
        <w:rPr>
          <w:rFonts w:hint="eastAsia" w:ascii="宋体" w:hAnsi="宋体" w:cs="宋体"/>
          <w:b/>
          <w:kern w:val="0"/>
          <w:sz w:val="24"/>
        </w:rPr>
        <w:t>重要提示：本项目不收取保证金。</w:t>
      </w:r>
    </w:p>
    <w:p w14:paraId="2FBC06FA">
      <w:pPr>
        <w:keepNext/>
        <w:keepLines/>
        <w:autoSpaceDE w:val="0"/>
        <w:autoSpaceDN w:val="0"/>
        <w:adjustRightInd w:val="0"/>
        <w:snapToGrid w:val="0"/>
        <w:spacing w:line="360" w:lineRule="auto"/>
        <w:ind w:firstLine="480" w:firstLineChars="200"/>
        <w:textAlignment w:val="baseline"/>
        <w:outlineLvl w:val="1"/>
        <w:rPr>
          <w:rFonts w:hint="eastAsia" w:ascii="宋体" w:hAnsi="宋体" w:cs="宋体"/>
          <w:b/>
          <w:kern w:val="0"/>
          <w:sz w:val="24"/>
        </w:rPr>
      </w:pPr>
      <w:r>
        <w:rPr>
          <w:rFonts w:hint="eastAsia" w:ascii="宋体" w:hAnsi="宋体" w:cs="宋体"/>
          <w:b/>
          <w:kern w:val="0"/>
          <w:sz w:val="24"/>
        </w:rPr>
        <w:t>八、凡对本次采购提出询问，请按</w:t>
      </w:r>
      <w:r>
        <w:rPr>
          <w:rFonts w:ascii="宋体" w:hAnsi="宋体" w:cs="宋体"/>
          <w:b/>
          <w:kern w:val="0"/>
          <w:sz w:val="24"/>
        </w:rPr>
        <w:t>以下方式</w:t>
      </w:r>
      <w:r>
        <w:rPr>
          <w:rFonts w:hint="eastAsia" w:ascii="宋体" w:hAnsi="宋体" w:cs="宋体"/>
          <w:b/>
          <w:kern w:val="0"/>
          <w:sz w:val="24"/>
        </w:rPr>
        <w:t>联系。</w:t>
      </w:r>
      <w:bookmarkEnd w:id="33"/>
      <w:bookmarkEnd w:id="34"/>
      <w:bookmarkEnd w:id="35"/>
      <w:bookmarkEnd w:id="36"/>
    </w:p>
    <w:p w14:paraId="64B53A58">
      <w:pPr>
        <w:adjustRightInd w:val="0"/>
        <w:snapToGrid w:val="0"/>
        <w:spacing w:line="360" w:lineRule="auto"/>
        <w:ind w:firstLine="480" w:firstLineChars="200"/>
        <w:rPr>
          <w:rFonts w:hint="eastAsia" w:ascii="宋体" w:hAnsi="宋体" w:cs="宋体"/>
          <w:kern w:val="0"/>
          <w:sz w:val="24"/>
        </w:rPr>
      </w:pPr>
      <w:bookmarkStart w:id="51" w:name="_Toc28359019"/>
      <w:bookmarkStart w:id="52" w:name="_Toc28359096"/>
      <w:bookmarkStart w:id="53" w:name="_Toc35393806"/>
      <w:bookmarkStart w:id="54" w:name="_Toc35393637"/>
      <w:r>
        <w:rPr>
          <w:rFonts w:hint="eastAsia" w:ascii="宋体" w:hAnsi="宋体" w:cs="宋体"/>
          <w:kern w:val="0"/>
          <w:sz w:val="24"/>
        </w:rPr>
        <w:t>1.采购人信息</w:t>
      </w:r>
      <w:bookmarkEnd w:id="51"/>
      <w:bookmarkEnd w:id="52"/>
      <w:bookmarkEnd w:id="53"/>
      <w:bookmarkEnd w:id="54"/>
    </w:p>
    <w:p w14:paraId="02DA1FBF">
      <w:pPr>
        <w:adjustRightInd w:val="0"/>
        <w:snapToGrid w:val="0"/>
        <w:spacing w:line="360" w:lineRule="auto"/>
        <w:ind w:firstLine="480" w:firstLineChars="200"/>
        <w:rPr>
          <w:rFonts w:hint="eastAsia" w:ascii="宋体" w:hAnsi="宋体" w:eastAsia="宋体" w:cs="宋体"/>
          <w:kern w:val="0"/>
          <w:sz w:val="24"/>
          <w:lang w:eastAsia="zh-CN"/>
        </w:rPr>
      </w:pPr>
      <w:bookmarkStart w:id="55" w:name="_Toc35393807"/>
      <w:bookmarkStart w:id="56" w:name="_Toc35393638"/>
      <w:bookmarkStart w:id="57" w:name="_Toc28359020"/>
      <w:bookmarkStart w:id="58" w:name="_Toc28359097"/>
      <w:r>
        <w:rPr>
          <w:rFonts w:hint="eastAsia" w:ascii="宋体" w:hAnsi="宋体" w:cs="宋体"/>
          <w:kern w:val="0"/>
          <w:sz w:val="24"/>
        </w:rPr>
        <w:t>名    称：　</w:t>
      </w:r>
      <w:r>
        <w:rPr>
          <w:rFonts w:hint="eastAsia" w:ascii="宋体" w:hAnsi="宋体" w:cs="宋体"/>
          <w:kern w:val="0"/>
          <w:sz w:val="24"/>
          <w:lang w:eastAsia="zh-CN"/>
        </w:rPr>
        <w:t>海南省电化教育馆</w:t>
      </w:r>
    </w:p>
    <w:p w14:paraId="6D89B1D9">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    址：　海口市西沙路2号</w:t>
      </w:r>
    </w:p>
    <w:p w14:paraId="2F1718C4">
      <w:pPr>
        <w:adjustRightInd w:val="0"/>
        <w:snapToGrid w:val="0"/>
        <w:spacing w:line="360" w:lineRule="auto"/>
        <w:ind w:firstLine="480" w:firstLineChars="200"/>
        <w:rPr>
          <w:rFonts w:hint="eastAsia" w:ascii="宋体" w:hAnsi="宋体" w:eastAsia="宋体" w:cs="宋体"/>
          <w:kern w:val="0"/>
          <w:sz w:val="24"/>
          <w:lang w:val="en-US" w:eastAsia="zh-CN"/>
        </w:rPr>
      </w:pPr>
      <w:r>
        <w:rPr>
          <w:rFonts w:hint="eastAsia" w:ascii="宋体" w:hAnsi="宋体" w:cs="宋体"/>
          <w:kern w:val="0"/>
          <w:sz w:val="24"/>
        </w:rPr>
        <w:t>联系方式：　</w:t>
      </w:r>
      <w:r>
        <w:rPr>
          <w:rFonts w:hint="eastAsia" w:ascii="宋体" w:hAnsi="宋体" w:cs="宋体"/>
          <w:kern w:val="0"/>
          <w:sz w:val="24"/>
          <w:lang w:val="en-US" w:eastAsia="zh-CN"/>
        </w:rPr>
        <w:t>0898-</w:t>
      </w:r>
      <w:r>
        <w:rPr>
          <w:rFonts w:hint="eastAsia" w:ascii="宋体" w:hAnsi="宋体" w:cs="宋体"/>
          <w:kern w:val="0"/>
          <w:sz w:val="24"/>
        </w:rPr>
        <w:t>66779391</w:t>
      </w:r>
    </w:p>
    <w:p w14:paraId="157A240E">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2.采购代理机构信息</w:t>
      </w:r>
      <w:bookmarkEnd w:id="55"/>
      <w:bookmarkEnd w:id="56"/>
      <w:bookmarkEnd w:id="57"/>
      <w:bookmarkEnd w:id="58"/>
    </w:p>
    <w:p w14:paraId="6EFDF73F">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名    称：　海南省教学仪器设备招标中心有限公司　　</w:t>
      </w:r>
    </w:p>
    <w:p w14:paraId="4056024F">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地　　址：　海南省海口市蓝天路2-8号　　</w:t>
      </w:r>
    </w:p>
    <w:p w14:paraId="27A02897">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联系方式：　0898-667</w:t>
      </w:r>
      <w:r>
        <w:rPr>
          <w:rFonts w:hint="eastAsia" w:ascii="宋体" w:hAnsi="宋体" w:cs="宋体"/>
          <w:kern w:val="0"/>
          <w:sz w:val="24"/>
          <w:lang w:val="en-US" w:eastAsia="zh-CN"/>
        </w:rPr>
        <w:t>57906</w:t>
      </w:r>
    </w:p>
    <w:p w14:paraId="2AADD28B">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3.项目联系方式</w:t>
      </w:r>
    </w:p>
    <w:p w14:paraId="44B623A3">
      <w:pPr>
        <w:adjustRightInd w:val="0"/>
        <w:snapToGrid w:val="0"/>
        <w:spacing w:line="360" w:lineRule="auto"/>
        <w:ind w:firstLine="480" w:firstLineChars="200"/>
        <w:rPr>
          <w:rFonts w:hint="eastAsia" w:ascii="宋体" w:hAnsi="宋体" w:eastAsia="宋体" w:cs="宋体"/>
          <w:kern w:val="0"/>
          <w:sz w:val="24"/>
          <w:lang w:eastAsia="zh-CN"/>
        </w:rPr>
      </w:pPr>
      <w:r>
        <w:rPr>
          <w:rFonts w:hint="eastAsia" w:ascii="宋体" w:hAnsi="宋体" w:cs="宋体"/>
          <w:kern w:val="0"/>
          <w:sz w:val="24"/>
        </w:rPr>
        <w:t>项目联系人：</w:t>
      </w:r>
      <w:r>
        <w:rPr>
          <w:rFonts w:hint="eastAsia" w:ascii="宋体" w:hAnsi="宋体" w:cs="宋体"/>
          <w:kern w:val="0"/>
          <w:sz w:val="24"/>
          <w:lang w:val="en-US" w:eastAsia="zh-CN"/>
        </w:rPr>
        <w:t>孙工</w:t>
      </w:r>
    </w:p>
    <w:p w14:paraId="49F04971">
      <w:pPr>
        <w:adjustRightInd w:val="0"/>
        <w:snapToGrid w:val="0"/>
        <w:spacing w:line="360" w:lineRule="auto"/>
        <w:ind w:firstLine="480" w:firstLineChars="200"/>
        <w:jc w:val="left"/>
        <w:rPr>
          <w:rFonts w:hint="default" w:ascii="宋体" w:hAnsi="宋体" w:eastAsia="宋体"/>
          <w:b/>
          <w:sz w:val="36"/>
          <w:szCs w:val="36"/>
          <w:lang w:val="en-US" w:eastAsia="zh-CN"/>
        </w:rPr>
      </w:pPr>
      <w:r>
        <w:rPr>
          <w:rFonts w:hint="eastAsia" w:ascii="宋体" w:hAnsi="宋体" w:cs="宋体"/>
          <w:kern w:val="0"/>
          <w:sz w:val="24"/>
        </w:rPr>
        <w:t>电话： 0898-667</w:t>
      </w:r>
      <w:r>
        <w:rPr>
          <w:rFonts w:hint="eastAsia" w:ascii="宋体" w:hAnsi="宋体" w:cs="宋体"/>
          <w:kern w:val="0"/>
          <w:sz w:val="24"/>
          <w:lang w:val="en-US" w:eastAsia="zh-CN"/>
        </w:rPr>
        <w:t>57906</w:t>
      </w:r>
    </w:p>
    <w:p w14:paraId="5C06063D">
      <w:pPr>
        <w:adjustRightInd w:val="0"/>
        <w:snapToGrid w:val="0"/>
        <w:spacing w:line="360" w:lineRule="auto"/>
        <w:ind w:firstLine="480" w:firstLineChars="200"/>
        <w:rPr>
          <w:rFonts w:ascii="宋体" w:hAnsi="宋体" w:cs="宋体"/>
          <w:color w:val="000000"/>
          <w:kern w:val="0"/>
          <w:sz w:val="24"/>
        </w:rPr>
      </w:pPr>
    </w:p>
    <w:bookmarkEnd w:id="19"/>
    <w:bookmarkEnd w:id="20"/>
    <w:p w14:paraId="7E451438">
      <w:pPr>
        <w:pStyle w:val="22"/>
        <w:adjustRightInd w:val="0"/>
        <w:snapToGrid w:val="0"/>
        <w:spacing w:line="300" w:lineRule="auto"/>
        <w:ind w:left="0" w:right="0" w:firstLine="0"/>
        <w:jc w:val="center"/>
        <w:outlineLvl w:val="0"/>
        <w:rPr>
          <w:b/>
          <w:bCs/>
          <w:sz w:val="32"/>
          <w:szCs w:val="32"/>
        </w:rPr>
      </w:pPr>
      <w:r>
        <w:rPr>
          <w:b/>
          <w:bCs/>
          <w:sz w:val="32"/>
          <w:szCs w:val="32"/>
        </w:rPr>
        <w:br w:type="page"/>
      </w:r>
      <w:r>
        <w:rPr>
          <w:rFonts w:hint="eastAsia"/>
          <w:b/>
          <w:bCs/>
          <w:sz w:val="32"/>
          <w:szCs w:val="32"/>
        </w:rPr>
        <w:t>第二部分  竞争性磋商采购项目需求</w:t>
      </w:r>
    </w:p>
    <w:p w14:paraId="09EA189A">
      <w:pPr>
        <w:spacing w:line="360" w:lineRule="auto"/>
        <w:ind w:firstLine="112" w:firstLineChars="47"/>
        <w:outlineLvl w:val="0"/>
        <w:rPr>
          <w:rFonts w:ascii="宋体" w:hAnsi="宋体"/>
          <w:b/>
          <w:bCs/>
          <w:kern w:val="0"/>
          <w:sz w:val="32"/>
          <w:shd w:val="clear" w:color="auto" w:fill="FFFFFF"/>
        </w:rPr>
      </w:pPr>
      <w:r>
        <w:rPr>
          <w:rFonts w:hint="eastAsia" w:ascii="宋体" w:hAnsi="宋体"/>
          <w:b/>
          <w:bCs/>
          <w:kern w:val="24"/>
          <w:sz w:val="24"/>
          <w:shd w:val="clear" w:color="auto" w:fill="FFFFFF"/>
          <w:lang w:val="en-US" w:eastAsia="zh-CN"/>
        </w:rPr>
        <w:t>一、</w:t>
      </w:r>
      <w:r>
        <w:rPr>
          <w:rFonts w:hint="eastAsia" w:ascii="宋体" w:hAnsi="宋体"/>
          <w:b/>
          <w:bCs/>
          <w:kern w:val="24"/>
          <w:sz w:val="24"/>
          <w:shd w:val="clear" w:color="auto" w:fill="FFFFFF"/>
        </w:rPr>
        <w:t>供应商须知前附表</w:t>
      </w:r>
    </w:p>
    <w:tbl>
      <w:tblPr>
        <w:tblStyle w:val="37"/>
        <w:tblW w:w="98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45" w:type="dxa"/>
          <w:left w:w="96" w:type="dxa"/>
          <w:bottom w:w="45" w:type="dxa"/>
          <w:right w:w="96" w:type="dxa"/>
        </w:tblCellMar>
      </w:tblPr>
      <w:tblGrid>
        <w:gridCol w:w="792"/>
        <w:gridCol w:w="2219"/>
        <w:gridCol w:w="6843"/>
      </w:tblGrid>
      <w:tr w14:paraId="1E9A90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92" w:type="dxa"/>
            <w:noWrap/>
            <w:vAlign w:val="center"/>
          </w:tcPr>
          <w:p w14:paraId="26911CB6">
            <w:pPr>
              <w:pStyle w:val="177"/>
              <w:snapToGrid w:val="0"/>
              <w:spacing w:line="500" w:lineRule="exact"/>
              <w:ind w:left="9" w:firstLine="0"/>
              <w:jc w:val="center"/>
              <w:rPr>
                <w:rFonts w:ascii="宋体" w:hAnsi="宋体"/>
                <w:b/>
                <w:sz w:val="24"/>
                <w:szCs w:val="24"/>
                <w:shd w:val="clear" w:color="auto" w:fill="FFFFFF"/>
                <w:lang w:val="zh-CN"/>
              </w:rPr>
            </w:pPr>
            <w:r>
              <w:rPr>
                <w:rFonts w:hint="eastAsia" w:ascii="宋体" w:hAnsi="宋体"/>
                <w:b/>
                <w:sz w:val="24"/>
                <w:szCs w:val="24"/>
                <w:shd w:val="clear" w:color="auto" w:fill="FFFFFF"/>
                <w:lang w:val="zh-CN"/>
              </w:rPr>
              <w:t>序号</w:t>
            </w:r>
          </w:p>
        </w:tc>
        <w:tc>
          <w:tcPr>
            <w:tcW w:w="2219" w:type="dxa"/>
            <w:noWrap/>
            <w:vAlign w:val="center"/>
          </w:tcPr>
          <w:p w14:paraId="288F138C">
            <w:pPr>
              <w:pStyle w:val="177"/>
              <w:snapToGrid w:val="0"/>
              <w:spacing w:line="500" w:lineRule="exact"/>
              <w:ind w:left="0" w:leftChars="0" w:firstLine="0" w:firstLineChars="0"/>
              <w:jc w:val="center"/>
              <w:rPr>
                <w:rFonts w:ascii="宋体" w:hAnsi="宋体"/>
                <w:b/>
                <w:sz w:val="24"/>
                <w:szCs w:val="24"/>
                <w:shd w:val="clear" w:color="auto" w:fill="FFFFFF"/>
                <w:lang w:val="zh-CN"/>
              </w:rPr>
            </w:pPr>
            <w:r>
              <w:rPr>
                <w:rFonts w:hint="eastAsia" w:ascii="宋体" w:hAnsi="宋体"/>
                <w:b/>
                <w:sz w:val="24"/>
                <w:szCs w:val="24"/>
                <w:shd w:val="clear" w:color="auto" w:fill="FFFFFF"/>
                <w:lang w:val="zh-CN"/>
              </w:rPr>
              <w:t>条款名称</w:t>
            </w:r>
          </w:p>
        </w:tc>
        <w:tc>
          <w:tcPr>
            <w:tcW w:w="6843" w:type="dxa"/>
            <w:noWrap/>
            <w:vAlign w:val="center"/>
          </w:tcPr>
          <w:p w14:paraId="40B5825D">
            <w:pPr>
              <w:pStyle w:val="177"/>
              <w:snapToGrid w:val="0"/>
              <w:spacing w:line="500" w:lineRule="exact"/>
              <w:ind w:left="571" w:leftChars="272" w:firstLine="1677" w:firstLineChars="699"/>
              <w:jc w:val="center"/>
              <w:rPr>
                <w:rFonts w:ascii="宋体" w:hAnsi="宋体"/>
                <w:b/>
                <w:sz w:val="24"/>
                <w:szCs w:val="24"/>
                <w:shd w:val="clear" w:color="auto" w:fill="FFFFFF"/>
                <w:lang w:val="zh-CN"/>
              </w:rPr>
            </w:pPr>
            <w:r>
              <w:rPr>
                <w:rFonts w:hint="eastAsia" w:ascii="宋体" w:hAnsi="宋体"/>
                <w:b/>
                <w:sz w:val="24"/>
                <w:szCs w:val="24"/>
                <w:shd w:val="clear" w:color="auto" w:fill="FFFFFF"/>
                <w:lang w:val="zh-CN"/>
              </w:rPr>
              <w:t>说明和要求</w:t>
            </w:r>
          </w:p>
        </w:tc>
      </w:tr>
      <w:tr w14:paraId="78D035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92" w:type="dxa"/>
            <w:noWrap/>
            <w:vAlign w:val="center"/>
          </w:tcPr>
          <w:p w14:paraId="0EFDC18C">
            <w:pPr>
              <w:snapToGrid w:val="0"/>
              <w:jc w:val="center"/>
              <w:rPr>
                <w:rFonts w:ascii="宋体" w:eastAsia="宋体"/>
                <w:sz w:val="24"/>
                <w:lang w:val="zh-CN"/>
              </w:rPr>
            </w:pPr>
            <w:r>
              <w:rPr>
                <w:rFonts w:hint="eastAsia" w:ascii="宋体" w:eastAsia="宋体"/>
                <w:sz w:val="24"/>
                <w:lang w:val="zh-CN"/>
              </w:rPr>
              <w:t>1</w:t>
            </w:r>
          </w:p>
        </w:tc>
        <w:tc>
          <w:tcPr>
            <w:tcW w:w="2219" w:type="dxa"/>
            <w:noWrap/>
            <w:vAlign w:val="center"/>
          </w:tcPr>
          <w:p w14:paraId="6C47FDCF">
            <w:pPr>
              <w:snapToGrid w:val="0"/>
              <w:spacing w:line="380" w:lineRule="exact"/>
              <w:jc w:val="center"/>
              <w:rPr>
                <w:rFonts w:ascii="宋体" w:hAnsi="宋体" w:eastAsia="宋体"/>
                <w:kern w:val="0"/>
                <w:sz w:val="24"/>
                <w:shd w:val="clear" w:color="auto" w:fill="FFFFFF"/>
              </w:rPr>
            </w:pPr>
            <w:r>
              <w:rPr>
                <w:rFonts w:hint="eastAsia" w:ascii="宋体" w:hAnsi="宋体" w:eastAsia="宋体"/>
                <w:sz w:val="24"/>
                <w:shd w:val="clear" w:color="auto" w:fill="FFFFFF"/>
                <w:lang w:val="zh-CN"/>
              </w:rPr>
              <w:t>项目预算</w:t>
            </w:r>
          </w:p>
        </w:tc>
        <w:tc>
          <w:tcPr>
            <w:tcW w:w="6843" w:type="dxa"/>
            <w:noWrap/>
            <w:vAlign w:val="center"/>
          </w:tcPr>
          <w:p w14:paraId="6884B110">
            <w:pPr>
              <w:adjustRightInd w:val="0"/>
              <w:snapToGri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color w:val="auto"/>
                <w:kern w:val="0"/>
                <w:sz w:val="24"/>
                <w:lang w:val="en-US" w:eastAsia="zh-CN"/>
              </w:rPr>
              <w:t>项目预算：91.8</w:t>
            </w:r>
            <w:r>
              <w:rPr>
                <w:rFonts w:hint="eastAsia" w:ascii="宋体" w:hAnsi="宋体" w:eastAsia="宋体" w:cs="宋体"/>
                <w:color w:val="auto"/>
                <w:kern w:val="0"/>
                <w:sz w:val="24"/>
              </w:rPr>
              <w:t>万元</w:t>
            </w:r>
          </w:p>
          <w:p w14:paraId="76C0DD20">
            <w:pPr>
              <w:adjustRightInd w:val="0"/>
              <w:snapToGrid w:val="0"/>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其中，1包：2025年商用密码应用安全性评估（包含10个测评对象）45万元；</w:t>
            </w:r>
          </w:p>
          <w:p w14:paraId="7252A956">
            <w:pPr>
              <w:adjustRightInd w:val="0"/>
              <w:snapToGrid w:val="0"/>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2包：</w:t>
            </w:r>
            <w:r>
              <w:rPr>
                <w:rFonts w:hint="eastAsia" w:ascii="宋体" w:hAnsi="宋体" w:cs="宋体"/>
                <w:kern w:val="0"/>
                <w:sz w:val="24"/>
                <w:lang w:val="en-US" w:eastAsia="zh-CN"/>
              </w:rPr>
              <w:t>数字底座与教育教学管理服务一体化系统（海南省智慧教育平台（一期））</w:t>
            </w:r>
            <w:r>
              <w:rPr>
                <w:rFonts w:hint="eastAsia" w:ascii="宋体" w:hAnsi="宋体" w:eastAsia="宋体" w:cs="宋体"/>
                <w:kern w:val="0"/>
                <w:sz w:val="24"/>
                <w:lang w:val="en-US" w:eastAsia="zh-CN"/>
              </w:rPr>
              <w:t>商用密码应用安全性评估28.8万元；</w:t>
            </w:r>
          </w:p>
          <w:p w14:paraId="71FC08FC">
            <w:pPr>
              <w:adjustRightInd w:val="0"/>
              <w:snapToGrid w:val="0"/>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3包：海南省教育省域网商用密码应用安全性评估10万元；</w:t>
            </w:r>
          </w:p>
          <w:p w14:paraId="07634E9C">
            <w:pPr>
              <w:adjustRightInd w:val="0"/>
              <w:snapToGrid w:val="0"/>
              <w:spacing w:line="360" w:lineRule="auto"/>
              <w:ind w:firstLine="480" w:firstLineChars="200"/>
              <w:jc w:val="left"/>
              <w:rPr>
                <w:rFonts w:ascii="宋体" w:hAnsi="宋体" w:eastAsia="宋体" w:cs="宋体"/>
                <w:kern w:val="0"/>
                <w:sz w:val="24"/>
                <w:shd w:val="clear" w:color="auto" w:fill="FFFFFF"/>
              </w:rPr>
            </w:pPr>
            <w:r>
              <w:rPr>
                <w:rFonts w:hint="eastAsia" w:ascii="宋体" w:hAnsi="宋体" w:eastAsia="宋体" w:cs="宋体"/>
                <w:kern w:val="0"/>
                <w:sz w:val="24"/>
                <w:lang w:val="en-US" w:eastAsia="zh-CN"/>
              </w:rPr>
              <w:t>4包：海南省教育省域网等级保护测评8万元。</w:t>
            </w:r>
          </w:p>
        </w:tc>
      </w:tr>
      <w:tr w14:paraId="14984A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92" w:type="dxa"/>
            <w:noWrap/>
            <w:vAlign w:val="center"/>
          </w:tcPr>
          <w:p w14:paraId="49C14671">
            <w:pPr>
              <w:snapToGrid w:val="0"/>
              <w:jc w:val="center"/>
              <w:rPr>
                <w:rFonts w:ascii="宋体" w:eastAsia="宋体"/>
                <w:sz w:val="24"/>
                <w:lang w:val="zh-CN"/>
              </w:rPr>
            </w:pPr>
            <w:r>
              <w:rPr>
                <w:rFonts w:hint="eastAsia" w:ascii="宋体" w:eastAsia="宋体"/>
                <w:sz w:val="24"/>
                <w:lang w:val="zh-CN"/>
              </w:rPr>
              <w:t>2</w:t>
            </w:r>
          </w:p>
        </w:tc>
        <w:tc>
          <w:tcPr>
            <w:tcW w:w="2219" w:type="dxa"/>
            <w:noWrap/>
            <w:vAlign w:val="center"/>
          </w:tcPr>
          <w:p w14:paraId="2580559F">
            <w:pPr>
              <w:snapToGrid w:val="0"/>
              <w:spacing w:line="440" w:lineRule="exact"/>
              <w:jc w:val="center"/>
              <w:rPr>
                <w:rFonts w:ascii="宋体" w:hAnsi="宋体" w:eastAsia="宋体" w:cs="宋体"/>
                <w:kern w:val="0"/>
                <w:sz w:val="24"/>
                <w:shd w:val="clear" w:color="auto" w:fill="FFFFFF"/>
                <w:lang w:val="zh-CN"/>
              </w:rPr>
            </w:pPr>
            <w:r>
              <w:rPr>
                <w:rFonts w:hint="eastAsia" w:ascii="宋体" w:hAnsi="宋体" w:eastAsia="宋体" w:cs="宋体"/>
                <w:kern w:val="0"/>
                <w:sz w:val="24"/>
                <w:shd w:val="clear" w:color="auto" w:fill="FFFFFF"/>
                <w:lang w:val="zh-CN"/>
              </w:rPr>
              <w:t>是否接受进口产品投标</w:t>
            </w:r>
          </w:p>
        </w:tc>
        <w:tc>
          <w:tcPr>
            <w:tcW w:w="6843" w:type="dxa"/>
            <w:noWrap/>
            <w:vAlign w:val="center"/>
          </w:tcPr>
          <w:p w14:paraId="4F4EA990">
            <w:pPr>
              <w:snapToGrid w:val="0"/>
              <w:spacing w:line="440" w:lineRule="exact"/>
              <w:ind w:firstLine="240" w:firstLineChars="100"/>
              <w:jc w:val="left"/>
              <w:rPr>
                <w:rFonts w:ascii="宋体" w:hAnsi="宋体" w:eastAsia="宋体" w:cs="宋体"/>
                <w:kern w:val="0"/>
                <w:sz w:val="24"/>
                <w:shd w:val="clear" w:color="auto" w:fill="FFFFFF"/>
                <w:lang w:val="zh-CN"/>
              </w:rPr>
            </w:pPr>
            <w:r>
              <w:rPr>
                <w:rFonts w:hint="eastAsia" w:ascii="宋体" w:hAnsi="宋体" w:eastAsia="宋体" w:cs="宋体"/>
                <w:kern w:val="0"/>
                <w:sz w:val="24"/>
                <w:shd w:val="clear" w:color="auto" w:fill="FFFFFF"/>
                <w:lang w:val="zh-CN"/>
              </w:rPr>
              <w:t>接受（ ）    不接受（√）</w:t>
            </w:r>
          </w:p>
        </w:tc>
      </w:tr>
      <w:tr w14:paraId="525DCE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92" w:type="dxa"/>
            <w:noWrap/>
            <w:vAlign w:val="center"/>
          </w:tcPr>
          <w:p w14:paraId="4A84FB6A">
            <w:pPr>
              <w:snapToGrid w:val="0"/>
              <w:jc w:val="center"/>
              <w:rPr>
                <w:rFonts w:ascii="宋体" w:eastAsia="宋体"/>
                <w:sz w:val="24"/>
                <w:lang w:val="zh-CN"/>
              </w:rPr>
            </w:pPr>
            <w:r>
              <w:rPr>
                <w:rFonts w:hint="eastAsia" w:ascii="宋体" w:eastAsia="宋体"/>
                <w:sz w:val="24"/>
                <w:lang w:val="zh-CN"/>
              </w:rPr>
              <w:t>3</w:t>
            </w:r>
          </w:p>
        </w:tc>
        <w:tc>
          <w:tcPr>
            <w:tcW w:w="2219" w:type="dxa"/>
            <w:noWrap/>
            <w:vAlign w:val="center"/>
          </w:tcPr>
          <w:p w14:paraId="58C00EC1">
            <w:pPr>
              <w:snapToGrid w:val="0"/>
              <w:spacing w:line="500" w:lineRule="exact"/>
              <w:jc w:val="center"/>
              <w:rPr>
                <w:rFonts w:ascii="宋体" w:hAnsi="宋体" w:eastAsia="宋体"/>
                <w:sz w:val="24"/>
                <w:shd w:val="clear" w:color="auto" w:fill="FFFFFF"/>
              </w:rPr>
            </w:pPr>
            <w:r>
              <w:rPr>
                <w:rFonts w:hint="eastAsia" w:ascii="宋体" w:hAnsi="宋体" w:eastAsia="宋体"/>
                <w:sz w:val="24"/>
                <w:shd w:val="clear" w:color="auto" w:fill="FFFFFF"/>
              </w:rPr>
              <w:t>标前踏勘现场</w:t>
            </w:r>
          </w:p>
        </w:tc>
        <w:tc>
          <w:tcPr>
            <w:tcW w:w="6843" w:type="dxa"/>
            <w:noWrap/>
            <w:vAlign w:val="center"/>
          </w:tcPr>
          <w:p w14:paraId="61196563">
            <w:pPr>
              <w:snapToGrid w:val="0"/>
              <w:spacing w:line="500" w:lineRule="exact"/>
              <w:ind w:firstLine="240" w:firstLineChars="100"/>
              <w:jc w:val="left"/>
              <w:rPr>
                <w:rFonts w:ascii="宋体" w:hAnsi="宋体" w:eastAsia="宋体"/>
                <w:kern w:val="0"/>
                <w:sz w:val="24"/>
                <w:shd w:val="clear" w:color="auto" w:fill="FFFFFF"/>
                <w:lang w:val="zh-CN"/>
              </w:rPr>
            </w:pPr>
            <w:r>
              <w:rPr>
                <w:rFonts w:hint="eastAsia" w:ascii="宋体" w:hAnsi="宋体" w:eastAsia="宋体"/>
                <w:kern w:val="0"/>
                <w:sz w:val="24"/>
                <w:shd w:val="clear" w:color="auto" w:fill="FFFFFF"/>
                <w:lang w:val="zh-CN"/>
              </w:rPr>
              <w:t>组织（）   不组织（√）</w:t>
            </w:r>
          </w:p>
        </w:tc>
      </w:tr>
      <w:tr w14:paraId="041C82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92" w:type="dxa"/>
            <w:noWrap/>
            <w:vAlign w:val="center"/>
          </w:tcPr>
          <w:p w14:paraId="2990699B">
            <w:pPr>
              <w:snapToGrid w:val="0"/>
              <w:jc w:val="center"/>
              <w:rPr>
                <w:rFonts w:ascii="宋体" w:eastAsia="宋体"/>
                <w:sz w:val="24"/>
                <w:lang w:val="zh-CN"/>
              </w:rPr>
            </w:pPr>
            <w:r>
              <w:rPr>
                <w:rFonts w:hint="eastAsia" w:ascii="宋体" w:eastAsia="宋体"/>
                <w:sz w:val="24"/>
                <w:lang w:val="zh-CN"/>
              </w:rPr>
              <w:t>4</w:t>
            </w:r>
          </w:p>
        </w:tc>
        <w:tc>
          <w:tcPr>
            <w:tcW w:w="2219" w:type="dxa"/>
            <w:noWrap/>
            <w:vAlign w:val="center"/>
          </w:tcPr>
          <w:p w14:paraId="0B81962D">
            <w:pPr>
              <w:pStyle w:val="177"/>
              <w:snapToGrid w:val="0"/>
              <w:spacing w:line="500" w:lineRule="exact"/>
              <w:ind w:left="0" w:firstLine="0"/>
              <w:jc w:val="center"/>
              <w:rPr>
                <w:rFonts w:ascii="宋体" w:hAnsi="宋体" w:eastAsia="宋体"/>
                <w:kern w:val="0"/>
                <w:sz w:val="24"/>
                <w:szCs w:val="24"/>
                <w:shd w:val="clear" w:color="auto" w:fill="FFFFFF"/>
                <w:lang w:val="zh-CN"/>
              </w:rPr>
            </w:pPr>
            <w:r>
              <w:rPr>
                <w:rFonts w:hint="eastAsia" w:ascii="宋体" w:hAnsi="宋体" w:eastAsia="宋体"/>
                <w:kern w:val="0"/>
                <w:sz w:val="24"/>
                <w:szCs w:val="24"/>
                <w:shd w:val="clear" w:color="auto" w:fill="FFFFFF"/>
                <w:lang w:val="zh-CN"/>
              </w:rPr>
              <w:t>述标和/或产（样）品演（展）示</w:t>
            </w:r>
          </w:p>
        </w:tc>
        <w:tc>
          <w:tcPr>
            <w:tcW w:w="6843" w:type="dxa"/>
            <w:noWrap/>
            <w:vAlign w:val="center"/>
          </w:tcPr>
          <w:p w14:paraId="032C1E26">
            <w:pPr>
              <w:widowControl/>
              <w:tabs>
                <w:tab w:val="left" w:pos="425"/>
              </w:tabs>
              <w:snapToGrid w:val="0"/>
              <w:spacing w:line="360" w:lineRule="exact"/>
              <w:ind w:firstLine="240" w:firstLineChars="100"/>
              <w:jc w:val="left"/>
              <w:rPr>
                <w:rFonts w:ascii="宋体" w:hAnsi="宋体" w:eastAsia="宋体"/>
                <w:kern w:val="0"/>
                <w:sz w:val="24"/>
                <w:shd w:val="clear" w:color="auto" w:fill="FFFFFF"/>
                <w:lang w:val="zh-CN"/>
              </w:rPr>
            </w:pPr>
            <w:r>
              <w:rPr>
                <w:rFonts w:hint="eastAsia" w:ascii="宋体" w:hAnsi="宋体" w:eastAsia="宋体"/>
                <w:kern w:val="0"/>
                <w:sz w:val="24"/>
                <w:shd w:val="clear" w:color="auto" w:fill="FFFFFF"/>
                <w:lang w:val="zh-CN"/>
              </w:rPr>
              <w:t>有（ ）       无（√）</w:t>
            </w:r>
          </w:p>
        </w:tc>
      </w:tr>
      <w:tr w14:paraId="45F411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92" w:type="dxa"/>
            <w:noWrap/>
            <w:vAlign w:val="center"/>
          </w:tcPr>
          <w:p w14:paraId="51C157A4">
            <w:pPr>
              <w:snapToGrid w:val="0"/>
              <w:jc w:val="center"/>
              <w:rPr>
                <w:rFonts w:ascii="宋体" w:eastAsia="宋体"/>
                <w:sz w:val="24"/>
                <w:lang w:val="zh-CN"/>
              </w:rPr>
            </w:pPr>
            <w:r>
              <w:rPr>
                <w:rFonts w:hint="eastAsia" w:ascii="宋体" w:eastAsia="宋体"/>
                <w:sz w:val="24"/>
                <w:lang w:val="zh-CN"/>
              </w:rPr>
              <w:t>5</w:t>
            </w:r>
          </w:p>
        </w:tc>
        <w:tc>
          <w:tcPr>
            <w:tcW w:w="2219" w:type="dxa"/>
            <w:noWrap/>
            <w:vAlign w:val="center"/>
          </w:tcPr>
          <w:p w14:paraId="5FC87CA2">
            <w:pPr>
              <w:pStyle w:val="177"/>
              <w:snapToGrid w:val="0"/>
              <w:spacing w:line="500" w:lineRule="exact"/>
              <w:ind w:left="0" w:firstLine="0"/>
              <w:jc w:val="center"/>
              <w:rPr>
                <w:rFonts w:ascii="宋体" w:hAnsi="宋体" w:eastAsia="宋体"/>
                <w:sz w:val="24"/>
                <w:szCs w:val="24"/>
                <w:shd w:val="clear" w:color="auto" w:fill="FFFFFF"/>
                <w:lang w:val="zh-CN"/>
              </w:rPr>
            </w:pPr>
            <w:r>
              <w:rPr>
                <w:rFonts w:hint="eastAsia" w:ascii="宋体" w:hAnsi="宋体" w:eastAsia="宋体"/>
                <w:sz w:val="24"/>
                <w:szCs w:val="24"/>
                <w:shd w:val="clear" w:color="auto" w:fill="FFFFFF"/>
                <w:lang w:val="zh-CN"/>
              </w:rPr>
              <w:t>响应有效期</w:t>
            </w:r>
          </w:p>
        </w:tc>
        <w:tc>
          <w:tcPr>
            <w:tcW w:w="6843" w:type="dxa"/>
            <w:noWrap/>
            <w:vAlign w:val="center"/>
          </w:tcPr>
          <w:p w14:paraId="2D0CD38C">
            <w:pPr>
              <w:pStyle w:val="177"/>
              <w:snapToGrid w:val="0"/>
              <w:spacing w:line="360" w:lineRule="exact"/>
              <w:jc w:val="left"/>
              <w:rPr>
                <w:rFonts w:ascii="宋体" w:hAnsi="宋体" w:eastAsia="宋体"/>
                <w:sz w:val="24"/>
                <w:szCs w:val="24"/>
                <w:shd w:val="clear" w:color="auto" w:fill="FFFFFF"/>
                <w:lang w:val="zh-CN"/>
              </w:rPr>
            </w:pPr>
            <w:r>
              <w:rPr>
                <w:rFonts w:hint="eastAsia" w:ascii="宋体" w:hAnsi="宋体" w:eastAsia="宋体"/>
                <w:sz w:val="24"/>
                <w:szCs w:val="24"/>
                <w:shd w:val="clear" w:color="auto" w:fill="FFFFFF"/>
              </w:rPr>
              <w:t>自响应文件递交之日起90天内。</w:t>
            </w:r>
          </w:p>
        </w:tc>
      </w:tr>
      <w:tr w14:paraId="68DF0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92" w:type="dxa"/>
            <w:noWrap/>
            <w:vAlign w:val="center"/>
          </w:tcPr>
          <w:p w14:paraId="037C7828">
            <w:pPr>
              <w:snapToGrid w:val="0"/>
              <w:jc w:val="center"/>
              <w:rPr>
                <w:rFonts w:ascii="宋体" w:eastAsia="宋体"/>
                <w:sz w:val="24"/>
              </w:rPr>
            </w:pPr>
            <w:r>
              <w:rPr>
                <w:rFonts w:hint="eastAsia" w:ascii="宋体" w:eastAsia="宋体"/>
                <w:sz w:val="24"/>
              </w:rPr>
              <w:t>6</w:t>
            </w:r>
          </w:p>
        </w:tc>
        <w:tc>
          <w:tcPr>
            <w:tcW w:w="2219" w:type="dxa"/>
            <w:noWrap/>
            <w:vAlign w:val="center"/>
          </w:tcPr>
          <w:p w14:paraId="078E6936">
            <w:pPr>
              <w:pStyle w:val="177"/>
              <w:snapToGrid w:val="0"/>
              <w:spacing w:line="500" w:lineRule="exact"/>
              <w:ind w:left="0" w:firstLine="0"/>
              <w:jc w:val="center"/>
              <w:rPr>
                <w:rFonts w:ascii="宋体" w:hAnsi="宋体" w:eastAsia="宋体"/>
                <w:sz w:val="24"/>
                <w:szCs w:val="24"/>
                <w:shd w:val="clear" w:color="auto" w:fill="FFFFFF"/>
                <w:lang w:val="zh-CN"/>
              </w:rPr>
            </w:pPr>
            <w:r>
              <w:rPr>
                <w:rFonts w:hint="eastAsia" w:ascii="宋体" w:hAnsi="宋体" w:eastAsia="宋体"/>
                <w:sz w:val="24"/>
                <w:szCs w:val="24"/>
                <w:shd w:val="clear" w:color="auto" w:fill="FFFFFF"/>
                <w:lang w:val="zh-CN"/>
              </w:rPr>
              <w:t>评审方法</w:t>
            </w:r>
          </w:p>
        </w:tc>
        <w:tc>
          <w:tcPr>
            <w:tcW w:w="6843" w:type="dxa"/>
            <w:noWrap/>
            <w:vAlign w:val="center"/>
          </w:tcPr>
          <w:p w14:paraId="4CEB475F">
            <w:pPr>
              <w:pStyle w:val="177"/>
              <w:snapToGrid w:val="0"/>
              <w:spacing w:line="400" w:lineRule="exact"/>
              <w:ind w:left="65" w:leftChars="31" w:firstLine="120" w:firstLineChars="50"/>
              <w:jc w:val="left"/>
              <w:rPr>
                <w:rFonts w:ascii="宋体" w:hAnsi="宋体" w:eastAsia="宋体"/>
                <w:sz w:val="24"/>
                <w:szCs w:val="24"/>
                <w:shd w:val="clear" w:color="auto" w:fill="FFFFFF"/>
                <w:lang w:val="zh-CN"/>
              </w:rPr>
            </w:pPr>
            <w:r>
              <w:rPr>
                <w:rFonts w:hint="eastAsia" w:ascii="宋体" w:hAnsi="宋体" w:eastAsia="宋体"/>
                <w:sz w:val="24"/>
                <w:szCs w:val="24"/>
                <w:shd w:val="clear" w:color="auto" w:fill="FFFFFF"/>
                <w:lang w:val="zh-CN"/>
              </w:rPr>
              <w:t>最低评标价法（  ） 综合评分法（√）</w:t>
            </w:r>
          </w:p>
        </w:tc>
      </w:tr>
      <w:tr w14:paraId="527D6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92" w:type="dxa"/>
            <w:noWrap/>
            <w:vAlign w:val="center"/>
          </w:tcPr>
          <w:p w14:paraId="5D5D0461">
            <w:pPr>
              <w:snapToGrid w:val="0"/>
              <w:jc w:val="center"/>
              <w:rPr>
                <w:rFonts w:ascii="宋体" w:eastAsia="宋体"/>
                <w:sz w:val="24"/>
              </w:rPr>
            </w:pPr>
            <w:r>
              <w:rPr>
                <w:rFonts w:hint="eastAsia" w:ascii="宋体" w:eastAsia="宋体"/>
                <w:sz w:val="24"/>
              </w:rPr>
              <w:t>7</w:t>
            </w:r>
          </w:p>
        </w:tc>
        <w:tc>
          <w:tcPr>
            <w:tcW w:w="2219" w:type="dxa"/>
            <w:noWrap/>
            <w:vAlign w:val="center"/>
          </w:tcPr>
          <w:p w14:paraId="5065F1B4">
            <w:pPr>
              <w:pStyle w:val="177"/>
              <w:snapToGrid w:val="0"/>
              <w:spacing w:line="500" w:lineRule="exact"/>
              <w:ind w:left="0" w:firstLine="0"/>
              <w:jc w:val="center"/>
              <w:rPr>
                <w:rFonts w:ascii="宋体" w:hAnsi="宋体" w:eastAsia="宋体"/>
                <w:sz w:val="24"/>
                <w:szCs w:val="24"/>
                <w:shd w:val="clear" w:color="auto" w:fill="FFFFFF"/>
              </w:rPr>
            </w:pPr>
            <w:r>
              <w:rPr>
                <w:rFonts w:hint="eastAsia" w:ascii="宋体" w:hAnsi="宋体" w:eastAsia="宋体"/>
                <w:bCs/>
                <w:sz w:val="24"/>
                <w:szCs w:val="24"/>
                <w:shd w:val="clear" w:color="auto" w:fill="FFFFFF"/>
              </w:rPr>
              <w:t>服务时间</w:t>
            </w:r>
          </w:p>
        </w:tc>
        <w:tc>
          <w:tcPr>
            <w:tcW w:w="6843" w:type="dxa"/>
            <w:noWrap/>
            <w:vAlign w:val="center"/>
          </w:tcPr>
          <w:p w14:paraId="1C0889A0">
            <w:pPr>
              <w:shd w:val="clear" w:fill="FFFFFF" w:themeFill="background1"/>
              <w:adjustRightInd w:val="0"/>
              <w:snapToGrid w:val="0"/>
              <w:spacing w:line="360" w:lineRule="auto"/>
              <w:ind w:firstLine="480" w:firstLineChars="200"/>
              <w:jc w:val="left"/>
              <w:rPr>
                <w:rFonts w:hint="default" w:ascii="宋体" w:hAnsi="宋体" w:eastAsia="宋体" w:cs="宋体"/>
                <w:kern w:val="0"/>
                <w:sz w:val="24"/>
                <w:highlight w:val="none"/>
                <w:lang w:val="en-US" w:eastAsia="zh-CN"/>
              </w:rPr>
            </w:pPr>
            <w:r>
              <w:rPr>
                <w:rFonts w:hint="eastAsia" w:ascii="宋体" w:hAnsi="宋体" w:eastAsia="宋体" w:cs="宋体"/>
                <w:kern w:val="0"/>
                <w:sz w:val="24"/>
                <w:lang w:val="en-US" w:eastAsia="zh-CN"/>
              </w:rPr>
              <w:t>1包自合同签订之日起60天</w:t>
            </w:r>
            <w:r>
              <w:rPr>
                <w:rFonts w:hint="eastAsia" w:ascii="宋体" w:hAnsi="宋体" w:eastAsia="宋体" w:cs="宋体"/>
                <w:kern w:val="0"/>
                <w:sz w:val="24"/>
                <w:highlight w:val="none"/>
                <w:lang w:val="en-US" w:eastAsia="zh-CN"/>
              </w:rPr>
              <w:t>。</w:t>
            </w:r>
          </w:p>
          <w:p w14:paraId="4E0FD1E3">
            <w:pPr>
              <w:shd w:val="clear" w:fill="FFFFFF" w:themeFill="background1"/>
              <w:adjustRightInd w:val="0"/>
              <w:snapToGrid w:val="0"/>
              <w:spacing w:line="360" w:lineRule="auto"/>
              <w:ind w:firstLine="480" w:firstLineChars="200"/>
              <w:jc w:val="left"/>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2包自</w:t>
            </w:r>
            <w:r>
              <w:rPr>
                <w:rFonts w:hint="eastAsia" w:ascii="宋体" w:hAnsi="宋体" w:cs="宋体"/>
                <w:kern w:val="0"/>
                <w:sz w:val="24"/>
                <w:lang w:val="en-US" w:eastAsia="zh-CN"/>
              </w:rPr>
              <w:t>数字底座与教育教学管理服务一体化系统（海南省智慧教育平台（一期））</w:t>
            </w:r>
            <w:r>
              <w:rPr>
                <w:rFonts w:hint="eastAsia" w:ascii="宋体" w:hAnsi="宋体" w:eastAsia="宋体" w:cs="宋体"/>
                <w:kern w:val="0"/>
                <w:sz w:val="24"/>
                <w:highlight w:val="none"/>
                <w:lang w:val="en-US" w:eastAsia="zh-CN"/>
              </w:rPr>
              <w:t>项目初验通过之日起</w:t>
            </w:r>
            <w:r>
              <w:rPr>
                <w:rFonts w:hint="eastAsia" w:ascii="宋体" w:hAnsi="宋体" w:eastAsia="宋体" w:cs="宋体"/>
                <w:kern w:val="0"/>
                <w:sz w:val="24"/>
                <w:lang w:val="en-US" w:eastAsia="zh-CN"/>
              </w:rPr>
              <w:t>60</w:t>
            </w:r>
            <w:r>
              <w:rPr>
                <w:rFonts w:hint="eastAsia" w:ascii="宋体" w:hAnsi="宋体" w:eastAsia="宋体" w:cs="宋体"/>
                <w:kern w:val="0"/>
                <w:sz w:val="24"/>
                <w:highlight w:val="none"/>
                <w:lang w:val="en-US" w:eastAsia="zh-CN"/>
              </w:rPr>
              <w:t>天。</w:t>
            </w:r>
          </w:p>
          <w:p w14:paraId="2F2F5422">
            <w:pPr>
              <w:shd w:val="clear" w:fill="FFFFFF" w:themeFill="background1"/>
              <w:adjustRightInd w:val="0"/>
              <w:snapToGrid w:val="0"/>
              <w:spacing w:line="360" w:lineRule="auto"/>
              <w:ind w:firstLine="480" w:firstLineChars="200"/>
              <w:jc w:val="left"/>
              <w:rPr>
                <w:rFonts w:hint="eastAsia" w:ascii="宋体" w:hAnsi="宋体" w:eastAsia="宋体" w:cs="宋体"/>
                <w:kern w:val="0"/>
                <w:sz w:val="24"/>
                <w:highlight w:val="yellow"/>
                <w:lang w:val="en-US" w:eastAsia="zh-CN"/>
              </w:rPr>
            </w:pPr>
            <w:r>
              <w:rPr>
                <w:rFonts w:hint="eastAsia" w:ascii="宋体" w:hAnsi="宋体" w:eastAsia="宋体" w:cs="宋体"/>
                <w:kern w:val="0"/>
                <w:sz w:val="24"/>
                <w:highlight w:val="none"/>
                <w:lang w:val="en-US" w:eastAsia="zh-CN"/>
              </w:rPr>
              <w:t>3包自合同签订之日起</w:t>
            </w:r>
            <w:r>
              <w:rPr>
                <w:rFonts w:hint="eastAsia" w:ascii="宋体" w:hAnsi="宋体" w:eastAsia="宋体" w:cs="宋体"/>
                <w:kern w:val="0"/>
                <w:sz w:val="24"/>
                <w:lang w:val="en-US" w:eastAsia="zh-CN"/>
              </w:rPr>
              <w:t>60</w:t>
            </w:r>
            <w:r>
              <w:rPr>
                <w:rFonts w:hint="eastAsia" w:ascii="宋体" w:hAnsi="宋体" w:eastAsia="宋体" w:cs="宋体"/>
                <w:kern w:val="0"/>
                <w:sz w:val="24"/>
                <w:highlight w:val="none"/>
                <w:lang w:val="en-US" w:eastAsia="zh-CN"/>
              </w:rPr>
              <w:t>天</w:t>
            </w:r>
            <w:r>
              <w:rPr>
                <w:rFonts w:hint="eastAsia" w:ascii="宋体" w:hAnsi="宋体" w:eastAsia="宋体" w:cs="宋体"/>
                <w:kern w:val="0"/>
                <w:sz w:val="24"/>
                <w:lang w:val="en-US" w:eastAsia="zh-CN"/>
              </w:rPr>
              <w:t>。</w:t>
            </w:r>
          </w:p>
          <w:p w14:paraId="0F3F6C5A">
            <w:pPr>
              <w:adjustRightInd w:val="0"/>
              <w:snapToGrid w:val="0"/>
              <w:spacing w:line="360" w:lineRule="auto"/>
              <w:ind w:firstLine="480" w:firstLineChars="200"/>
              <w:jc w:val="left"/>
              <w:rPr>
                <w:rFonts w:ascii="宋体" w:hAnsi="宋体" w:eastAsia="宋体"/>
                <w:sz w:val="24"/>
                <w:szCs w:val="24"/>
                <w:shd w:val="clear" w:color="auto" w:fill="FFFFFF"/>
              </w:rPr>
            </w:pPr>
            <w:r>
              <w:rPr>
                <w:rFonts w:hint="eastAsia" w:ascii="宋体" w:hAnsi="宋体" w:eastAsia="宋体" w:cs="宋体"/>
                <w:kern w:val="0"/>
                <w:sz w:val="24"/>
                <w:lang w:val="en-US" w:eastAsia="zh-CN"/>
              </w:rPr>
              <w:t>4包自合同</w:t>
            </w:r>
            <w:r>
              <w:rPr>
                <w:rFonts w:hint="eastAsia" w:ascii="宋体" w:hAnsi="宋体" w:eastAsia="宋体" w:cs="宋体"/>
                <w:kern w:val="0"/>
                <w:sz w:val="24"/>
                <w:highlight w:val="none"/>
                <w:lang w:val="en-US" w:eastAsia="zh-CN"/>
              </w:rPr>
              <w:t>签订之日起</w:t>
            </w:r>
            <w:r>
              <w:rPr>
                <w:rFonts w:hint="eastAsia" w:ascii="宋体" w:hAnsi="宋体" w:eastAsia="宋体" w:cs="宋体"/>
                <w:kern w:val="0"/>
                <w:sz w:val="24"/>
                <w:lang w:val="en-US" w:eastAsia="zh-CN"/>
              </w:rPr>
              <w:t>60</w:t>
            </w:r>
            <w:r>
              <w:rPr>
                <w:rFonts w:hint="eastAsia" w:ascii="宋体" w:hAnsi="宋体" w:eastAsia="宋体" w:cs="宋体"/>
                <w:kern w:val="0"/>
                <w:sz w:val="24"/>
                <w:highlight w:val="none"/>
                <w:lang w:val="en-US" w:eastAsia="zh-CN"/>
              </w:rPr>
              <w:t>天</w:t>
            </w:r>
            <w:r>
              <w:rPr>
                <w:rFonts w:hint="eastAsia" w:ascii="宋体" w:hAnsi="宋体" w:eastAsia="宋体" w:cs="宋体"/>
                <w:kern w:val="0"/>
                <w:sz w:val="24"/>
                <w:lang w:val="en-US" w:eastAsia="zh-CN"/>
              </w:rPr>
              <w:t>。</w:t>
            </w:r>
          </w:p>
        </w:tc>
      </w:tr>
      <w:tr w14:paraId="0C00BC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92" w:type="dxa"/>
            <w:noWrap/>
            <w:vAlign w:val="center"/>
          </w:tcPr>
          <w:p w14:paraId="7CAA8F54">
            <w:pPr>
              <w:snapToGrid w:val="0"/>
              <w:jc w:val="center"/>
              <w:rPr>
                <w:rFonts w:ascii="宋体" w:eastAsia="宋体"/>
                <w:sz w:val="24"/>
              </w:rPr>
            </w:pPr>
            <w:r>
              <w:rPr>
                <w:rFonts w:hint="eastAsia" w:ascii="宋体" w:eastAsia="宋体"/>
                <w:sz w:val="24"/>
              </w:rPr>
              <w:t>8</w:t>
            </w:r>
          </w:p>
        </w:tc>
        <w:tc>
          <w:tcPr>
            <w:tcW w:w="2219" w:type="dxa"/>
            <w:noWrap/>
            <w:vAlign w:val="center"/>
          </w:tcPr>
          <w:p w14:paraId="78F1EEE3">
            <w:pPr>
              <w:pStyle w:val="177"/>
              <w:snapToGrid w:val="0"/>
              <w:spacing w:line="500" w:lineRule="exact"/>
              <w:ind w:left="0" w:firstLine="0"/>
              <w:jc w:val="center"/>
              <w:rPr>
                <w:rFonts w:ascii="宋体" w:hAnsi="宋体" w:eastAsia="宋体"/>
                <w:sz w:val="24"/>
                <w:szCs w:val="24"/>
                <w:shd w:val="clear" w:color="auto" w:fill="FFFFFF"/>
                <w:lang w:val="zh-CN"/>
              </w:rPr>
            </w:pPr>
            <w:r>
              <w:rPr>
                <w:rFonts w:hint="eastAsia" w:ascii="宋体" w:hAnsi="宋体" w:eastAsia="宋体"/>
                <w:bCs/>
                <w:sz w:val="24"/>
                <w:szCs w:val="24"/>
                <w:shd w:val="clear" w:color="auto" w:fill="FFFFFF"/>
              </w:rPr>
              <w:t>服务</w:t>
            </w:r>
            <w:r>
              <w:rPr>
                <w:rFonts w:hint="eastAsia" w:ascii="宋体" w:hAnsi="宋体" w:eastAsia="宋体"/>
                <w:sz w:val="24"/>
                <w:szCs w:val="24"/>
                <w:shd w:val="clear" w:color="auto" w:fill="FFFFFF"/>
                <w:lang w:val="zh-CN"/>
              </w:rPr>
              <w:t>地点</w:t>
            </w:r>
          </w:p>
        </w:tc>
        <w:tc>
          <w:tcPr>
            <w:tcW w:w="6843" w:type="dxa"/>
            <w:noWrap/>
            <w:vAlign w:val="center"/>
          </w:tcPr>
          <w:p w14:paraId="37F366C6">
            <w:pPr>
              <w:pStyle w:val="177"/>
              <w:snapToGrid w:val="0"/>
              <w:spacing w:line="400" w:lineRule="exact"/>
              <w:ind w:left="0" w:firstLine="0"/>
              <w:jc w:val="left"/>
              <w:rPr>
                <w:rFonts w:ascii="宋体" w:hAnsi="宋体" w:eastAsia="宋体"/>
                <w:sz w:val="24"/>
                <w:szCs w:val="24"/>
                <w:shd w:val="clear" w:color="auto" w:fill="FFFFFF"/>
              </w:rPr>
            </w:pPr>
            <w:r>
              <w:rPr>
                <w:rFonts w:hint="eastAsia" w:ascii="宋体" w:hAnsi="宋体" w:eastAsia="宋体"/>
                <w:sz w:val="24"/>
                <w:szCs w:val="24"/>
                <w:shd w:val="clear" w:color="auto" w:fill="FFFFFF"/>
              </w:rPr>
              <w:t>采购人指定地点</w:t>
            </w:r>
          </w:p>
        </w:tc>
      </w:tr>
      <w:tr w14:paraId="319809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92" w:type="dxa"/>
            <w:noWrap/>
            <w:vAlign w:val="center"/>
          </w:tcPr>
          <w:p w14:paraId="7B3028BB">
            <w:pPr>
              <w:snapToGrid w:val="0"/>
              <w:jc w:val="center"/>
              <w:rPr>
                <w:rFonts w:ascii="宋体" w:eastAsia="宋体"/>
                <w:sz w:val="24"/>
              </w:rPr>
            </w:pPr>
            <w:r>
              <w:rPr>
                <w:rFonts w:hint="eastAsia" w:ascii="宋体" w:eastAsia="宋体"/>
                <w:sz w:val="24"/>
              </w:rPr>
              <w:t>9</w:t>
            </w:r>
          </w:p>
        </w:tc>
        <w:tc>
          <w:tcPr>
            <w:tcW w:w="2219" w:type="dxa"/>
            <w:noWrap/>
            <w:vAlign w:val="center"/>
          </w:tcPr>
          <w:p w14:paraId="41EA47C8">
            <w:pPr>
              <w:pStyle w:val="177"/>
              <w:snapToGrid w:val="0"/>
              <w:spacing w:line="400" w:lineRule="exact"/>
              <w:ind w:left="0" w:firstLine="0"/>
              <w:jc w:val="center"/>
              <w:rPr>
                <w:rFonts w:ascii="宋体" w:hAnsi="宋体" w:eastAsia="宋体"/>
                <w:sz w:val="24"/>
                <w:szCs w:val="24"/>
                <w:shd w:val="clear" w:color="auto" w:fill="FFFFFF"/>
              </w:rPr>
            </w:pPr>
            <w:r>
              <w:rPr>
                <w:rFonts w:hint="eastAsia" w:ascii="宋体" w:hAnsi="宋体" w:eastAsia="宋体"/>
                <w:sz w:val="24"/>
                <w:szCs w:val="24"/>
                <w:shd w:val="clear" w:color="auto" w:fill="FFFFFF"/>
              </w:rPr>
              <w:t>本项目所属行业</w:t>
            </w:r>
          </w:p>
        </w:tc>
        <w:tc>
          <w:tcPr>
            <w:tcW w:w="6843" w:type="dxa"/>
            <w:noWrap/>
            <w:vAlign w:val="center"/>
          </w:tcPr>
          <w:p w14:paraId="7ED7A6EC">
            <w:pPr>
              <w:pStyle w:val="177"/>
              <w:snapToGrid w:val="0"/>
              <w:spacing w:line="400" w:lineRule="exact"/>
              <w:ind w:left="0" w:firstLine="0"/>
              <w:jc w:val="left"/>
              <w:rPr>
                <w:rFonts w:ascii="宋体" w:hAnsi="宋体" w:eastAsia="宋体"/>
                <w:sz w:val="24"/>
                <w:szCs w:val="24"/>
                <w:shd w:val="clear" w:color="auto" w:fill="FFFFFF"/>
              </w:rPr>
            </w:pPr>
            <w:r>
              <w:rPr>
                <w:rFonts w:hint="eastAsia" w:ascii="宋体" w:hAnsi="宋体" w:eastAsia="宋体"/>
                <w:sz w:val="24"/>
                <w:szCs w:val="24"/>
                <w:shd w:val="clear" w:color="auto" w:fill="FFFFFF"/>
              </w:rPr>
              <w:t>根据《统计上大中小微型企业划分办法（2017）》，本项目所属行业为软件和信息技术服务业。</w:t>
            </w:r>
          </w:p>
        </w:tc>
      </w:tr>
      <w:tr w14:paraId="72A27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92" w:type="dxa"/>
            <w:noWrap/>
            <w:vAlign w:val="center"/>
          </w:tcPr>
          <w:p w14:paraId="09A13513">
            <w:pPr>
              <w:snapToGrid w:val="0"/>
              <w:jc w:val="center"/>
              <w:rPr>
                <w:rFonts w:ascii="宋体" w:eastAsia="宋体"/>
                <w:sz w:val="24"/>
              </w:rPr>
            </w:pPr>
            <w:r>
              <w:rPr>
                <w:rFonts w:ascii="宋体" w:eastAsia="宋体"/>
                <w:sz w:val="24"/>
              </w:rPr>
              <w:t>1</w:t>
            </w:r>
            <w:r>
              <w:rPr>
                <w:rFonts w:hint="eastAsia" w:ascii="宋体" w:eastAsia="宋体"/>
                <w:sz w:val="24"/>
              </w:rPr>
              <w:t>0</w:t>
            </w:r>
          </w:p>
        </w:tc>
        <w:tc>
          <w:tcPr>
            <w:tcW w:w="2219" w:type="dxa"/>
            <w:noWrap/>
            <w:vAlign w:val="center"/>
          </w:tcPr>
          <w:p w14:paraId="569FB994">
            <w:pPr>
              <w:pStyle w:val="177"/>
              <w:snapToGrid w:val="0"/>
              <w:spacing w:line="500" w:lineRule="exact"/>
              <w:ind w:left="0" w:firstLine="0"/>
              <w:jc w:val="center"/>
              <w:rPr>
                <w:rFonts w:ascii="宋体" w:hAnsi="宋体" w:eastAsia="宋体"/>
                <w:sz w:val="24"/>
                <w:szCs w:val="24"/>
                <w:shd w:val="clear" w:color="auto" w:fill="FFFFFF"/>
              </w:rPr>
            </w:pPr>
            <w:r>
              <w:rPr>
                <w:rFonts w:hint="eastAsia" w:ascii="宋体" w:hAnsi="宋体" w:eastAsia="宋体"/>
                <w:sz w:val="24"/>
                <w:szCs w:val="24"/>
                <w:shd w:val="clear" w:color="auto" w:fill="FFFFFF"/>
              </w:rPr>
              <w:t>备注</w:t>
            </w:r>
          </w:p>
        </w:tc>
        <w:tc>
          <w:tcPr>
            <w:tcW w:w="6843" w:type="dxa"/>
            <w:noWrap/>
            <w:vAlign w:val="center"/>
          </w:tcPr>
          <w:p w14:paraId="0DE57BCF">
            <w:pPr>
              <w:snapToGrid w:val="0"/>
              <w:spacing w:line="540" w:lineRule="exact"/>
              <w:ind w:left="60" w:leftChars="29" w:firstLine="0" w:firstLineChars="0"/>
              <w:jc w:val="left"/>
              <w:outlineLvl w:val="1"/>
              <w:rPr>
                <w:rFonts w:ascii="宋体" w:hAnsi="宋体" w:eastAsia="宋体"/>
                <w:sz w:val="24"/>
                <w:shd w:val="clear" w:color="auto" w:fill="FFFFFF"/>
              </w:rPr>
            </w:pPr>
            <w:r>
              <w:rPr>
                <w:rFonts w:hint="eastAsia" w:ascii="宋体" w:hAnsi="宋体" w:eastAsia="宋体"/>
                <w:sz w:val="24"/>
                <w:shd w:val="clear" w:color="auto" w:fill="FFFFFF"/>
              </w:rPr>
              <w:t>采购标的物需按照国家相关标准、行业标准、地方标准或者其他标准、规范执行。</w:t>
            </w:r>
          </w:p>
          <w:p w14:paraId="69C2CDC6">
            <w:pPr>
              <w:snapToGrid w:val="0"/>
              <w:spacing w:line="540" w:lineRule="exact"/>
              <w:ind w:left="-420" w:leftChars="-200" w:firstLine="480" w:firstLineChars="200"/>
              <w:jc w:val="left"/>
              <w:outlineLvl w:val="1"/>
              <w:rPr>
                <w:rFonts w:ascii="宋体" w:hAnsi="宋体" w:eastAsia="宋体"/>
                <w:sz w:val="24"/>
                <w:shd w:val="clear" w:color="auto" w:fill="FFFFFF"/>
              </w:rPr>
            </w:pPr>
          </w:p>
        </w:tc>
      </w:tr>
    </w:tbl>
    <w:p w14:paraId="73308BB8">
      <w:pPr>
        <w:adjustRightInd w:val="0"/>
        <w:snapToGrid w:val="0"/>
        <w:spacing w:line="300" w:lineRule="auto"/>
        <w:rPr>
          <w:rFonts w:ascii="宋体"/>
          <w:kern w:val="0"/>
          <w:sz w:val="24"/>
        </w:rPr>
      </w:pPr>
    </w:p>
    <w:p w14:paraId="05BB7A61">
      <w:pPr>
        <w:spacing w:line="360" w:lineRule="auto"/>
        <w:ind w:firstLine="592" w:firstLineChars="247"/>
        <w:outlineLvl w:val="0"/>
        <w:rPr>
          <w:rFonts w:hint="eastAsia" w:ascii="Times New Roman" w:hAnsi="宋体" w:eastAsia="宋体" w:cs="Times New Roman"/>
          <w:b/>
          <w:bCs/>
          <w:sz w:val="24"/>
          <w:shd w:val="clear" w:color="auto" w:fill="FFFFFF"/>
          <w:lang w:val="en-US" w:eastAsia="zh-CN"/>
        </w:rPr>
      </w:pPr>
      <w:r>
        <w:rPr>
          <w:rFonts w:hint="eastAsia" w:hAnsi="宋体" w:cs="Times New Roman"/>
          <w:b/>
          <w:bCs/>
          <w:sz w:val="24"/>
          <w:shd w:val="clear" w:color="auto" w:fill="FFFFFF"/>
          <w:lang w:val="en-US" w:eastAsia="zh-CN"/>
        </w:rPr>
        <w:t>二、</w:t>
      </w:r>
      <w:r>
        <w:rPr>
          <w:rFonts w:hint="eastAsia" w:ascii="Times New Roman" w:hAnsi="宋体" w:eastAsia="宋体" w:cs="Times New Roman"/>
          <w:b/>
          <w:bCs/>
          <w:sz w:val="24"/>
          <w:shd w:val="clear" w:color="auto" w:fill="FFFFFF"/>
          <w:lang w:val="en-US" w:eastAsia="zh-CN"/>
        </w:rPr>
        <w:t>采购需求</w:t>
      </w:r>
    </w:p>
    <w:p w14:paraId="53211F18">
      <w:pPr>
        <w:bidi w:val="0"/>
        <w:rPr>
          <w:rFonts w:hint="default"/>
          <w:lang w:val="en-US" w:eastAsia="zh-CN"/>
        </w:rPr>
      </w:pPr>
    </w:p>
    <w:p w14:paraId="210BA72D">
      <w:pPr>
        <w:bidi w:val="0"/>
        <w:jc w:val="center"/>
        <w:outlineLvl w:val="1"/>
        <w:rPr>
          <w:rFonts w:hint="eastAsia" w:ascii="宋体"/>
          <w:b/>
          <w:bCs/>
          <w:kern w:val="0"/>
          <w:sz w:val="32"/>
          <w:szCs w:val="32"/>
          <w:lang w:val="en-US" w:eastAsia="zh-CN"/>
        </w:rPr>
      </w:pPr>
      <w:r>
        <w:rPr>
          <w:rFonts w:hint="eastAsia" w:ascii="宋体"/>
          <w:b/>
          <w:bCs/>
          <w:kern w:val="0"/>
          <w:sz w:val="32"/>
          <w:szCs w:val="32"/>
          <w:lang w:val="en-US" w:eastAsia="zh-CN"/>
        </w:rPr>
        <w:t>1包：2025年商用密码应用安全性评估（包含10个测评对象）</w:t>
      </w:r>
    </w:p>
    <w:p w14:paraId="652451DA">
      <w:pPr>
        <w:widowControl w:val="0"/>
        <w:spacing w:after="0" w:line="360" w:lineRule="auto"/>
        <w:ind w:left="0" w:right="0" w:firstLine="420" w:firstLineChars="200"/>
        <w:rPr>
          <w:rFonts w:hint="eastAsia"/>
          <w:b/>
          <w:color w:val="auto"/>
          <w:sz w:val="21"/>
          <w:szCs w:val="24"/>
        </w:rPr>
      </w:pPr>
      <w:r>
        <w:rPr>
          <w:rFonts w:hint="eastAsia"/>
          <w:b/>
          <w:color w:val="auto"/>
          <w:sz w:val="21"/>
          <w:szCs w:val="24"/>
        </w:rPr>
        <w:t>（一）项目目标</w:t>
      </w:r>
    </w:p>
    <w:p w14:paraId="38246D01">
      <w:pPr>
        <w:widowControl w:val="0"/>
        <w:spacing w:after="0" w:line="360" w:lineRule="auto"/>
        <w:ind w:left="0" w:right="0" w:firstLine="420" w:firstLineChars="200"/>
        <w:rPr>
          <w:rFonts w:hint="eastAsia"/>
          <w:color w:val="auto"/>
          <w:sz w:val="21"/>
          <w:szCs w:val="24"/>
        </w:rPr>
      </w:pPr>
      <w:r>
        <w:rPr>
          <w:rFonts w:hint="eastAsia"/>
          <w:color w:val="auto"/>
          <w:sz w:val="21"/>
          <w:szCs w:val="24"/>
        </w:rPr>
        <w:t>按照 GB/T 39786-2021《信息安全技术 信息系统密码应用基本要求》，对海南省电化教育馆指定的 1</w:t>
      </w:r>
      <w:r>
        <w:rPr>
          <w:rFonts w:hint="eastAsia"/>
          <w:color w:val="auto"/>
          <w:sz w:val="21"/>
          <w:szCs w:val="24"/>
          <w:lang w:val="en-US" w:eastAsia="zh-CN"/>
        </w:rPr>
        <w:t>0</w:t>
      </w:r>
      <w:r>
        <w:rPr>
          <w:rFonts w:hint="eastAsia"/>
          <w:color w:val="auto"/>
          <w:sz w:val="21"/>
          <w:szCs w:val="24"/>
        </w:rPr>
        <w:t xml:space="preserve"> 个信息系统实施密评工作。这些系统包括：海南省学生资助管理信息系统、国家学前管理信息系统（海南）、全国中小学学籍管理系统（海南）、全国教师管理信息系统（海南）、应用服务支撑服务平台、全国中等职业学校学生管理信息系统（海南）、教育基础数据库管理与服务系统、海南省教育厅网站、海南省高考综合改革信息化平台、海南省教育政务信息整合共享项目系统。</w:t>
      </w:r>
    </w:p>
    <w:p w14:paraId="12511161">
      <w:pPr>
        <w:widowControl w:val="0"/>
        <w:spacing w:after="0" w:line="360" w:lineRule="auto"/>
        <w:ind w:left="0" w:right="0" w:firstLine="420" w:firstLineChars="200"/>
        <w:rPr>
          <w:color w:val="auto"/>
          <w:sz w:val="21"/>
          <w:szCs w:val="24"/>
        </w:rPr>
      </w:pPr>
      <w:r>
        <w:rPr>
          <w:rFonts w:hint="eastAsia"/>
          <w:color w:val="auto"/>
          <w:sz w:val="21"/>
          <w:szCs w:val="24"/>
        </w:rPr>
        <w:t>通过此次密评，将深入排查这些信息系统在密码应用方面存在的薄弱环节与安全隐患，分析其面临的风险，为提升系统安全水平打下基础。同时，这一工作也将推动国产密码应用的进一步落地，保障并促进海南省电化教育馆信息化安全体系建设的健康发展。此外，还能为该馆的信息安全保障体系建设提供指导，增强其密码安全管理意识，助力安全管理水平的提升。</w:t>
      </w:r>
    </w:p>
    <w:p w14:paraId="1490050C">
      <w:pPr>
        <w:widowControl w:val="0"/>
        <w:spacing w:after="0" w:line="360" w:lineRule="auto"/>
        <w:ind w:left="0" w:right="0" w:firstLine="420" w:firstLineChars="200"/>
        <w:rPr>
          <w:rFonts w:hint="eastAsia"/>
          <w:b/>
          <w:color w:val="auto"/>
          <w:sz w:val="21"/>
          <w:szCs w:val="24"/>
        </w:rPr>
      </w:pPr>
      <w:r>
        <w:rPr>
          <w:rFonts w:hint="eastAsia"/>
          <w:b/>
          <w:color w:val="auto"/>
          <w:sz w:val="21"/>
          <w:szCs w:val="24"/>
        </w:rPr>
        <w:t>（二）项目内容</w:t>
      </w:r>
    </w:p>
    <w:p w14:paraId="3C1BB6CD">
      <w:pPr>
        <w:pStyle w:val="265"/>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GB/T 39786-2021《信息安全技术信息系统密码应用基本要求》从物理和环境、网络和通信、设备和计算、应用和数据、安全管理等方面对信息系统开展密码应用安全性评估工作，分析信息系统与基本要求之间的差距，出具《商用密码应用安全性评估报告》，提出具有针对性的整改意见，并根据信息系统及安全防护措施的现状，提供其他安全服务，确保信息系统的安全运行。</w:t>
      </w:r>
    </w:p>
    <w:p w14:paraId="592F4960">
      <w:pPr>
        <w:pStyle w:val="265"/>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对项目范围内系统开展商用密码应用安全性评估服务后，应采购方要求，针对不同系统密码应用状况不同，结合系统应用实际情况，开展密码应用方案指导咨询工作，指导开展密码应用安全技术方案编写工作。</w:t>
      </w:r>
    </w:p>
    <w:p w14:paraId="5393F211">
      <w:pPr>
        <w:widowControl w:val="0"/>
        <w:spacing w:after="0" w:line="360" w:lineRule="auto"/>
        <w:ind w:left="0" w:right="0" w:firstLine="420" w:firstLineChars="200"/>
        <w:rPr>
          <w:rFonts w:hint="eastAsia"/>
          <w:b/>
          <w:color w:val="auto"/>
          <w:sz w:val="21"/>
          <w:szCs w:val="24"/>
        </w:rPr>
      </w:pPr>
      <w:r>
        <w:rPr>
          <w:rFonts w:hint="eastAsia"/>
          <w:b/>
          <w:color w:val="auto"/>
          <w:sz w:val="21"/>
          <w:szCs w:val="24"/>
        </w:rPr>
        <w:t>（三）项目需求</w:t>
      </w:r>
    </w:p>
    <w:p w14:paraId="4C643EF2">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1.</w:t>
      </w:r>
      <w:r>
        <w:rPr>
          <w:rFonts w:hint="eastAsia" w:asciiTheme="minorEastAsia" w:hAnsiTheme="minorEastAsia"/>
          <w:b/>
          <w:sz w:val="24"/>
          <w:szCs w:val="24"/>
        </w:rPr>
        <w:t>需求内容</w:t>
      </w:r>
    </w:p>
    <w:p w14:paraId="11A808C2">
      <w:pPr>
        <w:pStyle w:val="265"/>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1.1对2025年商用密码应用安全性评估项目指定的信息系统进行摸底、分析和梳理，提出详细的测评方案；</w:t>
      </w:r>
    </w:p>
    <w:p w14:paraId="1C32BD6C">
      <w:pPr>
        <w:pStyle w:val="265"/>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1.2针对2025年商用密码应用安全性评估项目指定的信息系统进行密码应用安全性评估，内容包括：物理和环境、网络和通信、设备和计算、应用和数据、安全管理等；</w:t>
      </w:r>
    </w:p>
    <w:p w14:paraId="2846655E">
      <w:pPr>
        <w:widowControl w:val="0"/>
        <w:spacing w:line="540" w:lineRule="exact"/>
        <w:ind w:left="0" w:firstLine="420" w:firstLineChars="200"/>
        <w:rPr>
          <w:rFonts w:hint="eastAsia" w:asciiTheme="minorEastAsia" w:hAnsiTheme="minorEastAsia" w:eastAsiaTheme="minorEastAsia" w:cstheme="minorBidi"/>
          <w:color w:val="auto"/>
          <w:szCs w:val="24"/>
        </w:rPr>
      </w:pPr>
      <w:r>
        <w:rPr>
          <w:rFonts w:hint="eastAsia" w:asciiTheme="minorEastAsia" w:hAnsiTheme="minorEastAsia" w:eastAsiaTheme="minorEastAsia" w:cstheme="minorBidi"/>
          <w:color w:val="auto"/>
          <w:szCs w:val="24"/>
        </w:rPr>
        <w:t>1.3自合同签订之日起60天内完成1</w:t>
      </w:r>
      <w:r>
        <w:rPr>
          <w:rFonts w:hint="eastAsia" w:asciiTheme="minorEastAsia" w:hAnsiTheme="minorEastAsia" w:eastAsiaTheme="minorEastAsia" w:cstheme="minorBidi"/>
          <w:color w:val="auto"/>
          <w:szCs w:val="24"/>
          <w:lang w:val="en-US" w:eastAsia="zh-CN"/>
        </w:rPr>
        <w:t>0</w:t>
      </w:r>
      <w:r>
        <w:rPr>
          <w:rFonts w:hint="eastAsia" w:asciiTheme="minorEastAsia" w:hAnsiTheme="minorEastAsia" w:eastAsiaTheme="minorEastAsia" w:cstheme="minorBidi"/>
          <w:color w:val="auto"/>
          <w:szCs w:val="24"/>
        </w:rPr>
        <w:t>个测评对象的密码应用安全性评估工作，包括但不限于以下工作：完成密码应用安全性评估初测，提供有效的整改方案并指导相应系统承建方完成整改，指导完成系统整改后，分别出具1</w:t>
      </w:r>
      <w:r>
        <w:rPr>
          <w:rFonts w:hint="eastAsia" w:asciiTheme="minorEastAsia" w:hAnsiTheme="minorEastAsia" w:eastAsiaTheme="minorEastAsia" w:cstheme="minorBidi"/>
          <w:color w:val="auto"/>
          <w:szCs w:val="24"/>
          <w:lang w:val="en-US" w:eastAsia="zh-CN"/>
        </w:rPr>
        <w:t>0</w:t>
      </w:r>
      <w:r>
        <w:rPr>
          <w:rFonts w:hint="eastAsia" w:asciiTheme="minorEastAsia" w:hAnsiTheme="minorEastAsia" w:eastAsiaTheme="minorEastAsia" w:cstheme="minorBidi"/>
          <w:color w:val="auto"/>
          <w:szCs w:val="24"/>
        </w:rPr>
        <w:t>个系统的《密码应用安全性评估报告》。指导整改过程中产生的费用纳入项目总预算内，由</w:t>
      </w:r>
      <w:r>
        <w:rPr>
          <w:rFonts w:hint="eastAsia" w:asciiTheme="minorEastAsia" w:hAnsiTheme="minorEastAsia" w:eastAsiaTheme="minorEastAsia" w:cstheme="minorBidi"/>
          <w:color w:val="auto"/>
          <w:szCs w:val="24"/>
          <w:lang w:eastAsia="zh-CN"/>
        </w:rPr>
        <w:t>成交单位</w:t>
      </w:r>
      <w:r>
        <w:rPr>
          <w:rFonts w:hint="eastAsia" w:asciiTheme="minorEastAsia" w:hAnsiTheme="minorEastAsia" w:eastAsiaTheme="minorEastAsia" w:cstheme="minorBidi"/>
          <w:color w:val="auto"/>
          <w:szCs w:val="24"/>
        </w:rPr>
        <w:t>支付。</w:t>
      </w:r>
    </w:p>
    <w:p w14:paraId="5C1B1A6C">
      <w:pPr>
        <w:pStyle w:val="265"/>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1.4服务保障工作：评估报告提交1年内，测评服务机构应向海南省电化教育馆免费提供咨询服务。</w:t>
      </w:r>
    </w:p>
    <w:p w14:paraId="65AF595F">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2.</w:t>
      </w:r>
      <w:r>
        <w:rPr>
          <w:rFonts w:hint="eastAsia" w:asciiTheme="minorEastAsia" w:hAnsiTheme="minorEastAsia"/>
          <w:b/>
          <w:sz w:val="24"/>
          <w:szCs w:val="24"/>
        </w:rPr>
        <w:t>服务清单</w:t>
      </w:r>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792"/>
        <w:gridCol w:w="1760"/>
        <w:gridCol w:w="842"/>
        <w:gridCol w:w="6460"/>
      </w:tblGrid>
      <w:tr w14:paraId="3EB3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792" w:type="dxa"/>
            <w:tcBorders>
              <w:top w:val="single" w:color="auto" w:sz="4" w:space="0"/>
              <w:left w:val="single" w:color="auto" w:sz="4" w:space="0"/>
              <w:bottom w:val="single" w:color="auto" w:sz="4" w:space="0"/>
              <w:right w:val="single" w:color="auto" w:sz="4" w:space="0"/>
            </w:tcBorders>
            <w:shd w:val="pct10" w:color="auto" w:fill="auto"/>
            <w:vAlign w:val="center"/>
          </w:tcPr>
          <w:p w14:paraId="3D2DDBDA">
            <w:pPr>
              <w:pStyle w:val="265"/>
              <w:snapToGrid w:val="0"/>
              <w:spacing w:line="276" w:lineRule="auto"/>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eastAsia="zh-CN" w:bidi="ar"/>
              </w:rPr>
              <w:t>序号</w:t>
            </w:r>
          </w:p>
        </w:tc>
        <w:tc>
          <w:tcPr>
            <w:tcW w:w="1760" w:type="dxa"/>
            <w:tcBorders>
              <w:top w:val="single" w:color="auto" w:sz="4" w:space="0"/>
              <w:left w:val="single" w:color="auto" w:sz="4" w:space="0"/>
              <w:bottom w:val="single" w:color="auto" w:sz="4" w:space="0"/>
              <w:right w:val="single" w:color="auto" w:sz="4" w:space="0"/>
            </w:tcBorders>
            <w:shd w:val="pct10" w:color="auto" w:fill="auto"/>
            <w:vAlign w:val="center"/>
          </w:tcPr>
          <w:p w14:paraId="6C7B2B94">
            <w:pPr>
              <w:pStyle w:val="265"/>
              <w:snapToGrid w:val="0"/>
              <w:spacing w:line="276" w:lineRule="auto"/>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eastAsia="zh-CN" w:bidi="ar"/>
              </w:rPr>
              <w:t>评估对象</w:t>
            </w:r>
          </w:p>
        </w:tc>
        <w:tc>
          <w:tcPr>
            <w:tcW w:w="842" w:type="dxa"/>
            <w:tcBorders>
              <w:top w:val="single" w:color="auto" w:sz="4" w:space="0"/>
              <w:left w:val="single" w:color="auto" w:sz="4" w:space="0"/>
              <w:bottom w:val="single" w:color="auto" w:sz="4" w:space="0"/>
              <w:right w:val="single" w:color="auto" w:sz="4" w:space="0"/>
            </w:tcBorders>
            <w:shd w:val="pct10" w:color="auto" w:fill="auto"/>
            <w:vAlign w:val="center"/>
          </w:tcPr>
          <w:p w14:paraId="0BAFDE33">
            <w:pPr>
              <w:pStyle w:val="265"/>
              <w:snapToGrid w:val="0"/>
              <w:spacing w:line="276" w:lineRule="auto"/>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eastAsia="zh-CN" w:bidi="ar"/>
              </w:rPr>
              <w:t>系统等级</w:t>
            </w:r>
          </w:p>
        </w:tc>
        <w:tc>
          <w:tcPr>
            <w:tcW w:w="6460" w:type="dxa"/>
            <w:tcBorders>
              <w:top w:val="single" w:color="auto" w:sz="4" w:space="0"/>
              <w:left w:val="single" w:color="auto" w:sz="4" w:space="0"/>
              <w:bottom w:val="single" w:color="auto" w:sz="4" w:space="0"/>
              <w:right w:val="single" w:color="auto" w:sz="4" w:space="0"/>
            </w:tcBorders>
            <w:shd w:val="pct10" w:color="auto" w:fill="auto"/>
            <w:vAlign w:val="center"/>
          </w:tcPr>
          <w:p w14:paraId="41A499B0">
            <w:pPr>
              <w:pStyle w:val="265"/>
              <w:snapToGrid w:val="0"/>
              <w:spacing w:line="276" w:lineRule="auto"/>
              <w:jc w:val="center"/>
              <w:rPr>
                <w:rFonts w:hint="eastAsia" w:asciiTheme="minorEastAsia" w:hAnsiTheme="minorEastAsia" w:eastAsiaTheme="minorEastAsia"/>
                <w:b/>
                <w:sz w:val="24"/>
                <w:szCs w:val="24"/>
                <w:lang w:eastAsia="zh-CN"/>
              </w:rPr>
            </w:pPr>
            <w:r>
              <w:rPr>
                <w:rFonts w:hint="eastAsia" w:asciiTheme="minorEastAsia" w:hAnsiTheme="minorEastAsia"/>
                <w:b/>
                <w:sz w:val="24"/>
                <w:szCs w:val="24"/>
                <w:lang w:eastAsia="zh-CN" w:bidi="ar"/>
              </w:rPr>
              <w:t>系统描述</w:t>
            </w:r>
          </w:p>
        </w:tc>
      </w:tr>
      <w:tr w14:paraId="2D25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38E90B20">
            <w:pPr>
              <w:pStyle w:val="265"/>
              <w:snapToGrid w:val="0"/>
              <w:spacing w:line="276" w:lineRule="auto"/>
              <w:jc w:val="center"/>
              <w:rPr>
                <w:rFonts w:hint="eastAsia" w:ascii="宋体" w:eastAsia="宋体" w:hAnsiTheme="minorEastAsia"/>
                <w:sz w:val="24"/>
                <w:szCs w:val="24"/>
              </w:rPr>
            </w:pPr>
            <w:r>
              <w:rPr>
                <w:rFonts w:hint="eastAsia" w:ascii="宋体" w:eastAsia="宋体" w:hAnsiTheme="minorEastAsia"/>
                <w:sz w:val="24"/>
                <w:szCs w:val="24"/>
                <w:lang w:bidi="ar"/>
              </w:rPr>
              <w:t>2.1</w:t>
            </w:r>
          </w:p>
        </w:tc>
        <w:tc>
          <w:tcPr>
            <w:tcW w:w="1760" w:type="dxa"/>
            <w:tcBorders>
              <w:top w:val="single" w:color="auto" w:sz="4" w:space="0"/>
              <w:left w:val="single" w:color="auto" w:sz="4" w:space="0"/>
              <w:bottom w:val="single" w:color="auto" w:sz="4" w:space="0"/>
              <w:right w:val="single" w:color="auto" w:sz="4" w:space="0"/>
            </w:tcBorders>
            <w:vAlign w:val="center"/>
          </w:tcPr>
          <w:p w14:paraId="3C6079A5">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lang w:bidi="ar"/>
              </w:rPr>
              <w:t>海南省学生资助管理信息系统</w:t>
            </w:r>
          </w:p>
        </w:tc>
        <w:tc>
          <w:tcPr>
            <w:tcW w:w="842" w:type="dxa"/>
            <w:tcBorders>
              <w:top w:val="single" w:color="auto" w:sz="4" w:space="0"/>
              <w:left w:val="single" w:color="auto" w:sz="4" w:space="0"/>
              <w:bottom w:val="single" w:color="auto" w:sz="4" w:space="0"/>
              <w:right w:val="single" w:color="auto" w:sz="4" w:space="0"/>
            </w:tcBorders>
            <w:vAlign w:val="center"/>
          </w:tcPr>
          <w:p w14:paraId="7D1CF5FC">
            <w:pPr>
              <w:pStyle w:val="265"/>
              <w:snapToGrid w:val="0"/>
              <w:spacing w:line="276" w:lineRule="auto"/>
              <w:jc w:val="center"/>
              <w:rPr>
                <w:rFonts w:hint="eastAsia" w:ascii="宋体" w:eastAsia="宋体" w:hAnsiTheme="minorEastAsia"/>
                <w:sz w:val="24"/>
                <w:szCs w:val="24"/>
              </w:rPr>
            </w:pPr>
            <w:r>
              <w:rPr>
                <w:rFonts w:hint="eastAsia" w:ascii="宋体" w:eastAsia="宋体" w:hAnsiTheme="minorEastAsia"/>
                <w:sz w:val="24"/>
                <w:szCs w:val="24"/>
                <w:lang w:bidi="ar"/>
              </w:rPr>
              <w:t>三级</w:t>
            </w:r>
          </w:p>
        </w:tc>
        <w:tc>
          <w:tcPr>
            <w:tcW w:w="6460" w:type="dxa"/>
            <w:tcBorders>
              <w:top w:val="single" w:color="auto" w:sz="4" w:space="0"/>
              <w:left w:val="single" w:color="auto" w:sz="4" w:space="0"/>
              <w:bottom w:val="single" w:color="auto" w:sz="4" w:space="0"/>
              <w:right w:val="single" w:color="auto" w:sz="4" w:space="0"/>
            </w:tcBorders>
            <w:vAlign w:val="center"/>
          </w:tcPr>
          <w:p w14:paraId="154AA7A2">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rPr>
              <w:t>用于贫困学生资助申报、信息管理</w:t>
            </w:r>
          </w:p>
        </w:tc>
      </w:tr>
      <w:tr w14:paraId="3D69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11BA4836">
            <w:pPr>
              <w:pStyle w:val="265"/>
              <w:snapToGrid w:val="0"/>
              <w:spacing w:line="276" w:lineRule="auto"/>
              <w:jc w:val="center"/>
              <w:rPr>
                <w:rFonts w:hint="eastAsia" w:ascii="宋体" w:eastAsia="宋体" w:hAnsiTheme="minorEastAsia"/>
                <w:sz w:val="24"/>
                <w:szCs w:val="24"/>
                <w:lang w:bidi="ar"/>
              </w:rPr>
            </w:pPr>
            <w:r>
              <w:rPr>
                <w:rFonts w:hint="eastAsia" w:ascii="宋体" w:eastAsia="宋体" w:hAnsiTheme="minorEastAsia"/>
                <w:sz w:val="24"/>
                <w:szCs w:val="24"/>
                <w:lang w:bidi="ar"/>
              </w:rPr>
              <w:t>2.2</w:t>
            </w:r>
          </w:p>
        </w:tc>
        <w:tc>
          <w:tcPr>
            <w:tcW w:w="1760" w:type="dxa"/>
            <w:tcBorders>
              <w:top w:val="single" w:color="auto" w:sz="4" w:space="0"/>
              <w:left w:val="single" w:color="auto" w:sz="4" w:space="0"/>
              <w:bottom w:val="single" w:color="auto" w:sz="4" w:space="0"/>
              <w:right w:val="single" w:color="auto" w:sz="4" w:space="0"/>
            </w:tcBorders>
            <w:vAlign w:val="center"/>
          </w:tcPr>
          <w:p w14:paraId="34E5301B">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lang w:bidi="ar"/>
              </w:rPr>
              <w:t>国家学前管理信息系统（海南）</w:t>
            </w:r>
          </w:p>
        </w:tc>
        <w:tc>
          <w:tcPr>
            <w:tcW w:w="842" w:type="dxa"/>
            <w:tcBorders>
              <w:top w:val="single" w:color="auto" w:sz="4" w:space="0"/>
              <w:left w:val="single" w:color="auto" w:sz="4" w:space="0"/>
              <w:bottom w:val="single" w:color="auto" w:sz="4" w:space="0"/>
              <w:right w:val="single" w:color="auto" w:sz="4" w:space="0"/>
            </w:tcBorders>
            <w:vAlign w:val="center"/>
          </w:tcPr>
          <w:p w14:paraId="46B6B68E">
            <w:pPr>
              <w:pStyle w:val="265"/>
              <w:snapToGrid w:val="0"/>
              <w:spacing w:line="276" w:lineRule="auto"/>
              <w:jc w:val="center"/>
              <w:rPr>
                <w:rFonts w:hint="eastAsia" w:ascii="宋体" w:eastAsia="宋体" w:hAnsiTheme="minorEastAsia"/>
                <w:sz w:val="24"/>
                <w:szCs w:val="24"/>
              </w:rPr>
            </w:pPr>
            <w:r>
              <w:rPr>
                <w:rFonts w:hint="eastAsia" w:ascii="宋体" w:eastAsia="宋体" w:hAnsiTheme="minorEastAsia"/>
                <w:sz w:val="24"/>
                <w:szCs w:val="24"/>
                <w:lang w:bidi="ar"/>
              </w:rPr>
              <w:t>三级</w:t>
            </w:r>
          </w:p>
        </w:tc>
        <w:tc>
          <w:tcPr>
            <w:tcW w:w="6460" w:type="dxa"/>
            <w:tcBorders>
              <w:top w:val="single" w:color="auto" w:sz="4" w:space="0"/>
              <w:left w:val="single" w:color="auto" w:sz="4" w:space="0"/>
              <w:bottom w:val="single" w:color="auto" w:sz="4" w:space="0"/>
              <w:right w:val="single" w:color="auto" w:sz="4" w:space="0"/>
            </w:tcBorders>
            <w:vAlign w:val="center"/>
          </w:tcPr>
          <w:p w14:paraId="4DC94D1D">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rPr>
              <w:t>用于学前教育信息管理及数据统计</w:t>
            </w:r>
          </w:p>
        </w:tc>
      </w:tr>
      <w:tr w14:paraId="3FCE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EDB0157">
            <w:pPr>
              <w:pStyle w:val="265"/>
              <w:snapToGrid w:val="0"/>
              <w:spacing w:line="276" w:lineRule="auto"/>
              <w:jc w:val="center"/>
              <w:rPr>
                <w:rFonts w:hint="eastAsia" w:ascii="宋体" w:eastAsia="宋体" w:hAnsiTheme="minorEastAsia"/>
                <w:sz w:val="24"/>
                <w:szCs w:val="24"/>
                <w:lang w:bidi="ar"/>
              </w:rPr>
            </w:pPr>
            <w:r>
              <w:rPr>
                <w:rFonts w:hint="eastAsia" w:ascii="宋体" w:eastAsia="宋体" w:hAnsiTheme="minorEastAsia"/>
                <w:sz w:val="24"/>
                <w:szCs w:val="24"/>
                <w:lang w:bidi="ar"/>
              </w:rPr>
              <w:t>2.3</w:t>
            </w:r>
          </w:p>
        </w:tc>
        <w:tc>
          <w:tcPr>
            <w:tcW w:w="1760" w:type="dxa"/>
            <w:tcBorders>
              <w:top w:val="single" w:color="auto" w:sz="4" w:space="0"/>
              <w:left w:val="single" w:color="auto" w:sz="4" w:space="0"/>
              <w:bottom w:val="single" w:color="auto" w:sz="4" w:space="0"/>
              <w:right w:val="single" w:color="auto" w:sz="4" w:space="0"/>
            </w:tcBorders>
            <w:vAlign w:val="center"/>
          </w:tcPr>
          <w:p w14:paraId="2A1D8415">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lang w:bidi="ar"/>
              </w:rPr>
              <w:t>全国中小学学籍管理系统（海南）</w:t>
            </w:r>
          </w:p>
        </w:tc>
        <w:tc>
          <w:tcPr>
            <w:tcW w:w="842" w:type="dxa"/>
            <w:tcBorders>
              <w:top w:val="single" w:color="auto" w:sz="4" w:space="0"/>
              <w:left w:val="single" w:color="auto" w:sz="4" w:space="0"/>
              <w:bottom w:val="single" w:color="auto" w:sz="4" w:space="0"/>
              <w:right w:val="single" w:color="auto" w:sz="4" w:space="0"/>
            </w:tcBorders>
            <w:vAlign w:val="center"/>
          </w:tcPr>
          <w:p w14:paraId="2864BE76">
            <w:pPr>
              <w:pStyle w:val="265"/>
              <w:snapToGrid w:val="0"/>
              <w:spacing w:line="276" w:lineRule="auto"/>
              <w:jc w:val="center"/>
              <w:rPr>
                <w:rFonts w:hint="eastAsia" w:ascii="宋体" w:eastAsia="宋体" w:hAnsiTheme="minorEastAsia"/>
                <w:sz w:val="24"/>
                <w:szCs w:val="24"/>
              </w:rPr>
            </w:pPr>
            <w:r>
              <w:rPr>
                <w:rFonts w:hint="eastAsia" w:ascii="宋体" w:eastAsia="宋体" w:hAnsiTheme="minorEastAsia"/>
                <w:sz w:val="24"/>
                <w:szCs w:val="24"/>
                <w:lang w:bidi="ar"/>
              </w:rPr>
              <w:t>三级</w:t>
            </w:r>
          </w:p>
        </w:tc>
        <w:tc>
          <w:tcPr>
            <w:tcW w:w="6460" w:type="dxa"/>
            <w:tcBorders>
              <w:top w:val="single" w:color="auto" w:sz="4" w:space="0"/>
              <w:left w:val="single" w:color="auto" w:sz="4" w:space="0"/>
              <w:bottom w:val="single" w:color="auto" w:sz="4" w:space="0"/>
              <w:right w:val="single" w:color="auto" w:sz="4" w:space="0"/>
            </w:tcBorders>
            <w:vAlign w:val="center"/>
          </w:tcPr>
          <w:p w14:paraId="18384227">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rPr>
              <w:t>该系统主要用于中小学学生信息管理，包括登录、新生信息录入、学生信息查询等功能模块</w:t>
            </w:r>
          </w:p>
        </w:tc>
      </w:tr>
      <w:tr w14:paraId="384C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1BC46F67">
            <w:pPr>
              <w:pStyle w:val="265"/>
              <w:snapToGrid w:val="0"/>
              <w:spacing w:line="276" w:lineRule="auto"/>
              <w:jc w:val="center"/>
              <w:rPr>
                <w:rFonts w:hint="eastAsia" w:ascii="宋体" w:eastAsia="宋体" w:hAnsiTheme="minorEastAsia"/>
                <w:sz w:val="24"/>
                <w:szCs w:val="24"/>
                <w:lang w:bidi="ar"/>
              </w:rPr>
            </w:pPr>
            <w:r>
              <w:rPr>
                <w:rFonts w:hint="eastAsia" w:ascii="宋体" w:eastAsia="宋体" w:hAnsiTheme="minorEastAsia"/>
                <w:sz w:val="24"/>
                <w:szCs w:val="24"/>
                <w:lang w:bidi="ar"/>
              </w:rPr>
              <w:t>2.4</w:t>
            </w:r>
          </w:p>
        </w:tc>
        <w:tc>
          <w:tcPr>
            <w:tcW w:w="1760" w:type="dxa"/>
            <w:tcBorders>
              <w:top w:val="single" w:color="auto" w:sz="4" w:space="0"/>
              <w:left w:val="single" w:color="auto" w:sz="4" w:space="0"/>
              <w:bottom w:val="single" w:color="auto" w:sz="4" w:space="0"/>
              <w:right w:val="single" w:color="auto" w:sz="4" w:space="0"/>
            </w:tcBorders>
            <w:vAlign w:val="center"/>
          </w:tcPr>
          <w:p w14:paraId="4B8AC1B1">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lang w:bidi="ar"/>
              </w:rPr>
              <w:t>全国教师管理信息系统（海南）</w:t>
            </w:r>
          </w:p>
        </w:tc>
        <w:tc>
          <w:tcPr>
            <w:tcW w:w="842" w:type="dxa"/>
            <w:tcBorders>
              <w:top w:val="single" w:color="auto" w:sz="4" w:space="0"/>
              <w:left w:val="single" w:color="auto" w:sz="4" w:space="0"/>
              <w:bottom w:val="single" w:color="auto" w:sz="4" w:space="0"/>
              <w:right w:val="single" w:color="auto" w:sz="4" w:space="0"/>
            </w:tcBorders>
            <w:vAlign w:val="center"/>
          </w:tcPr>
          <w:p w14:paraId="66DEE980">
            <w:pPr>
              <w:pStyle w:val="265"/>
              <w:snapToGrid w:val="0"/>
              <w:spacing w:line="276" w:lineRule="auto"/>
              <w:jc w:val="center"/>
              <w:rPr>
                <w:rFonts w:hint="eastAsia" w:ascii="宋体" w:eastAsia="宋体" w:hAnsiTheme="minorEastAsia"/>
                <w:sz w:val="24"/>
                <w:szCs w:val="24"/>
              </w:rPr>
            </w:pPr>
            <w:r>
              <w:rPr>
                <w:rFonts w:hint="eastAsia" w:ascii="宋体" w:eastAsia="宋体" w:hAnsiTheme="minorEastAsia"/>
                <w:sz w:val="24"/>
                <w:szCs w:val="24"/>
                <w:lang w:bidi="ar"/>
              </w:rPr>
              <w:t>三级</w:t>
            </w:r>
          </w:p>
        </w:tc>
        <w:tc>
          <w:tcPr>
            <w:tcW w:w="6460" w:type="dxa"/>
            <w:tcBorders>
              <w:top w:val="single" w:color="auto" w:sz="4" w:space="0"/>
              <w:left w:val="single" w:color="auto" w:sz="4" w:space="0"/>
              <w:bottom w:val="single" w:color="auto" w:sz="4" w:space="0"/>
              <w:right w:val="single" w:color="auto" w:sz="4" w:space="0"/>
            </w:tcBorders>
            <w:vAlign w:val="center"/>
          </w:tcPr>
          <w:p w14:paraId="52A0047A">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rPr>
              <w:t>该系统用于全省教师信息管理，信息系统包括教师任职、学历、年龄、教学情况和师德情况等内容</w:t>
            </w:r>
          </w:p>
        </w:tc>
      </w:tr>
      <w:tr w14:paraId="0CE5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255FF23F">
            <w:pPr>
              <w:pStyle w:val="265"/>
              <w:snapToGrid w:val="0"/>
              <w:spacing w:line="276" w:lineRule="auto"/>
              <w:jc w:val="center"/>
              <w:rPr>
                <w:rFonts w:hint="eastAsia" w:ascii="宋体" w:eastAsia="宋体" w:hAnsiTheme="minorEastAsia"/>
                <w:sz w:val="24"/>
                <w:szCs w:val="24"/>
                <w:lang w:bidi="ar"/>
              </w:rPr>
            </w:pPr>
            <w:r>
              <w:rPr>
                <w:rFonts w:hint="eastAsia" w:ascii="宋体" w:eastAsia="宋体" w:hAnsiTheme="minorEastAsia"/>
                <w:sz w:val="24"/>
                <w:szCs w:val="24"/>
                <w:lang w:bidi="ar"/>
              </w:rPr>
              <w:t>2.5</w:t>
            </w:r>
          </w:p>
        </w:tc>
        <w:tc>
          <w:tcPr>
            <w:tcW w:w="1760" w:type="dxa"/>
            <w:tcBorders>
              <w:top w:val="single" w:color="auto" w:sz="4" w:space="0"/>
              <w:left w:val="single" w:color="auto" w:sz="4" w:space="0"/>
              <w:bottom w:val="single" w:color="auto" w:sz="4" w:space="0"/>
              <w:right w:val="single" w:color="auto" w:sz="4" w:space="0"/>
            </w:tcBorders>
            <w:vAlign w:val="center"/>
          </w:tcPr>
          <w:p w14:paraId="131ABBE1">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lang w:bidi="ar"/>
              </w:rPr>
              <w:t>应用服务支撑服务平台</w:t>
            </w:r>
          </w:p>
        </w:tc>
        <w:tc>
          <w:tcPr>
            <w:tcW w:w="842" w:type="dxa"/>
            <w:tcBorders>
              <w:top w:val="single" w:color="auto" w:sz="4" w:space="0"/>
              <w:left w:val="single" w:color="auto" w:sz="4" w:space="0"/>
              <w:bottom w:val="single" w:color="auto" w:sz="4" w:space="0"/>
              <w:right w:val="single" w:color="auto" w:sz="4" w:space="0"/>
            </w:tcBorders>
            <w:vAlign w:val="center"/>
          </w:tcPr>
          <w:p w14:paraId="6409E166">
            <w:pPr>
              <w:pStyle w:val="265"/>
              <w:snapToGrid w:val="0"/>
              <w:spacing w:line="276" w:lineRule="auto"/>
              <w:jc w:val="center"/>
              <w:rPr>
                <w:rFonts w:hint="eastAsia" w:ascii="宋体" w:eastAsia="宋体" w:hAnsiTheme="minorEastAsia"/>
                <w:sz w:val="24"/>
                <w:szCs w:val="24"/>
              </w:rPr>
            </w:pPr>
            <w:r>
              <w:rPr>
                <w:rFonts w:hint="eastAsia" w:ascii="宋体" w:eastAsia="宋体" w:hAnsiTheme="minorEastAsia"/>
                <w:sz w:val="24"/>
                <w:szCs w:val="24"/>
                <w:lang w:bidi="ar"/>
              </w:rPr>
              <w:t>三级</w:t>
            </w:r>
          </w:p>
        </w:tc>
        <w:tc>
          <w:tcPr>
            <w:tcW w:w="6460" w:type="dxa"/>
            <w:tcBorders>
              <w:top w:val="single" w:color="auto" w:sz="4" w:space="0"/>
              <w:left w:val="single" w:color="auto" w:sz="4" w:space="0"/>
              <w:bottom w:val="single" w:color="auto" w:sz="4" w:space="0"/>
              <w:right w:val="single" w:color="auto" w:sz="4" w:space="0"/>
            </w:tcBorders>
            <w:vAlign w:val="center"/>
          </w:tcPr>
          <w:p w14:paraId="12964363">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rPr>
              <w:t>应用服务支撑服务平台是一个信息的集成环境，通过统一的访问入口，实现结构化数据资源、非</w:t>
            </w:r>
            <w:r>
              <w:rPr>
                <w:rFonts w:ascii="宋体" w:eastAsia="宋体"/>
                <w:sz w:val="24"/>
              </w:rPr>
              <w:fldChar w:fldCharType="begin"/>
            </w:r>
            <w:r>
              <w:rPr>
                <w:rFonts w:ascii="宋体" w:eastAsia="宋体"/>
                <w:sz w:val="24"/>
              </w:rPr>
              <w:instrText xml:space="preserve">HYPERLINK "http://baike.baidu.com/view/1994567.htm" \t "_blank"</w:instrText>
            </w:r>
            <w:r>
              <w:rPr>
                <w:rFonts w:ascii="宋体" w:eastAsia="宋体"/>
                <w:sz w:val="24"/>
              </w:rPr>
              <w:fldChar w:fldCharType="separate"/>
            </w:r>
            <w:r>
              <w:rPr>
                <w:rFonts w:hint="eastAsia" w:ascii="宋体" w:eastAsia="宋体" w:hAnsiTheme="minorEastAsia"/>
                <w:sz w:val="24"/>
                <w:szCs w:val="24"/>
              </w:rPr>
              <w:t>结构化文档</w:t>
            </w:r>
            <w:r>
              <w:rPr>
                <w:rFonts w:ascii="宋体" w:eastAsia="宋体"/>
                <w:sz w:val="24"/>
              </w:rPr>
              <w:fldChar w:fldCharType="end"/>
            </w:r>
            <w:r>
              <w:rPr>
                <w:rFonts w:hint="eastAsia" w:ascii="宋体" w:eastAsia="宋体" w:hAnsiTheme="minorEastAsia"/>
                <w:sz w:val="24"/>
                <w:szCs w:val="24"/>
              </w:rPr>
              <w:t>和互联网资源、各种应用系统跨数据库、跨系统平台的无缝接入和集成，实现个性化业务应用的高效开发、集成、部署与管理。</w:t>
            </w:r>
          </w:p>
        </w:tc>
      </w:tr>
      <w:tr w14:paraId="6F802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50158B19">
            <w:pPr>
              <w:pStyle w:val="265"/>
              <w:snapToGrid w:val="0"/>
              <w:spacing w:line="276" w:lineRule="auto"/>
              <w:jc w:val="center"/>
              <w:rPr>
                <w:rFonts w:hint="eastAsia" w:ascii="宋体" w:eastAsia="宋体" w:hAnsiTheme="minorEastAsia"/>
                <w:sz w:val="24"/>
                <w:szCs w:val="24"/>
                <w:lang w:bidi="ar"/>
              </w:rPr>
            </w:pPr>
            <w:r>
              <w:rPr>
                <w:rFonts w:hint="eastAsia" w:ascii="宋体" w:eastAsia="宋体" w:hAnsiTheme="minorEastAsia"/>
                <w:sz w:val="24"/>
                <w:szCs w:val="24"/>
                <w:lang w:bidi="ar"/>
              </w:rPr>
              <w:t>2.6</w:t>
            </w:r>
          </w:p>
        </w:tc>
        <w:tc>
          <w:tcPr>
            <w:tcW w:w="1760" w:type="dxa"/>
            <w:tcBorders>
              <w:top w:val="single" w:color="auto" w:sz="4" w:space="0"/>
              <w:left w:val="single" w:color="auto" w:sz="4" w:space="0"/>
              <w:bottom w:val="single" w:color="auto" w:sz="4" w:space="0"/>
              <w:right w:val="single" w:color="auto" w:sz="4" w:space="0"/>
            </w:tcBorders>
            <w:vAlign w:val="center"/>
          </w:tcPr>
          <w:p w14:paraId="774562C3">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lang w:bidi="ar"/>
              </w:rPr>
              <w:t>全国中等职业学校学生管理信息系统（海南）</w:t>
            </w:r>
          </w:p>
        </w:tc>
        <w:tc>
          <w:tcPr>
            <w:tcW w:w="842" w:type="dxa"/>
            <w:tcBorders>
              <w:top w:val="single" w:color="auto" w:sz="4" w:space="0"/>
              <w:left w:val="single" w:color="auto" w:sz="4" w:space="0"/>
              <w:bottom w:val="single" w:color="auto" w:sz="4" w:space="0"/>
              <w:right w:val="single" w:color="auto" w:sz="4" w:space="0"/>
            </w:tcBorders>
            <w:vAlign w:val="center"/>
          </w:tcPr>
          <w:p w14:paraId="3656C872">
            <w:pPr>
              <w:pStyle w:val="265"/>
              <w:snapToGrid w:val="0"/>
              <w:spacing w:line="276" w:lineRule="auto"/>
              <w:jc w:val="center"/>
              <w:rPr>
                <w:rFonts w:hint="eastAsia" w:ascii="宋体" w:eastAsia="宋体" w:hAnsiTheme="minorEastAsia"/>
                <w:sz w:val="24"/>
                <w:szCs w:val="24"/>
              </w:rPr>
            </w:pPr>
            <w:r>
              <w:rPr>
                <w:rFonts w:hint="eastAsia" w:ascii="宋体" w:eastAsia="宋体" w:hAnsiTheme="minorEastAsia"/>
                <w:sz w:val="24"/>
                <w:szCs w:val="24"/>
                <w:lang w:bidi="ar"/>
              </w:rPr>
              <w:t>三级</w:t>
            </w:r>
          </w:p>
        </w:tc>
        <w:tc>
          <w:tcPr>
            <w:tcW w:w="6460" w:type="dxa"/>
            <w:tcBorders>
              <w:top w:val="single" w:color="auto" w:sz="4" w:space="0"/>
              <w:left w:val="single" w:color="auto" w:sz="4" w:space="0"/>
              <w:bottom w:val="single" w:color="auto" w:sz="4" w:space="0"/>
              <w:right w:val="single" w:color="auto" w:sz="4" w:space="0"/>
            </w:tcBorders>
            <w:vAlign w:val="center"/>
          </w:tcPr>
          <w:p w14:paraId="2CE8154C">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rPr>
              <w:t>该系统主要包括登录、新生信息录入、学生信息查询、更新学生信息、学生成绩录入、学生成绩查询、权限管理等功能模块。</w:t>
            </w:r>
          </w:p>
        </w:tc>
      </w:tr>
      <w:tr w14:paraId="2F40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93B8A00">
            <w:pPr>
              <w:pStyle w:val="265"/>
              <w:snapToGrid w:val="0"/>
              <w:spacing w:line="276" w:lineRule="auto"/>
              <w:jc w:val="center"/>
              <w:rPr>
                <w:rFonts w:hint="eastAsia" w:ascii="宋体" w:eastAsia="宋体" w:hAnsiTheme="minorEastAsia"/>
                <w:sz w:val="24"/>
                <w:szCs w:val="24"/>
                <w:lang w:bidi="ar"/>
              </w:rPr>
            </w:pPr>
            <w:r>
              <w:rPr>
                <w:rFonts w:hint="eastAsia" w:ascii="宋体" w:eastAsia="宋体" w:hAnsiTheme="minorEastAsia"/>
                <w:sz w:val="24"/>
                <w:szCs w:val="24"/>
                <w:lang w:bidi="ar"/>
              </w:rPr>
              <w:t>2.7</w:t>
            </w:r>
          </w:p>
        </w:tc>
        <w:tc>
          <w:tcPr>
            <w:tcW w:w="1760" w:type="dxa"/>
            <w:tcBorders>
              <w:top w:val="single" w:color="auto" w:sz="4" w:space="0"/>
              <w:left w:val="single" w:color="auto" w:sz="4" w:space="0"/>
              <w:bottom w:val="single" w:color="auto" w:sz="4" w:space="0"/>
              <w:right w:val="single" w:color="auto" w:sz="4" w:space="0"/>
            </w:tcBorders>
            <w:vAlign w:val="center"/>
          </w:tcPr>
          <w:p w14:paraId="492A383B">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lang w:bidi="ar"/>
              </w:rPr>
              <w:t>教育基础数据库管理与服务系统</w:t>
            </w:r>
          </w:p>
        </w:tc>
        <w:tc>
          <w:tcPr>
            <w:tcW w:w="842" w:type="dxa"/>
            <w:tcBorders>
              <w:top w:val="single" w:color="auto" w:sz="4" w:space="0"/>
              <w:left w:val="single" w:color="auto" w:sz="4" w:space="0"/>
              <w:bottom w:val="single" w:color="auto" w:sz="4" w:space="0"/>
              <w:right w:val="single" w:color="auto" w:sz="4" w:space="0"/>
            </w:tcBorders>
            <w:vAlign w:val="center"/>
          </w:tcPr>
          <w:p w14:paraId="374438DC">
            <w:pPr>
              <w:pStyle w:val="265"/>
              <w:snapToGrid w:val="0"/>
              <w:spacing w:line="276" w:lineRule="auto"/>
              <w:jc w:val="center"/>
              <w:rPr>
                <w:rFonts w:hint="eastAsia" w:ascii="宋体" w:eastAsia="宋体" w:hAnsiTheme="minorEastAsia"/>
                <w:sz w:val="24"/>
                <w:szCs w:val="24"/>
              </w:rPr>
            </w:pPr>
            <w:r>
              <w:rPr>
                <w:rFonts w:hint="eastAsia" w:ascii="宋体" w:eastAsia="宋体" w:hAnsiTheme="minorEastAsia"/>
                <w:sz w:val="24"/>
                <w:szCs w:val="24"/>
                <w:lang w:bidi="ar"/>
              </w:rPr>
              <w:t>三级</w:t>
            </w:r>
          </w:p>
        </w:tc>
        <w:tc>
          <w:tcPr>
            <w:tcW w:w="6460" w:type="dxa"/>
            <w:tcBorders>
              <w:top w:val="single" w:color="auto" w:sz="4" w:space="0"/>
              <w:left w:val="single" w:color="auto" w:sz="4" w:space="0"/>
              <w:bottom w:val="single" w:color="auto" w:sz="4" w:space="0"/>
              <w:right w:val="single" w:color="auto" w:sz="4" w:space="0"/>
            </w:tcBorders>
            <w:vAlign w:val="center"/>
          </w:tcPr>
          <w:p w14:paraId="54076E73">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rPr>
              <w:t>教育基础信息数据库管理与服务系统主要用于建立教育基础信息共享中心及其技术支撑体系，实现对教育基础信息数据资源进行有序组织、统一管理和高效治理。</w:t>
            </w:r>
          </w:p>
        </w:tc>
      </w:tr>
      <w:tr w14:paraId="76E3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014AB6C8">
            <w:pPr>
              <w:pStyle w:val="265"/>
              <w:snapToGrid w:val="0"/>
              <w:spacing w:line="276" w:lineRule="auto"/>
              <w:jc w:val="center"/>
              <w:rPr>
                <w:rFonts w:hint="eastAsia" w:ascii="宋体" w:eastAsia="宋体" w:hAnsiTheme="minorEastAsia"/>
                <w:sz w:val="24"/>
                <w:szCs w:val="24"/>
                <w:lang w:bidi="ar"/>
              </w:rPr>
            </w:pPr>
            <w:r>
              <w:rPr>
                <w:rFonts w:hint="eastAsia" w:ascii="宋体" w:eastAsia="宋体" w:hAnsiTheme="minorEastAsia"/>
                <w:sz w:val="24"/>
                <w:szCs w:val="24"/>
                <w:lang w:bidi="ar"/>
              </w:rPr>
              <w:t>2.8</w:t>
            </w:r>
          </w:p>
        </w:tc>
        <w:tc>
          <w:tcPr>
            <w:tcW w:w="1760" w:type="dxa"/>
            <w:tcBorders>
              <w:top w:val="single" w:color="auto" w:sz="4" w:space="0"/>
              <w:left w:val="single" w:color="auto" w:sz="4" w:space="0"/>
              <w:bottom w:val="single" w:color="auto" w:sz="4" w:space="0"/>
              <w:right w:val="single" w:color="auto" w:sz="4" w:space="0"/>
            </w:tcBorders>
            <w:vAlign w:val="center"/>
          </w:tcPr>
          <w:p w14:paraId="76A9F729">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lang w:bidi="ar"/>
              </w:rPr>
              <w:t>海南省教育厅网站</w:t>
            </w:r>
          </w:p>
        </w:tc>
        <w:tc>
          <w:tcPr>
            <w:tcW w:w="842" w:type="dxa"/>
            <w:tcBorders>
              <w:top w:val="single" w:color="auto" w:sz="4" w:space="0"/>
              <w:left w:val="single" w:color="auto" w:sz="4" w:space="0"/>
              <w:bottom w:val="single" w:color="auto" w:sz="4" w:space="0"/>
              <w:right w:val="single" w:color="auto" w:sz="4" w:space="0"/>
            </w:tcBorders>
            <w:vAlign w:val="center"/>
          </w:tcPr>
          <w:p w14:paraId="4DDFCB7E">
            <w:pPr>
              <w:pStyle w:val="265"/>
              <w:snapToGrid w:val="0"/>
              <w:spacing w:line="276" w:lineRule="auto"/>
              <w:jc w:val="center"/>
              <w:rPr>
                <w:rFonts w:hint="eastAsia" w:ascii="宋体" w:eastAsia="宋体" w:hAnsiTheme="minorEastAsia"/>
                <w:sz w:val="24"/>
                <w:szCs w:val="24"/>
              </w:rPr>
            </w:pPr>
            <w:r>
              <w:rPr>
                <w:rFonts w:hint="eastAsia" w:ascii="宋体" w:eastAsia="宋体" w:hAnsiTheme="minorEastAsia"/>
                <w:sz w:val="24"/>
                <w:szCs w:val="24"/>
                <w:lang w:bidi="ar"/>
              </w:rPr>
              <w:t>三级</w:t>
            </w:r>
          </w:p>
        </w:tc>
        <w:tc>
          <w:tcPr>
            <w:tcW w:w="6460" w:type="dxa"/>
            <w:tcBorders>
              <w:top w:val="single" w:color="auto" w:sz="4" w:space="0"/>
              <w:left w:val="single" w:color="auto" w:sz="4" w:space="0"/>
              <w:bottom w:val="single" w:color="auto" w:sz="4" w:space="0"/>
              <w:right w:val="single" w:color="auto" w:sz="4" w:space="0"/>
            </w:tcBorders>
            <w:vAlign w:val="center"/>
          </w:tcPr>
          <w:p w14:paraId="21C5935C">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rPr>
              <w:t>是海南省教育厅政府机关履行职能、面向社会提供服务的官方网站，是实现教育政务信息公开、服务企业和社会公众、互动交流的重要渠道。</w:t>
            </w:r>
          </w:p>
        </w:tc>
      </w:tr>
      <w:tr w14:paraId="5E90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5AB50A43">
            <w:pPr>
              <w:pStyle w:val="265"/>
              <w:snapToGrid w:val="0"/>
              <w:spacing w:line="276" w:lineRule="auto"/>
              <w:jc w:val="center"/>
              <w:rPr>
                <w:rFonts w:hint="eastAsia" w:ascii="宋体" w:eastAsia="宋体" w:hAnsiTheme="minorEastAsia"/>
                <w:sz w:val="24"/>
                <w:szCs w:val="24"/>
                <w:lang w:bidi="ar"/>
              </w:rPr>
            </w:pPr>
            <w:r>
              <w:rPr>
                <w:rFonts w:hint="eastAsia" w:ascii="宋体" w:eastAsia="宋体" w:hAnsiTheme="minorEastAsia"/>
                <w:sz w:val="24"/>
                <w:szCs w:val="24"/>
                <w:lang w:bidi="ar"/>
              </w:rPr>
              <w:t>2.9</w:t>
            </w:r>
          </w:p>
        </w:tc>
        <w:tc>
          <w:tcPr>
            <w:tcW w:w="1760" w:type="dxa"/>
            <w:tcBorders>
              <w:top w:val="single" w:color="auto" w:sz="4" w:space="0"/>
              <w:left w:val="single" w:color="auto" w:sz="4" w:space="0"/>
              <w:bottom w:val="single" w:color="auto" w:sz="4" w:space="0"/>
              <w:right w:val="single" w:color="auto" w:sz="4" w:space="0"/>
            </w:tcBorders>
            <w:vAlign w:val="center"/>
          </w:tcPr>
          <w:p w14:paraId="791CCC09">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lang w:bidi="ar"/>
              </w:rPr>
              <w:t>海南省高考综合改革信息化平台</w:t>
            </w:r>
          </w:p>
        </w:tc>
        <w:tc>
          <w:tcPr>
            <w:tcW w:w="842" w:type="dxa"/>
            <w:tcBorders>
              <w:top w:val="single" w:color="auto" w:sz="4" w:space="0"/>
              <w:left w:val="single" w:color="auto" w:sz="4" w:space="0"/>
              <w:bottom w:val="single" w:color="auto" w:sz="4" w:space="0"/>
              <w:right w:val="single" w:color="auto" w:sz="4" w:space="0"/>
            </w:tcBorders>
            <w:vAlign w:val="center"/>
          </w:tcPr>
          <w:p w14:paraId="7C341C30">
            <w:pPr>
              <w:pStyle w:val="265"/>
              <w:snapToGrid w:val="0"/>
              <w:spacing w:line="276" w:lineRule="auto"/>
              <w:jc w:val="center"/>
              <w:rPr>
                <w:rFonts w:hint="eastAsia" w:ascii="宋体" w:eastAsia="宋体" w:hAnsiTheme="minorEastAsia"/>
                <w:sz w:val="24"/>
                <w:szCs w:val="24"/>
              </w:rPr>
            </w:pPr>
            <w:r>
              <w:rPr>
                <w:rFonts w:hint="eastAsia" w:ascii="宋体" w:eastAsia="宋体" w:hAnsiTheme="minorEastAsia"/>
                <w:sz w:val="24"/>
                <w:szCs w:val="24"/>
                <w:lang w:bidi="ar"/>
              </w:rPr>
              <w:t>三级</w:t>
            </w:r>
          </w:p>
        </w:tc>
        <w:tc>
          <w:tcPr>
            <w:tcW w:w="6460" w:type="dxa"/>
            <w:tcBorders>
              <w:top w:val="single" w:color="auto" w:sz="4" w:space="0"/>
              <w:left w:val="single" w:color="auto" w:sz="4" w:space="0"/>
              <w:bottom w:val="single" w:color="auto" w:sz="4" w:space="0"/>
              <w:right w:val="single" w:color="auto" w:sz="4" w:space="0"/>
            </w:tcBorders>
            <w:vAlign w:val="center"/>
          </w:tcPr>
          <w:p w14:paraId="1C30E8E4">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rPr>
              <w:t>该平台主要实现普通高中学校课程设置与编排、学生选课、教师教学安排及管理等业务，具体包括选课业务，分班业务，成绩分析业务，教师评价业务，信息查询业务等。</w:t>
            </w:r>
          </w:p>
        </w:tc>
      </w:tr>
      <w:tr w14:paraId="45567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14:paraId="6CE46021">
            <w:pPr>
              <w:pStyle w:val="265"/>
              <w:snapToGrid w:val="0"/>
              <w:spacing w:line="276" w:lineRule="auto"/>
              <w:jc w:val="center"/>
              <w:rPr>
                <w:rFonts w:hint="eastAsia" w:ascii="宋体" w:eastAsia="宋体" w:hAnsiTheme="minorEastAsia"/>
                <w:sz w:val="24"/>
                <w:szCs w:val="24"/>
                <w:lang w:bidi="ar"/>
              </w:rPr>
            </w:pPr>
            <w:r>
              <w:rPr>
                <w:rFonts w:hint="eastAsia" w:ascii="宋体" w:eastAsia="宋体" w:hAnsiTheme="minorEastAsia"/>
                <w:sz w:val="24"/>
                <w:szCs w:val="24"/>
                <w:lang w:bidi="ar"/>
              </w:rPr>
              <w:t>2.10</w:t>
            </w:r>
          </w:p>
        </w:tc>
        <w:tc>
          <w:tcPr>
            <w:tcW w:w="1760" w:type="dxa"/>
            <w:tcBorders>
              <w:top w:val="single" w:color="auto" w:sz="4" w:space="0"/>
              <w:left w:val="single" w:color="auto" w:sz="4" w:space="0"/>
              <w:bottom w:val="single" w:color="auto" w:sz="4" w:space="0"/>
              <w:right w:val="single" w:color="auto" w:sz="4" w:space="0"/>
            </w:tcBorders>
            <w:vAlign w:val="center"/>
          </w:tcPr>
          <w:p w14:paraId="411540D0">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lang w:bidi="ar"/>
              </w:rPr>
              <w:t>海南省教育政务信息整合共享项目系统</w:t>
            </w:r>
          </w:p>
        </w:tc>
        <w:tc>
          <w:tcPr>
            <w:tcW w:w="842" w:type="dxa"/>
            <w:tcBorders>
              <w:top w:val="single" w:color="auto" w:sz="4" w:space="0"/>
              <w:left w:val="single" w:color="auto" w:sz="4" w:space="0"/>
              <w:bottom w:val="single" w:color="auto" w:sz="4" w:space="0"/>
              <w:right w:val="single" w:color="auto" w:sz="4" w:space="0"/>
            </w:tcBorders>
            <w:vAlign w:val="center"/>
          </w:tcPr>
          <w:p w14:paraId="06E7E23A">
            <w:pPr>
              <w:pStyle w:val="265"/>
              <w:snapToGrid w:val="0"/>
              <w:spacing w:line="276" w:lineRule="auto"/>
              <w:jc w:val="center"/>
              <w:rPr>
                <w:rFonts w:hint="eastAsia" w:ascii="宋体" w:eastAsia="宋体" w:hAnsiTheme="minorEastAsia"/>
                <w:sz w:val="24"/>
                <w:szCs w:val="24"/>
              </w:rPr>
            </w:pPr>
            <w:r>
              <w:rPr>
                <w:rFonts w:hint="eastAsia" w:ascii="宋体" w:eastAsia="宋体" w:hAnsiTheme="minorEastAsia"/>
                <w:sz w:val="24"/>
                <w:szCs w:val="24"/>
                <w:lang w:bidi="ar"/>
              </w:rPr>
              <w:t>三级</w:t>
            </w:r>
          </w:p>
        </w:tc>
        <w:tc>
          <w:tcPr>
            <w:tcW w:w="6460" w:type="dxa"/>
            <w:tcBorders>
              <w:top w:val="single" w:color="auto" w:sz="4" w:space="0"/>
              <w:left w:val="single" w:color="auto" w:sz="4" w:space="0"/>
              <w:bottom w:val="single" w:color="auto" w:sz="4" w:space="0"/>
              <w:right w:val="single" w:color="auto" w:sz="4" w:space="0"/>
            </w:tcBorders>
            <w:vAlign w:val="center"/>
          </w:tcPr>
          <w:p w14:paraId="6A0A572E">
            <w:pPr>
              <w:pStyle w:val="265"/>
              <w:snapToGrid w:val="0"/>
              <w:spacing w:line="276" w:lineRule="auto"/>
              <w:jc w:val="left"/>
              <w:rPr>
                <w:rFonts w:hint="eastAsia" w:ascii="宋体" w:eastAsia="宋体" w:hAnsiTheme="minorEastAsia"/>
                <w:sz w:val="24"/>
                <w:szCs w:val="24"/>
              </w:rPr>
            </w:pPr>
            <w:r>
              <w:rPr>
                <w:rFonts w:hint="eastAsia" w:ascii="宋体" w:eastAsia="宋体" w:hAnsiTheme="minorEastAsia"/>
                <w:sz w:val="24"/>
                <w:szCs w:val="24"/>
              </w:rPr>
              <w:t>该系统包括基础的统一门户、教育政务数据仓库、教育规划应用、学位分析预警、中高考分析、教育扶贫、控辍保学、信息发布等功能。</w:t>
            </w:r>
          </w:p>
        </w:tc>
      </w:tr>
    </w:tbl>
    <w:p w14:paraId="3D540D73">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3.</w:t>
      </w:r>
      <w:r>
        <w:rPr>
          <w:rFonts w:hint="eastAsia" w:asciiTheme="minorEastAsia" w:hAnsiTheme="minorEastAsia"/>
          <w:b/>
          <w:sz w:val="24"/>
          <w:szCs w:val="24"/>
        </w:rPr>
        <w:t>项目成果交付</w:t>
      </w:r>
    </w:p>
    <w:p w14:paraId="717E0CE4">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3.1 2025年商用密码应用安全性评估项目《商用密码应用安全性评估</w:t>
      </w:r>
      <w:r>
        <w:rPr>
          <w:rFonts w:hint="eastAsia" w:asciiTheme="minorEastAsia" w:hAnsiTheme="minorEastAsia"/>
          <w:b/>
          <w:bCs/>
          <w:sz w:val="24"/>
          <w:szCs w:val="24"/>
          <w:lang w:bidi="ar"/>
        </w:rPr>
        <w:t>测评方案</w:t>
      </w:r>
      <w:r>
        <w:rPr>
          <w:rFonts w:hint="eastAsia" w:asciiTheme="minorEastAsia" w:hAnsiTheme="minorEastAsia"/>
          <w:sz w:val="24"/>
          <w:szCs w:val="24"/>
          <w:lang w:bidi="ar"/>
        </w:rPr>
        <w:t>》；</w:t>
      </w:r>
    </w:p>
    <w:p w14:paraId="5F3F0490">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3.2 2025年商用密码应用安全性评估项目《商用密码应用安全性</w:t>
      </w:r>
      <w:r>
        <w:rPr>
          <w:rFonts w:hint="eastAsia" w:asciiTheme="minorEastAsia" w:hAnsiTheme="minorEastAsia"/>
          <w:b/>
          <w:bCs/>
          <w:sz w:val="24"/>
          <w:szCs w:val="24"/>
          <w:lang w:bidi="ar"/>
        </w:rPr>
        <w:t>评估报告</w:t>
      </w:r>
      <w:r>
        <w:rPr>
          <w:rFonts w:hint="eastAsia" w:asciiTheme="minorEastAsia" w:hAnsiTheme="minorEastAsia"/>
          <w:sz w:val="24"/>
          <w:szCs w:val="24"/>
          <w:lang w:bidi="ar"/>
        </w:rPr>
        <w:t>》；</w:t>
      </w:r>
    </w:p>
    <w:p w14:paraId="51EB84A5">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3.3 2025年商用密码应用安全性评估项目《商用密码应用安全性评估指导</w:t>
      </w:r>
      <w:r>
        <w:rPr>
          <w:rFonts w:hint="eastAsia" w:asciiTheme="minorEastAsia" w:hAnsiTheme="minorEastAsia"/>
          <w:b/>
          <w:bCs/>
          <w:sz w:val="24"/>
          <w:szCs w:val="24"/>
          <w:lang w:bidi="ar"/>
        </w:rPr>
        <w:t>整改实施方案</w:t>
      </w:r>
      <w:r>
        <w:rPr>
          <w:rFonts w:hint="eastAsia" w:asciiTheme="minorEastAsia" w:hAnsiTheme="minorEastAsia"/>
          <w:sz w:val="24"/>
          <w:szCs w:val="24"/>
          <w:lang w:bidi="ar"/>
        </w:rPr>
        <w:t>》；</w:t>
      </w:r>
    </w:p>
    <w:p w14:paraId="7768D178">
      <w:pPr>
        <w:pStyle w:val="265"/>
        <w:spacing w:line="360" w:lineRule="auto"/>
        <w:ind w:firstLine="480" w:firstLineChars="200"/>
        <w:rPr>
          <w:rFonts w:hint="eastAsia" w:asciiTheme="minorEastAsia" w:hAnsiTheme="minorEastAsia"/>
          <w:kern w:val="28"/>
          <w:sz w:val="24"/>
          <w:szCs w:val="24"/>
          <w:lang w:bidi="ar"/>
        </w:rPr>
      </w:pPr>
      <w:r>
        <w:rPr>
          <w:rFonts w:hint="eastAsia" w:asciiTheme="minorEastAsia" w:hAnsiTheme="minorEastAsia"/>
          <w:sz w:val="24"/>
          <w:szCs w:val="24"/>
          <w:lang w:bidi="ar"/>
        </w:rPr>
        <w:t>3.4 2025年商用密码应用安全性评估项目《商用密码应用安全性评估</w:t>
      </w:r>
      <w:r>
        <w:rPr>
          <w:rFonts w:hint="eastAsia" w:asciiTheme="minorEastAsia" w:hAnsiTheme="minorEastAsia"/>
          <w:b/>
          <w:bCs/>
          <w:sz w:val="24"/>
          <w:szCs w:val="24"/>
          <w:lang w:bidi="ar"/>
        </w:rPr>
        <w:t>整改建议</w:t>
      </w:r>
      <w:r>
        <w:rPr>
          <w:rFonts w:hint="eastAsia" w:asciiTheme="minorEastAsia" w:hAnsiTheme="minorEastAsia"/>
          <w:sz w:val="24"/>
          <w:szCs w:val="24"/>
          <w:lang w:bidi="ar"/>
        </w:rPr>
        <w:t>》。</w:t>
      </w:r>
    </w:p>
    <w:p w14:paraId="4CE50F98">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4.</w:t>
      </w:r>
      <w:r>
        <w:rPr>
          <w:rFonts w:hint="eastAsia" w:asciiTheme="minorEastAsia" w:hAnsiTheme="minorEastAsia"/>
          <w:b/>
          <w:sz w:val="24"/>
          <w:szCs w:val="24"/>
        </w:rPr>
        <w:t>测评方案</w:t>
      </w:r>
    </w:p>
    <w:p w14:paraId="2DD2D533">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4.1《中华人民共和国网络安全法》相关要求</w:t>
      </w:r>
    </w:p>
    <w:p w14:paraId="7545D0CD">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4.2《中华人民共和国密码法》</w:t>
      </w:r>
    </w:p>
    <w:p w14:paraId="6D47726F">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4.3 GB/T39786—2021《信息安全技术 信息系统密码应用基本要求》</w:t>
      </w:r>
    </w:p>
    <w:p w14:paraId="79574B6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4.4 GM/T 0115—2021《信息系统密码应用测评要求》</w:t>
      </w:r>
    </w:p>
    <w:p w14:paraId="37F7B32C">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4.5 GM/T 0116—2021《信息系统密码应用测评过程指南》</w:t>
      </w:r>
    </w:p>
    <w:p w14:paraId="07C915C1">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4.6《商用密码应用安全性评估测评作业指导书（试行）》</w:t>
      </w:r>
    </w:p>
    <w:p w14:paraId="339DCA9D">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4.7《政务信息系统密码应用与安全性评估工作指南》</w:t>
      </w:r>
    </w:p>
    <w:p w14:paraId="4CCD2C6D">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4.8《信息系统密码应用高风险判定指引》</w:t>
      </w:r>
    </w:p>
    <w:p w14:paraId="15570571">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4.9《商用密码应用安全性评估量化评估规则》</w:t>
      </w:r>
    </w:p>
    <w:p w14:paraId="646336F1">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rPr>
        <w:t>4.1.1总体技术要求</w:t>
      </w:r>
    </w:p>
    <w:p w14:paraId="0745501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1）密码算法合规性测评：着重针对信息系统在运行过程中所采用的各类密码算法进行全面且细致的评估。评估的核心在于核查这些密码算法是否严格契合当前有效的法律、法规中的相关规定，同时是否完全遵循密码领域的国家标准以及行业标准的具体要求。这意味着不仅要确认算法本身的设计与实现未违背法律层面的禁止性条款，还要确保其在加密强度、运算逻辑、适用场景等方面均符合国家标准和行业标准所设定的规范，以此保障密码算法在信息系统安全防护中发挥合法、有效的基础作用。</w:t>
      </w:r>
    </w:p>
    <w:p w14:paraId="35C84916">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2）密码技术合规性测评：聚焦于信息系统所运用的各类密码技术，对其是否严格遵循密码相关的国家标准和行业标准展开系统性评估。这里的密码技术涵盖了密码算法的具体应用方式、密码协议的设计与执行、密码机制的部署策略等多个方面。测评过程中，需逐一对照相关标准的具体条款，检查技术的实际应用是否与标准要求一致，是否存在因技术滥用或误用而导致的安全隐患，从而确保密码技术在信息系统中的应用具备规范性和科学性。</w:t>
      </w:r>
    </w:p>
    <w:p w14:paraId="09477182">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3）密码产品合规性测评：主要针对信息系统中所使用的各类密码产品以及密码模块进行合规性审查。关键在于确认这些产品和模块是否已经通过国家密码管理部门的正式核准。国家密码管理部门的核准是对密码产品和模块安全性、可靠性的权威认可，只有通过核准的产品和模块才能在信息系统中合法使用。测评过程中需严格核查产品和模块的核准资质文件，确保其符合国家相关规定，避免因使用未经核准的产品或模块而给信息系统带来安全风险。</w:t>
      </w:r>
    </w:p>
    <w:p w14:paraId="5FAEA9E3">
      <w:pPr>
        <w:pStyle w:val="265"/>
        <w:spacing w:line="360" w:lineRule="auto"/>
        <w:ind w:firstLine="480" w:firstLineChars="200"/>
        <w:rPr>
          <w:rFonts w:asciiTheme="minorEastAsia" w:hAnsiTheme="minorEastAsia"/>
          <w:sz w:val="24"/>
          <w:szCs w:val="24"/>
          <w:lang w:bidi="ar"/>
        </w:rPr>
      </w:pPr>
      <w:r>
        <w:rPr>
          <w:rFonts w:hint="eastAsia" w:asciiTheme="minorEastAsia" w:hAnsiTheme="minorEastAsia"/>
          <w:sz w:val="24"/>
          <w:szCs w:val="24"/>
          <w:lang w:bidi="ar"/>
        </w:rPr>
        <w:t>（4）密码服务合规性测评：重点评估信息系统中所使用的密码服务是否获得国家密码管理部门的许可。密码服务涉及密码技术的提供、密码产品的运维等多个环节，其合规性直接关系到信息系统密码应用的整体安全。测评需核实密码服务提供商是否具备国家密码管理部门颁发的许可证书，服务的内容、范围、方式等是否在许可范围内，是否严格按照许可要求提供服务，以保证密码服务的合法性和规范性，为信息系统的安全稳定运行提供可靠支持。</w:t>
      </w:r>
    </w:p>
    <w:p w14:paraId="2FBB9A0E">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rPr>
        <w:t>4.1.2详细要求</w:t>
      </w:r>
    </w:p>
    <w:p w14:paraId="32873B86">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1）密码技术应用测评涵盖物理和环境、网络和通信、设备和计算、应用和数据四个层面，旨在对信息系统中密码技术的应用情况展开分析与评估。其中，物理和环境层面的测评，主要是分析评估信息系统能否合理、合规地运用商用密码的完整性与真实性功能，以此来保护那些会对信息系统安全防护效能产生影响的物理和环境层面因素。这些因素主要包括重要场所的物理访问控制、监控设备的物理访问控制，以及物理访问记录、监控信息等敏感信息数据的完整性等。</w:t>
      </w:r>
    </w:p>
    <w:p w14:paraId="4FA41AA1">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网络和通信层面的测评，是分析评估信息系统是否合理、合规地利用商用密码的机密性、完整性和真实性功能，进而保护影响信息系统安全防护效能的网络和通信层面因素。典型的因素有安全认证连接到内部网络的设备、通信双方的身份认证过程、通信数据的完整性、敏感信息数据字段的机密性、网络边界访问控制信息的完整性、系统资源访问控制信息的完整性，以及安全设备和安全组件的集中管理方式与信息传输通道等。</w:t>
      </w:r>
    </w:p>
    <w:p w14:paraId="5FDCEC5F">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设备和计算层面的测评，聚焦于分析评估信息系统是否合理、合规地运用商用密码的机密性、完整性和真实性功能，从而保护影响信息系统安全防护效能的设备和计算层面因素。其典型因素包括登录信息系统设备和计算环境的用户身份鉴别过程、系统设备和计算环境资源访问控制信息的完整性、重要信息资源敏感标记的完整性、重要程序或文件的完整性，以及信息系统设备和计算环境的日志记录完整性等。</w:t>
      </w:r>
    </w:p>
    <w:p w14:paraId="38C917CA">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应用和数据层面的测评，是分析评估信息系统是否合理、合规地利用商用密码的机密性、完整性、真实性及不可否认性功能，来保护影响信息系统安全防护效能的应用和数据层面因素。典型因素主要有登录信息系统应用和数据操作环境的用户身份鉴别过程、系统应用和数据操作环境资源访问控制信息的完整性、重要信息资源敏感标记的完整性、重要数据传输过程的机密性与完整性、重要信息存储过程的机密性与完整性、重要程序的加载和卸载过程、信息系统应用相关实体行为的不可否认性，以及信息系统应用和数据操作环境的日志记录完整性等。</w:t>
      </w:r>
    </w:p>
    <w:p w14:paraId="287D509E">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2）密钥管理测评主要是对影响商用密码防护效能的密钥生命周期相关环节，以及这些环节的管理和策略制定全过程进行分析与评估。密钥生命周期的相关环节主要包含密钥生成、密钥存储、密钥分发、密钥导入、密钥导出、密钥使用、密钥备份、密钥恢复、密钥归档、密钥销毁等。</w:t>
      </w:r>
    </w:p>
    <w:p w14:paraId="76B32636">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（3）安全管理测评是对影响商用密码防护效能的管理制度与措施进行分析与评估。管理制度与措施的典型维度主要有安全管理制度、人员管控、信息系统实施、应急预案等。</w:t>
      </w:r>
    </w:p>
    <w:p w14:paraId="2ED5A606">
      <w:pPr>
        <w:pStyle w:val="265"/>
        <w:spacing w:line="360" w:lineRule="auto"/>
        <w:ind w:firstLine="480" w:firstLineChars="200"/>
        <w:rPr>
          <w:rFonts w:asciiTheme="minorEastAsia" w:hAnsiTheme="minorEastAsia"/>
          <w:sz w:val="24"/>
          <w:szCs w:val="24"/>
          <w:lang w:bidi="ar"/>
        </w:rPr>
      </w:pPr>
      <w:r>
        <w:rPr>
          <w:rFonts w:hint="eastAsia" w:asciiTheme="minorEastAsia" w:hAnsiTheme="minorEastAsia"/>
          <w:sz w:val="24"/>
          <w:szCs w:val="24"/>
          <w:lang w:bidi="ar"/>
        </w:rPr>
        <w:t>就进度计划而言，在合同签订且现场具备测评条件后，需在 60 日内完成系统的商用密码应用安全性评估，并指导相应的系统承建方完成整改，之后出具《商用密码应用安全性评估报告》等项目成果。</w:t>
      </w:r>
    </w:p>
    <w:p w14:paraId="62AA8E81">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b/>
          <w:sz w:val="24"/>
          <w:szCs w:val="24"/>
          <w:lang w:eastAsia="zh-CN"/>
        </w:rPr>
        <w:t>5.</w:t>
      </w:r>
      <w:r>
        <w:rPr>
          <w:rFonts w:hint="eastAsia" w:asciiTheme="minorEastAsia" w:hAnsiTheme="minorEastAsia"/>
          <w:sz w:val="24"/>
          <w:szCs w:val="24"/>
          <w:lang w:eastAsia="zh-CN" w:bidi="ar"/>
        </w:rPr>
        <w:t>供应商</w:t>
      </w:r>
      <w:r>
        <w:rPr>
          <w:rFonts w:hint="eastAsia" w:asciiTheme="minorEastAsia" w:hAnsiTheme="minorEastAsia"/>
          <w:sz w:val="24"/>
          <w:szCs w:val="24"/>
          <w:lang w:bidi="ar"/>
        </w:rPr>
        <w:t>为国家密码管理局认可的商用密码应用安全性测评机构（</w:t>
      </w:r>
      <w:r>
        <w:rPr>
          <w:rFonts w:hint="eastAsia" w:asciiTheme="minorEastAsia" w:hAnsiTheme="minorEastAsia"/>
          <w:sz w:val="24"/>
          <w:szCs w:val="24"/>
          <w:lang w:eastAsia="zh-CN" w:bidi="ar"/>
        </w:rPr>
        <w:t>商用密码检测机构资质证书）</w:t>
      </w:r>
      <w:r>
        <w:rPr>
          <w:rFonts w:asciiTheme="minorEastAsia" w:hAnsiTheme="minorEastAsia"/>
          <w:sz w:val="24"/>
          <w:szCs w:val="24"/>
          <w:lang w:bidi="ar"/>
        </w:rPr>
        <w:t>(提供相关截图证明材料加盖公</w:t>
      </w:r>
      <w:r>
        <w:rPr>
          <w:rFonts w:hint="eastAsia" w:asciiTheme="minorEastAsia" w:hAnsiTheme="minorEastAsia"/>
          <w:sz w:val="24"/>
          <w:szCs w:val="24"/>
          <w:lang w:bidi="ar"/>
        </w:rPr>
        <w:t>章</w:t>
      </w:r>
      <w:r>
        <w:rPr>
          <w:rFonts w:hint="eastAsia" w:asciiTheme="minorEastAsia" w:hAnsiTheme="minorEastAsia"/>
          <w:sz w:val="24"/>
          <w:szCs w:val="24"/>
          <w:lang w:eastAsia="zh-CN" w:bidi="ar"/>
        </w:rPr>
        <w:t>）</w:t>
      </w:r>
      <w:r>
        <w:rPr>
          <w:rFonts w:hint="eastAsia" w:asciiTheme="minorEastAsia" w:hAnsiTheme="minorEastAsia"/>
          <w:sz w:val="24"/>
          <w:szCs w:val="24"/>
          <w:lang w:bidi="ar"/>
        </w:rPr>
        <w:t>。</w:t>
      </w:r>
    </w:p>
    <w:p w14:paraId="3A0F73E7">
      <w:pPr>
        <w:spacing w:after="0" w:line="360" w:lineRule="auto"/>
        <w:ind w:left="0" w:right="0" w:firstLine="0"/>
        <w:jc w:val="both"/>
        <w:rPr>
          <w:rFonts w:hint="eastAsia"/>
          <w:b/>
          <w:color w:val="auto"/>
          <w:sz w:val="24"/>
          <w:szCs w:val="24"/>
        </w:rPr>
      </w:pPr>
      <w:r>
        <w:rPr>
          <w:rFonts w:hint="eastAsia"/>
          <w:b/>
          <w:color w:val="auto"/>
          <w:sz w:val="24"/>
          <w:szCs w:val="24"/>
          <w:lang w:eastAsia="zh-CN"/>
        </w:rPr>
        <w:t>（</w:t>
      </w:r>
      <w:r>
        <w:rPr>
          <w:rFonts w:hint="eastAsia"/>
          <w:b/>
          <w:color w:val="auto"/>
          <w:sz w:val="24"/>
          <w:szCs w:val="24"/>
          <w:lang w:val="en-US" w:eastAsia="zh-CN"/>
        </w:rPr>
        <w:t>四</w:t>
      </w:r>
      <w:r>
        <w:rPr>
          <w:rFonts w:hint="eastAsia"/>
          <w:b/>
          <w:color w:val="auto"/>
          <w:sz w:val="24"/>
          <w:szCs w:val="24"/>
          <w:lang w:eastAsia="zh-CN"/>
        </w:rPr>
        <w:t>）</w:t>
      </w:r>
      <w:r>
        <w:rPr>
          <w:rFonts w:hint="eastAsia"/>
          <w:b/>
          <w:color w:val="auto"/>
          <w:sz w:val="24"/>
          <w:szCs w:val="24"/>
        </w:rPr>
        <w:t>商务要求</w:t>
      </w:r>
    </w:p>
    <w:p w14:paraId="7074E49E">
      <w:pPr>
        <w:widowControl w:val="0"/>
        <w:spacing w:after="0" w:line="360" w:lineRule="auto"/>
        <w:ind w:left="0" w:right="0" w:firstLine="480" w:firstLineChars="200"/>
        <w:rPr>
          <w:rFonts w:hint="eastAsia"/>
          <w:color w:val="auto"/>
          <w:sz w:val="24"/>
          <w:szCs w:val="24"/>
        </w:rPr>
      </w:pPr>
      <w:r>
        <w:rPr>
          <w:rFonts w:hint="eastAsia"/>
          <w:b/>
          <w:color w:val="auto"/>
          <w:sz w:val="24"/>
          <w:szCs w:val="24"/>
          <w:lang w:eastAsia="zh-CN"/>
        </w:rPr>
        <w:t>1.</w:t>
      </w:r>
      <w:r>
        <w:rPr>
          <w:rFonts w:hint="eastAsia"/>
          <w:b/>
          <w:color w:val="auto"/>
          <w:sz w:val="24"/>
          <w:szCs w:val="24"/>
        </w:rPr>
        <w:t>合同履行期限</w:t>
      </w:r>
      <w:r>
        <w:rPr>
          <w:rFonts w:hint="eastAsia"/>
          <w:color w:val="auto"/>
          <w:sz w:val="24"/>
          <w:szCs w:val="24"/>
        </w:rPr>
        <w:t xml:space="preserve">：自合同签订之日起60天。 </w:t>
      </w:r>
    </w:p>
    <w:p w14:paraId="016AA702">
      <w:pPr>
        <w:widowControl w:val="0"/>
        <w:spacing w:after="0" w:line="360" w:lineRule="auto"/>
        <w:ind w:left="0" w:right="0" w:firstLine="480" w:firstLineChars="200"/>
        <w:rPr>
          <w:rFonts w:hint="eastAsia"/>
          <w:color w:val="auto"/>
          <w:sz w:val="24"/>
          <w:szCs w:val="24"/>
        </w:rPr>
      </w:pPr>
      <w:r>
        <w:rPr>
          <w:rFonts w:hint="eastAsia"/>
          <w:b/>
          <w:color w:val="auto"/>
          <w:sz w:val="24"/>
          <w:szCs w:val="24"/>
          <w:lang w:eastAsia="zh-CN"/>
        </w:rPr>
        <w:t>2.</w:t>
      </w:r>
      <w:r>
        <w:rPr>
          <w:rFonts w:hint="eastAsia"/>
          <w:b/>
          <w:color w:val="auto"/>
          <w:sz w:val="24"/>
          <w:szCs w:val="24"/>
        </w:rPr>
        <w:t>项目地点</w:t>
      </w:r>
      <w:r>
        <w:rPr>
          <w:rFonts w:hint="eastAsia"/>
          <w:color w:val="auto"/>
          <w:sz w:val="24"/>
          <w:szCs w:val="24"/>
        </w:rPr>
        <w:t xml:space="preserve">：采购人指定地点。 </w:t>
      </w:r>
    </w:p>
    <w:p w14:paraId="430860C0">
      <w:pPr>
        <w:widowControl w:val="0"/>
        <w:spacing w:after="0" w:line="360" w:lineRule="auto"/>
        <w:ind w:left="0" w:right="0" w:firstLine="480" w:firstLineChars="200"/>
        <w:rPr>
          <w:rFonts w:hint="eastAsia"/>
          <w:color w:val="auto"/>
          <w:sz w:val="24"/>
          <w:szCs w:val="24"/>
        </w:rPr>
      </w:pPr>
      <w:r>
        <w:rPr>
          <w:rFonts w:hint="eastAsia"/>
          <w:b/>
          <w:color w:val="auto"/>
          <w:sz w:val="24"/>
          <w:szCs w:val="24"/>
          <w:lang w:eastAsia="zh-CN"/>
        </w:rPr>
        <w:t>3.</w:t>
      </w:r>
      <w:r>
        <w:rPr>
          <w:rFonts w:hint="eastAsia"/>
          <w:b/>
          <w:color w:val="auto"/>
          <w:sz w:val="24"/>
          <w:szCs w:val="24"/>
        </w:rPr>
        <w:t>付款方式（以实际签署合同为准）</w:t>
      </w:r>
    </w:p>
    <w:p w14:paraId="52B62755">
      <w:pPr>
        <w:widowControl w:val="0"/>
        <w:spacing w:after="0" w:line="360" w:lineRule="auto"/>
        <w:ind w:left="0" w:right="0" w:firstLine="480" w:firstLineChars="200"/>
        <w:rPr>
          <w:rFonts w:hint="eastAsia" w:asciiTheme="minorEastAsia" w:hAnsiTheme="minorEastAsia" w:eastAsiaTheme="minorEastAsia" w:cstheme="minorBidi"/>
          <w:color w:val="auto"/>
          <w:sz w:val="24"/>
          <w:szCs w:val="24"/>
          <w:lang w:bidi="ar"/>
        </w:rPr>
      </w:pPr>
      <w:r>
        <w:rPr>
          <w:rFonts w:hint="eastAsia" w:asciiTheme="minorEastAsia" w:hAnsiTheme="minorEastAsia" w:eastAsiaTheme="minorEastAsia" w:cstheme="minorBidi"/>
          <w:color w:val="auto"/>
          <w:sz w:val="24"/>
          <w:szCs w:val="24"/>
          <w:lang w:bidi="ar"/>
        </w:rPr>
        <w:t>3.1本项目合同签订后，甲方凭乙方开具的正式有效发票，在10个工作日内向乙方支付合同总金额的70%的首付款。</w:t>
      </w:r>
    </w:p>
    <w:p w14:paraId="6BBB0718">
      <w:pPr>
        <w:widowControl w:val="0"/>
        <w:spacing w:after="0" w:line="360" w:lineRule="auto"/>
        <w:ind w:left="0" w:right="0" w:firstLine="480" w:firstLineChars="200"/>
        <w:rPr>
          <w:rFonts w:hint="eastAsia" w:asciiTheme="minorEastAsia" w:hAnsiTheme="minorEastAsia" w:eastAsiaTheme="minorEastAsia" w:cstheme="minorBidi"/>
          <w:color w:val="auto"/>
          <w:sz w:val="24"/>
          <w:szCs w:val="24"/>
          <w:lang w:bidi="ar"/>
        </w:rPr>
      </w:pPr>
      <w:r>
        <w:rPr>
          <w:rFonts w:hint="eastAsia" w:asciiTheme="minorEastAsia" w:hAnsiTheme="minorEastAsia" w:eastAsiaTheme="minorEastAsia" w:cstheme="minorBidi"/>
          <w:color w:val="auto"/>
          <w:sz w:val="24"/>
          <w:szCs w:val="24"/>
          <w:lang w:bidi="ar"/>
        </w:rPr>
        <w:t>3.2乙方完成系统的商用密码应用安全性评估，并</w:t>
      </w:r>
      <w:r>
        <w:rPr>
          <w:rFonts w:hint="eastAsia" w:asciiTheme="minorEastAsia" w:hAnsiTheme="minorEastAsia"/>
          <w:color w:val="auto"/>
          <w:sz w:val="24"/>
          <w:szCs w:val="24"/>
          <w:lang w:bidi="ar"/>
        </w:rPr>
        <w:t>指导相应系统承建方整改，</w:t>
      </w:r>
      <w:r>
        <w:rPr>
          <w:rFonts w:hint="eastAsia" w:asciiTheme="minorEastAsia" w:hAnsiTheme="minorEastAsia" w:eastAsiaTheme="minorEastAsia" w:cstheme="minorBidi"/>
          <w:color w:val="auto"/>
          <w:sz w:val="24"/>
          <w:szCs w:val="24"/>
          <w:lang w:bidi="ar"/>
        </w:rPr>
        <w:t>凭乙方开具的正式有效发票和评估报告等相关材料，</w:t>
      </w:r>
      <w:r>
        <w:rPr>
          <w:rFonts w:hint="eastAsia" w:asciiTheme="minorEastAsia" w:hAnsiTheme="minorEastAsia" w:eastAsiaTheme="minorEastAsia" w:cstheme="minorBidi"/>
          <w:color w:val="auto"/>
          <w:sz w:val="24"/>
          <w:szCs w:val="24"/>
          <w:lang w:val="en-US" w:eastAsia="zh-CN" w:bidi="ar"/>
        </w:rPr>
        <w:t>甲方</w:t>
      </w:r>
      <w:r>
        <w:rPr>
          <w:rFonts w:hint="eastAsia" w:asciiTheme="minorEastAsia" w:hAnsiTheme="minorEastAsia" w:eastAsiaTheme="minorEastAsia" w:cstheme="minorBidi"/>
          <w:color w:val="auto"/>
          <w:sz w:val="24"/>
          <w:szCs w:val="24"/>
          <w:lang w:bidi="ar"/>
        </w:rPr>
        <w:t>在10个工作日内向乙方支付30%的尾款。</w:t>
      </w:r>
    </w:p>
    <w:p w14:paraId="556054A6">
      <w:pPr>
        <w:pStyle w:val="265"/>
        <w:spacing w:line="360" w:lineRule="auto"/>
        <w:ind w:firstLine="480" w:firstLineChars="200"/>
        <w:rPr>
          <w:rFonts w:hint="eastAsia" w:asciiTheme="minorEastAsia" w:hAnsiTheme="minorEastAsia"/>
          <w:b/>
          <w:sz w:val="24"/>
          <w:szCs w:val="24"/>
          <w:lang w:bidi="ar"/>
        </w:rPr>
      </w:pPr>
      <w:r>
        <w:rPr>
          <w:rFonts w:hint="eastAsia" w:asciiTheme="minorEastAsia" w:hAnsiTheme="minorEastAsia"/>
          <w:b/>
          <w:sz w:val="24"/>
          <w:szCs w:val="24"/>
          <w:lang w:eastAsia="zh-CN" w:bidi="ar"/>
        </w:rPr>
        <w:t>4.</w:t>
      </w:r>
      <w:r>
        <w:rPr>
          <w:rFonts w:hint="eastAsia" w:asciiTheme="minorEastAsia" w:hAnsiTheme="minorEastAsia"/>
          <w:b/>
          <w:sz w:val="24"/>
          <w:szCs w:val="24"/>
          <w:lang w:bidi="ar"/>
        </w:rPr>
        <w:t>服务要求</w:t>
      </w:r>
    </w:p>
    <w:p w14:paraId="5A14C442">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4.1评估项目实施过程中，</w:t>
      </w:r>
      <w:r>
        <w:rPr>
          <w:rFonts w:hint="eastAsia" w:asciiTheme="minorEastAsia" w:hAnsiTheme="minorEastAsia"/>
          <w:sz w:val="24"/>
          <w:szCs w:val="24"/>
          <w:lang w:eastAsia="zh-CN" w:bidi="ar"/>
        </w:rPr>
        <w:t>供应商</w:t>
      </w:r>
      <w:r>
        <w:rPr>
          <w:rFonts w:hint="eastAsia" w:asciiTheme="minorEastAsia" w:hAnsiTheme="minorEastAsia"/>
          <w:sz w:val="24"/>
          <w:szCs w:val="24"/>
          <w:lang w:bidi="ar"/>
        </w:rPr>
        <w:t>应遵循国家标准、行业标准。</w:t>
      </w:r>
    </w:p>
    <w:p w14:paraId="532A459E">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4.2项目实施要求</w:t>
      </w:r>
    </w:p>
    <w:p w14:paraId="4563205A">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（1）提供项目实施组织架构；</w:t>
      </w:r>
    </w:p>
    <w:p w14:paraId="68E8D7F7">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（2）提供详细的项目实施方案和计划进度说明书；</w:t>
      </w:r>
    </w:p>
    <w:p w14:paraId="1FA29403">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（3）严格按照双方确定的计划进度保质保量完成工作；</w:t>
      </w:r>
    </w:p>
    <w:p w14:paraId="7295B80E">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（4）项目实施中要引入风险管理、质量管理；</w:t>
      </w:r>
    </w:p>
    <w:p w14:paraId="3CD69D57">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（5）签署《保密协议》。</w:t>
      </w:r>
    </w:p>
    <w:p w14:paraId="1BC10CCB">
      <w:pPr>
        <w:pStyle w:val="265"/>
        <w:spacing w:line="360" w:lineRule="auto"/>
        <w:ind w:firstLine="470" w:firstLineChars="196"/>
        <w:rPr>
          <w:rFonts w:hint="eastAsia" w:asciiTheme="minorEastAsia" w:hAnsiTheme="minorEastAsia"/>
          <w:sz w:val="24"/>
          <w:szCs w:val="24"/>
          <w:lang w:bidi="ar"/>
        </w:rPr>
      </w:pPr>
      <w:r>
        <w:rPr>
          <w:rFonts w:hint="eastAsia" w:asciiTheme="minorEastAsia" w:hAnsiTheme="minorEastAsia"/>
          <w:sz w:val="24"/>
          <w:szCs w:val="24"/>
          <w:lang w:bidi="ar"/>
        </w:rPr>
        <w:t>4.2项目人员管理</w:t>
      </w:r>
    </w:p>
    <w:p w14:paraId="4EF6F2CA">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项目组所有成员应通过商用密码应用安全性评估能力考试并取得证书，供应商现场实施人员应持证测评，并且必须为</w:t>
      </w:r>
      <w:r>
        <w:rPr>
          <w:rFonts w:hint="eastAsia" w:asciiTheme="minorEastAsia" w:hAnsiTheme="minorEastAsia"/>
          <w:sz w:val="24"/>
          <w:szCs w:val="24"/>
          <w:lang w:eastAsia="zh-CN" w:bidi="ar"/>
        </w:rPr>
        <w:t>采购文件</w:t>
      </w:r>
      <w:r>
        <w:rPr>
          <w:rFonts w:hint="eastAsia" w:asciiTheme="minorEastAsia" w:hAnsiTheme="minorEastAsia"/>
          <w:sz w:val="24"/>
          <w:szCs w:val="24"/>
          <w:lang w:bidi="ar"/>
        </w:rPr>
        <w:t>中的人员，若供应商后续签订合同后不按</w:t>
      </w:r>
      <w:r>
        <w:rPr>
          <w:rFonts w:hint="eastAsia" w:asciiTheme="minorEastAsia" w:hAnsiTheme="minorEastAsia"/>
          <w:sz w:val="24"/>
          <w:szCs w:val="24"/>
          <w:lang w:eastAsia="zh-CN" w:bidi="ar"/>
        </w:rPr>
        <w:t>采购文件</w:t>
      </w:r>
      <w:r>
        <w:rPr>
          <w:rFonts w:hint="eastAsia" w:asciiTheme="minorEastAsia" w:hAnsiTheme="minorEastAsia"/>
          <w:sz w:val="24"/>
          <w:szCs w:val="24"/>
          <w:lang w:bidi="ar"/>
        </w:rPr>
        <w:t>安排实施人员的，将视为虚假应标。（供应商需提供承诺函，若后续签订合同后供应商不按承诺函所述安排实施人员的，将视为虚假应标）。</w:t>
      </w:r>
    </w:p>
    <w:p w14:paraId="0EA497C7">
      <w:pPr>
        <w:pStyle w:val="265"/>
        <w:spacing w:line="360" w:lineRule="auto"/>
        <w:ind w:firstLine="470" w:firstLineChars="196"/>
        <w:rPr>
          <w:rFonts w:hint="eastAsia" w:asciiTheme="minorEastAsia" w:hAnsiTheme="minorEastAsia"/>
          <w:bCs/>
          <w:sz w:val="24"/>
          <w:szCs w:val="24"/>
          <w:lang w:bidi="ar"/>
        </w:rPr>
      </w:pPr>
      <w:r>
        <w:rPr>
          <w:rFonts w:hint="eastAsia" w:asciiTheme="minorEastAsia" w:hAnsiTheme="minorEastAsia"/>
          <w:bCs/>
          <w:sz w:val="24"/>
          <w:szCs w:val="24"/>
          <w:lang w:bidi="ar"/>
        </w:rPr>
        <w:t>4.3项目验收</w:t>
      </w:r>
    </w:p>
    <w:p w14:paraId="4ABB68EB">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eastAsia="zh-CN" w:bidi="ar"/>
        </w:rPr>
        <w:t>供应商</w:t>
      </w:r>
      <w:r>
        <w:rPr>
          <w:rFonts w:hint="eastAsia" w:asciiTheme="minorEastAsia" w:hAnsiTheme="minorEastAsia"/>
          <w:sz w:val="24"/>
          <w:szCs w:val="24"/>
          <w:lang w:bidi="ar"/>
        </w:rPr>
        <w:t>必须书面通知采购人所完成的工作和准备进行验收的项目种类及验收开始时间，此通知书需经采购人认定后方可执行。</w:t>
      </w:r>
    </w:p>
    <w:p w14:paraId="600A4A62">
      <w:pPr>
        <w:pStyle w:val="265"/>
        <w:spacing w:line="360" w:lineRule="auto"/>
        <w:ind w:firstLine="470" w:firstLineChars="196"/>
        <w:rPr>
          <w:rFonts w:hint="eastAsia" w:asciiTheme="minorEastAsia" w:hAnsiTheme="minorEastAsia"/>
          <w:bCs/>
          <w:sz w:val="24"/>
          <w:szCs w:val="24"/>
          <w:lang w:bidi="ar"/>
        </w:rPr>
      </w:pPr>
      <w:r>
        <w:rPr>
          <w:rFonts w:hint="eastAsia" w:asciiTheme="minorEastAsia" w:hAnsiTheme="minorEastAsia"/>
          <w:bCs/>
          <w:sz w:val="24"/>
          <w:szCs w:val="24"/>
          <w:lang w:bidi="ar"/>
        </w:rPr>
        <w:t>4.4验收组织</w:t>
      </w:r>
    </w:p>
    <w:p w14:paraId="6137E76F">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成立由采购人以及其他有关人员组成的验收小组，负责对项目进行全面的验收。</w:t>
      </w:r>
    </w:p>
    <w:p w14:paraId="220EA589">
      <w:pPr>
        <w:pStyle w:val="265"/>
        <w:spacing w:line="360" w:lineRule="auto"/>
        <w:ind w:firstLine="470" w:firstLineChars="196"/>
        <w:rPr>
          <w:rFonts w:hint="eastAsia" w:asciiTheme="minorEastAsia" w:hAnsiTheme="minorEastAsia"/>
          <w:bCs/>
          <w:sz w:val="24"/>
          <w:szCs w:val="24"/>
          <w:lang w:bidi="ar"/>
        </w:rPr>
      </w:pPr>
      <w:r>
        <w:rPr>
          <w:rFonts w:hint="eastAsia" w:asciiTheme="minorEastAsia" w:hAnsiTheme="minorEastAsia"/>
          <w:bCs/>
          <w:sz w:val="24"/>
          <w:szCs w:val="24"/>
          <w:lang w:bidi="ar"/>
        </w:rPr>
        <w:t xml:space="preserve">4.5验收标准 </w:t>
      </w:r>
    </w:p>
    <w:p w14:paraId="04DD2478">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（1）信息系统商用密码应用安全性评估测评方案；</w:t>
      </w:r>
    </w:p>
    <w:p w14:paraId="46A8F1D9">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（2）信息系统商用密码应用安全性评估报告；</w:t>
      </w:r>
    </w:p>
    <w:p w14:paraId="53FF3BF2">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（3）信息系统商用密码应用安全性评估整改建议</w:t>
      </w:r>
    </w:p>
    <w:p w14:paraId="4CD013B8">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（4）信息系统商用密码应用安全性评估整改实施方案；</w:t>
      </w:r>
    </w:p>
    <w:p w14:paraId="3AFBC859">
      <w:pPr>
        <w:pStyle w:val="265"/>
        <w:spacing w:line="360" w:lineRule="auto"/>
        <w:ind w:left="435" w:leftChars="150" w:hanging="120" w:hangingChars="50"/>
        <w:rPr>
          <w:rFonts w:hint="eastAsia" w:asciiTheme="minorEastAsia" w:hAnsiTheme="minorEastAsia"/>
          <w:b/>
          <w:sz w:val="24"/>
          <w:szCs w:val="24"/>
          <w:lang w:bidi="ar"/>
        </w:rPr>
      </w:pPr>
      <w:r>
        <w:rPr>
          <w:rFonts w:hint="eastAsia" w:asciiTheme="minorEastAsia" w:hAnsiTheme="minorEastAsia"/>
          <w:sz w:val="24"/>
          <w:szCs w:val="24"/>
          <w:lang w:bidi="ar"/>
        </w:rPr>
        <w:t>（5）整体性的汇总报告；</w:t>
      </w:r>
      <w:r>
        <w:rPr>
          <w:rFonts w:hint="eastAsia" w:asciiTheme="minorEastAsia" w:hAnsiTheme="minorEastAsia"/>
          <w:sz w:val="24"/>
          <w:szCs w:val="24"/>
          <w:lang w:bidi="ar"/>
        </w:rPr>
        <w:br w:type="textWrapping"/>
      </w:r>
      <w:r>
        <w:rPr>
          <w:rFonts w:hint="eastAsia" w:asciiTheme="minorEastAsia" w:hAnsiTheme="minorEastAsia"/>
          <w:b/>
          <w:sz w:val="24"/>
          <w:szCs w:val="24"/>
          <w:lang w:bidi="ar"/>
        </w:rPr>
        <w:t>5、服务保障</w:t>
      </w:r>
    </w:p>
    <w:p w14:paraId="629EEE04">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 xml:space="preserve">5.1供应商必须确保能建立一支具有一定服务能力的管理团队，并合理调配各岗位人员，保障服务工作相关岗位人员需要。 </w:t>
      </w:r>
    </w:p>
    <w:p w14:paraId="4BCF6ED5">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5.2</w:t>
      </w:r>
      <w:r>
        <w:rPr>
          <w:rFonts w:hint="eastAsia" w:asciiTheme="minorEastAsia" w:hAnsiTheme="minorEastAsia"/>
          <w:sz w:val="24"/>
          <w:szCs w:val="24"/>
          <w:lang w:eastAsia="zh-CN" w:bidi="ar"/>
        </w:rPr>
        <w:t>成交单位</w:t>
      </w:r>
      <w:r>
        <w:rPr>
          <w:rFonts w:hint="eastAsia" w:asciiTheme="minorEastAsia" w:hAnsiTheme="minorEastAsia"/>
          <w:sz w:val="24"/>
          <w:szCs w:val="24"/>
          <w:lang w:bidi="ar"/>
        </w:rPr>
        <w:t>从海南省电化教育馆2025年商用密码应用安全性评估项目进场之日起5个</w:t>
      </w:r>
      <w:r>
        <w:rPr>
          <w:rFonts w:hint="eastAsia" w:asciiTheme="minorEastAsia" w:hAnsiTheme="minorEastAsia"/>
          <w:sz w:val="24"/>
          <w:szCs w:val="24"/>
          <w:lang w:eastAsia="zh-CN" w:bidi="ar"/>
        </w:rPr>
        <w:t>工作日内</w:t>
      </w:r>
      <w:r>
        <w:rPr>
          <w:rFonts w:hint="eastAsia" w:asciiTheme="minorEastAsia" w:hAnsiTheme="minorEastAsia"/>
          <w:sz w:val="24"/>
          <w:szCs w:val="24"/>
          <w:lang w:bidi="ar"/>
        </w:rPr>
        <w:t>完成评估系统确</w:t>
      </w:r>
      <w:r>
        <w:rPr>
          <w:rFonts w:hint="eastAsia" w:asciiTheme="minorEastAsia" w:hAnsiTheme="minorEastAsia"/>
          <w:sz w:val="24"/>
          <w:szCs w:val="24"/>
          <w:lang w:eastAsia="zh-CN" w:bidi="ar"/>
        </w:rPr>
        <w:t>定的</w:t>
      </w:r>
      <w:r>
        <w:rPr>
          <w:rFonts w:hint="eastAsia" w:asciiTheme="minorEastAsia" w:hAnsiTheme="minorEastAsia"/>
          <w:sz w:val="24"/>
          <w:szCs w:val="24"/>
          <w:lang w:bidi="ar"/>
        </w:rPr>
        <w:t xml:space="preserve">测评方案编制。 </w:t>
      </w:r>
    </w:p>
    <w:p w14:paraId="773B3FC8">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5.3</w:t>
      </w:r>
      <w:r>
        <w:rPr>
          <w:rFonts w:hint="eastAsia" w:asciiTheme="minorEastAsia" w:hAnsiTheme="minorEastAsia"/>
          <w:sz w:val="24"/>
          <w:szCs w:val="24"/>
          <w:lang w:eastAsia="zh-CN" w:bidi="ar"/>
        </w:rPr>
        <w:t>成交单位</w:t>
      </w:r>
      <w:r>
        <w:rPr>
          <w:rFonts w:hint="eastAsia" w:asciiTheme="minorEastAsia" w:hAnsiTheme="minorEastAsia"/>
          <w:sz w:val="24"/>
          <w:szCs w:val="24"/>
          <w:lang w:bidi="ar"/>
        </w:rPr>
        <w:t xml:space="preserve">需在海南省电化教育馆2025年商用密码应用安全性评估项目验收之前完成并提交商用密码应用安全性评估报告。 </w:t>
      </w:r>
    </w:p>
    <w:p w14:paraId="3757DD61">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5.4服务期间提供应急保障工作，针对应急、攻坚克难等事宜提供保障方案，包括高层支撑和响应时间等。</w:t>
      </w:r>
    </w:p>
    <w:p w14:paraId="2DB1F8FD">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5.5严守工作秘密。</w:t>
      </w:r>
      <w:r>
        <w:rPr>
          <w:rFonts w:hint="eastAsia" w:asciiTheme="minorEastAsia" w:hAnsiTheme="minorEastAsia"/>
          <w:sz w:val="24"/>
          <w:szCs w:val="24"/>
          <w:lang w:eastAsia="zh-CN" w:bidi="ar"/>
        </w:rPr>
        <w:t>成交单位</w:t>
      </w:r>
      <w:r>
        <w:rPr>
          <w:rFonts w:hint="eastAsia" w:asciiTheme="minorEastAsia" w:hAnsiTheme="minorEastAsia"/>
          <w:sz w:val="24"/>
          <w:szCs w:val="24"/>
          <w:lang w:bidi="ar"/>
        </w:rPr>
        <w:t xml:space="preserve">必须与采购人签署保密协议，工作人员须与单位签署《保密承诺书》，对知悉的事项及信息予以保密，所有资料、技术文档妥善保管，不得遗失、转借、复印，不得以任何形式向第三方透露；所有密码应用解决方案和采集汇总后的数据严禁通过互联网等公共信息网络、普通邮政进行传递，严禁在连接互联网计算机上存储、处理。 </w:t>
      </w:r>
    </w:p>
    <w:p w14:paraId="50843DE1">
      <w:pPr>
        <w:bidi w:val="0"/>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5.6严格遵循操作规程，承担服务工作质量责任。</w:t>
      </w:r>
    </w:p>
    <w:p w14:paraId="58C44007">
      <w:pPr>
        <w:pStyle w:val="30"/>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Bidi"/>
          <w:b/>
          <w:bCs/>
          <w:kern w:val="2"/>
          <w:sz w:val="24"/>
          <w:szCs w:val="24"/>
          <w:lang w:val="en-US" w:eastAsia="zh-CN" w:bidi="ar"/>
        </w:rPr>
      </w:pPr>
      <w:r>
        <w:rPr>
          <w:rFonts w:hint="eastAsia" w:asciiTheme="minorEastAsia" w:hAnsiTheme="minorEastAsia" w:eastAsiaTheme="minorEastAsia" w:cstheme="minorBidi"/>
          <w:b/>
          <w:bCs/>
          <w:kern w:val="2"/>
          <w:sz w:val="24"/>
          <w:szCs w:val="24"/>
          <w:lang w:val="en-US" w:eastAsia="zh-CN" w:bidi="ar"/>
        </w:rPr>
        <w:t xml:space="preserve"> 其他要求：（提供承诺函并加盖公章，不提供则视为无效响应）</w:t>
      </w:r>
    </w:p>
    <w:p w14:paraId="2E1D2A71">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Bidi"/>
          <w:kern w:val="2"/>
          <w:sz w:val="24"/>
          <w:szCs w:val="24"/>
          <w:lang w:val="en-US" w:eastAsia="zh-CN" w:bidi="ar"/>
        </w:rPr>
      </w:pPr>
      <w:r>
        <w:rPr>
          <w:rFonts w:hint="eastAsia" w:asciiTheme="minorEastAsia" w:hAnsiTheme="minorEastAsia" w:eastAsiaTheme="minorEastAsia" w:cstheme="minorBidi"/>
          <w:kern w:val="2"/>
          <w:sz w:val="24"/>
          <w:szCs w:val="24"/>
          <w:lang w:val="en-US" w:eastAsia="zh-CN" w:bidi="ar"/>
        </w:rPr>
        <w:t>6.1成交后成交单位需使用密码机等技术开展预测评，根据预测评问题指导采购人整改后开展正式测评。</w:t>
      </w:r>
    </w:p>
    <w:p w14:paraId="04D9B13B">
      <w:pPr>
        <w:pStyle w:val="3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Bidi"/>
          <w:kern w:val="2"/>
          <w:sz w:val="24"/>
          <w:szCs w:val="24"/>
          <w:lang w:val="en-US" w:eastAsia="zh-CN" w:bidi="ar"/>
        </w:rPr>
      </w:pPr>
      <w:r>
        <w:rPr>
          <w:rFonts w:hint="eastAsia" w:asciiTheme="minorEastAsia" w:hAnsiTheme="minorEastAsia" w:eastAsiaTheme="minorEastAsia" w:cstheme="minorBidi"/>
          <w:kern w:val="2"/>
          <w:sz w:val="24"/>
          <w:szCs w:val="24"/>
          <w:lang w:val="en-US" w:eastAsia="zh-CN" w:bidi="ar"/>
        </w:rPr>
        <w:t>6.2成交单位需指导采购人对所有的系统进行整改至合格。</w:t>
      </w:r>
    </w:p>
    <w:p w14:paraId="6E43CC6E">
      <w:pPr>
        <w:numPr>
          <w:ilvl w:val="-1"/>
          <w:numId w:val="0"/>
        </w:numPr>
        <w:adjustRightInd/>
        <w:snapToGrid/>
        <w:spacing w:line="360" w:lineRule="auto"/>
        <w:ind w:firstLine="640" w:firstLineChars="200"/>
        <w:outlineLvl w:val="9"/>
        <w:rPr>
          <w:rFonts w:hint="eastAsia" w:asciiTheme="minorEastAsia" w:hAnsiTheme="minorEastAsia"/>
          <w:sz w:val="24"/>
          <w:szCs w:val="24"/>
          <w:lang w:bidi="ar"/>
        </w:rPr>
      </w:pPr>
      <w:r>
        <w:rPr>
          <w:rFonts w:hint="eastAsia" w:ascii="宋体" w:hAnsi="Times New Roman" w:eastAsia="宋体" w:cs="Times New Roman"/>
          <w:b/>
          <w:bCs/>
          <w:kern w:val="0"/>
          <w:sz w:val="32"/>
          <w:szCs w:val="32"/>
          <w:lang w:val="en-US" w:eastAsia="zh-CN"/>
        </w:rPr>
        <w:br w:type="page"/>
      </w:r>
    </w:p>
    <w:p w14:paraId="07F87F6A">
      <w:pPr>
        <w:pStyle w:val="30"/>
        <w:rPr>
          <w:rFonts w:hint="eastAsia"/>
          <w:lang w:val="en-US" w:eastAsia="zh-CN"/>
        </w:rPr>
      </w:pPr>
    </w:p>
    <w:p w14:paraId="17F268C1">
      <w:pPr>
        <w:numPr>
          <w:ilvl w:val="0"/>
          <w:numId w:val="0"/>
        </w:numPr>
        <w:adjustRightInd w:val="0"/>
        <w:snapToGrid w:val="0"/>
        <w:spacing w:line="300" w:lineRule="auto"/>
        <w:jc w:val="center"/>
        <w:outlineLvl w:val="1"/>
        <w:rPr>
          <w:rFonts w:hint="default" w:ascii="宋体" w:hAnsi="Times New Roman" w:eastAsia="宋体" w:cs="Times New Roman"/>
          <w:b/>
          <w:bCs/>
          <w:kern w:val="0"/>
          <w:sz w:val="32"/>
          <w:szCs w:val="32"/>
          <w:lang w:val="en-US" w:eastAsia="zh-CN"/>
        </w:rPr>
      </w:pPr>
      <w:r>
        <w:rPr>
          <w:rFonts w:hint="eastAsia" w:ascii="宋体" w:hAnsi="Times New Roman" w:eastAsia="宋体" w:cs="Times New Roman"/>
          <w:b/>
          <w:bCs/>
          <w:kern w:val="0"/>
          <w:sz w:val="32"/>
          <w:szCs w:val="32"/>
          <w:lang w:val="en-US" w:eastAsia="zh-CN"/>
        </w:rPr>
        <w:t>2包：</w:t>
      </w:r>
      <w:r>
        <w:rPr>
          <w:rFonts w:hint="eastAsia" w:ascii="宋体" w:cs="Times New Roman"/>
          <w:b/>
          <w:bCs/>
          <w:kern w:val="0"/>
          <w:sz w:val="32"/>
          <w:szCs w:val="32"/>
          <w:lang w:val="en-US" w:eastAsia="zh-CN"/>
        </w:rPr>
        <w:t>数字底座与教育教学管理服务一体化系统（海南省智慧教育平台（一期））</w:t>
      </w:r>
      <w:r>
        <w:rPr>
          <w:rFonts w:hint="eastAsia" w:ascii="宋体" w:hAnsi="Times New Roman" w:eastAsia="宋体" w:cs="Times New Roman"/>
          <w:b/>
          <w:bCs/>
          <w:kern w:val="0"/>
          <w:sz w:val="32"/>
          <w:szCs w:val="32"/>
          <w:lang w:val="en-US" w:eastAsia="zh-CN"/>
        </w:rPr>
        <w:t>商用密码应用安全性评估</w:t>
      </w:r>
    </w:p>
    <w:p w14:paraId="5CB4DD11">
      <w:pPr>
        <w:widowControl w:val="0"/>
        <w:spacing w:after="0" w:line="360" w:lineRule="auto"/>
        <w:ind w:left="0" w:right="0" w:firstLine="420" w:firstLineChars="200"/>
        <w:rPr>
          <w:rFonts w:hint="eastAsia"/>
          <w:b/>
          <w:color w:val="auto"/>
          <w:sz w:val="21"/>
          <w:szCs w:val="24"/>
        </w:rPr>
      </w:pPr>
      <w:r>
        <w:rPr>
          <w:rFonts w:hint="eastAsia"/>
          <w:b/>
          <w:color w:val="auto"/>
          <w:sz w:val="21"/>
          <w:szCs w:val="24"/>
        </w:rPr>
        <w:t>（一）项目目标</w:t>
      </w:r>
    </w:p>
    <w:p w14:paraId="5179E237">
      <w:pPr>
        <w:widowControl w:val="0"/>
        <w:spacing w:after="0" w:line="360" w:lineRule="auto"/>
        <w:ind w:left="0" w:right="0" w:firstLine="480" w:firstLineChars="20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按照 GB/T 39786-2021《信息安全技术 信息系统密码应用基本要求》，对</w:t>
      </w:r>
      <w:r>
        <w:rPr>
          <w:rFonts w:hint="eastAsia" w:ascii="宋体" w:hAnsi="宋体" w:cs="宋体"/>
          <w:b w:val="0"/>
          <w:bCs w:val="0"/>
          <w:kern w:val="2"/>
          <w:sz w:val="24"/>
          <w:szCs w:val="22"/>
          <w:lang w:val="en-US" w:eastAsia="zh-CN"/>
        </w:rPr>
        <w:t>数字底座与教育教学管理服务一体化系统（海南省智慧教育平台（一期））（</w:t>
      </w:r>
      <w:r>
        <w:rPr>
          <w:rFonts w:hint="eastAsia" w:ascii="宋体" w:hAnsi="宋体" w:cs="宋体"/>
          <w:kern w:val="2"/>
          <w:sz w:val="24"/>
          <w:szCs w:val="22"/>
          <w:lang w:val="en-US" w:eastAsia="zh-CN"/>
        </w:rPr>
        <w:t>包含海南省教育数字底座、海南省智慧教育应用中心、海教通三个系统）</w:t>
      </w:r>
      <w:r>
        <w:rPr>
          <w:rFonts w:hint="eastAsia" w:ascii="宋体" w:hAnsi="宋体" w:eastAsia="宋体" w:cs="宋体"/>
          <w:kern w:val="2"/>
          <w:sz w:val="24"/>
          <w:szCs w:val="22"/>
          <w:lang w:val="en-US" w:eastAsia="zh-CN" w:bidi="ar-SA"/>
        </w:rPr>
        <w:t>系统实施密评工作。通过此次密评，将深入排查这些信息系统在密码应用方面存在的薄弱环节与安全隐患，分析其面临的风险，为提升系统安全水平打下基础。同时，这一工作也将推动国产密码应用的进一步落地，保障并促进海南省电化教育馆信息化安全体系建设的健康发展。此外，还能为该馆的信息安全保障体系建设提供指导，增强其密码安全管理意识，助力安全管理水平的提升。</w:t>
      </w:r>
    </w:p>
    <w:p w14:paraId="101B5E10">
      <w:pPr>
        <w:widowControl w:val="0"/>
        <w:spacing w:after="0" w:line="360" w:lineRule="auto"/>
        <w:ind w:left="0" w:right="0" w:firstLine="420" w:firstLineChars="200"/>
        <w:rPr>
          <w:rFonts w:hint="eastAsia"/>
          <w:b/>
          <w:color w:val="auto"/>
          <w:sz w:val="21"/>
          <w:szCs w:val="24"/>
        </w:rPr>
      </w:pPr>
      <w:r>
        <w:rPr>
          <w:rFonts w:hint="eastAsia"/>
          <w:b/>
          <w:color w:val="auto"/>
          <w:sz w:val="21"/>
          <w:szCs w:val="24"/>
        </w:rPr>
        <w:t>（二）项目内容</w:t>
      </w:r>
    </w:p>
    <w:p w14:paraId="0DEBD24E">
      <w:pPr>
        <w:pStyle w:val="265"/>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GB/T 39786-2021《信息安全技术信息系统密码应用基本要求》从物理和环境、网络和通信、设备和计算、应用和数据、安全管理等方面对信息系统开展密码应用安全性评估工作，分析信息系统与基本要求之间的差距，出具《商用密码应用安全性评估报告》，提出具有针对性的整改意见，并根据信息系统及安全防护措施的现状，提供其他安全服务，确保信息系统的安全运行。</w:t>
      </w:r>
    </w:p>
    <w:p w14:paraId="691DAB6A">
      <w:pPr>
        <w:pStyle w:val="265"/>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对项目范围内系统开展商用密码应用安全性评估服务后，应采购方要求，针对不同系统密码应用状况不同，结合系统应用实际情况，开展密码应用方案指导咨询工作，指导开展密码应用安全技术方案编写工作。</w:t>
      </w:r>
    </w:p>
    <w:p w14:paraId="7F2B45E1">
      <w:pPr>
        <w:widowControl w:val="0"/>
        <w:spacing w:after="0" w:line="360" w:lineRule="auto"/>
        <w:ind w:left="0" w:right="0" w:firstLine="420" w:firstLineChars="200"/>
        <w:rPr>
          <w:rFonts w:hint="eastAsia"/>
          <w:b/>
          <w:color w:val="auto"/>
          <w:sz w:val="21"/>
          <w:szCs w:val="24"/>
        </w:rPr>
      </w:pPr>
      <w:r>
        <w:rPr>
          <w:rFonts w:hint="eastAsia"/>
          <w:b/>
          <w:color w:val="auto"/>
          <w:sz w:val="21"/>
          <w:szCs w:val="24"/>
        </w:rPr>
        <w:t>（三）项目需求</w:t>
      </w:r>
    </w:p>
    <w:p w14:paraId="6FB3F40C">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1.</w:t>
      </w:r>
      <w:r>
        <w:rPr>
          <w:rFonts w:hint="eastAsia" w:asciiTheme="minorEastAsia" w:hAnsiTheme="minorEastAsia"/>
          <w:b/>
          <w:sz w:val="24"/>
          <w:szCs w:val="24"/>
        </w:rPr>
        <w:t>需求内容</w:t>
      </w:r>
    </w:p>
    <w:p w14:paraId="21E9756C">
      <w:pPr>
        <w:pStyle w:val="265"/>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1.1对</w:t>
      </w:r>
      <w:r>
        <w:rPr>
          <w:rFonts w:hint="eastAsia" w:asciiTheme="minorEastAsia" w:hAnsiTheme="minorEastAsia"/>
          <w:sz w:val="24"/>
          <w:szCs w:val="24"/>
          <w:lang w:eastAsia="zh-CN"/>
        </w:rPr>
        <w:t>数字底座与教育教学管理服务一体化系统（海南省智慧教育平台（一期））</w:t>
      </w:r>
      <w:r>
        <w:rPr>
          <w:rFonts w:hint="eastAsia" w:asciiTheme="minorEastAsia" w:hAnsiTheme="minorEastAsia"/>
          <w:sz w:val="24"/>
          <w:szCs w:val="24"/>
        </w:rPr>
        <w:t>商用密码应用安全性评估指定的信息系统进行摸底、分析和梳理，提出详细的测评方案；</w:t>
      </w:r>
    </w:p>
    <w:p w14:paraId="65786D4E">
      <w:pPr>
        <w:pStyle w:val="265"/>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1.2针对</w:t>
      </w:r>
      <w:r>
        <w:rPr>
          <w:rFonts w:hint="eastAsia" w:asciiTheme="minorEastAsia" w:hAnsiTheme="minorEastAsia"/>
          <w:sz w:val="24"/>
          <w:szCs w:val="24"/>
          <w:lang w:eastAsia="zh-CN"/>
        </w:rPr>
        <w:t>数字底座与教育教学管理服务一体化系统（海南省智慧教育平台（一期））</w:t>
      </w:r>
      <w:r>
        <w:rPr>
          <w:rFonts w:hint="eastAsia" w:asciiTheme="minorEastAsia" w:hAnsiTheme="minorEastAsia"/>
          <w:sz w:val="24"/>
          <w:szCs w:val="24"/>
        </w:rPr>
        <w:t>商用密码应用安全性评估指定的信息系统进行密码应用安全性评估，内容包括：物理和环境、网络和通信、设备和计算、应用和数据、安全管理等；</w:t>
      </w:r>
    </w:p>
    <w:p w14:paraId="4C301585">
      <w:pPr>
        <w:pStyle w:val="265"/>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1.3建设周期为项目初验</w:t>
      </w:r>
      <w:r>
        <w:rPr>
          <w:rFonts w:hint="eastAsia" w:asciiTheme="minorEastAsia" w:hAnsiTheme="minorEastAsia"/>
          <w:sz w:val="24"/>
          <w:szCs w:val="24"/>
          <w:lang w:val="en-US" w:eastAsia="zh-CN"/>
        </w:rPr>
        <w:t>通过</w:t>
      </w:r>
      <w:r>
        <w:rPr>
          <w:rFonts w:hint="eastAsia" w:asciiTheme="minorEastAsia" w:hAnsiTheme="minorEastAsia"/>
          <w:sz w:val="24"/>
          <w:szCs w:val="24"/>
        </w:rPr>
        <w:t>后，</w:t>
      </w:r>
      <w:r>
        <w:rPr>
          <w:rFonts w:hint="eastAsia" w:asciiTheme="minorEastAsia" w:hAnsiTheme="minorEastAsia"/>
          <w:sz w:val="24"/>
          <w:szCs w:val="24"/>
          <w:lang w:val="en-US" w:eastAsia="zh-CN"/>
        </w:rPr>
        <w:t>60天</w:t>
      </w:r>
      <w:r>
        <w:rPr>
          <w:rFonts w:hint="eastAsia" w:asciiTheme="minorEastAsia" w:hAnsiTheme="minorEastAsia"/>
          <w:sz w:val="24"/>
          <w:szCs w:val="24"/>
        </w:rPr>
        <w:t>内完成，包括但不限于以下工作：完成密码应用安全性评估初测，提供有效的整改方案并指导相应系统承建方完成整改，指导完成系统整改后。指导整改过程中产生的费用纳入项目总预算内，由</w:t>
      </w:r>
      <w:r>
        <w:rPr>
          <w:rFonts w:hint="eastAsia" w:asciiTheme="minorEastAsia" w:hAnsiTheme="minorEastAsia"/>
          <w:sz w:val="24"/>
          <w:szCs w:val="24"/>
          <w:lang w:eastAsia="zh-CN"/>
        </w:rPr>
        <w:t>成交单位</w:t>
      </w:r>
      <w:r>
        <w:rPr>
          <w:rFonts w:hint="eastAsia" w:asciiTheme="minorEastAsia" w:hAnsiTheme="minorEastAsia"/>
          <w:sz w:val="24"/>
          <w:szCs w:val="24"/>
        </w:rPr>
        <w:t>支付。</w:t>
      </w:r>
    </w:p>
    <w:p w14:paraId="11F2FD11">
      <w:pPr>
        <w:pStyle w:val="265"/>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1.4服务保障工作：评估报告提交1年内，测评服务机构应向海南省电化教育馆免费提供咨询服务。</w:t>
      </w:r>
    </w:p>
    <w:p w14:paraId="5CAA6069">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2.</w:t>
      </w:r>
      <w:r>
        <w:rPr>
          <w:rFonts w:hint="eastAsia" w:asciiTheme="minorEastAsia" w:hAnsiTheme="minorEastAsia"/>
          <w:b/>
          <w:sz w:val="24"/>
          <w:szCs w:val="24"/>
        </w:rPr>
        <w:t>服务清单</w:t>
      </w:r>
    </w:p>
    <w:tbl>
      <w:tblPr>
        <w:tblStyle w:val="37"/>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126"/>
        <w:gridCol w:w="1418"/>
        <w:gridCol w:w="4597"/>
      </w:tblGrid>
      <w:tr w14:paraId="688D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717" w:type="dxa"/>
            <w:tcBorders>
              <w:top w:val="single" w:color="auto" w:sz="4" w:space="0"/>
              <w:left w:val="single" w:color="auto" w:sz="4" w:space="0"/>
              <w:bottom w:val="single" w:color="auto" w:sz="4" w:space="0"/>
              <w:right w:val="single" w:color="auto" w:sz="4" w:space="0"/>
            </w:tcBorders>
            <w:shd w:val="pct10" w:color="auto" w:fill="auto"/>
            <w:vAlign w:val="center"/>
          </w:tcPr>
          <w:p w14:paraId="02647ABC">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序号</w:t>
            </w:r>
          </w:p>
        </w:tc>
        <w:tc>
          <w:tcPr>
            <w:tcW w:w="2126" w:type="dxa"/>
            <w:tcBorders>
              <w:top w:val="single" w:color="auto" w:sz="4" w:space="0"/>
              <w:left w:val="single" w:color="auto" w:sz="4" w:space="0"/>
              <w:bottom w:val="single" w:color="auto" w:sz="4" w:space="0"/>
              <w:right w:val="single" w:color="auto" w:sz="4" w:space="0"/>
            </w:tcBorders>
            <w:shd w:val="pct10" w:color="auto" w:fill="auto"/>
            <w:vAlign w:val="center"/>
          </w:tcPr>
          <w:p w14:paraId="7C148C65">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评估对象</w:t>
            </w:r>
          </w:p>
        </w:tc>
        <w:tc>
          <w:tcPr>
            <w:tcW w:w="1418" w:type="dxa"/>
            <w:tcBorders>
              <w:top w:val="single" w:color="auto" w:sz="4" w:space="0"/>
              <w:left w:val="single" w:color="auto" w:sz="4" w:space="0"/>
              <w:bottom w:val="single" w:color="auto" w:sz="4" w:space="0"/>
              <w:right w:val="single" w:color="auto" w:sz="4" w:space="0"/>
            </w:tcBorders>
            <w:shd w:val="pct10" w:color="auto" w:fill="auto"/>
            <w:vAlign w:val="center"/>
          </w:tcPr>
          <w:p w14:paraId="680FDF2F">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系统等级</w:t>
            </w:r>
          </w:p>
        </w:tc>
        <w:tc>
          <w:tcPr>
            <w:tcW w:w="4597" w:type="dxa"/>
            <w:tcBorders>
              <w:top w:val="single" w:color="auto" w:sz="4" w:space="0"/>
              <w:left w:val="single" w:color="auto" w:sz="4" w:space="0"/>
              <w:bottom w:val="single" w:color="auto" w:sz="4" w:space="0"/>
              <w:right w:val="single" w:color="auto" w:sz="4" w:space="0"/>
            </w:tcBorders>
            <w:shd w:val="pct10" w:color="auto" w:fill="auto"/>
            <w:vAlign w:val="center"/>
          </w:tcPr>
          <w:p w14:paraId="4CF61933">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系统描述</w:t>
            </w:r>
          </w:p>
        </w:tc>
      </w:tr>
      <w:tr w14:paraId="799D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4F6E9CAF">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2.1</w:t>
            </w:r>
          </w:p>
        </w:tc>
        <w:tc>
          <w:tcPr>
            <w:tcW w:w="2126" w:type="dxa"/>
            <w:tcBorders>
              <w:top w:val="single" w:color="auto" w:sz="4" w:space="0"/>
              <w:left w:val="single" w:color="auto" w:sz="4" w:space="0"/>
              <w:bottom w:val="single" w:color="auto" w:sz="4" w:space="0"/>
              <w:right w:val="single" w:color="auto" w:sz="4" w:space="0"/>
            </w:tcBorders>
            <w:vAlign w:val="center"/>
          </w:tcPr>
          <w:p w14:paraId="204BD3A9">
            <w:pPr>
              <w:pStyle w:val="265"/>
              <w:spacing w:line="276" w:lineRule="auto"/>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数字底座与教育教学管理服务一体化系统（海南省智慧教育平台（一期））（</w:t>
            </w:r>
            <w:r>
              <w:rPr>
                <w:rFonts w:hint="eastAsia" w:ascii="宋体" w:hAnsi="宋体" w:cs="宋体"/>
                <w:kern w:val="0"/>
                <w:sz w:val="24"/>
                <w:lang w:val="en-US" w:eastAsia="zh-CN"/>
              </w:rPr>
              <w:t>包含海南省教育数字底座、海南省智慧教育应用中心、海教通三个系统）</w:t>
            </w:r>
          </w:p>
        </w:tc>
        <w:tc>
          <w:tcPr>
            <w:tcW w:w="1418" w:type="dxa"/>
            <w:tcBorders>
              <w:top w:val="single" w:color="auto" w:sz="4" w:space="0"/>
              <w:left w:val="single" w:color="auto" w:sz="4" w:space="0"/>
              <w:bottom w:val="single" w:color="auto" w:sz="4" w:space="0"/>
              <w:right w:val="single" w:color="auto" w:sz="4" w:space="0"/>
            </w:tcBorders>
            <w:vAlign w:val="center"/>
          </w:tcPr>
          <w:p w14:paraId="56EA828D">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三级</w:t>
            </w:r>
          </w:p>
          <w:p w14:paraId="53807DB4"/>
        </w:tc>
        <w:tc>
          <w:tcPr>
            <w:tcW w:w="4597" w:type="dxa"/>
            <w:tcBorders>
              <w:top w:val="single" w:color="auto" w:sz="4" w:space="0"/>
              <w:left w:val="single" w:color="auto" w:sz="4" w:space="0"/>
              <w:bottom w:val="single" w:color="auto" w:sz="4" w:space="0"/>
              <w:right w:val="single" w:color="auto" w:sz="4" w:space="0"/>
            </w:tcBorders>
            <w:vAlign w:val="center"/>
          </w:tcPr>
          <w:p w14:paraId="4ED222AA">
            <w:pPr>
              <w:pStyle w:val="265"/>
              <w:spacing w:line="276" w:lineRule="auto"/>
              <w:rPr>
                <w:rFonts w:hint="eastAsia" w:asciiTheme="minorEastAsia" w:hAnsiTheme="minorEastAsia"/>
                <w:sz w:val="24"/>
                <w:szCs w:val="24"/>
              </w:rPr>
            </w:pPr>
            <w:r>
              <w:rPr>
                <w:rFonts w:hint="eastAsia"/>
                <w:color w:val="000000"/>
                <w:lang w:eastAsia="zh-CN"/>
              </w:rPr>
              <w:t>数字底座与教育教学管理服务一体化系统（海南省智慧教育平台（一期））</w:t>
            </w:r>
            <w:r>
              <w:rPr>
                <w:color w:val="000000"/>
              </w:rPr>
              <w:t>为</w:t>
            </w:r>
            <w:r>
              <w:rPr>
                <w:rFonts w:hint="eastAsia" w:ascii="宋体" w:hAnsi="宋体"/>
              </w:rPr>
              <w:t>“一个平台、全省应用”</w:t>
            </w:r>
            <w:r>
              <w:rPr>
                <w:rFonts w:hint="eastAsia"/>
                <w:color w:val="000000"/>
              </w:rPr>
              <w:t>，</w:t>
            </w:r>
            <w:r>
              <w:rPr>
                <w:rFonts w:hint="eastAsia" w:ascii="宋体" w:hAnsi="宋体"/>
              </w:rPr>
              <w:t>平台部署于海南省政务云，省、市、区县、学校四级应用通过省域网、互联网、移动互联网访问平台服务。</w:t>
            </w:r>
          </w:p>
        </w:tc>
      </w:tr>
    </w:tbl>
    <w:p w14:paraId="2CC50851">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3.</w:t>
      </w:r>
      <w:r>
        <w:rPr>
          <w:rFonts w:hint="eastAsia" w:asciiTheme="minorEastAsia" w:hAnsiTheme="minorEastAsia"/>
          <w:b/>
          <w:sz w:val="24"/>
          <w:szCs w:val="24"/>
        </w:rPr>
        <w:t>项目成果交付</w:t>
      </w:r>
    </w:p>
    <w:p w14:paraId="507018E0">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 xml:space="preserve">3.1 </w:t>
      </w:r>
      <w:r>
        <w:rPr>
          <w:rFonts w:hint="eastAsia" w:asciiTheme="minorEastAsia" w:hAnsiTheme="minorEastAsia"/>
          <w:sz w:val="24"/>
          <w:szCs w:val="24"/>
          <w:lang w:eastAsia="zh-CN" w:bidi="ar"/>
        </w:rPr>
        <w:t>数字底座与教育教学管理服务一体化系统（海南省智慧教育平台（一期））</w:t>
      </w:r>
      <w:r>
        <w:rPr>
          <w:rFonts w:hint="eastAsia" w:asciiTheme="minorEastAsia" w:hAnsiTheme="minorEastAsia"/>
          <w:sz w:val="24"/>
          <w:szCs w:val="24"/>
          <w:lang w:bidi="ar"/>
        </w:rPr>
        <w:t>《商用密码应用安全性评估测评方案》；</w:t>
      </w:r>
    </w:p>
    <w:p w14:paraId="2180484E">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 xml:space="preserve">3.2 </w:t>
      </w:r>
      <w:r>
        <w:rPr>
          <w:rFonts w:hint="eastAsia" w:asciiTheme="minorEastAsia" w:hAnsiTheme="minorEastAsia"/>
          <w:sz w:val="24"/>
          <w:szCs w:val="24"/>
          <w:lang w:eastAsia="zh-CN" w:bidi="ar"/>
        </w:rPr>
        <w:t>数字底座与教育教学管理服务一体化系统（海南省智慧教育平台（一期））</w:t>
      </w:r>
      <w:r>
        <w:rPr>
          <w:rFonts w:hint="eastAsia" w:asciiTheme="minorEastAsia" w:hAnsiTheme="minorEastAsia"/>
          <w:sz w:val="24"/>
          <w:szCs w:val="24"/>
          <w:lang w:bidi="ar"/>
        </w:rPr>
        <w:t>《商用密码应用安全性评估报告》；</w:t>
      </w:r>
    </w:p>
    <w:p w14:paraId="3FA0855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 xml:space="preserve">3.3 </w:t>
      </w:r>
      <w:r>
        <w:rPr>
          <w:rFonts w:hint="eastAsia" w:asciiTheme="minorEastAsia" w:hAnsiTheme="minorEastAsia"/>
          <w:sz w:val="24"/>
          <w:szCs w:val="24"/>
          <w:lang w:eastAsia="zh-CN" w:bidi="ar"/>
        </w:rPr>
        <w:t>数字底座与教育教学管理服务一体化系统（海南省智慧教育平台（一期））</w:t>
      </w:r>
      <w:r>
        <w:rPr>
          <w:rFonts w:hint="eastAsia" w:asciiTheme="minorEastAsia" w:hAnsiTheme="minorEastAsia"/>
          <w:sz w:val="24"/>
          <w:szCs w:val="24"/>
          <w:lang w:bidi="ar"/>
        </w:rPr>
        <w:t>《商用密码应用安全性评估指导整改实施方案》；</w:t>
      </w:r>
    </w:p>
    <w:p w14:paraId="2E40C386">
      <w:pPr>
        <w:pStyle w:val="265"/>
        <w:spacing w:line="360" w:lineRule="auto"/>
        <w:ind w:firstLine="480" w:firstLineChars="200"/>
        <w:rPr>
          <w:rFonts w:hint="eastAsia" w:asciiTheme="minorEastAsia" w:hAnsiTheme="minorEastAsia"/>
          <w:kern w:val="28"/>
          <w:sz w:val="24"/>
          <w:szCs w:val="24"/>
          <w:lang w:bidi="ar"/>
        </w:rPr>
      </w:pPr>
      <w:r>
        <w:rPr>
          <w:rFonts w:hint="eastAsia" w:asciiTheme="minorEastAsia" w:hAnsiTheme="minorEastAsia"/>
          <w:sz w:val="24"/>
          <w:szCs w:val="24"/>
          <w:lang w:bidi="ar"/>
        </w:rPr>
        <w:t xml:space="preserve">3.4 </w:t>
      </w:r>
      <w:r>
        <w:rPr>
          <w:rFonts w:hint="eastAsia" w:asciiTheme="minorEastAsia" w:hAnsiTheme="minorEastAsia"/>
          <w:sz w:val="24"/>
          <w:szCs w:val="24"/>
          <w:lang w:eastAsia="zh-CN" w:bidi="ar"/>
        </w:rPr>
        <w:t>数字底座与教育教学管理服务一体化系统（海南省智慧教育平台（一期））</w:t>
      </w:r>
      <w:r>
        <w:rPr>
          <w:rFonts w:hint="eastAsia" w:asciiTheme="minorEastAsia" w:hAnsiTheme="minorEastAsia"/>
          <w:sz w:val="24"/>
          <w:szCs w:val="24"/>
          <w:lang w:bidi="ar"/>
        </w:rPr>
        <w:t>《商用密码应用安全性评估整改建议》。</w:t>
      </w:r>
    </w:p>
    <w:p w14:paraId="06DAEE6A">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4.</w:t>
      </w:r>
      <w:r>
        <w:rPr>
          <w:rFonts w:hint="eastAsia" w:asciiTheme="minorEastAsia" w:hAnsiTheme="minorEastAsia"/>
          <w:b/>
          <w:sz w:val="24"/>
          <w:szCs w:val="24"/>
        </w:rPr>
        <w:t>测评方案</w:t>
      </w:r>
    </w:p>
    <w:p w14:paraId="1732CCB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4.1《中华人民共和国网络安全法》相关要求</w:t>
      </w:r>
    </w:p>
    <w:p w14:paraId="7465860E">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4.2《中华人民共和国密码法》</w:t>
      </w:r>
    </w:p>
    <w:p w14:paraId="360F7C6B">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4.3 GB/T39786—2021《信息安全技术 信息系统密码应用基本要求》</w:t>
      </w:r>
    </w:p>
    <w:p w14:paraId="2F810C59">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4.4 GM/T 0115—2021《信息系统密码应用测评要求》</w:t>
      </w:r>
    </w:p>
    <w:p w14:paraId="08095DF5">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4.5 GM/T 0116—2021《信息系统密码应用测评过程指南》</w:t>
      </w:r>
    </w:p>
    <w:p w14:paraId="7AF341BD">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4.6《商用密码应用安全性评估测评作业指导书（试行）》</w:t>
      </w:r>
    </w:p>
    <w:p w14:paraId="3DA48CBC">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4.7《政务信息系统密码应用与安全性评估工作指南》</w:t>
      </w:r>
    </w:p>
    <w:p w14:paraId="4EE7B980">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4.8《信息系统密码应用高风险判定指引》</w:t>
      </w:r>
    </w:p>
    <w:p w14:paraId="05E29130">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4.9《商用密码应用安全性评估量化评估规则》</w:t>
      </w:r>
    </w:p>
    <w:p w14:paraId="68B008A5">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rPr>
        <w:t>4.1.1总体技术要求</w:t>
      </w:r>
    </w:p>
    <w:p w14:paraId="13C8A315">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1）密码算法合规性测评：着重针对信息系统在运行过程中所采用的各类密码算法进行全面且细致的评估。评估的核心在于核查这些密码算法是否严格契合当前有效的法律、法规中的相关规定，同时是否完全遵循密码领域的国家标准以及行业标准的具体要求。这意味着不仅要确认算法本身的设计与实现未违背法律层面的禁止性条款，还要确保其在加密强度、运算逻辑、适用场景等方面均符合国家标准和行业标准所设定的规范，以此保障密码算法在信息系统安全防护中发挥合法、有效的基础作用。</w:t>
      </w:r>
    </w:p>
    <w:p w14:paraId="77704BBB">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2）密码技术合规性测评：聚焦于信息系统所运用的各类密码技术，对其是否严格遵循密码相关的国家标准和行业标准展开系统性评估。这里的密码技术涵盖了密码算法的具体应用方式、密码协议的设计与执行、密码机制的部署策略等多个方面。测评过程中，需逐一对照相关标准的具体条款，检查技术的实际应用是否与标准要求一致，是否存在因技术滥用或误用而导致的安全隐患，从而确保密码技术在信息系统中的应用具备规范性和科学性。</w:t>
      </w:r>
    </w:p>
    <w:p w14:paraId="301DCA4B">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3）密码产品合规性测评：主要针对信息系统中所使用的各类密码产品以及密码模块进行合规性审查。关键在于确认这些产品和模块是否已经通过国家密码管理部门的正式核准。国家密码管理部门的核准是对密码产品和模块安全性、可靠性的权威认可，只有通过核准的产品和模块才能在信息系统中合法使用。测评过程中需严格核查产品和模块的核准资质文件，确保其符合国家相关规定，避免因使用未经核准的产品或模块而给信息系统带来安全风险。</w:t>
      </w:r>
    </w:p>
    <w:p w14:paraId="67E9D763">
      <w:pPr>
        <w:pStyle w:val="265"/>
        <w:spacing w:line="360" w:lineRule="auto"/>
        <w:ind w:firstLine="480" w:firstLineChars="200"/>
        <w:rPr>
          <w:rFonts w:asciiTheme="minorEastAsia" w:hAnsiTheme="minorEastAsia"/>
          <w:sz w:val="24"/>
          <w:szCs w:val="24"/>
          <w:lang w:bidi="ar"/>
        </w:rPr>
      </w:pPr>
      <w:r>
        <w:rPr>
          <w:rFonts w:hint="eastAsia" w:asciiTheme="minorEastAsia" w:hAnsiTheme="minorEastAsia"/>
          <w:sz w:val="24"/>
          <w:szCs w:val="24"/>
          <w:lang w:bidi="ar"/>
        </w:rPr>
        <w:t>（4）密码服务合规性测评：重点评估信息系统中所使用的密码服务是否获得国家密码管理部门的许可。密码服务涉及密码技术的提供、密码产品的运维等多个环节，其合规性直接关系到信息系统密码应用的整体安全。测评需核实密码服务提供商是否具备国家密码管理部门颁发的许可证书，服务的内容、范围、方式等是否在许可范围内，是否严格按照许可要求提供服务，以保证密码服务的合法性和规范性，为信息系统的安全稳定运行提供可靠支持。</w:t>
      </w:r>
    </w:p>
    <w:p w14:paraId="604AD60A">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rPr>
        <w:t>4.1.2详细要求</w:t>
      </w:r>
    </w:p>
    <w:p w14:paraId="061C8C3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1）密码技术应用测评涵盖物理和环境、网络和通信、设备和计算、应用和数据四个层面，旨在对信息系统中密码技术的应用情况展开分析与评估。其中，物理和环境层面的测评，主要是分析评估信息系统能否合理、合规地运用商用密码的完整性与真实性功能，以此来保护那些会对信息系统安全防护效能产生影响的物理和环境层面因素。这些因素主要包括重要场所的物理访问控制、监控设备的物理访问控制，以及物理访问记录、监控信息等敏感信息数据的完整性等。</w:t>
      </w:r>
    </w:p>
    <w:p w14:paraId="19FB45E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网络和通信层面的测评，是分析评估信息系统是否合理、合规地利用商用密码的机密性、完整性和真实性功能，进而保护影响信息系统安全防护效能的网络和通信层面因素。典型的因素有安全认证连接到内部网络的设备、通信双方的身份认证过程、通信数据的完整性、敏感信息数据字段的机密性、网络边界访问控制信息的完整性、系统资源访问控制信息的完整性，以及安全设备和安全组件的集中管理方式与信息传输通道等。</w:t>
      </w:r>
    </w:p>
    <w:p w14:paraId="60E77873">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设备和计算层面的测评，聚焦于分析评估信息系统是否合理、合规地运用商用密码的机密性、完整性和真实性功能，从而保护影响信息系统安全防护效能的设备和计算层面因素。其典型因素包括登录信息系统设备和计算环境的用户身份鉴别过程、系统设备和计算环境资源访问控制信息的完整性、重要信息资源敏感标记的完整性、重要程序或文件的完整性，以及信息系统设备和计算环境的日志记录完整性等。</w:t>
      </w:r>
    </w:p>
    <w:p w14:paraId="5F4F423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应用和数据层面的测评，是分析评估信息系统是否合理、合规地利用商用密码的机密性、完整性、真实性及不可否认性功能，来保护影响信息系统安全防护效能的应用和数据层面因素。典型因素主要有登录信息系统应用和数据操作环境的用户身份鉴别过程、系统应用和数据操作环境资源访问控制信息的完整性、重要信息资源敏感标记的完整性、重要数据传输过程的机密性与完整性、重要信息存储过程的机密性与完整性、重要程序的加载和卸载过程、信息系统应用相关实体行为的不可否认性，以及信息系统应用和数据操作环境的日志记录完整性等。</w:t>
      </w:r>
    </w:p>
    <w:p w14:paraId="0C5E0F2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2）密钥管理测评主要是对影响商用密码防护效能的密钥生命周期相关环节，以及这些环节的管理和策略制定全过程进行分析与评估。密钥生命周期的相关环节主要包含密钥生成、密钥存储、密钥分发、密钥导入、密钥导出、密钥使用、密钥备份、密钥恢复、密钥归档、密钥销毁等。</w:t>
      </w:r>
    </w:p>
    <w:p w14:paraId="07C992FE">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（3）安全管理测评是对影响商用密码防护效能的管理制度与措施进行分析与评估。管理制度与措施的典型维度主要有安全管理制度、人员管控、信息系统实施、应急预案等。</w:t>
      </w:r>
    </w:p>
    <w:p w14:paraId="6E032933">
      <w:pPr>
        <w:pStyle w:val="265"/>
        <w:spacing w:line="360" w:lineRule="auto"/>
        <w:ind w:firstLine="480" w:firstLineChars="200"/>
        <w:rPr>
          <w:rFonts w:asciiTheme="minorEastAsia" w:hAnsiTheme="minorEastAsia"/>
          <w:sz w:val="24"/>
          <w:szCs w:val="24"/>
          <w:lang w:bidi="ar"/>
        </w:rPr>
      </w:pPr>
      <w:r>
        <w:rPr>
          <w:rFonts w:hint="eastAsia" w:asciiTheme="minorEastAsia" w:hAnsiTheme="minorEastAsia"/>
          <w:sz w:val="24"/>
          <w:szCs w:val="24"/>
          <w:lang w:bidi="ar"/>
        </w:rPr>
        <w:t>就进度计划而言，在合同签订且现场具备测评条件后，需建设周期为项目初验</w:t>
      </w:r>
      <w:r>
        <w:rPr>
          <w:rFonts w:hint="eastAsia" w:asciiTheme="minorEastAsia" w:hAnsiTheme="minorEastAsia"/>
          <w:sz w:val="24"/>
          <w:szCs w:val="24"/>
          <w:lang w:val="en-US" w:eastAsia="zh-CN" w:bidi="ar"/>
        </w:rPr>
        <w:t>通过</w:t>
      </w:r>
      <w:r>
        <w:rPr>
          <w:rFonts w:hint="eastAsia" w:asciiTheme="minorEastAsia" w:hAnsiTheme="minorEastAsia"/>
          <w:sz w:val="24"/>
          <w:szCs w:val="24"/>
          <w:lang w:bidi="ar"/>
        </w:rPr>
        <w:t>后，三个月内完成系统的商用密码应用安全性评估，并指导相应的系统承建方完成整改，之后出具《商用密码应用安全性评估报告》等项目成果。</w:t>
      </w:r>
    </w:p>
    <w:p w14:paraId="541A66D4">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b/>
          <w:sz w:val="24"/>
          <w:szCs w:val="24"/>
          <w:lang w:eastAsia="zh-CN"/>
        </w:rPr>
        <w:t>5.</w:t>
      </w:r>
      <w:r>
        <w:rPr>
          <w:rFonts w:hint="eastAsia" w:asciiTheme="minorEastAsia" w:hAnsiTheme="minorEastAsia"/>
          <w:sz w:val="24"/>
          <w:szCs w:val="24"/>
          <w:lang w:eastAsia="zh-CN" w:bidi="ar"/>
        </w:rPr>
        <w:t>供应商</w:t>
      </w:r>
      <w:r>
        <w:rPr>
          <w:rFonts w:hint="eastAsia" w:asciiTheme="minorEastAsia" w:hAnsiTheme="minorEastAsia"/>
          <w:sz w:val="24"/>
          <w:szCs w:val="24"/>
          <w:lang w:bidi="ar"/>
        </w:rPr>
        <w:t>为国家密码管理局认可的商用密码应用安全性测评机构（</w:t>
      </w:r>
      <w:r>
        <w:rPr>
          <w:rFonts w:hint="eastAsia" w:asciiTheme="minorEastAsia" w:hAnsiTheme="minorEastAsia"/>
          <w:sz w:val="24"/>
          <w:szCs w:val="24"/>
          <w:lang w:eastAsia="zh-CN" w:bidi="ar"/>
        </w:rPr>
        <w:t>商用密码检测机构资质证书）</w:t>
      </w:r>
      <w:r>
        <w:rPr>
          <w:rFonts w:asciiTheme="minorEastAsia" w:hAnsiTheme="minorEastAsia"/>
          <w:sz w:val="24"/>
          <w:szCs w:val="24"/>
          <w:lang w:bidi="ar"/>
        </w:rPr>
        <w:t>(提供相关截图证明材料加盖公</w:t>
      </w:r>
      <w:r>
        <w:rPr>
          <w:rFonts w:hint="eastAsia" w:asciiTheme="minorEastAsia" w:hAnsiTheme="minorEastAsia"/>
          <w:sz w:val="24"/>
          <w:szCs w:val="24"/>
          <w:lang w:bidi="ar"/>
        </w:rPr>
        <w:t>章</w:t>
      </w:r>
      <w:r>
        <w:rPr>
          <w:rFonts w:hint="eastAsia" w:asciiTheme="minorEastAsia" w:hAnsiTheme="minorEastAsia"/>
          <w:sz w:val="24"/>
          <w:szCs w:val="24"/>
          <w:lang w:eastAsia="zh-CN" w:bidi="ar"/>
        </w:rPr>
        <w:t>）</w:t>
      </w:r>
      <w:r>
        <w:rPr>
          <w:rFonts w:hint="eastAsia" w:asciiTheme="minorEastAsia" w:hAnsiTheme="minorEastAsia"/>
          <w:sz w:val="24"/>
          <w:szCs w:val="24"/>
          <w:lang w:bidi="ar"/>
        </w:rPr>
        <w:t>。</w:t>
      </w:r>
    </w:p>
    <w:p w14:paraId="25481C81">
      <w:pPr>
        <w:spacing w:after="0" w:line="360" w:lineRule="auto"/>
        <w:ind w:left="0" w:right="0" w:firstLine="0"/>
        <w:jc w:val="both"/>
        <w:rPr>
          <w:rFonts w:hint="eastAsia"/>
          <w:b/>
          <w:color w:val="auto"/>
          <w:sz w:val="24"/>
          <w:szCs w:val="24"/>
        </w:rPr>
      </w:pPr>
      <w:r>
        <w:rPr>
          <w:rFonts w:hint="eastAsia"/>
          <w:b/>
          <w:color w:val="auto"/>
          <w:sz w:val="24"/>
          <w:szCs w:val="24"/>
          <w:lang w:eastAsia="zh-CN"/>
        </w:rPr>
        <w:t>（</w:t>
      </w:r>
      <w:r>
        <w:rPr>
          <w:rFonts w:hint="eastAsia"/>
          <w:b/>
          <w:color w:val="auto"/>
          <w:sz w:val="24"/>
          <w:szCs w:val="24"/>
          <w:lang w:val="en-US" w:eastAsia="zh-CN"/>
        </w:rPr>
        <w:t>四</w:t>
      </w:r>
      <w:r>
        <w:rPr>
          <w:rFonts w:hint="eastAsia"/>
          <w:b/>
          <w:color w:val="auto"/>
          <w:sz w:val="24"/>
          <w:szCs w:val="24"/>
          <w:lang w:eastAsia="zh-CN"/>
        </w:rPr>
        <w:t>）</w:t>
      </w:r>
      <w:r>
        <w:rPr>
          <w:rFonts w:hint="eastAsia"/>
          <w:b/>
          <w:color w:val="auto"/>
          <w:sz w:val="24"/>
          <w:szCs w:val="24"/>
        </w:rPr>
        <w:t>商务要求</w:t>
      </w:r>
    </w:p>
    <w:p w14:paraId="12FB145B">
      <w:pPr>
        <w:widowControl w:val="0"/>
        <w:spacing w:after="0" w:line="360" w:lineRule="auto"/>
        <w:ind w:left="0" w:right="0" w:firstLine="480" w:firstLineChars="200"/>
        <w:rPr>
          <w:rFonts w:hint="eastAsia"/>
          <w:color w:val="auto"/>
          <w:sz w:val="24"/>
          <w:szCs w:val="24"/>
        </w:rPr>
      </w:pPr>
      <w:r>
        <w:rPr>
          <w:rFonts w:hint="eastAsia"/>
          <w:b/>
          <w:color w:val="auto"/>
          <w:sz w:val="24"/>
          <w:szCs w:val="24"/>
          <w:lang w:eastAsia="zh-CN"/>
        </w:rPr>
        <w:t>1.</w:t>
      </w:r>
      <w:r>
        <w:rPr>
          <w:rFonts w:hint="eastAsia"/>
          <w:b/>
          <w:color w:val="auto"/>
          <w:sz w:val="24"/>
          <w:szCs w:val="24"/>
        </w:rPr>
        <w:t>合同履行期限</w:t>
      </w:r>
      <w:r>
        <w:rPr>
          <w:rFonts w:hint="eastAsia"/>
          <w:color w:val="auto"/>
          <w:sz w:val="24"/>
          <w:szCs w:val="24"/>
        </w:rPr>
        <w:t>：建设周期为</w:t>
      </w:r>
      <w:r>
        <w:rPr>
          <w:rFonts w:hint="eastAsia" w:asciiTheme="minorEastAsia" w:hAnsiTheme="minorEastAsia"/>
          <w:sz w:val="24"/>
          <w:szCs w:val="24"/>
          <w:lang w:eastAsia="zh-CN" w:bidi="ar"/>
        </w:rPr>
        <w:t>数字底座与教育教学管理服务一体化系统（海南省智慧教育平台（一期））</w:t>
      </w:r>
      <w:r>
        <w:rPr>
          <w:rFonts w:hint="eastAsia"/>
          <w:color w:val="auto"/>
          <w:sz w:val="24"/>
          <w:szCs w:val="24"/>
        </w:rPr>
        <w:t>项目</w:t>
      </w:r>
      <w:r>
        <w:rPr>
          <w:rFonts w:hint="eastAsia"/>
          <w:color w:val="auto"/>
          <w:sz w:val="24"/>
          <w:szCs w:val="24"/>
          <w:lang w:val="en-US" w:eastAsia="zh-CN"/>
        </w:rPr>
        <w:t>初验通过</w:t>
      </w:r>
      <w:r>
        <w:rPr>
          <w:rFonts w:hint="eastAsia"/>
          <w:color w:val="auto"/>
          <w:sz w:val="24"/>
          <w:szCs w:val="24"/>
        </w:rPr>
        <w:t>后，</w:t>
      </w:r>
      <w:r>
        <w:rPr>
          <w:rFonts w:hint="eastAsia"/>
          <w:color w:val="auto"/>
          <w:sz w:val="24"/>
          <w:szCs w:val="24"/>
          <w:lang w:val="en-US" w:eastAsia="zh-CN"/>
        </w:rPr>
        <w:t>60天</w:t>
      </w:r>
      <w:r>
        <w:rPr>
          <w:rFonts w:hint="eastAsia"/>
          <w:color w:val="auto"/>
          <w:sz w:val="24"/>
          <w:szCs w:val="24"/>
        </w:rPr>
        <w:t>内完成。</w:t>
      </w:r>
    </w:p>
    <w:p w14:paraId="0FBBE99B">
      <w:pPr>
        <w:widowControl w:val="0"/>
        <w:spacing w:after="0" w:line="360" w:lineRule="auto"/>
        <w:ind w:left="0" w:right="0" w:firstLine="480" w:firstLineChars="200"/>
        <w:rPr>
          <w:rFonts w:hint="eastAsia"/>
          <w:color w:val="auto"/>
          <w:sz w:val="24"/>
          <w:szCs w:val="24"/>
        </w:rPr>
      </w:pPr>
      <w:r>
        <w:rPr>
          <w:rFonts w:hint="eastAsia"/>
          <w:b/>
          <w:color w:val="auto"/>
          <w:sz w:val="24"/>
          <w:szCs w:val="24"/>
          <w:lang w:eastAsia="zh-CN"/>
        </w:rPr>
        <w:t>2.</w:t>
      </w:r>
      <w:r>
        <w:rPr>
          <w:rFonts w:hint="eastAsia"/>
          <w:b/>
          <w:color w:val="auto"/>
          <w:sz w:val="24"/>
          <w:szCs w:val="24"/>
        </w:rPr>
        <w:t>项目地点</w:t>
      </w:r>
      <w:r>
        <w:rPr>
          <w:rFonts w:hint="eastAsia"/>
          <w:color w:val="auto"/>
          <w:sz w:val="24"/>
          <w:szCs w:val="24"/>
        </w:rPr>
        <w:t xml:space="preserve">：采购人指定地点。 </w:t>
      </w:r>
    </w:p>
    <w:p w14:paraId="159DB621">
      <w:pPr>
        <w:widowControl w:val="0"/>
        <w:spacing w:after="0" w:line="360" w:lineRule="auto"/>
        <w:ind w:left="0" w:right="0" w:firstLine="480" w:firstLineChars="200"/>
        <w:rPr>
          <w:rFonts w:hint="eastAsia"/>
          <w:color w:val="auto"/>
          <w:sz w:val="24"/>
          <w:szCs w:val="24"/>
        </w:rPr>
      </w:pPr>
      <w:r>
        <w:rPr>
          <w:rFonts w:hint="eastAsia"/>
          <w:b/>
          <w:color w:val="auto"/>
          <w:sz w:val="24"/>
          <w:szCs w:val="24"/>
          <w:lang w:eastAsia="zh-CN"/>
        </w:rPr>
        <w:t>3.</w:t>
      </w:r>
      <w:r>
        <w:rPr>
          <w:rFonts w:hint="eastAsia"/>
          <w:b/>
          <w:color w:val="auto"/>
          <w:sz w:val="24"/>
          <w:szCs w:val="24"/>
        </w:rPr>
        <w:t>付款方式（以实际签署合同为准）</w:t>
      </w:r>
    </w:p>
    <w:p w14:paraId="0173D755">
      <w:pPr>
        <w:widowControl w:val="0"/>
        <w:spacing w:after="0" w:line="360" w:lineRule="auto"/>
        <w:ind w:left="0" w:right="0" w:firstLine="480" w:firstLineChars="200"/>
        <w:rPr>
          <w:rFonts w:hint="eastAsia" w:asciiTheme="minorEastAsia" w:hAnsiTheme="minorEastAsia" w:eastAsiaTheme="minorEastAsia" w:cstheme="minorBidi"/>
          <w:color w:val="auto"/>
          <w:sz w:val="24"/>
          <w:szCs w:val="24"/>
          <w:lang w:bidi="ar"/>
        </w:rPr>
      </w:pPr>
      <w:r>
        <w:rPr>
          <w:rFonts w:hint="eastAsia" w:asciiTheme="minorEastAsia" w:hAnsiTheme="minorEastAsia" w:eastAsiaTheme="minorEastAsia" w:cstheme="minorBidi"/>
          <w:color w:val="auto"/>
          <w:sz w:val="24"/>
          <w:szCs w:val="24"/>
          <w:lang w:bidi="ar"/>
        </w:rPr>
        <w:t>3.1本项目合同签订后，甲方凭乙方开具的正式有效发票，在10个工作日内向乙方支付合同总金额的</w:t>
      </w:r>
      <w:r>
        <w:rPr>
          <w:rFonts w:hint="eastAsia" w:asciiTheme="minorEastAsia" w:hAnsiTheme="minorEastAsia" w:eastAsiaTheme="minorEastAsia" w:cstheme="minorBidi"/>
          <w:color w:val="auto"/>
          <w:sz w:val="24"/>
          <w:szCs w:val="24"/>
          <w:lang w:val="en-US" w:eastAsia="zh-CN" w:bidi="ar"/>
        </w:rPr>
        <w:t>50</w:t>
      </w:r>
      <w:r>
        <w:rPr>
          <w:rFonts w:hint="eastAsia" w:asciiTheme="minorEastAsia" w:hAnsiTheme="minorEastAsia" w:eastAsiaTheme="minorEastAsia" w:cstheme="minorBidi"/>
          <w:color w:val="auto"/>
          <w:sz w:val="24"/>
          <w:szCs w:val="24"/>
          <w:lang w:bidi="ar"/>
        </w:rPr>
        <w:t>%的首付款。</w:t>
      </w:r>
    </w:p>
    <w:p w14:paraId="0E18FC04">
      <w:pPr>
        <w:widowControl w:val="0"/>
        <w:spacing w:after="0" w:line="360" w:lineRule="auto"/>
        <w:ind w:left="0" w:right="0" w:firstLine="480" w:firstLineChars="200"/>
        <w:rPr>
          <w:rFonts w:hint="eastAsia" w:asciiTheme="minorEastAsia" w:hAnsiTheme="minorEastAsia" w:eastAsiaTheme="minorEastAsia" w:cstheme="minorBidi"/>
          <w:color w:val="auto"/>
          <w:sz w:val="24"/>
          <w:szCs w:val="24"/>
          <w:lang w:bidi="ar"/>
        </w:rPr>
      </w:pPr>
      <w:r>
        <w:rPr>
          <w:rFonts w:hint="eastAsia" w:asciiTheme="minorEastAsia" w:hAnsiTheme="minorEastAsia" w:eastAsiaTheme="minorEastAsia" w:cstheme="minorBidi"/>
          <w:color w:val="auto"/>
          <w:sz w:val="24"/>
          <w:szCs w:val="24"/>
          <w:lang w:bidi="ar"/>
        </w:rPr>
        <w:t>3.2乙方完成系统的商用密码应用安全性评估，并</w:t>
      </w:r>
      <w:r>
        <w:rPr>
          <w:rFonts w:hint="eastAsia" w:asciiTheme="minorEastAsia" w:hAnsiTheme="minorEastAsia"/>
          <w:color w:val="auto"/>
          <w:sz w:val="24"/>
          <w:szCs w:val="24"/>
          <w:lang w:bidi="ar"/>
        </w:rPr>
        <w:t>指导相应系统承建方完成整改，甲方验收合格后，</w:t>
      </w:r>
      <w:r>
        <w:rPr>
          <w:rFonts w:hint="eastAsia" w:asciiTheme="minorEastAsia" w:hAnsiTheme="minorEastAsia" w:eastAsiaTheme="minorEastAsia" w:cstheme="minorBidi"/>
          <w:color w:val="auto"/>
          <w:sz w:val="24"/>
          <w:szCs w:val="24"/>
          <w:lang w:bidi="ar"/>
        </w:rPr>
        <w:t>凭乙方开具的正式有效发票和评估报告等相关材料，在10个工作日内向乙方支付</w:t>
      </w:r>
      <w:r>
        <w:rPr>
          <w:rFonts w:hint="eastAsia" w:asciiTheme="minorEastAsia" w:hAnsiTheme="minorEastAsia" w:eastAsiaTheme="minorEastAsia" w:cstheme="minorBidi"/>
          <w:color w:val="auto"/>
          <w:sz w:val="24"/>
          <w:szCs w:val="24"/>
          <w:lang w:val="en-US" w:eastAsia="zh-CN" w:bidi="ar"/>
        </w:rPr>
        <w:t>5</w:t>
      </w:r>
      <w:r>
        <w:rPr>
          <w:rFonts w:hint="eastAsia" w:asciiTheme="minorEastAsia" w:hAnsiTheme="minorEastAsia" w:eastAsiaTheme="minorEastAsia" w:cstheme="minorBidi"/>
          <w:color w:val="auto"/>
          <w:sz w:val="24"/>
          <w:szCs w:val="24"/>
          <w:lang w:bidi="ar"/>
        </w:rPr>
        <w:t>0%的尾款。</w:t>
      </w:r>
    </w:p>
    <w:p w14:paraId="6D61D4FF">
      <w:pPr>
        <w:pStyle w:val="265"/>
        <w:spacing w:line="360" w:lineRule="auto"/>
        <w:ind w:firstLine="480" w:firstLineChars="200"/>
        <w:rPr>
          <w:rFonts w:hint="eastAsia" w:asciiTheme="minorEastAsia" w:hAnsiTheme="minorEastAsia"/>
          <w:b/>
          <w:sz w:val="24"/>
          <w:szCs w:val="24"/>
          <w:lang w:bidi="ar"/>
        </w:rPr>
      </w:pPr>
      <w:r>
        <w:rPr>
          <w:rFonts w:hint="eastAsia" w:asciiTheme="minorEastAsia" w:hAnsiTheme="minorEastAsia"/>
          <w:b/>
          <w:sz w:val="24"/>
          <w:szCs w:val="24"/>
          <w:lang w:eastAsia="zh-CN" w:bidi="ar"/>
        </w:rPr>
        <w:t>4.</w:t>
      </w:r>
      <w:r>
        <w:rPr>
          <w:rFonts w:hint="eastAsia" w:asciiTheme="minorEastAsia" w:hAnsiTheme="minorEastAsia"/>
          <w:b/>
          <w:sz w:val="24"/>
          <w:szCs w:val="24"/>
          <w:lang w:bidi="ar"/>
        </w:rPr>
        <w:t>服务要求</w:t>
      </w:r>
    </w:p>
    <w:p w14:paraId="4F4D4136">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4.1评估项目实施过程中，</w:t>
      </w:r>
      <w:r>
        <w:rPr>
          <w:rFonts w:hint="eastAsia" w:asciiTheme="minorEastAsia" w:hAnsiTheme="minorEastAsia"/>
          <w:sz w:val="24"/>
          <w:szCs w:val="24"/>
          <w:lang w:eastAsia="zh-CN" w:bidi="ar"/>
        </w:rPr>
        <w:t>供应商</w:t>
      </w:r>
      <w:r>
        <w:rPr>
          <w:rFonts w:hint="eastAsia" w:asciiTheme="minorEastAsia" w:hAnsiTheme="minorEastAsia"/>
          <w:sz w:val="24"/>
          <w:szCs w:val="24"/>
          <w:lang w:bidi="ar"/>
        </w:rPr>
        <w:t>应遵循国家标准、行业标准。</w:t>
      </w:r>
    </w:p>
    <w:p w14:paraId="34EB656F">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4.2项目实施要求</w:t>
      </w:r>
    </w:p>
    <w:p w14:paraId="60624D08">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（1）提供项目实施组织架构；</w:t>
      </w:r>
    </w:p>
    <w:p w14:paraId="5CC03020">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（2）提供详细的项目实施方案和计划进度说明书；</w:t>
      </w:r>
    </w:p>
    <w:p w14:paraId="25EA1171">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（3）严格按照双方确定的计划进度保质保量完成工作；</w:t>
      </w:r>
    </w:p>
    <w:p w14:paraId="4366F6A0">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（4）项目实施中要引入风险管理、质量管理；</w:t>
      </w:r>
    </w:p>
    <w:p w14:paraId="60C7E3A0">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（5）签署《保密协议》。</w:t>
      </w:r>
    </w:p>
    <w:p w14:paraId="51DA12B2">
      <w:pPr>
        <w:pStyle w:val="265"/>
        <w:spacing w:line="360" w:lineRule="auto"/>
        <w:ind w:firstLine="470" w:firstLineChars="196"/>
        <w:rPr>
          <w:rFonts w:hint="eastAsia" w:asciiTheme="minorEastAsia" w:hAnsiTheme="minorEastAsia"/>
          <w:sz w:val="24"/>
          <w:szCs w:val="24"/>
          <w:lang w:bidi="ar"/>
        </w:rPr>
      </w:pPr>
      <w:r>
        <w:rPr>
          <w:rFonts w:hint="eastAsia" w:asciiTheme="minorEastAsia" w:hAnsiTheme="minorEastAsia"/>
          <w:sz w:val="24"/>
          <w:szCs w:val="24"/>
          <w:lang w:bidi="ar"/>
        </w:rPr>
        <w:t>4.2项目人员管理</w:t>
      </w:r>
    </w:p>
    <w:p w14:paraId="7D9451F3">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项目组所有成员应通过商用密码应用安全性评估能力考试并取得证书，供应商现场实施人员应持证测评，并且必须为</w:t>
      </w:r>
      <w:r>
        <w:rPr>
          <w:rFonts w:hint="eastAsia" w:asciiTheme="minorEastAsia" w:hAnsiTheme="minorEastAsia"/>
          <w:sz w:val="24"/>
          <w:szCs w:val="24"/>
          <w:lang w:eastAsia="zh-CN" w:bidi="ar"/>
        </w:rPr>
        <w:t>采购文件</w:t>
      </w:r>
      <w:r>
        <w:rPr>
          <w:rFonts w:hint="eastAsia" w:asciiTheme="minorEastAsia" w:hAnsiTheme="minorEastAsia"/>
          <w:sz w:val="24"/>
          <w:szCs w:val="24"/>
          <w:lang w:bidi="ar"/>
        </w:rPr>
        <w:t>中的人员，若供应商后续签订合同后不按</w:t>
      </w:r>
      <w:r>
        <w:rPr>
          <w:rFonts w:hint="eastAsia" w:asciiTheme="minorEastAsia" w:hAnsiTheme="minorEastAsia"/>
          <w:sz w:val="24"/>
          <w:szCs w:val="24"/>
          <w:lang w:eastAsia="zh-CN" w:bidi="ar"/>
        </w:rPr>
        <w:t>采购文件</w:t>
      </w:r>
      <w:r>
        <w:rPr>
          <w:rFonts w:hint="eastAsia" w:asciiTheme="minorEastAsia" w:hAnsiTheme="minorEastAsia"/>
          <w:sz w:val="24"/>
          <w:szCs w:val="24"/>
          <w:lang w:bidi="ar"/>
        </w:rPr>
        <w:t>安排实施人员的，将视为虚假应标。（供应商需提供承诺函，若后续签订合同后供应商不按承诺函所述安排实施人员的，将视为虚假应标）。</w:t>
      </w:r>
    </w:p>
    <w:p w14:paraId="3861FFF8">
      <w:pPr>
        <w:pStyle w:val="265"/>
        <w:spacing w:line="360" w:lineRule="auto"/>
        <w:ind w:firstLine="470" w:firstLineChars="196"/>
        <w:rPr>
          <w:rFonts w:hint="eastAsia" w:asciiTheme="minorEastAsia" w:hAnsiTheme="minorEastAsia"/>
          <w:bCs/>
          <w:sz w:val="24"/>
          <w:szCs w:val="24"/>
          <w:lang w:bidi="ar"/>
        </w:rPr>
      </w:pPr>
      <w:r>
        <w:rPr>
          <w:rFonts w:hint="eastAsia" w:asciiTheme="minorEastAsia" w:hAnsiTheme="minorEastAsia"/>
          <w:bCs/>
          <w:sz w:val="24"/>
          <w:szCs w:val="24"/>
          <w:lang w:bidi="ar"/>
        </w:rPr>
        <w:t>4.3项目验收</w:t>
      </w:r>
    </w:p>
    <w:p w14:paraId="629A9AC3">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eastAsia="zh-CN" w:bidi="ar"/>
        </w:rPr>
        <w:t>供应商</w:t>
      </w:r>
      <w:r>
        <w:rPr>
          <w:rFonts w:hint="eastAsia" w:asciiTheme="minorEastAsia" w:hAnsiTheme="minorEastAsia"/>
          <w:sz w:val="24"/>
          <w:szCs w:val="24"/>
          <w:lang w:bidi="ar"/>
        </w:rPr>
        <w:t>必须书面通知采购人所完成的工作和准备进行验收的项目种类及验收开始时间，此通知书需经参加联合采购的采购人认定后方可执行。</w:t>
      </w:r>
    </w:p>
    <w:p w14:paraId="5B3D79F7">
      <w:pPr>
        <w:pStyle w:val="265"/>
        <w:spacing w:line="360" w:lineRule="auto"/>
        <w:ind w:firstLine="470" w:firstLineChars="196"/>
        <w:rPr>
          <w:rFonts w:hint="eastAsia" w:asciiTheme="minorEastAsia" w:hAnsiTheme="minorEastAsia"/>
          <w:bCs/>
          <w:sz w:val="24"/>
          <w:szCs w:val="24"/>
          <w:lang w:bidi="ar"/>
        </w:rPr>
      </w:pPr>
      <w:r>
        <w:rPr>
          <w:rFonts w:hint="eastAsia" w:asciiTheme="minorEastAsia" w:hAnsiTheme="minorEastAsia"/>
          <w:bCs/>
          <w:sz w:val="24"/>
          <w:szCs w:val="24"/>
          <w:lang w:bidi="ar"/>
        </w:rPr>
        <w:t>4.4验收组织</w:t>
      </w:r>
    </w:p>
    <w:p w14:paraId="09DE3921">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成立由采购人以及其他有关人员组成的验收小组，负责对项目进行全面的验收。</w:t>
      </w:r>
    </w:p>
    <w:p w14:paraId="14B80CC9">
      <w:pPr>
        <w:pStyle w:val="265"/>
        <w:spacing w:line="360" w:lineRule="auto"/>
        <w:ind w:firstLine="470" w:firstLineChars="196"/>
        <w:rPr>
          <w:rFonts w:hint="eastAsia" w:asciiTheme="minorEastAsia" w:hAnsiTheme="minorEastAsia"/>
          <w:bCs/>
          <w:sz w:val="24"/>
          <w:szCs w:val="24"/>
          <w:lang w:bidi="ar"/>
        </w:rPr>
      </w:pPr>
      <w:r>
        <w:rPr>
          <w:rFonts w:hint="eastAsia" w:asciiTheme="minorEastAsia" w:hAnsiTheme="minorEastAsia"/>
          <w:bCs/>
          <w:sz w:val="24"/>
          <w:szCs w:val="24"/>
          <w:lang w:bidi="ar"/>
        </w:rPr>
        <w:t xml:space="preserve">4.5验收标准 </w:t>
      </w:r>
    </w:p>
    <w:p w14:paraId="2F0CDE99">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（1）信息系统商用密码应用安全性评估测评方案；</w:t>
      </w:r>
    </w:p>
    <w:p w14:paraId="7FEF91CA">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（2）信息系统商用密码应用安全性评估报告；</w:t>
      </w:r>
    </w:p>
    <w:p w14:paraId="766011A9">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（3）信息系统商用密码应用安全性评估整改建议</w:t>
      </w:r>
    </w:p>
    <w:p w14:paraId="24695EFD">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（4）信息系统商用密码应用安全性评估整改实施方案；</w:t>
      </w:r>
    </w:p>
    <w:p w14:paraId="0217E4CA">
      <w:pPr>
        <w:pStyle w:val="265"/>
        <w:spacing w:line="360" w:lineRule="auto"/>
        <w:ind w:left="435" w:leftChars="150" w:hanging="120" w:hangingChars="50"/>
        <w:rPr>
          <w:rFonts w:hint="eastAsia" w:asciiTheme="minorEastAsia" w:hAnsiTheme="minorEastAsia"/>
          <w:b/>
          <w:sz w:val="24"/>
          <w:szCs w:val="24"/>
          <w:lang w:bidi="ar"/>
        </w:rPr>
      </w:pPr>
      <w:r>
        <w:rPr>
          <w:rFonts w:hint="eastAsia" w:asciiTheme="minorEastAsia" w:hAnsiTheme="minorEastAsia"/>
          <w:sz w:val="24"/>
          <w:szCs w:val="24"/>
          <w:lang w:bidi="ar"/>
        </w:rPr>
        <w:t>（5）整体性的汇总报告；</w:t>
      </w:r>
      <w:r>
        <w:rPr>
          <w:rFonts w:hint="eastAsia" w:asciiTheme="minorEastAsia" w:hAnsiTheme="minorEastAsia"/>
          <w:sz w:val="24"/>
          <w:szCs w:val="24"/>
          <w:lang w:bidi="ar"/>
        </w:rPr>
        <w:br w:type="textWrapping"/>
      </w:r>
      <w:r>
        <w:rPr>
          <w:rFonts w:hint="eastAsia" w:asciiTheme="minorEastAsia" w:hAnsiTheme="minorEastAsia"/>
          <w:b/>
          <w:sz w:val="24"/>
          <w:szCs w:val="24"/>
          <w:lang w:bidi="ar"/>
        </w:rPr>
        <w:t>5、服务保障</w:t>
      </w:r>
    </w:p>
    <w:p w14:paraId="251339A5">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 xml:space="preserve">5.1供应商必须确保能建立一支具有一定服务能力的管理团队，并合理调配各岗位人员，保障服务工作相关岗位人员需要。 </w:t>
      </w:r>
    </w:p>
    <w:p w14:paraId="4BE1A9F9">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5.2</w:t>
      </w:r>
      <w:r>
        <w:rPr>
          <w:rFonts w:hint="eastAsia" w:asciiTheme="minorEastAsia" w:hAnsiTheme="minorEastAsia"/>
          <w:sz w:val="24"/>
          <w:szCs w:val="24"/>
          <w:lang w:eastAsia="zh-CN" w:bidi="ar"/>
        </w:rPr>
        <w:t>成交单位</w:t>
      </w:r>
      <w:r>
        <w:rPr>
          <w:rFonts w:hint="eastAsia" w:asciiTheme="minorEastAsia" w:hAnsiTheme="minorEastAsia"/>
          <w:sz w:val="24"/>
          <w:szCs w:val="24"/>
          <w:lang w:bidi="ar"/>
        </w:rPr>
        <w:t>从</w:t>
      </w:r>
      <w:r>
        <w:rPr>
          <w:rFonts w:hint="eastAsia" w:asciiTheme="minorEastAsia" w:hAnsiTheme="minorEastAsia"/>
          <w:sz w:val="24"/>
          <w:szCs w:val="24"/>
          <w:lang w:eastAsia="zh-CN" w:bidi="ar"/>
        </w:rPr>
        <w:t>数字底座与教育教学管理服务一体化系统（海南省智慧教育平台（一期））</w:t>
      </w:r>
      <w:r>
        <w:rPr>
          <w:rFonts w:hint="eastAsia" w:asciiTheme="minorEastAsia" w:hAnsiTheme="minorEastAsia"/>
          <w:sz w:val="24"/>
          <w:szCs w:val="24"/>
          <w:lang w:bidi="ar"/>
        </w:rPr>
        <w:t>商用密码应用安全性评估项目进场之日起5个</w:t>
      </w:r>
      <w:r>
        <w:rPr>
          <w:rFonts w:hint="eastAsia" w:asciiTheme="minorEastAsia" w:hAnsiTheme="minorEastAsia"/>
          <w:sz w:val="24"/>
          <w:szCs w:val="24"/>
          <w:lang w:eastAsia="zh-CN" w:bidi="ar"/>
        </w:rPr>
        <w:t>工作日内</w:t>
      </w:r>
      <w:r>
        <w:rPr>
          <w:rFonts w:hint="eastAsia" w:asciiTheme="minorEastAsia" w:hAnsiTheme="minorEastAsia"/>
          <w:sz w:val="24"/>
          <w:szCs w:val="24"/>
          <w:lang w:bidi="ar"/>
        </w:rPr>
        <w:t>完成评估系统确</w:t>
      </w:r>
      <w:r>
        <w:rPr>
          <w:rFonts w:hint="eastAsia" w:asciiTheme="minorEastAsia" w:hAnsiTheme="minorEastAsia"/>
          <w:sz w:val="24"/>
          <w:szCs w:val="24"/>
          <w:lang w:eastAsia="zh-CN" w:bidi="ar"/>
        </w:rPr>
        <w:t>定的</w:t>
      </w:r>
      <w:r>
        <w:rPr>
          <w:rFonts w:hint="eastAsia" w:asciiTheme="minorEastAsia" w:hAnsiTheme="minorEastAsia"/>
          <w:sz w:val="24"/>
          <w:szCs w:val="24"/>
          <w:lang w:bidi="ar"/>
        </w:rPr>
        <w:t xml:space="preserve">测评方案编制。 </w:t>
      </w:r>
    </w:p>
    <w:p w14:paraId="7DF9FBC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5.3</w:t>
      </w:r>
      <w:r>
        <w:rPr>
          <w:rFonts w:hint="eastAsia" w:asciiTheme="minorEastAsia" w:hAnsiTheme="minorEastAsia"/>
          <w:sz w:val="24"/>
          <w:szCs w:val="24"/>
          <w:lang w:eastAsia="zh-CN" w:bidi="ar"/>
        </w:rPr>
        <w:t>成交单位</w:t>
      </w:r>
      <w:r>
        <w:rPr>
          <w:rFonts w:hint="eastAsia" w:asciiTheme="minorEastAsia" w:hAnsiTheme="minorEastAsia"/>
          <w:sz w:val="24"/>
          <w:szCs w:val="24"/>
          <w:lang w:bidi="ar"/>
        </w:rPr>
        <w:t>需在</w:t>
      </w:r>
      <w:r>
        <w:rPr>
          <w:rFonts w:hint="eastAsia" w:asciiTheme="minorEastAsia" w:hAnsiTheme="minorEastAsia"/>
          <w:sz w:val="24"/>
          <w:szCs w:val="24"/>
          <w:lang w:eastAsia="zh-CN" w:bidi="ar"/>
        </w:rPr>
        <w:t>数字底座与教育教学管理服务一体化系统（海南省智慧教育平台（一期））</w:t>
      </w:r>
      <w:r>
        <w:rPr>
          <w:rFonts w:hint="eastAsia" w:asciiTheme="minorEastAsia" w:hAnsiTheme="minorEastAsia"/>
          <w:sz w:val="24"/>
          <w:szCs w:val="24"/>
          <w:lang w:bidi="ar"/>
        </w:rPr>
        <w:t xml:space="preserve">商用密码应用安全性评估项目验收之前完成并提交商用密码应用安全性评估报告。 </w:t>
      </w:r>
    </w:p>
    <w:p w14:paraId="77BBDFDE">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5.4服务期间提供应急保障工作，针对应急、攻坚克难等事宜提供保障方案，包括高层支撑和响应时间等。</w:t>
      </w:r>
    </w:p>
    <w:p w14:paraId="339A71A2">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5.5严守工作秘密。</w:t>
      </w:r>
      <w:r>
        <w:rPr>
          <w:rFonts w:hint="eastAsia" w:asciiTheme="minorEastAsia" w:hAnsiTheme="minorEastAsia"/>
          <w:sz w:val="24"/>
          <w:szCs w:val="24"/>
          <w:lang w:eastAsia="zh-CN" w:bidi="ar"/>
        </w:rPr>
        <w:t>成交单位</w:t>
      </w:r>
      <w:r>
        <w:rPr>
          <w:rFonts w:hint="eastAsia" w:asciiTheme="minorEastAsia" w:hAnsiTheme="minorEastAsia"/>
          <w:sz w:val="24"/>
          <w:szCs w:val="24"/>
          <w:lang w:bidi="ar"/>
        </w:rPr>
        <w:t xml:space="preserve">必须与采购人签署保密协议，工作人员须与单位签署《保密承诺书》，对知悉的事项及信息予以保密，所有资料、技术文档妥善保管，不得遗失、转借、复印，不得以任何形式向第三方透露；所有密码应用解决方案和采集汇总后的数据严禁通过互联网等公共信息网络、普通邮政进行传递，严禁在连接互联网计算机上存储、处理。 </w:t>
      </w:r>
    </w:p>
    <w:p w14:paraId="16A052C5">
      <w:pPr>
        <w:bidi w:val="0"/>
        <w:ind w:firstLine="480" w:firstLineChars="200"/>
        <w:rPr>
          <w:rFonts w:hint="eastAsia"/>
        </w:rPr>
      </w:pPr>
      <w:r>
        <w:rPr>
          <w:rFonts w:hint="eastAsia" w:asciiTheme="minorEastAsia" w:hAnsiTheme="minorEastAsia"/>
          <w:sz w:val="24"/>
          <w:szCs w:val="24"/>
          <w:lang w:bidi="ar"/>
        </w:rPr>
        <w:t>5.6严格遵循操作规程，承担服务工作质量责任。</w:t>
      </w:r>
    </w:p>
    <w:p w14:paraId="745DB003">
      <w:pPr>
        <w:adjustRightInd w:val="0"/>
        <w:snapToGrid w:val="0"/>
        <w:spacing w:line="300" w:lineRule="auto"/>
        <w:ind w:firstLine="480" w:firstLineChars="200"/>
        <w:rPr>
          <w:rFonts w:hint="eastAsia" w:ascii="宋体"/>
          <w:kern w:val="0"/>
          <w:sz w:val="24"/>
        </w:rPr>
      </w:pPr>
    </w:p>
    <w:p w14:paraId="4A382037">
      <w:pPr>
        <w:bidi w:val="0"/>
        <w:rPr>
          <w:rFonts w:hint="eastAsia"/>
        </w:rPr>
      </w:pPr>
    </w:p>
    <w:p w14:paraId="234C2D93">
      <w:pPr>
        <w:rPr>
          <w:rFonts w:hint="eastAsia"/>
        </w:rPr>
        <w:sectPr>
          <w:headerReference r:id="rId3" w:type="default"/>
          <w:footerReference r:id="rId4" w:type="default"/>
          <w:footerReference r:id="rId5" w:type="even"/>
          <w:pgSz w:w="11906" w:h="16838"/>
          <w:pgMar w:top="1134" w:right="1134" w:bottom="1134" w:left="1134" w:header="851" w:footer="992" w:gutter="0"/>
          <w:cols w:space="720" w:num="1"/>
          <w:docGrid w:type="linesAndChars" w:linePitch="312" w:charSpace="0"/>
        </w:sectPr>
      </w:pPr>
    </w:p>
    <w:p w14:paraId="209511CB">
      <w:pPr>
        <w:numPr>
          <w:ilvl w:val="0"/>
          <w:numId w:val="0"/>
        </w:numPr>
        <w:adjustRightInd w:val="0"/>
        <w:snapToGrid w:val="0"/>
        <w:spacing w:line="300" w:lineRule="auto"/>
        <w:ind w:leftChars="0"/>
        <w:jc w:val="center"/>
        <w:outlineLvl w:val="1"/>
        <w:rPr>
          <w:rFonts w:hint="default" w:ascii="宋体" w:hAnsi="Times New Roman" w:eastAsia="宋体" w:cs="Times New Roman"/>
          <w:b/>
          <w:bCs/>
          <w:kern w:val="0"/>
          <w:sz w:val="32"/>
          <w:szCs w:val="32"/>
          <w:lang w:val="en-US" w:eastAsia="zh-CN"/>
        </w:rPr>
      </w:pPr>
      <w:r>
        <w:rPr>
          <w:rFonts w:hint="eastAsia" w:ascii="宋体" w:hAnsi="Times New Roman" w:eastAsia="宋体" w:cs="Times New Roman"/>
          <w:b/>
          <w:bCs/>
          <w:kern w:val="0"/>
          <w:sz w:val="32"/>
          <w:szCs w:val="32"/>
          <w:lang w:val="en-US" w:eastAsia="zh-CN"/>
        </w:rPr>
        <w:t>3包：海南省教育省域网商用密码应用安全性评估</w:t>
      </w:r>
    </w:p>
    <w:p w14:paraId="28B33144">
      <w:pPr>
        <w:bidi w:val="0"/>
        <w:rPr>
          <w:rFonts w:hint="eastAsia"/>
          <w:lang w:val="en-US" w:eastAsia="zh-CN"/>
        </w:rPr>
      </w:pPr>
    </w:p>
    <w:p w14:paraId="3112502B">
      <w:pPr>
        <w:widowControl w:val="0"/>
        <w:spacing w:after="0" w:line="360" w:lineRule="auto"/>
        <w:ind w:left="0" w:right="0" w:firstLine="420" w:firstLineChars="200"/>
        <w:rPr>
          <w:rFonts w:hint="eastAsia"/>
          <w:b/>
          <w:color w:val="auto"/>
          <w:sz w:val="21"/>
          <w:szCs w:val="24"/>
        </w:rPr>
      </w:pPr>
      <w:r>
        <w:rPr>
          <w:rFonts w:hint="eastAsia"/>
          <w:b/>
          <w:color w:val="auto"/>
          <w:sz w:val="21"/>
          <w:szCs w:val="24"/>
        </w:rPr>
        <w:t>（一）项目目标</w:t>
      </w:r>
    </w:p>
    <w:p w14:paraId="78E590F9">
      <w:pPr>
        <w:widowControl w:val="0"/>
        <w:spacing w:after="0" w:line="360" w:lineRule="auto"/>
        <w:ind w:left="0" w:right="0" w:firstLine="480" w:firstLineChars="20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按照 GB/T 39786-2021《信息安全技术 信息系统密码应用基本要求》，对</w:t>
      </w:r>
      <w:r>
        <w:rPr>
          <w:rFonts w:hint="eastAsia" w:ascii="宋体" w:hAnsi="Times New Roman" w:eastAsia="宋体" w:cs="Times New Roman"/>
          <w:b/>
          <w:bCs/>
          <w:kern w:val="0"/>
          <w:sz w:val="32"/>
          <w:szCs w:val="32"/>
          <w:lang w:val="en-US" w:eastAsia="zh-CN"/>
        </w:rPr>
        <w:t>海南省教育省域网</w:t>
      </w:r>
      <w:r>
        <w:rPr>
          <w:rFonts w:hint="eastAsia" w:ascii="宋体" w:hAnsi="宋体" w:eastAsia="宋体" w:cs="宋体"/>
          <w:kern w:val="2"/>
          <w:sz w:val="24"/>
          <w:szCs w:val="22"/>
          <w:lang w:val="en-US" w:eastAsia="zh-CN" w:bidi="ar-SA"/>
        </w:rPr>
        <w:t>系统实施密评工作。通过此次密评，将深入排查这些信息系统在密码应用方面存在的薄弱环节与安全隐患，分析其面临的风险，为提升系统安全水平打下基础。同时，这一工作也将推动国产密码应用的进一步落地，保障并促进海南省电化教育馆信息化安全体系建设的健康发展。此外，还能为该馆的信息安全保障体系建设提供指导，增强其密码安全管理意识，助力安全管理水平的提升。</w:t>
      </w:r>
    </w:p>
    <w:p w14:paraId="0BAA763B">
      <w:pPr>
        <w:widowControl w:val="0"/>
        <w:spacing w:after="0" w:line="360" w:lineRule="auto"/>
        <w:ind w:left="0" w:right="0" w:firstLine="420" w:firstLineChars="200"/>
        <w:rPr>
          <w:rFonts w:hint="eastAsia"/>
          <w:b/>
          <w:color w:val="auto"/>
          <w:sz w:val="21"/>
          <w:szCs w:val="24"/>
        </w:rPr>
      </w:pPr>
      <w:r>
        <w:rPr>
          <w:rFonts w:hint="eastAsia"/>
          <w:b/>
          <w:color w:val="auto"/>
          <w:sz w:val="21"/>
          <w:szCs w:val="24"/>
        </w:rPr>
        <w:t>（二）项目内容</w:t>
      </w:r>
    </w:p>
    <w:p w14:paraId="04A9C6F2">
      <w:pPr>
        <w:pStyle w:val="265"/>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GB/T 39786-2021《信息安全技术信息系统密码应用基本要求》从物理和环境、网络和通信、设备和计算、应用和数据、安全管理等方面对信息系统开展密码应用安全性评估工作，分析信息系统与基本要求之间的差距，出具《商用密码应用安全性评估报告》，提出具有针对性的整改意见，并根据信息系统及安全防护措施的现状，提供其他安全服务，确保信息系统的安全运行。</w:t>
      </w:r>
    </w:p>
    <w:p w14:paraId="2784688C">
      <w:pPr>
        <w:pStyle w:val="265"/>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对项目范围内系统开展商用密码应用安全性评估服务后，应采购方要求，针对不同系统密码应用状况不同，结合系统应用实际情况，开展密码应用方案指导咨询工作，指导开展密码应用安全技术方案编写工作。</w:t>
      </w:r>
    </w:p>
    <w:p w14:paraId="32920304">
      <w:pPr>
        <w:widowControl w:val="0"/>
        <w:spacing w:after="0" w:line="360" w:lineRule="auto"/>
        <w:ind w:left="0" w:right="0" w:firstLine="420" w:firstLineChars="200"/>
        <w:rPr>
          <w:rFonts w:hint="eastAsia"/>
          <w:b/>
          <w:color w:val="auto"/>
          <w:sz w:val="21"/>
          <w:szCs w:val="24"/>
        </w:rPr>
      </w:pPr>
      <w:r>
        <w:rPr>
          <w:rFonts w:hint="eastAsia"/>
          <w:b/>
          <w:color w:val="auto"/>
          <w:sz w:val="21"/>
          <w:szCs w:val="24"/>
        </w:rPr>
        <w:t>（三）项目需求</w:t>
      </w:r>
    </w:p>
    <w:p w14:paraId="7C309962">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1.</w:t>
      </w:r>
      <w:r>
        <w:rPr>
          <w:rFonts w:hint="eastAsia" w:asciiTheme="minorEastAsia" w:hAnsiTheme="minorEastAsia"/>
          <w:b/>
          <w:sz w:val="24"/>
          <w:szCs w:val="24"/>
        </w:rPr>
        <w:t>需求内容</w:t>
      </w:r>
    </w:p>
    <w:p w14:paraId="3C4F8DD5">
      <w:pPr>
        <w:pStyle w:val="265"/>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1.1对</w:t>
      </w:r>
      <w:r>
        <w:rPr>
          <w:rFonts w:hint="eastAsia" w:asciiTheme="minorEastAsia" w:hAnsiTheme="minorEastAsia"/>
          <w:sz w:val="24"/>
          <w:szCs w:val="24"/>
          <w:lang w:eastAsia="zh-CN"/>
        </w:rPr>
        <w:t>海南省教育省域网</w:t>
      </w:r>
      <w:r>
        <w:rPr>
          <w:rFonts w:hint="eastAsia" w:asciiTheme="minorEastAsia" w:hAnsiTheme="minorEastAsia"/>
          <w:sz w:val="24"/>
          <w:szCs w:val="24"/>
        </w:rPr>
        <w:t>商用密码应用安全性评估指定的信息系统进行摸底、分析和梳理，提出详细的测评方案；</w:t>
      </w:r>
    </w:p>
    <w:p w14:paraId="461B38A9">
      <w:pPr>
        <w:pStyle w:val="265"/>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1.2针对</w:t>
      </w:r>
      <w:r>
        <w:rPr>
          <w:rFonts w:hint="eastAsia" w:asciiTheme="minorEastAsia" w:hAnsiTheme="minorEastAsia"/>
          <w:sz w:val="24"/>
          <w:szCs w:val="24"/>
          <w:lang w:eastAsia="zh-CN"/>
        </w:rPr>
        <w:t>海南省教育省域网</w:t>
      </w:r>
      <w:r>
        <w:rPr>
          <w:rFonts w:hint="eastAsia" w:asciiTheme="minorEastAsia" w:hAnsiTheme="minorEastAsia"/>
          <w:sz w:val="24"/>
          <w:szCs w:val="24"/>
        </w:rPr>
        <w:t>商用密码应用安全性评估指定的信息系统进行密码应用安全性评估，内容包括：物理和环境、网络和通信、设备和计算、应用和数据、安全管理等；</w:t>
      </w:r>
    </w:p>
    <w:p w14:paraId="2A7C0294">
      <w:pPr>
        <w:pStyle w:val="265"/>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1.3</w:t>
      </w:r>
      <w:r>
        <w:rPr>
          <w:rFonts w:hint="eastAsia" w:asciiTheme="minorEastAsia" w:hAnsiTheme="minorEastAsia"/>
          <w:sz w:val="24"/>
          <w:szCs w:val="24"/>
          <w:lang w:val="en-US" w:eastAsia="zh-CN"/>
        </w:rPr>
        <w:t>自合同签订之日起</w:t>
      </w:r>
      <w:r>
        <w:rPr>
          <w:rFonts w:hint="eastAsia" w:asciiTheme="minorEastAsia" w:hAnsiTheme="minorEastAsia"/>
          <w:sz w:val="24"/>
          <w:szCs w:val="24"/>
        </w:rPr>
        <w:t>，包括但不限于以下工作：完成密码应用安全性评估初测，提供有效的整改方案并指导相应系统承建方完成整改，指导完成系统整改后。指导整改过程中产生的费用纳入项目总预算内，由</w:t>
      </w:r>
      <w:r>
        <w:rPr>
          <w:rFonts w:hint="eastAsia" w:asciiTheme="minorEastAsia" w:hAnsiTheme="minorEastAsia"/>
          <w:sz w:val="24"/>
          <w:szCs w:val="24"/>
          <w:lang w:eastAsia="zh-CN"/>
        </w:rPr>
        <w:t>成交单位</w:t>
      </w:r>
      <w:r>
        <w:rPr>
          <w:rFonts w:hint="eastAsia" w:asciiTheme="minorEastAsia" w:hAnsiTheme="minorEastAsia"/>
          <w:sz w:val="24"/>
          <w:szCs w:val="24"/>
        </w:rPr>
        <w:t>支付。</w:t>
      </w:r>
    </w:p>
    <w:p w14:paraId="10453AB0">
      <w:pPr>
        <w:pStyle w:val="265"/>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1.4服务保障工作：评估报告提交1年内，测评服务机构应向海南省电化教育馆免费提供咨询服务。</w:t>
      </w:r>
    </w:p>
    <w:p w14:paraId="1C540EE2">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2.</w:t>
      </w:r>
      <w:r>
        <w:rPr>
          <w:rFonts w:hint="eastAsia" w:asciiTheme="minorEastAsia" w:hAnsiTheme="minorEastAsia"/>
          <w:b/>
          <w:sz w:val="24"/>
          <w:szCs w:val="24"/>
        </w:rPr>
        <w:t>服务清单</w:t>
      </w:r>
    </w:p>
    <w:tbl>
      <w:tblPr>
        <w:tblStyle w:val="37"/>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126"/>
        <w:gridCol w:w="1418"/>
        <w:gridCol w:w="4597"/>
      </w:tblGrid>
      <w:tr w14:paraId="6BB6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blHeader/>
          <w:jc w:val="center"/>
        </w:trPr>
        <w:tc>
          <w:tcPr>
            <w:tcW w:w="717" w:type="dxa"/>
            <w:tcBorders>
              <w:top w:val="single" w:color="auto" w:sz="4" w:space="0"/>
              <w:left w:val="single" w:color="auto" w:sz="4" w:space="0"/>
              <w:bottom w:val="single" w:color="auto" w:sz="4" w:space="0"/>
              <w:right w:val="single" w:color="auto" w:sz="4" w:space="0"/>
            </w:tcBorders>
            <w:shd w:val="pct10" w:color="auto" w:fill="auto"/>
            <w:vAlign w:val="center"/>
          </w:tcPr>
          <w:p w14:paraId="5F3CA598">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序号</w:t>
            </w:r>
          </w:p>
        </w:tc>
        <w:tc>
          <w:tcPr>
            <w:tcW w:w="2126" w:type="dxa"/>
            <w:tcBorders>
              <w:top w:val="single" w:color="auto" w:sz="4" w:space="0"/>
              <w:left w:val="single" w:color="auto" w:sz="4" w:space="0"/>
              <w:bottom w:val="single" w:color="auto" w:sz="4" w:space="0"/>
              <w:right w:val="single" w:color="auto" w:sz="4" w:space="0"/>
            </w:tcBorders>
            <w:shd w:val="pct10" w:color="auto" w:fill="auto"/>
            <w:vAlign w:val="center"/>
          </w:tcPr>
          <w:p w14:paraId="000F0CD5">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评估对象</w:t>
            </w:r>
          </w:p>
        </w:tc>
        <w:tc>
          <w:tcPr>
            <w:tcW w:w="1418" w:type="dxa"/>
            <w:tcBorders>
              <w:top w:val="single" w:color="auto" w:sz="4" w:space="0"/>
              <w:left w:val="single" w:color="auto" w:sz="4" w:space="0"/>
              <w:bottom w:val="single" w:color="auto" w:sz="4" w:space="0"/>
              <w:right w:val="single" w:color="auto" w:sz="4" w:space="0"/>
            </w:tcBorders>
            <w:shd w:val="pct10" w:color="auto" w:fill="auto"/>
            <w:vAlign w:val="center"/>
          </w:tcPr>
          <w:p w14:paraId="1A1A2B23">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系统等级</w:t>
            </w:r>
          </w:p>
        </w:tc>
        <w:tc>
          <w:tcPr>
            <w:tcW w:w="4597" w:type="dxa"/>
            <w:tcBorders>
              <w:top w:val="single" w:color="auto" w:sz="4" w:space="0"/>
              <w:left w:val="single" w:color="auto" w:sz="4" w:space="0"/>
              <w:bottom w:val="single" w:color="auto" w:sz="4" w:space="0"/>
              <w:right w:val="single" w:color="auto" w:sz="4" w:space="0"/>
            </w:tcBorders>
            <w:shd w:val="pct10" w:color="auto" w:fill="auto"/>
            <w:vAlign w:val="center"/>
          </w:tcPr>
          <w:p w14:paraId="126B8284">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系统描述</w:t>
            </w:r>
          </w:p>
        </w:tc>
      </w:tr>
      <w:tr w14:paraId="3D31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14:paraId="5D3E71CB">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2.1</w:t>
            </w:r>
          </w:p>
        </w:tc>
        <w:tc>
          <w:tcPr>
            <w:tcW w:w="2126" w:type="dxa"/>
            <w:tcBorders>
              <w:top w:val="single" w:color="auto" w:sz="4" w:space="0"/>
              <w:left w:val="single" w:color="auto" w:sz="4" w:space="0"/>
              <w:bottom w:val="single" w:color="auto" w:sz="4" w:space="0"/>
              <w:right w:val="single" w:color="auto" w:sz="4" w:space="0"/>
            </w:tcBorders>
            <w:vAlign w:val="center"/>
          </w:tcPr>
          <w:p w14:paraId="7D0CD5BD">
            <w:pPr>
              <w:pStyle w:val="265"/>
              <w:spacing w:line="276" w:lineRule="auto"/>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海南省教育省域网</w:t>
            </w:r>
          </w:p>
        </w:tc>
        <w:tc>
          <w:tcPr>
            <w:tcW w:w="1418" w:type="dxa"/>
            <w:tcBorders>
              <w:top w:val="single" w:color="auto" w:sz="4" w:space="0"/>
              <w:left w:val="single" w:color="auto" w:sz="4" w:space="0"/>
              <w:bottom w:val="single" w:color="auto" w:sz="4" w:space="0"/>
              <w:right w:val="single" w:color="auto" w:sz="4" w:space="0"/>
            </w:tcBorders>
            <w:vAlign w:val="center"/>
          </w:tcPr>
          <w:p w14:paraId="1F8D6BAC">
            <w:pPr>
              <w:pStyle w:val="265"/>
              <w:spacing w:line="276" w:lineRule="auto"/>
              <w:jc w:val="center"/>
              <w:rPr>
                <w:rFonts w:hint="eastAsia" w:asciiTheme="minorEastAsia" w:hAnsiTheme="minorEastAsia"/>
                <w:sz w:val="24"/>
                <w:szCs w:val="24"/>
              </w:rPr>
            </w:pPr>
            <w:r>
              <w:rPr>
                <w:rFonts w:hint="eastAsia" w:asciiTheme="minorEastAsia" w:hAnsiTheme="minorEastAsia"/>
                <w:sz w:val="24"/>
                <w:szCs w:val="24"/>
                <w:lang w:bidi="ar"/>
              </w:rPr>
              <w:t>三级</w:t>
            </w:r>
          </w:p>
          <w:p w14:paraId="18D1F4B9">
            <w:pPr>
              <w:pStyle w:val="265"/>
              <w:spacing w:line="276" w:lineRule="auto"/>
              <w:rPr>
                <w:rFonts w:hint="eastAsia" w:asciiTheme="minorEastAsia" w:hAnsiTheme="minorEastAsia"/>
                <w:sz w:val="24"/>
                <w:szCs w:val="24"/>
              </w:rPr>
            </w:pPr>
          </w:p>
        </w:tc>
        <w:tc>
          <w:tcPr>
            <w:tcW w:w="4597" w:type="dxa"/>
            <w:tcBorders>
              <w:top w:val="single" w:color="auto" w:sz="4" w:space="0"/>
              <w:left w:val="single" w:color="auto" w:sz="4" w:space="0"/>
              <w:bottom w:val="single" w:color="auto" w:sz="4" w:space="0"/>
              <w:right w:val="single" w:color="auto" w:sz="4" w:space="0"/>
            </w:tcBorders>
            <w:vAlign w:val="center"/>
          </w:tcPr>
          <w:p w14:paraId="5C344994">
            <w:r>
              <w:rPr>
                <w:rFonts w:hint="eastAsia"/>
                <w:color w:val="auto"/>
              </w:rPr>
              <w:t>海南教育省域网以实现网络“快速稳定、绿色安全、可管可控”为核心目标，为各市县教育城域网提供安全可靠的</w:t>
            </w:r>
            <w:r>
              <w:rPr>
                <w:rFonts w:hint="eastAsia"/>
                <w:color w:val="auto"/>
                <w:lang w:val="en-US" w:eastAsia="zh-CN"/>
              </w:rPr>
              <w:t>省级</w:t>
            </w:r>
            <w:r>
              <w:rPr>
                <w:rFonts w:hint="eastAsia"/>
                <w:color w:val="auto"/>
              </w:rPr>
              <w:t>骨干网络</w:t>
            </w:r>
            <w:r>
              <w:rPr>
                <w:rFonts w:hint="eastAsia"/>
                <w:color w:val="auto"/>
                <w:lang w:eastAsia="zh-CN"/>
              </w:rPr>
              <w:t>和具</w:t>
            </w:r>
            <w:r>
              <w:rPr>
                <w:rFonts w:hint="eastAsia"/>
                <w:color w:val="auto"/>
              </w:rPr>
              <w:t>有全网统一运维能力的网管、安全、认证平台。</w:t>
            </w:r>
          </w:p>
        </w:tc>
      </w:tr>
    </w:tbl>
    <w:p w14:paraId="013C2810">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3.</w:t>
      </w:r>
      <w:r>
        <w:rPr>
          <w:rFonts w:hint="eastAsia" w:asciiTheme="minorEastAsia" w:hAnsiTheme="minorEastAsia"/>
          <w:b/>
          <w:sz w:val="24"/>
          <w:szCs w:val="24"/>
        </w:rPr>
        <w:t>项目成果交付</w:t>
      </w:r>
    </w:p>
    <w:p w14:paraId="310990E9">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 xml:space="preserve">3.1 </w:t>
      </w:r>
      <w:r>
        <w:rPr>
          <w:rFonts w:hint="eastAsia" w:asciiTheme="minorEastAsia" w:hAnsiTheme="minorEastAsia"/>
          <w:sz w:val="24"/>
          <w:szCs w:val="24"/>
          <w:lang w:eastAsia="zh-CN" w:bidi="ar"/>
        </w:rPr>
        <w:t>海南省教育省域网</w:t>
      </w:r>
      <w:r>
        <w:rPr>
          <w:rFonts w:hint="eastAsia" w:asciiTheme="minorEastAsia" w:hAnsiTheme="minorEastAsia"/>
          <w:sz w:val="24"/>
          <w:szCs w:val="24"/>
          <w:lang w:bidi="ar"/>
        </w:rPr>
        <w:t>《商用密码应用安全性评估测评方案》；</w:t>
      </w:r>
    </w:p>
    <w:p w14:paraId="35617624">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 xml:space="preserve">3.2 </w:t>
      </w:r>
      <w:r>
        <w:rPr>
          <w:rFonts w:hint="eastAsia" w:asciiTheme="minorEastAsia" w:hAnsiTheme="minorEastAsia"/>
          <w:sz w:val="24"/>
          <w:szCs w:val="24"/>
          <w:lang w:eastAsia="zh-CN" w:bidi="ar"/>
        </w:rPr>
        <w:t>海南省教育省域网</w:t>
      </w:r>
      <w:r>
        <w:rPr>
          <w:rFonts w:hint="eastAsia" w:asciiTheme="minorEastAsia" w:hAnsiTheme="minorEastAsia"/>
          <w:sz w:val="24"/>
          <w:szCs w:val="24"/>
          <w:lang w:bidi="ar"/>
        </w:rPr>
        <w:t>《商用密码应用安全性评估报告》；</w:t>
      </w:r>
    </w:p>
    <w:p w14:paraId="16C563F4">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 xml:space="preserve">3.3 </w:t>
      </w:r>
      <w:r>
        <w:rPr>
          <w:rFonts w:hint="eastAsia" w:asciiTheme="minorEastAsia" w:hAnsiTheme="minorEastAsia"/>
          <w:sz w:val="24"/>
          <w:szCs w:val="24"/>
          <w:lang w:eastAsia="zh-CN" w:bidi="ar"/>
        </w:rPr>
        <w:t>海南省教育省域网</w:t>
      </w:r>
      <w:r>
        <w:rPr>
          <w:rFonts w:hint="eastAsia" w:asciiTheme="minorEastAsia" w:hAnsiTheme="minorEastAsia"/>
          <w:sz w:val="24"/>
          <w:szCs w:val="24"/>
          <w:lang w:bidi="ar"/>
        </w:rPr>
        <w:t>《商用密码应用安全性评估指导整改实施方案》；</w:t>
      </w:r>
    </w:p>
    <w:p w14:paraId="0C8F10A5">
      <w:pPr>
        <w:pStyle w:val="265"/>
        <w:spacing w:line="360" w:lineRule="auto"/>
        <w:ind w:firstLine="480" w:firstLineChars="200"/>
        <w:rPr>
          <w:rFonts w:hint="eastAsia" w:asciiTheme="minorEastAsia" w:hAnsiTheme="minorEastAsia"/>
          <w:kern w:val="28"/>
          <w:sz w:val="24"/>
          <w:szCs w:val="24"/>
          <w:lang w:bidi="ar"/>
        </w:rPr>
      </w:pPr>
      <w:r>
        <w:rPr>
          <w:rFonts w:hint="eastAsia" w:asciiTheme="minorEastAsia" w:hAnsiTheme="minorEastAsia"/>
          <w:sz w:val="24"/>
          <w:szCs w:val="24"/>
          <w:lang w:bidi="ar"/>
        </w:rPr>
        <w:t xml:space="preserve">3.4 </w:t>
      </w:r>
      <w:r>
        <w:rPr>
          <w:rFonts w:hint="eastAsia" w:asciiTheme="minorEastAsia" w:hAnsiTheme="minorEastAsia"/>
          <w:sz w:val="24"/>
          <w:szCs w:val="24"/>
          <w:lang w:eastAsia="zh-CN" w:bidi="ar"/>
        </w:rPr>
        <w:t>海南省教育省域网</w:t>
      </w:r>
      <w:r>
        <w:rPr>
          <w:rFonts w:hint="eastAsia" w:asciiTheme="minorEastAsia" w:hAnsiTheme="minorEastAsia"/>
          <w:sz w:val="24"/>
          <w:szCs w:val="24"/>
          <w:lang w:bidi="ar"/>
        </w:rPr>
        <w:t>《商用密码应用安全性评估整改建议》。</w:t>
      </w:r>
    </w:p>
    <w:p w14:paraId="25A994C2">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lang w:eastAsia="zh-CN"/>
        </w:rPr>
        <w:t>4.</w:t>
      </w:r>
      <w:r>
        <w:rPr>
          <w:rFonts w:hint="eastAsia" w:asciiTheme="minorEastAsia" w:hAnsiTheme="minorEastAsia"/>
          <w:b/>
          <w:sz w:val="24"/>
          <w:szCs w:val="24"/>
        </w:rPr>
        <w:t>测评方案</w:t>
      </w:r>
    </w:p>
    <w:p w14:paraId="68BF9A38">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4.1《中华人民共和国网络安全法》相关要求</w:t>
      </w:r>
    </w:p>
    <w:p w14:paraId="3F878A1A">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4.2《中华人民共和国密码法》</w:t>
      </w:r>
    </w:p>
    <w:p w14:paraId="0AB4EA9D">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4.3 GB/T39786—2021《信息安全技术 信息系统密码应用基本要求》</w:t>
      </w:r>
    </w:p>
    <w:p w14:paraId="6F670BBF">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4.4 GM/T 0115—2021《信息系统密码应用测评要求》</w:t>
      </w:r>
    </w:p>
    <w:p w14:paraId="11716B8D">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4.5 GM/T 0116—2021《信息系统密码应用测评过程指南》</w:t>
      </w:r>
    </w:p>
    <w:p w14:paraId="6F486AE4">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4.6《商用密码应用安全性评估测评作业指导书（试行）》</w:t>
      </w:r>
    </w:p>
    <w:p w14:paraId="5CB6733E">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4.7《政务信息系统密码应用与安全性评估工作指南》</w:t>
      </w:r>
    </w:p>
    <w:p w14:paraId="2C43BB01">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4.8《信息系统密码应用高风险判定指引》</w:t>
      </w:r>
    </w:p>
    <w:p w14:paraId="36A9A0E8">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4.9《商用密码应用安全性评估量化评估规则》</w:t>
      </w:r>
    </w:p>
    <w:p w14:paraId="6DEE9952">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rPr>
        <w:t>4.1.1总体技术要求</w:t>
      </w:r>
    </w:p>
    <w:p w14:paraId="542A32E2">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1）密码算法合规性测评：着重针对信息系统在运行过程中所采用的各类密码算法进行全面且细致的评估。评估的核心在于核查这些密码算法是否严格契合当前有效的法律、法规中的相关规定，同时是否完全遵循密码领域的国家标准以及行业标准的具体要求。这意味着不仅要确认算法本身的设计与实现未违背法律层面的禁止性条款，还要确保其在加密强度、运算逻辑、适用场景等方面均符合国家标准和行业标准所设定的规范，以此保障密码算法在信息系统安全防护中发挥合法、有效的基础作用。</w:t>
      </w:r>
    </w:p>
    <w:p w14:paraId="09543E1C">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2）密码技术合规性测评：聚焦于信息系统所运用的各类密码技术，对其是否严格遵循密码相关的国家标准和行业标准展开系统性评估。这里的密码技术涵盖了密码算法的具体应用方式、密码协议的设计与执行、密码机制的部署策略等多个方面。测评过程中，需逐一对照相关标准的具体条款，检查技术的实际应用是否与标准要求一致，是否存在因技术滥用或误用而导致的安全隐患，从而确保密码技术在信息系统中的应用具备规范性和科学性。</w:t>
      </w:r>
    </w:p>
    <w:p w14:paraId="0C98DF25">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3）密码产品合规性测评：主要针对信息系统中所使用的各类密码产品以及密码模块进行合规性审查。关键在于确认这些产品和模块是否已经通过国家密码管理部门的正式核准。国家密码管理部门的核准是对密码产品和模块安全性、可靠性的权威认可，只有通过核准的产品和模块才能在信息系统中合法使用。测评过程中需严格核查产品和模块的核准资质文件，确保其符合国家相关规定，避免因使用未经核准的产品或模块而给信息系统带来安全风险。</w:t>
      </w:r>
    </w:p>
    <w:p w14:paraId="5BBD1D9E">
      <w:pPr>
        <w:pStyle w:val="265"/>
        <w:spacing w:line="360" w:lineRule="auto"/>
        <w:ind w:firstLine="480" w:firstLineChars="200"/>
        <w:rPr>
          <w:rFonts w:asciiTheme="minorEastAsia" w:hAnsiTheme="minorEastAsia"/>
          <w:sz w:val="24"/>
          <w:szCs w:val="24"/>
          <w:lang w:bidi="ar"/>
        </w:rPr>
      </w:pPr>
      <w:r>
        <w:rPr>
          <w:rFonts w:hint="eastAsia" w:asciiTheme="minorEastAsia" w:hAnsiTheme="minorEastAsia"/>
          <w:sz w:val="24"/>
          <w:szCs w:val="24"/>
          <w:lang w:bidi="ar"/>
        </w:rPr>
        <w:t>（4）密码服务合规性测评：重点评估信息系统中所使用的密码服务是否获得国家密码管理部门的许可。密码服务涉及密码技术的提供、密码产品的运维等多个环节，其合规性直接关系到信息系统密码应用的整体安全。测评需核实密码服务提供商是否具备国家密码管理部门颁发的许可证书，服务的内容、范围、方式等是否在许可范围内，是否严格按照许可要求提供服务，以保证密码服务的合法性和规范性，为信息系统的安全稳定运行提供可靠支持。</w:t>
      </w:r>
    </w:p>
    <w:p w14:paraId="1DA3ACB1">
      <w:pPr>
        <w:pStyle w:val="265"/>
        <w:spacing w:line="360" w:lineRule="auto"/>
        <w:ind w:firstLine="480" w:firstLineChars="200"/>
        <w:rPr>
          <w:rFonts w:hint="eastAsia" w:asciiTheme="minorEastAsia" w:hAnsiTheme="minorEastAsia"/>
          <w:b/>
          <w:sz w:val="24"/>
          <w:szCs w:val="24"/>
        </w:rPr>
      </w:pPr>
      <w:r>
        <w:rPr>
          <w:rFonts w:hint="eastAsia" w:asciiTheme="minorEastAsia" w:hAnsiTheme="minorEastAsia"/>
          <w:b/>
          <w:sz w:val="24"/>
          <w:szCs w:val="24"/>
        </w:rPr>
        <w:t>4.1.2详细要求</w:t>
      </w:r>
    </w:p>
    <w:p w14:paraId="3D47FE7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1）密码技术应用测评涵盖物理和环境、网络和通信、设备和计算、应用和数据四个层面，旨在对信息系统中密码技术的应用情况展开分析与评估。其中，物理和环境层面的测评，主要是分析评估信息系统能否合理、合规地运用商用密码的完整性与真实性功能，以此来保护那些会对信息系统安全防护效能产生影响的物理和环境层面因素。这些因素主要包括重要场所的物理访问控制、监控设备的物理访问控制，以及物理访问记录、监控信息等敏感信息数据的完整性等。</w:t>
      </w:r>
    </w:p>
    <w:p w14:paraId="7101FB65">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网络和通信层面的测评，是分析评估信息系统是否合理、合规地利用商用密码的机密性、完整性和真实性功能，进而保护影响信息系统安全防护效能的网络和通信层面因素。典型的因素有安全认证连接到内部网络的设备、通信双方的身份认证过程、通信数据的完整性、敏感信息数据字段的机密性、网络边界访问控制信息的完整性、系统资源访问控制信息的完整性，以及安全设备和安全组件的集中管理方式与信息传输通道等。</w:t>
      </w:r>
    </w:p>
    <w:p w14:paraId="6A038DB8">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设备和计算层面的测评，聚焦于分析评估信息系统是否合理、合规地运用商用密码的机密性、完整性和真实性功能，从而保护影响信息系统安全防护效能的设备和计算层面因素。其典型因素包括登录信息系统设备和计算环境的用户身份鉴别过程、系统设备和计算环境资源访问控制信息的完整性、重要信息资源敏感标记的完整性、重要程序或文件的完整性，以及信息系统设备和计算环境的日志记录完整性等。</w:t>
      </w:r>
    </w:p>
    <w:p w14:paraId="77EA60D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应用和数据层面的测评，是分析评估信息系统是否合理、合规地利用商用密码的机密性、完整性、真实性及不可否认性功能，来保护影响信息系统安全防护效能的应用和数据层面因素。典型因素主要有登录信息系统应用和数据操作环境的用户身份鉴别过程、系统应用和数据操作环境资源访问控制信息的完整性、重要信息资源敏感标记的完整性、重要数据传输过程的机密性与完整性、重要信息存储过程的机密性与完整性、重要程序的加载和卸载过程、信息系统应用相关实体行为的不可否认性，以及信息系统应用和数据操作环境的日志记录完整性等。</w:t>
      </w:r>
    </w:p>
    <w:p w14:paraId="60E3914B">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2）密钥管理测评主要是对影响商用密码防护效能的密钥生命周期相关环节，以及这些环节的管理和策略制定全过程进行分析与评估。密钥生命周期的相关环节主要包含密钥生成、密钥存储、密钥分发、密钥导入、密钥导出、密钥使用、密钥备份、密钥恢复、密钥归档、密钥销毁等。</w:t>
      </w:r>
    </w:p>
    <w:p w14:paraId="4BE93452">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（3）安全管理测评是对影响商用密码防护效能的管理制度与措施进行分析与评估。管理制度与措施的典型维度主要有安全管理制度、人员管控、信息系统实施、应急预案等。</w:t>
      </w:r>
    </w:p>
    <w:p w14:paraId="0F0FAC64">
      <w:pPr>
        <w:pStyle w:val="265"/>
        <w:spacing w:line="360" w:lineRule="auto"/>
        <w:ind w:firstLine="480" w:firstLineChars="200"/>
        <w:rPr>
          <w:rFonts w:asciiTheme="minorEastAsia" w:hAnsiTheme="minorEastAsia"/>
          <w:sz w:val="24"/>
          <w:szCs w:val="24"/>
          <w:lang w:bidi="ar"/>
        </w:rPr>
      </w:pPr>
      <w:r>
        <w:rPr>
          <w:rFonts w:hint="eastAsia" w:asciiTheme="minorEastAsia" w:hAnsiTheme="minorEastAsia"/>
          <w:sz w:val="24"/>
          <w:szCs w:val="24"/>
          <w:lang w:bidi="ar"/>
        </w:rPr>
        <w:t>就进度计划而言，在合同签订且现场具备测评条件后，需自合同签订之日起</w:t>
      </w:r>
      <w:r>
        <w:rPr>
          <w:rFonts w:hint="eastAsia" w:asciiTheme="minorEastAsia" w:hAnsiTheme="minorEastAsia"/>
          <w:sz w:val="24"/>
          <w:szCs w:val="24"/>
          <w:lang w:val="en-US" w:eastAsia="zh-CN" w:bidi="ar"/>
        </w:rPr>
        <w:t>60天</w:t>
      </w:r>
      <w:r>
        <w:rPr>
          <w:rFonts w:hint="eastAsia" w:asciiTheme="minorEastAsia" w:hAnsiTheme="minorEastAsia"/>
          <w:sz w:val="24"/>
          <w:szCs w:val="24"/>
          <w:lang w:bidi="ar"/>
        </w:rPr>
        <w:t>内完成系统的商用密码应用安全性评估，并指导相应的系统承建方完成整改，之后出具《商用密码应用安全性评估报告》等项目成果。</w:t>
      </w:r>
    </w:p>
    <w:p w14:paraId="665FC7C2">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b/>
          <w:sz w:val="24"/>
          <w:szCs w:val="24"/>
          <w:lang w:eastAsia="zh-CN"/>
        </w:rPr>
        <w:t>5.</w:t>
      </w:r>
      <w:r>
        <w:rPr>
          <w:rFonts w:hint="eastAsia" w:asciiTheme="minorEastAsia" w:hAnsiTheme="minorEastAsia"/>
          <w:sz w:val="24"/>
          <w:szCs w:val="24"/>
          <w:lang w:eastAsia="zh-CN" w:bidi="ar"/>
        </w:rPr>
        <w:t>供应商</w:t>
      </w:r>
      <w:r>
        <w:rPr>
          <w:rFonts w:hint="eastAsia" w:asciiTheme="minorEastAsia" w:hAnsiTheme="minorEastAsia"/>
          <w:sz w:val="24"/>
          <w:szCs w:val="24"/>
          <w:lang w:bidi="ar"/>
        </w:rPr>
        <w:t>为国家密码管理局认可的商用密码应用安全性测评机构（</w:t>
      </w:r>
      <w:r>
        <w:rPr>
          <w:rFonts w:hint="eastAsia" w:asciiTheme="minorEastAsia" w:hAnsiTheme="minorEastAsia"/>
          <w:sz w:val="24"/>
          <w:szCs w:val="24"/>
          <w:lang w:eastAsia="zh-CN" w:bidi="ar"/>
        </w:rPr>
        <w:t>商用密码检测机构资质证书）</w:t>
      </w:r>
      <w:r>
        <w:rPr>
          <w:rFonts w:asciiTheme="minorEastAsia" w:hAnsiTheme="minorEastAsia"/>
          <w:sz w:val="24"/>
          <w:szCs w:val="24"/>
          <w:lang w:bidi="ar"/>
        </w:rPr>
        <w:t>(提供相关截图证明材料加盖公</w:t>
      </w:r>
      <w:r>
        <w:rPr>
          <w:rFonts w:hint="eastAsia" w:asciiTheme="minorEastAsia" w:hAnsiTheme="minorEastAsia"/>
          <w:sz w:val="24"/>
          <w:szCs w:val="24"/>
          <w:lang w:bidi="ar"/>
        </w:rPr>
        <w:t>章</w:t>
      </w:r>
      <w:r>
        <w:rPr>
          <w:rFonts w:hint="eastAsia" w:asciiTheme="minorEastAsia" w:hAnsiTheme="minorEastAsia"/>
          <w:sz w:val="24"/>
          <w:szCs w:val="24"/>
          <w:lang w:eastAsia="zh-CN" w:bidi="ar"/>
        </w:rPr>
        <w:t>）</w:t>
      </w:r>
      <w:r>
        <w:rPr>
          <w:rFonts w:hint="eastAsia" w:asciiTheme="minorEastAsia" w:hAnsiTheme="minorEastAsia"/>
          <w:sz w:val="24"/>
          <w:szCs w:val="24"/>
          <w:lang w:bidi="ar"/>
        </w:rPr>
        <w:t>。</w:t>
      </w:r>
    </w:p>
    <w:p w14:paraId="68882AC7">
      <w:pPr>
        <w:spacing w:after="0" w:line="360" w:lineRule="auto"/>
        <w:ind w:left="0" w:right="0" w:firstLine="0"/>
        <w:jc w:val="both"/>
        <w:rPr>
          <w:rFonts w:hint="eastAsia"/>
          <w:b/>
          <w:color w:val="auto"/>
          <w:sz w:val="24"/>
          <w:szCs w:val="24"/>
        </w:rPr>
      </w:pPr>
      <w:r>
        <w:rPr>
          <w:rFonts w:hint="eastAsia"/>
          <w:b/>
          <w:color w:val="auto"/>
          <w:sz w:val="24"/>
          <w:szCs w:val="24"/>
          <w:lang w:eastAsia="zh-CN"/>
        </w:rPr>
        <w:t>（</w:t>
      </w:r>
      <w:r>
        <w:rPr>
          <w:rFonts w:hint="eastAsia"/>
          <w:b/>
          <w:color w:val="auto"/>
          <w:sz w:val="24"/>
          <w:szCs w:val="24"/>
          <w:lang w:val="en-US" w:eastAsia="zh-CN"/>
        </w:rPr>
        <w:t>四</w:t>
      </w:r>
      <w:r>
        <w:rPr>
          <w:rFonts w:hint="eastAsia"/>
          <w:b/>
          <w:color w:val="auto"/>
          <w:sz w:val="24"/>
          <w:szCs w:val="24"/>
          <w:lang w:eastAsia="zh-CN"/>
        </w:rPr>
        <w:t>）</w:t>
      </w:r>
      <w:r>
        <w:rPr>
          <w:rFonts w:hint="eastAsia"/>
          <w:b/>
          <w:color w:val="auto"/>
          <w:sz w:val="24"/>
          <w:szCs w:val="24"/>
        </w:rPr>
        <w:t>商务要求</w:t>
      </w:r>
    </w:p>
    <w:p w14:paraId="3FBF20EB">
      <w:pPr>
        <w:widowControl w:val="0"/>
        <w:spacing w:after="0" w:line="360" w:lineRule="auto"/>
        <w:ind w:left="0" w:right="0" w:firstLine="480" w:firstLineChars="200"/>
        <w:rPr>
          <w:rFonts w:hint="eastAsia" w:eastAsia="宋体"/>
          <w:color w:val="auto"/>
          <w:sz w:val="24"/>
          <w:szCs w:val="24"/>
          <w:lang w:eastAsia="zh-CN"/>
        </w:rPr>
      </w:pPr>
      <w:r>
        <w:rPr>
          <w:rFonts w:hint="eastAsia"/>
          <w:b/>
          <w:color w:val="auto"/>
          <w:sz w:val="24"/>
          <w:szCs w:val="24"/>
          <w:lang w:eastAsia="zh-CN"/>
        </w:rPr>
        <w:t>1.</w:t>
      </w:r>
      <w:r>
        <w:rPr>
          <w:rFonts w:hint="eastAsia"/>
          <w:b/>
          <w:color w:val="auto"/>
          <w:sz w:val="24"/>
          <w:szCs w:val="24"/>
        </w:rPr>
        <w:t>合同履行期限</w:t>
      </w:r>
      <w:r>
        <w:rPr>
          <w:rFonts w:hint="eastAsia"/>
          <w:color w:val="auto"/>
          <w:sz w:val="24"/>
          <w:szCs w:val="24"/>
        </w:rPr>
        <w:t>：自合同签订之日起</w:t>
      </w:r>
      <w:r>
        <w:rPr>
          <w:rFonts w:hint="eastAsia"/>
          <w:color w:val="auto"/>
          <w:sz w:val="24"/>
          <w:szCs w:val="24"/>
          <w:lang w:val="en-US" w:eastAsia="zh-CN"/>
        </w:rPr>
        <w:t>60天</w:t>
      </w:r>
      <w:r>
        <w:rPr>
          <w:rFonts w:hint="eastAsia"/>
          <w:color w:val="auto"/>
          <w:sz w:val="24"/>
          <w:szCs w:val="24"/>
        </w:rPr>
        <w:t>内完成</w:t>
      </w:r>
      <w:r>
        <w:rPr>
          <w:rFonts w:hint="eastAsia"/>
          <w:color w:val="auto"/>
          <w:sz w:val="24"/>
          <w:szCs w:val="24"/>
          <w:lang w:eastAsia="zh-CN"/>
        </w:rPr>
        <w:t>。</w:t>
      </w:r>
    </w:p>
    <w:p w14:paraId="21F6F7C5">
      <w:pPr>
        <w:widowControl w:val="0"/>
        <w:spacing w:after="0" w:line="360" w:lineRule="auto"/>
        <w:ind w:left="0" w:right="0" w:firstLine="480" w:firstLineChars="200"/>
        <w:rPr>
          <w:rFonts w:hint="eastAsia"/>
          <w:color w:val="auto"/>
          <w:sz w:val="24"/>
          <w:szCs w:val="24"/>
        </w:rPr>
      </w:pPr>
      <w:r>
        <w:rPr>
          <w:rFonts w:hint="eastAsia"/>
          <w:b/>
          <w:color w:val="auto"/>
          <w:sz w:val="24"/>
          <w:szCs w:val="24"/>
          <w:lang w:eastAsia="zh-CN"/>
        </w:rPr>
        <w:t>2.</w:t>
      </w:r>
      <w:r>
        <w:rPr>
          <w:rFonts w:hint="eastAsia"/>
          <w:b/>
          <w:color w:val="auto"/>
          <w:sz w:val="24"/>
          <w:szCs w:val="24"/>
        </w:rPr>
        <w:t>项目地点</w:t>
      </w:r>
      <w:r>
        <w:rPr>
          <w:rFonts w:hint="eastAsia"/>
          <w:color w:val="auto"/>
          <w:sz w:val="24"/>
          <w:szCs w:val="24"/>
        </w:rPr>
        <w:t xml:space="preserve">：采购人指定地点。 </w:t>
      </w:r>
    </w:p>
    <w:p w14:paraId="0F48E359">
      <w:pPr>
        <w:widowControl w:val="0"/>
        <w:spacing w:after="0" w:line="360" w:lineRule="auto"/>
        <w:ind w:left="0" w:right="0" w:firstLine="480" w:firstLineChars="200"/>
        <w:rPr>
          <w:rFonts w:hint="eastAsia"/>
          <w:color w:val="auto"/>
          <w:sz w:val="24"/>
          <w:szCs w:val="24"/>
        </w:rPr>
      </w:pPr>
      <w:r>
        <w:rPr>
          <w:rFonts w:hint="eastAsia"/>
          <w:b/>
          <w:color w:val="auto"/>
          <w:sz w:val="24"/>
          <w:szCs w:val="24"/>
          <w:lang w:eastAsia="zh-CN"/>
        </w:rPr>
        <w:t>3.</w:t>
      </w:r>
      <w:r>
        <w:rPr>
          <w:rFonts w:hint="eastAsia"/>
          <w:b/>
          <w:color w:val="auto"/>
          <w:sz w:val="24"/>
          <w:szCs w:val="24"/>
        </w:rPr>
        <w:t>付款方式（以实际签署合同为准）</w:t>
      </w:r>
    </w:p>
    <w:p w14:paraId="7044BF62">
      <w:pPr>
        <w:widowControl w:val="0"/>
        <w:spacing w:after="0" w:line="360" w:lineRule="auto"/>
        <w:ind w:left="0" w:right="0" w:firstLine="480" w:firstLineChars="200"/>
        <w:rPr>
          <w:rFonts w:hint="eastAsia" w:asciiTheme="minorEastAsia" w:hAnsiTheme="minorEastAsia" w:eastAsiaTheme="minorEastAsia" w:cstheme="minorBidi"/>
          <w:color w:val="auto"/>
          <w:sz w:val="24"/>
          <w:szCs w:val="24"/>
          <w:lang w:bidi="ar"/>
        </w:rPr>
      </w:pPr>
      <w:r>
        <w:rPr>
          <w:rFonts w:hint="eastAsia" w:asciiTheme="minorEastAsia" w:hAnsiTheme="minorEastAsia" w:eastAsiaTheme="minorEastAsia" w:cstheme="minorBidi"/>
          <w:color w:val="auto"/>
          <w:sz w:val="24"/>
          <w:szCs w:val="24"/>
          <w:lang w:bidi="ar"/>
        </w:rPr>
        <w:t>3.1本项目合同签订后，甲方凭乙方开具的正式有效发票，在10个工作日内向乙方支付合同总金额的70%的首付款。</w:t>
      </w:r>
    </w:p>
    <w:p w14:paraId="459BEB17">
      <w:pPr>
        <w:widowControl w:val="0"/>
        <w:spacing w:after="0" w:line="360" w:lineRule="auto"/>
        <w:ind w:left="0" w:right="0" w:firstLine="480" w:firstLineChars="200"/>
        <w:rPr>
          <w:rFonts w:hint="eastAsia" w:asciiTheme="minorEastAsia" w:hAnsiTheme="minorEastAsia" w:eastAsiaTheme="minorEastAsia" w:cstheme="minorBidi"/>
          <w:color w:val="auto"/>
          <w:sz w:val="24"/>
          <w:szCs w:val="24"/>
          <w:lang w:bidi="ar"/>
        </w:rPr>
      </w:pPr>
      <w:r>
        <w:rPr>
          <w:rFonts w:hint="eastAsia" w:asciiTheme="minorEastAsia" w:hAnsiTheme="minorEastAsia" w:eastAsiaTheme="minorEastAsia" w:cstheme="minorBidi"/>
          <w:color w:val="auto"/>
          <w:sz w:val="24"/>
          <w:szCs w:val="24"/>
          <w:lang w:bidi="ar"/>
        </w:rPr>
        <w:t>3.2乙方完成系统的商用密码应用安全性评估，并</w:t>
      </w:r>
      <w:r>
        <w:rPr>
          <w:rFonts w:hint="eastAsia" w:asciiTheme="minorEastAsia" w:hAnsiTheme="minorEastAsia"/>
          <w:color w:val="auto"/>
          <w:sz w:val="24"/>
          <w:szCs w:val="24"/>
          <w:lang w:bidi="ar"/>
        </w:rPr>
        <w:t>指导相应系统承建方完成整改，甲方验收合格后，</w:t>
      </w:r>
      <w:r>
        <w:rPr>
          <w:rFonts w:hint="eastAsia" w:asciiTheme="minorEastAsia" w:hAnsiTheme="minorEastAsia" w:eastAsiaTheme="minorEastAsia" w:cstheme="minorBidi"/>
          <w:color w:val="auto"/>
          <w:sz w:val="24"/>
          <w:szCs w:val="24"/>
          <w:lang w:bidi="ar"/>
        </w:rPr>
        <w:t>凭乙方开具的正式有效发票和评估报告等相关材料，在10个工作日内向乙方支付30%的尾款。</w:t>
      </w:r>
    </w:p>
    <w:p w14:paraId="6CFEDC2C">
      <w:pPr>
        <w:pStyle w:val="265"/>
        <w:spacing w:line="360" w:lineRule="auto"/>
        <w:ind w:firstLine="480" w:firstLineChars="200"/>
        <w:rPr>
          <w:rFonts w:hint="eastAsia" w:asciiTheme="minorEastAsia" w:hAnsiTheme="minorEastAsia"/>
          <w:b/>
          <w:sz w:val="24"/>
          <w:szCs w:val="24"/>
          <w:lang w:bidi="ar"/>
        </w:rPr>
      </w:pPr>
      <w:r>
        <w:rPr>
          <w:rFonts w:hint="eastAsia" w:asciiTheme="minorEastAsia" w:hAnsiTheme="minorEastAsia"/>
          <w:b/>
          <w:sz w:val="24"/>
          <w:szCs w:val="24"/>
          <w:lang w:eastAsia="zh-CN" w:bidi="ar"/>
        </w:rPr>
        <w:t>4.</w:t>
      </w:r>
      <w:r>
        <w:rPr>
          <w:rFonts w:hint="eastAsia" w:asciiTheme="minorEastAsia" w:hAnsiTheme="minorEastAsia"/>
          <w:b/>
          <w:sz w:val="24"/>
          <w:szCs w:val="24"/>
          <w:lang w:bidi="ar"/>
        </w:rPr>
        <w:t>服务要求</w:t>
      </w:r>
    </w:p>
    <w:p w14:paraId="3A05F69F">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4.1评估项目实施过程中，</w:t>
      </w:r>
      <w:r>
        <w:rPr>
          <w:rFonts w:hint="eastAsia" w:asciiTheme="minorEastAsia" w:hAnsiTheme="minorEastAsia"/>
          <w:sz w:val="24"/>
          <w:szCs w:val="24"/>
          <w:lang w:eastAsia="zh-CN" w:bidi="ar"/>
        </w:rPr>
        <w:t>供应商</w:t>
      </w:r>
      <w:r>
        <w:rPr>
          <w:rFonts w:hint="eastAsia" w:asciiTheme="minorEastAsia" w:hAnsiTheme="minorEastAsia"/>
          <w:sz w:val="24"/>
          <w:szCs w:val="24"/>
          <w:lang w:bidi="ar"/>
        </w:rPr>
        <w:t>应遵循国家标准、行业标准。</w:t>
      </w:r>
    </w:p>
    <w:p w14:paraId="5B49FCE9">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4.2项目实施要求</w:t>
      </w:r>
    </w:p>
    <w:p w14:paraId="464732D2">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（1）提供项目实施组织架构；</w:t>
      </w:r>
    </w:p>
    <w:p w14:paraId="19A5485B">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（2）提供详细的项目实施方案和计划进度说明书；</w:t>
      </w:r>
    </w:p>
    <w:p w14:paraId="47B67C09">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（3）严格按照双方确定的计划进度保质保量完成工作；</w:t>
      </w:r>
    </w:p>
    <w:p w14:paraId="19527B4D">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（4）项目实施中要引入风险管理、质量管理；</w:t>
      </w:r>
    </w:p>
    <w:p w14:paraId="15E4326F">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（5）签署《保密协议》。</w:t>
      </w:r>
    </w:p>
    <w:p w14:paraId="33D75AE0">
      <w:pPr>
        <w:pStyle w:val="265"/>
        <w:spacing w:line="360" w:lineRule="auto"/>
        <w:ind w:firstLine="470" w:firstLineChars="196"/>
        <w:rPr>
          <w:rFonts w:hint="eastAsia" w:asciiTheme="minorEastAsia" w:hAnsiTheme="minorEastAsia"/>
          <w:sz w:val="24"/>
          <w:szCs w:val="24"/>
          <w:lang w:bidi="ar"/>
        </w:rPr>
      </w:pPr>
      <w:r>
        <w:rPr>
          <w:rFonts w:hint="eastAsia" w:asciiTheme="minorEastAsia" w:hAnsiTheme="minorEastAsia"/>
          <w:sz w:val="24"/>
          <w:szCs w:val="24"/>
          <w:lang w:bidi="ar"/>
        </w:rPr>
        <w:t>4.2项目人员管理</w:t>
      </w:r>
    </w:p>
    <w:p w14:paraId="68B233DD">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项目组所有成员应通过商用密码应用安全性评估能力考试并取得证书，供应商现场实施人员应持证测评，并且必须为</w:t>
      </w:r>
      <w:r>
        <w:rPr>
          <w:rFonts w:hint="eastAsia" w:asciiTheme="minorEastAsia" w:hAnsiTheme="minorEastAsia"/>
          <w:sz w:val="24"/>
          <w:szCs w:val="24"/>
          <w:lang w:eastAsia="zh-CN" w:bidi="ar"/>
        </w:rPr>
        <w:t>采购文件</w:t>
      </w:r>
      <w:r>
        <w:rPr>
          <w:rFonts w:hint="eastAsia" w:asciiTheme="minorEastAsia" w:hAnsiTheme="minorEastAsia"/>
          <w:sz w:val="24"/>
          <w:szCs w:val="24"/>
          <w:lang w:bidi="ar"/>
        </w:rPr>
        <w:t>中的人员，若供应商后续签订合同后不按</w:t>
      </w:r>
      <w:r>
        <w:rPr>
          <w:rFonts w:hint="eastAsia" w:asciiTheme="minorEastAsia" w:hAnsiTheme="minorEastAsia"/>
          <w:sz w:val="24"/>
          <w:szCs w:val="24"/>
          <w:lang w:eastAsia="zh-CN" w:bidi="ar"/>
        </w:rPr>
        <w:t>采购文件</w:t>
      </w:r>
      <w:r>
        <w:rPr>
          <w:rFonts w:hint="eastAsia" w:asciiTheme="minorEastAsia" w:hAnsiTheme="minorEastAsia"/>
          <w:sz w:val="24"/>
          <w:szCs w:val="24"/>
          <w:lang w:bidi="ar"/>
        </w:rPr>
        <w:t>安排实施人员的，将视为虚假应标。（供应商需提供承诺函，若后续签订合同后供应商不按承诺函所述安排实施人员的，将视为虚假应标）。</w:t>
      </w:r>
    </w:p>
    <w:p w14:paraId="721D5FF6">
      <w:pPr>
        <w:pStyle w:val="265"/>
        <w:spacing w:line="360" w:lineRule="auto"/>
        <w:ind w:firstLine="470" w:firstLineChars="196"/>
        <w:rPr>
          <w:rFonts w:hint="eastAsia" w:asciiTheme="minorEastAsia" w:hAnsiTheme="minorEastAsia"/>
          <w:bCs/>
          <w:sz w:val="24"/>
          <w:szCs w:val="24"/>
          <w:lang w:bidi="ar"/>
        </w:rPr>
      </w:pPr>
      <w:r>
        <w:rPr>
          <w:rFonts w:hint="eastAsia" w:asciiTheme="minorEastAsia" w:hAnsiTheme="minorEastAsia"/>
          <w:bCs/>
          <w:sz w:val="24"/>
          <w:szCs w:val="24"/>
          <w:lang w:bidi="ar"/>
        </w:rPr>
        <w:t>4.3项目验收</w:t>
      </w:r>
    </w:p>
    <w:p w14:paraId="1DD06D67">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eastAsia="zh-CN" w:bidi="ar"/>
        </w:rPr>
        <w:t>供应商</w:t>
      </w:r>
      <w:r>
        <w:rPr>
          <w:rFonts w:hint="eastAsia" w:asciiTheme="minorEastAsia" w:hAnsiTheme="minorEastAsia"/>
          <w:sz w:val="24"/>
          <w:szCs w:val="24"/>
          <w:lang w:bidi="ar"/>
        </w:rPr>
        <w:t>必须书面通知采购人所完成的工作和准备进行验收的项目种类及验收开始时间，此通知书需经参加联合采购的采购人认定后方可执行。</w:t>
      </w:r>
    </w:p>
    <w:p w14:paraId="74B7D953">
      <w:pPr>
        <w:pStyle w:val="265"/>
        <w:spacing w:line="360" w:lineRule="auto"/>
        <w:ind w:firstLine="470" w:firstLineChars="196"/>
        <w:rPr>
          <w:rFonts w:hint="eastAsia" w:asciiTheme="minorEastAsia" w:hAnsiTheme="minorEastAsia"/>
          <w:bCs/>
          <w:sz w:val="24"/>
          <w:szCs w:val="24"/>
          <w:lang w:bidi="ar"/>
        </w:rPr>
      </w:pPr>
      <w:r>
        <w:rPr>
          <w:rFonts w:hint="eastAsia" w:asciiTheme="minorEastAsia" w:hAnsiTheme="minorEastAsia"/>
          <w:bCs/>
          <w:sz w:val="24"/>
          <w:szCs w:val="24"/>
          <w:lang w:bidi="ar"/>
        </w:rPr>
        <w:t>4.4验收组织</w:t>
      </w:r>
    </w:p>
    <w:p w14:paraId="16161A76">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成立由采购人以及其他有关人员组成的验收小组，负责对项目进行全面的验收。</w:t>
      </w:r>
    </w:p>
    <w:p w14:paraId="019B598B">
      <w:pPr>
        <w:pStyle w:val="265"/>
        <w:spacing w:line="360" w:lineRule="auto"/>
        <w:ind w:firstLine="470" w:firstLineChars="196"/>
        <w:rPr>
          <w:rFonts w:hint="eastAsia" w:asciiTheme="minorEastAsia" w:hAnsiTheme="minorEastAsia"/>
          <w:bCs/>
          <w:sz w:val="24"/>
          <w:szCs w:val="24"/>
          <w:lang w:bidi="ar"/>
        </w:rPr>
      </w:pPr>
      <w:r>
        <w:rPr>
          <w:rFonts w:hint="eastAsia" w:asciiTheme="minorEastAsia" w:hAnsiTheme="minorEastAsia"/>
          <w:bCs/>
          <w:sz w:val="24"/>
          <w:szCs w:val="24"/>
          <w:lang w:bidi="ar"/>
        </w:rPr>
        <w:t xml:space="preserve">4.5验收标准 </w:t>
      </w:r>
    </w:p>
    <w:p w14:paraId="349A1064">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（1）信息系统商用密码应用安全性评估测评方案；</w:t>
      </w:r>
    </w:p>
    <w:p w14:paraId="7162E2E2">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（2）信息系统商用密码应用安全性评估报告；</w:t>
      </w:r>
    </w:p>
    <w:p w14:paraId="07F44ECD">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（3）信息系统商用密码应用安全性评估整改建议</w:t>
      </w:r>
    </w:p>
    <w:p w14:paraId="68D87AAE">
      <w:pPr>
        <w:pStyle w:val="265"/>
        <w:spacing w:line="360" w:lineRule="auto"/>
        <w:ind w:firstLine="360" w:firstLineChars="150"/>
        <w:rPr>
          <w:rFonts w:hint="eastAsia" w:asciiTheme="minorEastAsia" w:hAnsiTheme="minorEastAsia"/>
          <w:sz w:val="24"/>
          <w:szCs w:val="24"/>
          <w:lang w:bidi="ar"/>
        </w:rPr>
      </w:pPr>
      <w:r>
        <w:rPr>
          <w:rFonts w:hint="eastAsia" w:asciiTheme="minorEastAsia" w:hAnsiTheme="minorEastAsia"/>
          <w:sz w:val="24"/>
          <w:szCs w:val="24"/>
          <w:lang w:bidi="ar"/>
        </w:rPr>
        <w:t>（4）信息系统商用密码应用安全性评估整改实施方案；</w:t>
      </w:r>
    </w:p>
    <w:p w14:paraId="0FCFAF5E">
      <w:pPr>
        <w:pStyle w:val="265"/>
        <w:spacing w:line="360" w:lineRule="auto"/>
        <w:ind w:left="435" w:leftChars="150" w:hanging="120" w:hangingChars="50"/>
        <w:rPr>
          <w:rFonts w:hint="eastAsia" w:asciiTheme="minorEastAsia" w:hAnsiTheme="minorEastAsia"/>
          <w:b/>
          <w:sz w:val="24"/>
          <w:szCs w:val="24"/>
          <w:lang w:bidi="ar"/>
        </w:rPr>
      </w:pPr>
      <w:r>
        <w:rPr>
          <w:rFonts w:hint="eastAsia" w:asciiTheme="minorEastAsia" w:hAnsiTheme="minorEastAsia"/>
          <w:sz w:val="24"/>
          <w:szCs w:val="24"/>
          <w:lang w:bidi="ar"/>
        </w:rPr>
        <w:t>（5）整体性的汇总报告；</w:t>
      </w:r>
      <w:r>
        <w:rPr>
          <w:rFonts w:hint="eastAsia" w:asciiTheme="minorEastAsia" w:hAnsiTheme="minorEastAsia"/>
          <w:sz w:val="24"/>
          <w:szCs w:val="24"/>
          <w:lang w:bidi="ar"/>
        </w:rPr>
        <w:br w:type="textWrapping"/>
      </w:r>
      <w:r>
        <w:rPr>
          <w:rFonts w:hint="eastAsia" w:asciiTheme="minorEastAsia" w:hAnsiTheme="minorEastAsia"/>
          <w:b/>
          <w:sz w:val="24"/>
          <w:szCs w:val="24"/>
          <w:lang w:bidi="ar"/>
        </w:rPr>
        <w:t>5、服务保障</w:t>
      </w:r>
    </w:p>
    <w:p w14:paraId="1D4B51D2">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 xml:space="preserve">5.1供应商必须确保能建立一支具有一定服务能力的管理团队，并合理调配各岗位人员，保障服务工作相关岗位人员需要。 </w:t>
      </w:r>
    </w:p>
    <w:p w14:paraId="2F4D2C70">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5.2</w:t>
      </w:r>
      <w:r>
        <w:rPr>
          <w:rFonts w:hint="eastAsia" w:asciiTheme="minorEastAsia" w:hAnsiTheme="minorEastAsia"/>
          <w:sz w:val="24"/>
          <w:szCs w:val="24"/>
          <w:lang w:eastAsia="zh-CN" w:bidi="ar"/>
        </w:rPr>
        <w:t>成交单位</w:t>
      </w:r>
      <w:r>
        <w:rPr>
          <w:rFonts w:hint="eastAsia" w:asciiTheme="minorEastAsia" w:hAnsiTheme="minorEastAsia"/>
          <w:sz w:val="24"/>
          <w:szCs w:val="24"/>
          <w:lang w:bidi="ar"/>
        </w:rPr>
        <w:t>从</w:t>
      </w:r>
      <w:r>
        <w:rPr>
          <w:rFonts w:hint="eastAsia" w:asciiTheme="minorEastAsia" w:hAnsiTheme="minorEastAsia"/>
          <w:sz w:val="24"/>
          <w:szCs w:val="24"/>
          <w:lang w:eastAsia="zh-CN" w:bidi="ar"/>
        </w:rPr>
        <w:t>海南省教育省域网</w:t>
      </w:r>
      <w:r>
        <w:rPr>
          <w:rFonts w:hint="eastAsia" w:asciiTheme="minorEastAsia" w:hAnsiTheme="minorEastAsia"/>
          <w:sz w:val="24"/>
          <w:szCs w:val="24"/>
          <w:lang w:bidi="ar"/>
        </w:rPr>
        <w:t>商用密码应用安全性评估项目进场之日起5个</w:t>
      </w:r>
      <w:r>
        <w:rPr>
          <w:rFonts w:hint="eastAsia" w:asciiTheme="minorEastAsia" w:hAnsiTheme="minorEastAsia"/>
          <w:sz w:val="24"/>
          <w:szCs w:val="24"/>
          <w:lang w:eastAsia="zh-CN" w:bidi="ar"/>
        </w:rPr>
        <w:t>工作日内</w:t>
      </w:r>
      <w:r>
        <w:rPr>
          <w:rFonts w:hint="eastAsia" w:asciiTheme="minorEastAsia" w:hAnsiTheme="minorEastAsia"/>
          <w:sz w:val="24"/>
          <w:szCs w:val="24"/>
          <w:lang w:bidi="ar"/>
        </w:rPr>
        <w:t>完成评估系统确</w:t>
      </w:r>
      <w:r>
        <w:rPr>
          <w:rFonts w:hint="eastAsia" w:asciiTheme="minorEastAsia" w:hAnsiTheme="minorEastAsia"/>
          <w:sz w:val="24"/>
          <w:szCs w:val="24"/>
          <w:lang w:eastAsia="zh-CN" w:bidi="ar"/>
        </w:rPr>
        <w:t>定的</w:t>
      </w:r>
      <w:r>
        <w:rPr>
          <w:rFonts w:hint="eastAsia" w:asciiTheme="minorEastAsia" w:hAnsiTheme="minorEastAsia"/>
          <w:sz w:val="24"/>
          <w:szCs w:val="24"/>
          <w:lang w:bidi="ar"/>
        </w:rPr>
        <w:t xml:space="preserve">测评方案编制。 </w:t>
      </w:r>
    </w:p>
    <w:p w14:paraId="48AC7A35">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5.3</w:t>
      </w:r>
      <w:r>
        <w:rPr>
          <w:rFonts w:hint="eastAsia" w:asciiTheme="minorEastAsia" w:hAnsiTheme="minorEastAsia"/>
          <w:sz w:val="24"/>
          <w:szCs w:val="24"/>
          <w:lang w:eastAsia="zh-CN" w:bidi="ar"/>
        </w:rPr>
        <w:t>成交单位</w:t>
      </w:r>
      <w:r>
        <w:rPr>
          <w:rFonts w:hint="eastAsia" w:asciiTheme="minorEastAsia" w:hAnsiTheme="minorEastAsia"/>
          <w:sz w:val="24"/>
          <w:szCs w:val="24"/>
          <w:lang w:bidi="ar"/>
        </w:rPr>
        <w:t>需在</w:t>
      </w:r>
      <w:r>
        <w:rPr>
          <w:rFonts w:hint="eastAsia" w:asciiTheme="minorEastAsia" w:hAnsiTheme="minorEastAsia"/>
          <w:sz w:val="24"/>
          <w:szCs w:val="24"/>
          <w:lang w:eastAsia="zh-CN" w:bidi="ar"/>
        </w:rPr>
        <w:t>海南省教育省域网</w:t>
      </w:r>
      <w:r>
        <w:rPr>
          <w:rFonts w:hint="eastAsia" w:asciiTheme="minorEastAsia" w:hAnsiTheme="minorEastAsia"/>
          <w:sz w:val="24"/>
          <w:szCs w:val="24"/>
          <w:lang w:bidi="ar"/>
        </w:rPr>
        <w:t xml:space="preserve">商用密码应用安全性评估项目验收之前完成并提交商用密码应用安全性评估报告。 </w:t>
      </w:r>
    </w:p>
    <w:p w14:paraId="15AABDD4">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5.4服务期间提供应急保障工作，针对应急、攻坚克难等事宜提供保障方案，包括高层支撑和响应时间等。</w:t>
      </w:r>
    </w:p>
    <w:p w14:paraId="0C9474AA">
      <w:pPr>
        <w:pStyle w:val="265"/>
        <w:spacing w:line="360" w:lineRule="auto"/>
        <w:ind w:firstLine="480" w:firstLineChars="200"/>
        <w:rPr>
          <w:rFonts w:hint="eastAsia" w:asciiTheme="minorEastAsia" w:hAnsiTheme="minorEastAsia"/>
          <w:sz w:val="24"/>
          <w:szCs w:val="24"/>
          <w:lang w:bidi="ar"/>
        </w:rPr>
      </w:pPr>
      <w:r>
        <w:rPr>
          <w:rFonts w:hint="eastAsia" w:asciiTheme="minorEastAsia" w:hAnsiTheme="minorEastAsia"/>
          <w:sz w:val="24"/>
          <w:szCs w:val="24"/>
          <w:lang w:bidi="ar"/>
        </w:rPr>
        <w:t>5.5严守工作秘密。</w:t>
      </w:r>
      <w:r>
        <w:rPr>
          <w:rFonts w:hint="eastAsia" w:asciiTheme="minorEastAsia" w:hAnsiTheme="minorEastAsia"/>
          <w:sz w:val="24"/>
          <w:szCs w:val="24"/>
          <w:lang w:eastAsia="zh-CN" w:bidi="ar"/>
        </w:rPr>
        <w:t>成交单位</w:t>
      </w:r>
      <w:r>
        <w:rPr>
          <w:rFonts w:hint="eastAsia" w:asciiTheme="minorEastAsia" w:hAnsiTheme="minorEastAsia"/>
          <w:sz w:val="24"/>
          <w:szCs w:val="24"/>
          <w:lang w:bidi="ar"/>
        </w:rPr>
        <w:t xml:space="preserve">必须与采购人签署保密协议，工作人员须与单位签署《保密承诺书》，对知悉的事项及信息予以保密，所有资料、技术文档妥善保管，不得遗失、转借、复印，不得以任何形式向第三方透露；所有密码应用解决方案和采集汇总后的数据严禁通过互联网等公共信息网络、普通邮政进行传递，严禁在连接互联网计算机上存储、处理。 </w:t>
      </w:r>
    </w:p>
    <w:p w14:paraId="2B9AE2BD">
      <w:pPr>
        <w:bidi w:val="0"/>
        <w:ind w:firstLine="480" w:firstLineChars="200"/>
        <w:rPr>
          <w:rFonts w:hint="eastAsia"/>
        </w:rPr>
      </w:pPr>
      <w:r>
        <w:rPr>
          <w:rFonts w:hint="eastAsia" w:asciiTheme="minorEastAsia" w:hAnsiTheme="minorEastAsia"/>
          <w:sz w:val="24"/>
          <w:szCs w:val="24"/>
          <w:lang w:bidi="ar"/>
        </w:rPr>
        <w:t>5.6严格遵循操作规程，承担服务工作质量责任。</w:t>
      </w:r>
    </w:p>
    <w:p w14:paraId="71DA9BF2">
      <w:pPr>
        <w:pStyle w:val="89"/>
        <w:keepNext w:val="0"/>
        <w:keepLines w:val="0"/>
        <w:pageBreakBefore w:val="0"/>
        <w:widowControl w:val="0"/>
        <w:tabs>
          <w:tab w:val="left" w:pos="313"/>
          <w:tab w:val="left" w:pos="3300"/>
        </w:tabs>
        <w:kinsoku/>
        <w:wordWrap/>
        <w:overflowPunct/>
        <w:topLinePunct w:val="0"/>
        <w:autoSpaceDE w:val="0"/>
        <w:autoSpaceDN w:val="0"/>
        <w:bidi w:val="0"/>
        <w:adjustRightInd/>
        <w:snapToGrid/>
        <w:spacing w:before="0" w:line="300" w:lineRule="auto"/>
        <w:ind w:left="0" w:firstLine="0"/>
        <w:textAlignment w:val="auto"/>
        <w:rPr>
          <w:rFonts w:hint="eastAsia"/>
          <w:sz w:val="24"/>
          <w:szCs w:val="24"/>
          <w:lang w:val="en-US"/>
        </w:rPr>
      </w:pPr>
    </w:p>
    <w:p w14:paraId="3B539E37">
      <w:pPr>
        <w:adjustRightInd w:val="0"/>
        <w:snapToGrid w:val="0"/>
        <w:spacing w:line="300" w:lineRule="auto"/>
        <w:ind w:firstLine="480" w:firstLineChars="200"/>
        <w:rPr>
          <w:rFonts w:hint="eastAsia" w:ascii="宋体"/>
          <w:kern w:val="0"/>
          <w:sz w:val="24"/>
        </w:rPr>
      </w:pPr>
    </w:p>
    <w:p w14:paraId="783BD322">
      <w:pPr>
        <w:adjustRightInd w:val="0"/>
        <w:snapToGrid w:val="0"/>
        <w:spacing w:line="300" w:lineRule="auto"/>
        <w:ind w:firstLine="480" w:firstLineChars="200"/>
        <w:rPr>
          <w:rFonts w:hint="eastAsia" w:ascii="宋体"/>
          <w:kern w:val="0"/>
          <w:sz w:val="24"/>
        </w:rPr>
      </w:pPr>
    </w:p>
    <w:p w14:paraId="2B4702E8">
      <w:pPr>
        <w:adjustRightInd w:val="0"/>
        <w:snapToGrid w:val="0"/>
        <w:spacing w:line="300" w:lineRule="auto"/>
        <w:ind w:firstLine="480" w:firstLineChars="200"/>
        <w:rPr>
          <w:rFonts w:hint="eastAsia" w:ascii="宋体"/>
          <w:kern w:val="0"/>
          <w:sz w:val="24"/>
        </w:rPr>
      </w:pPr>
    </w:p>
    <w:p w14:paraId="4A73E0F5">
      <w:pPr>
        <w:adjustRightInd w:val="0"/>
        <w:snapToGrid w:val="0"/>
        <w:spacing w:line="300" w:lineRule="auto"/>
        <w:ind w:firstLine="480" w:firstLineChars="200"/>
        <w:rPr>
          <w:rFonts w:hint="eastAsia" w:ascii="宋体"/>
          <w:kern w:val="0"/>
          <w:sz w:val="24"/>
        </w:rPr>
        <w:sectPr>
          <w:pgSz w:w="11906" w:h="16838"/>
          <w:pgMar w:top="1134" w:right="1134" w:bottom="1134" w:left="1134" w:header="851" w:footer="992" w:gutter="0"/>
          <w:cols w:space="720" w:num="1"/>
          <w:docGrid w:type="linesAndChars" w:linePitch="312" w:charSpace="0"/>
        </w:sectPr>
      </w:pPr>
    </w:p>
    <w:p w14:paraId="373A5D2A">
      <w:pPr>
        <w:pStyle w:val="30"/>
        <w:jc w:val="center"/>
        <w:outlineLvl w:val="1"/>
        <w:rPr>
          <w:rFonts w:hint="eastAsia" w:ascii="宋体" w:hAnsi="Times New Roman" w:eastAsia="宋体" w:cs="Times New Roman"/>
          <w:b/>
          <w:bCs/>
          <w:kern w:val="0"/>
          <w:sz w:val="32"/>
          <w:szCs w:val="32"/>
          <w:lang w:val="en-US" w:eastAsia="zh-CN" w:bidi="ar-SA"/>
        </w:rPr>
      </w:pPr>
      <w:r>
        <w:rPr>
          <w:rFonts w:hint="eastAsia" w:ascii="宋体" w:hAnsi="Times New Roman" w:eastAsia="宋体" w:cs="Times New Roman"/>
          <w:b/>
          <w:bCs/>
          <w:kern w:val="0"/>
          <w:sz w:val="32"/>
          <w:szCs w:val="32"/>
          <w:lang w:val="en-US" w:eastAsia="zh-CN" w:bidi="ar-SA"/>
        </w:rPr>
        <w:t>4包：海南省教育省域网等级保护测评</w:t>
      </w:r>
    </w:p>
    <w:p w14:paraId="4E122E5E">
      <w:pPr>
        <w:bidi w:val="0"/>
        <w:rPr>
          <w:rFonts w:hint="eastAsia"/>
          <w:lang w:val="en-US" w:eastAsia="zh-CN"/>
        </w:rPr>
      </w:pPr>
    </w:p>
    <w:p w14:paraId="77F012EB">
      <w:pPr>
        <w:numPr>
          <w:ilvl w:val="0"/>
          <w:numId w:val="0"/>
        </w:numPr>
        <w:adjustRightInd w:val="0"/>
        <w:snapToGrid w:val="0"/>
        <w:spacing w:line="300" w:lineRule="auto"/>
        <w:ind w:firstLine="588" w:firstLineChars="245"/>
        <w:rPr>
          <w:rFonts w:hint="eastAsia" w:ascii="宋体" w:hAnsi="Times New Roman" w:eastAsia="宋体" w:cs="Times New Roman"/>
          <w:b/>
          <w:bCs/>
          <w:kern w:val="0"/>
          <w:sz w:val="24"/>
          <w:lang w:val="en-US" w:eastAsia="zh-CN"/>
        </w:rPr>
      </w:pPr>
      <w:r>
        <w:rPr>
          <w:rFonts w:hint="eastAsia" w:ascii="宋体" w:hAnsi="Times New Roman" w:eastAsia="宋体" w:cs="Times New Roman"/>
          <w:b/>
          <w:bCs/>
          <w:kern w:val="0"/>
          <w:sz w:val="24"/>
          <w:lang w:val="en-US" w:eastAsia="zh-CN"/>
        </w:rPr>
        <w:t>一、建设目标：</w:t>
      </w:r>
    </w:p>
    <w:p w14:paraId="4049E291">
      <w:pPr>
        <w:keepNext w:val="0"/>
        <w:keepLines w:val="0"/>
        <w:pageBreakBefore w:val="0"/>
        <w:widowControl w:val="0"/>
        <w:kinsoku/>
        <w:wordWrap/>
        <w:overflowPunct/>
        <w:topLinePunct w:val="0"/>
        <w:autoSpaceDE w:val="0"/>
        <w:autoSpaceDN w:val="0"/>
        <w:bidi w:val="0"/>
        <w:adjustRightInd/>
        <w:snapToGrid/>
        <w:spacing w:line="300" w:lineRule="auto"/>
        <w:ind w:firstLine="480" w:firstLineChars="200"/>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根据《信息安全等级保护管理办法》（公通字</w:t>
      </w:r>
      <w:r>
        <w:rPr>
          <w:rFonts w:hint="eastAsia" w:ascii="宋体" w:hAnsi="宋体" w:cs="宋体"/>
          <w:sz w:val="24"/>
          <w:szCs w:val="24"/>
          <w:lang w:val="en-GB" w:eastAsia="zh-CN"/>
        </w:rPr>
        <w:t>〔2007〕43号</w:t>
      </w:r>
      <w:r>
        <w:rPr>
          <w:rFonts w:hint="eastAsia" w:ascii="宋体" w:hAnsi="宋体" w:eastAsia="宋体" w:cs="宋体"/>
          <w:sz w:val="24"/>
          <w:szCs w:val="24"/>
          <w:lang w:val="en-GB"/>
        </w:rPr>
        <w:t>）的精神，《信息安全技术</w:t>
      </w:r>
      <w:r>
        <w:rPr>
          <w:rFonts w:hint="eastAsia" w:ascii="宋体" w:hAnsi="宋体" w:eastAsia="宋体" w:cs="宋体"/>
          <w:sz w:val="24"/>
          <w:szCs w:val="24"/>
          <w:lang w:val="en-US"/>
        </w:rPr>
        <w:t xml:space="preserve"> </w:t>
      </w:r>
      <w:r>
        <w:rPr>
          <w:rFonts w:hint="eastAsia" w:ascii="宋体" w:hAnsi="宋体" w:eastAsia="宋体" w:cs="宋体"/>
          <w:sz w:val="24"/>
          <w:szCs w:val="24"/>
          <w:lang w:val="en-GB"/>
        </w:rPr>
        <w:t>网络安全等级保护基本要求</w:t>
      </w:r>
      <w:r>
        <w:rPr>
          <w:rFonts w:hint="eastAsia" w:ascii="宋体" w:hAnsi="宋体" w:cs="宋体"/>
          <w:sz w:val="24"/>
          <w:szCs w:val="24"/>
          <w:lang w:val="en-GB" w:eastAsia="zh-CN"/>
        </w:rPr>
        <w:t>》《</w:t>
      </w:r>
      <w:r>
        <w:rPr>
          <w:rFonts w:hint="eastAsia" w:ascii="宋体" w:hAnsi="宋体" w:eastAsia="宋体" w:cs="宋体"/>
          <w:sz w:val="24"/>
          <w:szCs w:val="24"/>
          <w:lang w:val="en-GB"/>
        </w:rPr>
        <w:t>信息安全技术</w:t>
      </w:r>
      <w:r>
        <w:rPr>
          <w:rFonts w:hint="eastAsia" w:ascii="宋体" w:hAnsi="宋体" w:eastAsia="宋体" w:cs="宋体"/>
          <w:sz w:val="24"/>
          <w:szCs w:val="24"/>
          <w:lang w:val="en-US"/>
        </w:rPr>
        <w:t xml:space="preserve"> </w:t>
      </w:r>
      <w:r>
        <w:rPr>
          <w:rFonts w:hint="eastAsia" w:ascii="宋体" w:hAnsi="宋体" w:eastAsia="宋体" w:cs="宋体"/>
          <w:sz w:val="24"/>
          <w:szCs w:val="24"/>
          <w:lang w:val="en-GB"/>
        </w:rPr>
        <w:t>网络安全等级保护测评要求</w:t>
      </w:r>
      <w:r>
        <w:rPr>
          <w:rFonts w:hint="eastAsia" w:ascii="宋体" w:hAnsi="宋体" w:cs="宋体"/>
          <w:sz w:val="24"/>
          <w:szCs w:val="24"/>
          <w:lang w:val="en-GB" w:eastAsia="zh-CN"/>
        </w:rPr>
        <w:t>》《</w:t>
      </w:r>
      <w:r>
        <w:rPr>
          <w:rFonts w:hint="eastAsia" w:ascii="宋体" w:hAnsi="宋体" w:eastAsia="宋体" w:cs="宋体"/>
          <w:sz w:val="24"/>
          <w:szCs w:val="24"/>
          <w:lang w:val="en-GB"/>
        </w:rPr>
        <w:t>信息安全技术</w:t>
      </w:r>
      <w:r>
        <w:rPr>
          <w:rFonts w:hint="eastAsia" w:ascii="宋体" w:hAnsi="宋体" w:eastAsia="宋体" w:cs="宋体"/>
          <w:sz w:val="24"/>
          <w:szCs w:val="24"/>
          <w:lang w:val="en-US"/>
        </w:rPr>
        <w:t xml:space="preserve"> </w:t>
      </w:r>
      <w:r>
        <w:rPr>
          <w:rFonts w:hint="eastAsia" w:ascii="宋体" w:hAnsi="宋体" w:eastAsia="宋体" w:cs="宋体"/>
          <w:sz w:val="24"/>
          <w:szCs w:val="24"/>
          <w:lang w:val="en-GB"/>
        </w:rPr>
        <w:t>网络安全等级保护安全设计技术要求》等国家标准要求，对</w:t>
      </w:r>
      <w:r>
        <w:rPr>
          <w:rFonts w:hint="eastAsia" w:ascii="宋体" w:hAnsi="宋体" w:eastAsia="宋体" w:cs="宋体"/>
          <w:sz w:val="24"/>
          <w:szCs w:val="24"/>
          <w:lang w:val="en-US"/>
        </w:rPr>
        <w:t>海南</w:t>
      </w:r>
      <w:r>
        <w:rPr>
          <w:rFonts w:hint="eastAsia" w:ascii="宋体" w:hAnsi="宋体" w:eastAsia="宋体" w:cs="宋体"/>
          <w:sz w:val="24"/>
          <w:szCs w:val="24"/>
          <w:lang w:val="en-US" w:eastAsia="zh-CN"/>
        </w:rPr>
        <w:t>省教育省域网</w:t>
      </w:r>
      <w:r>
        <w:rPr>
          <w:rFonts w:hint="eastAsia" w:ascii="宋体" w:hAnsi="宋体" w:eastAsia="宋体" w:cs="宋体"/>
          <w:sz w:val="24"/>
          <w:szCs w:val="24"/>
          <w:lang w:val="en-US"/>
        </w:rPr>
        <w:t>开展等级保护</w:t>
      </w:r>
      <w:r>
        <w:rPr>
          <w:rFonts w:hint="eastAsia" w:ascii="宋体" w:hAnsi="宋体" w:eastAsia="宋体" w:cs="宋体"/>
          <w:sz w:val="24"/>
          <w:szCs w:val="24"/>
          <w:lang w:val="en-GB"/>
        </w:rPr>
        <w:t>测评；通过</w:t>
      </w:r>
      <w:r>
        <w:rPr>
          <w:rFonts w:hint="eastAsia" w:ascii="宋体" w:hAnsi="宋体" w:eastAsia="宋体" w:cs="宋体"/>
          <w:sz w:val="24"/>
          <w:szCs w:val="24"/>
          <w:lang w:val="en-US"/>
        </w:rPr>
        <w:t>检测评估</w:t>
      </w:r>
      <w:r>
        <w:rPr>
          <w:rFonts w:hint="eastAsia" w:ascii="宋体" w:hAnsi="宋体" w:eastAsia="宋体" w:cs="宋体"/>
          <w:sz w:val="24"/>
          <w:szCs w:val="24"/>
          <w:lang w:val="en-GB"/>
        </w:rPr>
        <w:t>工作促进安全整改与安全建设，提升省教育厅网络安全防护能力及人员安全意识，完善网络安全保障体系</w:t>
      </w:r>
    </w:p>
    <w:p w14:paraId="227BD054">
      <w:pPr>
        <w:numPr>
          <w:ilvl w:val="0"/>
          <w:numId w:val="0"/>
        </w:numPr>
        <w:adjustRightInd w:val="0"/>
        <w:snapToGrid w:val="0"/>
        <w:spacing w:line="300" w:lineRule="auto"/>
        <w:ind w:firstLine="588" w:firstLineChars="245"/>
        <w:rPr>
          <w:rFonts w:hint="default" w:ascii="宋体" w:hAnsi="Times New Roman" w:eastAsia="宋体" w:cs="Times New Roman"/>
          <w:b/>
          <w:bCs/>
          <w:kern w:val="0"/>
          <w:sz w:val="24"/>
          <w:lang w:val="en-US" w:eastAsia="zh-CN"/>
        </w:rPr>
      </w:pPr>
      <w:r>
        <w:rPr>
          <w:rFonts w:hint="eastAsia" w:ascii="宋体" w:hAnsi="Times New Roman" w:eastAsia="宋体" w:cs="Times New Roman"/>
          <w:b/>
          <w:bCs/>
          <w:kern w:val="0"/>
          <w:sz w:val="24"/>
          <w:szCs w:val="24"/>
          <w:lang w:val="en-US" w:eastAsia="zh-CN" w:bidi="ar-SA"/>
        </w:rPr>
        <w:t>二</w:t>
      </w:r>
      <w:r>
        <w:rPr>
          <w:rFonts w:hint="default" w:ascii="宋体" w:hAnsi="Times New Roman" w:eastAsia="宋体" w:cs="Times New Roman"/>
          <w:b/>
          <w:bCs/>
          <w:kern w:val="0"/>
          <w:sz w:val="24"/>
          <w:szCs w:val="24"/>
          <w:lang w:val="en-US" w:eastAsia="zh-CN" w:bidi="ar-SA"/>
        </w:rPr>
        <w:t>、</w:t>
      </w:r>
      <w:r>
        <w:rPr>
          <w:rFonts w:hint="eastAsia" w:ascii="宋体" w:hAnsi="Times New Roman" w:eastAsia="宋体" w:cs="Times New Roman"/>
          <w:b/>
          <w:bCs/>
          <w:kern w:val="0"/>
          <w:sz w:val="24"/>
          <w:lang w:val="en-US" w:eastAsia="zh-CN"/>
        </w:rPr>
        <w:t>技术要求：</w:t>
      </w:r>
    </w:p>
    <w:p w14:paraId="248B9A1E">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根据国家等级保护相关标准</w:t>
      </w:r>
      <w:r>
        <w:rPr>
          <w:rFonts w:hint="eastAsia" w:ascii="宋体" w:hAnsi="宋体" w:eastAsia="宋体" w:cs="宋体"/>
          <w:sz w:val="24"/>
          <w:szCs w:val="24"/>
          <w:lang w:val="en-GB"/>
        </w:rPr>
        <w:t>对</w:t>
      </w:r>
      <w:r>
        <w:rPr>
          <w:rFonts w:hint="eastAsia" w:ascii="宋体" w:hAnsi="宋体" w:eastAsia="宋体" w:cs="宋体"/>
          <w:sz w:val="24"/>
          <w:szCs w:val="24"/>
        </w:rPr>
        <w:t>海南</w:t>
      </w:r>
      <w:r>
        <w:rPr>
          <w:rFonts w:hint="eastAsia" w:ascii="宋体" w:hAnsi="宋体" w:eastAsia="宋体" w:cs="宋体"/>
          <w:sz w:val="24"/>
          <w:szCs w:val="24"/>
          <w:lang w:val="en-US" w:eastAsia="zh-CN"/>
        </w:rPr>
        <w:t>省教育省域网</w:t>
      </w:r>
      <w:r>
        <w:rPr>
          <w:rFonts w:hint="eastAsia" w:ascii="宋体" w:hAnsi="宋体" w:eastAsia="宋体" w:cs="宋体"/>
          <w:sz w:val="24"/>
          <w:szCs w:val="24"/>
          <w:lang w:val="en-US"/>
        </w:rPr>
        <w:t>开展等级保护</w:t>
      </w:r>
      <w:r>
        <w:rPr>
          <w:rFonts w:hint="eastAsia" w:ascii="宋体" w:hAnsi="宋体" w:eastAsia="宋体" w:cs="宋体"/>
          <w:sz w:val="24"/>
          <w:szCs w:val="24"/>
          <w:lang w:val="en-GB"/>
        </w:rPr>
        <w:t>测评，</w:t>
      </w:r>
      <w:r>
        <w:rPr>
          <w:rFonts w:hint="eastAsia" w:ascii="宋体" w:hAnsi="宋体" w:eastAsia="宋体" w:cs="宋体"/>
          <w:sz w:val="24"/>
          <w:szCs w:val="24"/>
          <w:lang w:val="en-US"/>
        </w:rPr>
        <w:t>指导</w:t>
      </w:r>
      <w:r>
        <w:rPr>
          <w:rFonts w:hint="eastAsia" w:ascii="宋体" w:hAnsi="宋体" w:eastAsia="宋体" w:cs="宋体"/>
          <w:sz w:val="24"/>
          <w:szCs w:val="24"/>
          <w:lang w:val="en-GB"/>
        </w:rPr>
        <w:t>海南省教育厅</w:t>
      </w:r>
      <w:r>
        <w:rPr>
          <w:rFonts w:hint="eastAsia" w:ascii="宋体" w:hAnsi="宋体" w:eastAsia="宋体" w:cs="宋体"/>
          <w:sz w:val="24"/>
          <w:szCs w:val="24"/>
          <w:lang w:val="en-US"/>
        </w:rPr>
        <w:t>对检测评估过程中发现的安全问题进行整改，整改完成后对相关问题进行复测，以确认发现的安全问题均已经得到修复或抑制，并出具</w:t>
      </w:r>
      <w:r>
        <w:rPr>
          <w:rFonts w:hint="eastAsia" w:ascii="宋体" w:hAnsi="宋体" w:eastAsia="宋体" w:cs="宋体"/>
          <w:sz w:val="24"/>
          <w:szCs w:val="24"/>
          <w:lang w:val="en-US" w:eastAsia="zh-CN"/>
        </w:rPr>
        <w:t>结论为</w:t>
      </w:r>
      <w:r>
        <w:rPr>
          <w:rFonts w:hint="eastAsia" w:ascii="宋体" w:hAnsi="宋体" w:eastAsia="宋体" w:cs="宋体"/>
          <w:b/>
          <w:bCs/>
          <w:sz w:val="24"/>
          <w:szCs w:val="24"/>
          <w:lang w:val="en-US" w:eastAsia="zh-CN"/>
        </w:rPr>
        <w:t>基本符合及以上</w:t>
      </w:r>
      <w:r>
        <w:rPr>
          <w:rFonts w:hint="eastAsia" w:ascii="宋体" w:hAnsi="宋体" w:eastAsia="宋体" w:cs="宋体"/>
          <w:sz w:val="24"/>
          <w:szCs w:val="24"/>
          <w:lang w:val="en-US" w:eastAsia="zh-CN"/>
        </w:rPr>
        <w:t>等级的</w:t>
      </w:r>
      <w:r>
        <w:rPr>
          <w:rFonts w:hint="eastAsia" w:ascii="宋体" w:hAnsi="宋体" w:eastAsia="宋体" w:cs="宋体"/>
          <w:sz w:val="24"/>
          <w:szCs w:val="24"/>
          <w:lang w:val="en-US"/>
        </w:rPr>
        <w:t>最终报告。</w:t>
      </w:r>
    </w:p>
    <w:p w14:paraId="31113A16">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楷体" w:hAnsi="楷体" w:eastAsia="楷体" w:cs="楷体"/>
          <w:sz w:val="24"/>
          <w:szCs w:val="24"/>
          <w:lang w:val="en-US"/>
        </w:rPr>
      </w:pPr>
      <w:r>
        <w:rPr>
          <w:rFonts w:hint="eastAsia" w:ascii="楷体" w:hAnsi="楷体" w:eastAsia="楷体" w:cs="楷体"/>
          <w:sz w:val="24"/>
          <w:szCs w:val="24"/>
          <w:lang w:val="en-US" w:eastAsia="zh-CN"/>
        </w:rPr>
        <w:t>（一）</w:t>
      </w:r>
      <w:r>
        <w:rPr>
          <w:rFonts w:hint="eastAsia" w:ascii="楷体" w:hAnsi="楷体" w:eastAsia="楷体" w:cs="楷体"/>
          <w:sz w:val="24"/>
          <w:szCs w:val="24"/>
          <w:lang w:val="en-US"/>
        </w:rPr>
        <w:t>等级保护测评</w:t>
      </w:r>
    </w:p>
    <w:p w14:paraId="18A9B4C7">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对</w:t>
      </w:r>
      <w:r>
        <w:rPr>
          <w:rFonts w:hint="eastAsia" w:ascii="宋体" w:hAnsi="宋体" w:eastAsia="宋体" w:cs="宋体"/>
          <w:sz w:val="24"/>
          <w:szCs w:val="24"/>
        </w:rPr>
        <w:t>海南</w:t>
      </w:r>
      <w:r>
        <w:rPr>
          <w:rFonts w:hint="eastAsia" w:ascii="宋体" w:hAnsi="宋体" w:eastAsia="宋体" w:cs="宋体"/>
          <w:sz w:val="24"/>
          <w:szCs w:val="24"/>
          <w:lang w:val="en-US" w:eastAsia="zh-CN"/>
        </w:rPr>
        <w:t>省教育省域网</w:t>
      </w:r>
      <w:r>
        <w:rPr>
          <w:rFonts w:hint="eastAsia" w:ascii="宋体" w:hAnsi="宋体" w:eastAsia="宋体" w:cs="宋体"/>
          <w:sz w:val="24"/>
          <w:szCs w:val="24"/>
          <w:lang w:val="en-US"/>
        </w:rPr>
        <w:t>开展等级保护</w:t>
      </w:r>
      <w:r>
        <w:rPr>
          <w:rFonts w:hint="eastAsia" w:ascii="宋体" w:hAnsi="宋体" w:eastAsia="宋体" w:cs="宋体"/>
          <w:sz w:val="24"/>
          <w:szCs w:val="24"/>
          <w:lang w:val="en-GB"/>
        </w:rPr>
        <w:t>测评</w:t>
      </w:r>
      <w:r>
        <w:rPr>
          <w:rFonts w:hint="eastAsia" w:ascii="宋体" w:hAnsi="宋体" w:eastAsia="宋体" w:cs="宋体"/>
          <w:sz w:val="24"/>
          <w:szCs w:val="24"/>
          <w:lang w:val="en-US"/>
        </w:rPr>
        <w:t>，安全技术测评包括：安全物理环境、安全通信网络、安全区域边界、安全计算环境、安全管理中心五个层面上的安全控制测评；安全管理测评包括：安全管理制度、安全管理机构、安全管理人员、安全建设管理、安全运维管理五个方面的安全控制测评。</w:t>
      </w:r>
    </w:p>
    <w:p w14:paraId="084547E5">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drawing>
          <wp:inline distT="0" distB="0" distL="0" distR="0">
            <wp:extent cx="5178425" cy="2733675"/>
            <wp:effectExtent l="0" t="0" r="3175" b="9525"/>
            <wp:docPr id="2"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descr="img"/>
                    <pic:cNvPicPr>
                      <a:picLocks noChangeAspect="1"/>
                    </pic:cNvPicPr>
                  </pic:nvPicPr>
                  <pic:blipFill>
                    <a:blip r:embed="rId7"/>
                    <a:stretch>
                      <a:fillRect/>
                    </a:stretch>
                  </pic:blipFill>
                  <pic:spPr>
                    <a:xfrm>
                      <a:off x="0" y="0"/>
                      <a:ext cx="5178425" cy="2733675"/>
                    </a:xfrm>
                    <a:prstGeom prst="rect">
                      <a:avLst/>
                    </a:prstGeom>
                    <a:noFill/>
                    <a:ln>
                      <a:noFill/>
                    </a:ln>
                  </pic:spPr>
                </pic:pic>
              </a:graphicData>
            </a:graphic>
          </wp:inline>
        </w:drawing>
      </w:r>
    </w:p>
    <w:p w14:paraId="12D1C058">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等级测评过程包括四个基本测评活动：测评准备活动、方案编制活动、现场测评活动、报告编制活动。具体如下：</w:t>
      </w:r>
    </w:p>
    <w:p w14:paraId="1050E222">
      <w:pPr>
        <w:keepNext w:val="0"/>
        <w:keepLines w:val="0"/>
        <w:pageBreakBefore w:val="0"/>
        <w:widowControl w:val="0"/>
        <w:numPr>
          <w:ilvl w:val="-1"/>
          <w:numId w:val="0"/>
        </w:numPr>
        <w:kinsoku/>
        <w:wordWrap/>
        <w:overflowPunct/>
        <w:topLinePunct w:val="0"/>
        <w:bidi w:val="0"/>
        <w:adjustRightInd/>
        <w:snapToGrid/>
        <w:spacing w:line="300" w:lineRule="auto"/>
        <w:ind w:firstLine="480" w:firstLineChars="200"/>
        <w:textAlignment w:val="auto"/>
        <w:rPr>
          <w:rFonts w:hint="eastAsia" w:ascii="宋体" w:hAnsi="宋体" w:eastAsia="宋体" w:cs="宋体"/>
          <w:b/>
          <w:bCs/>
          <w:sz w:val="24"/>
          <w:szCs w:val="24"/>
          <w:lang w:val="en-US"/>
        </w:rPr>
      </w:pPr>
      <w:r>
        <w:rPr>
          <w:rFonts w:hint="eastAsia" w:ascii="宋体" w:hAnsi="宋体" w:cs="宋体"/>
          <w:b/>
          <w:bCs/>
          <w:sz w:val="24"/>
          <w:szCs w:val="24"/>
          <w:lang w:val="en-US" w:eastAsia="zh-CN"/>
        </w:rPr>
        <w:t>1.</w:t>
      </w:r>
      <w:r>
        <w:rPr>
          <w:rFonts w:hint="eastAsia" w:ascii="宋体" w:hAnsi="宋体" w:eastAsia="宋体" w:cs="宋体"/>
          <w:b/>
          <w:bCs/>
          <w:sz w:val="24"/>
          <w:szCs w:val="24"/>
          <w:lang w:val="en-US"/>
        </w:rPr>
        <w:t>测评准备活动</w:t>
      </w:r>
    </w:p>
    <w:p w14:paraId="47C91B65">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测评准备活动的目标是顺利启动测评项目，收集定级对象相关资料，准备测评所需资料，为编制测评方案打下良好的基础。测评准备活动包括工作启动、信息收集和分析、工具和表单准备三项主要任务。</w:t>
      </w:r>
    </w:p>
    <w:p w14:paraId="3CDD4F7A">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在工作启动任务中，测评机构组建等级测评项目组，获取测评委托单位及定级对象的基本情况，从基本资料、人员、计划安排等方面为整个等级测评项目的实施做好充分准备。</w:t>
      </w:r>
    </w:p>
    <w:p w14:paraId="4AB60ED2">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测评机构通过查阅被测定级对象已有资料或使用系统调查表格的方式，了解整个系统的构成和保护情况以及责任部门相关情况，为编写测评方案、开展现场测评和安全评估工作奠定基础。</w:t>
      </w:r>
    </w:p>
    <w:p w14:paraId="65F7947B">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测评项目组成员在进行现场测评之前，应熟悉被测定级对象、调试测评工具、准备各种表单等。</w:t>
      </w:r>
    </w:p>
    <w:p w14:paraId="551ABC47">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b/>
          <w:bCs/>
          <w:sz w:val="24"/>
          <w:szCs w:val="24"/>
          <w:lang w:val="en-US"/>
        </w:rPr>
      </w:pPr>
      <w:r>
        <w:rPr>
          <w:rFonts w:hint="eastAsia" w:ascii="宋体" w:hAnsi="宋体" w:cs="宋体"/>
          <w:b/>
          <w:bCs/>
          <w:sz w:val="24"/>
          <w:szCs w:val="24"/>
          <w:lang w:val="en-US" w:eastAsia="zh-CN"/>
        </w:rPr>
        <w:t>2.</w:t>
      </w:r>
      <w:r>
        <w:rPr>
          <w:rFonts w:hint="eastAsia" w:ascii="宋体" w:hAnsi="宋体" w:eastAsia="宋体" w:cs="宋体"/>
          <w:b/>
          <w:bCs/>
          <w:sz w:val="24"/>
          <w:szCs w:val="24"/>
          <w:lang w:val="en-US"/>
        </w:rPr>
        <w:t>测评方案编制</w:t>
      </w:r>
    </w:p>
    <w:p w14:paraId="73AB6300">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方案编制活动的目标是整理测评准备活动中获取的定级对象相关资料，为现场测评活动提供最基本的文档和指导方案。方案编制活动包括测评对象确定、测评指标确定、测评内容确定、工具测试方法确定、测评指导书开发及测评方案编制六项主要任务。</w:t>
      </w:r>
    </w:p>
    <w:p w14:paraId="65108198">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根据系统调查结果，分析整个被测定级对象业务流程、数据流程、范围、特点及各个设备及组件的主要功能，确定出本次测评的测评对象。</w:t>
      </w:r>
    </w:p>
    <w:p w14:paraId="40F00CFA">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根据被测定级对象定级结果确定出本次测评的基本测评指标，根据测评委托单位及被测定级对象业务自身需求确定出本次测评的特殊测评指标。</w:t>
      </w:r>
    </w:p>
    <w:p w14:paraId="38667D5E">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确定现场测评的具体实施内容，即单项测评内容。</w:t>
      </w:r>
    </w:p>
    <w:p w14:paraId="6090B58D">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使用测试工具进行测试，测试工具可能用到漏洞扫描器、渗透测试工具集、协议分析仪等。</w:t>
      </w:r>
    </w:p>
    <w:p w14:paraId="0CA8C197">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编制测评指导书，指导测评人员如何进行测评活动的文档，应尽可能详实、充分。</w:t>
      </w:r>
    </w:p>
    <w:p w14:paraId="38054A83">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形成测评方案，指导等级测评工作的现场实施活动。测评方案应包括但不局限于以下内容：项目概述、测评对象、测评指标、测评内容、测评方法等。</w:t>
      </w:r>
    </w:p>
    <w:p w14:paraId="62DB5859">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b/>
          <w:bCs/>
          <w:sz w:val="24"/>
          <w:szCs w:val="24"/>
          <w:lang w:val="en-US"/>
        </w:rPr>
      </w:pPr>
      <w:r>
        <w:rPr>
          <w:rFonts w:hint="eastAsia" w:ascii="宋体" w:hAnsi="宋体" w:cs="宋体"/>
          <w:b/>
          <w:bCs/>
          <w:sz w:val="24"/>
          <w:szCs w:val="24"/>
          <w:lang w:val="en-US" w:eastAsia="zh-CN"/>
        </w:rPr>
        <w:t>3.</w:t>
      </w:r>
      <w:r>
        <w:rPr>
          <w:rFonts w:hint="eastAsia" w:ascii="宋体" w:hAnsi="宋体" w:eastAsia="宋体" w:cs="宋体"/>
          <w:b/>
          <w:bCs/>
          <w:sz w:val="24"/>
          <w:szCs w:val="24"/>
          <w:lang w:val="en-US"/>
        </w:rPr>
        <w:t>现场测评活动</w:t>
      </w:r>
    </w:p>
    <w:p w14:paraId="0FFA3270">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现场测评活动通过与测评委托单位进行沟通和协调，为现场测评的顺利开展打下良好基础，依据测评方案实施现场测评工作，将测评方案和测评方法等内容具体落实到现场测评活动中。现场测评活动包括现场测评准备、现场测评和结果记录、结果确认和资料归还三项主要任务。</w:t>
      </w:r>
    </w:p>
    <w:p w14:paraId="277EF561">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启动现场测评，保证测评机构能够顺利实施测评。</w:t>
      </w:r>
    </w:p>
    <w:p w14:paraId="05128DDB">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测评人员按照测评指导书实施测评，并将测评过程中获取的证据源进行详细、准确记录。</w:t>
      </w:r>
    </w:p>
    <w:p w14:paraId="4F2ED27D">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将测评过程中得到的证据源记录进行确认，并将测评过程中借阅的文档归还。</w:t>
      </w:r>
    </w:p>
    <w:p w14:paraId="033A215C">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en-US"/>
        </w:rPr>
        <w:t>报告编制活动</w:t>
      </w:r>
    </w:p>
    <w:p w14:paraId="005D122D">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在现场测评工作结束后，测评机构应对现场测评获得的测评结果（或称测评证据）进行汇总分析，形成等级测评结论，并编制测评报告。分析与报告编制活动包括单项测评结果判定、单元测评结果判定、 整体测评、系统安全保障评估、安全问题风险评估、等级测评结论形成及测评报告编制七项主要任务。</w:t>
      </w:r>
    </w:p>
    <w:p w14:paraId="450EA5D3">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针对单个测评项，结合具体测评对象，客观、准确地分析测评证据，形成初步单项测评结果。</w:t>
      </w:r>
    </w:p>
    <w:p w14:paraId="6F12AD06">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将单项测评结果进行汇总，分别统计不同测评对象的单项测评结果，从而判定单元测评结果。</w:t>
      </w:r>
    </w:p>
    <w:p w14:paraId="7C58E96C">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针对单项测评结果的不符合项及部分符合项，采取逐条判定的方法，从安全控制点间、层面间出发考虑，给出整体测评的具体结果。</w:t>
      </w:r>
    </w:p>
    <w:p w14:paraId="7088D5E8">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综合单项测评和整体测评结果，计算修正后的安全控制点得分和层面得分，并根据得分情况对被测定级对象的安全保障情况进行总体评价。</w:t>
      </w:r>
    </w:p>
    <w:p w14:paraId="6347C096">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测评人员依据等级保护的相关规范和标准，采用风险分析的方法分析等级测评结果中存在的安全问题可能对被测定级对象安全造成的影响。</w:t>
      </w:r>
    </w:p>
    <w:p w14:paraId="1692EB55">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在系统安全保障评估、安全问题风险评估的基础上，找出系统保护现状与GB/T-22239之间的差距，并形成等级测评结论。</w:t>
      </w:r>
    </w:p>
    <w:p w14:paraId="50C29F23">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根据报告编制活动各分析过程形成等级测评报告。等级测评报告格式应符合公安机关发布的《信息安全等级保护测评报告模版》。</w:t>
      </w:r>
    </w:p>
    <w:p w14:paraId="711B7FFB">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rPr>
        <w:drawing>
          <wp:inline distT="0" distB="0" distL="0" distR="0">
            <wp:extent cx="4720590" cy="6840220"/>
            <wp:effectExtent l="0" t="0" r="381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srcRect/>
                    <a:stretch>
                      <a:fillRect/>
                    </a:stretch>
                  </pic:blipFill>
                  <pic:spPr>
                    <a:xfrm>
                      <a:off x="0" y="0"/>
                      <a:ext cx="4720590" cy="6840220"/>
                    </a:xfrm>
                    <a:prstGeom prst="rect">
                      <a:avLst/>
                    </a:prstGeom>
                    <a:noFill/>
                    <a:ln>
                      <a:noFill/>
                    </a:ln>
                  </pic:spPr>
                </pic:pic>
              </a:graphicData>
            </a:graphic>
          </wp:inline>
        </w:drawing>
      </w:r>
    </w:p>
    <w:p w14:paraId="6708520A">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本项服务完成后，需提交项目最终成果文档，该成果文档应满足</w:t>
      </w:r>
      <w:r>
        <w:rPr>
          <w:rFonts w:hint="eastAsia" w:ascii="宋体" w:hAnsi="宋体" w:eastAsia="宋体" w:cs="宋体"/>
          <w:sz w:val="24"/>
          <w:szCs w:val="24"/>
          <w:lang w:val="en-GB"/>
        </w:rPr>
        <w:t>《信息安全技术</w:t>
      </w:r>
      <w:r>
        <w:rPr>
          <w:rFonts w:hint="eastAsia" w:ascii="宋体" w:hAnsi="宋体" w:eastAsia="宋体" w:cs="宋体"/>
          <w:sz w:val="24"/>
          <w:szCs w:val="24"/>
          <w:lang w:val="en-US"/>
        </w:rPr>
        <w:t xml:space="preserve"> </w:t>
      </w:r>
      <w:r>
        <w:rPr>
          <w:rFonts w:hint="eastAsia" w:ascii="宋体" w:hAnsi="宋体" w:eastAsia="宋体" w:cs="宋体"/>
          <w:sz w:val="24"/>
          <w:szCs w:val="24"/>
          <w:lang w:val="en-GB"/>
        </w:rPr>
        <w:t>网络安全等级保护基本要求</w:t>
      </w:r>
      <w:r>
        <w:rPr>
          <w:rFonts w:hint="eastAsia" w:ascii="宋体" w:hAnsi="宋体" w:cs="宋体"/>
          <w:sz w:val="24"/>
          <w:szCs w:val="24"/>
          <w:lang w:val="en-GB" w:eastAsia="zh-CN"/>
        </w:rPr>
        <w:t>》《</w:t>
      </w:r>
      <w:r>
        <w:rPr>
          <w:rFonts w:hint="eastAsia" w:ascii="宋体" w:hAnsi="宋体" w:eastAsia="宋体" w:cs="宋体"/>
          <w:sz w:val="24"/>
          <w:szCs w:val="24"/>
          <w:lang w:val="en-GB"/>
        </w:rPr>
        <w:t>信息安全技术</w:t>
      </w:r>
      <w:r>
        <w:rPr>
          <w:rFonts w:hint="eastAsia" w:ascii="宋体" w:hAnsi="宋体" w:eastAsia="宋体" w:cs="宋体"/>
          <w:sz w:val="24"/>
          <w:szCs w:val="24"/>
          <w:lang w:val="en-US"/>
        </w:rPr>
        <w:t xml:space="preserve"> </w:t>
      </w:r>
      <w:r>
        <w:rPr>
          <w:rFonts w:hint="eastAsia" w:ascii="宋体" w:hAnsi="宋体" w:eastAsia="宋体" w:cs="宋体"/>
          <w:sz w:val="24"/>
          <w:szCs w:val="24"/>
          <w:lang w:val="en-GB"/>
        </w:rPr>
        <w:t>网络安全等级保护测评要求</w:t>
      </w:r>
      <w:r>
        <w:rPr>
          <w:rFonts w:hint="eastAsia" w:ascii="宋体" w:hAnsi="宋体" w:cs="宋体"/>
          <w:sz w:val="24"/>
          <w:szCs w:val="24"/>
          <w:lang w:val="en-GB" w:eastAsia="zh-CN"/>
        </w:rPr>
        <w:t>》《</w:t>
      </w:r>
      <w:r>
        <w:rPr>
          <w:rFonts w:hint="eastAsia" w:ascii="宋体" w:hAnsi="宋体" w:eastAsia="宋体" w:cs="宋体"/>
          <w:sz w:val="24"/>
          <w:szCs w:val="24"/>
          <w:lang w:val="en-GB"/>
        </w:rPr>
        <w:t>信息安全技术</w:t>
      </w:r>
      <w:r>
        <w:rPr>
          <w:rFonts w:hint="eastAsia" w:ascii="宋体" w:hAnsi="宋体" w:eastAsia="宋体" w:cs="宋体"/>
          <w:sz w:val="24"/>
          <w:szCs w:val="24"/>
          <w:lang w:val="en-US"/>
        </w:rPr>
        <w:t xml:space="preserve"> </w:t>
      </w:r>
      <w:r>
        <w:rPr>
          <w:rFonts w:hint="eastAsia" w:ascii="宋体" w:hAnsi="宋体" w:eastAsia="宋体" w:cs="宋体"/>
          <w:sz w:val="24"/>
          <w:szCs w:val="24"/>
          <w:lang w:val="en-GB"/>
        </w:rPr>
        <w:t>网络安全等级保护安全设计技术要求》等</w:t>
      </w:r>
      <w:r>
        <w:rPr>
          <w:rFonts w:hint="eastAsia" w:ascii="宋体" w:hAnsi="宋体" w:eastAsia="宋体" w:cs="宋体"/>
          <w:sz w:val="24"/>
          <w:szCs w:val="24"/>
          <w:lang w:val="en-US"/>
        </w:rPr>
        <w:t>国家标准的相关格式和内容要求，最终成果文档如下：</w:t>
      </w:r>
    </w:p>
    <w:p w14:paraId="2923121B">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（1）</w:t>
      </w:r>
      <w:r>
        <w:rPr>
          <w:rFonts w:hint="eastAsia" w:ascii="宋体" w:hAnsi="宋体" w:eastAsia="宋体" w:cs="宋体"/>
          <w:sz w:val="24"/>
          <w:szCs w:val="24"/>
        </w:rPr>
        <w:t>海南</w:t>
      </w:r>
      <w:r>
        <w:rPr>
          <w:rFonts w:hint="eastAsia" w:ascii="宋体" w:hAnsi="宋体" w:eastAsia="宋体" w:cs="宋体"/>
          <w:sz w:val="24"/>
          <w:szCs w:val="24"/>
          <w:lang w:val="en-US" w:eastAsia="zh-CN"/>
        </w:rPr>
        <w:t>省教育省域网</w:t>
      </w:r>
      <w:r>
        <w:rPr>
          <w:rFonts w:hint="eastAsia" w:ascii="宋体" w:hAnsi="宋体" w:eastAsia="宋体" w:cs="宋体"/>
          <w:sz w:val="24"/>
          <w:szCs w:val="24"/>
          <w:lang w:val="en-GB"/>
        </w:rPr>
        <w:t>网络安全等级保护测评</w:t>
      </w:r>
      <w:r>
        <w:rPr>
          <w:rFonts w:hint="eastAsia" w:ascii="宋体" w:hAnsi="宋体" w:eastAsia="宋体" w:cs="宋体"/>
          <w:sz w:val="24"/>
          <w:szCs w:val="24"/>
          <w:lang w:val="en-US"/>
        </w:rPr>
        <w:t>的《***系统安全等级测评方案》（电子版）。</w:t>
      </w:r>
    </w:p>
    <w:p w14:paraId="4AA0D69F">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（2）</w:t>
      </w:r>
      <w:r>
        <w:rPr>
          <w:rFonts w:hint="eastAsia" w:ascii="宋体" w:hAnsi="宋体" w:eastAsia="宋体" w:cs="宋体"/>
          <w:sz w:val="24"/>
          <w:szCs w:val="24"/>
        </w:rPr>
        <w:t>海南</w:t>
      </w:r>
      <w:r>
        <w:rPr>
          <w:rFonts w:hint="eastAsia" w:ascii="宋体" w:hAnsi="宋体" w:eastAsia="宋体" w:cs="宋体"/>
          <w:sz w:val="24"/>
          <w:szCs w:val="24"/>
          <w:lang w:val="en-US" w:eastAsia="zh-CN"/>
        </w:rPr>
        <w:t>省教育省域网</w:t>
      </w:r>
      <w:r>
        <w:rPr>
          <w:rFonts w:hint="eastAsia" w:ascii="宋体" w:hAnsi="宋体" w:eastAsia="宋体" w:cs="宋体"/>
          <w:sz w:val="24"/>
          <w:szCs w:val="24"/>
          <w:lang w:val="en-GB"/>
        </w:rPr>
        <w:t>网络安全等级保护测评</w:t>
      </w:r>
      <w:r>
        <w:rPr>
          <w:rFonts w:hint="eastAsia" w:ascii="宋体" w:hAnsi="宋体" w:eastAsia="宋体" w:cs="宋体"/>
          <w:sz w:val="24"/>
          <w:szCs w:val="24"/>
          <w:lang w:val="en-US"/>
        </w:rPr>
        <w:t>的《***系统安全等级测评整改报告》（电子版）。</w:t>
      </w:r>
    </w:p>
    <w:p w14:paraId="7CD8BA57">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（3）</w:t>
      </w:r>
      <w:r>
        <w:rPr>
          <w:rFonts w:hint="eastAsia" w:ascii="宋体" w:hAnsi="宋体" w:eastAsia="宋体" w:cs="宋体"/>
          <w:sz w:val="24"/>
          <w:szCs w:val="24"/>
        </w:rPr>
        <w:t>海南</w:t>
      </w:r>
      <w:r>
        <w:rPr>
          <w:rFonts w:hint="eastAsia" w:ascii="宋体" w:hAnsi="宋体" w:eastAsia="宋体" w:cs="宋体"/>
          <w:sz w:val="24"/>
          <w:szCs w:val="24"/>
          <w:lang w:val="en-US" w:eastAsia="zh-CN"/>
        </w:rPr>
        <w:t>省教育省域网</w:t>
      </w:r>
      <w:r>
        <w:rPr>
          <w:rFonts w:hint="eastAsia" w:ascii="宋体" w:hAnsi="宋体" w:eastAsia="宋体" w:cs="宋体"/>
          <w:sz w:val="24"/>
          <w:szCs w:val="24"/>
          <w:lang w:val="en-GB"/>
        </w:rPr>
        <w:t>网络安全等级保护测评</w:t>
      </w:r>
      <w:r>
        <w:rPr>
          <w:rFonts w:hint="eastAsia" w:ascii="宋体" w:hAnsi="宋体" w:eastAsia="宋体" w:cs="宋体"/>
          <w:sz w:val="24"/>
          <w:szCs w:val="24"/>
          <w:lang w:val="en-US"/>
        </w:rPr>
        <w:t>的《***系统安全等级测评报告》（纸质版）。</w:t>
      </w:r>
    </w:p>
    <w:p w14:paraId="598608D8">
      <w:pPr>
        <w:keepNext w:val="0"/>
        <w:keepLines w:val="0"/>
        <w:pageBreakBefore w:val="0"/>
        <w:widowControl w:val="0"/>
        <w:kinsoku/>
        <w:wordWrap/>
        <w:overflowPunct/>
        <w:topLinePunct w:val="0"/>
        <w:bidi w:val="0"/>
        <w:adjustRightInd/>
        <w:snapToGrid/>
        <w:spacing w:before="316" w:beforeLines="100" w:line="300" w:lineRule="auto"/>
        <w:ind w:left="0" w:right="0" w:firstLine="480" w:firstLineChars="200"/>
        <w:jc w:val="left"/>
        <w:textAlignment w:val="auto"/>
        <w:outlineLvl w:val="9"/>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r>
        <w:rPr>
          <w:rFonts w:hint="eastAsia" w:ascii="宋体" w:hAnsi="宋体" w:eastAsia="宋体" w:cs="宋体"/>
          <w:b/>
          <w:bCs/>
          <w:sz w:val="24"/>
          <w:szCs w:val="24"/>
          <w:lang w:val="en-US"/>
        </w:rPr>
        <w:t>管理要求</w:t>
      </w:r>
    </w:p>
    <w:p w14:paraId="2A75BCE9">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服务过程中应遵守以下管理要求：</w:t>
      </w:r>
    </w:p>
    <w:p w14:paraId="0E485C34">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cs="宋体"/>
          <w:sz w:val="24"/>
          <w:szCs w:val="24"/>
          <w:lang w:val="en-US" w:eastAsia="zh-CN"/>
        </w:rPr>
        <w:t>1.</w:t>
      </w:r>
      <w:r>
        <w:rPr>
          <w:rFonts w:hint="eastAsia" w:ascii="宋体" w:hAnsi="宋体" w:eastAsia="宋体" w:cs="宋体"/>
          <w:sz w:val="24"/>
          <w:szCs w:val="24"/>
          <w:lang w:val="en-US"/>
        </w:rPr>
        <w:t>依据标准，遵循原则</w:t>
      </w:r>
    </w:p>
    <w:p w14:paraId="0FC85ECA">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等级测评实施应依据等级保护的相关技术标准进行。相关技术标准主要包括GB/T-28448、GB/T-28449，其中等级测评目标和内容应依据GB/T-28449，对具体测评项的测评实施方法则依据GB/T-28448。在等级测评实施活动中，应遵循客观性和公正性、经济性和可重用性、可重复性和可再现性、结果完善性的原则，保证测评工作公正、科学、合理和完善。</w:t>
      </w:r>
    </w:p>
    <w:p w14:paraId="60A980DC">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cs="宋体"/>
          <w:sz w:val="24"/>
          <w:szCs w:val="24"/>
          <w:lang w:val="en-US" w:eastAsia="zh-CN"/>
        </w:rPr>
        <w:t>2.</w:t>
      </w:r>
      <w:r>
        <w:rPr>
          <w:rFonts w:hint="eastAsia" w:ascii="宋体" w:hAnsi="宋体" w:eastAsia="宋体" w:cs="宋体"/>
          <w:sz w:val="24"/>
          <w:szCs w:val="24"/>
          <w:lang w:val="en-US"/>
        </w:rPr>
        <w:t>恰当选取，保证强度</w:t>
      </w:r>
    </w:p>
    <w:p w14:paraId="6488918B">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恰当选取是指对具体测评对象的选择要恰当，既要避免重要的对象、可能存在安全隐患的对象没有被选择，也要避免过多选择，使得工作量增大。保证强度是指对被测定级对象应实施与其等级相适应的测评强度。</w:t>
      </w:r>
    </w:p>
    <w:p w14:paraId="24CA356E">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cs="宋体"/>
          <w:sz w:val="24"/>
          <w:szCs w:val="24"/>
          <w:lang w:val="en-US" w:eastAsia="zh-CN"/>
        </w:rPr>
        <w:t>3.</w:t>
      </w:r>
      <w:r>
        <w:rPr>
          <w:rFonts w:hint="eastAsia" w:ascii="宋体" w:hAnsi="宋体" w:eastAsia="宋体" w:cs="宋体"/>
          <w:sz w:val="24"/>
          <w:szCs w:val="24"/>
          <w:lang w:val="en-US"/>
        </w:rPr>
        <w:t>规范行为，规避风险</w:t>
      </w:r>
    </w:p>
    <w:p w14:paraId="64603FD6">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测评机构实施等级测评的过程应规范，包括：制定内部保密制度；制定过程控制制度；规定相关文档评审流程；指定专人负责保管等级测评的归档文件等。 测评人员的行为应规范，包括：测评人员进入现场佩戴工作牌；使用测评专用的电脑和工具；严格按照测评指导书使用规范的测评技术进行测评；准确记录测评证据；不擅自评价测评结果；不将测评结果复制给非测评人员；涉及到测评委托单位的工作秘密或敏感信息的相关资料，只在指定场所查看，查看完成后立即归还等。规避风险，是指要充分估计测评可能给被测定级对象带来的影响，向被测定级对象运营／使用单位揭示风险，要求其提前采取预防措施进行规避。同时，测评机构也应采取与测评委托单位签署委托测评协议、保密协议、现场测评授权书、要求测评委托单位进行系统备份、规范测评活动、及时与测评委托单位沟通等措施规避风险，尽量避免给被测定级对象和单位带来影响。</w:t>
      </w:r>
    </w:p>
    <w:p w14:paraId="6C407814">
      <w:pPr>
        <w:keepNext w:val="0"/>
        <w:keepLines w:val="0"/>
        <w:pageBreakBefore w:val="0"/>
        <w:widowControl w:val="0"/>
        <w:kinsoku/>
        <w:wordWrap/>
        <w:overflowPunct/>
        <w:topLinePunct w:val="0"/>
        <w:bidi w:val="0"/>
        <w:adjustRightInd/>
        <w:snapToGrid/>
        <w:spacing w:before="316" w:beforeLines="100" w:line="300" w:lineRule="auto"/>
        <w:ind w:left="0" w:right="0" w:firstLine="480" w:firstLineChars="200"/>
        <w:jc w:val="left"/>
        <w:textAlignment w:val="auto"/>
        <w:outlineLvl w:val="9"/>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w:t>
      </w:r>
      <w:r>
        <w:rPr>
          <w:rFonts w:hint="eastAsia" w:ascii="宋体" w:hAnsi="宋体" w:eastAsia="宋体" w:cs="宋体"/>
          <w:b/>
          <w:bCs/>
          <w:sz w:val="24"/>
          <w:szCs w:val="24"/>
          <w:lang w:val="en-US"/>
        </w:rPr>
        <w:t>人员要求</w:t>
      </w:r>
    </w:p>
    <w:p w14:paraId="42CBAF42">
      <w:pPr>
        <w:pStyle w:val="89"/>
        <w:keepNext w:val="0"/>
        <w:keepLines w:val="0"/>
        <w:pageBreakBefore w:val="0"/>
        <w:widowControl w:val="0"/>
        <w:tabs>
          <w:tab w:val="left" w:pos="313"/>
          <w:tab w:val="left" w:pos="3300"/>
        </w:tabs>
        <w:kinsoku/>
        <w:wordWrap/>
        <w:overflowPunct/>
        <w:topLinePunct w:val="0"/>
        <w:bidi w:val="0"/>
        <w:adjustRightInd/>
        <w:snapToGrid/>
        <w:spacing w:before="0" w:line="300" w:lineRule="auto"/>
        <w:ind w:left="0" w:firstLine="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测评实施人员最少安排1名高级等保测评师、2名</w:t>
      </w:r>
      <w:r>
        <w:rPr>
          <w:rFonts w:hint="eastAsia" w:ascii="宋体" w:hAnsi="宋体" w:cs="宋体"/>
          <w:sz w:val="24"/>
          <w:szCs w:val="24"/>
          <w:lang w:val="en-US" w:eastAsia="zh-CN"/>
        </w:rPr>
        <w:t>中级等保测评师</w:t>
      </w:r>
      <w:r>
        <w:rPr>
          <w:rFonts w:hint="eastAsia" w:ascii="宋体" w:hAnsi="宋体" w:eastAsia="宋体" w:cs="宋体"/>
          <w:sz w:val="24"/>
          <w:szCs w:val="24"/>
          <w:lang w:val="en-US"/>
        </w:rPr>
        <w:t>、5名初级等保测评师</w:t>
      </w:r>
    </w:p>
    <w:p w14:paraId="29C76491">
      <w:pPr>
        <w:keepNext w:val="0"/>
        <w:keepLines w:val="0"/>
        <w:pageBreakBefore w:val="0"/>
        <w:widowControl w:val="0"/>
        <w:kinsoku/>
        <w:wordWrap/>
        <w:overflowPunct/>
        <w:topLinePunct w:val="0"/>
        <w:bidi w:val="0"/>
        <w:adjustRightInd/>
        <w:snapToGrid/>
        <w:spacing w:before="316" w:beforeLines="100" w:line="300" w:lineRule="auto"/>
        <w:ind w:left="0" w:right="0" w:firstLine="480" w:firstLineChars="200"/>
        <w:jc w:val="left"/>
        <w:textAlignment w:val="auto"/>
        <w:outlineLvl w:val="9"/>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lang w:val="en-US"/>
        </w:rPr>
        <w:t>、验收要求</w:t>
      </w:r>
    </w:p>
    <w:p w14:paraId="43BBC190">
      <w:pPr>
        <w:pStyle w:val="89"/>
        <w:keepNext w:val="0"/>
        <w:keepLines w:val="0"/>
        <w:pageBreakBefore w:val="0"/>
        <w:widowControl w:val="0"/>
        <w:tabs>
          <w:tab w:val="left" w:pos="313"/>
          <w:tab w:val="left" w:pos="3300"/>
        </w:tabs>
        <w:kinsoku/>
        <w:wordWrap/>
        <w:overflowPunct/>
        <w:topLinePunct w:val="0"/>
        <w:bidi w:val="0"/>
        <w:adjustRightInd/>
        <w:snapToGrid/>
        <w:spacing w:before="0" w:line="300" w:lineRule="auto"/>
        <w:ind w:left="0" w:firstLine="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rPr>
        <w:t xml:space="preserve">验收主体： </w:t>
      </w:r>
      <w:r>
        <w:rPr>
          <w:rFonts w:hint="eastAsia"/>
          <w:sz w:val="24"/>
          <w:szCs w:val="24"/>
          <w:lang w:val="en-US" w:eastAsia="zh-CN"/>
        </w:rPr>
        <w:t>海南省电化教育馆</w:t>
      </w:r>
    </w:p>
    <w:p w14:paraId="58970F88">
      <w:pPr>
        <w:pStyle w:val="89"/>
        <w:keepNext w:val="0"/>
        <w:keepLines w:val="0"/>
        <w:pageBreakBefore w:val="0"/>
        <w:widowControl w:val="0"/>
        <w:tabs>
          <w:tab w:val="left" w:pos="313"/>
          <w:tab w:val="left" w:pos="3300"/>
        </w:tabs>
        <w:kinsoku/>
        <w:wordWrap/>
        <w:overflowPunct/>
        <w:topLinePunct w:val="0"/>
        <w:bidi w:val="0"/>
        <w:adjustRightInd/>
        <w:snapToGrid/>
        <w:spacing w:before="0" w:line="300" w:lineRule="auto"/>
        <w:ind w:left="0" w:firstLine="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验收时间：合同约定的服务期结束前</w:t>
      </w:r>
    </w:p>
    <w:p w14:paraId="1B767956">
      <w:pPr>
        <w:pStyle w:val="89"/>
        <w:keepNext w:val="0"/>
        <w:keepLines w:val="0"/>
        <w:pageBreakBefore w:val="0"/>
        <w:widowControl w:val="0"/>
        <w:tabs>
          <w:tab w:val="left" w:pos="313"/>
          <w:tab w:val="left" w:pos="3300"/>
        </w:tabs>
        <w:kinsoku/>
        <w:wordWrap/>
        <w:overflowPunct/>
        <w:topLinePunct w:val="0"/>
        <w:bidi w:val="0"/>
        <w:adjustRightInd/>
        <w:snapToGrid/>
        <w:spacing w:before="0" w:line="300" w:lineRule="auto"/>
        <w:ind w:left="0" w:firstLine="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验收方式：现场验收</w:t>
      </w:r>
    </w:p>
    <w:p w14:paraId="36744787">
      <w:pPr>
        <w:pStyle w:val="89"/>
        <w:keepNext w:val="0"/>
        <w:keepLines w:val="0"/>
        <w:pageBreakBefore w:val="0"/>
        <w:widowControl w:val="0"/>
        <w:tabs>
          <w:tab w:val="left" w:pos="313"/>
          <w:tab w:val="left" w:pos="3300"/>
        </w:tabs>
        <w:kinsoku/>
        <w:wordWrap/>
        <w:overflowPunct/>
        <w:topLinePunct w:val="0"/>
        <w:bidi w:val="0"/>
        <w:adjustRightInd/>
        <w:snapToGrid/>
        <w:spacing w:before="0" w:line="300" w:lineRule="auto"/>
        <w:ind w:left="0" w:firstLine="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验收程序：提交验收申请</w:t>
      </w:r>
      <w:r>
        <w:rPr>
          <w:rFonts w:hint="eastAsia" w:ascii="宋体" w:hAnsi="宋体" w:cs="宋体"/>
          <w:sz w:val="24"/>
          <w:szCs w:val="24"/>
          <w:lang w:val="en-US" w:eastAsia="zh-CN"/>
        </w:rPr>
        <w:t>－</w:t>
      </w:r>
      <w:r>
        <w:rPr>
          <w:rFonts w:hint="eastAsia" w:ascii="宋体" w:hAnsi="宋体" w:eastAsia="宋体" w:cs="宋体"/>
          <w:sz w:val="24"/>
          <w:szCs w:val="24"/>
          <w:lang w:val="en-US"/>
        </w:rPr>
        <w:t>材料审查</w:t>
      </w:r>
      <w:r>
        <w:rPr>
          <w:rFonts w:hint="eastAsia" w:ascii="宋体" w:hAnsi="宋体" w:cs="宋体"/>
          <w:sz w:val="24"/>
          <w:szCs w:val="24"/>
          <w:lang w:val="en-US" w:eastAsia="zh-CN"/>
        </w:rPr>
        <w:t>－</w:t>
      </w:r>
      <w:r>
        <w:rPr>
          <w:rFonts w:hint="eastAsia" w:ascii="宋体" w:hAnsi="宋体" w:eastAsia="宋体" w:cs="宋体"/>
          <w:sz w:val="24"/>
          <w:szCs w:val="24"/>
          <w:lang w:val="en-US"/>
        </w:rPr>
        <w:t>验收评审</w:t>
      </w:r>
    </w:p>
    <w:p w14:paraId="484CD6B5">
      <w:pPr>
        <w:pStyle w:val="89"/>
        <w:keepNext w:val="0"/>
        <w:keepLines w:val="0"/>
        <w:pageBreakBefore w:val="0"/>
        <w:widowControl w:val="0"/>
        <w:tabs>
          <w:tab w:val="left" w:pos="313"/>
          <w:tab w:val="left" w:pos="3300"/>
        </w:tabs>
        <w:kinsoku/>
        <w:wordWrap/>
        <w:overflowPunct/>
        <w:topLinePunct w:val="0"/>
        <w:bidi w:val="0"/>
        <w:adjustRightInd/>
        <w:snapToGrid/>
        <w:spacing w:before="0" w:line="300" w:lineRule="auto"/>
        <w:ind w:left="0" w:firstLine="0"/>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验收内容和验收标准：</w:t>
      </w:r>
    </w:p>
    <w:p w14:paraId="5625DF26">
      <w:pPr>
        <w:pStyle w:val="156"/>
        <w:keepNext w:val="0"/>
        <w:keepLines w:val="0"/>
        <w:pageBreakBefore w:val="0"/>
        <w:widowControl w:val="0"/>
        <w:kinsoku/>
        <w:wordWrap/>
        <w:overflowPunct/>
        <w:topLinePunct w:val="0"/>
        <w:bidi w:val="0"/>
        <w:adjustRightInd/>
        <w:snapToGrid/>
        <w:spacing w:line="300" w:lineRule="auto"/>
        <w:ind w:firstLine="560"/>
        <w:textAlignment w:val="auto"/>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服务验收清单</w:t>
      </w:r>
    </w:p>
    <w:p w14:paraId="0C26AC76">
      <w:pPr>
        <w:keepNext w:val="0"/>
        <w:keepLines w:val="0"/>
        <w:pageBreakBefore w:val="0"/>
        <w:widowControl w:val="0"/>
        <w:kinsoku/>
        <w:wordWrap/>
        <w:overflowPunct/>
        <w:topLinePunct w:val="0"/>
        <w:bidi w:val="0"/>
        <w:adjustRightInd/>
        <w:snapToGrid/>
        <w:spacing w:line="30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服务考核指标</w:t>
      </w:r>
    </w:p>
    <w:p w14:paraId="11A8394D">
      <w:pPr>
        <w:keepNext w:val="0"/>
        <w:keepLines w:val="0"/>
        <w:pageBreakBefore w:val="0"/>
        <w:widowControl w:val="0"/>
        <w:kinsoku/>
        <w:wordWrap/>
        <w:overflowPunct/>
        <w:topLinePunct w:val="0"/>
        <w:bidi w:val="0"/>
        <w:adjustRightInd/>
        <w:snapToGrid/>
        <w:spacing w:before="316" w:beforeLines="100" w:line="300" w:lineRule="auto"/>
        <w:ind w:left="0" w:right="0" w:firstLine="480" w:firstLineChars="200"/>
        <w:jc w:val="left"/>
        <w:textAlignment w:val="auto"/>
        <w:outlineLvl w:val="9"/>
        <w:rPr>
          <w:rFonts w:hint="eastAsia" w:ascii="宋体" w:hAnsi="宋体" w:eastAsia="宋体" w:cs="宋体"/>
          <w:b/>
          <w:bCs/>
          <w:sz w:val="24"/>
          <w:szCs w:val="24"/>
          <w:lang w:val="en-US"/>
        </w:rPr>
      </w:pPr>
      <w:r>
        <w:rPr>
          <w:rFonts w:hint="eastAsia" w:ascii="宋体" w:hAnsi="宋体" w:cs="宋体"/>
          <w:b/>
          <w:bCs/>
          <w:sz w:val="24"/>
          <w:szCs w:val="24"/>
          <w:lang w:val="en-US" w:eastAsia="zh-CN"/>
        </w:rPr>
        <w:t>六</w:t>
      </w:r>
      <w:r>
        <w:rPr>
          <w:rFonts w:hint="eastAsia" w:ascii="宋体" w:hAnsi="宋体" w:eastAsia="宋体" w:cs="宋体"/>
          <w:b/>
          <w:bCs/>
          <w:sz w:val="24"/>
          <w:szCs w:val="24"/>
          <w:lang w:val="en-US"/>
        </w:rPr>
        <w:t>、信息安全及保密要求</w:t>
      </w:r>
    </w:p>
    <w:p w14:paraId="57CCCDE5">
      <w:pPr>
        <w:pStyle w:val="89"/>
        <w:keepNext w:val="0"/>
        <w:keepLines w:val="0"/>
        <w:pageBreakBefore w:val="0"/>
        <w:widowControl w:val="0"/>
        <w:tabs>
          <w:tab w:val="left" w:pos="313"/>
          <w:tab w:val="left" w:pos="3300"/>
        </w:tabs>
        <w:kinsoku/>
        <w:wordWrap/>
        <w:overflowPunct/>
        <w:topLinePunct w:val="0"/>
        <w:bidi w:val="0"/>
        <w:adjustRightInd/>
        <w:snapToGrid/>
        <w:spacing w:before="0" w:line="300" w:lineRule="auto"/>
        <w:ind w:left="0" w:firstLine="0"/>
        <w:textAlignment w:val="auto"/>
        <w:rPr>
          <w:rFonts w:hint="eastAsia" w:ascii="宋体" w:hAnsi="宋体" w:eastAsia="宋体" w:cs="宋体"/>
          <w:sz w:val="24"/>
          <w:szCs w:val="24"/>
          <w:lang w:val="en-US"/>
        </w:rPr>
      </w:pPr>
      <w:r>
        <w:rPr>
          <w:rFonts w:hint="eastAsia" w:ascii="宋体" w:hAnsi="宋体" w:cs="宋体"/>
          <w:sz w:val="24"/>
          <w:szCs w:val="24"/>
          <w:lang w:val="en-US" w:eastAsia="zh-CN"/>
        </w:rPr>
        <w:t>1.</w:t>
      </w:r>
      <w:r>
        <w:rPr>
          <w:rFonts w:hint="eastAsia" w:ascii="宋体" w:hAnsi="宋体" w:eastAsia="宋体" w:cs="宋体"/>
          <w:sz w:val="24"/>
          <w:szCs w:val="24"/>
          <w:lang w:val="en-US"/>
        </w:rPr>
        <w:t>供应商应签订保密协议，对其因身份、职务、职业或技术关系而知悉的采购人商业秘密和党政机关保密信息应严格保守，保证不被披露或使用，包括意外或过失。</w:t>
      </w:r>
    </w:p>
    <w:p w14:paraId="6C5650FD">
      <w:pPr>
        <w:pStyle w:val="89"/>
        <w:keepNext w:val="0"/>
        <w:keepLines w:val="0"/>
        <w:pageBreakBefore w:val="0"/>
        <w:widowControl w:val="0"/>
        <w:tabs>
          <w:tab w:val="left" w:pos="313"/>
          <w:tab w:val="left" w:pos="3300"/>
        </w:tabs>
        <w:kinsoku/>
        <w:wordWrap/>
        <w:overflowPunct/>
        <w:topLinePunct w:val="0"/>
        <w:bidi w:val="0"/>
        <w:adjustRightInd/>
        <w:snapToGrid/>
        <w:spacing w:before="0" w:line="300" w:lineRule="auto"/>
        <w:ind w:left="0" w:firstLine="0"/>
        <w:textAlignment w:val="auto"/>
        <w:rPr>
          <w:rFonts w:hint="eastAsia" w:ascii="宋体" w:hAnsi="宋体" w:eastAsia="宋体" w:cs="宋体"/>
          <w:sz w:val="24"/>
          <w:szCs w:val="24"/>
          <w:lang w:val="en-US"/>
        </w:rPr>
      </w:pPr>
      <w:r>
        <w:rPr>
          <w:rFonts w:hint="eastAsia" w:ascii="宋体" w:hAnsi="宋体" w:cs="宋体"/>
          <w:sz w:val="24"/>
          <w:szCs w:val="24"/>
          <w:lang w:val="en-US" w:eastAsia="zh-CN"/>
        </w:rPr>
        <w:t>2.</w:t>
      </w:r>
      <w:r>
        <w:rPr>
          <w:rFonts w:hint="eastAsia" w:ascii="宋体" w:hAnsi="宋体" w:eastAsia="宋体" w:cs="宋体"/>
          <w:sz w:val="24"/>
          <w:szCs w:val="24"/>
          <w:lang w:val="en-US"/>
        </w:rPr>
        <w:t>供应商不得以竞争为目的</w:t>
      </w:r>
      <w:r>
        <w:rPr>
          <w:rFonts w:hint="eastAsia" w:ascii="宋体" w:hAnsi="宋体" w:cs="宋体"/>
          <w:sz w:val="24"/>
          <w:szCs w:val="24"/>
          <w:lang w:val="en-US" w:eastAsia="zh-CN"/>
        </w:rPr>
        <w:t>，或</w:t>
      </w:r>
      <w:r>
        <w:rPr>
          <w:rFonts w:hint="eastAsia" w:ascii="宋体" w:hAnsi="宋体" w:eastAsia="宋体" w:cs="宋体"/>
          <w:sz w:val="24"/>
          <w:szCs w:val="24"/>
          <w:lang w:val="en-US"/>
        </w:rPr>
        <w:t>出于私利</w:t>
      </w:r>
      <w:r>
        <w:rPr>
          <w:rFonts w:hint="eastAsia" w:ascii="宋体" w:hAnsi="宋体" w:cs="宋体"/>
          <w:sz w:val="24"/>
          <w:szCs w:val="24"/>
          <w:lang w:val="en-US" w:eastAsia="zh-CN"/>
        </w:rPr>
        <w:t>，或</w:t>
      </w:r>
      <w:r>
        <w:rPr>
          <w:rFonts w:hint="eastAsia" w:ascii="宋体" w:hAnsi="宋体" w:eastAsia="宋体" w:cs="宋体"/>
          <w:sz w:val="24"/>
          <w:szCs w:val="24"/>
          <w:lang w:val="en-US"/>
        </w:rPr>
        <w:t>为第三人谋利而擅自保存、披露、使用采购</w:t>
      </w:r>
      <w:r>
        <w:rPr>
          <w:rFonts w:hint="eastAsia" w:ascii="宋体" w:hAnsi="宋体" w:cs="宋体"/>
          <w:sz w:val="24"/>
          <w:szCs w:val="24"/>
          <w:lang w:val="en-US" w:eastAsia="zh-CN"/>
        </w:rPr>
        <w:t>人的</w:t>
      </w:r>
      <w:r>
        <w:rPr>
          <w:rFonts w:hint="eastAsia" w:ascii="宋体" w:hAnsi="宋体" w:eastAsia="宋体" w:cs="宋体"/>
          <w:sz w:val="24"/>
          <w:szCs w:val="24"/>
          <w:lang w:val="en-US"/>
        </w:rPr>
        <w:t xml:space="preserve">商业秘密和党政机关保密信息；不得直接或间接地向无关人员泄露采购人的商业秘密和党政机关保密信息；不得向不承担保密义务的任何第三人披露采购人的商业秘密和党政机关保密信息。供应商在从事政府项目时，不得擅自记录、复制、拍摄、摘抄、收藏在工作中涉及的保密信息，严禁将涉及政府项目的任何资料、数据透露或以其他方式提供给项目以外的其他方或供应商内部与该项目无关的任何人员。 </w:t>
      </w:r>
    </w:p>
    <w:p w14:paraId="593E9584">
      <w:pPr>
        <w:pStyle w:val="89"/>
        <w:keepNext w:val="0"/>
        <w:keepLines w:val="0"/>
        <w:pageBreakBefore w:val="0"/>
        <w:widowControl w:val="0"/>
        <w:tabs>
          <w:tab w:val="left" w:pos="313"/>
          <w:tab w:val="left" w:pos="3300"/>
        </w:tabs>
        <w:kinsoku/>
        <w:wordWrap/>
        <w:overflowPunct/>
        <w:topLinePunct w:val="0"/>
        <w:bidi w:val="0"/>
        <w:adjustRightInd/>
        <w:snapToGrid/>
        <w:spacing w:before="0" w:line="300" w:lineRule="auto"/>
        <w:ind w:left="0" w:firstLine="0"/>
        <w:textAlignment w:val="auto"/>
        <w:rPr>
          <w:rFonts w:hint="eastAsia" w:ascii="宋体" w:hAnsi="宋体" w:eastAsia="宋体" w:cs="宋体"/>
          <w:sz w:val="24"/>
          <w:szCs w:val="24"/>
          <w:lang w:val="en-US"/>
        </w:rPr>
      </w:pPr>
      <w:r>
        <w:rPr>
          <w:rFonts w:hint="eastAsia" w:ascii="宋体" w:hAnsi="宋体" w:cs="宋体"/>
          <w:sz w:val="24"/>
          <w:szCs w:val="24"/>
          <w:lang w:val="en-US" w:eastAsia="zh-CN"/>
        </w:rPr>
        <w:t>3.</w:t>
      </w:r>
      <w:r>
        <w:rPr>
          <w:rFonts w:hint="eastAsia" w:ascii="宋体" w:hAnsi="宋体" w:eastAsia="宋体" w:cs="宋体"/>
          <w:sz w:val="24"/>
          <w:szCs w:val="24"/>
          <w:lang w:val="en-US"/>
        </w:rPr>
        <w:t xml:space="preserve">供应商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 </w:t>
      </w:r>
    </w:p>
    <w:p w14:paraId="2C602710">
      <w:pPr>
        <w:pStyle w:val="89"/>
        <w:keepNext w:val="0"/>
        <w:keepLines w:val="0"/>
        <w:pageBreakBefore w:val="0"/>
        <w:widowControl w:val="0"/>
        <w:tabs>
          <w:tab w:val="left" w:pos="313"/>
          <w:tab w:val="left" w:pos="3300"/>
        </w:tabs>
        <w:kinsoku/>
        <w:wordWrap/>
        <w:overflowPunct/>
        <w:topLinePunct w:val="0"/>
        <w:bidi w:val="0"/>
        <w:adjustRightInd/>
        <w:snapToGrid/>
        <w:spacing w:before="0" w:line="300" w:lineRule="auto"/>
        <w:ind w:left="0" w:firstLine="0"/>
        <w:textAlignment w:val="auto"/>
        <w:rPr>
          <w:rFonts w:hint="eastAsia" w:ascii="宋体" w:hAnsi="宋体" w:eastAsia="宋体" w:cs="宋体"/>
          <w:sz w:val="24"/>
          <w:szCs w:val="24"/>
          <w:lang w:val="en-US"/>
        </w:rPr>
      </w:pPr>
      <w:r>
        <w:rPr>
          <w:rFonts w:hint="eastAsia" w:ascii="宋体" w:hAnsi="宋体" w:cs="宋体"/>
          <w:sz w:val="24"/>
          <w:szCs w:val="24"/>
          <w:lang w:val="en-US" w:eastAsia="zh-CN"/>
        </w:rPr>
        <w:t>4.</w:t>
      </w:r>
      <w:r>
        <w:rPr>
          <w:rFonts w:hint="eastAsia" w:ascii="宋体" w:hAnsi="宋体" w:eastAsia="宋体" w:cs="宋体"/>
          <w:sz w:val="24"/>
          <w:szCs w:val="24"/>
          <w:lang w:val="en-US"/>
        </w:rPr>
        <w:t>严禁泄露在工作中</w:t>
      </w:r>
      <w:r>
        <w:rPr>
          <w:rFonts w:hint="eastAsia" w:ascii="宋体" w:hAnsi="宋体" w:cs="宋体"/>
          <w:sz w:val="24"/>
          <w:szCs w:val="24"/>
          <w:lang w:val="en-US" w:eastAsia="zh-CN"/>
        </w:rPr>
        <w:t>接触</w:t>
      </w:r>
      <w:r>
        <w:rPr>
          <w:rFonts w:hint="eastAsia" w:ascii="宋体" w:hAnsi="宋体" w:eastAsia="宋体" w:cs="宋体"/>
          <w:sz w:val="24"/>
          <w:szCs w:val="24"/>
          <w:lang w:val="en-US"/>
        </w:rPr>
        <w:t>的政府机关科技研究、发明、装备器材及其技术资料和政府工作信息。</w:t>
      </w:r>
    </w:p>
    <w:p w14:paraId="156300A8">
      <w:pPr>
        <w:pStyle w:val="89"/>
        <w:keepNext w:val="0"/>
        <w:keepLines w:val="0"/>
        <w:pageBreakBefore w:val="0"/>
        <w:widowControl w:val="0"/>
        <w:tabs>
          <w:tab w:val="left" w:pos="313"/>
          <w:tab w:val="left" w:pos="3300"/>
        </w:tabs>
        <w:kinsoku/>
        <w:wordWrap/>
        <w:overflowPunct/>
        <w:topLinePunct w:val="0"/>
        <w:bidi w:val="0"/>
        <w:adjustRightInd/>
        <w:snapToGrid/>
        <w:spacing w:before="0" w:line="300" w:lineRule="auto"/>
        <w:ind w:left="0" w:firstLine="0"/>
        <w:textAlignment w:val="auto"/>
        <w:rPr>
          <w:rFonts w:hint="eastAsia" w:ascii="宋体" w:hAnsi="宋体" w:eastAsia="宋体" w:cs="宋体"/>
          <w:sz w:val="24"/>
          <w:szCs w:val="24"/>
          <w:lang w:val="en-US"/>
        </w:rPr>
      </w:pPr>
      <w:r>
        <w:rPr>
          <w:rFonts w:hint="eastAsia" w:ascii="宋体" w:hAnsi="宋体" w:cs="宋体"/>
          <w:sz w:val="24"/>
          <w:szCs w:val="24"/>
          <w:lang w:val="en-US" w:eastAsia="zh-CN"/>
        </w:rPr>
        <w:t>5.</w:t>
      </w:r>
      <w:r>
        <w:rPr>
          <w:rFonts w:hint="eastAsia" w:ascii="宋体" w:hAnsi="宋体" w:eastAsia="宋体" w:cs="宋体"/>
          <w:sz w:val="24"/>
          <w:szCs w:val="24"/>
          <w:lang w:val="en-US"/>
        </w:rPr>
        <w:t>供应商所有参与本项目的服务人员必须严格遵守保密守则，不得</w:t>
      </w:r>
      <w:r>
        <w:rPr>
          <w:rFonts w:hint="eastAsia" w:ascii="宋体" w:hAnsi="宋体" w:cs="宋体"/>
          <w:sz w:val="24"/>
          <w:szCs w:val="24"/>
          <w:lang w:val="en-US" w:eastAsia="zh-CN"/>
        </w:rPr>
        <w:t>向其他</w:t>
      </w:r>
      <w:r>
        <w:rPr>
          <w:rFonts w:hint="eastAsia" w:ascii="宋体" w:hAnsi="宋体" w:eastAsia="宋体" w:cs="宋体"/>
          <w:sz w:val="24"/>
          <w:szCs w:val="24"/>
          <w:lang w:val="en-US"/>
        </w:rPr>
        <w:t>公司和人员泄露被维护系统的任何技术资料和业务资料，尤其是网络结构、配置情况、服务器的密码等关键的技术资料，违反者将严肃处理，如因此造成业主经济损失或名誉损失的，保留追究供应商和相关责任人法律责任的权利。</w:t>
      </w:r>
    </w:p>
    <w:p w14:paraId="005D75F5">
      <w:pPr>
        <w:pStyle w:val="30"/>
        <w:outlineLvl w:val="1"/>
        <w:rPr>
          <w:rFonts w:hint="eastAsia" w:ascii="宋体" w:hAnsi="Times New Roman" w:eastAsia="宋体" w:cs="Times New Roman"/>
          <w:b/>
          <w:bCs/>
          <w:kern w:val="0"/>
          <w:sz w:val="32"/>
          <w:szCs w:val="32"/>
          <w:lang w:val="en-US" w:eastAsia="zh-CN" w:bidi="ar-SA"/>
        </w:rPr>
        <w:sectPr>
          <w:pgSz w:w="11906" w:h="16838"/>
          <w:pgMar w:top="1134" w:right="1134" w:bottom="1134" w:left="1134" w:header="851" w:footer="992" w:gutter="0"/>
          <w:cols w:space="720" w:num="1"/>
          <w:docGrid w:type="linesAndChars" w:linePitch="312" w:charSpace="0"/>
        </w:sectPr>
      </w:pPr>
    </w:p>
    <w:p w14:paraId="5554948E">
      <w:pPr>
        <w:pStyle w:val="30"/>
        <w:rPr>
          <w:rFonts w:hint="eastAsia"/>
        </w:rPr>
      </w:pPr>
    </w:p>
    <w:p w14:paraId="2EB7B88D">
      <w:pPr>
        <w:adjustRightInd w:val="0"/>
        <w:snapToGrid w:val="0"/>
        <w:spacing w:line="300" w:lineRule="auto"/>
        <w:ind w:firstLine="480" w:firstLineChars="200"/>
        <w:rPr>
          <w:rFonts w:hint="eastAsia" w:ascii="宋体"/>
          <w:kern w:val="0"/>
          <w:sz w:val="24"/>
        </w:rPr>
      </w:pPr>
    </w:p>
    <w:p w14:paraId="2D5D20DD">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outlineLvl w:val="0"/>
        <w:rPr>
          <w:rFonts w:ascii="宋体" w:hAnsi="宋体"/>
          <w:b/>
          <w:kern w:val="0"/>
          <w:sz w:val="32"/>
        </w:rPr>
      </w:pPr>
      <w:r>
        <w:rPr>
          <w:rFonts w:hint="eastAsia" w:ascii="宋体" w:hAnsi="宋体"/>
          <w:b/>
          <w:kern w:val="0"/>
          <w:sz w:val="32"/>
        </w:rPr>
        <w:t xml:space="preserve">第三部分 </w:t>
      </w:r>
      <w:r>
        <w:rPr>
          <w:rFonts w:hint="eastAsia" w:ascii="宋体" w:hAnsi="宋体"/>
          <w:b/>
          <w:kern w:val="0"/>
          <w:sz w:val="32"/>
          <w:lang w:val="en-US" w:eastAsia="zh-CN"/>
        </w:rPr>
        <w:t xml:space="preserve">  </w:t>
      </w:r>
      <w:r>
        <w:rPr>
          <w:rFonts w:hint="eastAsia" w:ascii="宋体" w:hAnsi="宋体"/>
          <w:b/>
          <w:kern w:val="0"/>
          <w:sz w:val="32"/>
        </w:rPr>
        <w:t>供应商须知</w:t>
      </w:r>
    </w:p>
    <w:p w14:paraId="21C3446F">
      <w:pPr>
        <w:adjustRightInd w:val="0"/>
        <w:snapToGrid w:val="0"/>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一、说明</w:t>
      </w:r>
    </w:p>
    <w:p w14:paraId="5A6FA5AD">
      <w:pPr>
        <w:adjustRightInd w:val="0"/>
        <w:snapToGrid w:val="0"/>
        <w:spacing w:line="360" w:lineRule="auto"/>
        <w:ind w:firstLine="588" w:firstLineChars="245"/>
        <w:rPr>
          <w:rFonts w:ascii="宋体"/>
          <w:kern w:val="0"/>
          <w:sz w:val="24"/>
        </w:rPr>
      </w:pPr>
      <w:r>
        <w:rPr>
          <w:rFonts w:hint="eastAsia" w:ascii="宋体"/>
          <w:kern w:val="0"/>
          <w:sz w:val="24"/>
          <w:lang w:eastAsia="zh-CN"/>
        </w:rPr>
        <w:t>1.</w:t>
      </w:r>
      <w:r>
        <w:rPr>
          <w:rFonts w:hint="eastAsia" w:ascii="宋体"/>
          <w:kern w:val="0"/>
          <w:sz w:val="24"/>
        </w:rPr>
        <w:t>本次采购是由采购人和采购代理机构组织和实施。无论过程中的做法和结果如何，竞争性磋商供应商自行承担所有与参加竞争性磋商有关的全部费用。</w:t>
      </w:r>
    </w:p>
    <w:p w14:paraId="13883CCB">
      <w:pPr>
        <w:adjustRightInd w:val="0"/>
        <w:snapToGrid w:val="0"/>
        <w:spacing w:line="360" w:lineRule="auto"/>
        <w:ind w:firstLine="588" w:firstLineChars="245"/>
        <w:rPr>
          <w:rFonts w:ascii="宋体"/>
          <w:kern w:val="0"/>
          <w:sz w:val="24"/>
        </w:rPr>
      </w:pPr>
      <w:r>
        <w:rPr>
          <w:rFonts w:hint="eastAsia" w:ascii="宋体"/>
          <w:kern w:val="0"/>
          <w:sz w:val="24"/>
          <w:lang w:eastAsia="zh-CN"/>
        </w:rPr>
        <w:t>2.</w:t>
      </w:r>
      <w:r>
        <w:rPr>
          <w:rFonts w:hint="eastAsia" w:ascii="宋体"/>
          <w:kern w:val="0"/>
          <w:sz w:val="24"/>
        </w:rPr>
        <w:t>合格的供应商</w:t>
      </w:r>
    </w:p>
    <w:p w14:paraId="794AA528">
      <w:pPr>
        <w:adjustRightInd w:val="0"/>
        <w:snapToGrid w:val="0"/>
        <w:spacing w:line="360" w:lineRule="auto"/>
        <w:ind w:firstLine="588" w:firstLineChars="245"/>
        <w:rPr>
          <w:rFonts w:ascii="宋体"/>
          <w:kern w:val="0"/>
          <w:sz w:val="24"/>
        </w:rPr>
      </w:pPr>
      <w:r>
        <w:rPr>
          <w:rFonts w:hint="eastAsia" w:ascii="宋体"/>
          <w:kern w:val="0"/>
          <w:sz w:val="24"/>
        </w:rPr>
        <w:t>2.1是响应磋商文件，参加竞争性磋商竞争，符合法律法规和本磋商文件规定的供应商资格要求，具备竞争性磋商条件的中华人民共和国独立法定代表人或其他组织，具有独立承担民事责任的能力；具有良好的商业信誉和健全的财务会计制度；具有履行合同所必需的设备和专业技术能力</w:t>
      </w:r>
      <w:r>
        <w:rPr>
          <w:rFonts w:hint="eastAsia" w:ascii="宋体"/>
          <w:kern w:val="0"/>
          <w:sz w:val="24"/>
          <w:lang w:eastAsia="zh-CN"/>
        </w:rPr>
        <w:t>；具</w:t>
      </w:r>
      <w:r>
        <w:rPr>
          <w:rFonts w:hint="eastAsia" w:ascii="宋体"/>
          <w:kern w:val="0"/>
          <w:sz w:val="24"/>
        </w:rPr>
        <w:t>有依法缴纳税收和社会保障资金的良好记录；参加本次采购活动前三年内，在经营活动中没有重大违法记录；法律、行政法规规定的其他条件。且有能力提供竞争性磋商货物及服务，并通过磋商委员会审核的供应商，均为合格的供应商。</w:t>
      </w:r>
    </w:p>
    <w:p w14:paraId="18880109">
      <w:pPr>
        <w:adjustRightInd w:val="0"/>
        <w:snapToGrid w:val="0"/>
        <w:spacing w:line="360" w:lineRule="auto"/>
        <w:ind w:firstLine="588" w:firstLineChars="245"/>
        <w:rPr>
          <w:rFonts w:ascii="宋体"/>
          <w:color w:val="000000"/>
          <w:kern w:val="0"/>
          <w:sz w:val="24"/>
        </w:rPr>
      </w:pPr>
      <w:r>
        <w:rPr>
          <w:rFonts w:hint="eastAsia" w:ascii="宋体"/>
          <w:color w:val="000000"/>
          <w:kern w:val="0"/>
          <w:sz w:val="24"/>
        </w:rPr>
        <w:t>2.2本项目不接受联合体投标</w:t>
      </w:r>
    </w:p>
    <w:p w14:paraId="30D57580">
      <w:pPr>
        <w:adjustRightInd w:val="0"/>
        <w:snapToGrid w:val="0"/>
        <w:spacing w:line="360" w:lineRule="auto"/>
        <w:ind w:firstLine="588" w:firstLineChars="245"/>
        <w:rPr>
          <w:rFonts w:ascii="宋体"/>
          <w:kern w:val="0"/>
          <w:sz w:val="24"/>
        </w:rPr>
      </w:pPr>
      <w:r>
        <w:rPr>
          <w:rFonts w:hint="eastAsia" w:ascii="宋体"/>
          <w:kern w:val="0"/>
          <w:sz w:val="24"/>
        </w:rPr>
        <w:t>2.3竞争性磋商供应商不得违反有关法律法规的强制性、禁止性规定。</w:t>
      </w:r>
    </w:p>
    <w:p w14:paraId="165B98A7">
      <w:pPr>
        <w:adjustRightInd w:val="0"/>
        <w:snapToGrid w:val="0"/>
        <w:spacing w:line="360" w:lineRule="auto"/>
        <w:ind w:firstLine="588" w:firstLineChars="245"/>
        <w:rPr>
          <w:rFonts w:ascii="宋体"/>
          <w:kern w:val="0"/>
          <w:sz w:val="24"/>
        </w:rPr>
      </w:pPr>
      <w:r>
        <w:rPr>
          <w:rFonts w:hint="eastAsia" w:ascii="宋体"/>
          <w:kern w:val="0"/>
          <w:sz w:val="24"/>
        </w:rPr>
        <w:t>2.4合同中提供的所有货物及其辅助服务，其来源均应符合响应文件要求而提供的设备、仪表、工具、备件、图纸和其他材料，本合同的支付也仅限于这些货物和服务。</w:t>
      </w:r>
    </w:p>
    <w:p w14:paraId="46E2B9DD">
      <w:pPr>
        <w:adjustRightInd w:val="0"/>
        <w:snapToGrid w:val="0"/>
        <w:spacing w:line="360" w:lineRule="auto"/>
        <w:ind w:firstLine="480" w:firstLineChars="200"/>
        <w:rPr>
          <w:rFonts w:hint="eastAsia" w:ascii="黑体" w:hAnsi="黑体" w:eastAsia="黑体" w:cs="黑体"/>
          <w:kern w:val="0"/>
          <w:sz w:val="24"/>
        </w:rPr>
      </w:pPr>
      <w:r>
        <w:rPr>
          <w:rFonts w:hint="eastAsia" w:ascii="黑体" w:hAnsi="黑体" w:eastAsia="黑体" w:cs="黑体"/>
          <w:kern w:val="0"/>
          <w:sz w:val="24"/>
        </w:rPr>
        <w:t>二、磋商文件</w:t>
      </w:r>
    </w:p>
    <w:p w14:paraId="2CDC686C">
      <w:pPr>
        <w:adjustRightInd w:val="0"/>
        <w:snapToGrid w:val="0"/>
        <w:spacing w:line="360" w:lineRule="auto"/>
        <w:ind w:firstLine="480" w:firstLineChars="200"/>
        <w:rPr>
          <w:rFonts w:hint="eastAsia" w:ascii="楷体" w:hAnsi="楷体" w:eastAsia="楷体" w:cs="楷体"/>
          <w:kern w:val="0"/>
          <w:sz w:val="24"/>
          <w:lang w:val="en-US" w:eastAsia="zh-CN"/>
        </w:rPr>
      </w:pPr>
      <w:r>
        <w:rPr>
          <w:rFonts w:hint="eastAsia" w:ascii="楷体" w:hAnsi="楷体" w:eastAsia="楷体" w:cs="楷体"/>
          <w:kern w:val="0"/>
          <w:sz w:val="24"/>
        </w:rPr>
        <w:t>（一）磋商文件</w:t>
      </w:r>
      <w:r>
        <w:rPr>
          <w:rFonts w:hint="eastAsia" w:ascii="楷体" w:hAnsi="楷体" w:eastAsia="楷体" w:cs="楷体"/>
          <w:kern w:val="0"/>
          <w:sz w:val="24"/>
          <w:lang w:val="en-US" w:eastAsia="zh-CN"/>
        </w:rPr>
        <w:t>说明</w:t>
      </w:r>
    </w:p>
    <w:p w14:paraId="199A610E">
      <w:pPr>
        <w:adjustRightInd w:val="0"/>
        <w:snapToGrid w:val="0"/>
        <w:spacing w:line="360" w:lineRule="auto"/>
        <w:ind w:firstLine="480" w:firstLineChars="200"/>
        <w:rPr>
          <w:rFonts w:ascii="宋体"/>
          <w:kern w:val="0"/>
          <w:sz w:val="24"/>
        </w:rPr>
      </w:pPr>
      <w:r>
        <w:rPr>
          <w:rFonts w:hint="eastAsia" w:ascii="宋体"/>
          <w:kern w:val="0"/>
          <w:sz w:val="24"/>
          <w:lang w:val="en-US" w:eastAsia="zh-CN"/>
        </w:rPr>
        <w:t>磋商文件</w:t>
      </w:r>
      <w:r>
        <w:rPr>
          <w:rFonts w:hint="eastAsia" w:ascii="宋体"/>
          <w:kern w:val="0"/>
          <w:sz w:val="24"/>
        </w:rPr>
        <w:t>是供应商准备响应文件和参加磋商的依据，同时也是磋商的重要依据。磋商文件用以阐明磋商项目所需的资质、技术、服务及报价等要求、磋商程序、有关规定和注意事项等，主要是由磋商文件总目录所列内容组成。</w:t>
      </w:r>
    </w:p>
    <w:p w14:paraId="1315A02C">
      <w:pPr>
        <w:adjustRightInd w:val="0"/>
        <w:snapToGrid w:val="0"/>
        <w:spacing w:line="360" w:lineRule="auto"/>
        <w:ind w:firstLine="480" w:firstLineChars="200"/>
        <w:rPr>
          <w:rFonts w:ascii="宋体"/>
          <w:kern w:val="0"/>
          <w:sz w:val="24"/>
        </w:rPr>
      </w:pPr>
      <w:r>
        <w:rPr>
          <w:rFonts w:hint="eastAsia" w:ascii="宋体"/>
          <w:kern w:val="0"/>
          <w:sz w:val="24"/>
        </w:rPr>
        <w:t>1.1磋商文件采购项目需求中列明标的物的技术要求是采购人基于实际工作需要而提出的基本需求，如果有专利、商标、品牌、型号等信息的，仅起技术说明、参考作用，不具有任何限制性，</w:t>
      </w:r>
      <w:r>
        <w:rPr>
          <w:rFonts w:hint="eastAsia" w:ascii="宋体" w:hAnsi="宋体"/>
          <w:sz w:val="24"/>
          <w:shd w:val="clear" w:color="auto" w:fill="FFFFFF"/>
        </w:rPr>
        <w:t>参与竞争性磋商</w:t>
      </w:r>
      <w:r>
        <w:rPr>
          <w:rFonts w:hint="eastAsia" w:ascii="宋体"/>
          <w:kern w:val="0"/>
          <w:sz w:val="24"/>
        </w:rPr>
        <w:t>产品响应其指标性能要求即可。</w:t>
      </w:r>
    </w:p>
    <w:p w14:paraId="35A133DA">
      <w:pPr>
        <w:adjustRightInd w:val="0"/>
        <w:snapToGrid w:val="0"/>
        <w:spacing w:line="360" w:lineRule="auto"/>
        <w:ind w:firstLine="480" w:firstLineChars="200"/>
        <w:rPr>
          <w:rFonts w:ascii="宋体"/>
          <w:kern w:val="0"/>
          <w:sz w:val="24"/>
        </w:rPr>
      </w:pPr>
      <w:r>
        <w:rPr>
          <w:rFonts w:hint="eastAsia" w:ascii="宋体"/>
          <w:kern w:val="0"/>
          <w:sz w:val="24"/>
        </w:rPr>
        <w:t>1.2如果没有特别声明或要求，</w:t>
      </w:r>
      <w:r>
        <w:rPr>
          <w:rFonts w:hint="eastAsia" w:ascii="宋体" w:hAnsi="宋体"/>
          <w:sz w:val="24"/>
          <w:shd w:val="clear" w:color="auto" w:fill="FFFFFF"/>
        </w:rPr>
        <w:t>竞争性磋商</w:t>
      </w:r>
      <w:r>
        <w:rPr>
          <w:rFonts w:hint="eastAsia" w:ascii="宋体"/>
          <w:kern w:val="0"/>
          <w:sz w:val="24"/>
        </w:rPr>
        <w:t>供应商被视为充分熟悉本竞争性磋商项目所在地与履行合同有关的各种情况，包括自然环境、气候条件、劳动力及公用设施等，本磋商文件不再对上述情况进行描述。</w:t>
      </w:r>
    </w:p>
    <w:p w14:paraId="4C47CCEA">
      <w:pPr>
        <w:adjustRightInd w:val="0"/>
        <w:snapToGrid w:val="0"/>
        <w:spacing w:line="360" w:lineRule="auto"/>
        <w:ind w:firstLine="480" w:firstLineChars="200"/>
        <w:rPr>
          <w:rFonts w:ascii="宋体"/>
          <w:kern w:val="0"/>
          <w:sz w:val="24"/>
        </w:rPr>
      </w:pPr>
      <w:r>
        <w:rPr>
          <w:rFonts w:hint="eastAsia" w:ascii="宋体"/>
          <w:kern w:val="0"/>
          <w:sz w:val="24"/>
        </w:rPr>
        <w:t>1.3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20F7D309">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（二）磋商文件的质疑</w:t>
      </w:r>
    </w:p>
    <w:p w14:paraId="7DF29E0E">
      <w:pPr>
        <w:adjustRightInd w:val="0"/>
        <w:snapToGrid w:val="0"/>
        <w:spacing w:line="360" w:lineRule="auto"/>
        <w:ind w:firstLine="480" w:firstLineChars="200"/>
        <w:rPr>
          <w:rFonts w:ascii="宋体"/>
          <w:kern w:val="0"/>
          <w:sz w:val="24"/>
        </w:rPr>
      </w:pPr>
      <w:r>
        <w:rPr>
          <w:rFonts w:ascii="宋体" w:hAnsi="宋体"/>
          <w:sz w:val="24"/>
          <w:shd w:val="clear" w:color="auto" w:fill="FFFFFF"/>
        </w:rPr>
        <w:t>1</w:t>
      </w:r>
      <w:r>
        <w:rPr>
          <w:rFonts w:hint="eastAsia" w:ascii="宋体" w:hAnsi="宋体"/>
          <w:sz w:val="24"/>
          <w:shd w:val="clear" w:color="auto" w:fill="FFFFFF"/>
        </w:rPr>
        <w:t>.</w:t>
      </w:r>
      <w:r>
        <w:rPr>
          <w:rFonts w:hint="eastAsia" w:ascii="宋体" w:hAnsi="宋体"/>
          <w:sz w:val="24"/>
        </w:rPr>
        <w:t>凡参加本次竞争性磋商的</w:t>
      </w:r>
      <w:r>
        <w:rPr>
          <w:rFonts w:hint="eastAsia" w:ascii="宋体"/>
          <w:kern w:val="0"/>
          <w:sz w:val="24"/>
        </w:rPr>
        <w:t>供应商</w:t>
      </w:r>
      <w:r>
        <w:rPr>
          <w:rFonts w:hint="eastAsia" w:ascii="宋体" w:hAnsi="宋体"/>
          <w:sz w:val="24"/>
        </w:rPr>
        <w:t>被视为已充分认识和理解了任何与本项目有关的影响事项和困难、风险等情况。</w:t>
      </w:r>
    </w:p>
    <w:p w14:paraId="12F66199">
      <w:pPr>
        <w:spacing w:line="360" w:lineRule="auto"/>
        <w:ind w:firstLine="480" w:firstLineChars="200"/>
        <w:rPr>
          <w:rFonts w:ascii="宋体" w:hAnsi="宋体"/>
          <w:sz w:val="24"/>
        </w:rPr>
      </w:pPr>
      <w:r>
        <w:rPr>
          <w:rFonts w:hint="eastAsia" w:ascii="宋体" w:hAnsi="宋体"/>
          <w:sz w:val="24"/>
        </w:rPr>
        <w:t>2.潜在供应商如对磋商文件有疑问，按照相关法律法规规定，按</w:t>
      </w:r>
      <w:r>
        <w:rPr>
          <w:rFonts w:hint="eastAsia" w:ascii="宋体" w:hAnsi="宋体"/>
          <w:sz w:val="24"/>
          <w:shd w:val="clear" w:color="auto" w:fill="FFFFFF"/>
        </w:rPr>
        <w:t>竞争性磋商文件</w:t>
      </w:r>
      <w:r>
        <w:rPr>
          <w:rFonts w:hint="eastAsia" w:ascii="宋体" w:hAnsi="宋体"/>
          <w:sz w:val="24"/>
        </w:rPr>
        <w:t>邀请中载明的地址，以书面形式，通知到采购代理机构，采购代理机构将按</w:t>
      </w:r>
      <w:r>
        <w:rPr>
          <w:rFonts w:hint="eastAsia" w:ascii="宋体" w:hAnsi="宋体"/>
          <w:color w:val="000000"/>
          <w:sz w:val="24"/>
        </w:rPr>
        <w:t>《政府采购法》</w:t>
      </w:r>
      <w:r>
        <w:rPr>
          <w:rFonts w:hint="eastAsia" w:ascii="宋体" w:hAnsi="宋体"/>
          <w:sz w:val="24"/>
        </w:rPr>
        <w:t>和财政部第94号令等相关法律法规进行答复。</w:t>
      </w:r>
    </w:p>
    <w:p w14:paraId="5B7BEEFE">
      <w:pPr>
        <w:spacing w:line="360" w:lineRule="auto"/>
        <w:ind w:firstLine="480" w:firstLineChars="200"/>
        <w:rPr>
          <w:rFonts w:ascii="宋体" w:hAnsi="宋体"/>
          <w:sz w:val="24"/>
        </w:rPr>
      </w:pPr>
      <w:r>
        <w:rPr>
          <w:rFonts w:hint="eastAsia" w:ascii="宋体" w:hAnsi="宋体"/>
          <w:sz w:val="24"/>
        </w:rPr>
        <w:t>3.供应商提出质疑应当提交质疑函和必要的证明材料。质疑函应当包括下列内容：</w:t>
      </w:r>
    </w:p>
    <w:p w14:paraId="0F5E9F64">
      <w:pPr>
        <w:spacing w:line="360" w:lineRule="auto"/>
        <w:ind w:firstLine="480" w:firstLineChars="200"/>
        <w:rPr>
          <w:rFonts w:ascii="宋体" w:hAnsi="宋体"/>
          <w:sz w:val="24"/>
        </w:rPr>
      </w:pPr>
      <w:r>
        <w:rPr>
          <w:rFonts w:hint="eastAsia" w:ascii="宋体" w:hAnsi="宋体"/>
          <w:sz w:val="24"/>
        </w:rPr>
        <w:t>3.1供应商的姓名或者名称、地址、邮编、联系人及联系电话；</w:t>
      </w:r>
    </w:p>
    <w:p w14:paraId="56C1902B">
      <w:pPr>
        <w:spacing w:line="360" w:lineRule="auto"/>
        <w:ind w:firstLine="480" w:firstLineChars="200"/>
        <w:rPr>
          <w:rFonts w:ascii="宋体" w:hAnsi="宋体"/>
          <w:sz w:val="24"/>
        </w:rPr>
      </w:pPr>
      <w:r>
        <w:rPr>
          <w:rFonts w:hint="eastAsia" w:ascii="宋体" w:hAnsi="宋体"/>
          <w:sz w:val="24"/>
        </w:rPr>
        <w:t>3.2质疑项目的名称、编号；</w:t>
      </w:r>
    </w:p>
    <w:p w14:paraId="18390249">
      <w:pPr>
        <w:spacing w:line="360" w:lineRule="auto"/>
        <w:ind w:firstLine="480" w:firstLineChars="200"/>
        <w:rPr>
          <w:rFonts w:ascii="宋体" w:hAnsi="宋体"/>
          <w:sz w:val="24"/>
        </w:rPr>
      </w:pPr>
      <w:r>
        <w:rPr>
          <w:rFonts w:hint="eastAsia" w:ascii="宋体" w:hAnsi="宋体"/>
          <w:sz w:val="24"/>
        </w:rPr>
        <w:t>3.3具体、明确的质疑事项和与质疑事项相关的请求；</w:t>
      </w:r>
    </w:p>
    <w:p w14:paraId="08332E2D">
      <w:pPr>
        <w:spacing w:line="360" w:lineRule="auto"/>
        <w:ind w:firstLine="480" w:firstLineChars="200"/>
        <w:rPr>
          <w:rFonts w:ascii="宋体" w:hAnsi="宋体"/>
          <w:sz w:val="24"/>
        </w:rPr>
      </w:pPr>
      <w:r>
        <w:rPr>
          <w:rFonts w:hint="eastAsia" w:ascii="宋体" w:hAnsi="宋体"/>
          <w:sz w:val="24"/>
        </w:rPr>
        <w:t>3.4事实依据；</w:t>
      </w:r>
    </w:p>
    <w:p w14:paraId="0989701D">
      <w:pPr>
        <w:spacing w:line="360" w:lineRule="auto"/>
        <w:ind w:firstLine="480" w:firstLineChars="200"/>
        <w:rPr>
          <w:rFonts w:ascii="宋体" w:hAnsi="宋体"/>
          <w:sz w:val="24"/>
        </w:rPr>
      </w:pPr>
      <w:r>
        <w:rPr>
          <w:rFonts w:hint="eastAsia" w:ascii="宋体" w:hAnsi="宋体"/>
          <w:sz w:val="24"/>
        </w:rPr>
        <w:t>3.5必要的法律依据；</w:t>
      </w:r>
    </w:p>
    <w:p w14:paraId="7C5CD33F">
      <w:pPr>
        <w:spacing w:line="360" w:lineRule="auto"/>
        <w:ind w:firstLine="480" w:firstLineChars="200"/>
        <w:rPr>
          <w:rFonts w:ascii="宋体" w:hAnsi="宋体"/>
          <w:sz w:val="24"/>
        </w:rPr>
      </w:pPr>
      <w:r>
        <w:rPr>
          <w:rFonts w:hint="eastAsia" w:ascii="宋体" w:hAnsi="宋体"/>
          <w:sz w:val="24"/>
        </w:rPr>
        <w:t>3.6提出质疑的日期。</w:t>
      </w:r>
    </w:p>
    <w:p w14:paraId="13B3EB31">
      <w:pPr>
        <w:spacing w:line="360" w:lineRule="auto"/>
        <w:ind w:firstLine="480" w:firstLineChars="200"/>
        <w:rPr>
          <w:rFonts w:ascii="宋体" w:hAnsi="宋体"/>
          <w:sz w:val="24"/>
        </w:rPr>
      </w:pPr>
      <w:r>
        <w:rPr>
          <w:rFonts w:hint="eastAsia" w:ascii="宋体" w:hAnsi="宋体"/>
          <w:sz w:val="24"/>
        </w:rPr>
        <w:t>供应商为自然人的，应当由本人签字；供应商为法定代表人或者其他组织的，应当由法定代表人、主要负责人，或者其授权代表签字或者盖章，并加盖公章。</w:t>
      </w:r>
    </w:p>
    <w:p w14:paraId="53F51F31">
      <w:pPr>
        <w:spacing w:line="360" w:lineRule="auto"/>
        <w:ind w:firstLine="480" w:firstLineChars="200"/>
        <w:rPr>
          <w:rFonts w:ascii="宋体" w:hAnsi="宋体"/>
          <w:sz w:val="24"/>
        </w:rPr>
      </w:pPr>
      <w:r>
        <w:rPr>
          <w:rFonts w:hint="eastAsia" w:ascii="宋体" w:hAnsi="宋体"/>
          <w:sz w:val="24"/>
        </w:rPr>
        <w:t>4.</w:t>
      </w:r>
      <w:r>
        <w:rPr>
          <w:rFonts w:ascii="宋体" w:hAnsi="宋体"/>
          <w:sz w:val="24"/>
        </w:rPr>
        <w:t>供应商</w:t>
      </w:r>
      <w:r>
        <w:rPr>
          <w:rFonts w:hint="eastAsia" w:ascii="宋体" w:hAnsi="宋体"/>
          <w:sz w:val="24"/>
        </w:rPr>
        <w:t>应</w:t>
      </w:r>
      <w:r>
        <w:rPr>
          <w:rFonts w:ascii="宋体" w:hAnsi="宋体"/>
          <w:sz w:val="24"/>
        </w:rPr>
        <w:t>在法定质疑期内一次性提出针对同一采购程序环节的质疑。</w:t>
      </w:r>
    </w:p>
    <w:p w14:paraId="255ED130">
      <w:pPr>
        <w:adjustRightInd w:val="0"/>
        <w:snapToGrid w:val="0"/>
        <w:spacing w:line="360" w:lineRule="auto"/>
        <w:ind w:firstLine="480" w:firstLineChars="200"/>
        <w:rPr>
          <w:rFonts w:ascii="宋体" w:hAnsi="宋体"/>
          <w:sz w:val="24"/>
        </w:rPr>
      </w:pPr>
      <w:r>
        <w:rPr>
          <w:rFonts w:hint="eastAsia" w:ascii="宋体" w:hAnsi="宋体"/>
          <w:sz w:val="24"/>
        </w:rPr>
        <w:t>5.</w:t>
      </w:r>
      <w:r>
        <w:rPr>
          <w:rFonts w:ascii="宋体" w:hAnsi="宋体"/>
          <w:sz w:val="24"/>
        </w:rPr>
        <w:t>质疑内容不得含有虚假、恶意</w:t>
      </w:r>
      <w:r>
        <w:rPr>
          <w:rFonts w:hint="eastAsia" w:ascii="宋体" w:hAnsi="宋体"/>
          <w:sz w:val="24"/>
          <w:lang w:eastAsia="zh-CN"/>
        </w:rPr>
        <w:t>成分</w:t>
      </w:r>
      <w:r>
        <w:rPr>
          <w:rFonts w:ascii="宋体" w:hAnsi="宋体"/>
          <w:sz w:val="24"/>
        </w:rPr>
        <w:t>。依照谁主张谁举证的原则，提出质疑者必须同时提交相关确凿的证据材料和注明事实的确切来源，对捏造事实、滥用维权扰乱采购秩序的恶意质疑者或举证不全查无实据被驳回次数在</w:t>
      </w:r>
      <w:r>
        <w:rPr>
          <w:rFonts w:hint="eastAsia" w:ascii="宋体" w:hAnsi="宋体"/>
          <w:sz w:val="24"/>
        </w:rPr>
        <w:t>全国范围内12个月</w:t>
      </w:r>
      <w:r>
        <w:rPr>
          <w:rFonts w:ascii="宋体" w:hAnsi="宋体"/>
          <w:sz w:val="24"/>
        </w:rPr>
        <w:t>内达三次以上，将</w:t>
      </w:r>
      <w:r>
        <w:rPr>
          <w:rFonts w:hint="eastAsia" w:ascii="宋体" w:hAnsi="宋体"/>
          <w:sz w:val="24"/>
        </w:rPr>
        <w:t>由财政部门</w:t>
      </w:r>
      <w:r>
        <w:rPr>
          <w:rFonts w:ascii="宋体" w:hAnsi="宋体"/>
          <w:sz w:val="24"/>
        </w:rPr>
        <w:t>纳入不良行为记录名单并承担相应的法律责任。</w:t>
      </w:r>
    </w:p>
    <w:p w14:paraId="701BBE27">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（三）磋商文件的澄清或者修改</w:t>
      </w:r>
    </w:p>
    <w:p w14:paraId="3CD4800E">
      <w:pPr>
        <w:adjustRightInd w:val="0"/>
        <w:snapToGrid w:val="0"/>
        <w:spacing w:line="360" w:lineRule="auto"/>
        <w:ind w:firstLine="480" w:firstLineChars="200"/>
        <w:rPr>
          <w:rFonts w:ascii="宋体"/>
          <w:kern w:val="0"/>
          <w:sz w:val="24"/>
        </w:rPr>
      </w:pPr>
      <w:r>
        <w:rPr>
          <w:rFonts w:hint="eastAsia" w:ascii="宋体" w:hAnsi="宋体"/>
          <w:kern w:val="0"/>
          <w:sz w:val="24"/>
        </w:rPr>
        <w:t>1.</w:t>
      </w:r>
      <w:r>
        <w:rPr>
          <w:rFonts w:ascii="宋体"/>
          <w:kern w:val="0"/>
          <w:sz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61819AB7">
      <w:pPr>
        <w:adjustRightInd w:val="0"/>
        <w:snapToGrid w:val="0"/>
        <w:spacing w:line="360" w:lineRule="auto"/>
        <w:ind w:firstLine="480" w:firstLineChars="200"/>
        <w:rPr>
          <w:rFonts w:ascii="宋体"/>
          <w:kern w:val="0"/>
          <w:sz w:val="24"/>
        </w:rPr>
      </w:pPr>
      <w:r>
        <w:rPr>
          <w:rFonts w:hint="eastAsia" w:ascii="宋体"/>
          <w:kern w:val="0"/>
          <w:sz w:val="24"/>
        </w:rPr>
        <w:t>2.磋商文件的修改书将构成磋商文件的一部分，对</w:t>
      </w:r>
      <w:r>
        <w:rPr>
          <w:rFonts w:hint="eastAsia" w:ascii="宋体" w:hAnsi="宋体"/>
          <w:sz w:val="24"/>
          <w:shd w:val="clear" w:color="auto" w:fill="FFFFFF"/>
        </w:rPr>
        <w:t>竞争性磋商</w:t>
      </w:r>
      <w:r>
        <w:rPr>
          <w:rFonts w:hint="eastAsia" w:ascii="宋体"/>
          <w:kern w:val="0"/>
          <w:sz w:val="24"/>
        </w:rPr>
        <w:t>供应商有约束力。</w:t>
      </w:r>
    </w:p>
    <w:p w14:paraId="58B74EFF">
      <w:pPr>
        <w:adjustRightInd w:val="0"/>
        <w:snapToGrid w:val="0"/>
        <w:spacing w:line="360" w:lineRule="auto"/>
        <w:ind w:firstLine="480" w:firstLineChars="200"/>
        <w:rPr>
          <w:rFonts w:hint="eastAsia" w:ascii="黑体" w:hAnsi="黑体" w:eastAsia="黑体" w:cs="黑体"/>
          <w:b w:val="0"/>
          <w:kern w:val="0"/>
          <w:sz w:val="24"/>
        </w:rPr>
      </w:pPr>
      <w:r>
        <w:rPr>
          <w:rFonts w:hint="eastAsia" w:ascii="黑体" w:hAnsi="黑体" w:eastAsia="黑体" w:cs="黑体"/>
          <w:b w:val="0"/>
          <w:kern w:val="0"/>
          <w:sz w:val="24"/>
        </w:rPr>
        <w:t>三、响应文件</w:t>
      </w:r>
    </w:p>
    <w:p w14:paraId="48B951E2">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（一）</w:t>
      </w:r>
      <w:r>
        <w:rPr>
          <w:rFonts w:hint="eastAsia" w:ascii="楷体" w:hAnsi="楷体" w:eastAsia="楷体" w:cs="楷体"/>
          <w:sz w:val="24"/>
          <w:shd w:val="clear" w:color="auto" w:fill="FFFFFF"/>
        </w:rPr>
        <w:t>响应文件</w:t>
      </w:r>
      <w:r>
        <w:rPr>
          <w:rFonts w:hint="eastAsia" w:ascii="楷体" w:hAnsi="楷体" w:eastAsia="楷体" w:cs="楷体"/>
          <w:kern w:val="0"/>
          <w:sz w:val="24"/>
        </w:rPr>
        <w:t>的要求</w:t>
      </w:r>
    </w:p>
    <w:p w14:paraId="7AC38339">
      <w:pPr>
        <w:adjustRightInd w:val="0"/>
        <w:snapToGrid w:val="0"/>
        <w:spacing w:line="360" w:lineRule="auto"/>
        <w:ind w:firstLine="480" w:firstLineChars="200"/>
        <w:rPr>
          <w:rFonts w:ascii="宋体"/>
          <w:kern w:val="0"/>
          <w:sz w:val="24"/>
        </w:rPr>
      </w:pPr>
      <w:r>
        <w:rPr>
          <w:rFonts w:hint="eastAsia" w:ascii="宋体"/>
          <w:kern w:val="0"/>
          <w:sz w:val="24"/>
        </w:rPr>
        <w:t>1.</w:t>
      </w:r>
      <w:r>
        <w:rPr>
          <w:rFonts w:hint="eastAsia" w:ascii="宋体" w:hAnsi="宋体"/>
          <w:sz w:val="24"/>
          <w:shd w:val="clear" w:color="auto" w:fill="FFFFFF"/>
        </w:rPr>
        <w:t>竞争性磋商</w:t>
      </w:r>
      <w:r>
        <w:rPr>
          <w:rFonts w:hint="eastAsia" w:ascii="宋体"/>
          <w:kern w:val="0"/>
          <w:sz w:val="24"/>
        </w:rPr>
        <w:t>供应商应仔细阅读磋商文件的所有内容，按磋商文件的要求，详细编制响应文件，并保证响应文件的正确性和真实性。</w:t>
      </w:r>
    </w:p>
    <w:p w14:paraId="2E90FAA2">
      <w:pPr>
        <w:adjustRightInd w:val="0"/>
        <w:snapToGrid w:val="0"/>
        <w:spacing w:line="360" w:lineRule="auto"/>
        <w:ind w:firstLine="480" w:firstLineChars="200"/>
        <w:rPr>
          <w:rFonts w:ascii="宋体"/>
          <w:kern w:val="0"/>
          <w:sz w:val="24"/>
        </w:rPr>
      </w:pPr>
      <w:r>
        <w:rPr>
          <w:rFonts w:hint="eastAsia" w:ascii="宋体"/>
          <w:kern w:val="0"/>
          <w:sz w:val="24"/>
        </w:rPr>
        <w:t>2.不按磋商文件的资格要求提供的</w:t>
      </w:r>
      <w:r>
        <w:rPr>
          <w:rFonts w:hint="eastAsia" w:ascii="宋体" w:hAnsi="宋体"/>
          <w:sz w:val="24"/>
          <w:shd w:val="clear" w:color="auto" w:fill="FFFFFF"/>
        </w:rPr>
        <w:t>响应</w:t>
      </w:r>
      <w:r>
        <w:rPr>
          <w:rFonts w:hint="eastAsia" w:ascii="宋体"/>
          <w:kern w:val="0"/>
          <w:sz w:val="24"/>
        </w:rPr>
        <w:t>文件将被拒绝。</w:t>
      </w:r>
    </w:p>
    <w:p w14:paraId="6D34E9F4">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（二）</w:t>
      </w:r>
      <w:r>
        <w:rPr>
          <w:rFonts w:hint="eastAsia" w:ascii="楷体" w:hAnsi="楷体" w:eastAsia="楷体" w:cs="楷体"/>
          <w:sz w:val="24"/>
          <w:shd w:val="clear" w:color="auto" w:fill="FFFFFF"/>
        </w:rPr>
        <w:t>响应文件</w:t>
      </w:r>
      <w:r>
        <w:rPr>
          <w:rFonts w:hint="eastAsia" w:ascii="楷体" w:hAnsi="楷体" w:eastAsia="楷体" w:cs="楷体"/>
          <w:kern w:val="0"/>
          <w:sz w:val="24"/>
        </w:rPr>
        <w:t>的组成</w:t>
      </w:r>
    </w:p>
    <w:p w14:paraId="187A4361">
      <w:pPr>
        <w:adjustRightInd w:val="0"/>
        <w:snapToGrid w:val="0"/>
        <w:spacing w:line="360" w:lineRule="auto"/>
        <w:ind w:firstLine="480" w:firstLineChars="200"/>
        <w:rPr>
          <w:rFonts w:ascii="宋体"/>
          <w:kern w:val="0"/>
          <w:sz w:val="24"/>
        </w:rPr>
      </w:pPr>
      <w:r>
        <w:rPr>
          <w:rFonts w:hint="eastAsia" w:ascii="宋体" w:hAnsi="宋体"/>
          <w:sz w:val="24"/>
          <w:shd w:val="clear" w:color="auto" w:fill="FFFFFF"/>
        </w:rPr>
        <w:t>竞争性磋商</w:t>
      </w:r>
      <w:r>
        <w:rPr>
          <w:rFonts w:hint="eastAsia" w:ascii="宋体"/>
          <w:kern w:val="0"/>
          <w:sz w:val="24"/>
        </w:rPr>
        <w:t xml:space="preserve">供应商获取磋商文件后，按照磋商文件中有关响应文件的规定和要求编制并提供竞争性磋商响应文件。供应商提交的响应文件主要由磋商文件中响应文件格式所列目录内容组成，需编写响应文件目录。 </w:t>
      </w:r>
    </w:p>
    <w:p w14:paraId="1DD8BF0F">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（三）成交服务费</w:t>
      </w:r>
    </w:p>
    <w:p w14:paraId="4C2A7336">
      <w:pPr>
        <w:pStyle w:val="21"/>
        <w:adjustRightInd w:val="0"/>
        <w:snapToGrid w:val="0"/>
        <w:spacing w:line="360" w:lineRule="auto"/>
        <w:ind w:firstLine="448" w:firstLineChars="200"/>
        <w:rPr>
          <w:rFonts w:hint="eastAsia" w:ascii="宋体" w:hAnsi="Courier New" w:eastAsia="宋体"/>
          <w:kern w:val="0"/>
        </w:rPr>
      </w:pPr>
      <w:r>
        <w:rPr>
          <w:rFonts w:hint="eastAsia" w:ascii="宋体" w:hAnsi="Courier New" w:eastAsia="宋体"/>
          <w:kern w:val="0"/>
        </w:rPr>
        <w:t>成交供应商应向海南省教学仪器设备招标中心有限公司支付的成交服务费，以成交金额为基数，成交服务费参照国家有关部门文件</w:t>
      </w:r>
      <w:r>
        <w:rPr>
          <w:rFonts w:hint="eastAsia"/>
          <w:kern w:val="0"/>
          <w:lang w:eastAsia="zh-CN"/>
        </w:rPr>
        <w:t>（</w:t>
      </w:r>
      <w:r>
        <w:rPr>
          <w:rFonts w:hint="eastAsia" w:ascii="宋体" w:hAnsi="Courier New" w:eastAsia="宋体"/>
          <w:kern w:val="0"/>
        </w:rPr>
        <w:t>计价格〔2002〕1980号文及发改价格〔2011〕534号文</w:t>
      </w:r>
      <w:r>
        <w:rPr>
          <w:rFonts w:hint="eastAsia"/>
          <w:kern w:val="0"/>
          <w:lang w:eastAsia="zh-CN"/>
        </w:rPr>
        <w:t>）</w:t>
      </w:r>
      <w:r>
        <w:rPr>
          <w:rFonts w:hint="eastAsia" w:ascii="宋体" w:hAnsi="Courier New" w:eastAsia="宋体"/>
          <w:kern w:val="0"/>
        </w:rPr>
        <w:t>规定收取，</w:t>
      </w:r>
      <w:r>
        <w:rPr>
          <w:rFonts w:hint="eastAsia" w:ascii="宋体" w:hAnsi="Courier New" w:eastAsia="宋体"/>
          <w:kern w:val="0"/>
          <w:lang w:val="en-US" w:eastAsia="zh-CN"/>
        </w:rPr>
        <w:t>不足</w:t>
      </w:r>
      <w:r>
        <w:rPr>
          <w:rFonts w:hint="eastAsia"/>
          <w:kern w:val="0"/>
          <w:lang w:val="en-US" w:eastAsia="zh-CN"/>
        </w:rPr>
        <w:t>3500</w:t>
      </w:r>
      <w:r>
        <w:rPr>
          <w:rFonts w:hint="eastAsia" w:ascii="宋体" w:hAnsi="Courier New" w:eastAsia="宋体"/>
          <w:kern w:val="0"/>
          <w:lang w:val="en-US" w:eastAsia="zh-CN"/>
        </w:rPr>
        <w:t>.00元的按最低</w:t>
      </w:r>
      <w:r>
        <w:rPr>
          <w:rFonts w:hint="eastAsia"/>
          <w:kern w:val="0"/>
          <w:lang w:val="en-US" w:eastAsia="zh-CN"/>
        </w:rPr>
        <w:t>3500</w:t>
      </w:r>
      <w:r>
        <w:rPr>
          <w:rFonts w:hint="eastAsia" w:ascii="宋体" w:hAnsi="Courier New" w:eastAsia="宋体"/>
          <w:kern w:val="0"/>
          <w:lang w:val="en-US" w:eastAsia="zh-CN"/>
        </w:rPr>
        <w:t>.00元收取</w:t>
      </w:r>
      <w:r>
        <w:rPr>
          <w:rFonts w:hint="eastAsia" w:ascii="宋体" w:hAnsi="Courier New" w:eastAsia="宋体"/>
          <w:kern w:val="0"/>
        </w:rPr>
        <w:t>。</w:t>
      </w:r>
    </w:p>
    <w:p w14:paraId="6E4385E5">
      <w:pPr>
        <w:pStyle w:val="21"/>
        <w:adjustRightInd w:val="0"/>
        <w:snapToGrid w:val="0"/>
        <w:spacing w:line="360" w:lineRule="auto"/>
        <w:ind w:firstLine="448" w:firstLineChars="200"/>
        <w:rPr>
          <w:rFonts w:hint="default" w:ascii="宋体" w:hAnsi="Courier New" w:eastAsia="宋体"/>
          <w:b/>
          <w:bCs/>
          <w:kern w:val="0"/>
          <w:lang w:val="en-US" w:eastAsia="zh-CN"/>
        </w:rPr>
      </w:pPr>
      <w:r>
        <w:rPr>
          <w:rFonts w:hint="eastAsia"/>
          <w:b/>
          <w:bCs/>
          <w:kern w:val="0"/>
          <w:lang w:val="en-US" w:eastAsia="zh-CN"/>
        </w:rPr>
        <w:t>特别说明：本项目2包的成交服务费采购人已于与海南省智慧教育平台（一期）项目中支付，故本次采购2包成交供应商无需缴纳成交服务费。其余采购包正常按照上述内容收取。</w:t>
      </w:r>
    </w:p>
    <w:p w14:paraId="3CC38DE8">
      <w:pPr>
        <w:adjustRightInd w:val="0"/>
        <w:snapToGrid w:val="0"/>
        <w:spacing w:line="360" w:lineRule="auto"/>
        <w:ind w:firstLine="480" w:firstLineChars="200"/>
        <w:rPr>
          <w:rFonts w:ascii="宋体"/>
          <w:kern w:val="0"/>
          <w:sz w:val="24"/>
        </w:rPr>
      </w:pPr>
      <w:r>
        <w:rPr>
          <w:rFonts w:hint="eastAsia" w:ascii="楷体" w:hAnsi="楷体" w:eastAsia="楷体" w:cs="楷体"/>
          <w:kern w:val="0"/>
          <w:sz w:val="24"/>
        </w:rPr>
        <w:t>（四）</w:t>
      </w:r>
      <w:r>
        <w:rPr>
          <w:rFonts w:hint="eastAsia" w:ascii="楷体" w:hAnsi="楷体" w:eastAsia="楷体" w:cs="楷体"/>
          <w:sz w:val="24"/>
          <w:shd w:val="clear" w:color="auto" w:fill="FFFFFF"/>
        </w:rPr>
        <w:t>响应文件</w:t>
      </w:r>
      <w:r>
        <w:rPr>
          <w:rFonts w:hint="eastAsia" w:ascii="楷体" w:hAnsi="楷体" w:eastAsia="楷体" w:cs="楷体"/>
          <w:kern w:val="0"/>
          <w:sz w:val="24"/>
        </w:rPr>
        <w:t>的有效期</w:t>
      </w:r>
    </w:p>
    <w:p w14:paraId="4BD07F74">
      <w:pPr>
        <w:adjustRightInd w:val="0"/>
        <w:snapToGrid w:val="0"/>
        <w:spacing w:line="360" w:lineRule="auto"/>
        <w:ind w:firstLine="480" w:firstLineChars="200"/>
        <w:rPr>
          <w:rFonts w:ascii="宋体"/>
          <w:kern w:val="0"/>
          <w:sz w:val="24"/>
        </w:rPr>
      </w:pPr>
      <w:r>
        <w:rPr>
          <w:rFonts w:hint="eastAsia" w:ascii="宋体"/>
          <w:kern w:val="0"/>
          <w:sz w:val="24"/>
        </w:rPr>
        <w:t>1.自供应商</w:t>
      </w:r>
      <w:r>
        <w:rPr>
          <w:rFonts w:hint="eastAsia" w:ascii="宋体" w:hAnsi="宋体"/>
          <w:sz w:val="24"/>
        </w:rPr>
        <w:t>递交响应文件截止</w:t>
      </w:r>
      <w:r>
        <w:rPr>
          <w:rFonts w:hint="eastAsia" w:ascii="宋体"/>
          <w:kern w:val="0"/>
          <w:sz w:val="24"/>
        </w:rPr>
        <w:t>之日起90天内，</w:t>
      </w:r>
      <w:r>
        <w:rPr>
          <w:rFonts w:hint="eastAsia" w:ascii="宋体" w:hAnsi="宋体"/>
          <w:sz w:val="24"/>
          <w:shd w:val="clear" w:color="auto" w:fill="FFFFFF"/>
        </w:rPr>
        <w:t>响应文件</w:t>
      </w:r>
      <w:r>
        <w:rPr>
          <w:rFonts w:hint="eastAsia" w:ascii="宋体"/>
          <w:kern w:val="0"/>
          <w:sz w:val="24"/>
        </w:rPr>
        <w:t>应保持有效。有效期短于这个规定期限的</w:t>
      </w:r>
      <w:r>
        <w:rPr>
          <w:rFonts w:hint="eastAsia" w:ascii="宋体" w:hAnsi="宋体"/>
          <w:sz w:val="24"/>
          <w:shd w:val="clear" w:color="auto" w:fill="FFFFFF"/>
        </w:rPr>
        <w:t>竞争性磋商</w:t>
      </w:r>
      <w:r>
        <w:rPr>
          <w:rFonts w:hint="eastAsia" w:ascii="宋体"/>
          <w:kern w:val="0"/>
          <w:sz w:val="24"/>
        </w:rPr>
        <w:t>供应商将被拒绝。</w:t>
      </w:r>
    </w:p>
    <w:p w14:paraId="04E7DA02">
      <w:pPr>
        <w:adjustRightInd w:val="0"/>
        <w:snapToGrid w:val="0"/>
        <w:spacing w:line="360" w:lineRule="auto"/>
        <w:ind w:firstLine="480" w:firstLineChars="200"/>
        <w:rPr>
          <w:rFonts w:ascii="宋体"/>
          <w:kern w:val="0"/>
          <w:sz w:val="24"/>
        </w:rPr>
      </w:pPr>
      <w:r>
        <w:rPr>
          <w:rFonts w:hint="eastAsia" w:ascii="宋体"/>
          <w:kern w:val="0"/>
          <w:sz w:val="24"/>
        </w:rPr>
        <w:t>2.在特殊情况下，采购人可与</w:t>
      </w:r>
      <w:r>
        <w:rPr>
          <w:rFonts w:hint="eastAsia" w:ascii="宋体" w:hAnsi="宋体"/>
          <w:sz w:val="24"/>
          <w:shd w:val="clear" w:color="auto" w:fill="FFFFFF"/>
        </w:rPr>
        <w:t>竞争性磋商</w:t>
      </w:r>
      <w:r>
        <w:rPr>
          <w:rFonts w:hint="eastAsia" w:ascii="宋体"/>
          <w:kern w:val="0"/>
          <w:sz w:val="24"/>
        </w:rPr>
        <w:t>供应商协商延长响应文件的有效期，这种要求和答复均应以书面形式进行。</w:t>
      </w:r>
    </w:p>
    <w:p w14:paraId="4642C806">
      <w:pPr>
        <w:adjustRightInd w:val="0"/>
        <w:snapToGrid w:val="0"/>
        <w:spacing w:line="360" w:lineRule="auto"/>
        <w:ind w:firstLine="480" w:firstLineChars="200"/>
        <w:rPr>
          <w:rFonts w:ascii="宋体"/>
          <w:kern w:val="0"/>
          <w:sz w:val="24"/>
        </w:rPr>
      </w:pPr>
      <w:r>
        <w:rPr>
          <w:rFonts w:hint="eastAsia" w:ascii="宋体"/>
          <w:kern w:val="0"/>
          <w:sz w:val="24"/>
        </w:rPr>
        <w:t>3.</w:t>
      </w:r>
      <w:r>
        <w:rPr>
          <w:rFonts w:hint="eastAsia" w:ascii="宋体" w:hAnsi="宋体"/>
          <w:sz w:val="24"/>
          <w:shd w:val="clear" w:color="auto" w:fill="FFFFFF"/>
        </w:rPr>
        <w:t>竞争性磋商供应商可拒绝接受延期要求；同意延长有效期的竞争性磋商供应商不能修改响应文件。</w:t>
      </w:r>
    </w:p>
    <w:p w14:paraId="51EF255D">
      <w:pPr>
        <w:adjustRightInd w:val="0"/>
        <w:snapToGrid w:val="0"/>
        <w:spacing w:line="360" w:lineRule="auto"/>
        <w:ind w:firstLine="480" w:firstLineChars="200"/>
        <w:rPr>
          <w:rFonts w:hint="eastAsia" w:ascii="黑体" w:hAnsi="黑体" w:eastAsia="黑体" w:cs="黑体"/>
          <w:b w:val="0"/>
          <w:kern w:val="0"/>
          <w:sz w:val="24"/>
        </w:rPr>
      </w:pPr>
      <w:r>
        <w:rPr>
          <w:rFonts w:hint="eastAsia" w:ascii="黑体" w:hAnsi="黑体" w:eastAsia="黑体" w:cs="黑体"/>
          <w:b w:val="0"/>
          <w:kern w:val="0"/>
          <w:sz w:val="24"/>
        </w:rPr>
        <w:t>四、</w:t>
      </w:r>
      <w:r>
        <w:rPr>
          <w:rFonts w:hint="eastAsia" w:ascii="黑体" w:hAnsi="黑体" w:eastAsia="黑体" w:cs="黑体"/>
          <w:b w:val="0"/>
          <w:kern w:val="0"/>
          <w:sz w:val="24"/>
          <w:shd w:val="clear" w:color="auto" w:fill="auto"/>
        </w:rPr>
        <w:t>响应文件</w:t>
      </w:r>
      <w:r>
        <w:rPr>
          <w:rFonts w:hint="eastAsia" w:ascii="黑体" w:hAnsi="黑体" w:eastAsia="黑体" w:cs="黑体"/>
          <w:b w:val="0"/>
          <w:kern w:val="0"/>
          <w:sz w:val="24"/>
        </w:rPr>
        <w:t>的递交</w:t>
      </w:r>
    </w:p>
    <w:p w14:paraId="7AE14B2F">
      <w:pPr>
        <w:adjustRightInd w:val="0"/>
        <w:snapToGrid w:val="0"/>
        <w:spacing w:line="360" w:lineRule="auto"/>
        <w:ind w:firstLine="480" w:firstLineChars="200"/>
        <w:rPr>
          <w:rFonts w:ascii="宋体"/>
          <w:kern w:val="0"/>
          <w:sz w:val="24"/>
        </w:rPr>
      </w:pPr>
      <w:r>
        <w:rPr>
          <w:rFonts w:hint="eastAsia" w:ascii="宋体" w:hAnsi="宋体"/>
          <w:sz w:val="24"/>
          <w:shd w:val="clear" w:color="auto" w:fill="FFFFFF"/>
        </w:rPr>
        <w:t>响应文件</w:t>
      </w:r>
      <w:r>
        <w:rPr>
          <w:rFonts w:hint="eastAsia" w:ascii="宋体"/>
          <w:kern w:val="0"/>
          <w:sz w:val="24"/>
        </w:rPr>
        <w:t>应按以下方法分别装袋密封。</w:t>
      </w:r>
    </w:p>
    <w:p w14:paraId="488B8F1B">
      <w:pPr>
        <w:adjustRightInd w:val="0"/>
        <w:snapToGrid w:val="0"/>
        <w:spacing w:line="360" w:lineRule="auto"/>
        <w:ind w:firstLine="480" w:firstLineChars="200"/>
        <w:rPr>
          <w:rFonts w:ascii="宋体"/>
          <w:kern w:val="0"/>
          <w:sz w:val="24"/>
        </w:rPr>
      </w:pPr>
      <w:r>
        <w:rPr>
          <w:rFonts w:hint="eastAsia" w:ascii="宋体"/>
          <w:kern w:val="0"/>
          <w:sz w:val="24"/>
        </w:rPr>
        <w:t>（</w:t>
      </w:r>
      <w:r>
        <w:rPr>
          <w:rFonts w:ascii="宋体"/>
          <w:kern w:val="0"/>
          <w:sz w:val="24"/>
        </w:rPr>
        <w:t>1</w:t>
      </w:r>
      <w:r>
        <w:rPr>
          <w:rFonts w:hint="eastAsia" w:ascii="宋体"/>
          <w:kern w:val="0"/>
          <w:sz w:val="24"/>
        </w:rPr>
        <w:t>）所有“正本”“副本”响应文件资料按以上所列内容装订成册，并在封面上标明“正本”和 “副本”字样。</w:t>
      </w:r>
    </w:p>
    <w:p w14:paraId="77E1C076">
      <w:pPr>
        <w:adjustRightInd w:val="0"/>
        <w:snapToGrid w:val="0"/>
        <w:spacing w:line="360" w:lineRule="auto"/>
        <w:ind w:firstLine="480" w:firstLineChars="200"/>
        <w:rPr>
          <w:rFonts w:ascii="宋体"/>
          <w:kern w:val="0"/>
          <w:sz w:val="24"/>
        </w:rPr>
      </w:pPr>
      <w:r>
        <w:rPr>
          <w:rFonts w:hint="eastAsia" w:ascii="宋体"/>
          <w:kern w:val="0"/>
          <w:sz w:val="24"/>
        </w:rPr>
        <w:t>（</w:t>
      </w:r>
      <w:r>
        <w:rPr>
          <w:rFonts w:ascii="宋体"/>
          <w:kern w:val="0"/>
          <w:sz w:val="24"/>
        </w:rPr>
        <w:t>2</w:t>
      </w:r>
      <w:r>
        <w:rPr>
          <w:rFonts w:hint="eastAsia" w:ascii="宋体"/>
          <w:kern w:val="0"/>
          <w:sz w:val="24"/>
        </w:rPr>
        <w:t>）</w:t>
      </w:r>
      <w:r>
        <w:rPr>
          <w:rFonts w:hint="eastAsia" w:ascii="宋体" w:hAnsi="宋体"/>
          <w:sz w:val="24"/>
          <w:shd w:val="clear" w:color="auto" w:fill="FFFFFF"/>
        </w:rPr>
        <w:t>竞争性磋商</w:t>
      </w:r>
      <w:r>
        <w:rPr>
          <w:rFonts w:hint="eastAsia" w:ascii="宋体"/>
          <w:kern w:val="0"/>
          <w:sz w:val="24"/>
        </w:rPr>
        <w:t>响应文件密封袋内正本一份、副本</w:t>
      </w:r>
      <w:r>
        <w:rPr>
          <w:rFonts w:hint="eastAsia" w:ascii="宋体"/>
          <w:kern w:val="0"/>
          <w:sz w:val="24"/>
          <w:lang w:val="en-US" w:eastAsia="zh-CN"/>
        </w:rPr>
        <w:t>两</w:t>
      </w:r>
      <w:r>
        <w:rPr>
          <w:rFonts w:hint="eastAsia" w:ascii="宋体"/>
          <w:kern w:val="0"/>
          <w:sz w:val="24"/>
        </w:rPr>
        <w:t>份。封口处有供应商公章。封面上写明项目编号、项目名称、供应商名称，并注明“响应文件</w:t>
      </w:r>
      <w:r>
        <w:rPr>
          <w:rFonts w:hint="eastAsia" w:ascii="宋体"/>
          <w:kern w:val="0"/>
          <w:sz w:val="24"/>
          <w:lang w:eastAsia="zh-CN"/>
        </w:rPr>
        <w:t>”“</w:t>
      </w:r>
      <w:r>
        <w:rPr>
          <w:rFonts w:hint="eastAsia" w:ascii="宋体"/>
          <w:kern w:val="0"/>
          <w:sz w:val="24"/>
        </w:rPr>
        <w:t>开启截止时间前请勿启封”字样。</w:t>
      </w:r>
    </w:p>
    <w:p w14:paraId="1193298E">
      <w:pPr>
        <w:adjustRightInd w:val="0"/>
        <w:snapToGrid w:val="0"/>
        <w:spacing w:line="360" w:lineRule="auto"/>
        <w:ind w:firstLine="480" w:firstLineChars="200"/>
        <w:rPr>
          <w:rFonts w:ascii="宋体"/>
          <w:kern w:val="0"/>
          <w:sz w:val="24"/>
        </w:rPr>
      </w:pPr>
      <w:r>
        <w:rPr>
          <w:rFonts w:hint="eastAsia" w:ascii="宋体"/>
          <w:kern w:val="0"/>
          <w:sz w:val="24"/>
        </w:rPr>
        <w:t>（3）</w:t>
      </w:r>
      <w:r>
        <w:rPr>
          <w:rFonts w:hint="eastAsia" w:ascii="宋体" w:hAnsi="宋体"/>
          <w:sz w:val="24"/>
          <w:shd w:val="clear" w:color="auto" w:fill="FFFFFF"/>
        </w:rPr>
        <w:t>响应文件</w:t>
      </w:r>
      <w:r>
        <w:rPr>
          <w:rFonts w:hint="eastAsia" w:ascii="宋体"/>
          <w:kern w:val="0"/>
          <w:sz w:val="24"/>
        </w:rPr>
        <w:t>自制部分必须打印，每页按顺序加注页码，装订牢固且不会轻易脱落</w:t>
      </w:r>
      <w:r>
        <w:rPr>
          <w:rFonts w:hint="eastAsia" w:ascii="宋体"/>
          <w:b/>
          <w:bCs/>
          <w:kern w:val="0"/>
          <w:sz w:val="24"/>
        </w:rPr>
        <w:t>（注：胶装）</w:t>
      </w:r>
      <w:r>
        <w:rPr>
          <w:rFonts w:hint="eastAsia" w:ascii="宋体"/>
          <w:kern w:val="0"/>
          <w:sz w:val="24"/>
        </w:rPr>
        <w:t>。如因装订问题而出现漏页或缺页，由此产生的一切后果由供应商自行承担。</w:t>
      </w:r>
    </w:p>
    <w:p w14:paraId="1AE26D37">
      <w:pPr>
        <w:adjustRightInd w:val="0"/>
        <w:snapToGrid w:val="0"/>
        <w:spacing w:line="360" w:lineRule="auto"/>
        <w:ind w:firstLine="480" w:firstLineChars="200"/>
        <w:rPr>
          <w:rFonts w:ascii="宋体"/>
          <w:kern w:val="0"/>
          <w:sz w:val="24"/>
        </w:rPr>
      </w:pPr>
      <w:r>
        <w:rPr>
          <w:rFonts w:hint="eastAsia" w:ascii="宋体"/>
          <w:kern w:val="0"/>
          <w:sz w:val="24"/>
        </w:rPr>
        <w:t>（4）供应商的授权代表须携带《法定代表人授权书》及个人身份证原件亲临磋商谈判现场以备查验。其现场所签署确认的文件均代表供应商单位的决定，并作为</w:t>
      </w:r>
      <w:r>
        <w:rPr>
          <w:rFonts w:hint="eastAsia" w:ascii="宋体" w:hAnsi="宋体"/>
          <w:sz w:val="24"/>
          <w:shd w:val="clear" w:color="auto" w:fill="FFFFFF"/>
        </w:rPr>
        <w:t>响应文件</w:t>
      </w:r>
      <w:r>
        <w:rPr>
          <w:rFonts w:hint="eastAsia" w:ascii="宋体"/>
          <w:kern w:val="0"/>
          <w:sz w:val="24"/>
        </w:rPr>
        <w:t>的补充内容，具有同等法律效力。</w:t>
      </w:r>
    </w:p>
    <w:p w14:paraId="45A23F8B">
      <w:pPr>
        <w:pStyle w:val="30"/>
        <w:adjustRightInd w:val="0"/>
        <w:snapToGrid w:val="0"/>
        <w:spacing w:line="360" w:lineRule="auto"/>
        <w:ind w:firstLine="480" w:firstLineChars="200"/>
        <w:rPr>
          <w:b w:val="0"/>
          <w:bCs w:val="0"/>
          <w:sz w:val="24"/>
          <w:szCs w:val="24"/>
        </w:rPr>
      </w:pPr>
      <w:r>
        <w:rPr>
          <w:rFonts w:hint="eastAsia" w:ascii="宋体"/>
          <w:b w:val="0"/>
          <w:bCs w:val="0"/>
          <w:kern w:val="0"/>
          <w:sz w:val="24"/>
          <w:szCs w:val="24"/>
        </w:rPr>
        <w:t>（5）</w:t>
      </w:r>
      <w:r>
        <w:rPr>
          <w:rFonts w:hint="eastAsia"/>
          <w:b w:val="0"/>
          <w:bCs w:val="0"/>
          <w:sz w:val="24"/>
          <w:szCs w:val="24"/>
        </w:rPr>
        <w:t>供应商应当在磋商文件要求的截止时间前，将响应文件密封送达指定地点。在截止时间后送达的响应文件为无效文件，采购人、采购代理机构或者磋商小组应当拒收。</w:t>
      </w:r>
    </w:p>
    <w:p w14:paraId="4D75D20F">
      <w:pPr>
        <w:pStyle w:val="30"/>
        <w:adjustRightInd w:val="0"/>
        <w:snapToGrid w:val="0"/>
        <w:spacing w:line="360" w:lineRule="auto"/>
        <w:ind w:firstLine="480" w:firstLineChars="200"/>
        <w:rPr>
          <w:rFonts w:ascii="宋体"/>
          <w:kern w:val="0"/>
          <w:sz w:val="24"/>
        </w:rPr>
      </w:pPr>
      <w:r>
        <w:rPr>
          <w:rFonts w:hint="eastAsia" w:ascii="宋体"/>
          <w:kern w:val="0"/>
          <w:sz w:val="24"/>
        </w:rPr>
        <w:t>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6F6086DB">
      <w:pPr>
        <w:adjustRightInd w:val="0"/>
        <w:snapToGrid w:val="0"/>
        <w:spacing w:line="360" w:lineRule="auto"/>
        <w:ind w:firstLine="480" w:firstLineChars="200"/>
        <w:rPr>
          <w:rFonts w:hint="eastAsia" w:ascii="黑体" w:hAnsi="黑体" w:eastAsia="黑体" w:cs="黑体"/>
          <w:b w:val="0"/>
          <w:kern w:val="0"/>
          <w:sz w:val="24"/>
        </w:rPr>
      </w:pPr>
      <w:r>
        <w:rPr>
          <w:rFonts w:hint="eastAsia" w:ascii="黑体" w:hAnsi="黑体" w:eastAsia="黑体" w:cs="黑体"/>
          <w:b w:val="0"/>
          <w:kern w:val="0"/>
          <w:sz w:val="24"/>
        </w:rPr>
        <w:t>五、磋商和评审</w:t>
      </w:r>
    </w:p>
    <w:p w14:paraId="1719AF33">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（一）磋商小组</w:t>
      </w:r>
    </w:p>
    <w:p w14:paraId="0A626AE8">
      <w:pPr>
        <w:adjustRightInd w:val="0"/>
        <w:snapToGrid w:val="0"/>
        <w:spacing w:line="360" w:lineRule="auto"/>
        <w:ind w:firstLine="480" w:firstLineChars="200"/>
        <w:rPr>
          <w:rFonts w:ascii="宋体"/>
          <w:kern w:val="0"/>
          <w:sz w:val="24"/>
        </w:rPr>
      </w:pPr>
      <w:r>
        <w:rPr>
          <w:rFonts w:hint="eastAsia" w:ascii="宋体"/>
          <w:kern w:val="0"/>
          <w:sz w:val="24"/>
        </w:rPr>
        <w:t>采购代理机构将根据本次竞争性磋商采购的特点，按照竞争性磋商文件和相关法律法规规定成立磋商小组。磋商小组对响应文件进行审查、质疑、评估和比较，并进行磋商。</w:t>
      </w:r>
      <w:r>
        <w:rPr>
          <w:rFonts w:hint="eastAsia" w:ascii="宋体" w:hAnsi="宋体"/>
          <w:sz w:val="24"/>
        </w:rPr>
        <w:t>磋商小组判断“响应文件”的响应性，仅基于“响应文件”本身而不靠外部证据。</w:t>
      </w:r>
    </w:p>
    <w:p w14:paraId="2608CCDE">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（二）磋商、评审</w:t>
      </w:r>
    </w:p>
    <w:p w14:paraId="222455BA">
      <w:pPr>
        <w:pStyle w:val="35"/>
        <w:spacing w:line="360" w:lineRule="auto"/>
        <w:rPr>
          <w:rFonts w:hint="eastAsia" w:ascii="宋体"/>
          <w:kern w:val="0"/>
          <w:sz w:val="24"/>
          <w:szCs w:val="24"/>
        </w:rPr>
      </w:pPr>
      <w:r>
        <w:rPr>
          <w:rFonts w:hint="eastAsia" w:ascii="宋体"/>
          <w:kern w:val="0"/>
          <w:sz w:val="24"/>
          <w:szCs w:val="24"/>
        </w:rPr>
        <w:t>1.采购代理机构按磋商文件规定的时间、地点组织磋商，参加磋商的供应商代表须持本人身份证（法定代表人到场磋商的须同时带法定代表人身份证明，授权代表到场磋商的须同时带授权书）到现场/线上参加磋商。未派授权代表或不能证明其身份的供应商，采购代理机构对其磋商响应文件的处理不承担责任。</w:t>
      </w:r>
    </w:p>
    <w:p w14:paraId="01261783">
      <w:pPr>
        <w:pStyle w:val="35"/>
        <w:spacing w:line="360" w:lineRule="auto"/>
        <w:rPr>
          <w:rFonts w:hint="eastAsia" w:ascii="宋体"/>
          <w:kern w:val="0"/>
          <w:sz w:val="24"/>
          <w:szCs w:val="24"/>
        </w:rPr>
      </w:pPr>
      <w:r>
        <w:rPr>
          <w:rFonts w:hint="eastAsia" w:ascii="宋体"/>
          <w:kern w:val="0"/>
          <w:sz w:val="24"/>
          <w:szCs w:val="24"/>
        </w:rPr>
        <w:t>2.主持人按下列程序推进磋商相关工作：</w:t>
      </w:r>
    </w:p>
    <w:p w14:paraId="4791F256">
      <w:pPr>
        <w:pStyle w:val="35"/>
        <w:spacing w:line="360" w:lineRule="auto"/>
        <w:rPr>
          <w:rFonts w:ascii="宋体"/>
          <w:kern w:val="0"/>
          <w:sz w:val="24"/>
        </w:rPr>
      </w:pPr>
      <w:r>
        <w:rPr>
          <w:rFonts w:hint="eastAsia" w:ascii="宋体"/>
          <w:kern w:val="0"/>
          <w:sz w:val="24"/>
        </w:rPr>
        <w:t>（1）宣布纪律；</w:t>
      </w:r>
    </w:p>
    <w:p w14:paraId="1351A6C4">
      <w:pPr>
        <w:pStyle w:val="35"/>
        <w:spacing w:line="360" w:lineRule="auto"/>
        <w:rPr>
          <w:rFonts w:ascii="宋体"/>
          <w:kern w:val="0"/>
          <w:sz w:val="24"/>
        </w:rPr>
      </w:pPr>
      <w:r>
        <w:rPr>
          <w:rFonts w:hint="eastAsia" w:ascii="宋体"/>
          <w:kern w:val="0"/>
          <w:sz w:val="24"/>
        </w:rPr>
        <w:t>（2）公布在截止时间前提交响应文件的供应商名称，并点名确认供应商是否派人到场；</w:t>
      </w:r>
    </w:p>
    <w:p w14:paraId="2D1B1018">
      <w:pPr>
        <w:pStyle w:val="35"/>
        <w:spacing w:line="360" w:lineRule="auto"/>
        <w:rPr>
          <w:rFonts w:ascii="宋体"/>
          <w:kern w:val="0"/>
          <w:sz w:val="24"/>
        </w:rPr>
      </w:pPr>
      <w:r>
        <w:rPr>
          <w:rFonts w:hint="eastAsia" w:ascii="宋体"/>
          <w:kern w:val="0"/>
          <w:sz w:val="24"/>
        </w:rPr>
        <w:t>（3）宣布主持人、唱价人、记录人、监督人等有关人员姓名；</w:t>
      </w:r>
    </w:p>
    <w:p w14:paraId="78C3E63B">
      <w:pPr>
        <w:pStyle w:val="35"/>
        <w:spacing w:line="360" w:lineRule="auto"/>
        <w:rPr>
          <w:rFonts w:ascii="宋体"/>
          <w:kern w:val="0"/>
          <w:sz w:val="24"/>
        </w:rPr>
      </w:pPr>
      <w:r>
        <w:rPr>
          <w:rFonts w:hint="eastAsia" w:ascii="宋体"/>
          <w:kern w:val="0"/>
          <w:sz w:val="24"/>
        </w:rPr>
        <w:t>（4）按照供应商须知规定检查响应文件的密封等情况；</w:t>
      </w:r>
    </w:p>
    <w:p w14:paraId="7A0C5D95">
      <w:pPr>
        <w:pStyle w:val="35"/>
        <w:spacing w:line="360" w:lineRule="auto"/>
        <w:rPr>
          <w:rFonts w:ascii="宋体"/>
          <w:kern w:val="0"/>
          <w:sz w:val="24"/>
        </w:rPr>
      </w:pPr>
      <w:r>
        <w:rPr>
          <w:rFonts w:hint="eastAsia" w:ascii="宋体"/>
          <w:kern w:val="0"/>
          <w:sz w:val="24"/>
        </w:rPr>
        <w:t>（5）按照随机顺序开启密封的响应文件；</w:t>
      </w:r>
    </w:p>
    <w:p w14:paraId="214C3B3A">
      <w:pPr>
        <w:pStyle w:val="35"/>
        <w:spacing w:line="360" w:lineRule="auto"/>
        <w:rPr>
          <w:rFonts w:ascii="宋体"/>
          <w:kern w:val="0"/>
          <w:sz w:val="24"/>
        </w:rPr>
      </w:pPr>
      <w:r>
        <w:rPr>
          <w:rFonts w:hint="eastAsia" w:ascii="宋体"/>
          <w:kern w:val="0"/>
          <w:sz w:val="24"/>
        </w:rPr>
        <w:t>（6）按照宣布的磋商顺序，当众公布供应商名称、响应文件份数及其他内容，并记录在案；</w:t>
      </w:r>
    </w:p>
    <w:p w14:paraId="2B4105A9">
      <w:pPr>
        <w:pStyle w:val="35"/>
        <w:spacing w:line="360" w:lineRule="auto"/>
        <w:rPr>
          <w:rFonts w:ascii="宋体"/>
          <w:kern w:val="0"/>
          <w:sz w:val="24"/>
        </w:rPr>
      </w:pPr>
      <w:r>
        <w:rPr>
          <w:rFonts w:hint="eastAsia" w:ascii="宋体"/>
          <w:kern w:val="0"/>
          <w:sz w:val="24"/>
        </w:rPr>
        <w:t>（7）供应商代表、采购人代表、主持人、监督人、记录人等有关人员在记录上签字确认。</w:t>
      </w:r>
    </w:p>
    <w:p w14:paraId="7DF6B968">
      <w:pPr>
        <w:pStyle w:val="35"/>
        <w:spacing w:line="360" w:lineRule="auto"/>
        <w:rPr>
          <w:rFonts w:ascii="宋体"/>
          <w:kern w:val="0"/>
          <w:sz w:val="24"/>
        </w:rPr>
      </w:pPr>
      <w:r>
        <w:rPr>
          <w:rFonts w:hint="eastAsia" w:ascii="宋体"/>
          <w:kern w:val="0"/>
          <w:sz w:val="24"/>
        </w:rPr>
        <w:t>3.初步审查。磋商小组按照竞争性磋商文件中关于初步审查的规定（详见初步审查表）对供应商提供的响应文件进行初步审查，初步审查的内容有一项不满足的，则响应文件无效。</w:t>
      </w:r>
    </w:p>
    <w:p w14:paraId="21FC19F1">
      <w:pPr>
        <w:pStyle w:val="35"/>
        <w:spacing w:line="360" w:lineRule="auto"/>
        <w:rPr>
          <w:rFonts w:ascii="宋体"/>
          <w:kern w:val="0"/>
          <w:sz w:val="24"/>
        </w:rPr>
      </w:pPr>
      <w:r>
        <w:rPr>
          <w:rFonts w:hint="eastAsia" w:ascii="宋体"/>
          <w:kern w:val="0"/>
          <w:sz w:val="24"/>
        </w:rPr>
        <w:t>4.响应文件的澄清</w:t>
      </w:r>
    </w:p>
    <w:p w14:paraId="0ABB0771">
      <w:pPr>
        <w:pStyle w:val="35"/>
        <w:spacing w:line="360" w:lineRule="auto"/>
        <w:rPr>
          <w:rFonts w:ascii="宋体"/>
          <w:kern w:val="0"/>
          <w:sz w:val="24"/>
        </w:rPr>
      </w:pPr>
      <w:r>
        <w:rPr>
          <w:rFonts w:hint="eastAsia" w:ascii="宋体"/>
          <w:kern w:val="0"/>
          <w:sz w:val="24"/>
        </w:rPr>
        <w:t>（1）磋商小组在对响应文件的有效性、完整性和响应程度等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A5DD7C">
      <w:pPr>
        <w:pStyle w:val="35"/>
        <w:spacing w:line="360" w:lineRule="auto"/>
        <w:rPr>
          <w:rFonts w:ascii="宋体"/>
          <w:kern w:val="0"/>
          <w:sz w:val="24"/>
        </w:rPr>
      </w:pPr>
      <w:r>
        <w:rPr>
          <w:rFonts w:hint="eastAsia" w:ascii="宋体"/>
          <w:kern w:val="0"/>
          <w:sz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1ABD2C7">
      <w:pPr>
        <w:pStyle w:val="35"/>
        <w:spacing w:line="360" w:lineRule="auto"/>
        <w:rPr>
          <w:rFonts w:ascii="宋体"/>
          <w:kern w:val="0"/>
          <w:sz w:val="24"/>
        </w:rPr>
      </w:pPr>
      <w:r>
        <w:rPr>
          <w:rFonts w:hint="eastAsia" w:ascii="宋体"/>
          <w:kern w:val="0"/>
          <w:sz w:val="24"/>
        </w:rPr>
        <w:t>5.磋商小组所有成员应当集中与单一供应商分别进行磋商，并给予所有参加磋商的供应商平等的磋商机会。</w:t>
      </w:r>
    </w:p>
    <w:p w14:paraId="3ED65521">
      <w:pPr>
        <w:pStyle w:val="35"/>
        <w:spacing w:line="360" w:lineRule="auto"/>
        <w:rPr>
          <w:rFonts w:ascii="宋体"/>
          <w:kern w:val="0"/>
          <w:sz w:val="24"/>
        </w:rPr>
      </w:pPr>
      <w:r>
        <w:rPr>
          <w:rFonts w:hint="eastAsia" w:ascii="宋体"/>
          <w:kern w:val="0"/>
          <w:sz w:val="24"/>
        </w:rPr>
        <w:t>6.在磋商过程中，磋商小组可以根据磋商文件和磋商情况实质性变动采购需求中的技术、服务要求以及合同草案条款，但不得变动磋商文件中的其他内容。实质性变动的内容，须经采购人代表确认。</w:t>
      </w:r>
    </w:p>
    <w:p w14:paraId="1F53F250">
      <w:pPr>
        <w:pStyle w:val="35"/>
        <w:spacing w:line="360" w:lineRule="auto"/>
        <w:rPr>
          <w:rFonts w:ascii="宋体"/>
          <w:kern w:val="0"/>
          <w:sz w:val="24"/>
        </w:rPr>
      </w:pPr>
      <w:r>
        <w:rPr>
          <w:rFonts w:hint="eastAsia" w:ascii="宋体"/>
          <w:kern w:val="0"/>
          <w:sz w:val="24"/>
        </w:rPr>
        <w:t>对磋商文件作出的实质性变动是磋商文件的有效组成部分，磋商小组应当及时以书面形式同时通知所有参加磋商的供应商。</w:t>
      </w:r>
    </w:p>
    <w:p w14:paraId="60A79147">
      <w:pPr>
        <w:pStyle w:val="35"/>
        <w:spacing w:line="360" w:lineRule="auto"/>
        <w:rPr>
          <w:rFonts w:ascii="宋体"/>
          <w:kern w:val="0"/>
          <w:sz w:val="24"/>
        </w:rPr>
      </w:pPr>
      <w:r>
        <w:rPr>
          <w:rFonts w:hint="eastAsia" w:ascii="宋体"/>
          <w:kern w:val="0"/>
          <w:sz w:val="24"/>
        </w:rPr>
        <w:t>7.供应商应当按照磋商文件的变动情况和磋商小组的要求重新提交响应文件，并由其法定代表人或授权代表签字或者加盖公章。由授权代表签字的，应当附法定代表人授权书。逾时不提交的，视同放弃磋商。</w:t>
      </w:r>
    </w:p>
    <w:p w14:paraId="4B177D69">
      <w:pPr>
        <w:pStyle w:val="35"/>
        <w:spacing w:line="360" w:lineRule="auto"/>
        <w:rPr>
          <w:rFonts w:ascii="宋体"/>
          <w:kern w:val="0"/>
          <w:sz w:val="24"/>
        </w:rPr>
      </w:pPr>
      <w:r>
        <w:rPr>
          <w:rFonts w:hint="eastAsia" w:ascii="宋体"/>
          <w:kern w:val="0"/>
          <w:sz w:val="24"/>
        </w:rPr>
        <w:t>8.提交响应文件的供应商不得少于3家（含）。磋商文件能够详细列明采购标的的技术、服务要求的，磋商结束后，磋商小组应当要求所有实质性响应的供应商在规定时间内提交最后报价，提交最后报价的供应商不得少于3家。</w:t>
      </w:r>
    </w:p>
    <w:p w14:paraId="6AF96C3D">
      <w:pPr>
        <w:pStyle w:val="35"/>
        <w:spacing w:line="360" w:lineRule="auto"/>
        <w:rPr>
          <w:rFonts w:ascii="宋体"/>
          <w:kern w:val="0"/>
          <w:sz w:val="24"/>
        </w:rPr>
      </w:pPr>
      <w:r>
        <w:rPr>
          <w:rFonts w:hint="eastAsia" w:ascii="宋体"/>
          <w:kern w:val="0"/>
          <w:sz w:val="24"/>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FC5A4D4">
      <w:pPr>
        <w:pStyle w:val="35"/>
        <w:spacing w:line="360" w:lineRule="auto"/>
        <w:rPr>
          <w:rFonts w:ascii="宋体"/>
          <w:kern w:val="0"/>
          <w:sz w:val="24"/>
        </w:rPr>
      </w:pPr>
      <w:r>
        <w:rPr>
          <w:rFonts w:hint="eastAsia" w:ascii="宋体"/>
          <w:kern w:val="0"/>
          <w:sz w:val="24"/>
        </w:rPr>
        <w:t>最后报价是供应商响应文件的有效组成部分。采用竞争性磋商采购方式采购的服务项目，在采购过程中符合要求的供应商只有2家的，竞争性磋商采购活动可以继续进行。</w:t>
      </w:r>
    </w:p>
    <w:p w14:paraId="4CD48DEB">
      <w:pPr>
        <w:pStyle w:val="35"/>
        <w:spacing w:line="360" w:lineRule="auto"/>
        <w:rPr>
          <w:rFonts w:ascii="宋体"/>
          <w:kern w:val="0"/>
          <w:sz w:val="24"/>
        </w:rPr>
      </w:pPr>
      <w:r>
        <w:rPr>
          <w:rFonts w:hint="eastAsia" w:ascii="宋体"/>
          <w:kern w:val="0"/>
          <w:sz w:val="24"/>
        </w:rPr>
        <w:t>9.已提交响应文件的供应商，在提交最后报价之前，可以根据磋商情况退出磋商。</w:t>
      </w:r>
    </w:p>
    <w:p w14:paraId="74373602">
      <w:pPr>
        <w:pStyle w:val="35"/>
        <w:spacing w:line="360" w:lineRule="auto"/>
        <w:rPr>
          <w:rFonts w:ascii="宋体"/>
          <w:kern w:val="0"/>
          <w:sz w:val="24"/>
        </w:rPr>
      </w:pPr>
      <w:r>
        <w:rPr>
          <w:rFonts w:hint="eastAsia" w:ascii="宋体"/>
          <w:kern w:val="0"/>
          <w:sz w:val="24"/>
        </w:rPr>
        <w:t>10.经磋商确定最终采购需求和提交最后报价的供应商后，由磋商小组采用综合评分法对提交最后报价的供应商的响应文件和最后报价进行综合评分。</w:t>
      </w:r>
    </w:p>
    <w:p w14:paraId="478BF971">
      <w:pPr>
        <w:pStyle w:val="35"/>
        <w:spacing w:line="360" w:lineRule="auto"/>
        <w:rPr>
          <w:rFonts w:ascii="宋体"/>
          <w:kern w:val="0"/>
          <w:sz w:val="24"/>
        </w:rPr>
      </w:pPr>
      <w:r>
        <w:rPr>
          <w:rFonts w:hint="eastAsia" w:ascii="宋体"/>
          <w:kern w:val="0"/>
          <w:sz w:val="24"/>
        </w:rPr>
        <w:t>11.评审时，磋商小组各成员应当独立对每个有效响应的文件进行评价、打分，然后汇总每个供应商每项评分因素的得分。</w:t>
      </w:r>
    </w:p>
    <w:p w14:paraId="68CE5C2D">
      <w:pPr>
        <w:pStyle w:val="35"/>
        <w:spacing w:line="360" w:lineRule="auto"/>
        <w:rPr>
          <w:rFonts w:ascii="宋体"/>
          <w:kern w:val="0"/>
          <w:sz w:val="24"/>
        </w:rPr>
      </w:pPr>
      <w:r>
        <w:rPr>
          <w:rFonts w:hint="eastAsia" w:ascii="宋体"/>
          <w:kern w:val="0"/>
          <w:sz w:val="24"/>
        </w:rPr>
        <w:t>12.综合评分法中的价格分统一采用低价优先法计算，即满足磋商文件要求且最后报价最低的供应商的价格为磋商基准价，其价格分为满分。</w:t>
      </w:r>
    </w:p>
    <w:p w14:paraId="555595E7">
      <w:pPr>
        <w:pStyle w:val="35"/>
        <w:spacing w:line="360" w:lineRule="auto"/>
        <w:rPr>
          <w:rFonts w:ascii="宋体"/>
          <w:kern w:val="0"/>
          <w:sz w:val="24"/>
        </w:rPr>
      </w:pPr>
      <w:r>
        <w:rPr>
          <w:rFonts w:hint="eastAsia" w:ascii="宋体"/>
          <w:kern w:val="0"/>
          <w:sz w:val="24"/>
        </w:rPr>
        <w:t>13.磋商小组根据综合评分情况，按照评审得分由高到低顺序推荐3名以上成交候选供应商（如提交最终报价的供应商只有2家的，推荐2家成交候选供应商），并编写评审报告。评审得分相同的，按照最后报价由低到高的顺序推荐。评审得分且最后报价相同的，按照技术指标优劣顺序推荐。</w:t>
      </w:r>
    </w:p>
    <w:p w14:paraId="2FD3A75B">
      <w:pPr>
        <w:pStyle w:val="35"/>
        <w:spacing w:line="360" w:lineRule="auto"/>
        <w:rPr>
          <w:rFonts w:ascii="宋体"/>
          <w:kern w:val="0"/>
          <w:sz w:val="24"/>
        </w:rPr>
      </w:pPr>
      <w:r>
        <w:rPr>
          <w:rFonts w:hint="eastAsia" w:ascii="宋体"/>
          <w:kern w:val="0"/>
          <w:sz w:val="24"/>
        </w:rPr>
        <w:t>14.出现下列情形之一的，按无效响应处理：</w:t>
      </w:r>
    </w:p>
    <w:p w14:paraId="790A57A1">
      <w:pPr>
        <w:pStyle w:val="35"/>
        <w:spacing w:line="360" w:lineRule="auto"/>
        <w:rPr>
          <w:rFonts w:ascii="宋体"/>
          <w:kern w:val="0"/>
          <w:sz w:val="24"/>
        </w:rPr>
      </w:pPr>
      <w:r>
        <w:rPr>
          <w:rFonts w:hint="eastAsia" w:ascii="宋体"/>
          <w:kern w:val="0"/>
          <w:sz w:val="24"/>
        </w:rPr>
        <w:t>（1）未按照磋商文件规定要求装订、密封、签署、盖章的；</w:t>
      </w:r>
    </w:p>
    <w:p w14:paraId="71A0B651">
      <w:pPr>
        <w:pStyle w:val="35"/>
        <w:spacing w:line="360" w:lineRule="auto"/>
        <w:rPr>
          <w:rFonts w:ascii="宋体"/>
          <w:kern w:val="0"/>
          <w:sz w:val="24"/>
        </w:rPr>
      </w:pPr>
      <w:r>
        <w:rPr>
          <w:rFonts w:hint="eastAsia" w:ascii="宋体"/>
          <w:kern w:val="0"/>
          <w:sz w:val="24"/>
        </w:rPr>
        <w:t>（2）不具备磋商文件中规定的供应商资格要求的；</w:t>
      </w:r>
    </w:p>
    <w:p w14:paraId="6B67FF35">
      <w:pPr>
        <w:pStyle w:val="35"/>
        <w:spacing w:line="360" w:lineRule="auto"/>
        <w:rPr>
          <w:rFonts w:ascii="宋体"/>
          <w:kern w:val="0"/>
          <w:sz w:val="24"/>
        </w:rPr>
      </w:pPr>
      <w:r>
        <w:rPr>
          <w:rFonts w:hint="eastAsia" w:ascii="宋体"/>
          <w:kern w:val="0"/>
          <w:sz w:val="24"/>
        </w:rPr>
        <w:t>（3）响应报价超出采购预算的；</w:t>
      </w:r>
    </w:p>
    <w:p w14:paraId="078F849D">
      <w:pPr>
        <w:pStyle w:val="35"/>
        <w:spacing w:line="360" w:lineRule="auto"/>
        <w:rPr>
          <w:rFonts w:ascii="宋体"/>
          <w:kern w:val="0"/>
          <w:sz w:val="24"/>
        </w:rPr>
      </w:pPr>
      <w:r>
        <w:rPr>
          <w:rFonts w:hint="eastAsia" w:ascii="宋体"/>
          <w:kern w:val="0"/>
          <w:sz w:val="24"/>
        </w:rPr>
        <w:t>（4）不符合法律、法规或竞争性磋商文件中规定的其他实质性要求的；</w:t>
      </w:r>
    </w:p>
    <w:p w14:paraId="644BE336">
      <w:pPr>
        <w:pStyle w:val="35"/>
        <w:spacing w:line="360" w:lineRule="auto"/>
        <w:rPr>
          <w:rFonts w:ascii="宋体"/>
          <w:kern w:val="0"/>
          <w:sz w:val="24"/>
        </w:rPr>
      </w:pPr>
      <w:r>
        <w:rPr>
          <w:rFonts w:hint="eastAsia" w:ascii="宋体"/>
          <w:kern w:val="0"/>
          <w:sz w:val="24"/>
        </w:rPr>
        <w:t>（5）磋商文件中规定的其他情形。</w:t>
      </w:r>
    </w:p>
    <w:p w14:paraId="10BAED37">
      <w:pPr>
        <w:pStyle w:val="35"/>
        <w:spacing w:line="360" w:lineRule="auto"/>
        <w:rPr>
          <w:rFonts w:ascii="宋体"/>
          <w:kern w:val="0"/>
          <w:sz w:val="24"/>
        </w:rPr>
      </w:pPr>
      <w:r>
        <w:rPr>
          <w:rFonts w:hint="eastAsia" w:ascii="宋体"/>
          <w:kern w:val="0"/>
          <w:sz w:val="24"/>
        </w:rPr>
        <w:t>15.出现下列情形之一的，采购人或者采购代理机构应当终止竞争性磋商采购活动，发布项目终止公告并说明原因，重新开展采购活动：</w:t>
      </w:r>
    </w:p>
    <w:p w14:paraId="6BD252EE">
      <w:pPr>
        <w:pStyle w:val="35"/>
        <w:spacing w:line="360" w:lineRule="auto"/>
        <w:rPr>
          <w:rFonts w:ascii="宋体"/>
          <w:kern w:val="0"/>
          <w:sz w:val="24"/>
        </w:rPr>
      </w:pPr>
      <w:r>
        <w:rPr>
          <w:rFonts w:hint="eastAsia" w:ascii="宋体"/>
          <w:kern w:val="0"/>
          <w:sz w:val="24"/>
        </w:rPr>
        <w:t>（一）因情况变化，不再符合规定的竞争性磋商采购方式适用情形的；</w:t>
      </w:r>
    </w:p>
    <w:p w14:paraId="38C18050">
      <w:pPr>
        <w:pStyle w:val="35"/>
        <w:spacing w:line="360" w:lineRule="auto"/>
        <w:rPr>
          <w:rFonts w:ascii="宋体"/>
          <w:kern w:val="0"/>
          <w:sz w:val="24"/>
        </w:rPr>
      </w:pPr>
      <w:r>
        <w:rPr>
          <w:rFonts w:hint="eastAsia" w:ascii="宋体"/>
          <w:kern w:val="0"/>
          <w:sz w:val="24"/>
        </w:rPr>
        <w:t>（二）出现影响采购公正的违法、违规行为的；</w:t>
      </w:r>
    </w:p>
    <w:p w14:paraId="08D2396A">
      <w:pPr>
        <w:pStyle w:val="35"/>
        <w:spacing w:line="360" w:lineRule="auto"/>
        <w:rPr>
          <w:rFonts w:ascii="宋体"/>
          <w:kern w:val="0"/>
          <w:sz w:val="24"/>
        </w:rPr>
      </w:pPr>
      <w:r>
        <w:rPr>
          <w:rFonts w:hint="eastAsia" w:ascii="宋体"/>
          <w:kern w:val="0"/>
          <w:sz w:val="24"/>
        </w:rPr>
        <w:t>（三）除《政府采购竞争性磋商采购方式管理暂行办法》第二十一条第三款规定的情形外，在采购过程中符合要求的供应商或者报价未超过采购预算的供应商不足3家的。</w:t>
      </w:r>
    </w:p>
    <w:p w14:paraId="41909675">
      <w:pPr>
        <w:adjustRightInd w:val="0"/>
        <w:snapToGrid w:val="0"/>
        <w:spacing w:line="360" w:lineRule="auto"/>
        <w:ind w:firstLine="480" w:firstLineChars="200"/>
        <w:rPr>
          <w:rFonts w:hint="eastAsia" w:ascii="黑体" w:hAnsi="黑体" w:eastAsia="黑体" w:cs="黑体"/>
          <w:b w:val="0"/>
          <w:kern w:val="0"/>
          <w:sz w:val="24"/>
        </w:rPr>
      </w:pPr>
      <w:r>
        <w:rPr>
          <w:rFonts w:hint="eastAsia" w:ascii="黑体" w:hAnsi="黑体" w:eastAsia="黑体" w:cs="黑体"/>
          <w:b w:val="0"/>
          <w:kern w:val="0"/>
          <w:sz w:val="24"/>
        </w:rPr>
        <w:t>六、成交通知书授予合同</w:t>
      </w:r>
    </w:p>
    <w:p w14:paraId="5517A229">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（一）成交通知书</w:t>
      </w:r>
    </w:p>
    <w:p w14:paraId="48DB55F2">
      <w:pPr>
        <w:adjustRightInd w:val="0"/>
        <w:snapToGrid w:val="0"/>
        <w:spacing w:line="360" w:lineRule="auto"/>
        <w:ind w:firstLine="480" w:firstLineChars="200"/>
        <w:rPr>
          <w:rFonts w:ascii="宋体"/>
          <w:kern w:val="0"/>
          <w:sz w:val="24"/>
        </w:rPr>
      </w:pPr>
      <w:r>
        <w:rPr>
          <w:rFonts w:hint="eastAsia" w:ascii="宋体"/>
          <w:kern w:val="0"/>
          <w:sz w:val="24"/>
        </w:rPr>
        <w:t>采购代理机构应当在成交供应商确定后1个工作日内，在采购信息发布媒体上公告成交结果，经公示无异议后，向成交供应商发出成交通知书。</w:t>
      </w:r>
    </w:p>
    <w:p w14:paraId="5994493A">
      <w:pPr>
        <w:adjustRightInd w:val="0"/>
        <w:snapToGrid w:val="0"/>
        <w:spacing w:line="360" w:lineRule="auto"/>
        <w:ind w:firstLine="480" w:firstLineChars="200"/>
        <w:rPr>
          <w:rFonts w:hint="eastAsia" w:ascii="楷体" w:hAnsi="楷体" w:eastAsia="楷体" w:cs="楷体"/>
          <w:kern w:val="0"/>
          <w:sz w:val="24"/>
        </w:rPr>
      </w:pPr>
      <w:r>
        <w:rPr>
          <w:rFonts w:hint="eastAsia" w:ascii="楷体" w:hAnsi="楷体" w:eastAsia="楷体" w:cs="楷体"/>
          <w:kern w:val="0"/>
          <w:sz w:val="24"/>
        </w:rPr>
        <w:t>（二）签订合同</w:t>
      </w:r>
    </w:p>
    <w:p w14:paraId="4B4F84DB">
      <w:pPr>
        <w:adjustRightInd w:val="0"/>
        <w:snapToGrid w:val="0"/>
        <w:spacing w:line="360" w:lineRule="auto"/>
        <w:ind w:firstLine="480" w:firstLineChars="200"/>
        <w:rPr>
          <w:rFonts w:ascii="宋体"/>
          <w:kern w:val="0"/>
          <w:sz w:val="24"/>
        </w:rPr>
      </w:pPr>
      <w:r>
        <w:rPr>
          <w:rFonts w:hint="eastAsia" w:ascii="宋体"/>
          <w:kern w:val="0"/>
          <w:sz w:val="24"/>
        </w:rPr>
        <w:t>1.成交供应商应按规定签订合同。</w:t>
      </w:r>
    </w:p>
    <w:p w14:paraId="1DCA527C">
      <w:pPr>
        <w:adjustRightInd w:val="0"/>
        <w:snapToGrid w:val="0"/>
        <w:spacing w:line="360" w:lineRule="auto"/>
        <w:ind w:firstLine="480" w:firstLineChars="200"/>
        <w:rPr>
          <w:rFonts w:ascii="宋体"/>
          <w:kern w:val="0"/>
          <w:sz w:val="24"/>
        </w:rPr>
      </w:pPr>
      <w:r>
        <w:rPr>
          <w:rFonts w:hint="eastAsia" w:ascii="宋体"/>
          <w:kern w:val="0"/>
          <w:sz w:val="24"/>
        </w:rPr>
        <w:t>2.磋商文件、成交供应商的响应文件及修改文件、磋商过程中有关澄清文件及经双方签字的竞争性磋商相关纪要和成交通知书均作为合同附件。</w:t>
      </w:r>
    </w:p>
    <w:p w14:paraId="493BBEF6">
      <w:pPr>
        <w:adjustRightInd w:val="0"/>
        <w:snapToGrid w:val="0"/>
        <w:spacing w:line="360" w:lineRule="auto"/>
        <w:ind w:firstLine="480" w:firstLineChars="200"/>
        <w:rPr>
          <w:rFonts w:ascii="宋体"/>
          <w:kern w:val="0"/>
          <w:sz w:val="24"/>
        </w:rPr>
      </w:pPr>
      <w:r>
        <w:rPr>
          <w:rFonts w:hint="eastAsia" w:ascii="宋体"/>
          <w:kern w:val="0"/>
          <w:sz w:val="24"/>
        </w:rPr>
        <w:t>3.拒签合同的责任，成交供应商拒收成交通知书或接到成交通知书后，在规定时间内借故否认已经承诺的条件而拒签合同，以违约处理，向采购人承担违约责任，并赔偿由此给采购人造成的经济损失。</w:t>
      </w:r>
    </w:p>
    <w:p w14:paraId="3DD5315F">
      <w:pPr>
        <w:adjustRightInd w:val="0"/>
        <w:snapToGrid w:val="0"/>
        <w:spacing w:line="360" w:lineRule="auto"/>
        <w:ind w:firstLine="480" w:firstLineChars="200"/>
        <w:rPr>
          <w:rFonts w:ascii="宋体"/>
          <w:kern w:val="0"/>
          <w:sz w:val="24"/>
        </w:rPr>
      </w:pPr>
      <w:r>
        <w:rPr>
          <w:rFonts w:hint="eastAsia" w:ascii="宋体"/>
          <w:kern w:val="0"/>
          <w:sz w:val="24"/>
        </w:rPr>
        <w:t>4.成交供应商拒绝签订本采购项目相关合同的，采购人可以按照《政府采购竞争性磋商采购方式管理暂行办法》第二十八条第二款规定的原则确定其他供应商作为成交供应商并签订合同，也可以重新开展采购活动。拒绝签订本采购项目相关合同的成交供应商不得参加对该项目重新开展的采购活动。</w:t>
      </w:r>
    </w:p>
    <w:p w14:paraId="6D2307D7">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center"/>
        <w:outlineLvl w:val="0"/>
        <w:rPr>
          <w:rFonts w:ascii="宋体"/>
          <w:b/>
          <w:bCs/>
          <w:kern w:val="0"/>
          <w:sz w:val="32"/>
          <w:szCs w:val="32"/>
        </w:rPr>
      </w:pPr>
      <w:r>
        <w:rPr>
          <w:rFonts w:ascii="宋体"/>
          <w:b/>
          <w:bCs/>
          <w:kern w:val="0"/>
          <w:sz w:val="32"/>
          <w:szCs w:val="32"/>
        </w:rPr>
        <w:br w:type="page"/>
      </w:r>
      <w:r>
        <w:rPr>
          <w:rFonts w:hint="eastAsia" w:ascii="宋体"/>
          <w:b/>
          <w:bCs/>
          <w:kern w:val="0"/>
          <w:sz w:val="32"/>
          <w:szCs w:val="32"/>
        </w:rPr>
        <w:t>第四部分   评审办法</w:t>
      </w:r>
    </w:p>
    <w:p w14:paraId="2EABCA6B">
      <w:pPr>
        <w:spacing w:line="520" w:lineRule="exact"/>
        <w:ind w:firstLine="480" w:firstLineChars="200"/>
        <w:rPr>
          <w:rFonts w:ascii="宋体"/>
          <w:kern w:val="0"/>
          <w:sz w:val="24"/>
        </w:rPr>
      </w:pPr>
      <w:r>
        <w:rPr>
          <w:rFonts w:hint="eastAsia" w:ascii="宋体"/>
          <w:kern w:val="0"/>
          <w:sz w:val="24"/>
        </w:rPr>
        <w:t>一、本项目竞争性磋商活动由采购代理机构组织磋商、评审。采购代理机构将组织成立磋商小组，对响应供应商提供价格的合理性、方案的先进性、服务的可靠性及售后服务进行评审。磋商小组应当</w:t>
      </w:r>
      <w:r>
        <w:rPr>
          <w:rFonts w:ascii="宋体" w:hAnsi="宋体" w:cs="宋体"/>
          <w:sz w:val="24"/>
        </w:rPr>
        <w:t>遵守评审工作纪律，不得泄露评审情况和评审中获悉的商业秘密</w:t>
      </w:r>
      <w:r>
        <w:rPr>
          <w:rFonts w:hint="eastAsia" w:ascii="宋体" w:hAnsi="宋体" w:cs="宋体"/>
          <w:sz w:val="24"/>
        </w:rPr>
        <w:t>；并应当</w:t>
      </w:r>
      <w:r>
        <w:rPr>
          <w:rFonts w:hint="eastAsia" w:ascii="宋体"/>
          <w:kern w:val="0"/>
          <w:sz w:val="24"/>
        </w:rPr>
        <w:t>按照客观、公正、审慎的原则，根据磋商文件规定的评审程序、评审方法和评审标准进行独立评审；</w:t>
      </w:r>
      <w:r>
        <w:rPr>
          <w:rFonts w:ascii="宋体" w:hAnsi="宋体" w:cs="宋体"/>
          <w:sz w:val="24"/>
        </w:rPr>
        <w:t>未实质性响应磋商文件的响应文件按无效响应处理，磋商小组应当告知提交响应文件的供应商</w:t>
      </w:r>
      <w:r>
        <w:rPr>
          <w:rFonts w:hint="eastAsia" w:ascii="宋体"/>
          <w:kern w:val="0"/>
          <w:sz w:val="24"/>
        </w:rPr>
        <w:t>。参加磋商工作的所有人员应遵守国家法律法规的有关规定，严格保密，确保竞争性磋商工作公平、公正，任何单位和个人不得无理干预磋商小组的正常工作。</w:t>
      </w:r>
    </w:p>
    <w:p w14:paraId="20B60DDC">
      <w:pPr>
        <w:spacing w:line="520" w:lineRule="exact"/>
        <w:ind w:firstLine="480" w:firstLineChars="200"/>
        <w:rPr>
          <w:rFonts w:ascii="宋体"/>
          <w:kern w:val="0"/>
          <w:sz w:val="24"/>
        </w:rPr>
      </w:pPr>
      <w:r>
        <w:rPr>
          <w:rFonts w:hint="eastAsia" w:ascii="宋体"/>
          <w:kern w:val="0"/>
          <w:sz w:val="24"/>
        </w:rPr>
        <w:t>二、供应商的法定代表人或授权人须持身份证原件、授权委托书（如涉及）准时参加本项目竞争性磋商。</w:t>
      </w:r>
    </w:p>
    <w:p w14:paraId="26D69CF9">
      <w:pPr>
        <w:spacing w:line="520" w:lineRule="exact"/>
        <w:ind w:firstLine="480" w:firstLineChars="200"/>
        <w:rPr>
          <w:rFonts w:ascii="宋体"/>
          <w:kern w:val="0"/>
          <w:sz w:val="24"/>
        </w:rPr>
      </w:pPr>
      <w:r>
        <w:rPr>
          <w:rFonts w:hint="eastAsia" w:ascii="宋体"/>
          <w:kern w:val="0"/>
          <w:sz w:val="24"/>
        </w:rPr>
        <w:t>三、评审办法</w:t>
      </w:r>
    </w:p>
    <w:p w14:paraId="441C321F">
      <w:pPr>
        <w:spacing w:line="520" w:lineRule="exact"/>
        <w:ind w:firstLine="480" w:firstLineChars="200"/>
        <w:rPr>
          <w:rFonts w:ascii="宋体"/>
          <w:bCs/>
          <w:color w:val="000000"/>
          <w:kern w:val="0"/>
          <w:sz w:val="24"/>
        </w:rPr>
      </w:pPr>
      <w:r>
        <w:rPr>
          <w:rFonts w:hint="eastAsia" w:ascii="宋体"/>
          <w:kern w:val="0"/>
          <w:sz w:val="24"/>
        </w:rPr>
        <w:t>本项目为竞争性磋商，故有二次报价环节，第二次报价或最后报价，</w:t>
      </w:r>
      <w:r>
        <w:rPr>
          <w:rFonts w:hint="eastAsia" w:ascii="宋体"/>
          <w:bCs/>
          <w:kern w:val="0"/>
          <w:sz w:val="24"/>
        </w:rPr>
        <w:t>经磋商确定最终采购需求和提交最后报价的供应商后，由磋商小组采用综合评分法对提交最后报价的供应商的响应文件和最后报价进行综合评分。综合得分最高的</w:t>
      </w:r>
      <w:r>
        <w:rPr>
          <w:rFonts w:hint="eastAsia" w:ascii="宋体"/>
          <w:bCs/>
          <w:color w:val="000000"/>
          <w:kern w:val="0"/>
          <w:sz w:val="24"/>
        </w:rPr>
        <w:t>供应商为第一成交候选供应商，综合得分次高的供应商为第二成交候选供应商。综合得分第三高的供应商为第三成交候选供应商。超过本项目预算金额的报价为无效响应。</w:t>
      </w:r>
    </w:p>
    <w:p w14:paraId="032A6E72">
      <w:pPr>
        <w:spacing w:line="360" w:lineRule="exact"/>
        <w:jc w:val="center"/>
        <w:rPr>
          <w:rFonts w:hint="eastAsia" w:ascii="宋体" w:eastAsia="宋体"/>
          <w:b/>
          <w:bCs/>
          <w:kern w:val="0"/>
          <w:sz w:val="30"/>
          <w:szCs w:val="30"/>
          <w:lang w:eastAsia="zh-CN"/>
        </w:rPr>
      </w:pPr>
      <w:r>
        <w:rPr>
          <w:rFonts w:hint="eastAsia" w:ascii="宋体"/>
          <w:b/>
          <w:bCs/>
          <w:kern w:val="0"/>
          <w:sz w:val="30"/>
          <w:szCs w:val="30"/>
          <w:lang w:val="en-US" w:eastAsia="zh-CN"/>
        </w:rPr>
        <w:t xml:space="preserve">  </w:t>
      </w:r>
      <w:r>
        <w:rPr>
          <w:rFonts w:hint="eastAsia" w:ascii="宋体"/>
          <w:b/>
          <w:bCs/>
          <w:kern w:val="0"/>
          <w:sz w:val="30"/>
          <w:szCs w:val="30"/>
        </w:rPr>
        <w:t>初步审查表</w:t>
      </w:r>
      <w:r>
        <w:rPr>
          <w:rFonts w:hint="eastAsia" w:ascii="宋体"/>
          <w:b/>
          <w:bCs/>
          <w:kern w:val="0"/>
          <w:sz w:val="30"/>
          <w:szCs w:val="30"/>
          <w:lang w:eastAsia="zh-CN"/>
        </w:rPr>
        <w:t>（</w:t>
      </w:r>
      <w:r>
        <w:rPr>
          <w:rFonts w:hint="eastAsia" w:ascii="宋体"/>
          <w:b/>
          <w:bCs/>
          <w:kern w:val="0"/>
          <w:sz w:val="30"/>
          <w:szCs w:val="30"/>
          <w:lang w:val="en-US" w:eastAsia="zh-CN"/>
        </w:rPr>
        <w:t>1-4包</w:t>
      </w:r>
      <w:r>
        <w:rPr>
          <w:rFonts w:hint="eastAsia" w:ascii="宋体"/>
          <w:b/>
          <w:bCs/>
          <w:kern w:val="0"/>
          <w:sz w:val="30"/>
          <w:szCs w:val="30"/>
          <w:lang w:eastAsia="zh-CN"/>
        </w:rPr>
        <w:t>）</w:t>
      </w:r>
    </w:p>
    <w:p w14:paraId="26010579">
      <w:pPr>
        <w:spacing w:line="360" w:lineRule="exact"/>
        <w:rPr>
          <w:rFonts w:ascii="宋体"/>
          <w:bCs/>
          <w:kern w:val="0"/>
          <w:sz w:val="24"/>
        </w:rPr>
      </w:pPr>
      <w:r>
        <w:rPr>
          <w:rFonts w:hint="eastAsia" w:ascii="宋体"/>
          <w:bCs/>
          <w:kern w:val="0"/>
          <w:sz w:val="24"/>
        </w:rPr>
        <w:t>项目名称：</w:t>
      </w:r>
    </w:p>
    <w:p w14:paraId="709B12B4">
      <w:pPr>
        <w:spacing w:line="360" w:lineRule="exact"/>
        <w:rPr>
          <w:rFonts w:ascii="宋体"/>
          <w:bCs/>
          <w:kern w:val="0"/>
          <w:sz w:val="24"/>
        </w:rPr>
      </w:pPr>
      <w:r>
        <w:rPr>
          <w:rFonts w:hint="eastAsia" w:ascii="宋体"/>
          <w:bCs/>
          <w:kern w:val="0"/>
          <w:sz w:val="24"/>
        </w:rPr>
        <w:t>项目编号：</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475"/>
        <w:gridCol w:w="4623"/>
        <w:gridCol w:w="806"/>
        <w:gridCol w:w="806"/>
        <w:gridCol w:w="806"/>
        <w:gridCol w:w="807"/>
      </w:tblGrid>
      <w:tr w14:paraId="0E66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045926C6">
            <w:pPr>
              <w:spacing w:line="520" w:lineRule="exact"/>
              <w:jc w:val="center"/>
              <w:rPr>
                <w:rFonts w:ascii="宋体"/>
                <w:bCs/>
                <w:color w:val="000000"/>
                <w:kern w:val="0"/>
                <w:sz w:val="24"/>
              </w:rPr>
            </w:pPr>
            <w:r>
              <w:rPr>
                <w:rFonts w:hint="eastAsia" w:ascii="宋体"/>
                <w:bCs/>
                <w:color w:val="000000"/>
                <w:kern w:val="0"/>
                <w:sz w:val="24"/>
              </w:rPr>
              <w:t>序号</w:t>
            </w:r>
          </w:p>
        </w:tc>
        <w:tc>
          <w:tcPr>
            <w:tcW w:w="739" w:type="pct"/>
            <w:tcBorders>
              <w:top w:val="single" w:color="auto" w:sz="4" w:space="0"/>
              <w:left w:val="single" w:color="auto" w:sz="4" w:space="0"/>
              <w:bottom w:val="single" w:color="auto" w:sz="4" w:space="0"/>
              <w:right w:val="single" w:color="auto" w:sz="4" w:space="0"/>
            </w:tcBorders>
            <w:noWrap/>
            <w:vAlign w:val="center"/>
          </w:tcPr>
          <w:p w14:paraId="1DAFA555">
            <w:pPr>
              <w:spacing w:line="520" w:lineRule="exact"/>
              <w:jc w:val="center"/>
              <w:rPr>
                <w:rFonts w:ascii="宋体"/>
                <w:bCs/>
                <w:color w:val="000000"/>
                <w:kern w:val="0"/>
                <w:sz w:val="24"/>
              </w:rPr>
            </w:pPr>
            <w:r>
              <w:rPr>
                <w:rFonts w:hint="eastAsia" w:ascii="宋体"/>
                <w:bCs/>
                <w:color w:val="000000"/>
                <w:kern w:val="0"/>
                <w:sz w:val="24"/>
              </w:rPr>
              <w:t>审查项目</w:t>
            </w:r>
          </w:p>
        </w:tc>
        <w:tc>
          <w:tcPr>
            <w:tcW w:w="2223" w:type="pct"/>
            <w:tcBorders>
              <w:top w:val="single" w:color="auto" w:sz="4" w:space="0"/>
              <w:left w:val="single" w:color="auto" w:sz="4" w:space="0"/>
              <w:bottom w:val="single" w:color="auto" w:sz="4" w:space="0"/>
              <w:right w:val="single" w:color="auto" w:sz="4" w:space="0"/>
            </w:tcBorders>
            <w:noWrap/>
            <w:vAlign w:val="center"/>
          </w:tcPr>
          <w:p w14:paraId="7F0B3C12">
            <w:pPr>
              <w:spacing w:line="520" w:lineRule="exact"/>
              <w:jc w:val="center"/>
              <w:rPr>
                <w:rFonts w:ascii="宋体"/>
                <w:bCs/>
                <w:color w:val="000000"/>
                <w:kern w:val="0"/>
                <w:sz w:val="24"/>
              </w:rPr>
            </w:pPr>
            <w:r>
              <w:rPr>
                <w:rFonts w:hint="eastAsia" w:ascii="宋体"/>
                <w:bCs/>
                <w:color w:val="000000"/>
                <w:kern w:val="0"/>
                <w:sz w:val="24"/>
              </w:rPr>
              <w:t>评议内容（有效响应认定条件）</w:t>
            </w:r>
          </w:p>
        </w:tc>
        <w:tc>
          <w:tcPr>
            <w:tcW w:w="432" w:type="pct"/>
            <w:tcBorders>
              <w:top w:val="single" w:color="auto" w:sz="4" w:space="0"/>
              <w:left w:val="single" w:color="auto" w:sz="4" w:space="0"/>
              <w:bottom w:val="single" w:color="auto" w:sz="4" w:space="0"/>
              <w:right w:val="single" w:color="auto" w:sz="4" w:space="0"/>
            </w:tcBorders>
            <w:noWrap/>
            <w:vAlign w:val="center"/>
          </w:tcPr>
          <w:p w14:paraId="771E6682">
            <w:pPr>
              <w:spacing w:line="520" w:lineRule="exact"/>
              <w:rPr>
                <w:rFonts w:ascii="宋体"/>
                <w:bCs/>
                <w:color w:val="000000"/>
                <w:kern w:val="0"/>
                <w:sz w:val="24"/>
              </w:rPr>
            </w:pPr>
            <w:r>
              <w:rPr>
                <w:rFonts w:hint="eastAsia" w:ascii="宋体"/>
                <w:bCs/>
                <w:color w:val="000000"/>
                <w:kern w:val="0"/>
                <w:sz w:val="24"/>
              </w:rPr>
              <w:t>供应商1</w:t>
            </w:r>
          </w:p>
        </w:tc>
        <w:tc>
          <w:tcPr>
            <w:tcW w:w="432" w:type="pct"/>
            <w:tcBorders>
              <w:top w:val="single" w:color="auto" w:sz="4" w:space="0"/>
              <w:left w:val="single" w:color="auto" w:sz="4" w:space="0"/>
              <w:bottom w:val="single" w:color="auto" w:sz="4" w:space="0"/>
              <w:right w:val="single" w:color="auto" w:sz="4" w:space="0"/>
            </w:tcBorders>
            <w:noWrap/>
            <w:vAlign w:val="center"/>
          </w:tcPr>
          <w:p w14:paraId="04AADDE4">
            <w:pPr>
              <w:spacing w:line="520" w:lineRule="exact"/>
              <w:rPr>
                <w:rFonts w:ascii="宋体"/>
                <w:bCs/>
                <w:color w:val="000000"/>
                <w:kern w:val="0"/>
                <w:sz w:val="24"/>
              </w:rPr>
            </w:pPr>
            <w:r>
              <w:rPr>
                <w:rFonts w:hint="eastAsia" w:ascii="宋体"/>
                <w:bCs/>
                <w:color w:val="000000"/>
                <w:kern w:val="0"/>
                <w:sz w:val="24"/>
              </w:rPr>
              <w:t>供应商2</w:t>
            </w:r>
          </w:p>
        </w:tc>
        <w:tc>
          <w:tcPr>
            <w:tcW w:w="432" w:type="pct"/>
            <w:tcBorders>
              <w:top w:val="single" w:color="auto" w:sz="4" w:space="0"/>
              <w:left w:val="single" w:color="auto" w:sz="4" w:space="0"/>
              <w:bottom w:val="single" w:color="auto" w:sz="4" w:space="0"/>
              <w:right w:val="single" w:color="auto" w:sz="4" w:space="0"/>
            </w:tcBorders>
            <w:noWrap/>
            <w:vAlign w:val="center"/>
          </w:tcPr>
          <w:p w14:paraId="162C76A9">
            <w:pPr>
              <w:spacing w:line="520" w:lineRule="exact"/>
              <w:rPr>
                <w:rFonts w:ascii="宋体"/>
                <w:bCs/>
                <w:color w:val="000000"/>
                <w:kern w:val="0"/>
                <w:sz w:val="24"/>
              </w:rPr>
            </w:pPr>
            <w:r>
              <w:rPr>
                <w:rFonts w:hint="eastAsia" w:ascii="宋体"/>
                <w:bCs/>
                <w:color w:val="000000"/>
                <w:kern w:val="0"/>
                <w:sz w:val="24"/>
              </w:rPr>
              <w:t>供应商3</w:t>
            </w:r>
          </w:p>
        </w:tc>
        <w:tc>
          <w:tcPr>
            <w:tcW w:w="432" w:type="pct"/>
            <w:tcBorders>
              <w:top w:val="single" w:color="auto" w:sz="4" w:space="0"/>
              <w:left w:val="single" w:color="auto" w:sz="4" w:space="0"/>
              <w:bottom w:val="single" w:color="auto" w:sz="4" w:space="0"/>
              <w:right w:val="single" w:color="auto" w:sz="4" w:space="0"/>
            </w:tcBorders>
            <w:noWrap/>
            <w:vAlign w:val="center"/>
          </w:tcPr>
          <w:p w14:paraId="50269C70">
            <w:pPr>
              <w:spacing w:line="520" w:lineRule="exact"/>
              <w:rPr>
                <w:rFonts w:ascii="宋体"/>
                <w:bCs/>
                <w:color w:val="000000"/>
                <w:kern w:val="0"/>
                <w:sz w:val="24"/>
              </w:rPr>
            </w:pPr>
            <w:r>
              <w:rPr>
                <w:rFonts w:hint="eastAsia" w:ascii="宋体"/>
                <w:bCs/>
                <w:color w:val="000000"/>
                <w:kern w:val="0"/>
                <w:sz w:val="24"/>
              </w:rPr>
              <w:t>供应商4</w:t>
            </w:r>
          </w:p>
        </w:tc>
      </w:tr>
      <w:tr w14:paraId="41889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5983493D">
            <w:pPr>
              <w:spacing w:line="520" w:lineRule="exact"/>
              <w:jc w:val="center"/>
              <w:rPr>
                <w:rFonts w:ascii="宋体"/>
                <w:bCs/>
                <w:color w:val="000000"/>
                <w:kern w:val="0"/>
                <w:sz w:val="24"/>
              </w:rPr>
            </w:pPr>
            <w:r>
              <w:rPr>
                <w:rFonts w:hint="eastAsia" w:ascii="宋体"/>
                <w:bCs/>
                <w:color w:val="000000"/>
                <w:kern w:val="0"/>
                <w:sz w:val="24"/>
              </w:rPr>
              <w:t>1</w:t>
            </w:r>
          </w:p>
        </w:tc>
        <w:tc>
          <w:tcPr>
            <w:tcW w:w="739" w:type="pct"/>
            <w:tcBorders>
              <w:top w:val="single" w:color="auto" w:sz="4" w:space="0"/>
              <w:left w:val="single" w:color="auto" w:sz="4" w:space="0"/>
              <w:bottom w:val="single" w:color="auto" w:sz="4" w:space="0"/>
              <w:right w:val="single" w:color="auto" w:sz="4" w:space="0"/>
            </w:tcBorders>
            <w:noWrap/>
            <w:vAlign w:val="center"/>
          </w:tcPr>
          <w:p w14:paraId="03EBEB64">
            <w:pPr>
              <w:spacing w:line="520" w:lineRule="exact"/>
              <w:jc w:val="center"/>
              <w:rPr>
                <w:rFonts w:ascii="宋体"/>
                <w:bCs/>
                <w:color w:val="000000"/>
                <w:kern w:val="0"/>
                <w:sz w:val="24"/>
              </w:rPr>
            </w:pPr>
            <w:r>
              <w:rPr>
                <w:rFonts w:hint="eastAsia" w:ascii="宋体"/>
                <w:bCs/>
                <w:color w:val="000000"/>
                <w:kern w:val="0"/>
                <w:sz w:val="24"/>
              </w:rPr>
              <w:t>供应商资格</w:t>
            </w:r>
          </w:p>
        </w:tc>
        <w:tc>
          <w:tcPr>
            <w:tcW w:w="2223" w:type="pct"/>
            <w:tcBorders>
              <w:top w:val="single" w:color="auto" w:sz="4" w:space="0"/>
              <w:left w:val="single" w:color="auto" w:sz="4" w:space="0"/>
              <w:bottom w:val="single" w:color="auto" w:sz="4" w:space="0"/>
              <w:right w:val="single" w:color="auto" w:sz="4" w:space="0"/>
            </w:tcBorders>
            <w:noWrap/>
            <w:vAlign w:val="center"/>
          </w:tcPr>
          <w:p w14:paraId="6C662746">
            <w:pPr>
              <w:spacing w:line="520" w:lineRule="exact"/>
              <w:jc w:val="center"/>
              <w:rPr>
                <w:rFonts w:ascii="宋体"/>
                <w:bCs/>
                <w:color w:val="000000"/>
                <w:kern w:val="0"/>
                <w:sz w:val="24"/>
              </w:rPr>
            </w:pPr>
            <w:r>
              <w:rPr>
                <w:rFonts w:hint="eastAsia" w:ascii="宋体"/>
                <w:bCs/>
                <w:color w:val="000000"/>
                <w:kern w:val="0"/>
                <w:sz w:val="24"/>
              </w:rPr>
              <w:t>是否按供应商资格要求提供合格的证件</w:t>
            </w:r>
          </w:p>
        </w:tc>
        <w:tc>
          <w:tcPr>
            <w:tcW w:w="432" w:type="pct"/>
            <w:tcBorders>
              <w:top w:val="single" w:color="auto" w:sz="4" w:space="0"/>
              <w:left w:val="single" w:color="auto" w:sz="4" w:space="0"/>
              <w:bottom w:val="single" w:color="auto" w:sz="4" w:space="0"/>
              <w:right w:val="single" w:color="auto" w:sz="4" w:space="0"/>
            </w:tcBorders>
            <w:noWrap/>
            <w:vAlign w:val="center"/>
          </w:tcPr>
          <w:p w14:paraId="4370A5DF">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03F83BE1">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78E34919">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28414E06">
            <w:pPr>
              <w:spacing w:line="520" w:lineRule="exact"/>
              <w:ind w:firstLine="720" w:firstLineChars="300"/>
              <w:rPr>
                <w:rFonts w:ascii="宋体"/>
                <w:bCs/>
                <w:color w:val="000000"/>
                <w:kern w:val="0"/>
                <w:sz w:val="24"/>
              </w:rPr>
            </w:pPr>
          </w:p>
        </w:tc>
      </w:tr>
      <w:tr w14:paraId="4136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4107E436">
            <w:pPr>
              <w:spacing w:line="520" w:lineRule="exact"/>
              <w:jc w:val="center"/>
              <w:rPr>
                <w:rFonts w:ascii="宋体"/>
                <w:bCs/>
                <w:color w:val="000000"/>
                <w:kern w:val="0"/>
                <w:sz w:val="24"/>
              </w:rPr>
            </w:pPr>
            <w:r>
              <w:rPr>
                <w:rFonts w:hint="eastAsia" w:ascii="宋体"/>
                <w:bCs/>
                <w:color w:val="000000"/>
                <w:kern w:val="0"/>
                <w:sz w:val="24"/>
              </w:rPr>
              <w:t>2</w:t>
            </w:r>
          </w:p>
        </w:tc>
        <w:tc>
          <w:tcPr>
            <w:tcW w:w="739" w:type="pct"/>
            <w:tcBorders>
              <w:top w:val="single" w:color="auto" w:sz="4" w:space="0"/>
              <w:left w:val="single" w:color="auto" w:sz="4" w:space="0"/>
              <w:bottom w:val="single" w:color="auto" w:sz="4" w:space="0"/>
              <w:right w:val="single" w:color="auto" w:sz="4" w:space="0"/>
            </w:tcBorders>
            <w:noWrap/>
            <w:vAlign w:val="center"/>
          </w:tcPr>
          <w:p w14:paraId="34CF9642">
            <w:pPr>
              <w:spacing w:line="520" w:lineRule="exact"/>
              <w:jc w:val="center"/>
              <w:rPr>
                <w:rFonts w:ascii="宋体"/>
                <w:bCs/>
                <w:color w:val="000000"/>
                <w:kern w:val="0"/>
                <w:sz w:val="24"/>
              </w:rPr>
            </w:pPr>
            <w:r>
              <w:rPr>
                <w:rFonts w:hint="eastAsia" w:ascii="宋体"/>
                <w:bCs/>
                <w:color w:val="000000"/>
                <w:kern w:val="0"/>
                <w:sz w:val="24"/>
              </w:rPr>
              <w:t>响应文件的有效性</w:t>
            </w:r>
          </w:p>
        </w:tc>
        <w:tc>
          <w:tcPr>
            <w:tcW w:w="2223" w:type="pct"/>
            <w:tcBorders>
              <w:top w:val="single" w:color="auto" w:sz="4" w:space="0"/>
              <w:left w:val="single" w:color="auto" w:sz="4" w:space="0"/>
              <w:bottom w:val="single" w:color="auto" w:sz="4" w:space="0"/>
              <w:right w:val="single" w:color="auto" w:sz="4" w:space="0"/>
            </w:tcBorders>
            <w:noWrap/>
            <w:vAlign w:val="center"/>
          </w:tcPr>
          <w:p w14:paraId="733E154E">
            <w:pPr>
              <w:spacing w:line="520" w:lineRule="exact"/>
              <w:jc w:val="center"/>
              <w:rPr>
                <w:rFonts w:ascii="宋体"/>
                <w:bCs/>
                <w:color w:val="000000"/>
                <w:kern w:val="0"/>
                <w:sz w:val="24"/>
              </w:rPr>
            </w:pPr>
            <w:r>
              <w:rPr>
                <w:rFonts w:hint="eastAsia" w:ascii="宋体"/>
                <w:bCs/>
                <w:color w:val="000000"/>
                <w:kern w:val="0"/>
                <w:sz w:val="24"/>
              </w:rPr>
              <w:t>是否符合响应文件的式样和签署要求且内容完整无缺漏、无错误</w:t>
            </w:r>
          </w:p>
        </w:tc>
        <w:tc>
          <w:tcPr>
            <w:tcW w:w="432" w:type="pct"/>
            <w:tcBorders>
              <w:top w:val="single" w:color="auto" w:sz="4" w:space="0"/>
              <w:left w:val="single" w:color="auto" w:sz="4" w:space="0"/>
              <w:bottom w:val="single" w:color="auto" w:sz="4" w:space="0"/>
              <w:right w:val="single" w:color="auto" w:sz="4" w:space="0"/>
            </w:tcBorders>
            <w:noWrap/>
            <w:vAlign w:val="center"/>
          </w:tcPr>
          <w:p w14:paraId="608F5EB0">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01EDFEDD">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585729EE">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0FF30107">
            <w:pPr>
              <w:spacing w:line="520" w:lineRule="exact"/>
              <w:ind w:firstLine="720" w:firstLineChars="300"/>
              <w:rPr>
                <w:rFonts w:ascii="宋体"/>
                <w:bCs/>
                <w:color w:val="000000"/>
                <w:kern w:val="0"/>
                <w:sz w:val="24"/>
              </w:rPr>
            </w:pPr>
          </w:p>
        </w:tc>
      </w:tr>
      <w:tr w14:paraId="35BE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081EE3D8">
            <w:pPr>
              <w:spacing w:line="520" w:lineRule="exact"/>
              <w:jc w:val="center"/>
              <w:rPr>
                <w:rFonts w:ascii="宋体"/>
                <w:bCs/>
                <w:color w:val="000000"/>
                <w:kern w:val="0"/>
                <w:sz w:val="24"/>
              </w:rPr>
            </w:pPr>
            <w:r>
              <w:rPr>
                <w:rFonts w:hint="eastAsia" w:ascii="宋体"/>
                <w:bCs/>
                <w:color w:val="000000"/>
                <w:kern w:val="0"/>
                <w:sz w:val="24"/>
              </w:rPr>
              <w:t>3</w:t>
            </w:r>
          </w:p>
        </w:tc>
        <w:tc>
          <w:tcPr>
            <w:tcW w:w="739" w:type="pct"/>
            <w:tcBorders>
              <w:top w:val="single" w:color="auto" w:sz="4" w:space="0"/>
              <w:left w:val="single" w:color="auto" w:sz="4" w:space="0"/>
              <w:bottom w:val="single" w:color="auto" w:sz="4" w:space="0"/>
              <w:right w:val="single" w:color="auto" w:sz="4" w:space="0"/>
            </w:tcBorders>
            <w:noWrap/>
            <w:vAlign w:val="center"/>
          </w:tcPr>
          <w:p w14:paraId="62EF9B57">
            <w:pPr>
              <w:spacing w:line="520" w:lineRule="exact"/>
              <w:jc w:val="center"/>
              <w:rPr>
                <w:rFonts w:ascii="宋体"/>
                <w:bCs/>
                <w:color w:val="000000"/>
                <w:kern w:val="0"/>
                <w:sz w:val="24"/>
              </w:rPr>
            </w:pPr>
            <w:r>
              <w:rPr>
                <w:rFonts w:hint="eastAsia" w:ascii="宋体"/>
                <w:bCs/>
                <w:color w:val="000000"/>
                <w:kern w:val="0"/>
                <w:sz w:val="24"/>
              </w:rPr>
              <w:t>响应有效期</w:t>
            </w:r>
          </w:p>
        </w:tc>
        <w:tc>
          <w:tcPr>
            <w:tcW w:w="2223" w:type="pct"/>
            <w:tcBorders>
              <w:top w:val="single" w:color="auto" w:sz="4" w:space="0"/>
              <w:left w:val="single" w:color="auto" w:sz="4" w:space="0"/>
              <w:bottom w:val="single" w:color="auto" w:sz="4" w:space="0"/>
              <w:right w:val="single" w:color="auto" w:sz="4" w:space="0"/>
            </w:tcBorders>
            <w:noWrap/>
            <w:vAlign w:val="center"/>
          </w:tcPr>
          <w:p w14:paraId="5A3C96D3">
            <w:pPr>
              <w:spacing w:line="520" w:lineRule="exact"/>
              <w:jc w:val="center"/>
              <w:rPr>
                <w:rFonts w:ascii="宋体"/>
                <w:bCs/>
                <w:color w:val="000000"/>
                <w:kern w:val="0"/>
                <w:sz w:val="24"/>
              </w:rPr>
            </w:pPr>
            <w:r>
              <w:rPr>
                <w:rFonts w:hint="eastAsia" w:ascii="宋体"/>
                <w:bCs/>
                <w:color w:val="000000"/>
                <w:kern w:val="0"/>
                <w:sz w:val="24"/>
              </w:rPr>
              <w:t>响应有效期是否满足90天</w:t>
            </w:r>
          </w:p>
        </w:tc>
        <w:tc>
          <w:tcPr>
            <w:tcW w:w="432" w:type="pct"/>
            <w:tcBorders>
              <w:top w:val="single" w:color="auto" w:sz="4" w:space="0"/>
              <w:left w:val="single" w:color="auto" w:sz="4" w:space="0"/>
              <w:bottom w:val="single" w:color="auto" w:sz="4" w:space="0"/>
              <w:right w:val="single" w:color="auto" w:sz="4" w:space="0"/>
            </w:tcBorders>
            <w:noWrap/>
            <w:vAlign w:val="center"/>
          </w:tcPr>
          <w:p w14:paraId="32E5982B">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2B371A3E">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12B5E32C">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6C8ACBB7">
            <w:pPr>
              <w:spacing w:line="520" w:lineRule="exact"/>
              <w:ind w:firstLine="720" w:firstLineChars="300"/>
              <w:rPr>
                <w:rFonts w:ascii="宋体"/>
                <w:bCs/>
                <w:color w:val="000000"/>
                <w:kern w:val="0"/>
                <w:sz w:val="24"/>
              </w:rPr>
            </w:pPr>
          </w:p>
        </w:tc>
      </w:tr>
      <w:tr w14:paraId="634F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538C3F6D">
            <w:pPr>
              <w:spacing w:line="520" w:lineRule="exact"/>
              <w:jc w:val="center"/>
              <w:rPr>
                <w:rFonts w:ascii="宋体"/>
                <w:bCs/>
                <w:color w:val="000000"/>
                <w:kern w:val="0"/>
                <w:sz w:val="24"/>
              </w:rPr>
            </w:pPr>
            <w:r>
              <w:rPr>
                <w:rFonts w:hint="eastAsia" w:ascii="宋体"/>
                <w:bCs/>
                <w:color w:val="000000"/>
                <w:kern w:val="0"/>
                <w:sz w:val="24"/>
              </w:rPr>
              <w:t>4</w:t>
            </w:r>
          </w:p>
        </w:tc>
        <w:tc>
          <w:tcPr>
            <w:tcW w:w="739" w:type="pct"/>
            <w:tcBorders>
              <w:top w:val="single" w:color="auto" w:sz="4" w:space="0"/>
              <w:left w:val="single" w:color="auto" w:sz="4" w:space="0"/>
              <w:bottom w:val="single" w:color="auto" w:sz="4" w:space="0"/>
              <w:right w:val="single" w:color="auto" w:sz="4" w:space="0"/>
            </w:tcBorders>
            <w:noWrap/>
            <w:vAlign w:val="center"/>
          </w:tcPr>
          <w:p w14:paraId="62A658F2">
            <w:pPr>
              <w:spacing w:line="520" w:lineRule="exact"/>
              <w:jc w:val="center"/>
              <w:rPr>
                <w:rFonts w:hint="eastAsia" w:ascii="宋体" w:eastAsia="宋体"/>
                <w:bCs/>
                <w:color w:val="000000"/>
                <w:kern w:val="0"/>
                <w:sz w:val="24"/>
                <w:lang w:eastAsia="zh-CN"/>
              </w:rPr>
            </w:pPr>
            <w:r>
              <w:rPr>
                <w:rFonts w:hint="eastAsia" w:ascii="宋体"/>
                <w:bCs/>
                <w:color w:val="000000"/>
                <w:kern w:val="0"/>
                <w:sz w:val="24"/>
                <w:lang w:eastAsia="zh-CN"/>
              </w:rPr>
              <w:t>服务期</w:t>
            </w:r>
          </w:p>
        </w:tc>
        <w:tc>
          <w:tcPr>
            <w:tcW w:w="2223" w:type="pct"/>
            <w:tcBorders>
              <w:top w:val="single" w:color="auto" w:sz="4" w:space="0"/>
              <w:left w:val="single" w:color="auto" w:sz="4" w:space="0"/>
              <w:bottom w:val="single" w:color="auto" w:sz="4" w:space="0"/>
              <w:right w:val="single" w:color="auto" w:sz="4" w:space="0"/>
            </w:tcBorders>
            <w:noWrap/>
            <w:vAlign w:val="center"/>
          </w:tcPr>
          <w:p w14:paraId="4E82E708">
            <w:pPr>
              <w:spacing w:line="520" w:lineRule="exact"/>
              <w:jc w:val="center"/>
              <w:rPr>
                <w:rFonts w:ascii="宋体"/>
                <w:bCs/>
                <w:color w:val="000000"/>
                <w:kern w:val="0"/>
                <w:sz w:val="24"/>
              </w:rPr>
            </w:pPr>
            <w:r>
              <w:rPr>
                <w:rFonts w:hint="eastAsia" w:ascii="宋体"/>
                <w:bCs/>
                <w:color w:val="000000"/>
                <w:kern w:val="0"/>
                <w:sz w:val="24"/>
              </w:rPr>
              <w:t>是否按照采购文件规定时间</w:t>
            </w:r>
          </w:p>
        </w:tc>
        <w:tc>
          <w:tcPr>
            <w:tcW w:w="432" w:type="pct"/>
            <w:tcBorders>
              <w:top w:val="single" w:color="auto" w:sz="4" w:space="0"/>
              <w:left w:val="single" w:color="auto" w:sz="4" w:space="0"/>
              <w:bottom w:val="single" w:color="auto" w:sz="4" w:space="0"/>
              <w:right w:val="single" w:color="auto" w:sz="4" w:space="0"/>
            </w:tcBorders>
            <w:noWrap/>
            <w:vAlign w:val="center"/>
          </w:tcPr>
          <w:p w14:paraId="0CD44525">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66E95A3C">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56F79502">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33A35FB7">
            <w:pPr>
              <w:spacing w:line="520" w:lineRule="exact"/>
              <w:ind w:firstLine="720" w:firstLineChars="300"/>
              <w:rPr>
                <w:rFonts w:ascii="宋体"/>
                <w:bCs/>
                <w:color w:val="000000"/>
                <w:kern w:val="0"/>
                <w:sz w:val="24"/>
              </w:rPr>
            </w:pPr>
          </w:p>
        </w:tc>
      </w:tr>
      <w:tr w14:paraId="16FB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48038EDC">
            <w:pPr>
              <w:spacing w:line="520" w:lineRule="exact"/>
              <w:jc w:val="center"/>
              <w:rPr>
                <w:rFonts w:ascii="宋体"/>
                <w:bCs/>
                <w:color w:val="000000"/>
                <w:kern w:val="0"/>
                <w:sz w:val="24"/>
              </w:rPr>
            </w:pPr>
            <w:r>
              <w:rPr>
                <w:rFonts w:hint="eastAsia" w:ascii="宋体"/>
                <w:bCs/>
                <w:color w:val="000000"/>
                <w:kern w:val="0"/>
                <w:sz w:val="24"/>
              </w:rPr>
              <w:t>5</w:t>
            </w:r>
          </w:p>
        </w:tc>
        <w:tc>
          <w:tcPr>
            <w:tcW w:w="739" w:type="pct"/>
            <w:tcBorders>
              <w:top w:val="single" w:color="auto" w:sz="4" w:space="0"/>
              <w:left w:val="single" w:color="auto" w:sz="4" w:space="0"/>
              <w:bottom w:val="single" w:color="auto" w:sz="4" w:space="0"/>
              <w:right w:val="single" w:color="auto" w:sz="4" w:space="0"/>
            </w:tcBorders>
            <w:noWrap/>
            <w:vAlign w:val="center"/>
          </w:tcPr>
          <w:p w14:paraId="3349A6D5">
            <w:pPr>
              <w:spacing w:line="520" w:lineRule="exact"/>
              <w:jc w:val="center"/>
              <w:rPr>
                <w:rFonts w:ascii="宋体"/>
                <w:bCs/>
                <w:color w:val="000000"/>
                <w:kern w:val="0"/>
                <w:sz w:val="24"/>
              </w:rPr>
            </w:pPr>
            <w:r>
              <w:rPr>
                <w:rFonts w:hint="eastAsia" w:ascii="宋体"/>
                <w:bCs/>
                <w:color w:val="000000"/>
                <w:kern w:val="0"/>
                <w:sz w:val="24"/>
              </w:rPr>
              <w:t>其它</w:t>
            </w:r>
          </w:p>
        </w:tc>
        <w:tc>
          <w:tcPr>
            <w:tcW w:w="2223" w:type="pct"/>
            <w:tcBorders>
              <w:top w:val="single" w:color="auto" w:sz="4" w:space="0"/>
              <w:left w:val="single" w:color="auto" w:sz="4" w:space="0"/>
              <w:bottom w:val="single" w:color="auto" w:sz="4" w:space="0"/>
              <w:right w:val="single" w:color="auto" w:sz="4" w:space="0"/>
            </w:tcBorders>
            <w:noWrap/>
            <w:vAlign w:val="center"/>
          </w:tcPr>
          <w:p w14:paraId="1DF16633">
            <w:pPr>
              <w:spacing w:line="520" w:lineRule="exact"/>
              <w:jc w:val="center"/>
              <w:rPr>
                <w:rFonts w:ascii="宋体"/>
                <w:bCs/>
                <w:color w:val="000000"/>
                <w:kern w:val="0"/>
                <w:sz w:val="24"/>
              </w:rPr>
            </w:pPr>
            <w:r>
              <w:rPr>
                <w:rFonts w:hint="eastAsia" w:ascii="宋体"/>
                <w:bCs/>
                <w:color w:val="000000"/>
                <w:kern w:val="0"/>
                <w:sz w:val="24"/>
              </w:rPr>
              <w:t>无其它符合采购文件中无效响应认定条件</w:t>
            </w:r>
          </w:p>
        </w:tc>
        <w:tc>
          <w:tcPr>
            <w:tcW w:w="432" w:type="pct"/>
            <w:tcBorders>
              <w:top w:val="single" w:color="auto" w:sz="4" w:space="0"/>
              <w:left w:val="single" w:color="auto" w:sz="4" w:space="0"/>
              <w:bottom w:val="single" w:color="auto" w:sz="4" w:space="0"/>
              <w:right w:val="single" w:color="auto" w:sz="4" w:space="0"/>
            </w:tcBorders>
            <w:noWrap/>
            <w:vAlign w:val="center"/>
          </w:tcPr>
          <w:p w14:paraId="252746D9">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7DB84C0A">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2B6485B9">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76CC45F2">
            <w:pPr>
              <w:spacing w:line="520" w:lineRule="exact"/>
              <w:ind w:firstLine="720" w:firstLineChars="300"/>
              <w:rPr>
                <w:rFonts w:ascii="宋体"/>
                <w:bCs/>
                <w:color w:val="000000"/>
                <w:kern w:val="0"/>
                <w:sz w:val="24"/>
              </w:rPr>
            </w:pPr>
          </w:p>
        </w:tc>
      </w:tr>
      <w:tr w14:paraId="1E01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05" w:type="pct"/>
            <w:tcBorders>
              <w:top w:val="single" w:color="auto" w:sz="4" w:space="0"/>
              <w:left w:val="single" w:color="auto" w:sz="4" w:space="0"/>
              <w:bottom w:val="single" w:color="auto" w:sz="4" w:space="0"/>
              <w:right w:val="single" w:color="auto" w:sz="4" w:space="0"/>
            </w:tcBorders>
            <w:noWrap/>
            <w:vAlign w:val="center"/>
          </w:tcPr>
          <w:p w14:paraId="576B8D6F">
            <w:pPr>
              <w:spacing w:line="520" w:lineRule="exact"/>
              <w:jc w:val="center"/>
              <w:rPr>
                <w:rFonts w:ascii="宋体"/>
                <w:bCs/>
                <w:color w:val="000000"/>
                <w:kern w:val="0"/>
                <w:sz w:val="24"/>
              </w:rPr>
            </w:pPr>
            <w:r>
              <w:rPr>
                <w:rFonts w:hint="eastAsia" w:ascii="宋体"/>
                <w:bCs/>
                <w:color w:val="000000"/>
                <w:kern w:val="0"/>
                <w:sz w:val="24"/>
              </w:rPr>
              <w:t>6</w:t>
            </w:r>
          </w:p>
        </w:tc>
        <w:tc>
          <w:tcPr>
            <w:tcW w:w="739" w:type="pct"/>
            <w:tcBorders>
              <w:top w:val="single" w:color="auto" w:sz="4" w:space="0"/>
              <w:left w:val="single" w:color="auto" w:sz="4" w:space="0"/>
              <w:bottom w:val="single" w:color="auto" w:sz="4" w:space="0"/>
              <w:right w:val="single" w:color="auto" w:sz="4" w:space="0"/>
            </w:tcBorders>
            <w:noWrap/>
            <w:vAlign w:val="center"/>
          </w:tcPr>
          <w:p w14:paraId="6D3A1B5F">
            <w:pPr>
              <w:spacing w:line="520" w:lineRule="exact"/>
              <w:ind w:firstLine="720" w:firstLineChars="300"/>
              <w:jc w:val="center"/>
              <w:rPr>
                <w:rFonts w:ascii="宋体"/>
                <w:bCs/>
                <w:color w:val="000000"/>
                <w:kern w:val="0"/>
                <w:sz w:val="24"/>
              </w:rPr>
            </w:pPr>
          </w:p>
        </w:tc>
        <w:tc>
          <w:tcPr>
            <w:tcW w:w="2223" w:type="pct"/>
            <w:tcBorders>
              <w:top w:val="single" w:color="auto" w:sz="4" w:space="0"/>
              <w:left w:val="single" w:color="auto" w:sz="4" w:space="0"/>
              <w:bottom w:val="single" w:color="auto" w:sz="4" w:space="0"/>
              <w:right w:val="single" w:color="auto" w:sz="4" w:space="0"/>
            </w:tcBorders>
            <w:noWrap/>
            <w:vAlign w:val="center"/>
          </w:tcPr>
          <w:p w14:paraId="574BC30D">
            <w:pPr>
              <w:spacing w:line="520" w:lineRule="exact"/>
              <w:ind w:firstLine="720" w:firstLineChars="300"/>
              <w:jc w:val="center"/>
              <w:rPr>
                <w:rFonts w:ascii="宋体"/>
                <w:bCs/>
                <w:color w:val="000000"/>
                <w:kern w:val="0"/>
                <w:sz w:val="24"/>
              </w:rPr>
            </w:pPr>
            <w:r>
              <w:rPr>
                <w:rFonts w:hint="eastAsia" w:ascii="宋体"/>
                <w:bCs/>
                <w:color w:val="000000"/>
                <w:kern w:val="0"/>
                <w:sz w:val="24"/>
              </w:rPr>
              <w:t>结论</w:t>
            </w:r>
          </w:p>
        </w:tc>
        <w:tc>
          <w:tcPr>
            <w:tcW w:w="432" w:type="pct"/>
            <w:tcBorders>
              <w:top w:val="single" w:color="auto" w:sz="4" w:space="0"/>
              <w:left w:val="single" w:color="auto" w:sz="4" w:space="0"/>
              <w:bottom w:val="single" w:color="auto" w:sz="4" w:space="0"/>
              <w:right w:val="single" w:color="auto" w:sz="4" w:space="0"/>
            </w:tcBorders>
            <w:noWrap/>
            <w:vAlign w:val="center"/>
          </w:tcPr>
          <w:p w14:paraId="0A26FA64">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4EF99083">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25B7B2DB">
            <w:pPr>
              <w:spacing w:line="520" w:lineRule="exact"/>
              <w:ind w:firstLine="720" w:firstLineChars="300"/>
              <w:rPr>
                <w:rFonts w:ascii="宋体"/>
                <w:bCs/>
                <w:color w:val="000000"/>
                <w:kern w:val="0"/>
                <w:sz w:val="24"/>
              </w:rPr>
            </w:pPr>
          </w:p>
        </w:tc>
        <w:tc>
          <w:tcPr>
            <w:tcW w:w="432" w:type="pct"/>
            <w:tcBorders>
              <w:top w:val="single" w:color="auto" w:sz="4" w:space="0"/>
              <w:left w:val="single" w:color="auto" w:sz="4" w:space="0"/>
              <w:bottom w:val="single" w:color="auto" w:sz="4" w:space="0"/>
              <w:right w:val="single" w:color="auto" w:sz="4" w:space="0"/>
            </w:tcBorders>
            <w:noWrap/>
            <w:vAlign w:val="center"/>
          </w:tcPr>
          <w:p w14:paraId="51AD28D8">
            <w:pPr>
              <w:spacing w:line="520" w:lineRule="exact"/>
              <w:ind w:firstLine="720" w:firstLineChars="300"/>
              <w:rPr>
                <w:rFonts w:ascii="宋体"/>
                <w:bCs/>
                <w:color w:val="000000"/>
                <w:kern w:val="0"/>
                <w:sz w:val="24"/>
              </w:rPr>
            </w:pPr>
          </w:p>
        </w:tc>
      </w:tr>
      <w:tr w14:paraId="6BEF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567" w:type="pct"/>
            <w:gridSpan w:val="6"/>
            <w:tcBorders>
              <w:top w:val="single" w:color="auto" w:sz="4" w:space="0"/>
              <w:left w:val="single" w:color="auto" w:sz="4" w:space="0"/>
              <w:bottom w:val="single" w:color="auto" w:sz="4" w:space="0"/>
              <w:right w:val="single" w:color="auto" w:sz="4" w:space="0"/>
            </w:tcBorders>
            <w:noWrap/>
            <w:vAlign w:val="center"/>
          </w:tcPr>
          <w:p w14:paraId="1D1AC553">
            <w:pPr>
              <w:spacing w:line="520" w:lineRule="exact"/>
              <w:ind w:firstLine="720" w:firstLineChars="300"/>
              <w:rPr>
                <w:rFonts w:ascii="宋体"/>
                <w:bCs/>
                <w:color w:val="000000"/>
                <w:kern w:val="0"/>
                <w:sz w:val="24"/>
              </w:rPr>
            </w:pPr>
            <w:r>
              <w:rPr>
                <w:rFonts w:hint="eastAsia" w:ascii="宋体"/>
                <w:bCs/>
                <w:color w:val="000000"/>
                <w:kern w:val="0"/>
                <w:sz w:val="24"/>
              </w:rPr>
              <w:t>备注：</w:t>
            </w:r>
          </w:p>
        </w:tc>
        <w:tc>
          <w:tcPr>
            <w:tcW w:w="432" w:type="pct"/>
            <w:tcBorders>
              <w:top w:val="single" w:color="auto" w:sz="4" w:space="0"/>
              <w:left w:val="single" w:color="auto" w:sz="4" w:space="0"/>
              <w:bottom w:val="single" w:color="auto" w:sz="4" w:space="0"/>
              <w:right w:val="single" w:color="auto" w:sz="4" w:space="0"/>
            </w:tcBorders>
            <w:noWrap/>
            <w:vAlign w:val="center"/>
          </w:tcPr>
          <w:p w14:paraId="3C04E1FD">
            <w:pPr>
              <w:spacing w:line="520" w:lineRule="exact"/>
              <w:ind w:firstLine="720" w:firstLineChars="300"/>
              <w:rPr>
                <w:rFonts w:ascii="宋体"/>
                <w:bCs/>
                <w:color w:val="000000"/>
                <w:kern w:val="0"/>
                <w:sz w:val="24"/>
              </w:rPr>
            </w:pPr>
          </w:p>
        </w:tc>
      </w:tr>
    </w:tbl>
    <w:p w14:paraId="57A15817">
      <w:pPr>
        <w:spacing w:line="360" w:lineRule="exact"/>
        <w:rPr>
          <w:rFonts w:ascii="宋体"/>
          <w:kern w:val="0"/>
          <w:sz w:val="24"/>
        </w:rPr>
      </w:pPr>
    </w:p>
    <w:p w14:paraId="3444DCCC">
      <w:pPr>
        <w:spacing w:line="240" w:lineRule="atLeast"/>
        <w:rPr>
          <w:rFonts w:ascii="宋体"/>
          <w:kern w:val="0"/>
          <w:sz w:val="24"/>
        </w:rPr>
      </w:pPr>
      <w:r>
        <w:rPr>
          <w:rFonts w:hint="eastAsia" w:ascii="宋体"/>
          <w:kern w:val="0"/>
          <w:sz w:val="24"/>
          <w:lang w:eastAsia="zh-CN"/>
        </w:rPr>
        <w:t>1.</w:t>
      </w:r>
      <w:r>
        <w:rPr>
          <w:rFonts w:hint="eastAsia" w:ascii="宋体"/>
          <w:kern w:val="0"/>
          <w:sz w:val="24"/>
        </w:rPr>
        <w:t>表中只需填写“√/通过”或“×/不通过”。</w:t>
      </w:r>
    </w:p>
    <w:p w14:paraId="3E92F8AB">
      <w:pPr>
        <w:spacing w:line="240" w:lineRule="atLeast"/>
        <w:rPr>
          <w:rFonts w:ascii="宋体"/>
          <w:kern w:val="0"/>
          <w:sz w:val="24"/>
        </w:rPr>
      </w:pPr>
      <w:r>
        <w:rPr>
          <w:rFonts w:hint="eastAsia" w:ascii="宋体"/>
          <w:kern w:val="0"/>
          <w:sz w:val="24"/>
          <w:lang w:eastAsia="zh-CN"/>
        </w:rPr>
        <w:t>2.</w:t>
      </w:r>
      <w:r>
        <w:rPr>
          <w:rFonts w:hint="eastAsia" w:ascii="宋体"/>
          <w:kern w:val="0"/>
          <w:sz w:val="24"/>
        </w:rPr>
        <w:t>在结论中按“一项否决”的原则，只有全部审查项目是“√/通过”的，结论填写“合格”；只要其中有一项是×/不通过的，结论填写“不合格”。</w:t>
      </w:r>
    </w:p>
    <w:p w14:paraId="221B72CE">
      <w:pPr>
        <w:spacing w:line="240" w:lineRule="atLeast"/>
        <w:rPr>
          <w:rFonts w:ascii="宋体"/>
          <w:kern w:val="0"/>
          <w:sz w:val="24"/>
        </w:rPr>
      </w:pPr>
      <w:r>
        <w:rPr>
          <w:rFonts w:hint="eastAsia" w:ascii="宋体"/>
          <w:kern w:val="0"/>
          <w:sz w:val="24"/>
          <w:lang w:eastAsia="zh-CN"/>
        </w:rPr>
        <w:t>3.</w:t>
      </w:r>
      <w:r>
        <w:rPr>
          <w:rFonts w:hint="eastAsia" w:ascii="宋体"/>
          <w:kern w:val="0"/>
          <w:sz w:val="24"/>
        </w:rPr>
        <w:t>只有结论是合格的供应商，才能进入下一轮；不合格的被淘汰。</w:t>
      </w:r>
    </w:p>
    <w:p w14:paraId="3DF1C681">
      <w:pPr>
        <w:spacing w:line="240" w:lineRule="atLeast"/>
        <w:rPr>
          <w:rFonts w:ascii="宋体"/>
          <w:kern w:val="0"/>
          <w:sz w:val="24"/>
        </w:rPr>
      </w:pPr>
      <w:r>
        <w:rPr>
          <w:rFonts w:hint="eastAsia" w:ascii="宋体"/>
          <w:kern w:val="0"/>
          <w:sz w:val="24"/>
        </w:rPr>
        <w:t>评委：                                                  日期：</w:t>
      </w:r>
    </w:p>
    <w:p w14:paraId="52574EDF">
      <w:pPr>
        <w:spacing w:beforeLines="50" w:afterLines="50" w:line="440" w:lineRule="exact"/>
        <w:jc w:val="center"/>
        <w:rPr>
          <w:rFonts w:ascii="宋体" w:hAnsi="宋体" w:cs="宋体"/>
          <w:b/>
          <w:bCs/>
          <w:sz w:val="32"/>
          <w:szCs w:val="32"/>
          <w:lang w:val="en-GB"/>
        </w:rPr>
      </w:pPr>
      <w:r>
        <w:rPr>
          <w:rFonts w:ascii="宋体" w:hAnsi="宋体" w:cs="宋体"/>
          <w:b/>
          <w:bCs/>
          <w:sz w:val="32"/>
          <w:szCs w:val="32"/>
          <w:lang w:val="en-GB"/>
        </w:rPr>
        <w:br w:type="page"/>
      </w:r>
      <w:r>
        <w:rPr>
          <w:rFonts w:hint="eastAsia" w:ascii="宋体" w:hAnsi="宋体" w:cs="宋体"/>
          <w:b/>
          <w:bCs/>
          <w:sz w:val="32"/>
          <w:szCs w:val="32"/>
          <w:lang w:val="en-US" w:eastAsia="zh-CN"/>
        </w:rPr>
        <w:t xml:space="preserve">  </w:t>
      </w:r>
      <w:r>
        <w:rPr>
          <w:rFonts w:hint="eastAsia" w:ascii="宋体" w:hAnsi="宋体" w:cs="宋体"/>
          <w:b/>
          <w:bCs/>
          <w:sz w:val="32"/>
          <w:szCs w:val="32"/>
          <w:lang w:val="en-GB"/>
        </w:rPr>
        <w:t>评分细则表</w:t>
      </w:r>
    </w:p>
    <w:p w14:paraId="0139C7E9">
      <w:pPr>
        <w:spacing w:beforeLines="50" w:afterLines="50" w:line="440" w:lineRule="exact"/>
        <w:ind w:firstLine="480" w:firstLineChars="200"/>
        <w:jc w:val="left"/>
        <w:rPr>
          <w:rFonts w:hint="eastAsia" w:ascii="仿宋" w:hAnsi="仿宋" w:eastAsia="仿宋" w:cs="仿宋"/>
          <w:b/>
          <w:bCs/>
          <w:color w:val="auto"/>
          <w:szCs w:val="28"/>
        </w:rPr>
      </w:pPr>
      <w:r>
        <w:rPr>
          <w:rFonts w:hint="eastAsia" w:ascii="宋体"/>
          <w:bCs/>
          <w:kern w:val="0"/>
          <w:sz w:val="24"/>
        </w:rPr>
        <w:t>本次竞争性磋商采购活动采用综合评分法，本项目综合评分总分值（满分）为100分，具体评分细则如下：</w:t>
      </w:r>
    </w:p>
    <w:p w14:paraId="46CDFEDC">
      <w:pPr>
        <w:autoSpaceDE w:val="0"/>
        <w:autoSpaceDN w:val="0"/>
        <w:adjustRightInd w:val="0"/>
        <w:spacing w:line="440" w:lineRule="exact"/>
        <w:jc w:val="center"/>
        <w:rPr>
          <w:rFonts w:hint="eastAsia" w:ascii="宋体" w:hAnsi="宋体" w:eastAsia="宋体" w:cs="宋体"/>
          <w:b/>
          <w:bCs/>
          <w:sz w:val="40"/>
          <w:szCs w:val="40"/>
          <w:lang w:eastAsia="zh-CN"/>
        </w:rPr>
      </w:pPr>
      <w:r>
        <w:rPr>
          <w:rFonts w:hint="eastAsia" w:ascii="宋体" w:hAnsi="宋体" w:cs="宋体"/>
          <w:b/>
          <w:bCs/>
          <w:sz w:val="40"/>
          <w:szCs w:val="40"/>
        </w:rPr>
        <w:t>评分细则表</w:t>
      </w:r>
      <w:r>
        <w:rPr>
          <w:rFonts w:hint="eastAsia" w:ascii="宋体" w:hAnsi="宋体" w:cs="宋体"/>
          <w:b/>
          <w:bCs/>
          <w:sz w:val="40"/>
          <w:szCs w:val="40"/>
          <w:lang w:eastAsia="zh-CN"/>
        </w:rPr>
        <w:t>（</w:t>
      </w:r>
      <w:r>
        <w:rPr>
          <w:rFonts w:hint="eastAsia" w:ascii="宋体" w:hAnsi="宋体" w:cs="宋体"/>
          <w:b/>
          <w:bCs/>
          <w:sz w:val="40"/>
          <w:szCs w:val="40"/>
          <w:lang w:val="en-US" w:eastAsia="zh-CN"/>
        </w:rPr>
        <w:t>1-3包</w:t>
      </w:r>
      <w:r>
        <w:rPr>
          <w:rFonts w:hint="eastAsia" w:ascii="宋体" w:hAnsi="宋体" w:cs="宋体"/>
          <w:b/>
          <w:bCs/>
          <w:sz w:val="40"/>
          <w:szCs w:val="40"/>
          <w:lang w:eastAsia="zh-CN"/>
        </w:rPr>
        <w:t>）</w:t>
      </w:r>
    </w:p>
    <w:tbl>
      <w:tblPr>
        <w:tblStyle w:val="3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037"/>
        <w:gridCol w:w="5767"/>
        <w:gridCol w:w="850"/>
        <w:gridCol w:w="851"/>
      </w:tblGrid>
      <w:tr w14:paraId="568D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72" w:type="dxa"/>
            <w:gridSpan w:val="2"/>
            <w:vAlign w:val="center"/>
          </w:tcPr>
          <w:p w14:paraId="763DC621">
            <w:pPr>
              <w:widowControl/>
              <w:jc w:val="center"/>
              <w:rPr>
                <w:rFonts w:ascii="宋体" w:hAnsi="宋体" w:cs="宋体"/>
                <w:b/>
                <w:bCs/>
                <w:kern w:val="0"/>
                <w:sz w:val="24"/>
                <w:szCs w:val="24"/>
              </w:rPr>
            </w:pPr>
            <w:r>
              <w:rPr>
                <w:rFonts w:hint="eastAsia" w:ascii="宋体" w:hAnsi="宋体" w:cs="宋体"/>
                <w:b/>
                <w:bCs/>
                <w:kern w:val="0"/>
                <w:sz w:val="24"/>
                <w:szCs w:val="24"/>
              </w:rPr>
              <w:t>评标指标</w:t>
            </w:r>
          </w:p>
        </w:tc>
        <w:tc>
          <w:tcPr>
            <w:tcW w:w="5767" w:type="dxa"/>
            <w:vAlign w:val="center"/>
          </w:tcPr>
          <w:p w14:paraId="731D4D78">
            <w:pPr>
              <w:widowControl/>
              <w:jc w:val="center"/>
              <w:rPr>
                <w:rFonts w:ascii="宋体" w:hAnsi="宋体" w:cs="宋体"/>
                <w:b/>
                <w:bCs/>
                <w:kern w:val="0"/>
                <w:sz w:val="24"/>
                <w:szCs w:val="24"/>
              </w:rPr>
            </w:pPr>
            <w:r>
              <w:rPr>
                <w:rFonts w:hint="eastAsia" w:ascii="宋体" w:hAnsi="宋体" w:cs="宋体"/>
                <w:b/>
                <w:bCs/>
                <w:kern w:val="0"/>
                <w:sz w:val="24"/>
                <w:szCs w:val="24"/>
              </w:rPr>
              <w:t>评分标准</w:t>
            </w:r>
          </w:p>
        </w:tc>
        <w:tc>
          <w:tcPr>
            <w:tcW w:w="850" w:type="dxa"/>
            <w:vAlign w:val="center"/>
          </w:tcPr>
          <w:p w14:paraId="2B8E334E">
            <w:pPr>
              <w:widowControl/>
              <w:jc w:val="center"/>
              <w:rPr>
                <w:rFonts w:ascii="宋体" w:hAnsi="宋体" w:cs="宋体"/>
                <w:b/>
                <w:bCs/>
                <w:kern w:val="0"/>
                <w:sz w:val="24"/>
                <w:szCs w:val="24"/>
              </w:rPr>
            </w:pPr>
            <w:r>
              <w:rPr>
                <w:rFonts w:hint="eastAsia" w:ascii="宋体" w:hAnsi="宋体" w:cs="宋体"/>
                <w:b/>
                <w:bCs/>
                <w:kern w:val="0"/>
                <w:sz w:val="24"/>
                <w:szCs w:val="24"/>
              </w:rPr>
              <w:t>分值</w:t>
            </w:r>
          </w:p>
        </w:tc>
        <w:tc>
          <w:tcPr>
            <w:tcW w:w="851" w:type="dxa"/>
            <w:vAlign w:val="center"/>
          </w:tcPr>
          <w:p w14:paraId="611442C6">
            <w:pPr>
              <w:widowControl/>
              <w:jc w:val="center"/>
              <w:rPr>
                <w:rFonts w:ascii="宋体" w:hAnsi="宋体" w:cs="宋体"/>
                <w:b/>
                <w:bCs/>
                <w:kern w:val="0"/>
                <w:sz w:val="24"/>
                <w:szCs w:val="24"/>
              </w:rPr>
            </w:pPr>
            <w:r>
              <w:rPr>
                <w:rFonts w:hint="eastAsia" w:ascii="宋体" w:hAnsi="宋体" w:cs="宋体"/>
                <w:b/>
                <w:bCs/>
                <w:kern w:val="0"/>
                <w:sz w:val="24"/>
                <w:szCs w:val="24"/>
              </w:rPr>
              <w:t>得分</w:t>
            </w:r>
          </w:p>
        </w:tc>
      </w:tr>
      <w:tr w14:paraId="6D37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Align w:val="center"/>
          </w:tcPr>
          <w:p w14:paraId="3D0594F8">
            <w:pPr>
              <w:widowControl/>
              <w:jc w:val="center"/>
              <w:rPr>
                <w:rFonts w:ascii="宋体" w:hAnsi="宋体" w:cs="宋体"/>
                <w:kern w:val="0"/>
                <w:sz w:val="24"/>
                <w:szCs w:val="24"/>
              </w:rPr>
            </w:pPr>
            <w:r>
              <w:rPr>
                <w:rFonts w:hint="eastAsia" w:ascii="宋体" w:hAnsi="宋体" w:cs="宋体"/>
                <w:kern w:val="0"/>
                <w:sz w:val="24"/>
                <w:szCs w:val="24"/>
              </w:rPr>
              <w:t>价格</w:t>
            </w:r>
          </w:p>
          <w:p w14:paraId="1125D5E0">
            <w:pPr>
              <w:widowControl/>
              <w:jc w:val="center"/>
              <w:rPr>
                <w:rFonts w:ascii="宋体" w:hAnsi="宋体" w:cs="宋体"/>
                <w:kern w:val="0"/>
                <w:sz w:val="24"/>
                <w:szCs w:val="24"/>
              </w:rPr>
            </w:pPr>
            <w:r>
              <w:rPr>
                <w:rFonts w:hint="eastAsia" w:ascii="宋体" w:hAnsi="宋体" w:cs="宋体"/>
                <w:kern w:val="0"/>
                <w:sz w:val="24"/>
                <w:szCs w:val="24"/>
              </w:rPr>
              <w:t>（</w:t>
            </w:r>
            <w:r>
              <w:rPr>
                <w:rFonts w:hint="eastAsia" w:ascii="宋体" w:hAnsi="宋体" w:cs="宋体"/>
                <w:b/>
                <w:kern w:val="0"/>
                <w:sz w:val="24"/>
                <w:szCs w:val="24"/>
                <w:lang w:val="en-US" w:eastAsia="zh-CN"/>
              </w:rPr>
              <w:t>1</w:t>
            </w:r>
            <w:r>
              <w:rPr>
                <w:rFonts w:ascii="宋体" w:hAnsi="宋体" w:cs="宋体"/>
                <w:b/>
                <w:kern w:val="0"/>
                <w:sz w:val="24"/>
                <w:szCs w:val="24"/>
              </w:rPr>
              <w:t>0</w:t>
            </w:r>
            <w:r>
              <w:rPr>
                <w:rFonts w:hint="eastAsia" w:ascii="宋体" w:hAnsi="宋体" w:cs="宋体"/>
                <w:kern w:val="0"/>
                <w:sz w:val="24"/>
                <w:szCs w:val="24"/>
              </w:rPr>
              <w:t>分）</w:t>
            </w:r>
          </w:p>
        </w:tc>
        <w:tc>
          <w:tcPr>
            <w:tcW w:w="1037" w:type="dxa"/>
            <w:vAlign w:val="center"/>
          </w:tcPr>
          <w:p w14:paraId="10075A4C">
            <w:pPr>
              <w:widowControl/>
              <w:jc w:val="center"/>
              <w:rPr>
                <w:rFonts w:ascii="宋体" w:hAnsi="宋体" w:cs="宋体"/>
                <w:kern w:val="0"/>
                <w:sz w:val="24"/>
                <w:szCs w:val="24"/>
              </w:rPr>
            </w:pPr>
            <w:r>
              <w:rPr>
                <w:rFonts w:hint="eastAsia" w:ascii="宋体" w:hAnsi="宋体" w:cs="宋体"/>
                <w:kern w:val="0"/>
                <w:sz w:val="24"/>
                <w:szCs w:val="24"/>
              </w:rPr>
              <w:t>报价</w:t>
            </w:r>
          </w:p>
          <w:p w14:paraId="1B468B17">
            <w:pPr>
              <w:widowControl/>
              <w:jc w:val="center"/>
              <w:rPr>
                <w:rFonts w:ascii="宋体" w:hAnsi="宋体" w:cs="宋体"/>
                <w:kern w:val="0"/>
                <w:sz w:val="24"/>
                <w:szCs w:val="24"/>
              </w:rPr>
            </w:pPr>
          </w:p>
        </w:tc>
        <w:tc>
          <w:tcPr>
            <w:tcW w:w="5767" w:type="dxa"/>
            <w:vAlign w:val="center"/>
          </w:tcPr>
          <w:p w14:paraId="6A0EDF83">
            <w:pPr>
              <w:widowControl/>
              <w:jc w:val="left"/>
              <w:rPr>
                <w:rFonts w:ascii="宋体" w:hAnsi="宋体" w:cs="宋体"/>
                <w:kern w:val="0"/>
                <w:sz w:val="24"/>
                <w:szCs w:val="24"/>
              </w:rPr>
            </w:pPr>
            <w:r>
              <w:rPr>
                <w:rFonts w:hint="eastAsia" w:ascii="宋体" w:hAnsi="宋体" w:cs="宋体"/>
                <w:kern w:val="0"/>
                <w:sz w:val="24"/>
                <w:szCs w:val="24"/>
              </w:rPr>
              <w:t>以满足磋商文件要求且最终报价最低的报价为评标基准价，其价格分为满分10分，其他供应商的价格分按照下列公式计算：报价得分=（评标基准价/最终报价）×10%×100</w:t>
            </w:r>
          </w:p>
        </w:tc>
        <w:tc>
          <w:tcPr>
            <w:tcW w:w="850" w:type="dxa"/>
            <w:vAlign w:val="center"/>
          </w:tcPr>
          <w:p w14:paraId="2B91EE64">
            <w:pPr>
              <w:widowControl/>
              <w:jc w:val="center"/>
              <w:rPr>
                <w:rFonts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cs="宋体"/>
                <w:kern w:val="0"/>
                <w:sz w:val="24"/>
                <w:szCs w:val="24"/>
              </w:rPr>
              <w:t>0分</w:t>
            </w:r>
          </w:p>
        </w:tc>
        <w:tc>
          <w:tcPr>
            <w:tcW w:w="851" w:type="dxa"/>
            <w:vAlign w:val="center"/>
          </w:tcPr>
          <w:p w14:paraId="4BA67AF2">
            <w:pPr>
              <w:widowControl/>
              <w:jc w:val="center"/>
              <w:rPr>
                <w:rFonts w:ascii="宋体" w:hAnsi="宋体" w:cs="宋体"/>
                <w:kern w:val="0"/>
                <w:sz w:val="24"/>
                <w:szCs w:val="24"/>
              </w:rPr>
            </w:pPr>
          </w:p>
        </w:tc>
      </w:tr>
      <w:tr w14:paraId="539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restart"/>
            <w:vAlign w:val="center"/>
          </w:tcPr>
          <w:p w14:paraId="151088B2">
            <w:pPr>
              <w:widowControl/>
              <w:jc w:val="center"/>
              <w:rPr>
                <w:rFonts w:ascii="宋体" w:hAnsi="宋体" w:cs="宋体"/>
                <w:kern w:val="0"/>
                <w:sz w:val="24"/>
                <w:szCs w:val="24"/>
              </w:rPr>
            </w:pPr>
            <w:r>
              <w:rPr>
                <w:rFonts w:hint="eastAsia" w:ascii="宋体" w:hAnsi="宋体" w:cs="宋体"/>
                <w:kern w:val="0"/>
                <w:sz w:val="24"/>
                <w:szCs w:val="24"/>
              </w:rPr>
              <w:t>技术评分</w:t>
            </w:r>
          </w:p>
          <w:p w14:paraId="00C841D0">
            <w:pPr>
              <w:widowControl/>
              <w:jc w:val="center"/>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33</w:t>
            </w:r>
            <w:r>
              <w:rPr>
                <w:rFonts w:hint="eastAsia" w:ascii="宋体" w:hAnsi="宋体" w:cs="宋体"/>
                <w:kern w:val="0"/>
                <w:sz w:val="24"/>
                <w:szCs w:val="24"/>
              </w:rPr>
              <w:t>分）</w:t>
            </w:r>
          </w:p>
        </w:tc>
        <w:tc>
          <w:tcPr>
            <w:tcW w:w="1037" w:type="dxa"/>
            <w:vAlign w:val="center"/>
          </w:tcPr>
          <w:p w14:paraId="0C194BD9">
            <w:pPr>
              <w:widowControl/>
              <w:jc w:val="center"/>
              <w:rPr>
                <w:rFonts w:ascii="宋体" w:hAnsi="宋体" w:cs="宋体"/>
                <w:kern w:val="0"/>
                <w:sz w:val="24"/>
                <w:szCs w:val="24"/>
              </w:rPr>
            </w:pPr>
            <w:r>
              <w:rPr>
                <w:rFonts w:hint="eastAsia" w:ascii="宋体" w:hAnsi="宋体" w:cs="宋体"/>
                <w:kern w:val="0"/>
                <w:sz w:val="24"/>
                <w:szCs w:val="24"/>
              </w:rPr>
              <w:t>测评服务方案</w:t>
            </w:r>
          </w:p>
        </w:tc>
        <w:tc>
          <w:tcPr>
            <w:tcW w:w="5767" w:type="dxa"/>
            <w:vAlign w:val="center"/>
          </w:tcPr>
          <w:p w14:paraId="7FD45CA8">
            <w:pPr>
              <w:widowControl/>
              <w:jc w:val="left"/>
              <w:rPr>
                <w:sz w:val="24"/>
                <w:szCs w:val="24"/>
              </w:rPr>
            </w:pPr>
            <w:r>
              <w:rPr>
                <w:rFonts w:hint="eastAsia"/>
                <w:sz w:val="24"/>
                <w:szCs w:val="24"/>
              </w:rPr>
              <w:t>供应商根据采购需求提供测评服务方案，包含但不限于测评内容、服务计划、服务方式、实施方法、测评流程、测评重难点、文档模板、报告模板、技术措施</w:t>
            </w:r>
            <w:r>
              <w:rPr>
                <w:rFonts w:hint="eastAsia"/>
                <w:sz w:val="24"/>
                <w:szCs w:val="24"/>
                <w:lang w:eastAsia="zh-CN"/>
              </w:rPr>
              <w:t>。</w:t>
            </w:r>
          </w:p>
          <w:p w14:paraId="3B2FA106">
            <w:pPr>
              <w:widowControl/>
              <w:rPr>
                <w:rFonts w:hint="eastAsia" w:ascii="Times New Roman" w:hAnsi="Times New Roman" w:eastAsia="宋体" w:cs="Times New Roman"/>
                <w:sz w:val="24"/>
                <w:szCs w:val="24"/>
                <w:lang w:bidi="ar"/>
              </w:rPr>
            </w:pPr>
            <w:r>
              <w:rPr>
                <w:rFonts w:hint="eastAsia"/>
                <w:sz w:val="24"/>
                <w:szCs w:val="24"/>
              </w:rPr>
              <w:t>供应商提供上述方案且满足本项目采购需求的得</w:t>
            </w:r>
            <w:r>
              <w:rPr>
                <w:rFonts w:hint="eastAsia"/>
                <w:sz w:val="24"/>
                <w:szCs w:val="24"/>
                <w:lang w:val="en-US" w:eastAsia="zh-CN"/>
              </w:rPr>
              <w:t>18</w:t>
            </w:r>
            <w:r>
              <w:rPr>
                <w:rFonts w:hint="eastAsia"/>
                <w:sz w:val="24"/>
                <w:szCs w:val="24"/>
              </w:rPr>
              <w:t>分，</w:t>
            </w:r>
            <w:r>
              <w:rPr>
                <w:rFonts w:hint="eastAsia"/>
                <w:sz w:val="24"/>
                <w:szCs w:val="24"/>
                <w:lang w:val="en-US" w:eastAsia="zh-CN"/>
              </w:rPr>
              <w:t>每缺少一项内容扣2分。</w:t>
            </w:r>
            <w:r>
              <w:rPr>
                <w:rFonts w:hint="eastAsia" w:ascii="Times New Roman" w:hAnsi="Times New Roman" w:eastAsia="宋体" w:cs="Times New Roman"/>
                <w:sz w:val="24"/>
                <w:szCs w:val="24"/>
                <w:lang w:bidi="ar"/>
              </w:rPr>
              <w:t>每个内容，每出现1处缺陷的扣</w:t>
            </w:r>
            <w:r>
              <w:rPr>
                <w:rFonts w:hint="eastAsia" w:cs="Times New Roman"/>
                <w:sz w:val="24"/>
                <w:szCs w:val="24"/>
                <w:lang w:val="en-US" w:eastAsia="zh-CN" w:bidi="ar"/>
              </w:rPr>
              <w:t>0.5</w:t>
            </w:r>
            <w:r>
              <w:rPr>
                <w:rFonts w:hint="eastAsia" w:ascii="Times New Roman" w:hAnsi="Times New Roman" w:eastAsia="宋体" w:cs="Times New Roman"/>
                <w:sz w:val="24"/>
                <w:szCs w:val="24"/>
                <w:lang w:bidi="ar"/>
              </w:rPr>
              <w:t>分，扣完</w:t>
            </w:r>
            <w:r>
              <w:rPr>
                <w:rFonts w:hint="eastAsia" w:ascii="Times New Roman" w:hAnsi="Times New Roman" w:eastAsia="宋体" w:cs="Times New Roman"/>
                <w:sz w:val="24"/>
                <w:szCs w:val="24"/>
                <w:lang w:val="en-US" w:eastAsia="zh-CN" w:bidi="ar"/>
              </w:rPr>
              <w:t>2</w:t>
            </w:r>
            <w:r>
              <w:rPr>
                <w:rFonts w:hint="eastAsia" w:ascii="Times New Roman" w:hAnsi="Times New Roman" w:eastAsia="宋体" w:cs="Times New Roman"/>
                <w:sz w:val="24"/>
                <w:szCs w:val="24"/>
                <w:lang w:bidi="ar"/>
              </w:rPr>
              <w:t>分为止。不提供不得分。</w:t>
            </w:r>
          </w:p>
          <w:p w14:paraId="24AFADB5">
            <w:pPr>
              <w:widowControl/>
              <w:jc w:val="left"/>
              <w:rPr>
                <w:rFonts w:ascii="宋体" w:hAnsi="宋体" w:cs="宋体"/>
                <w:kern w:val="0"/>
                <w:sz w:val="24"/>
                <w:szCs w:val="24"/>
              </w:rPr>
            </w:pPr>
            <w:r>
              <w:rPr>
                <w:rFonts w:hint="eastAsia" w:ascii="Times New Roman" w:hAnsi="Times New Roman" w:eastAsia="宋体" w:cs="Times New Roman"/>
                <w:sz w:val="24"/>
                <w:szCs w:val="24"/>
                <w:lang w:bidi="ar"/>
              </w:rPr>
              <w:t>缺陷是指：存在不适用项目实际情况情形、凭空捏造、前后不一致、前后逻辑错误、涉及的规范及标准错误、地点区域错误、不符合项目实际情况、针对性不强、内容不够全面、非专门针对本项目的方案</w:t>
            </w:r>
          </w:p>
        </w:tc>
        <w:tc>
          <w:tcPr>
            <w:tcW w:w="850" w:type="dxa"/>
            <w:vAlign w:val="center"/>
          </w:tcPr>
          <w:p w14:paraId="3083D139">
            <w:pPr>
              <w:widowControl/>
              <w:jc w:val="center"/>
              <w:rPr>
                <w:rFonts w:ascii="宋体" w:hAnsi="宋体" w:cs="宋体"/>
                <w:kern w:val="0"/>
                <w:sz w:val="24"/>
                <w:szCs w:val="24"/>
              </w:rPr>
            </w:pPr>
            <w:r>
              <w:rPr>
                <w:rFonts w:hint="eastAsia" w:ascii="宋体" w:hAnsi="宋体" w:cs="宋体"/>
                <w:kern w:val="0"/>
                <w:sz w:val="24"/>
                <w:szCs w:val="24"/>
                <w:lang w:val="en-US" w:eastAsia="zh-CN"/>
              </w:rPr>
              <w:t>18</w:t>
            </w:r>
            <w:r>
              <w:rPr>
                <w:rFonts w:hint="eastAsia" w:ascii="宋体" w:hAnsi="宋体" w:cs="宋体"/>
                <w:kern w:val="0"/>
                <w:sz w:val="24"/>
                <w:szCs w:val="24"/>
              </w:rPr>
              <w:t>分</w:t>
            </w:r>
          </w:p>
        </w:tc>
        <w:tc>
          <w:tcPr>
            <w:tcW w:w="851" w:type="dxa"/>
            <w:vAlign w:val="center"/>
          </w:tcPr>
          <w:p w14:paraId="2DE3CA90">
            <w:pPr>
              <w:widowControl/>
              <w:jc w:val="center"/>
              <w:rPr>
                <w:rFonts w:ascii="宋体" w:hAnsi="宋体" w:cs="宋体"/>
                <w:kern w:val="0"/>
                <w:sz w:val="24"/>
                <w:szCs w:val="24"/>
              </w:rPr>
            </w:pPr>
          </w:p>
        </w:tc>
      </w:tr>
      <w:tr w14:paraId="6507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4401B739">
            <w:pPr>
              <w:widowControl/>
              <w:jc w:val="center"/>
              <w:rPr>
                <w:sz w:val="24"/>
                <w:szCs w:val="24"/>
              </w:rPr>
            </w:pPr>
          </w:p>
        </w:tc>
        <w:tc>
          <w:tcPr>
            <w:tcW w:w="1037" w:type="dxa"/>
            <w:vAlign w:val="center"/>
          </w:tcPr>
          <w:p w14:paraId="209F6124">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项目质量保证措施评价</w:t>
            </w:r>
          </w:p>
        </w:tc>
        <w:tc>
          <w:tcPr>
            <w:tcW w:w="5767" w:type="dxa"/>
            <w:vAlign w:val="center"/>
          </w:tcPr>
          <w:p w14:paraId="4FD0983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供应商针对本项目需求</w:t>
            </w:r>
            <w:r>
              <w:rPr>
                <w:rFonts w:hint="eastAsia" w:ascii="Times New Roman" w:hAnsi="Times New Roman" w:eastAsia="宋体" w:cs="Times New Roman"/>
                <w:sz w:val="24"/>
                <w:szCs w:val="24"/>
                <w:lang w:val="en-US" w:eastAsia="zh-CN"/>
              </w:rPr>
              <w:t>提供质量保障管理体系和服务质量保障措施等内容。</w:t>
            </w:r>
          </w:p>
          <w:p w14:paraId="7380CAC9">
            <w:pPr>
              <w:widowControl/>
              <w:rPr>
                <w:rFonts w:hint="eastAsia"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评分标准：方案全部覆盖2个方面内容，每个方案内容</w:t>
            </w:r>
            <w:r>
              <w:rPr>
                <w:rFonts w:hint="eastAsia" w:ascii="Times New Roman" w:hAnsi="Times New Roman" w:eastAsia="宋体" w:cs="Times New Roman"/>
                <w:sz w:val="24"/>
                <w:szCs w:val="24"/>
                <w:lang w:val="en-US" w:eastAsia="zh-CN" w:bidi="ar"/>
              </w:rPr>
              <w:t>2.5</w:t>
            </w:r>
            <w:r>
              <w:rPr>
                <w:rFonts w:hint="eastAsia" w:ascii="Times New Roman" w:hAnsi="Times New Roman" w:eastAsia="宋体" w:cs="Times New Roman"/>
                <w:sz w:val="24"/>
                <w:szCs w:val="24"/>
                <w:lang w:bidi="ar"/>
              </w:rPr>
              <w:t>分，满分</w:t>
            </w:r>
            <w:r>
              <w:rPr>
                <w:rFonts w:hint="eastAsia" w:ascii="Times New Roman" w:hAnsi="Times New Roman" w:eastAsia="宋体" w:cs="Times New Roman"/>
                <w:sz w:val="24"/>
                <w:szCs w:val="24"/>
                <w:lang w:val="en-US" w:eastAsia="zh-CN" w:bidi="ar"/>
              </w:rPr>
              <w:t>5</w:t>
            </w:r>
            <w:r>
              <w:rPr>
                <w:rFonts w:hint="eastAsia" w:ascii="Times New Roman" w:hAnsi="Times New Roman" w:eastAsia="宋体" w:cs="Times New Roman"/>
                <w:sz w:val="24"/>
                <w:szCs w:val="24"/>
                <w:lang w:bidi="ar"/>
              </w:rPr>
              <w:t>分；每个方案内容，每出现1处缺陷的扣</w:t>
            </w:r>
            <w:r>
              <w:rPr>
                <w:rFonts w:hint="eastAsia" w:ascii="Times New Roman" w:hAnsi="Times New Roman" w:eastAsia="宋体" w:cs="Times New Roman"/>
                <w:sz w:val="24"/>
                <w:szCs w:val="24"/>
                <w:lang w:val="en-US" w:eastAsia="zh-CN" w:bidi="ar"/>
              </w:rPr>
              <w:t>0.5</w:t>
            </w:r>
            <w:r>
              <w:rPr>
                <w:rFonts w:hint="eastAsia" w:ascii="Times New Roman" w:hAnsi="Times New Roman" w:eastAsia="宋体" w:cs="Times New Roman"/>
                <w:sz w:val="24"/>
                <w:szCs w:val="24"/>
                <w:lang w:bidi="ar"/>
              </w:rPr>
              <w:t>分，扣完</w:t>
            </w:r>
            <w:r>
              <w:rPr>
                <w:rFonts w:hint="eastAsia" w:ascii="Times New Roman" w:hAnsi="Times New Roman" w:eastAsia="宋体" w:cs="Times New Roman"/>
                <w:sz w:val="24"/>
                <w:szCs w:val="24"/>
                <w:lang w:val="en-US" w:eastAsia="zh-CN" w:bidi="ar"/>
              </w:rPr>
              <w:t>2.5</w:t>
            </w:r>
            <w:r>
              <w:rPr>
                <w:rFonts w:hint="eastAsia" w:ascii="Times New Roman" w:hAnsi="Times New Roman" w:eastAsia="宋体" w:cs="Times New Roman"/>
                <w:sz w:val="24"/>
                <w:szCs w:val="24"/>
                <w:lang w:bidi="ar"/>
              </w:rPr>
              <w:t>分为止。不提供不得分。</w:t>
            </w:r>
          </w:p>
          <w:p w14:paraId="793CDF58">
            <w:pPr>
              <w:widowControl/>
              <w:rPr>
                <w:rFonts w:hint="eastAsia" w:ascii="宋体" w:hAnsi="宋体" w:cs="宋体"/>
                <w:kern w:val="0"/>
                <w:sz w:val="24"/>
                <w:szCs w:val="24"/>
              </w:rPr>
            </w:pPr>
            <w:r>
              <w:rPr>
                <w:rFonts w:hint="eastAsia" w:ascii="Times New Roman" w:hAnsi="Times New Roman" w:eastAsia="宋体" w:cs="Times New Roman"/>
                <w:sz w:val="24"/>
                <w:szCs w:val="24"/>
                <w:lang w:bidi="ar"/>
              </w:rPr>
              <w:t>缺陷是指：存在不适用项目实际情况情形、凭空捏造、前后不一致、前后逻辑错误、涉及的规范及标准错误、地点区域错误、不符合项目实际情况、针对性不强、内容不够全面、非专门针对本项目的方案。</w:t>
            </w:r>
          </w:p>
        </w:tc>
        <w:tc>
          <w:tcPr>
            <w:tcW w:w="850" w:type="dxa"/>
            <w:vAlign w:val="center"/>
          </w:tcPr>
          <w:p w14:paraId="23CAD6B1">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w:t>
            </w:r>
            <w:r>
              <w:rPr>
                <w:rFonts w:hint="eastAsia" w:ascii="宋体" w:hAnsi="宋体" w:cs="宋体"/>
                <w:kern w:val="0"/>
                <w:sz w:val="24"/>
                <w:szCs w:val="24"/>
              </w:rPr>
              <w:t>分</w:t>
            </w:r>
          </w:p>
        </w:tc>
        <w:tc>
          <w:tcPr>
            <w:tcW w:w="851" w:type="dxa"/>
            <w:vAlign w:val="center"/>
          </w:tcPr>
          <w:p w14:paraId="4599FF8E">
            <w:pPr>
              <w:widowControl/>
              <w:jc w:val="center"/>
              <w:rPr>
                <w:rFonts w:hint="eastAsia" w:ascii="宋体" w:hAnsi="宋体" w:cs="宋体"/>
                <w:kern w:val="0"/>
                <w:sz w:val="24"/>
                <w:szCs w:val="24"/>
              </w:rPr>
            </w:pPr>
          </w:p>
        </w:tc>
      </w:tr>
      <w:tr w14:paraId="5B0A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20C2F229">
            <w:pPr>
              <w:widowControl/>
              <w:jc w:val="center"/>
              <w:rPr>
                <w:rFonts w:hint="eastAsia" w:ascii="宋体" w:hAnsi="宋体" w:cs="宋体"/>
                <w:kern w:val="0"/>
                <w:sz w:val="24"/>
                <w:szCs w:val="24"/>
              </w:rPr>
            </w:pPr>
          </w:p>
        </w:tc>
        <w:tc>
          <w:tcPr>
            <w:tcW w:w="1037" w:type="dxa"/>
            <w:vAlign w:val="center"/>
          </w:tcPr>
          <w:p w14:paraId="025278E0">
            <w:pPr>
              <w:widowControl/>
              <w:jc w:val="center"/>
              <w:rPr>
                <w:rFonts w:hint="eastAsia" w:ascii="宋体" w:hAnsi="宋体" w:cs="宋体"/>
                <w:kern w:val="0"/>
                <w:sz w:val="24"/>
                <w:szCs w:val="24"/>
              </w:rPr>
            </w:pPr>
            <w:r>
              <w:rPr>
                <w:rFonts w:hint="eastAsia" w:ascii="宋体" w:hAnsi="宋体" w:cs="宋体"/>
                <w:kern w:val="0"/>
                <w:sz w:val="24"/>
                <w:szCs w:val="24"/>
              </w:rPr>
              <w:t>保密制度及措施</w:t>
            </w:r>
          </w:p>
        </w:tc>
        <w:tc>
          <w:tcPr>
            <w:tcW w:w="5767" w:type="dxa"/>
            <w:vAlign w:val="center"/>
          </w:tcPr>
          <w:p w14:paraId="7438801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供应商针对本项目需求提供</w:t>
            </w:r>
            <w:r>
              <w:rPr>
                <w:rFonts w:hint="eastAsia" w:ascii="Times New Roman" w:hAnsi="Times New Roman" w:eastAsia="宋体" w:cs="Times New Roman"/>
                <w:sz w:val="24"/>
                <w:szCs w:val="24"/>
                <w:lang w:val="en-US" w:eastAsia="zh-CN" w:bidi="ar"/>
              </w:rPr>
              <w:t>保密制度</w:t>
            </w:r>
            <w:r>
              <w:rPr>
                <w:rFonts w:hint="eastAsia" w:ascii="Times New Roman" w:hAnsi="Times New Roman" w:eastAsia="宋体" w:cs="Times New Roman"/>
                <w:sz w:val="24"/>
                <w:szCs w:val="24"/>
                <w:lang w:bidi="ar"/>
              </w:rPr>
              <w:t>和</w:t>
            </w:r>
            <w:r>
              <w:rPr>
                <w:rFonts w:hint="eastAsia" w:ascii="Times New Roman" w:hAnsi="Times New Roman" w:eastAsia="宋体" w:cs="Times New Roman"/>
                <w:sz w:val="24"/>
                <w:szCs w:val="24"/>
                <w:lang w:val="en-US" w:eastAsia="zh-CN" w:bidi="ar"/>
              </w:rPr>
              <w:t>保密措施</w:t>
            </w:r>
            <w:r>
              <w:rPr>
                <w:rFonts w:hint="eastAsia" w:ascii="Times New Roman" w:hAnsi="Times New Roman" w:eastAsia="宋体" w:cs="Times New Roman"/>
                <w:sz w:val="24"/>
                <w:szCs w:val="24"/>
                <w:lang w:bidi="ar"/>
              </w:rPr>
              <w:t>，应满足招标文件技术部分要求，根据供应商提供的方案进行打分。</w:t>
            </w:r>
          </w:p>
          <w:p w14:paraId="2B809F46">
            <w:pPr>
              <w:widowControl/>
              <w:rPr>
                <w:rFonts w:hint="eastAsia" w:ascii="Times New Roman" w:hAnsi="Times New Roman" w:eastAsia="宋体" w:cs="Times New Roman"/>
                <w:sz w:val="24"/>
                <w:szCs w:val="24"/>
                <w:lang w:bidi="ar"/>
              </w:rPr>
            </w:pPr>
            <w:r>
              <w:rPr>
                <w:rFonts w:hint="eastAsia" w:ascii="Times New Roman" w:hAnsi="Times New Roman" w:eastAsia="宋体" w:cs="Times New Roman"/>
                <w:sz w:val="24"/>
                <w:szCs w:val="24"/>
                <w:lang w:bidi="ar"/>
              </w:rPr>
              <w:t>评分标准：方案全部覆盖2个方面内容，每个方案内容</w:t>
            </w:r>
            <w:r>
              <w:rPr>
                <w:rFonts w:hint="eastAsia" w:ascii="Times New Roman" w:hAnsi="Times New Roman" w:eastAsia="宋体" w:cs="Times New Roman"/>
                <w:sz w:val="24"/>
                <w:szCs w:val="24"/>
                <w:lang w:val="en-US" w:eastAsia="zh-CN" w:bidi="ar"/>
              </w:rPr>
              <w:t>2.5</w:t>
            </w:r>
            <w:r>
              <w:rPr>
                <w:rFonts w:hint="eastAsia" w:ascii="Times New Roman" w:hAnsi="Times New Roman" w:eastAsia="宋体" w:cs="Times New Roman"/>
                <w:sz w:val="24"/>
                <w:szCs w:val="24"/>
                <w:lang w:bidi="ar"/>
              </w:rPr>
              <w:t>分，满分</w:t>
            </w:r>
            <w:r>
              <w:rPr>
                <w:rFonts w:hint="eastAsia" w:ascii="Times New Roman" w:hAnsi="Times New Roman" w:eastAsia="宋体" w:cs="Times New Roman"/>
                <w:sz w:val="24"/>
                <w:szCs w:val="24"/>
                <w:lang w:val="en-US" w:eastAsia="zh-CN" w:bidi="ar"/>
              </w:rPr>
              <w:t>5</w:t>
            </w:r>
            <w:r>
              <w:rPr>
                <w:rFonts w:hint="eastAsia" w:ascii="Times New Roman" w:hAnsi="Times New Roman" w:eastAsia="宋体" w:cs="Times New Roman"/>
                <w:sz w:val="24"/>
                <w:szCs w:val="24"/>
                <w:lang w:bidi="ar"/>
              </w:rPr>
              <w:t>分；每个方案内容，每出现1处缺陷的扣</w:t>
            </w:r>
            <w:r>
              <w:rPr>
                <w:rFonts w:hint="eastAsia" w:ascii="Times New Roman" w:hAnsi="Times New Roman" w:eastAsia="宋体" w:cs="Times New Roman"/>
                <w:sz w:val="24"/>
                <w:szCs w:val="24"/>
                <w:lang w:val="en-US" w:eastAsia="zh-CN" w:bidi="ar"/>
              </w:rPr>
              <w:t>0.5</w:t>
            </w:r>
            <w:r>
              <w:rPr>
                <w:rFonts w:hint="eastAsia" w:ascii="Times New Roman" w:hAnsi="Times New Roman" w:eastAsia="宋体" w:cs="Times New Roman"/>
                <w:sz w:val="24"/>
                <w:szCs w:val="24"/>
                <w:lang w:bidi="ar"/>
              </w:rPr>
              <w:t>分，扣完</w:t>
            </w:r>
            <w:r>
              <w:rPr>
                <w:rFonts w:hint="eastAsia" w:ascii="Times New Roman" w:hAnsi="Times New Roman" w:eastAsia="宋体" w:cs="Times New Roman"/>
                <w:sz w:val="24"/>
                <w:szCs w:val="24"/>
                <w:lang w:val="en-US" w:eastAsia="zh-CN" w:bidi="ar"/>
              </w:rPr>
              <w:t>2.5</w:t>
            </w:r>
            <w:r>
              <w:rPr>
                <w:rFonts w:hint="eastAsia" w:ascii="Times New Roman" w:hAnsi="Times New Roman" w:eastAsia="宋体" w:cs="Times New Roman"/>
                <w:sz w:val="24"/>
                <w:szCs w:val="24"/>
                <w:lang w:bidi="ar"/>
              </w:rPr>
              <w:t>分为止。不提供不得分。</w:t>
            </w:r>
          </w:p>
          <w:p w14:paraId="6F540D6B">
            <w:pPr>
              <w:widowControl/>
              <w:rPr>
                <w:rFonts w:hint="eastAsia"/>
                <w:sz w:val="24"/>
                <w:lang w:bidi="ar"/>
              </w:rPr>
            </w:pPr>
            <w:r>
              <w:rPr>
                <w:rFonts w:hint="eastAsia" w:ascii="Times New Roman" w:hAnsi="Times New Roman" w:eastAsia="宋体" w:cs="Times New Roman"/>
                <w:sz w:val="24"/>
                <w:szCs w:val="24"/>
                <w:lang w:bidi="ar"/>
              </w:rPr>
              <w:t>缺陷是指：存在不适用项目实际情况情形、凭空捏造、前后不一致、前后逻辑错误、涉及的规范及标准错误、地点区域错误、不符合项目实际情况、针对性不强、内容不够全面、非专门针对本项目的方案。</w:t>
            </w:r>
          </w:p>
          <w:p w14:paraId="579A1D89">
            <w:pPr>
              <w:widowControl/>
              <w:jc w:val="left"/>
              <w:rPr>
                <w:rFonts w:hint="eastAsia" w:ascii="宋体" w:hAnsi="宋体" w:cs="宋体"/>
                <w:kern w:val="0"/>
                <w:sz w:val="24"/>
                <w:szCs w:val="24"/>
              </w:rPr>
            </w:pPr>
          </w:p>
        </w:tc>
        <w:tc>
          <w:tcPr>
            <w:tcW w:w="850" w:type="dxa"/>
            <w:vAlign w:val="center"/>
          </w:tcPr>
          <w:p w14:paraId="17374D91">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5分</w:t>
            </w:r>
          </w:p>
        </w:tc>
        <w:tc>
          <w:tcPr>
            <w:tcW w:w="851" w:type="dxa"/>
            <w:vAlign w:val="center"/>
          </w:tcPr>
          <w:p w14:paraId="12625822">
            <w:pPr>
              <w:widowControl/>
              <w:jc w:val="center"/>
              <w:rPr>
                <w:rFonts w:hint="eastAsia" w:ascii="宋体" w:hAnsi="宋体" w:cs="宋体"/>
                <w:kern w:val="0"/>
                <w:sz w:val="24"/>
                <w:szCs w:val="24"/>
              </w:rPr>
            </w:pPr>
          </w:p>
        </w:tc>
      </w:tr>
      <w:tr w14:paraId="4898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1135" w:type="dxa"/>
            <w:vMerge w:val="continue"/>
            <w:vAlign w:val="center"/>
          </w:tcPr>
          <w:p w14:paraId="6539E654">
            <w:pPr>
              <w:widowControl/>
              <w:jc w:val="center"/>
              <w:rPr>
                <w:rFonts w:hint="eastAsia" w:ascii="宋体" w:hAnsi="宋体" w:cs="宋体"/>
                <w:kern w:val="0"/>
                <w:sz w:val="24"/>
                <w:szCs w:val="24"/>
              </w:rPr>
            </w:pPr>
          </w:p>
        </w:tc>
        <w:tc>
          <w:tcPr>
            <w:tcW w:w="1037" w:type="dxa"/>
            <w:vAlign w:val="center"/>
          </w:tcPr>
          <w:p w14:paraId="49B63A8B">
            <w:pPr>
              <w:widowControl/>
              <w:jc w:val="center"/>
              <w:rPr>
                <w:rFonts w:hint="eastAsia" w:ascii="宋体" w:hAnsi="宋体" w:cs="宋体"/>
                <w:kern w:val="0"/>
                <w:sz w:val="24"/>
                <w:szCs w:val="24"/>
              </w:rPr>
            </w:pPr>
            <w:r>
              <w:rPr>
                <w:rFonts w:hint="eastAsia" w:ascii="宋体" w:hAnsi="宋体" w:cs="宋体"/>
                <w:kern w:val="0"/>
                <w:sz w:val="24"/>
                <w:szCs w:val="24"/>
              </w:rPr>
              <w:t>实施进度保障评价</w:t>
            </w:r>
          </w:p>
        </w:tc>
        <w:tc>
          <w:tcPr>
            <w:tcW w:w="5767" w:type="dxa"/>
            <w:vAlign w:val="center"/>
          </w:tcPr>
          <w:p w14:paraId="0C24A54C">
            <w:pPr>
              <w:widowControl/>
              <w:jc w:val="left"/>
              <w:rPr>
                <w:rFonts w:hint="eastAsia"/>
                <w:sz w:val="24"/>
              </w:rPr>
            </w:pPr>
            <w:r>
              <w:rPr>
                <w:rFonts w:hint="eastAsia"/>
                <w:sz w:val="24"/>
              </w:rPr>
              <w:t>供应商针对本项目需求提供实施总体进度计划和保障措施，实施进度计划应满足招标文件技术部分要求，提供实施进度节点图，根据供应商提供的方案进行打分。</w:t>
            </w:r>
          </w:p>
          <w:p w14:paraId="12A7170D">
            <w:pPr>
              <w:widowControl/>
              <w:jc w:val="left"/>
              <w:rPr>
                <w:rFonts w:hint="eastAsia"/>
                <w:sz w:val="24"/>
              </w:rPr>
            </w:pPr>
            <w:r>
              <w:rPr>
                <w:rFonts w:hint="eastAsia"/>
                <w:sz w:val="24"/>
              </w:rPr>
              <w:t>评分标准：方案全部覆盖2个方面内容，每个方案内容2.5分，满分5分；每个方案内容，每出现1处缺陷的扣0.5分，扣完2.5分为止。不提供不得分。</w:t>
            </w:r>
          </w:p>
          <w:p w14:paraId="0B0DB3DC">
            <w:pPr>
              <w:widowControl/>
              <w:jc w:val="left"/>
              <w:rPr>
                <w:rFonts w:hint="eastAsia" w:ascii="宋体" w:hAnsi="宋体" w:cs="宋体"/>
                <w:kern w:val="0"/>
                <w:sz w:val="24"/>
                <w:szCs w:val="24"/>
              </w:rPr>
            </w:pPr>
            <w:r>
              <w:rPr>
                <w:rFonts w:hint="eastAsia"/>
                <w:sz w:val="24"/>
              </w:rPr>
              <w:t>缺陷是指：存在不适用项目实际情况情形、凭空捏造、前后不一致、前后逻辑错误、涉及的规范及标准错误、地点区域错误、不符合项目实际情况、针对性不强、内容不够全面、非专门针对本项目的方案。</w:t>
            </w:r>
          </w:p>
        </w:tc>
        <w:tc>
          <w:tcPr>
            <w:tcW w:w="850" w:type="dxa"/>
            <w:vAlign w:val="center"/>
          </w:tcPr>
          <w:p w14:paraId="0A713D6E">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5分</w:t>
            </w:r>
          </w:p>
        </w:tc>
        <w:tc>
          <w:tcPr>
            <w:tcW w:w="851" w:type="dxa"/>
            <w:vAlign w:val="center"/>
          </w:tcPr>
          <w:p w14:paraId="6E630338">
            <w:pPr>
              <w:widowControl/>
              <w:jc w:val="center"/>
              <w:rPr>
                <w:rFonts w:hint="eastAsia" w:ascii="宋体" w:hAnsi="宋体" w:cs="宋体"/>
                <w:kern w:val="0"/>
                <w:sz w:val="24"/>
                <w:szCs w:val="24"/>
              </w:rPr>
            </w:pPr>
          </w:p>
        </w:tc>
      </w:tr>
      <w:tr w14:paraId="24F5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restart"/>
            <w:vAlign w:val="center"/>
          </w:tcPr>
          <w:p w14:paraId="554A43B1">
            <w:pPr>
              <w:widowControl/>
              <w:jc w:val="center"/>
              <w:rPr>
                <w:rFonts w:ascii="宋体" w:hAnsi="宋体" w:cs="宋体"/>
                <w:kern w:val="0"/>
                <w:sz w:val="24"/>
                <w:szCs w:val="24"/>
              </w:rPr>
            </w:pPr>
            <w:r>
              <w:rPr>
                <w:rFonts w:hint="eastAsia" w:ascii="宋体" w:hAnsi="宋体" w:cs="宋体"/>
                <w:kern w:val="0"/>
                <w:sz w:val="24"/>
                <w:szCs w:val="24"/>
              </w:rPr>
              <w:t>商务评分（</w:t>
            </w:r>
            <w:r>
              <w:rPr>
                <w:rFonts w:hint="eastAsia" w:ascii="宋体" w:hAnsi="宋体" w:cs="宋体"/>
                <w:kern w:val="0"/>
                <w:sz w:val="24"/>
                <w:szCs w:val="24"/>
                <w:lang w:val="en-US" w:eastAsia="zh-CN"/>
              </w:rPr>
              <w:t>57</w:t>
            </w:r>
            <w:r>
              <w:rPr>
                <w:rFonts w:hint="eastAsia" w:ascii="宋体" w:hAnsi="宋体" w:cs="宋体"/>
                <w:kern w:val="0"/>
                <w:sz w:val="24"/>
                <w:szCs w:val="24"/>
              </w:rPr>
              <w:t>分）</w:t>
            </w:r>
          </w:p>
        </w:tc>
        <w:tc>
          <w:tcPr>
            <w:tcW w:w="1037" w:type="dxa"/>
            <w:vAlign w:val="center"/>
          </w:tcPr>
          <w:p w14:paraId="6D8AA1E2">
            <w:pPr>
              <w:spacing w:line="440" w:lineRule="exact"/>
              <w:jc w:val="center"/>
              <w:rPr>
                <w:rFonts w:hint="eastAsia"/>
                <w:color w:val="auto"/>
                <w:sz w:val="24"/>
                <w:szCs w:val="24"/>
              </w:rPr>
            </w:pPr>
            <w:r>
              <w:rPr>
                <w:rFonts w:hint="eastAsia"/>
                <w:color w:val="auto"/>
                <w:sz w:val="24"/>
                <w:szCs w:val="24"/>
              </w:rPr>
              <w:t>企业实力</w:t>
            </w:r>
          </w:p>
          <w:p w14:paraId="3FC992D5">
            <w:pPr>
              <w:widowControl/>
              <w:jc w:val="center"/>
              <w:rPr>
                <w:rFonts w:hint="eastAsia" w:ascii="宋体" w:hAnsi="宋体" w:cs="宋体"/>
                <w:kern w:val="0"/>
                <w:sz w:val="24"/>
                <w:szCs w:val="24"/>
                <w:lang w:val="en-US" w:eastAsia="zh-CN"/>
              </w:rPr>
            </w:pPr>
          </w:p>
        </w:tc>
        <w:tc>
          <w:tcPr>
            <w:tcW w:w="5767" w:type="dxa"/>
            <w:vAlign w:val="center"/>
          </w:tcPr>
          <w:p w14:paraId="396ECFEB">
            <w:pPr>
              <w:rPr>
                <w:rFonts w:hint="eastAsia"/>
                <w:sz w:val="24"/>
                <w:szCs w:val="32"/>
              </w:rPr>
            </w:pPr>
            <w:r>
              <w:rPr>
                <w:rFonts w:hint="eastAsia"/>
                <w:sz w:val="24"/>
                <w:szCs w:val="32"/>
                <w:lang w:eastAsia="zh-CN"/>
              </w:rPr>
              <w:t>1.</w:t>
            </w:r>
            <w:r>
              <w:rPr>
                <w:rFonts w:hint="eastAsia"/>
                <w:sz w:val="24"/>
                <w:szCs w:val="32"/>
              </w:rPr>
              <w:t>供应商具有行政主管部门颁发，国家认证认可监督管理委员会监制的检验检测机构资质认定证书（C</w:t>
            </w:r>
            <w:r>
              <w:rPr>
                <w:sz w:val="24"/>
                <w:szCs w:val="32"/>
              </w:rPr>
              <w:t>MA</w:t>
            </w:r>
            <w:r>
              <w:rPr>
                <w:rFonts w:hint="eastAsia"/>
                <w:sz w:val="24"/>
                <w:szCs w:val="32"/>
              </w:rPr>
              <w:t>），得</w:t>
            </w:r>
            <w:r>
              <w:rPr>
                <w:sz w:val="24"/>
                <w:szCs w:val="32"/>
              </w:rPr>
              <w:t>6</w:t>
            </w:r>
            <w:r>
              <w:rPr>
                <w:rFonts w:hint="eastAsia"/>
                <w:sz w:val="24"/>
                <w:szCs w:val="32"/>
              </w:rPr>
              <w:t>分；（提供证书复印件加盖</w:t>
            </w:r>
            <w:r>
              <w:rPr>
                <w:rFonts w:hint="eastAsia"/>
                <w:sz w:val="24"/>
                <w:szCs w:val="32"/>
                <w:lang w:val="en-US" w:eastAsia="zh-CN"/>
              </w:rPr>
              <w:t>供应商</w:t>
            </w:r>
            <w:r>
              <w:rPr>
                <w:rFonts w:hint="eastAsia"/>
                <w:sz w:val="24"/>
                <w:szCs w:val="32"/>
              </w:rPr>
              <w:t>单位公章）</w:t>
            </w:r>
          </w:p>
          <w:p w14:paraId="04821F1E">
            <w:pPr>
              <w:rPr>
                <w:rFonts w:hint="eastAsia"/>
                <w:sz w:val="24"/>
                <w:szCs w:val="32"/>
              </w:rPr>
            </w:pPr>
            <w:r>
              <w:rPr>
                <w:rFonts w:hint="eastAsia"/>
                <w:sz w:val="24"/>
                <w:szCs w:val="32"/>
                <w:lang w:eastAsia="zh-CN"/>
              </w:rPr>
              <w:t>2.</w:t>
            </w:r>
            <w:r>
              <w:rPr>
                <w:rFonts w:hint="eastAsia"/>
                <w:sz w:val="24"/>
                <w:szCs w:val="32"/>
              </w:rPr>
              <w:t>供应商具有中国网络安全审查技术与认证中心颁发的风险评估、安全运维、应急处理、灾难备份与恢复服务认证证书的，得</w:t>
            </w:r>
            <w:r>
              <w:rPr>
                <w:sz w:val="24"/>
                <w:szCs w:val="32"/>
              </w:rPr>
              <w:t>5</w:t>
            </w:r>
            <w:r>
              <w:rPr>
                <w:rFonts w:hint="eastAsia"/>
                <w:sz w:val="24"/>
                <w:szCs w:val="32"/>
              </w:rPr>
              <w:t>分；每少一个服务认证减1分，没有认证证书不得分。（提供证书复印件加盖</w:t>
            </w:r>
            <w:r>
              <w:rPr>
                <w:rFonts w:hint="eastAsia"/>
                <w:sz w:val="24"/>
                <w:szCs w:val="32"/>
                <w:lang w:val="en-US" w:eastAsia="zh-CN"/>
              </w:rPr>
              <w:t>供应商</w:t>
            </w:r>
            <w:r>
              <w:rPr>
                <w:rFonts w:hint="eastAsia"/>
                <w:sz w:val="24"/>
                <w:szCs w:val="32"/>
              </w:rPr>
              <w:t>单位公章）</w:t>
            </w:r>
          </w:p>
          <w:p w14:paraId="10D77EB6">
            <w:pPr>
              <w:rPr>
                <w:rFonts w:hint="eastAsia"/>
                <w:sz w:val="24"/>
                <w:szCs w:val="32"/>
              </w:rPr>
            </w:pPr>
            <w:r>
              <w:rPr>
                <w:rFonts w:hint="eastAsia"/>
                <w:sz w:val="24"/>
                <w:szCs w:val="32"/>
                <w:lang w:eastAsia="zh-CN"/>
              </w:rPr>
              <w:t>3.</w:t>
            </w:r>
            <w:r>
              <w:rPr>
                <w:rFonts w:hint="eastAsia"/>
                <w:sz w:val="24"/>
                <w:szCs w:val="32"/>
              </w:rPr>
              <w:t>供应商具有信息技术服务管理体系、信息技术服务管理体系认证证书、业务连续性管理体系认证证书、信息安全管理体系认证证书，每提供一项证书得1分，满分4分。（提供证书复印件加盖</w:t>
            </w:r>
            <w:r>
              <w:rPr>
                <w:rFonts w:hint="eastAsia"/>
                <w:sz w:val="24"/>
                <w:szCs w:val="32"/>
                <w:lang w:val="en-US" w:eastAsia="zh-CN"/>
              </w:rPr>
              <w:t>供应商</w:t>
            </w:r>
            <w:r>
              <w:rPr>
                <w:rFonts w:hint="eastAsia"/>
                <w:sz w:val="24"/>
                <w:szCs w:val="32"/>
              </w:rPr>
              <w:t>单位公章）</w:t>
            </w:r>
          </w:p>
          <w:p w14:paraId="355CEA15">
            <w:pPr>
              <w:rPr>
                <w:rFonts w:hint="eastAsia" w:eastAsia="宋体"/>
                <w:sz w:val="24"/>
                <w:szCs w:val="32"/>
                <w:lang w:eastAsia="zh-CN"/>
              </w:rPr>
            </w:pPr>
            <w:r>
              <w:rPr>
                <w:rFonts w:hint="eastAsia"/>
                <w:sz w:val="24"/>
                <w:szCs w:val="32"/>
                <w:lang w:eastAsia="zh-CN"/>
              </w:rPr>
              <w:t>4.</w:t>
            </w:r>
            <w:r>
              <w:rPr>
                <w:rFonts w:hint="eastAsia"/>
                <w:sz w:val="24"/>
                <w:szCs w:val="32"/>
              </w:rPr>
              <w:t>供应商具有中国信息安全测评中心颁发的风险评估证书，得5分</w:t>
            </w:r>
            <w:r>
              <w:rPr>
                <w:rFonts w:hint="eastAsia"/>
                <w:sz w:val="24"/>
                <w:szCs w:val="32"/>
                <w:lang w:eastAsia="zh-CN"/>
              </w:rPr>
              <w:t>。（</w:t>
            </w:r>
            <w:r>
              <w:rPr>
                <w:rFonts w:hint="eastAsia"/>
                <w:sz w:val="24"/>
                <w:szCs w:val="32"/>
              </w:rPr>
              <w:t>提供证书复印件加盖</w:t>
            </w:r>
            <w:r>
              <w:rPr>
                <w:rFonts w:hint="eastAsia"/>
                <w:sz w:val="24"/>
                <w:szCs w:val="32"/>
                <w:lang w:val="en-US" w:eastAsia="zh-CN"/>
              </w:rPr>
              <w:t>供应商</w:t>
            </w:r>
            <w:r>
              <w:rPr>
                <w:rFonts w:hint="eastAsia"/>
                <w:sz w:val="24"/>
                <w:szCs w:val="32"/>
              </w:rPr>
              <w:t>单位公章</w:t>
            </w:r>
            <w:r>
              <w:rPr>
                <w:rFonts w:hint="eastAsia"/>
                <w:sz w:val="24"/>
                <w:szCs w:val="32"/>
                <w:lang w:eastAsia="zh-CN"/>
              </w:rPr>
              <w:t>）</w:t>
            </w:r>
          </w:p>
          <w:p w14:paraId="1E0160BC">
            <w:pPr>
              <w:rPr>
                <w:rFonts w:hint="eastAsia"/>
                <w:sz w:val="24"/>
                <w:szCs w:val="32"/>
              </w:rPr>
            </w:pPr>
            <w:r>
              <w:rPr>
                <w:rFonts w:hint="eastAsia"/>
                <w:sz w:val="24"/>
                <w:szCs w:val="32"/>
                <w:lang w:eastAsia="zh-CN"/>
              </w:rPr>
              <w:t>5.</w:t>
            </w:r>
            <w:r>
              <w:rPr>
                <w:rFonts w:hint="eastAsia"/>
                <w:sz w:val="24"/>
                <w:szCs w:val="32"/>
                <w:lang w:val="en-US" w:eastAsia="zh-CN"/>
              </w:rPr>
              <w:t>供应商</w:t>
            </w:r>
            <w:r>
              <w:rPr>
                <w:rFonts w:hint="eastAsia"/>
                <w:sz w:val="24"/>
                <w:szCs w:val="32"/>
              </w:rPr>
              <w:t>具有网络回溯分析系统，并提供采购合同和授权许可证明，复印件并加盖</w:t>
            </w:r>
            <w:r>
              <w:rPr>
                <w:rFonts w:hint="eastAsia"/>
                <w:sz w:val="24"/>
                <w:szCs w:val="32"/>
                <w:lang w:val="en-US" w:eastAsia="zh-CN"/>
              </w:rPr>
              <w:t>供应商</w:t>
            </w:r>
            <w:r>
              <w:rPr>
                <w:rFonts w:hint="eastAsia"/>
                <w:sz w:val="24"/>
                <w:szCs w:val="32"/>
              </w:rPr>
              <w:t>公章，得</w:t>
            </w:r>
            <w:r>
              <w:rPr>
                <w:sz w:val="24"/>
                <w:szCs w:val="32"/>
              </w:rPr>
              <w:t>5</w:t>
            </w:r>
            <w:r>
              <w:rPr>
                <w:rFonts w:hint="eastAsia"/>
                <w:sz w:val="24"/>
                <w:szCs w:val="32"/>
              </w:rPr>
              <w:t>分，否则不得分。</w:t>
            </w:r>
          </w:p>
        </w:tc>
        <w:tc>
          <w:tcPr>
            <w:tcW w:w="850" w:type="dxa"/>
            <w:vAlign w:val="center"/>
          </w:tcPr>
          <w:p w14:paraId="6077A1E1">
            <w:pPr>
              <w:widowControl/>
              <w:jc w:val="center"/>
              <w:rPr>
                <w:rFonts w:hint="default" w:ascii="宋体" w:hAnsi="宋体" w:cs="宋体"/>
                <w:b w:val="0"/>
                <w:bCs/>
                <w:kern w:val="0"/>
                <w:sz w:val="24"/>
                <w:szCs w:val="24"/>
                <w:lang w:val="en-US" w:eastAsia="zh-CN"/>
              </w:rPr>
            </w:pPr>
            <w:r>
              <w:rPr>
                <w:rFonts w:hint="eastAsia" w:ascii="宋体" w:hAnsi="宋体" w:cs="宋体"/>
                <w:b w:val="0"/>
                <w:bCs/>
                <w:kern w:val="0"/>
                <w:sz w:val="24"/>
                <w:szCs w:val="24"/>
                <w:lang w:val="en-US" w:eastAsia="zh-CN"/>
              </w:rPr>
              <w:t>25分</w:t>
            </w:r>
          </w:p>
        </w:tc>
        <w:tc>
          <w:tcPr>
            <w:tcW w:w="851" w:type="dxa"/>
            <w:vAlign w:val="center"/>
          </w:tcPr>
          <w:p w14:paraId="70AFBB4C">
            <w:pPr>
              <w:widowControl/>
              <w:jc w:val="center"/>
              <w:rPr>
                <w:rFonts w:ascii="宋体" w:hAnsi="宋体" w:cs="宋体"/>
                <w:kern w:val="0"/>
                <w:sz w:val="24"/>
                <w:szCs w:val="24"/>
              </w:rPr>
            </w:pPr>
          </w:p>
        </w:tc>
      </w:tr>
      <w:tr w14:paraId="6318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5231AF2B">
            <w:pPr>
              <w:widowControl/>
              <w:jc w:val="center"/>
              <w:rPr>
                <w:rFonts w:ascii="宋体" w:hAnsi="宋体" w:cs="宋体"/>
                <w:kern w:val="0"/>
                <w:sz w:val="24"/>
                <w:szCs w:val="24"/>
              </w:rPr>
            </w:pPr>
          </w:p>
        </w:tc>
        <w:tc>
          <w:tcPr>
            <w:tcW w:w="1037" w:type="dxa"/>
            <w:vAlign w:val="center"/>
          </w:tcPr>
          <w:p w14:paraId="6ABF888D">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实施团队</w:t>
            </w:r>
          </w:p>
        </w:tc>
        <w:tc>
          <w:tcPr>
            <w:tcW w:w="5767" w:type="dxa"/>
            <w:vAlign w:val="center"/>
          </w:tcPr>
          <w:p w14:paraId="79F66240">
            <w:pPr>
              <w:widowControl/>
              <w:jc w:val="left"/>
              <w:rPr>
                <w:rFonts w:hint="eastAsia" w:ascii="宋体" w:hAnsi="宋体" w:cs="宋体"/>
                <w:kern w:val="0"/>
                <w:sz w:val="24"/>
                <w:szCs w:val="24"/>
              </w:rPr>
            </w:pPr>
            <w:r>
              <w:rPr>
                <w:rFonts w:hint="eastAsia" w:ascii="宋体" w:hAnsi="宋体" w:cs="宋体"/>
                <w:kern w:val="0"/>
                <w:sz w:val="24"/>
                <w:szCs w:val="24"/>
                <w:lang w:eastAsia="zh-CN"/>
              </w:rPr>
              <w:t>1.</w:t>
            </w:r>
            <w:r>
              <w:rPr>
                <w:rFonts w:hint="eastAsia" w:ascii="宋体" w:hAnsi="宋体" w:cs="宋体"/>
                <w:kern w:val="0"/>
                <w:sz w:val="24"/>
                <w:szCs w:val="24"/>
              </w:rPr>
              <w:t>项目负责人（项目经理）</w:t>
            </w:r>
          </w:p>
          <w:p w14:paraId="7E124B40">
            <w:pPr>
              <w:widowControl/>
              <w:jc w:val="left"/>
              <w:rPr>
                <w:rFonts w:hint="eastAsia" w:ascii="宋体" w:hAnsi="宋体" w:cs="宋体"/>
                <w:kern w:val="0"/>
                <w:sz w:val="24"/>
                <w:szCs w:val="24"/>
              </w:rPr>
            </w:pPr>
            <w:r>
              <w:rPr>
                <w:rFonts w:hint="eastAsia" w:ascii="宋体" w:hAnsi="宋体" w:cs="宋体"/>
                <w:kern w:val="0"/>
                <w:sz w:val="24"/>
                <w:szCs w:val="24"/>
              </w:rPr>
              <w:t>（1）供应商拟派本项目的项目负责人（项目经理）具备商用密码应用安全性评估人员测评能力考核证明（考核成绩在90分及以上），得6分，否则不得分。</w:t>
            </w:r>
          </w:p>
          <w:p w14:paraId="46B0FEF0">
            <w:pPr>
              <w:widowControl/>
              <w:jc w:val="left"/>
              <w:rPr>
                <w:rFonts w:hint="eastAsia" w:ascii="宋体" w:hAnsi="宋体" w:cs="宋体"/>
                <w:kern w:val="0"/>
                <w:sz w:val="24"/>
                <w:szCs w:val="24"/>
              </w:rPr>
            </w:pPr>
            <w:r>
              <w:rPr>
                <w:rFonts w:hint="eastAsia" w:ascii="宋体" w:hAnsi="宋体" w:cs="宋体"/>
                <w:kern w:val="0"/>
                <w:sz w:val="24"/>
                <w:szCs w:val="24"/>
              </w:rPr>
              <w:t>（2）项目负责人（项目经理）具备教育系统网络安全保障专业人员</w:t>
            </w:r>
            <w:r>
              <w:rPr>
                <w:rFonts w:hint="eastAsia" w:ascii="宋体" w:hAnsi="宋体" w:cs="宋体"/>
                <w:kern w:val="0"/>
                <w:sz w:val="24"/>
                <w:szCs w:val="24"/>
                <w:lang w:eastAsia="zh-CN"/>
              </w:rPr>
              <w:t>（</w:t>
            </w:r>
            <w:r>
              <w:rPr>
                <w:rFonts w:hint="eastAsia" w:ascii="宋体" w:hAnsi="宋体" w:cs="宋体"/>
                <w:kern w:val="0"/>
                <w:sz w:val="24"/>
                <w:szCs w:val="24"/>
              </w:rPr>
              <w:t>ECSP</w:t>
            </w:r>
            <w:r>
              <w:rPr>
                <w:rFonts w:hint="eastAsia" w:ascii="宋体" w:hAnsi="宋体" w:cs="宋体"/>
                <w:kern w:val="0"/>
                <w:sz w:val="24"/>
                <w:szCs w:val="24"/>
                <w:lang w:eastAsia="zh-CN"/>
              </w:rPr>
              <w:t>）</w:t>
            </w:r>
            <w:r>
              <w:rPr>
                <w:rFonts w:hint="eastAsia" w:ascii="宋体" w:hAnsi="宋体" w:cs="宋体"/>
                <w:kern w:val="0"/>
                <w:sz w:val="24"/>
                <w:szCs w:val="24"/>
              </w:rPr>
              <w:t>证书，得5分。</w:t>
            </w:r>
          </w:p>
          <w:p w14:paraId="71C1C3AB">
            <w:pPr>
              <w:widowControl/>
              <w:jc w:val="left"/>
              <w:rPr>
                <w:rFonts w:hint="eastAsia" w:ascii="宋体" w:hAnsi="宋体" w:cs="宋体"/>
                <w:kern w:val="0"/>
                <w:sz w:val="24"/>
                <w:szCs w:val="24"/>
              </w:rPr>
            </w:pPr>
            <w:r>
              <w:rPr>
                <w:rFonts w:hint="eastAsia" w:ascii="宋体" w:hAnsi="宋体" w:cs="宋体"/>
                <w:kern w:val="0"/>
                <w:sz w:val="24"/>
                <w:szCs w:val="24"/>
                <w:lang w:eastAsia="zh-CN"/>
              </w:rPr>
              <w:t>2.</w:t>
            </w:r>
            <w:r>
              <w:rPr>
                <w:rFonts w:hint="eastAsia" w:ascii="宋体" w:hAnsi="宋体" w:cs="宋体"/>
                <w:kern w:val="0"/>
                <w:sz w:val="24"/>
                <w:szCs w:val="24"/>
              </w:rPr>
              <w:t>质量负责人</w:t>
            </w:r>
          </w:p>
          <w:p w14:paraId="6ADCA1A4">
            <w:pPr>
              <w:widowControl/>
              <w:jc w:val="left"/>
              <w:rPr>
                <w:rFonts w:hint="eastAsia" w:ascii="宋体" w:hAnsi="宋体" w:cs="宋体"/>
                <w:kern w:val="0"/>
                <w:sz w:val="24"/>
                <w:szCs w:val="24"/>
              </w:rPr>
            </w:pPr>
            <w:r>
              <w:rPr>
                <w:rFonts w:hint="eastAsia" w:ascii="宋体" w:hAnsi="宋体" w:cs="宋体"/>
                <w:kern w:val="0"/>
                <w:sz w:val="24"/>
                <w:szCs w:val="24"/>
              </w:rPr>
              <w:t>供应商拟派本项目的质量负责人具备信息系统项目管理师（高级）证书及教育系统网络安全保障专业人员（ECSP）证书，得5分，否则不得分。</w:t>
            </w:r>
          </w:p>
          <w:p w14:paraId="637C10CE">
            <w:pPr>
              <w:widowControl/>
              <w:jc w:val="left"/>
              <w:rPr>
                <w:rFonts w:hint="eastAsia" w:ascii="宋体" w:hAnsi="宋体" w:cs="宋体"/>
                <w:kern w:val="0"/>
                <w:sz w:val="24"/>
                <w:szCs w:val="24"/>
              </w:rPr>
            </w:pPr>
            <w:r>
              <w:rPr>
                <w:rFonts w:hint="eastAsia" w:ascii="宋体" w:hAnsi="宋体" w:cs="宋体"/>
                <w:kern w:val="0"/>
                <w:sz w:val="24"/>
                <w:szCs w:val="24"/>
                <w:lang w:eastAsia="zh-CN"/>
              </w:rPr>
              <w:t>3.</w:t>
            </w:r>
            <w:r>
              <w:rPr>
                <w:rFonts w:hint="eastAsia" w:ascii="宋体" w:hAnsi="宋体" w:cs="宋体"/>
                <w:kern w:val="0"/>
                <w:sz w:val="24"/>
                <w:szCs w:val="24"/>
              </w:rPr>
              <w:t>团队人员（不含项目负责人及质量负责人）</w:t>
            </w:r>
          </w:p>
          <w:p w14:paraId="582885AC">
            <w:pPr>
              <w:widowControl/>
              <w:jc w:val="left"/>
              <w:rPr>
                <w:rFonts w:hint="eastAsia" w:ascii="宋体" w:hAnsi="宋体" w:cs="宋体"/>
                <w:kern w:val="0"/>
                <w:sz w:val="24"/>
                <w:szCs w:val="24"/>
              </w:rPr>
            </w:pPr>
            <w:r>
              <w:rPr>
                <w:rFonts w:hint="eastAsia" w:ascii="宋体" w:hAnsi="宋体" w:cs="宋体"/>
                <w:kern w:val="0"/>
                <w:sz w:val="24"/>
                <w:szCs w:val="24"/>
              </w:rPr>
              <w:t>供应商拟派的团队人员同时具备商用密码应用性评估人员测评能力考核合格证明及教育系统网络安全保障专业人员（ECSP）证书，每有1人得5分，满分10分，否则不得分。</w:t>
            </w:r>
          </w:p>
          <w:p w14:paraId="0CFC0AE5">
            <w:pPr>
              <w:widowControl/>
              <w:jc w:val="left"/>
              <w:rPr>
                <w:rFonts w:ascii="宋体" w:hAnsi="宋体" w:cs="宋体"/>
                <w:kern w:val="0"/>
                <w:sz w:val="24"/>
                <w:szCs w:val="24"/>
              </w:rPr>
            </w:pPr>
            <w:r>
              <w:rPr>
                <w:rFonts w:hint="eastAsia" w:ascii="宋体" w:hAnsi="宋体" w:cs="宋体"/>
                <w:kern w:val="0"/>
                <w:sz w:val="24"/>
                <w:szCs w:val="24"/>
              </w:rPr>
              <w:t>注：以上人员不能重复，提供符合上述要求的证书复印件、测评考核证明材料复印件及2025年任意三个月</w:t>
            </w:r>
            <w:r>
              <w:rPr>
                <w:rFonts w:hint="eastAsia" w:ascii="宋体" w:hAnsi="宋体" w:cs="宋体"/>
                <w:kern w:val="0"/>
                <w:sz w:val="24"/>
                <w:szCs w:val="24"/>
                <w:lang w:eastAsia="zh-CN"/>
              </w:rPr>
              <w:t>供应商</w:t>
            </w:r>
            <w:r>
              <w:rPr>
                <w:rFonts w:hint="eastAsia" w:ascii="宋体" w:hAnsi="宋体" w:cs="宋体"/>
                <w:kern w:val="0"/>
                <w:sz w:val="24"/>
                <w:szCs w:val="24"/>
              </w:rPr>
              <w:t>为实施团队人员缴纳的社保证明材料复印件，加盖</w:t>
            </w:r>
            <w:r>
              <w:rPr>
                <w:rFonts w:hint="eastAsia" w:ascii="宋体" w:hAnsi="宋体" w:cs="宋体"/>
                <w:kern w:val="0"/>
                <w:sz w:val="24"/>
                <w:szCs w:val="24"/>
                <w:lang w:eastAsia="zh-CN"/>
              </w:rPr>
              <w:t>供应商</w:t>
            </w:r>
            <w:r>
              <w:rPr>
                <w:rFonts w:hint="eastAsia" w:ascii="宋体" w:hAnsi="宋体" w:cs="宋体"/>
                <w:kern w:val="0"/>
                <w:sz w:val="24"/>
                <w:szCs w:val="24"/>
              </w:rPr>
              <w:t>公章。</w:t>
            </w:r>
          </w:p>
        </w:tc>
        <w:tc>
          <w:tcPr>
            <w:tcW w:w="850" w:type="dxa"/>
            <w:vAlign w:val="center"/>
          </w:tcPr>
          <w:p w14:paraId="26AAB12A">
            <w:pPr>
              <w:widowControl/>
              <w:jc w:val="center"/>
              <w:rPr>
                <w:rFonts w:ascii="宋体" w:hAnsi="宋体" w:cs="宋体"/>
                <w:kern w:val="0"/>
                <w:sz w:val="24"/>
                <w:szCs w:val="24"/>
              </w:rPr>
            </w:pPr>
            <w:r>
              <w:rPr>
                <w:rFonts w:hint="eastAsia" w:ascii="宋体" w:hAnsi="宋体" w:cs="宋体"/>
                <w:b w:val="0"/>
                <w:bCs/>
                <w:kern w:val="0"/>
                <w:sz w:val="24"/>
                <w:szCs w:val="24"/>
                <w:lang w:val="en-US" w:eastAsia="zh-CN"/>
              </w:rPr>
              <w:t>26</w:t>
            </w:r>
            <w:r>
              <w:rPr>
                <w:rFonts w:hint="eastAsia" w:ascii="宋体" w:hAnsi="宋体" w:cs="宋体"/>
                <w:kern w:val="0"/>
                <w:sz w:val="24"/>
                <w:szCs w:val="24"/>
              </w:rPr>
              <w:t>分</w:t>
            </w:r>
          </w:p>
        </w:tc>
        <w:tc>
          <w:tcPr>
            <w:tcW w:w="851" w:type="dxa"/>
            <w:vAlign w:val="center"/>
          </w:tcPr>
          <w:p w14:paraId="12E290FC">
            <w:pPr>
              <w:widowControl/>
              <w:jc w:val="center"/>
              <w:rPr>
                <w:rFonts w:ascii="宋体" w:hAnsi="宋体" w:cs="宋体"/>
                <w:kern w:val="0"/>
                <w:sz w:val="24"/>
                <w:szCs w:val="24"/>
              </w:rPr>
            </w:pPr>
          </w:p>
        </w:tc>
      </w:tr>
      <w:tr w14:paraId="70D3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6CBBAC51">
            <w:pPr>
              <w:widowControl/>
              <w:jc w:val="center"/>
              <w:rPr>
                <w:rFonts w:ascii="宋体" w:hAnsi="宋体" w:cs="宋体"/>
                <w:kern w:val="0"/>
                <w:sz w:val="24"/>
                <w:szCs w:val="24"/>
              </w:rPr>
            </w:pPr>
          </w:p>
        </w:tc>
        <w:tc>
          <w:tcPr>
            <w:tcW w:w="1037" w:type="dxa"/>
            <w:vAlign w:val="center"/>
          </w:tcPr>
          <w:p w14:paraId="0584E3FB">
            <w:pPr>
              <w:widowControl/>
              <w:jc w:val="center"/>
              <w:rPr>
                <w:rFonts w:ascii="宋体" w:hAnsi="宋体" w:cs="宋体"/>
                <w:kern w:val="0"/>
                <w:sz w:val="24"/>
                <w:szCs w:val="24"/>
              </w:rPr>
            </w:pPr>
            <w:r>
              <w:rPr>
                <w:rFonts w:hint="eastAsia" w:ascii="宋体" w:hAnsi="宋体" w:cs="宋体"/>
                <w:kern w:val="0"/>
                <w:sz w:val="24"/>
                <w:szCs w:val="24"/>
              </w:rPr>
              <w:t>类似业绩</w:t>
            </w:r>
          </w:p>
        </w:tc>
        <w:tc>
          <w:tcPr>
            <w:tcW w:w="5767" w:type="dxa"/>
            <w:vAlign w:val="center"/>
          </w:tcPr>
          <w:p w14:paraId="34B4691B">
            <w:pPr>
              <w:widowControl/>
              <w:jc w:val="left"/>
              <w:rPr>
                <w:rFonts w:hint="eastAsia" w:ascii="宋体" w:hAnsi="宋体" w:cs="宋体"/>
                <w:kern w:val="0"/>
                <w:sz w:val="24"/>
                <w:szCs w:val="24"/>
              </w:rPr>
            </w:pPr>
            <w:r>
              <w:rPr>
                <w:rFonts w:hint="eastAsia" w:ascii="宋体" w:hAnsi="宋体" w:cs="宋体"/>
                <w:kern w:val="0"/>
                <w:sz w:val="24"/>
                <w:szCs w:val="24"/>
                <w:lang w:val="en-US" w:eastAsia="zh-CN"/>
              </w:rPr>
              <w:t>供应商</w:t>
            </w:r>
            <w:r>
              <w:rPr>
                <w:rFonts w:hint="eastAsia" w:ascii="宋体" w:hAnsi="宋体" w:cs="宋体"/>
                <w:kern w:val="0"/>
                <w:sz w:val="24"/>
                <w:szCs w:val="24"/>
              </w:rPr>
              <w:t>近三年（从2023年</w:t>
            </w:r>
            <w:r>
              <w:rPr>
                <w:rFonts w:hint="eastAsia" w:ascii="宋体" w:hAnsi="宋体" w:cs="宋体"/>
                <w:kern w:val="0"/>
                <w:sz w:val="24"/>
                <w:szCs w:val="24"/>
                <w:lang w:val="en-US" w:eastAsia="zh-CN"/>
              </w:rPr>
              <w:t>1</w:t>
            </w:r>
            <w:r>
              <w:rPr>
                <w:rFonts w:hint="eastAsia" w:ascii="宋体" w:hAnsi="宋体" w:cs="宋体"/>
                <w:kern w:val="0"/>
                <w:sz w:val="24"/>
                <w:szCs w:val="24"/>
              </w:rPr>
              <w:t>月1日—至今）独立承担的同类项目案例，每个得</w:t>
            </w:r>
            <w:r>
              <w:rPr>
                <w:rFonts w:hint="eastAsia" w:ascii="宋体" w:hAnsi="宋体" w:cs="宋体"/>
                <w:kern w:val="0"/>
                <w:sz w:val="24"/>
                <w:szCs w:val="24"/>
                <w:lang w:val="en-US" w:eastAsia="zh-CN"/>
              </w:rPr>
              <w:t>2</w:t>
            </w:r>
            <w:r>
              <w:rPr>
                <w:rFonts w:hint="eastAsia" w:ascii="宋体" w:hAnsi="宋体" w:cs="宋体"/>
                <w:kern w:val="0"/>
                <w:sz w:val="24"/>
                <w:szCs w:val="24"/>
              </w:rPr>
              <w:t>分，最多得</w:t>
            </w:r>
            <w:r>
              <w:rPr>
                <w:rFonts w:hint="eastAsia" w:ascii="宋体" w:hAnsi="宋体" w:cs="宋体"/>
                <w:kern w:val="0"/>
                <w:sz w:val="24"/>
                <w:szCs w:val="24"/>
                <w:lang w:val="en-US" w:eastAsia="zh-CN"/>
              </w:rPr>
              <w:t>6</w:t>
            </w:r>
            <w:r>
              <w:rPr>
                <w:rFonts w:hint="eastAsia" w:ascii="宋体" w:hAnsi="宋体" w:cs="宋体"/>
                <w:kern w:val="0"/>
                <w:sz w:val="24"/>
                <w:szCs w:val="24"/>
              </w:rPr>
              <w:t>分。</w:t>
            </w:r>
          </w:p>
          <w:p w14:paraId="485A6921">
            <w:pPr>
              <w:widowControl/>
              <w:jc w:val="left"/>
              <w:rPr>
                <w:rFonts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rPr>
              <w:t>须提供合同复印件</w:t>
            </w:r>
            <w:r>
              <w:rPr>
                <w:rFonts w:hint="eastAsia"/>
                <w:sz w:val="24"/>
                <w:szCs w:val="24"/>
                <w:lang w:val="en-US" w:eastAsia="zh-CN"/>
              </w:rPr>
              <w:t>，包含：</w:t>
            </w:r>
            <w:r>
              <w:rPr>
                <w:rFonts w:hint="eastAsia" w:ascii="宋体" w:hAnsi="宋体" w:cs="宋体"/>
                <w:kern w:val="0"/>
                <w:sz w:val="24"/>
                <w:szCs w:val="24"/>
              </w:rPr>
              <w:t>合同首页、签字盖章页、服务内容页、金额所在页</w:t>
            </w:r>
            <w:r>
              <w:rPr>
                <w:rFonts w:hint="eastAsia" w:ascii="宋体" w:hAnsi="宋体" w:cs="宋体"/>
                <w:kern w:val="0"/>
                <w:sz w:val="24"/>
                <w:szCs w:val="24"/>
                <w:lang w:eastAsia="zh-CN"/>
              </w:rPr>
              <w:t>，</w:t>
            </w:r>
            <w:r>
              <w:rPr>
                <w:rFonts w:hint="eastAsia" w:ascii="宋体" w:hAnsi="宋体" w:cs="宋体"/>
                <w:kern w:val="0"/>
                <w:sz w:val="24"/>
                <w:szCs w:val="24"/>
              </w:rPr>
              <w:t>并加盖公章，未提供或未盖章不得分</w:t>
            </w:r>
            <w:r>
              <w:rPr>
                <w:rFonts w:hint="eastAsia" w:ascii="宋体" w:hAnsi="宋体" w:cs="宋体"/>
                <w:kern w:val="0"/>
                <w:sz w:val="24"/>
                <w:szCs w:val="24"/>
                <w:lang w:eastAsia="zh-CN"/>
              </w:rPr>
              <w:t>）</w:t>
            </w:r>
          </w:p>
        </w:tc>
        <w:tc>
          <w:tcPr>
            <w:tcW w:w="850" w:type="dxa"/>
            <w:vAlign w:val="center"/>
          </w:tcPr>
          <w:p w14:paraId="4F5AE2FA">
            <w:pPr>
              <w:widowControl/>
              <w:jc w:val="center"/>
              <w:rPr>
                <w:rFonts w:ascii="宋体" w:hAnsi="宋体" w:cs="宋体"/>
                <w:kern w:val="0"/>
                <w:sz w:val="24"/>
                <w:szCs w:val="24"/>
              </w:rPr>
            </w:pPr>
            <w:r>
              <w:rPr>
                <w:rFonts w:hint="eastAsia" w:cs="宋体"/>
                <w:b w:val="0"/>
                <w:bCs/>
                <w:kern w:val="0"/>
                <w:sz w:val="24"/>
                <w:szCs w:val="24"/>
                <w:lang w:val="en-US" w:eastAsia="zh-CN"/>
              </w:rPr>
              <w:t>6</w:t>
            </w:r>
            <w:r>
              <w:rPr>
                <w:rFonts w:hint="eastAsia" w:ascii="宋体" w:hAnsi="宋体" w:cs="宋体"/>
                <w:kern w:val="0"/>
                <w:sz w:val="24"/>
                <w:szCs w:val="24"/>
              </w:rPr>
              <w:t>分</w:t>
            </w:r>
          </w:p>
        </w:tc>
        <w:tc>
          <w:tcPr>
            <w:tcW w:w="851" w:type="dxa"/>
            <w:vAlign w:val="center"/>
          </w:tcPr>
          <w:p w14:paraId="76F0C9EE">
            <w:pPr>
              <w:widowControl/>
              <w:jc w:val="center"/>
              <w:rPr>
                <w:rFonts w:ascii="宋体" w:hAnsi="宋体" w:cs="宋体"/>
                <w:kern w:val="0"/>
                <w:sz w:val="24"/>
                <w:szCs w:val="24"/>
              </w:rPr>
            </w:pPr>
          </w:p>
        </w:tc>
      </w:tr>
      <w:tr w14:paraId="43E0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9" w:type="dxa"/>
            <w:gridSpan w:val="3"/>
            <w:vAlign w:val="center"/>
          </w:tcPr>
          <w:p w14:paraId="0C5AA9E8">
            <w:pPr>
              <w:widowControl/>
              <w:jc w:val="center"/>
              <w:rPr>
                <w:rFonts w:ascii="宋体" w:hAnsi="宋体" w:cs="宋体"/>
                <w:kern w:val="0"/>
                <w:sz w:val="24"/>
                <w:szCs w:val="24"/>
              </w:rPr>
            </w:pPr>
            <w:r>
              <w:rPr>
                <w:rFonts w:hint="eastAsia" w:ascii="宋体" w:hAnsi="宋体" w:cs="宋体"/>
                <w:kern w:val="0"/>
                <w:sz w:val="24"/>
                <w:szCs w:val="24"/>
              </w:rPr>
              <w:t>总 分</w:t>
            </w:r>
          </w:p>
        </w:tc>
        <w:tc>
          <w:tcPr>
            <w:tcW w:w="850" w:type="dxa"/>
            <w:vAlign w:val="center"/>
          </w:tcPr>
          <w:p w14:paraId="2AB92791">
            <w:pPr>
              <w:widowControl/>
              <w:jc w:val="center"/>
              <w:rPr>
                <w:rFonts w:ascii="宋体" w:hAnsi="宋体" w:cs="宋体"/>
                <w:kern w:val="0"/>
                <w:sz w:val="24"/>
                <w:szCs w:val="24"/>
              </w:rPr>
            </w:pPr>
            <w:r>
              <w:rPr>
                <w:rFonts w:hint="eastAsia" w:ascii="宋体" w:hAnsi="宋体" w:cs="宋体"/>
                <w:kern w:val="0"/>
                <w:sz w:val="24"/>
                <w:szCs w:val="24"/>
              </w:rPr>
              <w:t>100分</w:t>
            </w:r>
          </w:p>
        </w:tc>
        <w:tc>
          <w:tcPr>
            <w:tcW w:w="851" w:type="dxa"/>
            <w:vAlign w:val="center"/>
          </w:tcPr>
          <w:p w14:paraId="0776646A">
            <w:pPr>
              <w:widowControl/>
              <w:jc w:val="center"/>
              <w:rPr>
                <w:rFonts w:ascii="宋体" w:hAnsi="宋体" w:cs="宋体"/>
                <w:kern w:val="0"/>
                <w:sz w:val="24"/>
                <w:szCs w:val="24"/>
              </w:rPr>
            </w:pPr>
          </w:p>
        </w:tc>
      </w:tr>
    </w:tbl>
    <w:p w14:paraId="11F8C5B3">
      <w:pPr>
        <w:autoSpaceDE w:val="0"/>
        <w:autoSpaceDN w:val="0"/>
        <w:adjustRightInd w:val="0"/>
        <w:spacing w:line="440" w:lineRule="exact"/>
        <w:jc w:val="center"/>
        <w:rPr>
          <w:rFonts w:hint="eastAsia" w:ascii="宋体" w:hAnsi="宋体" w:cs="宋体"/>
          <w:b/>
          <w:bCs/>
          <w:sz w:val="40"/>
          <w:szCs w:val="40"/>
        </w:rPr>
      </w:pPr>
    </w:p>
    <w:p w14:paraId="770DA1C2">
      <w:pPr>
        <w:autoSpaceDE w:val="0"/>
        <w:autoSpaceDN w:val="0"/>
        <w:adjustRightInd w:val="0"/>
        <w:spacing w:line="440" w:lineRule="exact"/>
        <w:jc w:val="center"/>
        <w:rPr>
          <w:rFonts w:hint="eastAsia" w:ascii="宋体" w:hAnsi="宋体" w:cs="宋体"/>
          <w:b/>
          <w:bCs/>
          <w:sz w:val="40"/>
          <w:szCs w:val="40"/>
        </w:rPr>
      </w:pPr>
    </w:p>
    <w:p w14:paraId="0D0C16C3">
      <w:pPr>
        <w:autoSpaceDE w:val="0"/>
        <w:autoSpaceDN w:val="0"/>
        <w:adjustRightInd w:val="0"/>
        <w:spacing w:line="440" w:lineRule="exact"/>
        <w:jc w:val="center"/>
        <w:rPr>
          <w:rFonts w:hint="eastAsia" w:ascii="宋体" w:hAnsi="宋体" w:cs="宋体"/>
          <w:b/>
          <w:bCs/>
          <w:sz w:val="40"/>
          <w:szCs w:val="40"/>
        </w:rPr>
      </w:pPr>
    </w:p>
    <w:p w14:paraId="6B461BF7">
      <w:pPr>
        <w:autoSpaceDE w:val="0"/>
        <w:autoSpaceDN w:val="0"/>
        <w:adjustRightInd w:val="0"/>
        <w:spacing w:line="440" w:lineRule="exact"/>
        <w:jc w:val="center"/>
        <w:rPr>
          <w:rFonts w:hint="eastAsia" w:ascii="宋体" w:hAnsi="宋体" w:eastAsia="宋体" w:cs="宋体"/>
          <w:b/>
          <w:bCs/>
          <w:sz w:val="40"/>
          <w:szCs w:val="40"/>
          <w:lang w:eastAsia="zh-CN"/>
        </w:rPr>
      </w:pPr>
      <w:r>
        <w:rPr>
          <w:rFonts w:hint="eastAsia" w:ascii="宋体" w:hAnsi="宋体" w:cs="宋体"/>
          <w:b/>
          <w:bCs/>
          <w:sz w:val="40"/>
          <w:szCs w:val="40"/>
        </w:rPr>
        <w:t>评分细则表</w:t>
      </w:r>
      <w:r>
        <w:rPr>
          <w:rFonts w:hint="eastAsia" w:ascii="宋体" w:hAnsi="宋体" w:cs="宋体"/>
          <w:b/>
          <w:bCs/>
          <w:sz w:val="40"/>
          <w:szCs w:val="40"/>
          <w:lang w:eastAsia="zh-CN"/>
        </w:rPr>
        <w:t>（</w:t>
      </w:r>
      <w:r>
        <w:rPr>
          <w:rFonts w:hint="eastAsia" w:ascii="宋体" w:hAnsi="宋体" w:cs="宋体"/>
          <w:b/>
          <w:bCs/>
          <w:sz w:val="40"/>
          <w:szCs w:val="40"/>
          <w:lang w:val="en-US" w:eastAsia="zh-CN"/>
        </w:rPr>
        <w:t>4包</w:t>
      </w:r>
      <w:r>
        <w:rPr>
          <w:rFonts w:hint="eastAsia" w:ascii="宋体" w:hAnsi="宋体" w:cs="宋体"/>
          <w:b/>
          <w:bCs/>
          <w:sz w:val="40"/>
          <w:szCs w:val="40"/>
          <w:lang w:eastAsia="zh-CN"/>
        </w:rPr>
        <w:t>）</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037"/>
        <w:gridCol w:w="5767"/>
        <w:gridCol w:w="850"/>
        <w:gridCol w:w="851"/>
      </w:tblGrid>
      <w:tr w14:paraId="465A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72" w:type="dxa"/>
            <w:gridSpan w:val="2"/>
            <w:vAlign w:val="center"/>
          </w:tcPr>
          <w:p w14:paraId="4449A5F8">
            <w:pPr>
              <w:widowControl/>
              <w:jc w:val="center"/>
              <w:rPr>
                <w:rFonts w:ascii="宋体" w:hAnsi="宋体" w:cs="宋体"/>
                <w:b/>
                <w:bCs/>
                <w:kern w:val="0"/>
                <w:sz w:val="24"/>
                <w:szCs w:val="24"/>
              </w:rPr>
            </w:pPr>
            <w:r>
              <w:rPr>
                <w:rFonts w:hint="eastAsia" w:ascii="宋体" w:hAnsi="宋体" w:cs="宋体"/>
                <w:b/>
                <w:bCs/>
                <w:kern w:val="0"/>
                <w:sz w:val="24"/>
                <w:szCs w:val="24"/>
              </w:rPr>
              <w:t>评标指标</w:t>
            </w:r>
          </w:p>
        </w:tc>
        <w:tc>
          <w:tcPr>
            <w:tcW w:w="5767" w:type="dxa"/>
            <w:vAlign w:val="center"/>
          </w:tcPr>
          <w:p w14:paraId="051BF80E">
            <w:pPr>
              <w:widowControl/>
              <w:jc w:val="center"/>
              <w:rPr>
                <w:rFonts w:ascii="宋体" w:hAnsi="宋体" w:cs="宋体"/>
                <w:b/>
                <w:bCs/>
                <w:kern w:val="0"/>
                <w:sz w:val="24"/>
                <w:szCs w:val="24"/>
              </w:rPr>
            </w:pPr>
            <w:r>
              <w:rPr>
                <w:rFonts w:hint="eastAsia" w:ascii="宋体" w:hAnsi="宋体" w:cs="宋体"/>
                <w:b/>
                <w:bCs/>
                <w:kern w:val="0"/>
                <w:sz w:val="24"/>
                <w:szCs w:val="24"/>
              </w:rPr>
              <w:t>评分标准</w:t>
            </w:r>
          </w:p>
        </w:tc>
        <w:tc>
          <w:tcPr>
            <w:tcW w:w="850" w:type="dxa"/>
            <w:vAlign w:val="center"/>
          </w:tcPr>
          <w:p w14:paraId="0B1A2385">
            <w:pPr>
              <w:widowControl/>
              <w:jc w:val="center"/>
              <w:rPr>
                <w:rFonts w:ascii="宋体" w:hAnsi="宋体" w:cs="宋体"/>
                <w:b/>
                <w:bCs/>
                <w:kern w:val="0"/>
                <w:sz w:val="24"/>
                <w:szCs w:val="24"/>
              </w:rPr>
            </w:pPr>
            <w:r>
              <w:rPr>
                <w:rFonts w:hint="eastAsia" w:ascii="宋体" w:hAnsi="宋体" w:cs="宋体"/>
                <w:b/>
                <w:bCs/>
                <w:kern w:val="0"/>
                <w:sz w:val="24"/>
                <w:szCs w:val="24"/>
              </w:rPr>
              <w:t>分值</w:t>
            </w:r>
          </w:p>
        </w:tc>
        <w:tc>
          <w:tcPr>
            <w:tcW w:w="851" w:type="dxa"/>
            <w:vAlign w:val="center"/>
          </w:tcPr>
          <w:p w14:paraId="4C4D00E7">
            <w:pPr>
              <w:widowControl/>
              <w:jc w:val="center"/>
              <w:rPr>
                <w:rFonts w:ascii="宋体" w:hAnsi="宋体" w:cs="宋体"/>
                <w:b/>
                <w:bCs/>
                <w:kern w:val="0"/>
                <w:sz w:val="24"/>
                <w:szCs w:val="24"/>
              </w:rPr>
            </w:pPr>
            <w:r>
              <w:rPr>
                <w:rFonts w:hint="eastAsia" w:ascii="宋体" w:hAnsi="宋体" w:cs="宋体"/>
                <w:b/>
                <w:bCs/>
                <w:kern w:val="0"/>
                <w:sz w:val="24"/>
                <w:szCs w:val="24"/>
              </w:rPr>
              <w:t>得分</w:t>
            </w:r>
          </w:p>
        </w:tc>
      </w:tr>
      <w:tr w14:paraId="48C8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Align w:val="center"/>
          </w:tcPr>
          <w:p w14:paraId="03C2BF35">
            <w:pPr>
              <w:widowControl/>
              <w:jc w:val="center"/>
              <w:rPr>
                <w:rFonts w:ascii="宋体" w:hAnsi="宋体" w:cs="宋体"/>
                <w:kern w:val="0"/>
                <w:sz w:val="24"/>
                <w:szCs w:val="24"/>
              </w:rPr>
            </w:pPr>
            <w:r>
              <w:rPr>
                <w:rFonts w:hint="eastAsia" w:ascii="宋体" w:hAnsi="宋体" w:cs="宋体"/>
                <w:kern w:val="0"/>
                <w:sz w:val="24"/>
                <w:szCs w:val="24"/>
              </w:rPr>
              <w:t>价格</w:t>
            </w:r>
          </w:p>
          <w:p w14:paraId="2CFACA11">
            <w:pPr>
              <w:widowControl/>
              <w:jc w:val="center"/>
              <w:rPr>
                <w:rFonts w:ascii="宋体" w:hAnsi="宋体" w:cs="宋体"/>
                <w:kern w:val="0"/>
                <w:sz w:val="24"/>
                <w:szCs w:val="24"/>
              </w:rPr>
            </w:pPr>
            <w:r>
              <w:rPr>
                <w:rFonts w:hint="eastAsia" w:ascii="宋体" w:hAnsi="宋体" w:cs="宋体"/>
                <w:kern w:val="0"/>
                <w:sz w:val="24"/>
                <w:szCs w:val="24"/>
              </w:rPr>
              <w:t>（</w:t>
            </w:r>
            <w:r>
              <w:rPr>
                <w:rFonts w:hint="eastAsia" w:ascii="宋体" w:hAnsi="宋体" w:cs="宋体"/>
                <w:b/>
                <w:kern w:val="0"/>
                <w:sz w:val="24"/>
                <w:szCs w:val="24"/>
                <w:lang w:val="en-US" w:eastAsia="zh-CN"/>
              </w:rPr>
              <w:t>1</w:t>
            </w:r>
            <w:r>
              <w:rPr>
                <w:rFonts w:ascii="宋体" w:hAnsi="宋体" w:cs="宋体"/>
                <w:b/>
                <w:kern w:val="0"/>
                <w:sz w:val="24"/>
                <w:szCs w:val="24"/>
              </w:rPr>
              <w:t>0</w:t>
            </w:r>
            <w:r>
              <w:rPr>
                <w:rFonts w:hint="eastAsia" w:ascii="宋体" w:hAnsi="宋体" w:cs="宋体"/>
                <w:kern w:val="0"/>
                <w:sz w:val="24"/>
                <w:szCs w:val="24"/>
              </w:rPr>
              <w:t>分）</w:t>
            </w:r>
          </w:p>
        </w:tc>
        <w:tc>
          <w:tcPr>
            <w:tcW w:w="1037" w:type="dxa"/>
            <w:vAlign w:val="center"/>
          </w:tcPr>
          <w:p w14:paraId="6C28EDFF">
            <w:pPr>
              <w:widowControl/>
              <w:jc w:val="center"/>
              <w:rPr>
                <w:rFonts w:ascii="宋体" w:hAnsi="宋体" w:cs="宋体"/>
                <w:kern w:val="0"/>
                <w:sz w:val="24"/>
                <w:szCs w:val="24"/>
              </w:rPr>
            </w:pPr>
            <w:r>
              <w:rPr>
                <w:rFonts w:hint="eastAsia" w:ascii="宋体" w:hAnsi="宋体" w:cs="宋体"/>
                <w:kern w:val="0"/>
                <w:sz w:val="24"/>
                <w:szCs w:val="24"/>
              </w:rPr>
              <w:t>报价</w:t>
            </w:r>
          </w:p>
          <w:p w14:paraId="3ED775AF">
            <w:pPr>
              <w:widowControl/>
              <w:jc w:val="center"/>
              <w:rPr>
                <w:rFonts w:ascii="宋体" w:hAnsi="宋体" w:cs="宋体"/>
                <w:kern w:val="0"/>
                <w:sz w:val="24"/>
                <w:szCs w:val="24"/>
              </w:rPr>
            </w:pPr>
          </w:p>
        </w:tc>
        <w:tc>
          <w:tcPr>
            <w:tcW w:w="5767" w:type="dxa"/>
            <w:vAlign w:val="center"/>
          </w:tcPr>
          <w:p w14:paraId="4FC4BA57">
            <w:pPr>
              <w:widowControl/>
              <w:jc w:val="left"/>
              <w:rPr>
                <w:rFonts w:ascii="宋体" w:hAnsi="宋体" w:cs="宋体"/>
                <w:kern w:val="0"/>
                <w:sz w:val="24"/>
                <w:szCs w:val="24"/>
              </w:rPr>
            </w:pPr>
            <w:r>
              <w:rPr>
                <w:rFonts w:hint="eastAsia" w:ascii="宋体" w:hAnsi="宋体" w:cs="宋体"/>
                <w:kern w:val="0"/>
                <w:sz w:val="24"/>
                <w:szCs w:val="24"/>
              </w:rPr>
              <w:t>以满足磋商文件要求且最终报价最低的报价为评标基准价，其价格分为满分10分，其他供应商的价格分按照下列公式计算：报价得分=（评标基准价/最终报价）×10%×100</w:t>
            </w:r>
          </w:p>
        </w:tc>
        <w:tc>
          <w:tcPr>
            <w:tcW w:w="850" w:type="dxa"/>
            <w:vAlign w:val="center"/>
          </w:tcPr>
          <w:p w14:paraId="2EC15CFC">
            <w:pPr>
              <w:widowControl/>
              <w:jc w:val="center"/>
              <w:rPr>
                <w:rFonts w:ascii="宋体" w:hAnsi="宋体" w:cs="宋体"/>
                <w:kern w:val="0"/>
                <w:sz w:val="24"/>
                <w:szCs w:val="24"/>
              </w:rPr>
            </w:pPr>
            <w:r>
              <w:rPr>
                <w:rFonts w:hint="eastAsia" w:ascii="宋体" w:hAnsi="宋体" w:cs="宋体"/>
                <w:kern w:val="0"/>
                <w:sz w:val="24"/>
                <w:szCs w:val="24"/>
                <w:lang w:val="en-US" w:eastAsia="zh-CN"/>
              </w:rPr>
              <w:t>1</w:t>
            </w:r>
            <w:r>
              <w:rPr>
                <w:rFonts w:hint="eastAsia" w:ascii="宋体" w:hAnsi="宋体" w:cs="宋体"/>
                <w:kern w:val="0"/>
                <w:sz w:val="24"/>
                <w:szCs w:val="24"/>
              </w:rPr>
              <w:t>0分</w:t>
            </w:r>
          </w:p>
        </w:tc>
        <w:tc>
          <w:tcPr>
            <w:tcW w:w="851" w:type="dxa"/>
            <w:vAlign w:val="center"/>
          </w:tcPr>
          <w:p w14:paraId="5E4C29B2">
            <w:pPr>
              <w:widowControl/>
              <w:jc w:val="center"/>
              <w:rPr>
                <w:rFonts w:ascii="宋体" w:hAnsi="宋体" w:cs="宋体"/>
                <w:kern w:val="0"/>
                <w:sz w:val="24"/>
                <w:szCs w:val="24"/>
              </w:rPr>
            </w:pPr>
          </w:p>
        </w:tc>
      </w:tr>
      <w:tr w14:paraId="4A6E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restart"/>
            <w:vAlign w:val="center"/>
          </w:tcPr>
          <w:p w14:paraId="3C4218B0">
            <w:pPr>
              <w:widowControl/>
              <w:jc w:val="center"/>
              <w:rPr>
                <w:rFonts w:ascii="宋体" w:hAnsi="宋体" w:cs="宋体"/>
                <w:kern w:val="0"/>
                <w:sz w:val="24"/>
                <w:szCs w:val="24"/>
              </w:rPr>
            </w:pPr>
            <w:r>
              <w:rPr>
                <w:rFonts w:hint="eastAsia" w:ascii="宋体" w:hAnsi="宋体" w:cs="宋体"/>
                <w:kern w:val="0"/>
                <w:sz w:val="24"/>
                <w:szCs w:val="24"/>
              </w:rPr>
              <w:t>技术评分</w:t>
            </w:r>
          </w:p>
          <w:p w14:paraId="1FCB4C6E">
            <w:pPr>
              <w:widowControl/>
              <w:jc w:val="center"/>
              <w:rPr>
                <w:rFonts w:ascii="宋体" w:hAnsi="宋体" w:cs="宋体"/>
                <w:kern w:val="0"/>
                <w:sz w:val="24"/>
                <w:szCs w:val="24"/>
              </w:rPr>
            </w:pPr>
            <w:r>
              <w:rPr>
                <w:rFonts w:hint="eastAsia" w:ascii="宋体" w:hAnsi="宋体" w:cs="宋体"/>
                <w:kern w:val="0"/>
                <w:sz w:val="24"/>
                <w:szCs w:val="24"/>
              </w:rPr>
              <w:t>（</w:t>
            </w:r>
            <w:r>
              <w:rPr>
                <w:rFonts w:hint="eastAsia" w:cs="宋体"/>
                <w:b/>
                <w:kern w:val="0"/>
                <w:sz w:val="24"/>
                <w:szCs w:val="24"/>
                <w:lang w:val="en-US" w:eastAsia="zh-CN"/>
              </w:rPr>
              <w:t>3</w:t>
            </w:r>
            <w:r>
              <w:rPr>
                <w:rFonts w:hint="eastAsia" w:ascii="宋体" w:hAnsi="宋体" w:cs="宋体"/>
                <w:b/>
                <w:kern w:val="0"/>
                <w:sz w:val="24"/>
                <w:szCs w:val="24"/>
                <w:lang w:val="en-US" w:eastAsia="zh-CN"/>
              </w:rPr>
              <w:t>3</w:t>
            </w:r>
            <w:r>
              <w:rPr>
                <w:rFonts w:hint="eastAsia" w:ascii="宋体" w:hAnsi="宋体" w:cs="宋体"/>
                <w:kern w:val="0"/>
                <w:sz w:val="24"/>
                <w:szCs w:val="24"/>
              </w:rPr>
              <w:t>分）</w:t>
            </w:r>
          </w:p>
        </w:tc>
        <w:tc>
          <w:tcPr>
            <w:tcW w:w="1037" w:type="dxa"/>
            <w:vAlign w:val="center"/>
          </w:tcPr>
          <w:p w14:paraId="3BB4059B">
            <w:pPr>
              <w:widowControl/>
              <w:jc w:val="center"/>
              <w:rPr>
                <w:rFonts w:ascii="宋体" w:hAnsi="宋体" w:cs="宋体"/>
                <w:kern w:val="0"/>
                <w:sz w:val="24"/>
                <w:szCs w:val="24"/>
              </w:rPr>
            </w:pPr>
            <w:r>
              <w:rPr>
                <w:rFonts w:hint="eastAsia" w:ascii="宋体" w:hAnsi="宋体" w:cs="宋体"/>
                <w:kern w:val="0"/>
                <w:sz w:val="24"/>
                <w:szCs w:val="24"/>
              </w:rPr>
              <w:t>网络安全等级保护方案</w:t>
            </w:r>
          </w:p>
        </w:tc>
        <w:tc>
          <w:tcPr>
            <w:tcW w:w="5767" w:type="dxa"/>
            <w:vAlign w:val="center"/>
          </w:tcPr>
          <w:p w14:paraId="2A735FA6">
            <w:pPr>
              <w:widowControl/>
              <w:jc w:val="left"/>
              <w:rPr>
                <w:rFonts w:hint="eastAsia"/>
                <w:sz w:val="24"/>
              </w:rPr>
            </w:pPr>
            <w:r>
              <w:rPr>
                <w:rFonts w:hint="eastAsia"/>
                <w:sz w:val="24"/>
              </w:rPr>
              <w:t>按照</w:t>
            </w:r>
            <w:r>
              <w:rPr>
                <w:rFonts w:hint="eastAsia"/>
                <w:sz w:val="24"/>
                <w:lang w:eastAsia="zh-CN"/>
              </w:rPr>
              <w:t>采购文件</w:t>
            </w:r>
            <w:r>
              <w:rPr>
                <w:rFonts w:hint="eastAsia"/>
                <w:sz w:val="24"/>
              </w:rPr>
              <w:t>中针对测评内容、测评方法、测评流程、测评步骤、测评工作要求等策略的响应情况进行评审打分。</w:t>
            </w:r>
          </w:p>
          <w:p w14:paraId="312541B7">
            <w:pPr>
              <w:widowControl/>
              <w:jc w:val="left"/>
              <w:rPr>
                <w:rFonts w:hint="eastAsia"/>
                <w:sz w:val="24"/>
              </w:rPr>
            </w:pPr>
            <w:r>
              <w:rPr>
                <w:rFonts w:hint="eastAsia"/>
                <w:sz w:val="24"/>
              </w:rPr>
              <w:t>评分标准：方案全部覆盖5个方面内容，每个方案内容2分，满分10分；每个方案内容，每出现1处缺陷的扣0.5分，扣完2分为止。不提供不得分。</w:t>
            </w:r>
          </w:p>
          <w:p w14:paraId="765328F2">
            <w:pPr>
              <w:widowControl/>
              <w:jc w:val="left"/>
              <w:rPr>
                <w:rFonts w:ascii="宋体" w:hAnsi="宋体" w:cs="宋体"/>
                <w:kern w:val="0"/>
                <w:sz w:val="24"/>
                <w:szCs w:val="24"/>
              </w:rPr>
            </w:pPr>
            <w:r>
              <w:rPr>
                <w:rFonts w:hint="eastAsia"/>
                <w:sz w:val="24"/>
              </w:rPr>
              <w:t>缺陷是指：存在不适用项目实际情况情形、凭空捏造、前后不一致、前后逻辑错误、涉及的规范及标准错误、地点区域错误、不符合项目实际情况、针对性不强、内容不够全面、非专门针对本项目的方案。</w:t>
            </w:r>
          </w:p>
        </w:tc>
        <w:tc>
          <w:tcPr>
            <w:tcW w:w="850" w:type="dxa"/>
            <w:vAlign w:val="center"/>
          </w:tcPr>
          <w:p w14:paraId="55CC0251">
            <w:pPr>
              <w:widowControl/>
              <w:jc w:val="center"/>
              <w:rPr>
                <w:rFonts w:ascii="宋体" w:hAnsi="宋体" w:cs="宋体"/>
                <w:kern w:val="0"/>
                <w:sz w:val="24"/>
                <w:szCs w:val="24"/>
              </w:rPr>
            </w:pPr>
            <w:r>
              <w:rPr>
                <w:rFonts w:hint="eastAsia" w:ascii="宋体" w:hAnsi="宋体" w:cs="宋体"/>
                <w:b w:val="0"/>
                <w:bCs/>
                <w:kern w:val="0"/>
                <w:sz w:val="24"/>
                <w:szCs w:val="24"/>
                <w:lang w:val="en-US" w:eastAsia="zh-CN"/>
              </w:rPr>
              <w:t>10</w:t>
            </w:r>
            <w:r>
              <w:rPr>
                <w:rFonts w:hint="eastAsia" w:ascii="宋体" w:hAnsi="宋体" w:cs="宋体"/>
                <w:kern w:val="0"/>
                <w:sz w:val="24"/>
                <w:szCs w:val="24"/>
              </w:rPr>
              <w:t>分</w:t>
            </w:r>
          </w:p>
        </w:tc>
        <w:tc>
          <w:tcPr>
            <w:tcW w:w="851" w:type="dxa"/>
            <w:vAlign w:val="center"/>
          </w:tcPr>
          <w:p w14:paraId="093CDA90">
            <w:pPr>
              <w:widowControl/>
              <w:jc w:val="center"/>
              <w:rPr>
                <w:rFonts w:ascii="宋体" w:hAnsi="宋体" w:cs="宋体"/>
                <w:kern w:val="0"/>
                <w:sz w:val="24"/>
                <w:szCs w:val="24"/>
              </w:rPr>
            </w:pPr>
          </w:p>
        </w:tc>
      </w:tr>
      <w:tr w14:paraId="4C45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0E218752">
            <w:pPr>
              <w:widowControl/>
              <w:jc w:val="center"/>
              <w:rPr>
                <w:sz w:val="24"/>
              </w:rPr>
            </w:pPr>
          </w:p>
        </w:tc>
        <w:tc>
          <w:tcPr>
            <w:tcW w:w="1037" w:type="dxa"/>
            <w:vAlign w:val="center"/>
          </w:tcPr>
          <w:p w14:paraId="7A38F99D">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项目理解</w:t>
            </w:r>
          </w:p>
        </w:tc>
        <w:tc>
          <w:tcPr>
            <w:tcW w:w="5767" w:type="dxa"/>
            <w:vAlign w:val="center"/>
          </w:tcPr>
          <w:p w14:paraId="7795F00B">
            <w:pPr>
              <w:widowControl/>
              <w:jc w:val="left"/>
              <w:rPr>
                <w:rFonts w:hint="eastAsia" w:ascii="宋体" w:hAnsi="宋体" w:cs="宋体"/>
                <w:kern w:val="0"/>
                <w:sz w:val="24"/>
                <w:szCs w:val="24"/>
              </w:rPr>
            </w:pPr>
            <w:r>
              <w:rPr>
                <w:rFonts w:hint="eastAsia" w:ascii="宋体" w:hAnsi="宋体" w:eastAsia="宋体" w:cs="宋体"/>
                <w:sz w:val="24"/>
                <w:szCs w:val="24"/>
              </w:rPr>
              <w:t>按照</w:t>
            </w:r>
            <w:r>
              <w:rPr>
                <w:rFonts w:hint="eastAsia" w:ascii="宋体" w:hAnsi="宋体" w:cs="宋体"/>
                <w:sz w:val="24"/>
                <w:szCs w:val="24"/>
                <w:lang w:eastAsia="zh-CN"/>
              </w:rPr>
              <w:t>采购文件</w:t>
            </w:r>
            <w:r>
              <w:rPr>
                <w:rFonts w:hint="eastAsia" w:ascii="宋体" w:hAnsi="宋体" w:eastAsia="宋体" w:cs="宋体"/>
                <w:sz w:val="24"/>
                <w:szCs w:val="24"/>
              </w:rPr>
              <w:t>针对项目背景、建设目标、测评要求</w:t>
            </w:r>
            <w:r>
              <w:rPr>
                <w:rFonts w:hint="eastAsia" w:ascii="宋体" w:hAnsi="宋体" w:eastAsia="宋体" w:cs="宋体"/>
                <w:sz w:val="24"/>
                <w:szCs w:val="24"/>
                <w:lang w:eastAsia="zh-CN"/>
              </w:rPr>
              <w:t>、</w:t>
            </w:r>
            <w:r>
              <w:rPr>
                <w:rFonts w:hint="eastAsia" w:ascii="宋体" w:hAnsi="宋体" w:eastAsia="宋体" w:cs="宋体"/>
                <w:color w:val="auto"/>
                <w:sz w:val="24"/>
                <w:szCs w:val="24"/>
              </w:rPr>
              <w:t>项目管理制度</w:t>
            </w:r>
            <w:r>
              <w:rPr>
                <w:rFonts w:hint="eastAsia" w:ascii="宋体" w:hAnsi="宋体" w:eastAsia="宋体" w:cs="宋体"/>
                <w:sz w:val="24"/>
                <w:szCs w:val="24"/>
              </w:rPr>
              <w:t>等</w:t>
            </w:r>
            <w:r>
              <w:rPr>
                <w:rFonts w:hint="eastAsia" w:ascii="宋体" w:hAnsi="宋体" w:eastAsia="宋体" w:cs="宋体"/>
                <w:sz w:val="24"/>
                <w:szCs w:val="24"/>
                <w:lang w:eastAsia="zh-CN"/>
              </w:rPr>
              <w:t>四</w:t>
            </w:r>
            <w:r>
              <w:rPr>
                <w:rFonts w:hint="eastAsia" w:ascii="宋体" w:hAnsi="宋体" w:eastAsia="宋体" w:cs="宋体"/>
                <w:sz w:val="24"/>
                <w:szCs w:val="24"/>
              </w:rPr>
              <w:t>项的理解响应情况进行评审打分。内容每缺一项扣</w:t>
            </w:r>
            <w:r>
              <w:rPr>
                <w:rFonts w:hint="eastAsia" w:ascii="宋体" w:hAnsi="宋体" w:cs="宋体"/>
                <w:sz w:val="24"/>
                <w:szCs w:val="24"/>
                <w:lang w:val="en-US" w:eastAsia="zh-CN"/>
              </w:rPr>
              <w:t>3</w:t>
            </w:r>
            <w:r>
              <w:rPr>
                <w:rFonts w:hint="eastAsia" w:ascii="宋体" w:hAnsi="宋体" w:eastAsia="宋体" w:cs="宋体"/>
                <w:sz w:val="24"/>
                <w:szCs w:val="24"/>
              </w:rPr>
              <w:t>分；方案有缺陷的 ，有一处扣</w:t>
            </w:r>
            <w:r>
              <w:rPr>
                <w:rFonts w:hint="eastAsia" w:ascii="宋体" w:hAnsi="宋体" w:eastAsia="宋体" w:cs="宋体"/>
                <w:sz w:val="24"/>
                <w:szCs w:val="24"/>
                <w:lang w:val="en-US" w:eastAsia="zh-CN"/>
              </w:rPr>
              <w:t>1</w:t>
            </w:r>
            <w:r>
              <w:rPr>
                <w:rFonts w:hint="eastAsia" w:ascii="宋体" w:hAnsi="宋体" w:eastAsia="宋体" w:cs="宋体"/>
                <w:sz w:val="24"/>
                <w:szCs w:val="24"/>
              </w:rPr>
              <w:t>分 。满分</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2</w:t>
            </w:r>
            <w:r>
              <w:rPr>
                <w:rFonts w:hint="eastAsia" w:ascii="宋体" w:hAnsi="宋体" w:eastAsia="宋体" w:cs="宋体"/>
                <w:sz w:val="24"/>
                <w:szCs w:val="24"/>
              </w:rPr>
              <w:t>分，扣完为止。（内容缺陷是指：  内容非专门针对本项目或不适用项目特性的情形、 内容不够完整或缺少关键节点、套用其他项目方案、 内容前后矛盾、涉及的规范及标准错误、不利于项目实施、不可能实现的情形等任意一种情形）</w:t>
            </w:r>
          </w:p>
        </w:tc>
        <w:tc>
          <w:tcPr>
            <w:tcW w:w="850" w:type="dxa"/>
            <w:vAlign w:val="center"/>
          </w:tcPr>
          <w:p w14:paraId="5AA56646">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12</w:t>
            </w:r>
            <w:r>
              <w:rPr>
                <w:rFonts w:hint="eastAsia" w:ascii="宋体" w:hAnsi="宋体" w:cs="宋体"/>
                <w:kern w:val="0"/>
                <w:sz w:val="24"/>
                <w:szCs w:val="24"/>
              </w:rPr>
              <w:t>分</w:t>
            </w:r>
          </w:p>
        </w:tc>
        <w:tc>
          <w:tcPr>
            <w:tcW w:w="851" w:type="dxa"/>
            <w:vAlign w:val="center"/>
          </w:tcPr>
          <w:p w14:paraId="286E58ED">
            <w:pPr>
              <w:widowControl/>
              <w:jc w:val="center"/>
              <w:rPr>
                <w:rFonts w:hint="eastAsia" w:ascii="宋体" w:hAnsi="宋体" w:cs="宋体"/>
                <w:kern w:val="0"/>
                <w:sz w:val="24"/>
                <w:szCs w:val="24"/>
              </w:rPr>
            </w:pPr>
          </w:p>
        </w:tc>
      </w:tr>
      <w:tr w14:paraId="0A87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64C56C72">
            <w:pPr>
              <w:widowControl/>
              <w:jc w:val="center"/>
              <w:rPr>
                <w:rFonts w:hint="eastAsia" w:ascii="宋体" w:hAnsi="宋体" w:cs="宋体"/>
                <w:kern w:val="0"/>
                <w:sz w:val="24"/>
                <w:szCs w:val="24"/>
              </w:rPr>
            </w:pPr>
          </w:p>
        </w:tc>
        <w:tc>
          <w:tcPr>
            <w:tcW w:w="1037" w:type="dxa"/>
            <w:vAlign w:val="center"/>
          </w:tcPr>
          <w:p w14:paraId="5D54FFF6">
            <w:pPr>
              <w:widowControl/>
              <w:jc w:val="center"/>
              <w:rPr>
                <w:rFonts w:hint="eastAsia" w:ascii="宋体" w:hAnsi="宋体" w:cs="宋体"/>
                <w:kern w:val="0"/>
                <w:sz w:val="24"/>
                <w:szCs w:val="24"/>
              </w:rPr>
            </w:pPr>
            <w:r>
              <w:rPr>
                <w:rFonts w:hint="eastAsia" w:ascii="宋体" w:hAnsi="宋体" w:cs="宋体"/>
                <w:kern w:val="0"/>
                <w:sz w:val="24"/>
                <w:szCs w:val="24"/>
              </w:rPr>
              <w:t>渗透测试方案</w:t>
            </w:r>
          </w:p>
        </w:tc>
        <w:tc>
          <w:tcPr>
            <w:tcW w:w="5767" w:type="dxa"/>
            <w:vAlign w:val="center"/>
          </w:tcPr>
          <w:p w14:paraId="3FB6AA34">
            <w:pPr>
              <w:widowControl/>
              <w:jc w:val="left"/>
              <w:rPr>
                <w:rFonts w:hint="eastAsia"/>
                <w:sz w:val="24"/>
              </w:rPr>
            </w:pPr>
            <w:r>
              <w:rPr>
                <w:rFonts w:hint="eastAsia"/>
                <w:sz w:val="24"/>
              </w:rPr>
              <w:t>按照</w:t>
            </w:r>
            <w:r>
              <w:rPr>
                <w:rFonts w:hint="eastAsia"/>
                <w:sz w:val="24"/>
                <w:lang w:eastAsia="zh-CN"/>
              </w:rPr>
              <w:t>采购文件</w:t>
            </w:r>
            <w:r>
              <w:rPr>
                <w:rFonts w:hint="eastAsia"/>
                <w:sz w:val="24"/>
              </w:rPr>
              <w:t>中针对措施、方法进行评审打分。</w:t>
            </w:r>
          </w:p>
          <w:p w14:paraId="226CDD78">
            <w:pPr>
              <w:widowControl/>
              <w:jc w:val="left"/>
              <w:rPr>
                <w:rFonts w:hint="eastAsia"/>
                <w:sz w:val="24"/>
              </w:rPr>
            </w:pPr>
            <w:r>
              <w:rPr>
                <w:rFonts w:hint="eastAsia"/>
                <w:sz w:val="24"/>
              </w:rPr>
              <w:t>评分标准：方案内容，每出现1处缺陷的扣1分，扣完5分为止。不提供不得分。</w:t>
            </w:r>
          </w:p>
          <w:p w14:paraId="030DC691">
            <w:pPr>
              <w:widowControl/>
              <w:jc w:val="left"/>
              <w:rPr>
                <w:rFonts w:hint="eastAsia" w:ascii="宋体" w:hAnsi="宋体" w:cs="宋体"/>
                <w:kern w:val="0"/>
                <w:sz w:val="24"/>
                <w:szCs w:val="24"/>
              </w:rPr>
            </w:pPr>
            <w:r>
              <w:rPr>
                <w:rFonts w:hint="eastAsia"/>
                <w:sz w:val="24"/>
              </w:rPr>
              <w:t>缺陷是指：存在不适用项目实际情况情形、凭空捏造、前后不一致、前后逻辑错误、涉及的规范及标准错误、地点区域错误、不符合项目实际情况、针对性不强、内容不够全面、非专门针对本项目的方案。</w:t>
            </w:r>
          </w:p>
        </w:tc>
        <w:tc>
          <w:tcPr>
            <w:tcW w:w="850" w:type="dxa"/>
            <w:vAlign w:val="center"/>
          </w:tcPr>
          <w:p w14:paraId="619E484D">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5分</w:t>
            </w:r>
          </w:p>
        </w:tc>
        <w:tc>
          <w:tcPr>
            <w:tcW w:w="851" w:type="dxa"/>
            <w:vAlign w:val="center"/>
          </w:tcPr>
          <w:p w14:paraId="48BBC1CE">
            <w:pPr>
              <w:widowControl/>
              <w:jc w:val="center"/>
              <w:rPr>
                <w:rFonts w:hint="eastAsia" w:ascii="宋体" w:hAnsi="宋体" w:cs="宋体"/>
                <w:kern w:val="0"/>
                <w:sz w:val="24"/>
                <w:szCs w:val="24"/>
              </w:rPr>
            </w:pPr>
          </w:p>
        </w:tc>
      </w:tr>
      <w:tr w14:paraId="060C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14:paraId="704D7E0A">
            <w:pPr>
              <w:widowControl/>
              <w:jc w:val="center"/>
              <w:rPr>
                <w:rFonts w:hint="eastAsia" w:ascii="宋体" w:hAnsi="宋体" w:cs="宋体"/>
                <w:kern w:val="0"/>
                <w:sz w:val="24"/>
                <w:szCs w:val="24"/>
              </w:rPr>
            </w:pPr>
          </w:p>
        </w:tc>
        <w:tc>
          <w:tcPr>
            <w:tcW w:w="1037" w:type="dxa"/>
            <w:vAlign w:val="center"/>
          </w:tcPr>
          <w:p w14:paraId="523990BA">
            <w:pPr>
              <w:widowControl/>
              <w:jc w:val="center"/>
              <w:rPr>
                <w:rFonts w:hint="eastAsia" w:ascii="宋体" w:hAnsi="宋体" w:cs="宋体"/>
                <w:kern w:val="0"/>
                <w:sz w:val="24"/>
                <w:szCs w:val="24"/>
              </w:rPr>
            </w:pPr>
            <w:r>
              <w:rPr>
                <w:rFonts w:hint="eastAsia" w:ascii="宋体" w:hAnsi="宋体" w:cs="宋体"/>
                <w:kern w:val="0"/>
                <w:sz w:val="24"/>
                <w:szCs w:val="24"/>
              </w:rPr>
              <w:t>合理的进度计划</w:t>
            </w:r>
          </w:p>
        </w:tc>
        <w:tc>
          <w:tcPr>
            <w:tcW w:w="5767" w:type="dxa"/>
            <w:vAlign w:val="center"/>
          </w:tcPr>
          <w:p w14:paraId="737942D0">
            <w:pPr>
              <w:widowControl/>
              <w:jc w:val="left"/>
              <w:rPr>
                <w:rFonts w:hint="eastAsia"/>
                <w:sz w:val="24"/>
              </w:rPr>
            </w:pPr>
            <w:r>
              <w:rPr>
                <w:rFonts w:hint="eastAsia"/>
                <w:sz w:val="24"/>
              </w:rPr>
              <w:t>供应商针对本项目需求提供实施总体进度计划和保障措施，实施进度计划应满足招标文件技术部分要求，提供实施进度节点图，根据供应商提供的方案进行打分。</w:t>
            </w:r>
          </w:p>
          <w:p w14:paraId="283E6E28">
            <w:pPr>
              <w:widowControl/>
              <w:jc w:val="left"/>
              <w:rPr>
                <w:rFonts w:hint="eastAsia"/>
                <w:sz w:val="24"/>
              </w:rPr>
            </w:pPr>
            <w:r>
              <w:rPr>
                <w:rFonts w:hint="eastAsia"/>
                <w:sz w:val="24"/>
              </w:rPr>
              <w:t>评分标准：方案全部覆盖</w:t>
            </w:r>
            <w:r>
              <w:rPr>
                <w:rFonts w:hint="eastAsia" w:ascii="宋体" w:hAnsi="宋体" w:cs="宋体"/>
                <w:kern w:val="0"/>
                <w:sz w:val="24"/>
                <w:szCs w:val="24"/>
              </w:rPr>
              <w:t>等保测评</w:t>
            </w:r>
            <w:r>
              <w:rPr>
                <w:rFonts w:hint="eastAsia"/>
                <w:sz w:val="24"/>
              </w:rPr>
              <w:t>内容，每个方案内容</w:t>
            </w:r>
            <w:r>
              <w:rPr>
                <w:rFonts w:hint="eastAsia"/>
                <w:sz w:val="24"/>
                <w:lang w:val="en-US" w:eastAsia="zh-CN"/>
              </w:rPr>
              <w:t>3</w:t>
            </w:r>
            <w:r>
              <w:rPr>
                <w:rFonts w:hint="eastAsia"/>
                <w:sz w:val="24"/>
              </w:rPr>
              <w:t>分，满分</w:t>
            </w:r>
            <w:r>
              <w:rPr>
                <w:rFonts w:hint="eastAsia"/>
                <w:sz w:val="24"/>
                <w:lang w:val="en-US" w:eastAsia="zh-CN"/>
              </w:rPr>
              <w:t>6</w:t>
            </w:r>
            <w:r>
              <w:rPr>
                <w:rFonts w:hint="eastAsia"/>
                <w:sz w:val="24"/>
              </w:rPr>
              <w:t>分；每个方案内容，每出现1处缺陷的扣1分，扣完</w:t>
            </w:r>
            <w:r>
              <w:rPr>
                <w:rFonts w:hint="eastAsia"/>
                <w:sz w:val="24"/>
                <w:lang w:val="en-US" w:eastAsia="zh-CN"/>
              </w:rPr>
              <w:t>6</w:t>
            </w:r>
            <w:r>
              <w:rPr>
                <w:rFonts w:hint="eastAsia"/>
                <w:sz w:val="24"/>
              </w:rPr>
              <w:t>分为止。不提供不得分。</w:t>
            </w:r>
          </w:p>
          <w:p w14:paraId="0699C21A">
            <w:pPr>
              <w:widowControl/>
              <w:jc w:val="left"/>
              <w:rPr>
                <w:rFonts w:hint="eastAsia" w:ascii="宋体" w:hAnsi="宋体" w:cs="宋体"/>
                <w:kern w:val="0"/>
                <w:sz w:val="24"/>
                <w:szCs w:val="24"/>
              </w:rPr>
            </w:pPr>
            <w:r>
              <w:rPr>
                <w:rFonts w:hint="eastAsia"/>
                <w:sz w:val="24"/>
              </w:rPr>
              <w:t>缺陷是指：存在不适用项目实际情况情形、凭空捏造、前后不一致、前后逻辑错误、涉及的规范及标准错误、地点区域错误、不符合项目实际情况、针对性不强、内容不够全面、非专门针对本项目的方案。</w:t>
            </w:r>
          </w:p>
        </w:tc>
        <w:tc>
          <w:tcPr>
            <w:tcW w:w="850" w:type="dxa"/>
            <w:vAlign w:val="center"/>
          </w:tcPr>
          <w:p w14:paraId="579EA941">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6分</w:t>
            </w:r>
          </w:p>
        </w:tc>
        <w:tc>
          <w:tcPr>
            <w:tcW w:w="851" w:type="dxa"/>
            <w:vAlign w:val="center"/>
          </w:tcPr>
          <w:p w14:paraId="295634A1">
            <w:pPr>
              <w:widowControl/>
              <w:jc w:val="center"/>
              <w:rPr>
                <w:rFonts w:hint="eastAsia" w:ascii="宋体" w:hAnsi="宋体" w:cs="宋体"/>
                <w:kern w:val="0"/>
                <w:sz w:val="24"/>
                <w:szCs w:val="24"/>
              </w:rPr>
            </w:pPr>
          </w:p>
        </w:tc>
      </w:tr>
      <w:tr w14:paraId="76D0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35" w:type="dxa"/>
            <w:vMerge w:val="restart"/>
            <w:vAlign w:val="center"/>
          </w:tcPr>
          <w:p w14:paraId="1163F4E3">
            <w:pPr>
              <w:widowControl/>
              <w:jc w:val="center"/>
              <w:rPr>
                <w:rFonts w:ascii="宋体" w:hAnsi="宋体" w:cs="宋体"/>
                <w:kern w:val="0"/>
                <w:sz w:val="24"/>
                <w:szCs w:val="24"/>
              </w:rPr>
            </w:pPr>
            <w:r>
              <w:rPr>
                <w:rFonts w:hint="eastAsia" w:ascii="宋体" w:hAnsi="宋体" w:cs="宋体"/>
                <w:kern w:val="0"/>
                <w:sz w:val="24"/>
                <w:szCs w:val="24"/>
              </w:rPr>
              <w:t>商务评分（</w:t>
            </w:r>
            <w:r>
              <w:rPr>
                <w:rFonts w:hint="eastAsia" w:ascii="宋体" w:hAnsi="宋体" w:cs="宋体"/>
                <w:b/>
                <w:kern w:val="0"/>
                <w:sz w:val="24"/>
                <w:szCs w:val="24"/>
                <w:lang w:val="en-US" w:eastAsia="zh-CN"/>
              </w:rPr>
              <w:t>57</w:t>
            </w:r>
            <w:r>
              <w:rPr>
                <w:rFonts w:hint="eastAsia" w:ascii="宋体" w:hAnsi="宋体" w:cs="宋体"/>
                <w:kern w:val="0"/>
                <w:sz w:val="24"/>
                <w:szCs w:val="24"/>
              </w:rPr>
              <w:t>分）</w:t>
            </w:r>
          </w:p>
        </w:tc>
        <w:tc>
          <w:tcPr>
            <w:tcW w:w="1037" w:type="dxa"/>
            <w:vMerge w:val="restart"/>
            <w:vAlign w:val="center"/>
          </w:tcPr>
          <w:p w14:paraId="2A0F9F54">
            <w:pPr>
              <w:widowControl/>
              <w:jc w:val="center"/>
              <w:rPr>
                <w:rFonts w:hint="eastAsia" w:ascii="宋体" w:hAnsi="宋体" w:cs="宋体"/>
                <w:kern w:val="0"/>
                <w:sz w:val="24"/>
                <w:szCs w:val="24"/>
              </w:rPr>
            </w:pPr>
            <w:r>
              <w:rPr>
                <w:rFonts w:hint="eastAsia" w:ascii="宋体" w:hAnsi="宋体" w:cs="宋体"/>
                <w:kern w:val="0"/>
                <w:sz w:val="24"/>
                <w:szCs w:val="24"/>
              </w:rPr>
              <w:t>项目实施能力</w:t>
            </w:r>
          </w:p>
        </w:tc>
        <w:tc>
          <w:tcPr>
            <w:tcW w:w="5767" w:type="dxa"/>
            <w:vAlign w:val="center"/>
          </w:tcPr>
          <w:p w14:paraId="01313BF6">
            <w:pPr>
              <w:widowControl/>
              <w:jc w:val="left"/>
              <w:rPr>
                <w:rFonts w:hint="eastAsia" w:ascii="宋体" w:hAnsi="宋体" w:cs="宋体"/>
                <w:kern w:val="0"/>
                <w:sz w:val="24"/>
                <w:szCs w:val="24"/>
              </w:rPr>
            </w:pPr>
            <w:r>
              <w:rPr>
                <w:rFonts w:hint="eastAsia" w:ascii="宋体" w:hAnsi="宋体" w:cs="宋体"/>
                <w:kern w:val="0"/>
                <w:sz w:val="24"/>
                <w:szCs w:val="24"/>
              </w:rPr>
              <w:t>项目技术负责人具有等保测评高级测评师资质</w:t>
            </w:r>
            <w:r>
              <w:rPr>
                <w:rFonts w:hint="eastAsia" w:ascii="宋体" w:hAnsi="宋体" w:cs="宋体"/>
                <w:kern w:val="0"/>
                <w:sz w:val="24"/>
                <w:szCs w:val="24"/>
                <w:lang w:val="en-US" w:eastAsia="zh-CN"/>
              </w:rPr>
              <w:t>和高级职称证书</w:t>
            </w:r>
            <w:r>
              <w:rPr>
                <w:rFonts w:hint="eastAsia" w:ascii="宋体" w:hAnsi="宋体" w:cs="宋体"/>
                <w:kern w:val="0"/>
                <w:sz w:val="24"/>
                <w:szCs w:val="24"/>
              </w:rPr>
              <w:t>，</w:t>
            </w:r>
            <w:r>
              <w:rPr>
                <w:rFonts w:hint="eastAsia"/>
                <w:sz w:val="24"/>
                <w:lang w:eastAsia="zh-CN"/>
              </w:rPr>
              <w:t>每获得</w:t>
            </w:r>
            <w:r>
              <w:rPr>
                <w:rFonts w:hint="eastAsia"/>
                <w:sz w:val="24"/>
                <w:lang w:val="en-US" w:eastAsia="zh-CN"/>
              </w:rPr>
              <w:t>其中</w:t>
            </w:r>
            <w:r>
              <w:rPr>
                <w:rFonts w:hint="eastAsia"/>
                <w:sz w:val="24"/>
                <w:lang w:eastAsia="zh-CN"/>
              </w:rPr>
              <w:t>一个证书得</w:t>
            </w:r>
            <w:r>
              <w:rPr>
                <w:rFonts w:hint="eastAsia"/>
                <w:sz w:val="24"/>
                <w:lang w:val="en-US" w:eastAsia="zh-CN"/>
              </w:rPr>
              <w:t>4分，满分8分</w:t>
            </w:r>
          </w:p>
        </w:tc>
        <w:tc>
          <w:tcPr>
            <w:tcW w:w="850" w:type="dxa"/>
            <w:vAlign w:val="center"/>
          </w:tcPr>
          <w:p w14:paraId="489EE6CC">
            <w:pPr>
              <w:widowControl/>
              <w:jc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8分</w:t>
            </w:r>
          </w:p>
          <w:p w14:paraId="64562BC4">
            <w:pPr>
              <w:widowControl/>
              <w:jc w:val="center"/>
              <w:rPr>
                <w:rFonts w:hint="eastAsia" w:ascii="宋体" w:hAnsi="宋体" w:cs="宋体"/>
                <w:kern w:val="0"/>
                <w:sz w:val="24"/>
                <w:szCs w:val="24"/>
              </w:rPr>
            </w:pPr>
          </w:p>
        </w:tc>
        <w:tc>
          <w:tcPr>
            <w:tcW w:w="851" w:type="dxa"/>
            <w:vAlign w:val="center"/>
          </w:tcPr>
          <w:p w14:paraId="32F50478">
            <w:pPr>
              <w:widowControl/>
              <w:jc w:val="center"/>
              <w:rPr>
                <w:rFonts w:hint="eastAsia" w:ascii="宋体" w:hAnsi="宋体" w:cs="宋体"/>
                <w:kern w:val="0"/>
                <w:sz w:val="24"/>
                <w:szCs w:val="24"/>
              </w:rPr>
            </w:pPr>
          </w:p>
        </w:tc>
      </w:tr>
      <w:tr w14:paraId="028D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14:paraId="335176EF">
            <w:pPr>
              <w:widowControl/>
              <w:jc w:val="center"/>
              <w:rPr>
                <w:rFonts w:hint="eastAsia" w:ascii="宋体" w:hAnsi="宋体" w:cs="宋体"/>
                <w:kern w:val="0"/>
                <w:sz w:val="24"/>
                <w:szCs w:val="24"/>
              </w:rPr>
            </w:pPr>
          </w:p>
        </w:tc>
        <w:tc>
          <w:tcPr>
            <w:tcW w:w="1037" w:type="dxa"/>
            <w:vMerge w:val="continue"/>
            <w:vAlign w:val="center"/>
          </w:tcPr>
          <w:p w14:paraId="20AB93ED">
            <w:pPr>
              <w:widowControl/>
              <w:jc w:val="center"/>
              <w:rPr>
                <w:rFonts w:hint="eastAsia" w:ascii="宋体" w:hAnsi="宋体" w:cs="宋体"/>
                <w:kern w:val="0"/>
                <w:sz w:val="24"/>
                <w:szCs w:val="24"/>
              </w:rPr>
            </w:pPr>
          </w:p>
        </w:tc>
        <w:tc>
          <w:tcPr>
            <w:tcW w:w="5767" w:type="dxa"/>
            <w:vAlign w:val="center"/>
          </w:tcPr>
          <w:p w14:paraId="0EA4C9A7">
            <w:pPr>
              <w:widowControl/>
              <w:jc w:val="left"/>
              <w:rPr>
                <w:rFonts w:hint="eastAsia" w:ascii="宋体" w:hAnsi="宋体" w:cs="宋体"/>
                <w:kern w:val="0"/>
                <w:sz w:val="24"/>
                <w:szCs w:val="24"/>
              </w:rPr>
            </w:pPr>
            <w:r>
              <w:rPr>
                <w:rFonts w:hint="eastAsia" w:ascii="宋体" w:hAnsi="宋体" w:cs="宋体"/>
                <w:kern w:val="0"/>
                <w:sz w:val="24"/>
                <w:szCs w:val="24"/>
              </w:rPr>
              <w:t>等保测评师具有网络安全保障专业人员培训证书（</w:t>
            </w:r>
            <w:r>
              <w:rPr>
                <w:rFonts w:hint="eastAsia" w:ascii="宋体" w:hAnsi="宋体" w:cs="宋体"/>
                <w:kern w:val="0"/>
                <w:sz w:val="24"/>
                <w:szCs w:val="24"/>
                <w:lang w:val="en-US" w:eastAsia="zh-CN"/>
              </w:rPr>
              <w:t>CISP</w:t>
            </w:r>
            <w:r>
              <w:rPr>
                <w:rFonts w:hint="eastAsia" w:ascii="宋体" w:hAnsi="宋体" w:cs="宋体"/>
                <w:kern w:val="0"/>
                <w:sz w:val="24"/>
                <w:szCs w:val="24"/>
                <w:lang w:eastAsia="zh-CN"/>
              </w:rPr>
              <w:t>、</w:t>
            </w:r>
            <w:r>
              <w:rPr>
                <w:rFonts w:hint="eastAsia" w:ascii="宋体" w:hAnsi="宋体" w:cs="宋体"/>
                <w:kern w:val="0"/>
                <w:sz w:val="24"/>
                <w:szCs w:val="24"/>
              </w:rPr>
              <w:t>ECSP），每满足1个人</w:t>
            </w:r>
            <w:r>
              <w:rPr>
                <w:rFonts w:hint="eastAsia" w:ascii="宋体" w:hAnsi="宋体" w:cs="宋体"/>
                <w:kern w:val="0"/>
                <w:sz w:val="24"/>
                <w:szCs w:val="24"/>
                <w:lang w:val="en-US" w:eastAsia="zh-CN"/>
              </w:rPr>
              <w:t>有CISP</w:t>
            </w:r>
            <w:r>
              <w:rPr>
                <w:rFonts w:hint="eastAsia" w:ascii="宋体" w:hAnsi="宋体" w:cs="宋体"/>
                <w:kern w:val="0"/>
                <w:sz w:val="24"/>
                <w:szCs w:val="24"/>
              </w:rPr>
              <w:t>得2分，满分</w:t>
            </w:r>
            <w:r>
              <w:rPr>
                <w:rFonts w:hint="eastAsia" w:ascii="宋体" w:hAnsi="宋体" w:cs="宋体"/>
                <w:kern w:val="0"/>
                <w:sz w:val="24"/>
                <w:szCs w:val="24"/>
                <w:lang w:val="en-US" w:eastAsia="zh-CN"/>
              </w:rPr>
              <w:t>4</w:t>
            </w:r>
            <w:r>
              <w:rPr>
                <w:rFonts w:hint="eastAsia" w:ascii="宋体" w:hAnsi="宋体" w:cs="宋体"/>
                <w:kern w:val="0"/>
                <w:sz w:val="24"/>
                <w:szCs w:val="24"/>
              </w:rPr>
              <w:t>分</w:t>
            </w:r>
            <w:r>
              <w:rPr>
                <w:rFonts w:hint="eastAsia" w:ascii="宋体" w:hAnsi="宋体" w:cs="宋体"/>
                <w:kern w:val="0"/>
                <w:sz w:val="24"/>
                <w:szCs w:val="24"/>
                <w:lang w:eastAsia="zh-CN"/>
              </w:rPr>
              <w:t>；</w:t>
            </w:r>
            <w:r>
              <w:rPr>
                <w:rFonts w:hint="eastAsia" w:ascii="宋体" w:hAnsi="宋体" w:cs="宋体"/>
                <w:kern w:val="0"/>
                <w:sz w:val="24"/>
                <w:szCs w:val="24"/>
              </w:rPr>
              <w:t>每满足1个人</w:t>
            </w:r>
            <w:r>
              <w:rPr>
                <w:rFonts w:hint="eastAsia" w:ascii="宋体" w:hAnsi="宋体" w:cs="宋体"/>
                <w:kern w:val="0"/>
                <w:sz w:val="24"/>
                <w:szCs w:val="24"/>
                <w:lang w:val="en-US" w:eastAsia="zh-CN"/>
              </w:rPr>
              <w:t>有</w:t>
            </w:r>
            <w:r>
              <w:rPr>
                <w:rFonts w:hint="eastAsia" w:ascii="宋体" w:hAnsi="宋体" w:cs="宋体"/>
                <w:kern w:val="0"/>
                <w:sz w:val="24"/>
                <w:szCs w:val="24"/>
              </w:rPr>
              <w:t>ECSP得2分，满分</w:t>
            </w:r>
            <w:r>
              <w:rPr>
                <w:rFonts w:hint="eastAsia" w:ascii="宋体" w:hAnsi="宋体" w:cs="宋体"/>
                <w:kern w:val="0"/>
                <w:sz w:val="24"/>
                <w:szCs w:val="24"/>
                <w:lang w:val="en-US" w:eastAsia="zh-CN"/>
              </w:rPr>
              <w:t>6</w:t>
            </w:r>
            <w:r>
              <w:rPr>
                <w:rFonts w:hint="eastAsia" w:ascii="宋体" w:hAnsi="宋体" w:cs="宋体"/>
                <w:kern w:val="0"/>
                <w:sz w:val="24"/>
                <w:szCs w:val="24"/>
              </w:rPr>
              <w:t>分</w:t>
            </w:r>
            <w:r>
              <w:rPr>
                <w:rFonts w:hint="eastAsia" w:ascii="宋体" w:hAnsi="宋体" w:cs="宋体"/>
                <w:kern w:val="0"/>
                <w:sz w:val="24"/>
                <w:szCs w:val="24"/>
                <w:lang w:eastAsia="zh-CN"/>
              </w:rPr>
              <w:t>。</w:t>
            </w:r>
          </w:p>
        </w:tc>
        <w:tc>
          <w:tcPr>
            <w:tcW w:w="850" w:type="dxa"/>
            <w:vAlign w:val="center"/>
          </w:tcPr>
          <w:p w14:paraId="1DD7ACCF">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10分</w:t>
            </w:r>
          </w:p>
        </w:tc>
        <w:tc>
          <w:tcPr>
            <w:tcW w:w="851" w:type="dxa"/>
            <w:vAlign w:val="center"/>
          </w:tcPr>
          <w:p w14:paraId="08D6DA5E">
            <w:pPr>
              <w:widowControl/>
              <w:jc w:val="center"/>
              <w:rPr>
                <w:rFonts w:hint="eastAsia" w:ascii="宋体" w:hAnsi="宋体" w:cs="宋体"/>
                <w:kern w:val="0"/>
                <w:sz w:val="24"/>
                <w:szCs w:val="24"/>
              </w:rPr>
            </w:pPr>
          </w:p>
        </w:tc>
      </w:tr>
      <w:tr w14:paraId="13B4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10324BBC">
            <w:pPr>
              <w:widowControl/>
              <w:jc w:val="center"/>
              <w:rPr>
                <w:rFonts w:hint="eastAsia" w:ascii="宋体" w:hAnsi="宋体" w:cs="宋体"/>
                <w:kern w:val="0"/>
                <w:sz w:val="24"/>
                <w:szCs w:val="24"/>
              </w:rPr>
            </w:pPr>
          </w:p>
        </w:tc>
        <w:tc>
          <w:tcPr>
            <w:tcW w:w="1037" w:type="dxa"/>
            <w:vAlign w:val="center"/>
          </w:tcPr>
          <w:p w14:paraId="5B90DA3E">
            <w:pPr>
              <w:widowControl/>
              <w:jc w:val="center"/>
              <w:rPr>
                <w:rFonts w:hint="eastAsia" w:ascii="宋体" w:hAnsi="宋体" w:cs="宋体"/>
                <w:kern w:val="0"/>
                <w:sz w:val="24"/>
                <w:szCs w:val="24"/>
              </w:rPr>
            </w:pPr>
            <w:r>
              <w:rPr>
                <w:rFonts w:hint="eastAsia" w:ascii="宋体" w:hAnsi="宋体" w:cs="宋体"/>
                <w:kern w:val="0"/>
                <w:sz w:val="24"/>
                <w:szCs w:val="24"/>
              </w:rPr>
              <w:t>项目团队的组成结构</w:t>
            </w:r>
          </w:p>
        </w:tc>
        <w:tc>
          <w:tcPr>
            <w:tcW w:w="5767" w:type="dxa"/>
            <w:vAlign w:val="center"/>
          </w:tcPr>
          <w:p w14:paraId="4D626E53">
            <w:pPr>
              <w:widowControl/>
              <w:jc w:val="left"/>
              <w:rPr>
                <w:rFonts w:hint="eastAsia" w:ascii="宋体" w:hAnsi="宋体" w:cs="宋体"/>
                <w:kern w:val="0"/>
                <w:sz w:val="24"/>
                <w:szCs w:val="24"/>
              </w:rPr>
            </w:pPr>
            <w:r>
              <w:rPr>
                <w:rFonts w:hint="eastAsia"/>
                <w:sz w:val="24"/>
              </w:rPr>
              <w:t>应满足招标文件人员要求</w:t>
            </w:r>
            <w:r>
              <w:rPr>
                <w:rFonts w:hint="eastAsia"/>
                <w:sz w:val="24"/>
                <w:lang w:eastAsia="zh-CN"/>
              </w:rPr>
              <w:t>，</w:t>
            </w:r>
            <w:r>
              <w:rPr>
                <w:rFonts w:hint="eastAsia"/>
                <w:sz w:val="24"/>
              </w:rPr>
              <w:t>根据供应商提供的</w:t>
            </w:r>
            <w:r>
              <w:rPr>
                <w:rFonts w:hint="eastAsia"/>
                <w:sz w:val="24"/>
                <w:lang w:val="en-US" w:eastAsia="zh-CN"/>
              </w:rPr>
              <w:t>团队</w:t>
            </w:r>
            <w:r>
              <w:rPr>
                <w:rFonts w:hint="eastAsia"/>
                <w:sz w:val="24"/>
              </w:rPr>
              <w:t>方案进行打分</w:t>
            </w:r>
            <w:r>
              <w:rPr>
                <w:rFonts w:hint="eastAsia"/>
                <w:sz w:val="24"/>
                <w:lang w:eastAsia="zh-CN"/>
              </w:rPr>
              <w:t>。</w:t>
            </w:r>
            <w:r>
              <w:rPr>
                <w:rFonts w:hint="eastAsia"/>
                <w:sz w:val="24"/>
                <w:lang w:val="en-US"/>
              </w:rPr>
              <w:t>高级中级初级等保测评师</w:t>
            </w:r>
            <w:r>
              <w:rPr>
                <w:rFonts w:hint="eastAsia"/>
                <w:sz w:val="24"/>
                <w:lang w:val="en-US" w:eastAsia="zh-CN"/>
              </w:rPr>
              <w:t>按要求人数配备、团队</w:t>
            </w:r>
            <w:r>
              <w:rPr>
                <w:rFonts w:hint="eastAsia"/>
                <w:sz w:val="24"/>
              </w:rPr>
              <w:t>分</w:t>
            </w:r>
            <w:r>
              <w:rPr>
                <w:rFonts w:hint="eastAsia" w:ascii="宋体" w:hAnsi="宋体" w:cs="宋体"/>
                <w:kern w:val="0"/>
                <w:sz w:val="24"/>
                <w:szCs w:val="24"/>
              </w:rPr>
              <w:t>工明确、质量保障团队配备齐全得8分；</w:t>
            </w:r>
            <w:r>
              <w:rPr>
                <w:rFonts w:hint="eastAsia"/>
                <w:sz w:val="24"/>
                <w:lang w:val="en-US"/>
              </w:rPr>
              <w:t>高级中级初级等保测评师</w:t>
            </w:r>
            <w:r>
              <w:rPr>
                <w:rFonts w:hint="eastAsia"/>
                <w:sz w:val="24"/>
                <w:lang w:val="en-US" w:eastAsia="zh-CN"/>
              </w:rPr>
              <w:t>按要求人数配备、团队</w:t>
            </w:r>
            <w:r>
              <w:rPr>
                <w:rFonts w:hint="eastAsia"/>
                <w:sz w:val="24"/>
              </w:rPr>
              <w:t>分</w:t>
            </w:r>
            <w:r>
              <w:rPr>
                <w:rFonts w:hint="eastAsia" w:ascii="宋体" w:hAnsi="宋体" w:cs="宋体"/>
                <w:kern w:val="0"/>
                <w:sz w:val="24"/>
                <w:szCs w:val="24"/>
              </w:rPr>
              <w:t>工</w:t>
            </w:r>
            <w:r>
              <w:rPr>
                <w:rFonts w:hint="eastAsia" w:ascii="宋体" w:hAnsi="宋体" w:cs="宋体"/>
                <w:kern w:val="0"/>
                <w:sz w:val="24"/>
                <w:szCs w:val="24"/>
                <w:lang w:val="en-US" w:eastAsia="zh-CN"/>
              </w:rPr>
              <w:t>不</w:t>
            </w:r>
            <w:r>
              <w:rPr>
                <w:rFonts w:hint="eastAsia" w:ascii="宋体" w:hAnsi="宋体" w:cs="宋体"/>
                <w:kern w:val="0"/>
                <w:sz w:val="24"/>
                <w:szCs w:val="24"/>
              </w:rPr>
              <w:t>明确、质量保障团队配备</w:t>
            </w:r>
            <w:r>
              <w:rPr>
                <w:rFonts w:hint="eastAsia" w:ascii="宋体" w:hAnsi="宋体" w:cs="宋体"/>
                <w:kern w:val="0"/>
                <w:sz w:val="24"/>
                <w:szCs w:val="24"/>
                <w:lang w:val="en-US" w:eastAsia="zh-CN"/>
              </w:rPr>
              <w:t>不</w:t>
            </w:r>
            <w:r>
              <w:rPr>
                <w:rFonts w:hint="eastAsia" w:ascii="宋体" w:hAnsi="宋体" w:cs="宋体"/>
                <w:kern w:val="0"/>
                <w:sz w:val="24"/>
                <w:szCs w:val="24"/>
              </w:rPr>
              <w:t>齐全得4分；</w:t>
            </w:r>
            <w:r>
              <w:rPr>
                <w:rFonts w:hint="eastAsia"/>
                <w:sz w:val="24"/>
                <w:lang w:val="en-US"/>
              </w:rPr>
              <w:t>高级中级初级等保测评师</w:t>
            </w:r>
            <w:r>
              <w:rPr>
                <w:rFonts w:hint="eastAsia"/>
                <w:sz w:val="24"/>
                <w:lang w:val="en-US" w:eastAsia="zh-CN"/>
              </w:rPr>
              <w:t>未按要求人数配备、团队无</w:t>
            </w:r>
            <w:r>
              <w:rPr>
                <w:rFonts w:hint="eastAsia"/>
                <w:sz w:val="24"/>
              </w:rPr>
              <w:t>分</w:t>
            </w:r>
            <w:r>
              <w:rPr>
                <w:rFonts w:hint="eastAsia" w:ascii="宋体" w:hAnsi="宋体" w:cs="宋体"/>
                <w:kern w:val="0"/>
                <w:sz w:val="24"/>
                <w:szCs w:val="24"/>
              </w:rPr>
              <w:t>工明确、质量保障团队</w:t>
            </w:r>
            <w:r>
              <w:rPr>
                <w:rFonts w:hint="eastAsia" w:ascii="宋体" w:hAnsi="宋体" w:cs="宋体"/>
                <w:kern w:val="0"/>
                <w:sz w:val="24"/>
                <w:szCs w:val="24"/>
                <w:lang w:val="en-US" w:eastAsia="zh-CN"/>
              </w:rPr>
              <w:t>未</w:t>
            </w:r>
            <w:r>
              <w:rPr>
                <w:rFonts w:hint="eastAsia" w:ascii="宋体" w:hAnsi="宋体" w:cs="宋体"/>
                <w:kern w:val="0"/>
                <w:sz w:val="24"/>
                <w:szCs w:val="24"/>
              </w:rPr>
              <w:t>配备齐全得0分</w:t>
            </w:r>
          </w:p>
        </w:tc>
        <w:tc>
          <w:tcPr>
            <w:tcW w:w="850" w:type="dxa"/>
            <w:vAlign w:val="center"/>
          </w:tcPr>
          <w:p w14:paraId="229FA90D">
            <w:pPr>
              <w:widowControl/>
              <w:jc w:val="center"/>
              <w:rPr>
                <w:rFonts w:hint="eastAsia" w:ascii="宋体" w:hAnsi="宋体" w:cs="宋体"/>
                <w:kern w:val="0"/>
                <w:sz w:val="24"/>
                <w:szCs w:val="24"/>
              </w:rPr>
            </w:pPr>
            <w:r>
              <w:rPr>
                <w:rFonts w:hint="eastAsia" w:ascii="宋体" w:hAnsi="宋体" w:cs="宋体"/>
                <w:kern w:val="0"/>
                <w:sz w:val="24"/>
                <w:szCs w:val="24"/>
                <w:lang w:val="en-US" w:eastAsia="zh-CN"/>
              </w:rPr>
              <w:t>8分</w:t>
            </w:r>
          </w:p>
        </w:tc>
        <w:tc>
          <w:tcPr>
            <w:tcW w:w="851" w:type="dxa"/>
            <w:vAlign w:val="center"/>
          </w:tcPr>
          <w:p w14:paraId="7B734247">
            <w:pPr>
              <w:widowControl/>
              <w:jc w:val="center"/>
              <w:rPr>
                <w:rFonts w:hint="eastAsia" w:ascii="宋体" w:hAnsi="宋体" w:cs="宋体"/>
                <w:kern w:val="0"/>
                <w:sz w:val="24"/>
                <w:szCs w:val="24"/>
              </w:rPr>
            </w:pPr>
          </w:p>
        </w:tc>
      </w:tr>
      <w:tr w14:paraId="4DDD2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11CF3D9B">
            <w:pPr>
              <w:widowControl/>
              <w:jc w:val="center"/>
              <w:rPr>
                <w:rFonts w:ascii="宋体" w:hAnsi="宋体" w:cs="宋体"/>
                <w:kern w:val="0"/>
                <w:sz w:val="24"/>
                <w:szCs w:val="24"/>
              </w:rPr>
            </w:pPr>
          </w:p>
        </w:tc>
        <w:tc>
          <w:tcPr>
            <w:tcW w:w="1037" w:type="dxa"/>
            <w:vAlign w:val="center"/>
          </w:tcPr>
          <w:p w14:paraId="1BCFE036">
            <w:pPr>
              <w:widowControl/>
              <w:jc w:val="center"/>
              <w:rPr>
                <w:rFonts w:ascii="宋体" w:hAnsi="宋体" w:cs="宋体"/>
                <w:kern w:val="0"/>
                <w:sz w:val="24"/>
                <w:szCs w:val="24"/>
              </w:rPr>
            </w:pPr>
            <w:r>
              <w:rPr>
                <w:rFonts w:hint="eastAsia" w:ascii="宋体" w:hAnsi="宋体" w:cs="宋体"/>
                <w:kern w:val="0"/>
                <w:sz w:val="24"/>
                <w:szCs w:val="24"/>
              </w:rPr>
              <w:t>综合实力</w:t>
            </w:r>
          </w:p>
        </w:tc>
        <w:tc>
          <w:tcPr>
            <w:tcW w:w="5767" w:type="dxa"/>
            <w:vAlign w:val="center"/>
          </w:tcPr>
          <w:p w14:paraId="55C46D25">
            <w:pPr>
              <w:widowControl/>
              <w:jc w:val="left"/>
              <w:rPr>
                <w:rFonts w:hint="eastAsia" w:ascii="宋体" w:hAnsi="宋体" w:cs="宋体"/>
                <w:kern w:val="0"/>
                <w:sz w:val="24"/>
                <w:szCs w:val="24"/>
              </w:rPr>
            </w:pPr>
            <w:r>
              <w:rPr>
                <w:rFonts w:hint="eastAsia" w:ascii="宋体" w:hAnsi="宋体" w:cs="宋体"/>
                <w:kern w:val="0"/>
                <w:sz w:val="24"/>
                <w:szCs w:val="24"/>
              </w:rPr>
              <w:t>1.供应商具有国家认证认可监督管理委员会颁发的检验检测机构资质认定证书（CMA）（非实验室证书）且检验检测能力范围覆盖信息系统安全等级保护测评，并提供认定证书和证书附表复印件并加盖供应商公章，得5分，否则不得分。</w:t>
            </w:r>
          </w:p>
          <w:p w14:paraId="683FB1A6">
            <w:pPr>
              <w:widowControl/>
              <w:jc w:val="left"/>
              <w:rPr>
                <w:rFonts w:hint="eastAsia" w:ascii="宋体" w:hAnsi="宋体" w:cs="宋体"/>
                <w:kern w:val="0"/>
                <w:sz w:val="24"/>
                <w:szCs w:val="24"/>
              </w:rPr>
            </w:pPr>
            <w:r>
              <w:rPr>
                <w:rFonts w:hint="eastAsia" w:ascii="宋体" w:hAnsi="宋体" w:cs="宋体"/>
                <w:kern w:val="0"/>
                <w:sz w:val="24"/>
                <w:szCs w:val="24"/>
              </w:rPr>
              <w:t>2.供应商拥有中国合格评定国家认可委员会颁发的CNAS检验机构认可证书（不含实验室认可证书），检验检测能力范围覆盖信息系统安全等级保护测评及风险评估，并提供认可证书复印件并加盖供应商公章，得5分，否则不得分。</w:t>
            </w:r>
          </w:p>
          <w:p w14:paraId="20D1D654">
            <w:pPr>
              <w:widowControl/>
              <w:jc w:val="left"/>
              <w:rPr>
                <w:rFonts w:hint="eastAsia" w:ascii="宋体" w:hAnsi="宋体" w:cs="宋体"/>
                <w:kern w:val="0"/>
                <w:sz w:val="24"/>
                <w:szCs w:val="24"/>
              </w:rPr>
            </w:pPr>
            <w:r>
              <w:rPr>
                <w:rFonts w:hint="eastAsia" w:ascii="宋体" w:hAnsi="宋体" w:cs="宋体"/>
                <w:kern w:val="0"/>
                <w:sz w:val="24"/>
                <w:szCs w:val="24"/>
              </w:rPr>
              <w:t>3.供应商拥有质量管理体系认证证书ISO 9001，通用认证范围涵盖信息系统安全等级保护测评、风险评估、安全运维及应急处理服务，并提供认证证书复印件并加盖供应商公章，得5分，否则不得分。</w:t>
            </w:r>
          </w:p>
          <w:p w14:paraId="06CB5F96">
            <w:pPr>
              <w:widowControl/>
              <w:jc w:val="left"/>
              <w:rPr>
                <w:rFonts w:hint="eastAsia" w:ascii="宋体" w:hAnsi="宋体" w:cs="宋体"/>
                <w:kern w:val="0"/>
                <w:sz w:val="24"/>
                <w:szCs w:val="24"/>
              </w:rPr>
            </w:pPr>
            <w:r>
              <w:rPr>
                <w:rFonts w:hint="eastAsia" w:ascii="宋体" w:hAnsi="宋体" w:cs="宋体"/>
                <w:kern w:val="0"/>
                <w:sz w:val="24"/>
                <w:szCs w:val="24"/>
              </w:rPr>
              <w:t>4.供应商拥有业务连续性管理体系认证证书ISO 22301.通用认证范围涵盖信息系统安全等级保护测评、风险评估、安全运维及应急处理服务并提供认证证书复印件并加盖供应商公章，得5分，否则不得分。</w:t>
            </w:r>
          </w:p>
          <w:p w14:paraId="1BCF7C2C">
            <w:pPr>
              <w:widowControl/>
              <w:jc w:val="left"/>
              <w:rPr>
                <w:rFonts w:ascii="宋体" w:hAnsi="宋体" w:cs="宋体"/>
                <w:kern w:val="0"/>
                <w:sz w:val="24"/>
                <w:szCs w:val="24"/>
              </w:rPr>
            </w:pPr>
            <w:r>
              <w:rPr>
                <w:rFonts w:hint="eastAsia" w:ascii="宋体" w:hAnsi="宋体" w:cs="宋体"/>
                <w:kern w:val="0"/>
                <w:sz w:val="24"/>
                <w:szCs w:val="24"/>
              </w:rPr>
              <w:t>5.供应商拥有信息安全管理体系认证证书ISO 27001，通用认证范围涵盖信息系统安全等级保护测评、风险评估、安全运维及应急处理服务，并提供认证证书复印件并加盖供应商公章，得5分，否则不得分。</w:t>
            </w:r>
          </w:p>
        </w:tc>
        <w:tc>
          <w:tcPr>
            <w:tcW w:w="850" w:type="dxa"/>
            <w:vAlign w:val="center"/>
          </w:tcPr>
          <w:p w14:paraId="05171855">
            <w:pPr>
              <w:widowControl/>
              <w:jc w:val="center"/>
              <w:rPr>
                <w:rFonts w:ascii="宋体" w:hAnsi="宋体" w:cs="宋体"/>
                <w:kern w:val="0"/>
                <w:sz w:val="24"/>
                <w:szCs w:val="24"/>
              </w:rPr>
            </w:pPr>
            <w:r>
              <w:rPr>
                <w:rFonts w:hint="eastAsia" w:ascii="宋体" w:hAnsi="宋体" w:cs="宋体"/>
                <w:b w:val="0"/>
                <w:bCs/>
                <w:kern w:val="0"/>
                <w:sz w:val="24"/>
                <w:szCs w:val="24"/>
                <w:lang w:val="en-US" w:eastAsia="zh-CN"/>
              </w:rPr>
              <w:t>2</w:t>
            </w:r>
            <w:r>
              <w:rPr>
                <w:rFonts w:hint="eastAsia" w:cs="宋体"/>
                <w:b w:val="0"/>
                <w:bCs/>
                <w:kern w:val="0"/>
                <w:sz w:val="24"/>
                <w:szCs w:val="24"/>
                <w:lang w:val="en-US" w:eastAsia="zh-CN"/>
              </w:rPr>
              <w:t>5</w:t>
            </w:r>
            <w:r>
              <w:rPr>
                <w:rFonts w:hint="eastAsia" w:ascii="宋体" w:hAnsi="宋体" w:cs="宋体"/>
                <w:kern w:val="0"/>
                <w:sz w:val="24"/>
                <w:szCs w:val="24"/>
              </w:rPr>
              <w:t>分</w:t>
            </w:r>
          </w:p>
        </w:tc>
        <w:tc>
          <w:tcPr>
            <w:tcW w:w="851" w:type="dxa"/>
            <w:vAlign w:val="center"/>
          </w:tcPr>
          <w:p w14:paraId="11AA83CD">
            <w:pPr>
              <w:widowControl/>
              <w:jc w:val="center"/>
              <w:rPr>
                <w:rFonts w:ascii="宋体" w:hAnsi="宋体" w:cs="宋体"/>
                <w:kern w:val="0"/>
                <w:sz w:val="24"/>
                <w:szCs w:val="24"/>
              </w:rPr>
            </w:pPr>
          </w:p>
        </w:tc>
      </w:tr>
      <w:tr w14:paraId="7E2A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35" w:type="dxa"/>
            <w:vMerge w:val="continue"/>
            <w:vAlign w:val="center"/>
          </w:tcPr>
          <w:p w14:paraId="235C5998">
            <w:pPr>
              <w:widowControl/>
              <w:jc w:val="center"/>
              <w:rPr>
                <w:rFonts w:ascii="宋体" w:hAnsi="宋体" w:cs="宋体"/>
                <w:kern w:val="0"/>
                <w:sz w:val="24"/>
                <w:szCs w:val="24"/>
              </w:rPr>
            </w:pPr>
          </w:p>
        </w:tc>
        <w:tc>
          <w:tcPr>
            <w:tcW w:w="1037" w:type="dxa"/>
            <w:vAlign w:val="center"/>
          </w:tcPr>
          <w:p w14:paraId="4FEDDE2F">
            <w:pPr>
              <w:widowControl/>
              <w:jc w:val="center"/>
              <w:rPr>
                <w:rFonts w:ascii="宋体" w:hAnsi="宋体" w:cs="宋体"/>
                <w:kern w:val="0"/>
                <w:sz w:val="24"/>
                <w:szCs w:val="24"/>
              </w:rPr>
            </w:pPr>
            <w:r>
              <w:rPr>
                <w:rFonts w:hint="eastAsia" w:ascii="宋体" w:hAnsi="宋体" w:cs="宋体"/>
                <w:kern w:val="0"/>
                <w:sz w:val="24"/>
                <w:szCs w:val="24"/>
              </w:rPr>
              <w:t>类似业绩</w:t>
            </w:r>
          </w:p>
        </w:tc>
        <w:tc>
          <w:tcPr>
            <w:tcW w:w="5767" w:type="dxa"/>
            <w:vAlign w:val="center"/>
          </w:tcPr>
          <w:p w14:paraId="075A31EF">
            <w:pPr>
              <w:widowControl/>
              <w:jc w:val="left"/>
              <w:rPr>
                <w:rFonts w:hint="eastAsia" w:ascii="宋体" w:hAnsi="宋体" w:cs="宋体"/>
                <w:kern w:val="0"/>
                <w:sz w:val="24"/>
                <w:szCs w:val="24"/>
              </w:rPr>
            </w:pPr>
            <w:r>
              <w:rPr>
                <w:rFonts w:hint="eastAsia" w:ascii="宋体" w:hAnsi="宋体" w:cs="宋体"/>
                <w:kern w:val="0"/>
                <w:sz w:val="24"/>
                <w:szCs w:val="24"/>
                <w:lang w:val="en-US" w:eastAsia="zh-CN"/>
              </w:rPr>
              <w:t>供应商</w:t>
            </w:r>
            <w:r>
              <w:rPr>
                <w:rFonts w:hint="eastAsia" w:ascii="宋体" w:hAnsi="宋体" w:cs="宋体"/>
                <w:kern w:val="0"/>
                <w:sz w:val="24"/>
                <w:szCs w:val="24"/>
              </w:rPr>
              <w:t>近三年（从2023年</w:t>
            </w:r>
            <w:r>
              <w:rPr>
                <w:rFonts w:hint="eastAsia" w:ascii="宋体" w:hAnsi="宋体" w:cs="宋体"/>
                <w:kern w:val="0"/>
                <w:sz w:val="24"/>
                <w:szCs w:val="24"/>
                <w:lang w:val="en-US" w:eastAsia="zh-CN"/>
              </w:rPr>
              <w:t>1</w:t>
            </w:r>
            <w:r>
              <w:rPr>
                <w:rFonts w:hint="eastAsia" w:ascii="宋体" w:hAnsi="宋体" w:cs="宋体"/>
                <w:kern w:val="0"/>
                <w:sz w:val="24"/>
                <w:szCs w:val="24"/>
              </w:rPr>
              <w:t>月1日—至今）独立承担的同类项目案例，每个得</w:t>
            </w:r>
            <w:r>
              <w:rPr>
                <w:rFonts w:hint="eastAsia" w:ascii="宋体" w:hAnsi="宋体" w:cs="宋体"/>
                <w:kern w:val="0"/>
                <w:sz w:val="24"/>
                <w:szCs w:val="24"/>
                <w:lang w:val="en-US" w:eastAsia="zh-CN"/>
              </w:rPr>
              <w:t>2</w:t>
            </w:r>
            <w:r>
              <w:rPr>
                <w:rFonts w:hint="eastAsia" w:ascii="宋体" w:hAnsi="宋体" w:cs="宋体"/>
                <w:kern w:val="0"/>
                <w:sz w:val="24"/>
                <w:szCs w:val="24"/>
              </w:rPr>
              <w:t>分，最多得</w:t>
            </w:r>
            <w:r>
              <w:rPr>
                <w:rFonts w:hint="eastAsia" w:ascii="宋体" w:hAnsi="宋体" w:cs="宋体"/>
                <w:kern w:val="0"/>
                <w:sz w:val="24"/>
                <w:szCs w:val="24"/>
                <w:lang w:val="en-US" w:eastAsia="zh-CN"/>
              </w:rPr>
              <w:t>6</w:t>
            </w:r>
            <w:r>
              <w:rPr>
                <w:rFonts w:hint="eastAsia" w:ascii="宋体" w:hAnsi="宋体" w:cs="宋体"/>
                <w:kern w:val="0"/>
                <w:sz w:val="24"/>
                <w:szCs w:val="24"/>
              </w:rPr>
              <w:t>分。</w:t>
            </w:r>
          </w:p>
          <w:p w14:paraId="5D8DE226">
            <w:pPr>
              <w:widowControl/>
              <w:jc w:val="left"/>
              <w:rPr>
                <w:rFonts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rPr>
              <w:t>须提供合同复印件</w:t>
            </w:r>
            <w:r>
              <w:rPr>
                <w:rFonts w:hint="eastAsia"/>
                <w:sz w:val="24"/>
                <w:lang w:val="en-US" w:eastAsia="zh-CN"/>
              </w:rPr>
              <w:t>，包含：</w:t>
            </w:r>
            <w:r>
              <w:rPr>
                <w:rFonts w:hint="eastAsia" w:ascii="宋体" w:hAnsi="宋体" w:cs="宋体"/>
                <w:kern w:val="0"/>
                <w:sz w:val="24"/>
                <w:szCs w:val="24"/>
              </w:rPr>
              <w:t>合同首页、签字盖章页、服务内容页、金额所在页</w:t>
            </w:r>
            <w:r>
              <w:rPr>
                <w:rFonts w:hint="eastAsia" w:ascii="宋体" w:hAnsi="宋体" w:cs="宋体"/>
                <w:kern w:val="0"/>
                <w:sz w:val="24"/>
                <w:szCs w:val="24"/>
                <w:lang w:eastAsia="zh-CN"/>
              </w:rPr>
              <w:t>，</w:t>
            </w:r>
            <w:r>
              <w:rPr>
                <w:rFonts w:hint="eastAsia" w:ascii="宋体" w:hAnsi="宋体" w:cs="宋体"/>
                <w:kern w:val="0"/>
                <w:sz w:val="24"/>
                <w:szCs w:val="24"/>
              </w:rPr>
              <w:t>并加盖公章，未提供或未盖章不得分</w:t>
            </w:r>
            <w:r>
              <w:rPr>
                <w:rFonts w:hint="eastAsia" w:ascii="宋体" w:hAnsi="宋体" w:cs="宋体"/>
                <w:kern w:val="0"/>
                <w:sz w:val="24"/>
                <w:szCs w:val="24"/>
                <w:lang w:eastAsia="zh-CN"/>
              </w:rPr>
              <w:t>）</w:t>
            </w:r>
          </w:p>
        </w:tc>
        <w:tc>
          <w:tcPr>
            <w:tcW w:w="850" w:type="dxa"/>
            <w:vAlign w:val="center"/>
          </w:tcPr>
          <w:p w14:paraId="1A3DAEF2">
            <w:pPr>
              <w:widowControl/>
              <w:jc w:val="center"/>
              <w:rPr>
                <w:rFonts w:ascii="宋体" w:hAnsi="宋体" w:cs="宋体"/>
                <w:kern w:val="0"/>
                <w:sz w:val="24"/>
                <w:szCs w:val="24"/>
              </w:rPr>
            </w:pPr>
            <w:r>
              <w:rPr>
                <w:rFonts w:hint="eastAsia" w:cs="宋体"/>
                <w:b w:val="0"/>
                <w:bCs/>
                <w:kern w:val="0"/>
                <w:sz w:val="24"/>
                <w:szCs w:val="24"/>
                <w:lang w:val="en-US" w:eastAsia="zh-CN"/>
              </w:rPr>
              <w:t>6</w:t>
            </w:r>
            <w:r>
              <w:rPr>
                <w:rFonts w:hint="eastAsia" w:ascii="宋体" w:hAnsi="宋体" w:cs="宋体"/>
                <w:kern w:val="0"/>
                <w:sz w:val="24"/>
                <w:szCs w:val="24"/>
              </w:rPr>
              <w:t>分</w:t>
            </w:r>
          </w:p>
        </w:tc>
        <w:tc>
          <w:tcPr>
            <w:tcW w:w="851" w:type="dxa"/>
            <w:vAlign w:val="center"/>
          </w:tcPr>
          <w:p w14:paraId="4757A05F">
            <w:pPr>
              <w:widowControl/>
              <w:jc w:val="center"/>
              <w:rPr>
                <w:rFonts w:ascii="宋体" w:hAnsi="宋体" w:cs="宋体"/>
                <w:kern w:val="0"/>
                <w:sz w:val="24"/>
                <w:szCs w:val="24"/>
              </w:rPr>
            </w:pPr>
          </w:p>
        </w:tc>
      </w:tr>
      <w:tr w14:paraId="552B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9" w:type="dxa"/>
            <w:gridSpan w:val="3"/>
            <w:vAlign w:val="center"/>
          </w:tcPr>
          <w:p w14:paraId="23B7FF49">
            <w:pPr>
              <w:widowControl/>
              <w:jc w:val="center"/>
              <w:rPr>
                <w:rFonts w:ascii="宋体" w:hAnsi="宋体" w:cs="宋体"/>
                <w:kern w:val="0"/>
                <w:sz w:val="24"/>
                <w:szCs w:val="24"/>
              </w:rPr>
            </w:pPr>
            <w:r>
              <w:rPr>
                <w:rFonts w:hint="eastAsia" w:ascii="宋体" w:hAnsi="宋体" w:cs="宋体"/>
                <w:kern w:val="0"/>
                <w:sz w:val="24"/>
                <w:szCs w:val="24"/>
              </w:rPr>
              <w:t>总 分</w:t>
            </w:r>
          </w:p>
        </w:tc>
        <w:tc>
          <w:tcPr>
            <w:tcW w:w="850" w:type="dxa"/>
            <w:vAlign w:val="center"/>
          </w:tcPr>
          <w:p w14:paraId="0E3C939B">
            <w:pPr>
              <w:widowControl/>
              <w:jc w:val="center"/>
              <w:rPr>
                <w:rFonts w:ascii="宋体" w:hAnsi="宋体" w:cs="宋体"/>
                <w:kern w:val="0"/>
                <w:sz w:val="24"/>
                <w:szCs w:val="24"/>
              </w:rPr>
            </w:pPr>
            <w:r>
              <w:rPr>
                <w:rFonts w:hint="eastAsia" w:ascii="宋体" w:hAnsi="宋体" w:cs="宋体"/>
                <w:kern w:val="0"/>
                <w:sz w:val="24"/>
                <w:szCs w:val="24"/>
              </w:rPr>
              <w:t>100分</w:t>
            </w:r>
          </w:p>
        </w:tc>
        <w:tc>
          <w:tcPr>
            <w:tcW w:w="851" w:type="dxa"/>
            <w:vAlign w:val="center"/>
          </w:tcPr>
          <w:p w14:paraId="50817626">
            <w:pPr>
              <w:widowControl/>
              <w:jc w:val="center"/>
              <w:rPr>
                <w:rFonts w:ascii="宋体" w:hAnsi="宋体" w:cs="宋体"/>
                <w:kern w:val="0"/>
                <w:sz w:val="24"/>
                <w:szCs w:val="24"/>
              </w:rPr>
            </w:pPr>
          </w:p>
        </w:tc>
      </w:tr>
    </w:tbl>
    <w:p w14:paraId="1F35CB08"/>
    <w:p w14:paraId="07D8B99F">
      <w:pPr>
        <w:autoSpaceDE w:val="0"/>
        <w:autoSpaceDN w:val="0"/>
        <w:adjustRightInd w:val="0"/>
        <w:spacing w:line="440" w:lineRule="exact"/>
        <w:jc w:val="center"/>
        <w:rPr>
          <w:rFonts w:hint="eastAsia" w:ascii="宋体" w:hAnsi="宋体" w:cs="宋体"/>
          <w:b/>
          <w:bCs/>
          <w:sz w:val="40"/>
          <w:szCs w:val="40"/>
        </w:rPr>
      </w:pPr>
    </w:p>
    <w:p w14:paraId="19F32E94">
      <w:pPr>
        <w:spacing w:beforeLines="50" w:afterLines="50" w:line="440" w:lineRule="exact"/>
        <w:jc w:val="center"/>
        <w:rPr>
          <w:rFonts w:ascii="宋体" w:hAnsi="宋体"/>
          <w:b/>
          <w:sz w:val="32"/>
          <w:szCs w:val="32"/>
        </w:rPr>
      </w:pPr>
    </w:p>
    <w:p w14:paraId="378F3022">
      <w:pPr>
        <w:spacing w:beforeLines="50" w:afterLines="50" w:line="440" w:lineRule="exact"/>
        <w:jc w:val="center"/>
        <w:rPr>
          <w:rFonts w:hint="eastAsia" w:ascii="宋体" w:hAnsi="宋体"/>
          <w:b/>
          <w:sz w:val="32"/>
          <w:szCs w:val="32"/>
        </w:rPr>
      </w:pPr>
    </w:p>
    <w:p w14:paraId="6139E4FA">
      <w:pPr>
        <w:spacing w:beforeLines="50" w:afterLines="50" w:line="440" w:lineRule="exact"/>
        <w:jc w:val="center"/>
        <w:rPr>
          <w:rFonts w:hint="eastAsia" w:ascii="宋体" w:hAnsi="宋体"/>
          <w:b/>
          <w:sz w:val="32"/>
          <w:szCs w:val="32"/>
        </w:rPr>
        <w:sectPr>
          <w:pgSz w:w="11906" w:h="16838"/>
          <w:pgMar w:top="1134" w:right="1134" w:bottom="1134" w:left="1134" w:header="851" w:footer="992" w:gutter="0"/>
          <w:cols w:space="720" w:num="1"/>
          <w:docGrid w:type="linesAndChars" w:linePitch="312" w:charSpace="0"/>
        </w:sectPr>
      </w:pPr>
    </w:p>
    <w:p w14:paraId="1B71D475">
      <w:pPr>
        <w:numPr>
          <w:ilvl w:val="0"/>
          <w:numId w:val="3"/>
        </w:numPr>
        <w:spacing w:beforeLines="50" w:afterLines="50" w:line="440" w:lineRule="exact"/>
        <w:jc w:val="center"/>
        <w:outlineLvl w:val="0"/>
        <w:rPr>
          <w:rFonts w:hint="eastAsia" w:ascii="宋体" w:hAnsi="宋体"/>
          <w:b/>
          <w:sz w:val="30"/>
          <w:szCs w:val="30"/>
        </w:rPr>
      </w:pPr>
      <w:r>
        <w:rPr>
          <w:rFonts w:ascii="宋体" w:hAnsi="宋体"/>
          <w:b/>
          <w:sz w:val="30"/>
          <w:szCs w:val="30"/>
        </w:rPr>
        <w:t>合同</w:t>
      </w:r>
      <w:r>
        <w:rPr>
          <w:rFonts w:hint="eastAsia" w:ascii="宋体" w:hAnsi="宋体"/>
          <w:b/>
          <w:sz w:val="30"/>
          <w:szCs w:val="30"/>
        </w:rPr>
        <w:t>条款格式</w:t>
      </w:r>
    </w:p>
    <w:p w14:paraId="14BD77A5">
      <w:pPr>
        <w:numPr>
          <w:ilvl w:val="0"/>
          <w:numId w:val="0"/>
        </w:numPr>
        <w:spacing w:beforeLines="50" w:afterLines="50" w:line="440" w:lineRule="exact"/>
        <w:ind w:firstLine="3000" w:firstLineChars="1000"/>
        <w:jc w:val="both"/>
        <w:rPr>
          <w:rFonts w:hint="eastAsia" w:ascii="宋体" w:hAnsi="宋体"/>
          <w:b/>
          <w:sz w:val="30"/>
          <w:szCs w:val="30"/>
          <w:lang w:eastAsia="zh-CN"/>
        </w:rPr>
      </w:pPr>
      <w:r>
        <w:rPr>
          <w:rFonts w:hint="eastAsia" w:ascii="宋体" w:hAnsi="宋体"/>
          <w:b/>
          <w:sz w:val="30"/>
          <w:szCs w:val="30"/>
          <w:lang w:eastAsia="zh-CN"/>
        </w:rPr>
        <w:t>（</w:t>
      </w:r>
      <w:r>
        <w:rPr>
          <w:rFonts w:hint="eastAsia" w:ascii="宋体" w:hAnsi="宋体"/>
          <w:b/>
          <w:sz w:val="30"/>
          <w:szCs w:val="30"/>
          <w:lang w:val="en-US" w:eastAsia="zh-CN"/>
        </w:rPr>
        <w:t>以实际签订合同为准</w:t>
      </w:r>
      <w:r>
        <w:rPr>
          <w:rFonts w:hint="eastAsia" w:ascii="宋体" w:hAnsi="宋体"/>
          <w:b/>
          <w:sz w:val="30"/>
          <w:szCs w:val="30"/>
          <w:lang w:eastAsia="zh-CN"/>
        </w:rPr>
        <w:t>）</w:t>
      </w:r>
    </w:p>
    <w:p w14:paraId="433ABB8F">
      <w:pPr>
        <w:snapToGrid w:val="0"/>
        <w:jc w:val="left"/>
        <w:rPr>
          <w:rFonts w:hint="default" w:ascii="宋体" w:hAnsi="宋体" w:eastAsia="宋体"/>
          <w:b/>
          <w:sz w:val="24"/>
          <w:lang w:val="en-US" w:eastAsia="zh-CN"/>
        </w:rPr>
      </w:pPr>
      <w:r>
        <w:rPr>
          <w:rFonts w:hint="eastAsia" w:ascii="宋体" w:hAnsi="宋体"/>
          <w:b/>
          <w:sz w:val="24"/>
          <w:lang w:val="en-US" w:eastAsia="zh-CN"/>
        </w:rPr>
        <w:t>以下合同适用1包和3包：</w:t>
      </w:r>
    </w:p>
    <w:p w14:paraId="5CA2E78F">
      <w:pPr>
        <w:spacing w:line="360" w:lineRule="exact"/>
        <w:ind w:firstLine="480" w:firstLineChars="200"/>
        <w:rPr>
          <w:rFonts w:ascii="宋体" w:hAnsi="宋体"/>
          <w:sz w:val="24"/>
        </w:rPr>
      </w:pPr>
      <w:r>
        <w:rPr>
          <w:rFonts w:hint="eastAsia" w:ascii="宋体" w:hAnsi="宋体"/>
          <w:sz w:val="24"/>
        </w:rPr>
        <w:t>甲方：</w:t>
      </w:r>
    </w:p>
    <w:p w14:paraId="64BD53A8">
      <w:pPr>
        <w:spacing w:line="360" w:lineRule="exact"/>
        <w:ind w:firstLine="480" w:firstLineChars="200"/>
        <w:rPr>
          <w:rFonts w:ascii="宋体" w:hAnsi="宋体"/>
          <w:sz w:val="24"/>
        </w:rPr>
      </w:pPr>
      <w:r>
        <w:rPr>
          <w:rFonts w:hint="eastAsia" w:ascii="宋体" w:hAnsi="宋体"/>
          <w:sz w:val="24"/>
        </w:rPr>
        <w:t>乙方：</w:t>
      </w:r>
    </w:p>
    <w:p w14:paraId="701E71B7">
      <w:pPr>
        <w:spacing w:line="360" w:lineRule="exact"/>
        <w:ind w:left="279" w:leftChars="133" w:firstLine="480" w:firstLineChars="200"/>
        <w:rPr>
          <w:rFonts w:ascii="宋体" w:hAnsi="宋体"/>
          <w:sz w:val="24"/>
        </w:rPr>
      </w:pPr>
    </w:p>
    <w:p w14:paraId="639EF0B7">
      <w:pPr>
        <w:spacing w:line="360" w:lineRule="exact"/>
        <w:ind w:left="279" w:leftChars="133" w:firstLine="480" w:firstLineChars="200"/>
        <w:rPr>
          <w:rFonts w:ascii="宋体" w:hAnsi="宋体"/>
          <w:sz w:val="24"/>
        </w:rPr>
      </w:pPr>
      <w:r>
        <w:rPr>
          <w:rFonts w:hint="eastAsia" w:ascii="宋体" w:hAnsi="宋体"/>
          <w:sz w:val="24"/>
        </w:rPr>
        <w:t>甲乙双方根据</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年月  日</w:t>
      </w:r>
      <w:r>
        <w:rPr>
          <w:rFonts w:hint="eastAsia" w:ascii="宋体" w:hAnsi="宋体"/>
          <w:bCs/>
          <w:sz w:val="24"/>
        </w:rPr>
        <w:t>202</w:t>
      </w:r>
      <w:r>
        <w:rPr>
          <w:rFonts w:hint="eastAsia" w:ascii="宋体" w:hAnsi="宋体"/>
          <w:bCs/>
          <w:sz w:val="24"/>
          <w:lang w:val="en-US" w:eastAsia="zh-CN"/>
        </w:rPr>
        <w:t>5</w:t>
      </w:r>
      <w:r>
        <w:rPr>
          <w:rFonts w:hint="eastAsia" w:ascii="宋体" w:hAnsi="宋体"/>
          <w:bCs/>
          <w:sz w:val="24"/>
        </w:rPr>
        <w:t>年               项目</w:t>
      </w:r>
      <w:r>
        <w:rPr>
          <w:rFonts w:hint="eastAsia" w:ascii="宋体" w:hAnsi="宋体"/>
          <w:sz w:val="24"/>
        </w:rPr>
        <w:t>（</w:t>
      </w:r>
      <w:r>
        <w:rPr>
          <w:rFonts w:hint="eastAsia" w:ascii="宋体" w:hAnsi="宋体"/>
          <w:sz w:val="24"/>
          <w:lang w:val="en-US" w:eastAsia="zh-CN"/>
        </w:rPr>
        <w:t>项目</w:t>
      </w:r>
      <w:r>
        <w:rPr>
          <w:rFonts w:hint="eastAsia" w:ascii="宋体" w:hAnsi="宋体"/>
          <w:sz w:val="24"/>
        </w:rPr>
        <w:t>编号）</w:t>
      </w:r>
      <w:r>
        <w:rPr>
          <w:rFonts w:hint="eastAsia" w:ascii="宋体" w:hAnsi="宋体"/>
          <w:bCs/>
          <w:sz w:val="24"/>
        </w:rPr>
        <w:t>招标</w:t>
      </w:r>
      <w:r>
        <w:rPr>
          <w:rFonts w:hint="eastAsia" w:ascii="宋体" w:hAnsi="宋体"/>
          <w:sz w:val="24"/>
        </w:rPr>
        <w:t>采购评标的结果和“采购文件”的要求，并经双方协调一致，达成购销合同：</w:t>
      </w:r>
    </w:p>
    <w:p w14:paraId="23B7A511">
      <w:pPr>
        <w:spacing w:line="360" w:lineRule="exact"/>
        <w:ind w:firstLine="480" w:firstLineChars="200"/>
        <w:rPr>
          <w:rFonts w:ascii="宋体" w:hAnsi="宋体"/>
          <w:sz w:val="24"/>
        </w:rPr>
      </w:pPr>
    </w:p>
    <w:p w14:paraId="27DEA1E0">
      <w:pPr>
        <w:spacing w:line="360" w:lineRule="exact"/>
        <w:ind w:firstLine="480" w:firstLineChars="200"/>
        <w:rPr>
          <w:rFonts w:ascii="宋体" w:hAnsi="宋体"/>
          <w:sz w:val="24"/>
        </w:rPr>
      </w:pPr>
      <w:r>
        <w:rPr>
          <w:rFonts w:hint="eastAsia" w:ascii="宋体" w:hAnsi="宋体"/>
          <w:sz w:val="24"/>
        </w:rPr>
        <w:t>一、合同文件</w:t>
      </w:r>
    </w:p>
    <w:p w14:paraId="4303B097">
      <w:pPr>
        <w:spacing w:line="360" w:lineRule="exact"/>
        <w:ind w:firstLine="960" w:firstLineChars="400"/>
        <w:rPr>
          <w:rFonts w:ascii="宋体" w:hAnsi="宋体"/>
          <w:sz w:val="24"/>
        </w:rPr>
      </w:pPr>
      <w:r>
        <w:rPr>
          <w:rFonts w:hint="eastAsia" w:ascii="宋体" w:hAnsi="宋体"/>
          <w:sz w:val="24"/>
        </w:rPr>
        <w:t>本合同所附下列文件是构成本合同不可分割的部分：</w:t>
      </w:r>
    </w:p>
    <w:p w14:paraId="3BCE9C37">
      <w:pPr>
        <w:spacing w:line="360" w:lineRule="exact"/>
        <w:ind w:firstLine="960" w:firstLineChars="400"/>
        <w:rPr>
          <w:rFonts w:ascii="宋体" w:hAnsi="宋体"/>
          <w:sz w:val="24"/>
        </w:rPr>
      </w:pPr>
      <w:r>
        <w:rPr>
          <w:rFonts w:hint="eastAsia" w:ascii="宋体" w:hAnsi="宋体"/>
          <w:sz w:val="24"/>
        </w:rPr>
        <w:t>采购文件合同条款</w:t>
      </w:r>
    </w:p>
    <w:p w14:paraId="2FEAAF1A">
      <w:pPr>
        <w:spacing w:line="360" w:lineRule="exact"/>
        <w:ind w:firstLine="960" w:firstLineChars="400"/>
        <w:rPr>
          <w:rFonts w:ascii="宋体" w:hAnsi="宋体"/>
          <w:sz w:val="24"/>
        </w:rPr>
      </w:pPr>
      <w:r>
        <w:rPr>
          <w:rFonts w:hint="eastAsia" w:ascii="宋体" w:hAnsi="宋体"/>
          <w:sz w:val="24"/>
          <w:lang w:eastAsia="zh-CN"/>
        </w:rPr>
        <w:t>供应商</w:t>
      </w:r>
      <w:r>
        <w:rPr>
          <w:rFonts w:hint="eastAsia" w:ascii="宋体" w:hAnsi="宋体"/>
          <w:sz w:val="24"/>
        </w:rPr>
        <w:t>提交的投标函和投标报价表</w:t>
      </w:r>
    </w:p>
    <w:p w14:paraId="046567DD">
      <w:pPr>
        <w:spacing w:line="360" w:lineRule="exact"/>
        <w:ind w:firstLine="960" w:firstLineChars="400"/>
        <w:rPr>
          <w:rFonts w:ascii="宋体" w:hAnsi="宋体"/>
          <w:sz w:val="24"/>
        </w:rPr>
      </w:pPr>
      <w:r>
        <w:rPr>
          <w:rFonts w:hint="eastAsia" w:ascii="宋体" w:hAnsi="宋体"/>
          <w:sz w:val="24"/>
        </w:rPr>
        <w:t>招标采购成交品目清单</w:t>
      </w:r>
    </w:p>
    <w:p w14:paraId="544B4A93">
      <w:pPr>
        <w:spacing w:line="360" w:lineRule="exact"/>
        <w:ind w:firstLine="960" w:firstLineChars="400"/>
        <w:rPr>
          <w:rFonts w:ascii="宋体" w:hAnsi="宋体"/>
          <w:sz w:val="24"/>
        </w:rPr>
      </w:pPr>
      <w:r>
        <w:rPr>
          <w:rFonts w:hint="eastAsia" w:ascii="宋体" w:hAnsi="宋体"/>
          <w:sz w:val="24"/>
        </w:rPr>
        <w:t>服务要求</w:t>
      </w:r>
    </w:p>
    <w:p w14:paraId="23B3C973">
      <w:pPr>
        <w:spacing w:line="360" w:lineRule="exact"/>
        <w:ind w:firstLine="960" w:firstLineChars="400"/>
        <w:rPr>
          <w:rFonts w:ascii="宋体" w:hAnsi="宋体"/>
          <w:sz w:val="24"/>
        </w:rPr>
      </w:pPr>
      <w:r>
        <w:rPr>
          <w:rFonts w:hint="eastAsia" w:ascii="宋体" w:hAnsi="宋体"/>
          <w:sz w:val="24"/>
        </w:rPr>
        <w:t>规格响应表（如果有的话）</w:t>
      </w:r>
    </w:p>
    <w:p w14:paraId="384603B7">
      <w:pPr>
        <w:spacing w:line="360" w:lineRule="exact"/>
        <w:ind w:firstLine="960" w:firstLineChars="400"/>
        <w:rPr>
          <w:rFonts w:ascii="宋体" w:hAnsi="宋体"/>
          <w:sz w:val="24"/>
        </w:rPr>
      </w:pPr>
      <w:r>
        <w:rPr>
          <w:rFonts w:hint="eastAsia" w:ascii="宋体" w:hAnsi="宋体"/>
          <w:sz w:val="24"/>
        </w:rPr>
        <w:t>成交通知书</w:t>
      </w:r>
    </w:p>
    <w:p w14:paraId="7BAE4063">
      <w:pPr>
        <w:spacing w:line="360" w:lineRule="exact"/>
        <w:ind w:firstLine="480" w:firstLineChars="200"/>
        <w:rPr>
          <w:rFonts w:ascii="宋体" w:hAnsi="宋体"/>
          <w:sz w:val="24"/>
        </w:rPr>
      </w:pPr>
    </w:p>
    <w:p w14:paraId="1CF01698">
      <w:pPr>
        <w:spacing w:line="360" w:lineRule="exact"/>
        <w:ind w:firstLine="480" w:firstLineChars="200"/>
        <w:rPr>
          <w:rFonts w:ascii="宋体" w:hAnsi="宋体"/>
          <w:sz w:val="24"/>
        </w:rPr>
      </w:pPr>
      <w:r>
        <w:rPr>
          <w:rFonts w:hint="eastAsia" w:ascii="宋体" w:hAnsi="宋体"/>
          <w:sz w:val="24"/>
        </w:rPr>
        <w:t>二、服务内容：</w:t>
      </w:r>
    </w:p>
    <w:p w14:paraId="2DE3389E">
      <w:pPr>
        <w:spacing w:line="360" w:lineRule="exact"/>
        <w:ind w:firstLine="480" w:firstLineChars="200"/>
        <w:rPr>
          <w:rFonts w:ascii="宋体" w:hAnsi="宋体"/>
          <w:sz w:val="24"/>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4536"/>
        <w:gridCol w:w="1612"/>
        <w:gridCol w:w="2464"/>
      </w:tblGrid>
      <w:tr w14:paraId="59445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ign w:val="center"/>
          </w:tcPr>
          <w:p w14:paraId="52153EED">
            <w:pPr>
              <w:spacing w:line="360" w:lineRule="exact"/>
              <w:jc w:val="center"/>
              <w:rPr>
                <w:rFonts w:ascii="宋体" w:hAnsi="宋体"/>
                <w:sz w:val="24"/>
              </w:rPr>
            </w:pPr>
            <w:r>
              <w:rPr>
                <w:rFonts w:hint="eastAsia" w:ascii="宋体" w:hAnsi="宋体"/>
                <w:sz w:val="24"/>
              </w:rPr>
              <w:t>序号</w:t>
            </w:r>
          </w:p>
        </w:tc>
        <w:tc>
          <w:tcPr>
            <w:tcW w:w="4536" w:type="dxa"/>
            <w:noWrap/>
            <w:vAlign w:val="center"/>
          </w:tcPr>
          <w:p w14:paraId="2C816646">
            <w:pPr>
              <w:spacing w:line="360" w:lineRule="exact"/>
              <w:jc w:val="center"/>
              <w:rPr>
                <w:rFonts w:ascii="宋体" w:hAnsi="宋体"/>
                <w:sz w:val="24"/>
              </w:rPr>
            </w:pPr>
            <w:r>
              <w:rPr>
                <w:rFonts w:hint="eastAsia" w:ascii="宋体" w:hAnsi="宋体"/>
                <w:sz w:val="24"/>
              </w:rPr>
              <w:t>项目名称</w:t>
            </w:r>
          </w:p>
        </w:tc>
        <w:tc>
          <w:tcPr>
            <w:tcW w:w="1612" w:type="dxa"/>
            <w:noWrap/>
            <w:vAlign w:val="center"/>
          </w:tcPr>
          <w:p w14:paraId="1B88E925">
            <w:pPr>
              <w:spacing w:line="360" w:lineRule="exact"/>
              <w:jc w:val="center"/>
              <w:rPr>
                <w:rFonts w:ascii="宋体" w:hAnsi="宋体"/>
                <w:sz w:val="24"/>
              </w:rPr>
            </w:pPr>
            <w:r>
              <w:rPr>
                <w:rFonts w:hint="eastAsia" w:ascii="宋体" w:hAnsi="宋体"/>
                <w:sz w:val="24"/>
              </w:rPr>
              <w:t>金额</w:t>
            </w:r>
          </w:p>
        </w:tc>
        <w:tc>
          <w:tcPr>
            <w:tcW w:w="2464" w:type="dxa"/>
            <w:noWrap/>
            <w:vAlign w:val="center"/>
          </w:tcPr>
          <w:p w14:paraId="4199636B">
            <w:pPr>
              <w:spacing w:line="360" w:lineRule="exact"/>
              <w:jc w:val="center"/>
              <w:rPr>
                <w:rFonts w:ascii="宋体" w:hAnsi="宋体"/>
                <w:sz w:val="24"/>
              </w:rPr>
            </w:pPr>
            <w:r>
              <w:rPr>
                <w:rFonts w:hint="eastAsia" w:ascii="宋体" w:hAnsi="宋体"/>
                <w:sz w:val="24"/>
              </w:rPr>
              <w:t>服务期限</w:t>
            </w:r>
          </w:p>
        </w:tc>
      </w:tr>
      <w:tr w14:paraId="5A324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7ADC64B9">
            <w:pPr>
              <w:spacing w:line="360" w:lineRule="exact"/>
              <w:rPr>
                <w:rFonts w:ascii="宋体" w:hAnsi="宋体"/>
                <w:sz w:val="24"/>
              </w:rPr>
            </w:pPr>
          </w:p>
        </w:tc>
        <w:tc>
          <w:tcPr>
            <w:tcW w:w="4536" w:type="dxa"/>
            <w:noWrap/>
          </w:tcPr>
          <w:p w14:paraId="649E9AC7">
            <w:pPr>
              <w:spacing w:line="360" w:lineRule="exact"/>
              <w:rPr>
                <w:rFonts w:ascii="宋体" w:hAnsi="宋体"/>
                <w:sz w:val="24"/>
              </w:rPr>
            </w:pPr>
          </w:p>
        </w:tc>
        <w:tc>
          <w:tcPr>
            <w:tcW w:w="1612" w:type="dxa"/>
            <w:noWrap/>
          </w:tcPr>
          <w:p w14:paraId="0E288B07">
            <w:pPr>
              <w:spacing w:line="360" w:lineRule="exact"/>
              <w:rPr>
                <w:rFonts w:ascii="宋体" w:hAnsi="宋体"/>
                <w:sz w:val="24"/>
              </w:rPr>
            </w:pPr>
          </w:p>
        </w:tc>
        <w:tc>
          <w:tcPr>
            <w:tcW w:w="2464" w:type="dxa"/>
            <w:noWrap/>
          </w:tcPr>
          <w:p w14:paraId="73A87EAA">
            <w:pPr>
              <w:spacing w:line="360" w:lineRule="exact"/>
              <w:rPr>
                <w:rFonts w:ascii="宋体" w:hAnsi="宋体"/>
                <w:sz w:val="24"/>
              </w:rPr>
            </w:pPr>
          </w:p>
        </w:tc>
      </w:tr>
      <w:tr w14:paraId="0EAB3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08D4636F">
            <w:pPr>
              <w:spacing w:line="360" w:lineRule="exact"/>
              <w:rPr>
                <w:rFonts w:ascii="宋体" w:hAnsi="宋体"/>
                <w:sz w:val="24"/>
              </w:rPr>
            </w:pPr>
          </w:p>
        </w:tc>
        <w:tc>
          <w:tcPr>
            <w:tcW w:w="4536" w:type="dxa"/>
            <w:noWrap/>
          </w:tcPr>
          <w:p w14:paraId="667017B4">
            <w:pPr>
              <w:spacing w:line="360" w:lineRule="exact"/>
              <w:rPr>
                <w:rFonts w:ascii="宋体" w:hAnsi="宋体"/>
                <w:sz w:val="24"/>
              </w:rPr>
            </w:pPr>
            <w:r>
              <w:rPr>
                <w:rFonts w:hint="eastAsia" w:ascii="宋体" w:hAnsi="宋体"/>
                <w:sz w:val="24"/>
              </w:rPr>
              <w:t>合计</w:t>
            </w:r>
          </w:p>
        </w:tc>
        <w:tc>
          <w:tcPr>
            <w:tcW w:w="4076" w:type="dxa"/>
            <w:gridSpan w:val="2"/>
            <w:noWrap/>
          </w:tcPr>
          <w:p w14:paraId="00111B08">
            <w:pPr>
              <w:spacing w:line="360" w:lineRule="exact"/>
              <w:rPr>
                <w:rFonts w:ascii="宋体" w:hAnsi="宋体"/>
                <w:sz w:val="24"/>
              </w:rPr>
            </w:pPr>
          </w:p>
        </w:tc>
      </w:tr>
      <w:tr w14:paraId="6EF40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4"/>
            <w:noWrap/>
          </w:tcPr>
          <w:p w14:paraId="66C3D07A">
            <w:pPr>
              <w:spacing w:line="360" w:lineRule="exact"/>
              <w:rPr>
                <w:rFonts w:ascii="宋体" w:hAnsi="宋体"/>
                <w:sz w:val="24"/>
              </w:rPr>
            </w:pPr>
            <w:r>
              <w:rPr>
                <w:rFonts w:hint="eastAsia" w:ascii="宋体" w:hAnsi="宋体"/>
                <w:sz w:val="24"/>
              </w:rPr>
              <w:t>项目地点：</w:t>
            </w:r>
          </w:p>
          <w:p w14:paraId="73CD9D52">
            <w:pPr>
              <w:spacing w:line="360" w:lineRule="exact"/>
              <w:rPr>
                <w:rFonts w:ascii="宋体" w:hAnsi="宋体"/>
                <w:sz w:val="24"/>
              </w:rPr>
            </w:pPr>
            <w:r>
              <w:rPr>
                <w:rFonts w:hint="eastAsia" w:ascii="宋体" w:hAnsi="宋体"/>
                <w:sz w:val="24"/>
              </w:rPr>
              <w:t>投标报价总计：</w:t>
            </w:r>
          </w:p>
          <w:p w14:paraId="01FDC421">
            <w:pPr>
              <w:spacing w:line="360" w:lineRule="exact"/>
              <w:rPr>
                <w:rFonts w:ascii="宋体" w:hAnsi="宋体"/>
                <w:sz w:val="24"/>
              </w:rPr>
            </w:pPr>
            <w:r>
              <w:rPr>
                <w:rFonts w:hint="eastAsia" w:ascii="宋体" w:hAnsi="宋体"/>
                <w:sz w:val="24"/>
              </w:rPr>
              <w:t>大写：</w:t>
            </w:r>
          </w:p>
        </w:tc>
      </w:tr>
    </w:tbl>
    <w:p w14:paraId="29F21420">
      <w:pPr>
        <w:numPr>
          <w:ilvl w:val="0"/>
          <w:numId w:val="4"/>
        </w:num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付款时间、方式及条件：</w:t>
      </w:r>
    </w:p>
    <w:p w14:paraId="282E435C">
      <w:pPr>
        <w:spacing w:line="360" w:lineRule="exact"/>
        <w:ind w:firstLine="480" w:firstLineChars="200"/>
        <w:rPr>
          <w:rFonts w:hint="eastAsia" w:asciiTheme="minorEastAsia" w:hAnsiTheme="minorEastAsia" w:eastAsiaTheme="minorEastAsia"/>
          <w:sz w:val="24"/>
          <w:lang w:val="en"/>
        </w:rPr>
      </w:pPr>
      <w:r>
        <w:rPr>
          <w:rFonts w:hint="eastAsia" w:asciiTheme="minorEastAsia" w:hAnsiTheme="minorEastAsia" w:eastAsiaTheme="minorEastAsia"/>
          <w:sz w:val="24"/>
          <w:lang w:val="en"/>
        </w:rPr>
        <w:t>本项目合同签订后，甲方凭乙方开具的正式有效发票，在10个工作日内向乙方支付合同总金额的70%的首付款。</w:t>
      </w:r>
    </w:p>
    <w:p w14:paraId="24AECC9A">
      <w:pPr>
        <w:spacing w:line="360" w:lineRule="exact"/>
        <w:ind w:firstLine="480" w:firstLineChars="200"/>
        <w:rPr>
          <w:rFonts w:hint="eastAsia" w:asciiTheme="minorEastAsia" w:hAnsiTheme="minorEastAsia" w:eastAsiaTheme="minorEastAsia"/>
          <w:sz w:val="24"/>
          <w:lang w:val="en"/>
        </w:rPr>
      </w:pPr>
      <w:r>
        <w:rPr>
          <w:rFonts w:hint="eastAsia" w:asciiTheme="minorEastAsia" w:hAnsiTheme="minorEastAsia" w:eastAsiaTheme="minorEastAsia"/>
          <w:sz w:val="24"/>
          <w:lang w:val="en"/>
        </w:rPr>
        <w:t>乙方完成系统的商用密码应用安全性评估，并指导相应系统承建方完成整改，甲方验收合格后，凭乙方开具的正式有效发票和评估报告等相关材料，在10个工作日内向乙方支付30%的尾款。若甲方年底封账，延迟至下一年经费重新下达后支付。</w:t>
      </w:r>
    </w:p>
    <w:p w14:paraId="74FA1429">
      <w:pPr>
        <w:spacing w:line="360" w:lineRule="exact"/>
        <w:ind w:firstLine="480" w:firstLineChars="200"/>
        <w:rPr>
          <w:rFonts w:ascii="宋体" w:hAnsi="宋体"/>
          <w:sz w:val="24"/>
        </w:rPr>
      </w:pPr>
      <w:r>
        <w:rPr>
          <w:rFonts w:hint="eastAsia" w:ascii="宋体" w:hAnsi="宋体"/>
          <w:sz w:val="24"/>
        </w:rPr>
        <w:t>四、违约责任：按《中华人民共和国民法典》执行。</w:t>
      </w:r>
    </w:p>
    <w:p w14:paraId="16033778">
      <w:pPr>
        <w:spacing w:line="360" w:lineRule="exact"/>
        <w:ind w:firstLine="480" w:firstLineChars="200"/>
        <w:rPr>
          <w:rFonts w:ascii="宋体" w:hAnsi="宋体"/>
          <w:sz w:val="24"/>
        </w:rPr>
      </w:pPr>
      <w:r>
        <w:rPr>
          <w:rFonts w:hint="eastAsia" w:ascii="宋体" w:hAnsi="宋体"/>
          <w:sz w:val="24"/>
        </w:rPr>
        <w:t>五、本合同发生争议产生的诉讼，由合同签订所在地人民法院管辖。</w:t>
      </w:r>
    </w:p>
    <w:p w14:paraId="368422E5">
      <w:pPr>
        <w:spacing w:line="360" w:lineRule="exact"/>
        <w:ind w:firstLine="480" w:firstLineChars="200"/>
        <w:rPr>
          <w:rFonts w:ascii="宋体" w:hAnsi="宋体"/>
          <w:sz w:val="24"/>
        </w:rPr>
      </w:pPr>
      <w:r>
        <w:rPr>
          <w:rFonts w:hint="eastAsia" w:ascii="宋体" w:hAnsi="宋体"/>
          <w:sz w:val="24"/>
        </w:rPr>
        <w:t>六、本合同壹式叁份，</w:t>
      </w:r>
      <w:r>
        <w:rPr>
          <w:rFonts w:hint="eastAsia" w:ascii="宋体" w:hAnsi="宋体"/>
          <w:sz w:val="24"/>
          <w:lang w:val="en-US" w:eastAsia="zh-CN"/>
        </w:rPr>
        <w:t>甲、乙、</w:t>
      </w:r>
      <w:r>
        <w:rPr>
          <w:rFonts w:hint="eastAsia" w:ascii="宋体" w:hAnsi="宋体"/>
          <w:sz w:val="24"/>
        </w:rPr>
        <w:t>招标机构三方各执壹份，均具同等效力。</w:t>
      </w:r>
    </w:p>
    <w:p w14:paraId="65A3C4C7">
      <w:pPr>
        <w:spacing w:line="360" w:lineRule="exact"/>
        <w:ind w:firstLine="480" w:firstLineChars="200"/>
        <w:rPr>
          <w:rFonts w:ascii="宋体" w:hAnsi="宋体"/>
          <w:sz w:val="24"/>
        </w:rPr>
      </w:pPr>
      <w:r>
        <w:rPr>
          <w:rFonts w:hint="eastAsia" w:ascii="宋体" w:hAnsi="宋体"/>
          <w:sz w:val="24"/>
        </w:rPr>
        <w:t>七、本合同经甲、乙、鉴证三方签字、</w:t>
      </w:r>
      <w:r>
        <w:rPr>
          <w:rFonts w:hint="eastAsia" w:ascii="宋体" w:hAnsi="宋体"/>
          <w:sz w:val="24"/>
          <w:lang w:eastAsia="zh-CN"/>
        </w:rPr>
        <w:t>盖章</w:t>
      </w:r>
      <w:r>
        <w:rPr>
          <w:rFonts w:hint="eastAsia" w:ascii="宋体" w:hAnsi="宋体"/>
          <w:sz w:val="24"/>
        </w:rPr>
        <w:t>后，合同即生效。</w:t>
      </w:r>
    </w:p>
    <w:p w14:paraId="3E5BA062">
      <w:pPr>
        <w:spacing w:line="360" w:lineRule="exact"/>
        <w:ind w:firstLine="480" w:firstLineChars="200"/>
        <w:rPr>
          <w:rFonts w:ascii="宋体" w:hAnsi="宋体"/>
          <w:sz w:val="24"/>
        </w:rPr>
      </w:pPr>
      <w:r>
        <w:rPr>
          <w:rFonts w:hint="eastAsia" w:ascii="宋体" w:hAnsi="宋体"/>
          <w:sz w:val="24"/>
        </w:rPr>
        <w:t>八、甲乙双方应当自成交通知书发出之日起30日内，按照采购文件和成交人响应文件的规定，双方签订书面合同。如超过期限未签合同，应重新招标或顺延下一成交候选人。</w:t>
      </w:r>
    </w:p>
    <w:p w14:paraId="7E85E93B">
      <w:pPr>
        <w:pStyle w:val="18"/>
        <w:rPr>
          <w:rFonts w:ascii="宋体" w:hAnsi="宋体"/>
        </w:rPr>
      </w:pPr>
    </w:p>
    <w:p w14:paraId="1D09979B">
      <w:pPr>
        <w:pStyle w:val="18"/>
        <w:rPr>
          <w:rFonts w:ascii="宋体" w:hAnsi="宋体"/>
        </w:rPr>
      </w:pPr>
    </w:p>
    <w:p w14:paraId="20B952BE">
      <w:pPr>
        <w:spacing w:line="400" w:lineRule="exact"/>
        <w:ind w:firstLine="628" w:firstLineChars="262"/>
        <w:rPr>
          <w:rFonts w:ascii="宋体" w:hAnsi="宋体"/>
          <w:sz w:val="24"/>
        </w:rPr>
      </w:pPr>
      <w:r>
        <w:rPr>
          <w:rFonts w:hint="eastAsia" w:ascii="宋体" w:hAnsi="宋体"/>
          <w:sz w:val="24"/>
        </w:rPr>
        <w:t>附：成交通知书、成交清单</w:t>
      </w:r>
    </w:p>
    <w:p w14:paraId="47BBA1A8">
      <w:pPr>
        <w:spacing w:line="400" w:lineRule="exact"/>
        <w:rPr>
          <w:rFonts w:ascii="宋体" w:hAnsi="宋体"/>
          <w:sz w:val="24"/>
        </w:rPr>
      </w:pPr>
    </w:p>
    <w:p w14:paraId="424E84E4">
      <w:pPr>
        <w:spacing w:line="400" w:lineRule="exact"/>
        <w:rPr>
          <w:rFonts w:ascii="宋体" w:hAnsi="宋体"/>
          <w:sz w:val="24"/>
        </w:rPr>
      </w:pPr>
    </w:p>
    <w:p w14:paraId="78D1F98A">
      <w:pPr>
        <w:spacing w:line="400" w:lineRule="exact"/>
        <w:rPr>
          <w:rFonts w:ascii="宋体" w:hAnsi="宋体"/>
          <w:sz w:val="24"/>
        </w:rPr>
      </w:pPr>
    </w:p>
    <w:p w14:paraId="299B9FB9">
      <w:pPr>
        <w:spacing w:line="400" w:lineRule="exact"/>
        <w:ind w:firstLine="523" w:firstLineChars="218"/>
        <w:rPr>
          <w:rFonts w:ascii="宋体" w:hAnsi="宋体"/>
          <w:sz w:val="24"/>
        </w:rPr>
      </w:pPr>
    </w:p>
    <w:p w14:paraId="2FE4D059">
      <w:pPr>
        <w:spacing w:line="400" w:lineRule="exact"/>
        <w:ind w:firstLine="523" w:firstLineChars="218"/>
        <w:rPr>
          <w:rFonts w:ascii="宋体" w:hAnsi="宋体"/>
          <w:sz w:val="24"/>
        </w:rPr>
      </w:pPr>
      <w:r>
        <w:rPr>
          <w:rFonts w:hint="eastAsia" w:ascii="宋体" w:hAnsi="宋体"/>
          <w:sz w:val="24"/>
        </w:rPr>
        <w:t xml:space="preserve">甲方：                            乙方： </w:t>
      </w:r>
    </w:p>
    <w:p w14:paraId="1ED89449">
      <w:pPr>
        <w:spacing w:line="400" w:lineRule="exact"/>
        <w:ind w:firstLine="523" w:firstLineChars="218"/>
        <w:rPr>
          <w:rFonts w:ascii="宋体" w:hAnsi="宋体"/>
          <w:sz w:val="24"/>
        </w:rPr>
      </w:pPr>
      <w:r>
        <w:rPr>
          <w:rFonts w:hint="eastAsia" w:ascii="宋体" w:hAnsi="宋体"/>
          <w:sz w:val="24"/>
        </w:rPr>
        <w:t>地址：                            地址：</w:t>
      </w:r>
    </w:p>
    <w:p w14:paraId="71DE9431">
      <w:pPr>
        <w:spacing w:line="400" w:lineRule="exact"/>
        <w:ind w:firstLine="523" w:firstLineChars="218"/>
        <w:rPr>
          <w:rFonts w:ascii="宋体" w:hAnsi="宋体"/>
          <w:sz w:val="24"/>
        </w:rPr>
      </w:pPr>
      <w:r>
        <w:rPr>
          <w:rFonts w:hint="eastAsia" w:ascii="宋体" w:hAnsi="宋体"/>
          <w:sz w:val="24"/>
        </w:rPr>
        <w:t>法定代表人：                      法定代表人：</w:t>
      </w:r>
    </w:p>
    <w:p w14:paraId="320E37AE">
      <w:pPr>
        <w:spacing w:line="400" w:lineRule="exact"/>
        <w:ind w:firstLine="523" w:firstLineChars="218"/>
        <w:rPr>
          <w:rFonts w:ascii="宋体" w:hAnsi="宋体"/>
          <w:sz w:val="24"/>
        </w:rPr>
      </w:pPr>
      <w:r>
        <w:rPr>
          <w:rFonts w:hint="eastAsia" w:ascii="宋体" w:hAnsi="宋体"/>
          <w:sz w:val="24"/>
        </w:rPr>
        <w:t>委托代理人：                      委托代理人：</w:t>
      </w:r>
    </w:p>
    <w:p w14:paraId="15DC52DE">
      <w:pPr>
        <w:spacing w:line="400" w:lineRule="exact"/>
        <w:ind w:firstLine="523" w:firstLineChars="218"/>
        <w:rPr>
          <w:rFonts w:ascii="宋体" w:hAnsi="宋体"/>
          <w:sz w:val="24"/>
        </w:rPr>
      </w:pPr>
      <w:r>
        <w:rPr>
          <w:rFonts w:hint="eastAsia"/>
          <w:sz w:val="24"/>
        </w:rPr>
        <w:t>使用单位确认签名：</w:t>
      </w:r>
    </w:p>
    <w:p w14:paraId="50FC8D58">
      <w:pPr>
        <w:spacing w:line="400" w:lineRule="exact"/>
        <w:ind w:firstLine="523" w:firstLineChars="218"/>
        <w:rPr>
          <w:rFonts w:ascii="宋体" w:hAnsi="宋体"/>
          <w:sz w:val="24"/>
        </w:rPr>
      </w:pPr>
      <w:r>
        <w:rPr>
          <w:rFonts w:hint="eastAsia" w:ascii="宋体" w:hAnsi="宋体"/>
          <w:sz w:val="24"/>
        </w:rPr>
        <w:t>电话：                            电话：</w:t>
      </w:r>
    </w:p>
    <w:p w14:paraId="576FCA1E">
      <w:pPr>
        <w:spacing w:line="400" w:lineRule="exact"/>
        <w:ind w:firstLine="523" w:firstLineChars="218"/>
        <w:rPr>
          <w:rFonts w:ascii="宋体" w:hAnsi="宋体"/>
          <w:sz w:val="24"/>
        </w:rPr>
      </w:pPr>
      <w:r>
        <w:rPr>
          <w:rFonts w:hint="eastAsia" w:ascii="宋体" w:hAnsi="宋体"/>
          <w:sz w:val="24"/>
        </w:rPr>
        <w:t xml:space="preserve">开户银行：                        开户银行： </w:t>
      </w:r>
    </w:p>
    <w:p w14:paraId="530E580A">
      <w:pPr>
        <w:spacing w:line="400" w:lineRule="exact"/>
        <w:ind w:firstLine="523" w:firstLineChars="218"/>
        <w:rPr>
          <w:rFonts w:ascii="宋体" w:hAnsi="宋体"/>
          <w:sz w:val="24"/>
        </w:rPr>
      </w:pPr>
      <w:r>
        <w:rPr>
          <w:rFonts w:hint="eastAsia" w:ascii="宋体" w:hAnsi="宋体"/>
          <w:sz w:val="24"/>
          <w:lang w:eastAsia="zh-CN"/>
        </w:rPr>
        <w:t>银行账号</w:t>
      </w:r>
      <w:r>
        <w:rPr>
          <w:rFonts w:hint="eastAsia" w:ascii="宋体" w:hAnsi="宋体"/>
          <w:sz w:val="24"/>
        </w:rPr>
        <w:t xml:space="preserve">：                        </w:t>
      </w:r>
      <w:r>
        <w:rPr>
          <w:rFonts w:hint="eastAsia" w:ascii="宋体" w:hAnsi="宋体"/>
          <w:sz w:val="24"/>
          <w:lang w:eastAsia="zh-CN"/>
        </w:rPr>
        <w:t>银行账号</w:t>
      </w:r>
      <w:r>
        <w:rPr>
          <w:rFonts w:hint="eastAsia" w:ascii="宋体" w:hAnsi="宋体"/>
          <w:sz w:val="24"/>
        </w:rPr>
        <w:t>：</w:t>
      </w:r>
    </w:p>
    <w:p w14:paraId="3C93AA4F">
      <w:pPr>
        <w:spacing w:line="400" w:lineRule="exact"/>
        <w:ind w:firstLine="523" w:firstLineChars="218"/>
        <w:rPr>
          <w:rFonts w:ascii="宋体" w:hAnsi="宋体"/>
          <w:sz w:val="24"/>
        </w:rPr>
      </w:pPr>
      <w:r>
        <w:rPr>
          <w:rFonts w:hint="eastAsia" w:ascii="宋体" w:hAnsi="宋体"/>
          <w:sz w:val="24"/>
        </w:rPr>
        <w:t xml:space="preserve">  年  月  日                        年  月  日</w:t>
      </w:r>
    </w:p>
    <w:p w14:paraId="72B4BBE9">
      <w:pPr>
        <w:spacing w:line="320" w:lineRule="exact"/>
        <w:rPr>
          <w:sz w:val="24"/>
        </w:rPr>
      </w:pPr>
    </w:p>
    <w:p w14:paraId="11CA6BF0">
      <w:pPr>
        <w:spacing w:line="320" w:lineRule="exact"/>
        <w:ind w:left="541" w:leftChars="258"/>
        <w:rPr>
          <w:sz w:val="24"/>
        </w:rPr>
      </w:pPr>
      <w:r>
        <w:rPr>
          <w:rFonts w:hint="eastAsia"/>
          <w:sz w:val="24"/>
        </w:rPr>
        <w:t>招标机构：海南省教学仪器设备招标中心有限公司</w:t>
      </w:r>
    </w:p>
    <w:p w14:paraId="54173761">
      <w:pPr>
        <w:spacing w:line="320" w:lineRule="exact"/>
        <w:ind w:left="541" w:leftChars="258"/>
        <w:rPr>
          <w:rFonts w:ascii="宋体" w:hAnsi="宋体"/>
          <w:sz w:val="24"/>
        </w:rPr>
      </w:pPr>
      <w:r>
        <w:rPr>
          <w:rFonts w:hint="eastAsia" w:ascii="宋体" w:hAnsi="宋体"/>
          <w:sz w:val="24"/>
        </w:rPr>
        <w:t>地  址：</w:t>
      </w:r>
      <w:r>
        <w:rPr>
          <w:rFonts w:ascii="宋体" w:hAnsi="宋体"/>
          <w:sz w:val="24"/>
        </w:rPr>
        <w:t>海口市</w:t>
      </w:r>
      <w:r>
        <w:rPr>
          <w:rFonts w:hint="eastAsia" w:ascii="宋体" w:hAnsi="宋体"/>
          <w:sz w:val="24"/>
        </w:rPr>
        <w:t>蓝天路西2-8</w:t>
      </w:r>
      <w:r>
        <w:rPr>
          <w:rFonts w:ascii="宋体" w:hAnsi="宋体"/>
          <w:sz w:val="24"/>
        </w:rPr>
        <w:t>号</w:t>
      </w:r>
    </w:p>
    <w:p w14:paraId="4397A180">
      <w:pPr>
        <w:spacing w:line="320" w:lineRule="exact"/>
        <w:ind w:left="541" w:leftChars="258"/>
        <w:rPr>
          <w:rFonts w:ascii="宋体" w:hAnsi="宋体"/>
          <w:sz w:val="24"/>
        </w:rPr>
      </w:pPr>
      <w:r>
        <w:rPr>
          <w:rFonts w:hint="eastAsia" w:ascii="宋体" w:hAnsi="宋体"/>
          <w:sz w:val="24"/>
        </w:rPr>
        <w:t>电  话：0898－66757906</w:t>
      </w:r>
    </w:p>
    <w:p w14:paraId="5EEAE095">
      <w:pPr>
        <w:spacing w:line="320" w:lineRule="exact"/>
        <w:ind w:left="541" w:leftChars="258"/>
        <w:rPr>
          <w:rFonts w:ascii="宋体" w:hAnsi="宋体"/>
          <w:sz w:val="24"/>
        </w:rPr>
      </w:pPr>
      <w:r>
        <w:rPr>
          <w:rFonts w:hint="eastAsia" w:ascii="宋体" w:hAnsi="宋体"/>
          <w:sz w:val="24"/>
        </w:rPr>
        <w:t>法定或授权代表：</w:t>
      </w:r>
    </w:p>
    <w:p w14:paraId="14F4B619">
      <w:pPr>
        <w:spacing w:line="320" w:lineRule="exact"/>
        <w:ind w:left="541" w:leftChars="258"/>
        <w:rPr>
          <w:rFonts w:ascii="宋体" w:hAnsi="宋体"/>
          <w:sz w:val="24"/>
        </w:rPr>
      </w:pPr>
      <w:r>
        <w:rPr>
          <w:rFonts w:hint="eastAsia" w:ascii="宋体" w:hAnsi="宋体"/>
          <w:sz w:val="24"/>
        </w:rPr>
        <w:t>日期：  年  月  日</w:t>
      </w:r>
    </w:p>
    <w:p w14:paraId="0E25C776">
      <w:pPr>
        <w:snapToGrid w:val="0"/>
        <w:spacing w:before="19" w:line="340" w:lineRule="exact"/>
        <w:rPr>
          <w:rFonts w:ascii="宋体" w:hAnsi="宋体"/>
          <w:b/>
          <w:szCs w:val="21"/>
        </w:rPr>
      </w:pPr>
    </w:p>
    <w:p w14:paraId="76AB7DB2">
      <w:pPr>
        <w:bidi w:val="0"/>
      </w:pPr>
      <w:r>
        <w:rPr>
          <w:rFonts w:hint="eastAsia"/>
        </w:rPr>
        <w:t>采购代理机构声明：本合同标的经采购代理机构依法定程序采购，合同主要条款内容与招响应文件的内容一致。</w:t>
      </w:r>
    </w:p>
    <w:p w14:paraId="76CAAC5E">
      <w:pPr>
        <w:bidi w:val="0"/>
        <w:rPr>
          <w:rFonts w:hint="eastAsia"/>
          <w:lang w:eastAsia="zh-CN"/>
        </w:rPr>
      </w:pPr>
    </w:p>
    <w:p w14:paraId="5871703C">
      <w:pPr>
        <w:bidi w:val="0"/>
        <w:rPr>
          <w:rFonts w:hint="eastAsia"/>
          <w:lang w:eastAsia="zh-CN"/>
        </w:rPr>
      </w:pPr>
      <w:r>
        <w:rPr>
          <w:rFonts w:hint="eastAsia"/>
          <w:lang w:eastAsia="zh-CN"/>
        </w:rPr>
        <w:br w:type="page"/>
      </w:r>
    </w:p>
    <w:p w14:paraId="52877D83">
      <w:pPr>
        <w:bidi w:val="0"/>
        <w:rPr>
          <w:rFonts w:hint="eastAsia"/>
          <w:lang w:eastAsia="zh-CN"/>
        </w:rPr>
        <w:sectPr>
          <w:pgSz w:w="11906" w:h="16838"/>
          <w:pgMar w:top="1134" w:right="1134" w:bottom="1134" w:left="1134" w:header="851" w:footer="992" w:gutter="0"/>
          <w:cols w:space="720" w:num="1"/>
          <w:docGrid w:type="linesAndChars" w:linePitch="312" w:charSpace="0"/>
        </w:sectPr>
      </w:pPr>
    </w:p>
    <w:p w14:paraId="4986751F">
      <w:pPr>
        <w:snapToGrid w:val="0"/>
        <w:jc w:val="left"/>
        <w:rPr>
          <w:rFonts w:hint="default" w:ascii="宋体" w:hAnsi="宋体" w:eastAsia="宋体"/>
          <w:b/>
          <w:sz w:val="24"/>
          <w:lang w:val="en-US" w:eastAsia="zh-CN"/>
        </w:rPr>
      </w:pPr>
      <w:r>
        <w:rPr>
          <w:rFonts w:hint="eastAsia" w:ascii="宋体" w:hAnsi="宋体"/>
          <w:b/>
          <w:sz w:val="24"/>
          <w:lang w:val="en-US" w:eastAsia="zh-CN"/>
        </w:rPr>
        <w:t>以下合同适用2包：</w:t>
      </w:r>
    </w:p>
    <w:p w14:paraId="39F3D5A2">
      <w:pPr>
        <w:spacing w:line="360" w:lineRule="exact"/>
        <w:ind w:firstLine="480" w:firstLineChars="200"/>
        <w:rPr>
          <w:rFonts w:ascii="宋体" w:hAnsi="宋体"/>
          <w:sz w:val="24"/>
        </w:rPr>
      </w:pPr>
      <w:r>
        <w:rPr>
          <w:rFonts w:hint="eastAsia" w:ascii="宋体" w:hAnsi="宋体"/>
          <w:sz w:val="24"/>
        </w:rPr>
        <w:t>甲方：</w:t>
      </w:r>
    </w:p>
    <w:p w14:paraId="169EF916">
      <w:pPr>
        <w:spacing w:line="360" w:lineRule="exact"/>
        <w:ind w:firstLine="480" w:firstLineChars="200"/>
        <w:rPr>
          <w:rFonts w:ascii="宋体" w:hAnsi="宋体"/>
          <w:sz w:val="24"/>
        </w:rPr>
      </w:pPr>
      <w:r>
        <w:rPr>
          <w:rFonts w:hint="eastAsia" w:ascii="宋体" w:hAnsi="宋体"/>
          <w:sz w:val="24"/>
        </w:rPr>
        <w:t>乙方：</w:t>
      </w:r>
    </w:p>
    <w:p w14:paraId="468E2364">
      <w:pPr>
        <w:spacing w:line="360" w:lineRule="exact"/>
        <w:ind w:left="279" w:leftChars="133" w:firstLine="480" w:firstLineChars="200"/>
        <w:rPr>
          <w:rFonts w:ascii="宋体" w:hAnsi="宋体"/>
          <w:sz w:val="24"/>
        </w:rPr>
      </w:pPr>
    </w:p>
    <w:p w14:paraId="66F22B0E">
      <w:pPr>
        <w:spacing w:line="360" w:lineRule="exact"/>
        <w:ind w:left="279" w:leftChars="133" w:firstLine="480" w:firstLineChars="200"/>
        <w:rPr>
          <w:rFonts w:ascii="宋体" w:hAnsi="宋体"/>
          <w:sz w:val="24"/>
        </w:rPr>
      </w:pPr>
      <w:r>
        <w:rPr>
          <w:rFonts w:hint="eastAsia" w:ascii="宋体" w:hAnsi="宋体"/>
          <w:sz w:val="24"/>
        </w:rPr>
        <w:t>甲乙双方根据</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年月  日</w:t>
      </w:r>
      <w:r>
        <w:rPr>
          <w:rFonts w:hint="eastAsia" w:ascii="宋体" w:hAnsi="宋体"/>
          <w:bCs/>
          <w:sz w:val="24"/>
        </w:rPr>
        <w:t>202</w:t>
      </w:r>
      <w:r>
        <w:rPr>
          <w:rFonts w:hint="eastAsia" w:ascii="宋体" w:hAnsi="宋体"/>
          <w:bCs/>
          <w:sz w:val="24"/>
          <w:lang w:val="en-US" w:eastAsia="zh-CN"/>
        </w:rPr>
        <w:t>5</w:t>
      </w:r>
      <w:r>
        <w:rPr>
          <w:rFonts w:hint="eastAsia" w:ascii="宋体" w:hAnsi="宋体"/>
          <w:bCs/>
          <w:sz w:val="24"/>
        </w:rPr>
        <w:t>年               项目</w:t>
      </w:r>
      <w:r>
        <w:rPr>
          <w:rFonts w:hint="eastAsia" w:ascii="宋体" w:hAnsi="宋体"/>
          <w:sz w:val="24"/>
        </w:rPr>
        <w:t>（</w:t>
      </w:r>
      <w:r>
        <w:rPr>
          <w:rFonts w:hint="eastAsia" w:ascii="宋体" w:hAnsi="宋体"/>
          <w:sz w:val="24"/>
          <w:lang w:val="en-US" w:eastAsia="zh-CN"/>
        </w:rPr>
        <w:t>项目</w:t>
      </w:r>
      <w:r>
        <w:rPr>
          <w:rFonts w:hint="eastAsia" w:ascii="宋体" w:hAnsi="宋体"/>
          <w:sz w:val="24"/>
        </w:rPr>
        <w:t>编号）</w:t>
      </w:r>
      <w:r>
        <w:rPr>
          <w:rFonts w:hint="eastAsia" w:ascii="宋体" w:hAnsi="宋体"/>
          <w:bCs/>
          <w:sz w:val="24"/>
        </w:rPr>
        <w:t>招标</w:t>
      </w:r>
      <w:r>
        <w:rPr>
          <w:rFonts w:hint="eastAsia" w:ascii="宋体" w:hAnsi="宋体"/>
          <w:sz w:val="24"/>
        </w:rPr>
        <w:t>采购评标的结果和“采购文件”的要求，并经双方协调一致，达成购销合同：</w:t>
      </w:r>
    </w:p>
    <w:p w14:paraId="2DD6AE14">
      <w:pPr>
        <w:spacing w:line="360" w:lineRule="exact"/>
        <w:ind w:firstLine="480" w:firstLineChars="200"/>
        <w:rPr>
          <w:rFonts w:ascii="宋体" w:hAnsi="宋体"/>
          <w:sz w:val="24"/>
        </w:rPr>
      </w:pPr>
    </w:p>
    <w:p w14:paraId="673895C5">
      <w:pPr>
        <w:spacing w:line="360" w:lineRule="exact"/>
        <w:ind w:firstLine="480" w:firstLineChars="200"/>
        <w:rPr>
          <w:rFonts w:ascii="宋体" w:hAnsi="宋体"/>
          <w:sz w:val="24"/>
        </w:rPr>
      </w:pPr>
      <w:r>
        <w:rPr>
          <w:rFonts w:hint="eastAsia" w:ascii="宋体" w:hAnsi="宋体"/>
          <w:sz w:val="24"/>
        </w:rPr>
        <w:t>一、合同文件</w:t>
      </w:r>
    </w:p>
    <w:p w14:paraId="04FD2DEC">
      <w:pPr>
        <w:spacing w:line="360" w:lineRule="exact"/>
        <w:ind w:firstLine="960" w:firstLineChars="400"/>
        <w:rPr>
          <w:rFonts w:ascii="宋体" w:hAnsi="宋体"/>
          <w:sz w:val="24"/>
        </w:rPr>
      </w:pPr>
      <w:r>
        <w:rPr>
          <w:rFonts w:hint="eastAsia" w:ascii="宋体" w:hAnsi="宋体"/>
          <w:sz w:val="24"/>
        </w:rPr>
        <w:t>本合同所附下列文件是构成本合同不可分割的部分：</w:t>
      </w:r>
    </w:p>
    <w:p w14:paraId="24A7A19E">
      <w:pPr>
        <w:spacing w:line="360" w:lineRule="exact"/>
        <w:ind w:firstLine="960" w:firstLineChars="400"/>
        <w:rPr>
          <w:rFonts w:ascii="宋体" w:hAnsi="宋体"/>
          <w:sz w:val="24"/>
        </w:rPr>
      </w:pPr>
      <w:r>
        <w:rPr>
          <w:rFonts w:hint="eastAsia" w:ascii="宋体" w:hAnsi="宋体"/>
          <w:sz w:val="24"/>
        </w:rPr>
        <w:t>采购文件合同条款</w:t>
      </w:r>
    </w:p>
    <w:p w14:paraId="206B7556">
      <w:pPr>
        <w:spacing w:line="360" w:lineRule="exact"/>
        <w:ind w:firstLine="960" w:firstLineChars="400"/>
        <w:rPr>
          <w:rFonts w:ascii="宋体" w:hAnsi="宋体"/>
          <w:sz w:val="24"/>
        </w:rPr>
      </w:pPr>
      <w:r>
        <w:rPr>
          <w:rFonts w:hint="eastAsia" w:ascii="宋体" w:hAnsi="宋体"/>
          <w:sz w:val="24"/>
          <w:lang w:eastAsia="zh-CN"/>
        </w:rPr>
        <w:t>供应商</w:t>
      </w:r>
      <w:r>
        <w:rPr>
          <w:rFonts w:hint="eastAsia" w:ascii="宋体" w:hAnsi="宋体"/>
          <w:sz w:val="24"/>
        </w:rPr>
        <w:t>提交的投标函和投标报价表</w:t>
      </w:r>
    </w:p>
    <w:p w14:paraId="7AA3E71D">
      <w:pPr>
        <w:spacing w:line="360" w:lineRule="exact"/>
        <w:ind w:firstLine="960" w:firstLineChars="400"/>
        <w:rPr>
          <w:rFonts w:ascii="宋体" w:hAnsi="宋体"/>
          <w:sz w:val="24"/>
        </w:rPr>
      </w:pPr>
      <w:r>
        <w:rPr>
          <w:rFonts w:hint="eastAsia" w:ascii="宋体" w:hAnsi="宋体"/>
          <w:sz w:val="24"/>
        </w:rPr>
        <w:t>招标采购成交品目清单</w:t>
      </w:r>
    </w:p>
    <w:p w14:paraId="757A32C4">
      <w:pPr>
        <w:spacing w:line="360" w:lineRule="exact"/>
        <w:ind w:firstLine="960" w:firstLineChars="400"/>
        <w:rPr>
          <w:rFonts w:ascii="宋体" w:hAnsi="宋体"/>
          <w:sz w:val="24"/>
        </w:rPr>
      </w:pPr>
      <w:r>
        <w:rPr>
          <w:rFonts w:hint="eastAsia" w:ascii="宋体" w:hAnsi="宋体"/>
          <w:sz w:val="24"/>
        </w:rPr>
        <w:t>服务要求</w:t>
      </w:r>
    </w:p>
    <w:p w14:paraId="56E92384">
      <w:pPr>
        <w:spacing w:line="360" w:lineRule="exact"/>
        <w:ind w:firstLine="960" w:firstLineChars="400"/>
        <w:rPr>
          <w:rFonts w:ascii="宋体" w:hAnsi="宋体"/>
          <w:sz w:val="24"/>
        </w:rPr>
      </w:pPr>
      <w:r>
        <w:rPr>
          <w:rFonts w:hint="eastAsia" w:ascii="宋体" w:hAnsi="宋体"/>
          <w:sz w:val="24"/>
        </w:rPr>
        <w:t>规格响应表（如果有的话）</w:t>
      </w:r>
    </w:p>
    <w:p w14:paraId="15C98864">
      <w:pPr>
        <w:spacing w:line="360" w:lineRule="exact"/>
        <w:ind w:firstLine="960" w:firstLineChars="400"/>
        <w:rPr>
          <w:rFonts w:ascii="宋体" w:hAnsi="宋体"/>
          <w:sz w:val="24"/>
        </w:rPr>
      </w:pPr>
      <w:r>
        <w:rPr>
          <w:rFonts w:hint="eastAsia" w:ascii="宋体" w:hAnsi="宋体"/>
          <w:sz w:val="24"/>
        </w:rPr>
        <w:t>成交通知书</w:t>
      </w:r>
    </w:p>
    <w:p w14:paraId="623F09E8">
      <w:pPr>
        <w:spacing w:line="360" w:lineRule="exact"/>
        <w:ind w:firstLine="480" w:firstLineChars="200"/>
        <w:rPr>
          <w:rFonts w:ascii="宋体" w:hAnsi="宋体"/>
          <w:sz w:val="24"/>
        </w:rPr>
      </w:pPr>
    </w:p>
    <w:p w14:paraId="323D4C86">
      <w:pPr>
        <w:spacing w:line="360" w:lineRule="exact"/>
        <w:ind w:firstLine="480" w:firstLineChars="200"/>
        <w:rPr>
          <w:rFonts w:ascii="宋体" w:hAnsi="宋体"/>
          <w:sz w:val="24"/>
        </w:rPr>
      </w:pPr>
      <w:r>
        <w:rPr>
          <w:rFonts w:hint="eastAsia" w:ascii="宋体" w:hAnsi="宋体"/>
          <w:sz w:val="24"/>
        </w:rPr>
        <w:t>二、服务内容：</w:t>
      </w:r>
    </w:p>
    <w:p w14:paraId="3F6F1A21">
      <w:pPr>
        <w:spacing w:line="360" w:lineRule="exact"/>
        <w:ind w:firstLine="480" w:firstLineChars="200"/>
        <w:rPr>
          <w:rFonts w:ascii="宋体" w:hAnsi="宋体"/>
          <w:sz w:val="24"/>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4536"/>
        <w:gridCol w:w="1612"/>
        <w:gridCol w:w="2464"/>
      </w:tblGrid>
      <w:tr w14:paraId="1FF95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ign w:val="center"/>
          </w:tcPr>
          <w:p w14:paraId="6EF7FD27">
            <w:pPr>
              <w:spacing w:line="360" w:lineRule="exact"/>
              <w:jc w:val="center"/>
              <w:rPr>
                <w:rFonts w:ascii="宋体" w:hAnsi="宋体"/>
                <w:sz w:val="24"/>
              </w:rPr>
            </w:pPr>
            <w:r>
              <w:rPr>
                <w:rFonts w:hint="eastAsia" w:ascii="宋体" w:hAnsi="宋体"/>
                <w:sz w:val="24"/>
              </w:rPr>
              <w:t>序号</w:t>
            </w:r>
          </w:p>
        </w:tc>
        <w:tc>
          <w:tcPr>
            <w:tcW w:w="4536" w:type="dxa"/>
            <w:noWrap/>
            <w:vAlign w:val="center"/>
          </w:tcPr>
          <w:p w14:paraId="2855A42A">
            <w:pPr>
              <w:spacing w:line="360" w:lineRule="exact"/>
              <w:jc w:val="center"/>
              <w:rPr>
                <w:rFonts w:ascii="宋体" w:hAnsi="宋体"/>
                <w:sz w:val="24"/>
              </w:rPr>
            </w:pPr>
            <w:r>
              <w:rPr>
                <w:rFonts w:hint="eastAsia" w:ascii="宋体" w:hAnsi="宋体"/>
                <w:sz w:val="24"/>
              </w:rPr>
              <w:t>项目名称</w:t>
            </w:r>
          </w:p>
        </w:tc>
        <w:tc>
          <w:tcPr>
            <w:tcW w:w="1612" w:type="dxa"/>
            <w:noWrap/>
            <w:vAlign w:val="center"/>
          </w:tcPr>
          <w:p w14:paraId="5C31DFF8">
            <w:pPr>
              <w:spacing w:line="360" w:lineRule="exact"/>
              <w:jc w:val="center"/>
              <w:rPr>
                <w:rFonts w:ascii="宋体" w:hAnsi="宋体"/>
                <w:sz w:val="24"/>
              </w:rPr>
            </w:pPr>
            <w:r>
              <w:rPr>
                <w:rFonts w:hint="eastAsia" w:ascii="宋体" w:hAnsi="宋体"/>
                <w:sz w:val="24"/>
              </w:rPr>
              <w:t>金额</w:t>
            </w:r>
          </w:p>
        </w:tc>
        <w:tc>
          <w:tcPr>
            <w:tcW w:w="2464" w:type="dxa"/>
            <w:noWrap/>
            <w:vAlign w:val="center"/>
          </w:tcPr>
          <w:p w14:paraId="65CC5B1B">
            <w:pPr>
              <w:spacing w:line="360" w:lineRule="exact"/>
              <w:jc w:val="center"/>
              <w:rPr>
                <w:rFonts w:ascii="宋体" w:hAnsi="宋体"/>
                <w:sz w:val="24"/>
              </w:rPr>
            </w:pPr>
            <w:r>
              <w:rPr>
                <w:rFonts w:hint="eastAsia" w:ascii="宋体" w:hAnsi="宋体"/>
                <w:sz w:val="24"/>
              </w:rPr>
              <w:t>服务期限</w:t>
            </w:r>
          </w:p>
        </w:tc>
      </w:tr>
      <w:tr w14:paraId="28A75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693B4C92">
            <w:pPr>
              <w:spacing w:line="360" w:lineRule="exact"/>
              <w:rPr>
                <w:rFonts w:ascii="宋体" w:hAnsi="宋体"/>
                <w:sz w:val="24"/>
              </w:rPr>
            </w:pPr>
          </w:p>
        </w:tc>
        <w:tc>
          <w:tcPr>
            <w:tcW w:w="4536" w:type="dxa"/>
            <w:noWrap/>
          </w:tcPr>
          <w:p w14:paraId="574197BD">
            <w:pPr>
              <w:spacing w:line="360" w:lineRule="exact"/>
              <w:rPr>
                <w:rFonts w:ascii="宋体" w:hAnsi="宋体"/>
                <w:sz w:val="24"/>
              </w:rPr>
            </w:pPr>
          </w:p>
        </w:tc>
        <w:tc>
          <w:tcPr>
            <w:tcW w:w="1612" w:type="dxa"/>
            <w:noWrap/>
          </w:tcPr>
          <w:p w14:paraId="5152C151">
            <w:pPr>
              <w:spacing w:line="360" w:lineRule="exact"/>
              <w:rPr>
                <w:rFonts w:ascii="宋体" w:hAnsi="宋体"/>
                <w:sz w:val="24"/>
              </w:rPr>
            </w:pPr>
          </w:p>
        </w:tc>
        <w:tc>
          <w:tcPr>
            <w:tcW w:w="2464" w:type="dxa"/>
            <w:noWrap/>
          </w:tcPr>
          <w:p w14:paraId="68219136">
            <w:pPr>
              <w:spacing w:line="360" w:lineRule="exact"/>
              <w:rPr>
                <w:rFonts w:ascii="宋体" w:hAnsi="宋体"/>
                <w:sz w:val="24"/>
              </w:rPr>
            </w:pPr>
          </w:p>
        </w:tc>
      </w:tr>
      <w:tr w14:paraId="35084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6F805C8A">
            <w:pPr>
              <w:spacing w:line="360" w:lineRule="exact"/>
              <w:rPr>
                <w:rFonts w:ascii="宋体" w:hAnsi="宋体"/>
                <w:sz w:val="24"/>
              </w:rPr>
            </w:pPr>
          </w:p>
        </w:tc>
        <w:tc>
          <w:tcPr>
            <w:tcW w:w="4536" w:type="dxa"/>
            <w:noWrap/>
          </w:tcPr>
          <w:p w14:paraId="3C53034A">
            <w:pPr>
              <w:spacing w:line="360" w:lineRule="exact"/>
              <w:rPr>
                <w:rFonts w:ascii="宋体" w:hAnsi="宋体"/>
                <w:sz w:val="24"/>
              </w:rPr>
            </w:pPr>
            <w:r>
              <w:rPr>
                <w:rFonts w:hint="eastAsia" w:ascii="宋体" w:hAnsi="宋体"/>
                <w:sz w:val="24"/>
              </w:rPr>
              <w:t>合计</w:t>
            </w:r>
          </w:p>
        </w:tc>
        <w:tc>
          <w:tcPr>
            <w:tcW w:w="4076" w:type="dxa"/>
            <w:gridSpan w:val="2"/>
            <w:noWrap/>
          </w:tcPr>
          <w:p w14:paraId="2183DDAB">
            <w:pPr>
              <w:spacing w:line="360" w:lineRule="exact"/>
              <w:rPr>
                <w:rFonts w:ascii="宋体" w:hAnsi="宋体"/>
                <w:sz w:val="24"/>
              </w:rPr>
            </w:pPr>
          </w:p>
        </w:tc>
      </w:tr>
      <w:tr w14:paraId="4E8FC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4"/>
            <w:noWrap/>
          </w:tcPr>
          <w:p w14:paraId="1D199CBD">
            <w:pPr>
              <w:spacing w:line="360" w:lineRule="exact"/>
              <w:rPr>
                <w:rFonts w:ascii="宋体" w:hAnsi="宋体"/>
                <w:sz w:val="24"/>
              </w:rPr>
            </w:pPr>
            <w:r>
              <w:rPr>
                <w:rFonts w:hint="eastAsia" w:ascii="宋体" w:hAnsi="宋体"/>
                <w:sz w:val="24"/>
              </w:rPr>
              <w:t>项目地点：</w:t>
            </w:r>
          </w:p>
          <w:p w14:paraId="2BAB7DCF">
            <w:pPr>
              <w:spacing w:line="360" w:lineRule="exact"/>
              <w:rPr>
                <w:rFonts w:ascii="宋体" w:hAnsi="宋体"/>
                <w:sz w:val="24"/>
              </w:rPr>
            </w:pPr>
            <w:r>
              <w:rPr>
                <w:rFonts w:hint="eastAsia" w:ascii="宋体" w:hAnsi="宋体"/>
                <w:sz w:val="24"/>
              </w:rPr>
              <w:t>投标报价总计：</w:t>
            </w:r>
          </w:p>
          <w:p w14:paraId="4F5E5F76">
            <w:pPr>
              <w:spacing w:line="360" w:lineRule="exact"/>
              <w:rPr>
                <w:rFonts w:ascii="宋体" w:hAnsi="宋体"/>
                <w:sz w:val="24"/>
              </w:rPr>
            </w:pPr>
            <w:r>
              <w:rPr>
                <w:rFonts w:hint="eastAsia" w:ascii="宋体" w:hAnsi="宋体"/>
                <w:sz w:val="24"/>
              </w:rPr>
              <w:t>大写：</w:t>
            </w:r>
          </w:p>
        </w:tc>
      </w:tr>
    </w:tbl>
    <w:p w14:paraId="7C334329">
      <w:pPr>
        <w:numPr>
          <w:ilvl w:val="0"/>
          <w:numId w:val="4"/>
        </w:numPr>
        <w:spacing w:line="3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付款时间、方式及条件：</w:t>
      </w:r>
    </w:p>
    <w:p w14:paraId="6668BE52">
      <w:pPr>
        <w:spacing w:line="360" w:lineRule="exact"/>
        <w:ind w:firstLine="480" w:firstLineChars="200"/>
        <w:rPr>
          <w:rFonts w:hint="eastAsia" w:asciiTheme="minorEastAsia" w:hAnsiTheme="minorEastAsia" w:eastAsiaTheme="minorEastAsia"/>
          <w:sz w:val="24"/>
          <w:lang w:val="en"/>
        </w:rPr>
      </w:pPr>
      <w:r>
        <w:rPr>
          <w:rFonts w:hint="eastAsia" w:asciiTheme="minorEastAsia" w:hAnsiTheme="minorEastAsia" w:eastAsiaTheme="minorEastAsia"/>
          <w:sz w:val="24"/>
          <w:lang w:val="en"/>
        </w:rPr>
        <w:t>本项目合同签订后，甲方凭乙方开具的正式有效发票，在10个工作日内向乙方支付合同总金额的</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lang w:val="en"/>
        </w:rPr>
        <w:t>0%的首付款。</w:t>
      </w:r>
    </w:p>
    <w:p w14:paraId="51E17673">
      <w:pPr>
        <w:spacing w:line="360" w:lineRule="exact"/>
        <w:ind w:firstLine="480" w:firstLineChars="200"/>
        <w:rPr>
          <w:rFonts w:hint="eastAsia" w:asciiTheme="minorEastAsia" w:hAnsiTheme="minorEastAsia" w:eastAsiaTheme="minorEastAsia"/>
          <w:sz w:val="24"/>
          <w:lang w:val="en"/>
        </w:rPr>
      </w:pPr>
      <w:r>
        <w:rPr>
          <w:rFonts w:hint="eastAsia" w:asciiTheme="minorEastAsia" w:hAnsiTheme="minorEastAsia" w:eastAsiaTheme="minorEastAsia"/>
          <w:sz w:val="24"/>
          <w:lang w:val="en"/>
        </w:rPr>
        <w:t>乙方完成系统的商用密码应用安全性评估，并指导相应系统承建方完成整改，甲方验收合格后，凭乙方开具的正式有效发票和评估报告等相关材料，在10个工作日内向乙方支付</w:t>
      </w:r>
      <w:r>
        <w:rPr>
          <w:rFonts w:hint="eastAsia" w:asciiTheme="minorEastAsia" w:hAnsiTheme="minorEastAsia" w:eastAsiaTheme="minorEastAsia"/>
          <w:sz w:val="24"/>
          <w:lang w:val="en-US" w:eastAsia="zh-CN"/>
        </w:rPr>
        <w:t>5</w:t>
      </w:r>
      <w:r>
        <w:rPr>
          <w:rFonts w:hint="eastAsia" w:asciiTheme="minorEastAsia" w:hAnsiTheme="minorEastAsia" w:eastAsiaTheme="minorEastAsia"/>
          <w:sz w:val="24"/>
          <w:lang w:val="en"/>
        </w:rPr>
        <w:t>0%的尾款。若甲方年底封账，延迟至下一年经费重新下达后支付。</w:t>
      </w:r>
    </w:p>
    <w:p w14:paraId="072DB23A">
      <w:pPr>
        <w:spacing w:line="360" w:lineRule="exact"/>
        <w:ind w:firstLine="480" w:firstLineChars="200"/>
        <w:rPr>
          <w:rFonts w:ascii="宋体" w:hAnsi="宋体"/>
          <w:sz w:val="24"/>
        </w:rPr>
      </w:pPr>
      <w:r>
        <w:rPr>
          <w:rFonts w:hint="eastAsia" w:ascii="宋体" w:hAnsi="宋体"/>
          <w:sz w:val="24"/>
        </w:rPr>
        <w:t>四、违约责任：按《中华人民共和国民法典》执行。</w:t>
      </w:r>
    </w:p>
    <w:p w14:paraId="5FA9E6D9">
      <w:pPr>
        <w:spacing w:line="360" w:lineRule="exact"/>
        <w:ind w:firstLine="480" w:firstLineChars="200"/>
        <w:rPr>
          <w:rFonts w:ascii="宋体" w:hAnsi="宋体"/>
          <w:sz w:val="24"/>
        </w:rPr>
      </w:pPr>
      <w:r>
        <w:rPr>
          <w:rFonts w:hint="eastAsia" w:ascii="宋体" w:hAnsi="宋体"/>
          <w:sz w:val="24"/>
        </w:rPr>
        <w:t>五、本合同发生争议产生的诉讼，由合同签订所在地人民法院管辖。</w:t>
      </w:r>
    </w:p>
    <w:p w14:paraId="610F6515">
      <w:pPr>
        <w:spacing w:line="360" w:lineRule="exact"/>
        <w:ind w:firstLine="480" w:firstLineChars="200"/>
        <w:rPr>
          <w:rFonts w:ascii="宋体" w:hAnsi="宋体"/>
          <w:sz w:val="24"/>
        </w:rPr>
      </w:pPr>
      <w:r>
        <w:rPr>
          <w:rFonts w:hint="eastAsia" w:ascii="宋体" w:hAnsi="宋体"/>
          <w:sz w:val="24"/>
        </w:rPr>
        <w:t>六、本合同壹式叁份，</w:t>
      </w:r>
      <w:r>
        <w:rPr>
          <w:rFonts w:hint="eastAsia" w:ascii="宋体" w:hAnsi="宋体"/>
          <w:sz w:val="24"/>
          <w:lang w:val="en-US" w:eastAsia="zh-CN"/>
        </w:rPr>
        <w:t>甲、乙、</w:t>
      </w:r>
      <w:r>
        <w:rPr>
          <w:rFonts w:hint="eastAsia" w:ascii="宋体" w:hAnsi="宋体"/>
          <w:sz w:val="24"/>
        </w:rPr>
        <w:t>招标机构三方各执壹份，均具同等效力。</w:t>
      </w:r>
    </w:p>
    <w:p w14:paraId="4F20511D">
      <w:pPr>
        <w:spacing w:line="360" w:lineRule="exact"/>
        <w:ind w:firstLine="480" w:firstLineChars="200"/>
        <w:rPr>
          <w:rFonts w:ascii="宋体" w:hAnsi="宋体"/>
          <w:sz w:val="24"/>
        </w:rPr>
      </w:pPr>
      <w:r>
        <w:rPr>
          <w:rFonts w:hint="eastAsia" w:ascii="宋体" w:hAnsi="宋体"/>
          <w:sz w:val="24"/>
        </w:rPr>
        <w:t>七、本合同经甲、乙、鉴证三方签字、</w:t>
      </w:r>
      <w:r>
        <w:rPr>
          <w:rFonts w:hint="eastAsia" w:ascii="宋体" w:hAnsi="宋体"/>
          <w:sz w:val="24"/>
          <w:lang w:eastAsia="zh-CN"/>
        </w:rPr>
        <w:t>盖章</w:t>
      </w:r>
      <w:r>
        <w:rPr>
          <w:rFonts w:hint="eastAsia" w:ascii="宋体" w:hAnsi="宋体"/>
          <w:sz w:val="24"/>
        </w:rPr>
        <w:t>后，合同即生效。</w:t>
      </w:r>
    </w:p>
    <w:p w14:paraId="1033BCC9">
      <w:pPr>
        <w:spacing w:line="360" w:lineRule="exact"/>
        <w:ind w:firstLine="480" w:firstLineChars="200"/>
        <w:rPr>
          <w:rFonts w:ascii="宋体" w:hAnsi="宋体"/>
          <w:sz w:val="24"/>
        </w:rPr>
      </w:pPr>
      <w:r>
        <w:rPr>
          <w:rFonts w:hint="eastAsia" w:ascii="宋体" w:hAnsi="宋体"/>
          <w:sz w:val="24"/>
        </w:rPr>
        <w:t>八、甲乙双方应当自成交通知书发出之日起30日内，按照采购文件和成交人响应文件的规定，双方签订书面合同。如超过期限未签合同，应重新招标或顺延下一成交候选人。</w:t>
      </w:r>
    </w:p>
    <w:p w14:paraId="12176C56">
      <w:pPr>
        <w:pStyle w:val="18"/>
        <w:rPr>
          <w:rFonts w:ascii="宋体" w:hAnsi="宋体"/>
        </w:rPr>
      </w:pPr>
    </w:p>
    <w:p w14:paraId="640CD562">
      <w:pPr>
        <w:pStyle w:val="18"/>
        <w:rPr>
          <w:rFonts w:ascii="宋体" w:hAnsi="宋体"/>
        </w:rPr>
      </w:pPr>
    </w:p>
    <w:p w14:paraId="1FC83EDF">
      <w:pPr>
        <w:spacing w:line="400" w:lineRule="exact"/>
        <w:ind w:firstLine="628" w:firstLineChars="262"/>
        <w:rPr>
          <w:rFonts w:ascii="宋体" w:hAnsi="宋体"/>
          <w:sz w:val="24"/>
        </w:rPr>
      </w:pPr>
      <w:r>
        <w:rPr>
          <w:rFonts w:hint="eastAsia" w:ascii="宋体" w:hAnsi="宋体"/>
          <w:sz w:val="24"/>
        </w:rPr>
        <w:t>附：成交通知书、成交清单</w:t>
      </w:r>
    </w:p>
    <w:p w14:paraId="18D024CD">
      <w:pPr>
        <w:spacing w:line="400" w:lineRule="exact"/>
        <w:rPr>
          <w:rFonts w:ascii="宋体" w:hAnsi="宋体"/>
          <w:sz w:val="24"/>
        </w:rPr>
      </w:pPr>
    </w:p>
    <w:p w14:paraId="0618DC0D">
      <w:pPr>
        <w:spacing w:line="400" w:lineRule="exact"/>
        <w:rPr>
          <w:rFonts w:ascii="宋体" w:hAnsi="宋体"/>
          <w:sz w:val="24"/>
        </w:rPr>
      </w:pPr>
    </w:p>
    <w:p w14:paraId="3BC735E4">
      <w:pPr>
        <w:spacing w:line="400" w:lineRule="exact"/>
        <w:rPr>
          <w:rFonts w:ascii="宋体" w:hAnsi="宋体"/>
          <w:sz w:val="24"/>
        </w:rPr>
      </w:pPr>
    </w:p>
    <w:p w14:paraId="6A75C362">
      <w:pPr>
        <w:spacing w:line="400" w:lineRule="exact"/>
        <w:ind w:firstLine="523" w:firstLineChars="218"/>
        <w:rPr>
          <w:rFonts w:ascii="宋体" w:hAnsi="宋体"/>
          <w:sz w:val="24"/>
        </w:rPr>
      </w:pPr>
    </w:p>
    <w:p w14:paraId="53E75246">
      <w:pPr>
        <w:spacing w:line="400" w:lineRule="exact"/>
        <w:ind w:firstLine="523" w:firstLineChars="218"/>
        <w:rPr>
          <w:rFonts w:ascii="宋体" w:hAnsi="宋体"/>
          <w:sz w:val="24"/>
        </w:rPr>
      </w:pPr>
      <w:r>
        <w:rPr>
          <w:rFonts w:hint="eastAsia" w:ascii="宋体" w:hAnsi="宋体"/>
          <w:sz w:val="24"/>
        </w:rPr>
        <w:t xml:space="preserve">甲方：                            乙方： </w:t>
      </w:r>
    </w:p>
    <w:p w14:paraId="3062B2B9">
      <w:pPr>
        <w:spacing w:line="400" w:lineRule="exact"/>
        <w:ind w:firstLine="523" w:firstLineChars="218"/>
        <w:rPr>
          <w:rFonts w:ascii="宋体" w:hAnsi="宋体"/>
          <w:sz w:val="24"/>
        </w:rPr>
      </w:pPr>
      <w:r>
        <w:rPr>
          <w:rFonts w:hint="eastAsia" w:ascii="宋体" w:hAnsi="宋体"/>
          <w:sz w:val="24"/>
        </w:rPr>
        <w:t>地址：                            地址：</w:t>
      </w:r>
    </w:p>
    <w:p w14:paraId="322F15D7">
      <w:pPr>
        <w:spacing w:line="400" w:lineRule="exact"/>
        <w:ind w:firstLine="523" w:firstLineChars="218"/>
        <w:rPr>
          <w:rFonts w:ascii="宋体" w:hAnsi="宋体"/>
          <w:sz w:val="24"/>
        </w:rPr>
      </w:pPr>
      <w:r>
        <w:rPr>
          <w:rFonts w:hint="eastAsia" w:ascii="宋体" w:hAnsi="宋体"/>
          <w:sz w:val="24"/>
        </w:rPr>
        <w:t>法定代表人：                      法定代表人：</w:t>
      </w:r>
    </w:p>
    <w:p w14:paraId="054676D0">
      <w:pPr>
        <w:spacing w:line="400" w:lineRule="exact"/>
        <w:ind w:firstLine="523" w:firstLineChars="218"/>
        <w:rPr>
          <w:rFonts w:ascii="宋体" w:hAnsi="宋体"/>
          <w:sz w:val="24"/>
        </w:rPr>
      </w:pPr>
      <w:r>
        <w:rPr>
          <w:rFonts w:hint="eastAsia" w:ascii="宋体" w:hAnsi="宋体"/>
          <w:sz w:val="24"/>
        </w:rPr>
        <w:t>委托代理人：                      委托代理人：</w:t>
      </w:r>
    </w:p>
    <w:p w14:paraId="1EB7BCCA">
      <w:pPr>
        <w:spacing w:line="400" w:lineRule="exact"/>
        <w:ind w:firstLine="523" w:firstLineChars="218"/>
        <w:rPr>
          <w:rFonts w:ascii="宋体" w:hAnsi="宋体"/>
          <w:sz w:val="24"/>
        </w:rPr>
      </w:pPr>
      <w:r>
        <w:rPr>
          <w:rFonts w:hint="eastAsia"/>
          <w:sz w:val="24"/>
        </w:rPr>
        <w:t>使用单位确认签名：</w:t>
      </w:r>
    </w:p>
    <w:p w14:paraId="74EBAB1D">
      <w:pPr>
        <w:spacing w:line="400" w:lineRule="exact"/>
        <w:ind w:firstLine="523" w:firstLineChars="218"/>
        <w:rPr>
          <w:rFonts w:ascii="宋体" w:hAnsi="宋体"/>
          <w:sz w:val="24"/>
        </w:rPr>
      </w:pPr>
      <w:r>
        <w:rPr>
          <w:rFonts w:hint="eastAsia" w:ascii="宋体" w:hAnsi="宋体"/>
          <w:sz w:val="24"/>
        </w:rPr>
        <w:t>电话：                            电话：</w:t>
      </w:r>
    </w:p>
    <w:p w14:paraId="00A67A4F">
      <w:pPr>
        <w:spacing w:line="400" w:lineRule="exact"/>
        <w:ind w:firstLine="523" w:firstLineChars="218"/>
        <w:rPr>
          <w:rFonts w:ascii="宋体" w:hAnsi="宋体"/>
          <w:sz w:val="24"/>
        </w:rPr>
      </w:pPr>
      <w:r>
        <w:rPr>
          <w:rFonts w:hint="eastAsia" w:ascii="宋体" w:hAnsi="宋体"/>
          <w:sz w:val="24"/>
        </w:rPr>
        <w:t xml:space="preserve">开户银行：                        开户银行： </w:t>
      </w:r>
    </w:p>
    <w:p w14:paraId="1DFC2A6F">
      <w:pPr>
        <w:spacing w:line="400" w:lineRule="exact"/>
        <w:ind w:firstLine="523" w:firstLineChars="218"/>
        <w:rPr>
          <w:rFonts w:ascii="宋体" w:hAnsi="宋体"/>
          <w:sz w:val="24"/>
        </w:rPr>
      </w:pPr>
      <w:r>
        <w:rPr>
          <w:rFonts w:hint="eastAsia" w:ascii="宋体" w:hAnsi="宋体"/>
          <w:sz w:val="24"/>
          <w:lang w:eastAsia="zh-CN"/>
        </w:rPr>
        <w:t>银行账号</w:t>
      </w:r>
      <w:r>
        <w:rPr>
          <w:rFonts w:hint="eastAsia" w:ascii="宋体" w:hAnsi="宋体"/>
          <w:sz w:val="24"/>
        </w:rPr>
        <w:t xml:space="preserve">：                        </w:t>
      </w:r>
      <w:r>
        <w:rPr>
          <w:rFonts w:hint="eastAsia" w:ascii="宋体" w:hAnsi="宋体"/>
          <w:sz w:val="24"/>
          <w:lang w:eastAsia="zh-CN"/>
        </w:rPr>
        <w:t>银行账号</w:t>
      </w:r>
      <w:r>
        <w:rPr>
          <w:rFonts w:hint="eastAsia" w:ascii="宋体" w:hAnsi="宋体"/>
          <w:sz w:val="24"/>
        </w:rPr>
        <w:t>：</w:t>
      </w:r>
    </w:p>
    <w:p w14:paraId="7865070C">
      <w:pPr>
        <w:spacing w:line="400" w:lineRule="exact"/>
        <w:ind w:firstLine="523" w:firstLineChars="218"/>
        <w:rPr>
          <w:rFonts w:ascii="宋体" w:hAnsi="宋体"/>
          <w:sz w:val="24"/>
        </w:rPr>
      </w:pPr>
      <w:r>
        <w:rPr>
          <w:rFonts w:hint="eastAsia" w:ascii="宋体" w:hAnsi="宋体"/>
          <w:sz w:val="24"/>
        </w:rPr>
        <w:t xml:space="preserve">  年  月  日                        年  月  日</w:t>
      </w:r>
    </w:p>
    <w:p w14:paraId="0E4BEAC5">
      <w:pPr>
        <w:spacing w:line="320" w:lineRule="exact"/>
        <w:rPr>
          <w:sz w:val="24"/>
        </w:rPr>
      </w:pPr>
    </w:p>
    <w:p w14:paraId="3C1085BD">
      <w:pPr>
        <w:spacing w:line="320" w:lineRule="exact"/>
        <w:ind w:left="541" w:leftChars="258"/>
        <w:rPr>
          <w:sz w:val="24"/>
        </w:rPr>
      </w:pPr>
      <w:r>
        <w:rPr>
          <w:rFonts w:hint="eastAsia"/>
          <w:sz w:val="24"/>
        </w:rPr>
        <w:t>招标机构：海南省教学仪器设备招标中心有限公司</w:t>
      </w:r>
    </w:p>
    <w:p w14:paraId="7C6BD0DF">
      <w:pPr>
        <w:spacing w:line="320" w:lineRule="exact"/>
        <w:ind w:left="541" w:leftChars="258"/>
        <w:rPr>
          <w:rFonts w:ascii="宋体" w:hAnsi="宋体"/>
          <w:sz w:val="24"/>
        </w:rPr>
      </w:pPr>
      <w:r>
        <w:rPr>
          <w:rFonts w:hint="eastAsia" w:ascii="宋体" w:hAnsi="宋体"/>
          <w:sz w:val="24"/>
        </w:rPr>
        <w:t>地  址：</w:t>
      </w:r>
      <w:r>
        <w:rPr>
          <w:rFonts w:ascii="宋体" w:hAnsi="宋体"/>
          <w:sz w:val="24"/>
        </w:rPr>
        <w:t>海口市</w:t>
      </w:r>
      <w:r>
        <w:rPr>
          <w:rFonts w:hint="eastAsia" w:ascii="宋体" w:hAnsi="宋体"/>
          <w:sz w:val="24"/>
        </w:rPr>
        <w:t>蓝天路西2-8</w:t>
      </w:r>
      <w:r>
        <w:rPr>
          <w:rFonts w:ascii="宋体" w:hAnsi="宋体"/>
          <w:sz w:val="24"/>
        </w:rPr>
        <w:t>号</w:t>
      </w:r>
    </w:p>
    <w:p w14:paraId="0ACED30C">
      <w:pPr>
        <w:spacing w:line="320" w:lineRule="exact"/>
        <w:ind w:left="541" w:leftChars="258"/>
        <w:rPr>
          <w:rFonts w:ascii="宋体" w:hAnsi="宋体"/>
          <w:sz w:val="24"/>
        </w:rPr>
      </w:pPr>
      <w:r>
        <w:rPr>
          <w:rFonts w:hint="eastAsia" w:ascii="宋体" w:hAnsi="宋体"/>
          <w:sz w:val="24"/>
        </w:rPr>
        <w:t>电  话：0898－66757906</w:t>
      </w:r>
    </w:p>
    <w:p w14:paraId="6B5057CD">
      <w:pPr>
        <w:spacing w:line="320" w:lineRule="exact"/>
        <w:ind w:left="541" w:leftChars="258"/>
        <w:rPr>
          <w:rFonts w:ascii="宋体" w:hAnsi="宋体"/>
          <w:sz w:val="24"/>
        </w:rPr>
      </w:pPr>
      <w:r>
        <w:rPr>
          <w:rFonts w:hint="eastAsia" w:ascii="宋体" w:hAnsi="宋体"/>
          <w:sz w:val="24"/>
        </w:rPr>
        <w:t>法定或授权代表：</w:t>
      </w:r>
    </w:p>
    <w:p w14:paraId="2478F72B">
      <w:pPr>
        <w:spacing w:line="320" w:lineRule="exact"/>
        <w:ind w:left="541" w:leftChars="258"/>
        <w:rPr>
          <w:rFonts w:ascii="宋体" w:hAnsi="宋体"/>
          <w:sz w:val="24"/>
        </w:rPr>
      </w:pPr>
      <w:r>
        <w:rPr>
          <w:rFonts w:hint="eastAsia" w:ascii="宋体" w:hAnsi="宋体"/>
          <w:sz w:val="24"/>
        </w:rPr>
        <w:t>日期：  年  月  日</w:t>
      </w:r>
    </w:p>
    <w:p w14:paraId="28F7D49D">
      <w:pPr>
        <w:snapToGrid w:val="0"/>
        <w:spacing w:before="19" w:line="340" w:lineRule="exact"/>
        <w:rPr>
          <w:rFonts w:ascii="宋体" w:hAnsi="宋体"/>
          <w:b/>
          <w:szCs w:val="21"/>
        </w:rPr>
      </w:pPr>
    </w:p>
    <w:p w14:paraId="33D9C2E5">
      <w:pPr>
        <w:bidi w:val="0"/>
        <w:rPr>
          <w:rFonts w:hint="eastAsia"/>
          <w:lang w:eastAsia="zh-CN"/>
        </w:rPr>
        <w:sectPr>
          <w:pgSz w:w="11906" w:h="16838"/>
          <w:pgMar w:top="1134" w:right="1134" w:bottom="1134" w:left="1134" w:header="851" w:footer="992" w:gutter="0"/>
          <w:cols w:space="720" w:num="1"/>
          <w:docGrid w:type="linesAndChars" w:linePitch="312" w:charSpace="0"/>
        </w:sectPr>
      </w:pPr>
      <w:r>
        <w:rPr>
          <w:rFonts w:hint="eastAsia"/>
        </w:rPr>
        <w:t>采购代理机构声明：本合同标的经采购代理机构依法定程序采购，合同主要条款内容与招响应文件的内容一致。</w:t>
      </w:r>
    </w:p>
    <w:p w14:paraId="71873C4B">
      <w:pPr>
        <w:rPr>
          <w:rFonts w:hint="eastAsia"/>
          <w:lang w:eastAsia="zh-CN"/>
        </w:rPr>
      </w:pPr>
    </w:p>
    <w:p w14:paraId="225C4A34">
      <w:pPr>
        <w:snapToGrid w:val="0"/>
        <w:jc w:val="left"/>
        <w:rPr>
          <w:rFonts w:hint="default" w:ascii="宋体" w:hAnsi="宋体" w:eastAsia="宋体"/>
          <w:b/>
          <w:sz w:val="24"/>
          <w:lang w:val="en-US" w:eastAsia="zh-CN"/>
        </w:rPr>
      </w:pPr>
      <w:r>
        <w:rPr>
          <w:rFonts w:hint="eastAsia" w:ascii="宋体" w:hAnsi="宋体"/>
          <w:b/>
          <w:sz w:val="24"/>
          <w:lang w:val="en-US" w:eastAsia="zh-CN"/>
        </w:rPr>
        <w:t>以下合同适用4包：</w:t>
      </w:r>
    </w:p>
    <w:p w14:paraId="7ECF7C0F">
      <w:pPr>
        <w:spacing w:line="360" w:lineRule="exact"/>
        <w:ind w:firstLine="480" w:firstLineChars="200"/>
        <w:rPr>
          <w:rFonts w:ascii="宋体" w:hAnsi="宋体"/>
          <w:sz w:val="24"/>
        </w:rPr>
      </w:pPr>
      <w:r>
        <w:rPr>
          <w:rFonts w:hint="eastAsia" w:ascii="宋体" w:hAnsi="宋体"/>
          <w:sz w:val="24"/>
        </w:rPr>
        <w:t>甲方：</w:t>
      </w:r>
    </w:p>
    <w:p w14:paraId="4CB98CB3">
      <w:pPr>
        <w:spacing w:line="360" w:lineRule="exact"/>
        <w:ind w:firstLine="480" w:firstLineChars="200"/>
        <w:rPr>
          <w:rFonts w:ascii="宋体" w:hAnsi="宋体"/>
          <w:sz w:val="24"/>
        </w:rPr>
      </w:pPr>
      <w:r>
        <w:rPr>
          <w:rFonts w:hint="eastAsia" w:ascii="宋体" w:hAnsi="宋体"/>
          <w:sz w:val="24"/>
        </w:rPr>
        <w:t>乙方：</w:t>
      </w:r>
    </w:p>
    <w:p w14:paraId="1D0B5218">
      <w:pPr>
        <w:spacing w:line="360" w:lineRule="exact"/>
        <w:ind w:left="279" w:leftChars="133" w:firstLine="480" w:firstLineChars="200"/>
        <w:rPr>
          <w:rFonts w:ascii="宋体" w:hAnsi="宋体"/>
          <w:sz w:val="24"/>
        </w:rPr>
      </w:pPr>
    </w:p>
    <w:p w14:paraId="5B912A2E">
      <w:pPr>
        <w:spacing w:line="360" w:lineRule="exact"/>
        <w:ind w:left="279" w:leftChars="133" w:firstLine="480" w:firstLineChars="200"/>
        <w:rPr>
          <w:rFonts w:ascii="宋体" w:hAnsi="宋体"/>
          <w:sz w:val="24"/>
        </w:rPr>
      </w:pPr>
      <w:r>
        <w:rPr>
          <w:rFonts w:hint="eastAsia" w:ascii="宋体" w:hAnsi="宋体"/>
          <w:sz w:val="24"/>
        </w:rPr>
        <w:t>甲乙双方根据</w:t>
      </w:r>
      <w:r>
        <w:rPr>
          <w:rFonts w:ascii="宋体" w:hAnsi="宋体"/>
          <w:sz w:val="24"/>
        </w:rPr>
        <w:t>20</w:t>
      </w:r>
      <w:r>
        <w:rPr>
          <w:rFonts w:hint="eastAsia" w:ascii="宋体" w:hAnsi="宋体"/>
          <w:sz w:val="24"/>
        </w:rPr>
        <w:t>2</w:t>
      </w:r>
      <w:r>
        <w:rPr>
          <w:rFonts w:hint="eastAsia" w:ascii="宋体" w:hAnsi="宋体"/>
          <w:sz w:val="24"/>
          <w:lang w:val="en-US" w:eastAsia="zh-CN"/>
        </w:rPr>
        <w:t>5</w:t>
      </w:r>
      <w:r>
        <w:rPr>
          <w:rFonts w:hint="eastAsia" w:ascii="宋体" w:hAnsi="宋体"/>
          <w:sz w:val="24"/>
        </w:rPr>
        <w:t>年月  日</w:t>
      </w:r>
      <w:r>
        <w:rPr>
          <w:rFonts w:hint="eastAsia" w:ascii="宋体" w:hAnsi="宋体"/>
          <w:bCs/>
          <w:sz w:val="24"/>
        </w:rPr>
        <w:t>202</w:t>
      </w:r>
      <w:r>
        <w:rPr>
          <w:rFonts w:hint="eastAsia" w:ascii="宋体" w:hAnsi="宋体"/>
          <w:bCs/>
          <w:sz w:val="24"/>
          <w:lang w:val="en-US" w:eastAsia="zh-CN"/>
        </w:rPr>
        <w:t>5</w:t>
      </w:r>
      <w:r>
        <w:rPr>
          <w:rFonts w:hint="eastAsia" w:ascii="宋体" w:hAnsi="宋体"/>
          <w:bCs/>
          <w:sz w:val="24"/>
        </w:rPr>
        <w:t>年               项目</w:t>
      </w:r>
      <w:r>
        <w:rPr>
          <w:rFonts w:hint="eastAsia" w:ascii="宋体" w:hAnsi="宋体"/>
          <w:sz w:val="24"/>
        </w:rPr>
        <w:t>（</w:t>
      </w:r>
      <w:r>
        <w:rPr>
          <w:rFonts w:hint="eastAsia" w:ascii="宋体" w:hAnsi="宋体"/>
          <w:sz w:val="24"/>
          <w:lang w:val="en-US" w:eastAsia="zh-CN"/>
        </w:rPr>
        <w:t>项目</w:t>
      </w:r>
      <w:r>
        <w:rPr>
          <w:rFonts w:hint="eastAsia" w:ascii="宋体" w:hAnsi="宋体"/>
          <w:sz w:val="24"/>
        </w:rPr>
        <w:t>编号）</w:t>
      </w:r>
      <w:r>
        <w:rPr>
          <w:rFonts w:hint="eastAsia" w:ascii="宋体" w:hAnsi="宋体"/>
          <w:bCs/>
          <w:sz w:val="24"/>
        </w:rPr>
        <w:t>招标</w:t>
      </w:r>
      <w:r>
        <w:rPr>
          <w:rFonts w:hint="eastAsia" w:ascii="宋体" w:hAnsi="宋体"/>
          <w:sz w:val="24"/>
        </w:rPr>
        <w:t>采购评标的结果和“采购文件”的要求，并经双方协调一致，达成购销合同：</w:t>
      </w:r>
    </w:p>
    <w:p w14:paraId="445A4B29">
      <w:pPr>
        <w:spacing w:line="360" w:lineRule="exact"/>
        <w:ind w:firstLine="480" w:firstLineChars="200"/>
        <w:rPr>
          <w:rFonts w:ascii="宋体" w:hAnsi="宋体"/>
          <w:sz w:val="24"/>
        </w:rPr>
      </w:pPr>
    </w:p>
    <w:p w14:paraId="2B9F5CA0">
      <w:pPr>
        <w:spacing w:line="360" w:lineRule="exact"/>
        <w:ind w:firstLine="480" w:firstLineChars="200"/>
        <w:rPr>
          <w:rFonts w:ascii="宋体" w:hAnsi="宋体"/>
          <w:sz w:val="24"/>
        </w:rPr>
      </w:pPr>
      <w:r>
        <w:rPr>
          <w:rFonts w:hint="eastAsia" w:ascii="宋体" w:hAnsi="宋体"/>
          <w:sz w:val="24"/>
        </w:rPr>
        <w:t>一、合同文件</w:t>
      </w:r>
    </w:p>
    <w:p w14:paraId="7584C02C">
      <w:pPr>
        <w:spacing w:line="360" w:lineRule="exact"/>
        <w:ind w:firstLine="960" w:firstLineChars="400"/>
        <w:rPr>
          <w:rFonts w:ascii="宋体" w:hAnsi="宋体"/>
          <w:sz w:val="24"/>
        </w:rPr>
      </w:pPr>
      <w:r>
        <w:rPr>
          <w:rFonts w:hint="eastAsia" w:ascii="宋体" w:hAnsi="宋体"/>
          <w:sz w:val="24"/>
        </w:rPr>
        <w:t>本合同所附下列文件是构成本合同不可分割的部分：</w:t>
      </w:r>
    </w:p>
    <w:p w14:paraId="3C066129">
      <w:pPr>
        <w:spacing w:line="360" w:lineRule="exact"/>
        <w:ind w:firstLine="960" w:firstLineChars="400"/>
        <w:rPr>
          <w:rFonts w:ascii="宋体" w:hAnsi="宋体"/>
          <w:sz w:val="24"/>
        </w:rPr>
      </w:pPr>
      <w:r>
        <w:rPr>
          <w:rFonts w:hint="eastAsia" w:ascii="宋体" w:hAnsi="宋体"/>
          <w:sz w:val="24"/>
        </w:rPr>
        <w:t>采购文件合同条款</w:t>
      </w:r>
    </w:p>
    <w:p w14:paraId="46E8291E">
      <w:pPr>
        <w:spacing w:line="360" w:lineRule="exact"/>
        <w:ind w:firstLine="960" w:firstLineChars="400"/>
        <w:rPr>
          <w:rFonts w:ascii="宋体" w:hAnsi="宋体"/>
          <w:sz w:val="24"/>
        </w:rPr>
      </w:pPr>
      <w:r>
        <w:rPr>
          <w:rFonts w:hint="eastAsia" w:ascii="宋体" w:hAnsi="宋体"/>
          <w:sz w:val="24"/>
          <w:lang w:eastAsia="zh-CN"/>
        </w:rPr>
        <w:t>供应商</w:t>
      </w:r>
      <w:r>
        <w:rPr>
          <w:rFonts w:hint="eastAsia" w:ascii="宋体" w:hAnsi="宋体"/>
          <w:sz w:val="24"/>
        </w:rPr>
        <w:t>提交的投标函和投标报价表</w:t>
      </w:r>
    </w:p>
    <w:p w14:paraId="61402994">
      <w:pPr>
        <w:spacing w:line="360" w:lineRule="exact"/>
        <w:ind w:firstLine="960" w:firstLineChars="400"/>
        <w:rPr>
          <w:rFonts w:ascii="宋体" w:hAnsi="宋体"/>
          <w:sz w:val="24"/>
        </w:rPr>
      </w:pPr>
      <w:r>
        <w:rPr>
          <w:rFonts w:hint="eastAsia" w:ascii="宋体" w:hAnsi="宋体"/>
          <w:sz w:val="24"/>
        </w:rPr>
        <w:t>招标采购成交品目清单</w:t>
      </w:r>
    </w:p>
    <w:p w14:paraId="47FF8452">
      <w:pPr>
        <w:spacing w:line="360" w:lineRule="exact"/>
        <w:ind w:firstLine="960" w:firstLineChars="400"/>
        <w:rPr>
          <w:rFonts w:ascii="宋体" w:hAnsi="宋体"/>
          <w:sz w:val="24"/>
        </w:rPr>
      </w:pPr>
      <w:r>
        <w:rPr>
          <w:rFonts w:hint="eastAsia" w:ascii="宋体" w:hAnsi="宋体"/>
          <w:sz w:val="24"/>
        </w:rPr>
        <w:t>服务要求</w:t>
      </w:r>
    </w:p>
    <w:p w14:paraId="48D2687E">
      <w:pPr>
        <w:spacing w:line="360" w:lineRule="exact"/>
        <w:ind w:firstLine="960" w:firstLineChars="400"/>
        <w:rPr>
          <w:rFonts w:ascii="宋体" w:hAnsi="宋体"/>
          <w:sz w:val="24"/>
        </w:rPr>
      </w:pPr>
      <w:r>
        <w:rPr>
          <w:rFonts w:hint="eastAsia" w:ascii="宋体" w:hAnsi="宋体"/>
          <w:sz w:val="24"/>
        </w:rPr>
        <w:t>规格响应表（如果有的话）</w:t>
      </w:r>
    </w:p>
    <w:p w14:paraId="3035A26D">
      <w:pPr>
        <w:spacing w:line="360" w:lineRule="exact"/>
        <w:ind w:firstLine="960" w:firstLineChars="400"/>
        <w:rPr>
          <w:rFonts w:ascii="宋体" w:hAnsi="宋体"/>
          <w:sz w:val="24"/>
        </w:rPr>
      </w:pPr>
      <w:r>
        <w:rPr>
          <w:rFonts w:hint="eastAsia" w:ascii="宋体" w:hAnsi="宋体"/>
          <w:sz w:val="24"/>
        </w:rPr>
        <w:t>成交通知书</w:t>
      </w:r>
    </w:p>
    <w:p w14:paraId="748680E0">
      <w:pPr>
        <w:spacing w:line="360" w:lineRule="exact"/>
        <w:ind w:firstLine="480" w:firstLineChars="200"/>
        <w:rPr>
          <w:rFonts w:ascii="宋体" w:hAnsi="宋体"/>
          <w:sz w:val="24"/>
        </w:rPr>
      </w:pPr>
    </w:p>
    <w:p w14:paraId="3F48DB38">
      <w:pPr>
        <w:spacing w:line="360" w:lineRule="exact"/>
        <w:ind w:firstLine="480" w:firstLineChars="200"/>
        <w:rPr>
          <w:rFonts w:ascii="宋体" w:hAnsi="宋体"/>
          <w:sz w:val="24"/>
        </w:rPr>
      </w:pPr>
      <w:r>
        <w:rPr>
          <w:rFonts w:hint="eastAsia" w:ascii="宋体" w:hAnsi="宋体"/>
          <w:sz w:val="24"/>
        </w:rPr>
        <w:t>二、服务内容：</w:t>
      </w:r>
    </w:p>
    <w:p w14:paraId="2F1B1959">
      <w:pPr>
        <w:spacing w:line="360" w:lineRule="exact"/>
        <w:ind w:firstLine="480" w:firstLineChars="200"/>
        <w:rPr>
          <w:rFonts w:ascii="宋体" w:hAnsi="宋体"/>
          <w:sz w:val="24"/>
        </w:rPr>
      </w:pPr>
    </w:p>
    <w:tbl>
      <w:tblPr>
        <w:tblStyle w:val="3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4536"/>
        <w:gridCol w:w="1612"/>
        <w:gridCol w:w="2464"/>
      </w:tblGrid>
      <w:tr w14:paraId="1CA59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vAlign w:val="center"/>
          </w:tcPr>
          <w:p w14:paraId="7646C13E">
            <w:pPr>
              <w:spacing w:line="360" w:lineRule="exact"/>
              <w:jc w:val="center"/>
              <w:rPr>
                <w:rFonts w:ascii="宋体" w:hAnsi="宋体"/>
                <w:sz w:val="24"/>
              </w:rPr>
            </w:pPr>
            <w:r>
              <w:rPr>
                <w:rFonts w:hint="eastAsia" w:ascii="宋体" w:hAnsi="宋体"/>
                <w:sz w:val="24"/>
              </w:rPr>
              <w:t>序号</w:t>
            </w:r>
          </w:p>
        </w:tc>
        <w:tc>
          <w:tcPr>
            <w:tcW w:w="4536" w:type="dxa"/>
            <w:noWrap/>
            <w:vAlign w:val="center"/>
          </w:tcPr>
          <w:p w14:paraId="1DC998D4">
            <w:pPr>
              <w:spacing w:line="360" w:lineRule="exact"/>
              <w:jc w:val="center"/>
              <w:rPr>
                <w:rFonts w:ascii="宋体" w:hAnsi="宋体"/>
                <w:sz w:val="24"/>
              </w:rPr>
            </w:pPr>
            <w:r>
              <w:rPr>
                <w:rFonts w:hint="eastAsia" w:ascii="宋体" w:hAnsi="宋体"/>
                <w:sz w:val="24"/>
              </w:rPr>
              <w:t>项目名称</w:t>
            </w:r>
          </w:p>
        </w:tc>
        <w:tc>
          <w:tcPr>
            <w:tcW w:w="1612" w:type="dxa"/>
            <w:noWrap/>
            <w:vAlign w:val="center"/>
          </w:tcPr>
          <w:p w14:paraId="3907A845">
            <w:pPr>
              <w:spacing w:line="360" w:lineRule="exact"/>
              <w:jc w:val="center"/>
              <w:rPr>
                <w:rFonts w:ascii="宋体" w:hAnsi="宋体"/>
                <w:sz w:val="24"/>
              </w:rPr>
            </w:pPr>
            <w:r>
              <w:rPr>
                <w:rFonts w:hint="eastAsia" w:ascii="宋体" w:hAnsi="宋体"/>
                <w:sz w:val="24"/>
              </w:rPr>
              <w:t>金额</w:t>
            </w:r>
          </w:p>
        </w:tc>
        <w:tc>
          <w:tcPr>
            <w:tcW w:w="2464" w:type="dxa"/>
            <w:noWrap/>
            <w:vAlign w:val="center"/>
          </w:tcPr>
          <w:p w14:paraId="4D1ED84C">
            <w:pPr>
              <w:spacing w:line="360" w:lineRule="exact"/>
              <w:jc w:val="center"/>
              <w:rPr>
                <w:rFonts w:ascii="宋体" w:hAnsi="宋体"/>
                <w:sz w:val="24"/>
              </w:rPr>
            </w:pPr>
            <w:r>
              <w:rPr>
                <w:rFonts w:hint="eastAsia" w:ascii="宋体" w:hAnsi="宋体"/>
                <w:sz w:val="24"/>
              </w:rPr>
              <w:t>服务期限</w:t>
            </w:r>
          </w:p>
        </w:tc>
      </w:tr>
      <w:tr w14:paraId="549C9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043BD870">
            <w:pPr>
              <w:spacing w:line="360" w:lineRule="exact"/>
              <w:rPr>
                <w:rFonts w:ascii="宋体" w:hAnsi="宋体"/>
                <w:sz w:val="24"/>
              </w:rPr>
            </w:pPr>
          </w:p>
        </w:tc>
        <w:tc>
          <w:tcPr>
            <w:tcW w:w="4536" w:type="dxa"/>
            <w:noWrap/>
          </w:tcPr>
          <w:p w14:paraId="1DD167AA">
            <w:pPr>
              <w:spacing w:line="360" w:lineRule="exact"/>
              <w:rPr>
                <w:rFonts w:ascii="宋体" w:hAnsi="宋体"/>
                <w:sz w:val="24"/>
              </w:rPr>
            </w:pPr>
          </w:p>
        </w:tc>
        <w:tc>
          <w:tcPr>
            <w:tcW w:w="1612" w:type="dxa"/>
            <w:noWrap/>
          </w:tcPr>
          <w:p w14:paraId="104E8FB0">
            <w:pPr>
              <w:spacing w:line="360" w:lineRule="exact"/>
              <w:rPr>
                <w:rFonts w:ascii="宋体" w:hAnsi="宋体"/>
                <w:sz w:val="24"/>
              </w:rPr>
            </w:pPr>
          </w:p>
        </w:tc>
        <w:tc>
          <w:tcPr>
            <w:tcW w:w="2464" w:type="dxa"/>
            <w:noWrap/>
          </w:tcPr>
          <w:p w14:paraId="1D27FEEB">
            <w:pPr>
              <w:spacing w:line="360" w:lineRule="exact"/>
              <w:rPr>
                <w:rFonts w:ascii="宋体" w:hAnsi="宋体"/>
                <w:sz w:val="24"/>
              </w:rPr>
            </w:pPr>
          </w:p>
        </w:tc>
      </w:tr>
      <w:tr w14:paraId="6D2A3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noWrap/>
          </w:tcPr>
          <w:p w14:paraId="259BE059">
            <w:pPr>
              <w:spacing w:line="360" w:lineRule="exact"/>
              <w:rPr>
                <w:rFonts w:ascii="宋体" w:hAnsi="宋体"/>
                <w:sz w:val="24"/>
              </w:rPr>
            </w:pPr>
          </w:p>
        </w:tc>
        <w:tc>
          <w:tcPr>
            <w:tcW w:w="4536" w:type="dxa"/>
            <w:noWrap/>
          </w:tcPr>
          <w:p w14:paraId="4432CE72">
            <w:pPr>
              <w:spacing w:line="360" w:lineRule="exact"/>
              <w:rPr>
                <w:rFonts w:ascii="宋体" w:hAnsi="宋体"/>
                <w:sz w:val="24"/>
              </w:rPr>
            </w:pPr>
            <w:r>
              <w:rPr>
                <w:rFonts w:hint="eastAsia" w:ascii="宋体" w:hAnsi="宋体"/>
                <w:sz w:val="24"/>
              </w:rPr>
              <w:t>合计</w:t>
            </w:r>
          </w:p>
        </w:tc>
        <w:tc>
          <w:tcPr>
            <w:tcW w:w="4076" w:type="dxa"/>
            <w:gridSpan w:val="2"/>
            <w:noWrap/>
          </w:tcPr>
          <w:p w14:paraId="25F72DD1">
            <w:pPr>
              <w:spacing w:line="360" w:lineRule="exact"/>
              <w:rPr>
                <w:rFonts w:ascii="宋体" w:hAnsi="宋体"/>
                <w:sz w:val="24"/>
              </w:rPr>
            </w:pPr>
          </w:p>
        </w:tc>
      </w:tr>
      <w:tr w14:paraId="2DD99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4"/>
            <w:noWrap/>
          </w:tcPr>
          <w:p w14:paraId="4BED9951">
            <w:pPr>
              <w:spacing w:line="360" w:lineRule="exact"/>
              <w:rPr>
                <w:rFonts w:ascii="宋体" w:hAnsi="宋体"/>
                <w:sz w:val="24"/>
              </w:rPr>
            </w:pPr>
            <w:r>
              <w:rPr>
                <w:rFonts w:hint="eastAsia" w:ascii="宋体" w:hAnsi="宋体"/>
                <w:sz w:val="24"/>
              </w:rPr>
              <w:t>项目地点：</w:t>
            </w:r>
          </w:p>
          <w:p w14:paraId="748A7756">
            <w:pPr>
              <w:spacing w:line="360" w:lineRule="exact"/>
              <w:rPr>
                <w:rFonts w:ascii="宋体" w:hAnsi="宋体"/>
                <w:sz w:val="24"/>
              </w:rPr>
            </w:pPr>
            <w:r>
              <w:rPr>
                <w:rFonts w:hint="eastAsia" w:ascii="宋体" w:hAnsi="宋体"/>
                <w:sz w:val="24"/>
              </w:rPr>
              <w:t>投标报价总计：</w:t>
            </w:r>
          </w:p>
          <w:p w14:paraId="429D6678">
            <w:pPr>
              <w:spacing w:line="360" w:lineRule="exact"/>
              <w:rPr>
                <w:rFonts w:ascii="宋体" w:hAnsi="宋体"/>
                <w:sz w:val="24"/>
              </w:rPr>
            </w:pPr>
            <w:r>
              <w:rPr>
                <w:rFonts w:hint="eastAsia" w:ascii="宋体" w:hAnsi="宋体"/>
                <w:sz w:val="24"/>
              </w:rPr>
              <w:t>大写：</w:t>
            </w:r>
          </w:p>
        </w:tc>
      </w:tr>
    </w:tbl>
    <w:p w14:paraId="42DE91C4">
      <w:pPr>
        <w:numPr>
          <w:ilvl w:val="0"/>
          <w:numId w:val="0"/>
        </w:numPr>
        <w:spacing w:line="360" w:lineRule="exact"/>
        <w:rPr>
          <w:rFonts w:asciiTheme="minorEastAsia" w:hAnsiTheme="minorEastAsia" w:eastAsiaTheme="minorEastAsia"/>
          <w:sz w:val="24"/>
        </w:rPr>
      </w:pPr>
      <w:r>
        <w:rPr>
          <w:rFonts w:hint="eastAsia" w:asciiTheme="minorEastAsia" w:hAnsiTheme="minorEastAsia" w:eastAsiaTheme="minorEastAsia"/>
          <w:sz w:val="24"/>
          <w:lang w:eastAsia="zh-CN"/>
        </w:rPr>
        <w:t>三、</w:t>
      </w:r>
      <w:r>
        <w:rPr>
          <w:rFonts w:hint="eastAsia" w:asciiTheme="minorEastAsia" w:hAnsiTheme="minorEastAsia" w:eastAsiaTheme="minorEastAsia"/>
          <w:sz w:val="24"/>
        </w:rPr>
        <w:t>付款时间、方式及条件：</w:t>
      </w:r>
    </w:p>
    <w:p w14:paraId="4D226BA0">
      <w:pPr>
        <w:spacing w:line="360" w:lineRule="exact"/>
        <w:ind w:firstLine="480" w:firstLineChars="200"/>
        <w:rPr>
          <w:rFonts w:hint="eastAsia" w:asciiTheme="minorEastAsia" w:hAnsiTheme="minorEastAsia" w:eastAsiaTheme="minorEastAsia"/>
          <w:sz w:val="24"/>
          <w:lang w:val="en"/>
        </w:rPr>
      </w:pPr>
      <w:r>
        <w:rPr>
          <w:rFonts w:hint="eastAsia" w:asciiTheme="minorEastAsia" w:hAnsiTheme="minorEastAsia" w:eastAsiaTheme="minorEastAsia"/>
          <w:sz w:val="24"/>
          <w:lang w:val="en"/>
        </w:rPr>
        <w:t>1.本项目合同签订后，甲方凭乙方开具的正式有效发票，在10个工作日内向乙方支付合同总金额的50%的首付款。</w:t>
      </w:r>
    </w:p>
    <w:p w14:paraId="4471F591">
      <w:pPr>
        <w:spacing w:line="360" w:lineRule="exact"/>
        <w:ind w:firstLine="480" w:firstLineChars="200"/>
        <w:rPr>
          <w:rFonts w:hint="eastAsia" w:asciiTheme="minorEastAsia" w:hAnsiTheme="minorEastAsia" w:eastAsiaTheme="minorEastAsia"/>
          <w:sz w:val="24"/>
          <w:lang w:val="en"/>
        </w:rPr>
      </w:pPr>
      <w:r>
        <w:rPr>
          <w:rFonts w:hint="eastAsia" w:asciiTheme="minorEastAsia" w:hAnsiTheme="minorEastAsia" w:eastAsiaTheme="minorEastAsia"/>
          <w:sz w:val="24"/>
          <w:lang w:val="en"/>
        </w:rPr>
        <w:t>2.乙方向甲方出具符合要求的网络安全等级保护测评报告后，甲方凭乙方开具的正式有效发票、质量保函（期限为12个月，金额为合同总金额的10%）、《网络安全等级保护测评报告》，在10个工作日内向乙方支付50%的尾款。</w:t>
      </w:r>
    </w:p>
    <w:p w14:paraId="2E6C2C85">
      <w:pPr>
        <w:spacing w:line="360" w:lineRule="exact"/>
        <w:ind w:firstLine="480" w:firstLineChars="200"/>
        <w:rPr>
          <w:rFonts w:hint="eastAsia" w:asciiTheme="minorEastAsia" w:hAnsiTheme="minorEastAsia" w:eastAsiaTheme="minorEastAsia"/>
          <w:sz w:val="24"/>
          <w:lang w:val="en"/>
        </w:rPr>
      </w:pPr>
      <w:r>
        <w:rPr>
          <w:rFonts w:hint="eastAsia" w:asciiTheme="minorEastAsia" w:hAnsiTheme="minorEastAsia" w:eastAsiaTheme="minorEastAsia"/>
          <w:sz w:val="24"/>
          <w:lang w:val="en"/>
        </w:rPr>
        <w:t>若甲方年底封账，延迟至下一年经费重新下达后支付。</w:t>
      </w:r>
    </w:p>
    <w:p w14:paraId="4EF64606">
      <w:pPr>
        <w:spacing w:line="360" w:lineRule="exact"/>
        <w:ind w:firstLine="480" w:firstLineChars="200"/>
        <w:rPr>
          <w:rFonts w:ascii="宋体" w:hAnsi="宋体"/>
          <w:sz w:val="24"/>
        </w:rPr>
      </w:pPr>
      <w:r>
        <w:rPr>
          <w:rFonts w:hint="eastAsia" w:ascii="宋体" w:hAnsi="宋体"/>
          <w:sz w:val="24"/>
        </w:rPr>
        <w:t>四、违约责任：按《中华人民共和国民法典》执行。</w:t>
      </w:r>
    </w:p>
    <w:p w14:paraId="74F6A921">
      <w:pPr>
        <w:spacing w:line="360" w:lineRule="exact"/>
        <w:ind w:firstLine="480" w:firstLineChars="200"/>
        <w:rPr>
          <w:rFonts w:ascii="宋体" w:hAnsi="宋体"/>
          <w:sz w:val="24"/>
        </w:rPr>
      </w:pPr>
      <w:r>
        <w:rPr>
          <w:rFonts w:hint="eastAsia" w:ascii="宋体" w:hAnsi="宋体"/>
          <w:sz w:val="24"/>
        </w:rPr>
        <w:t>五、本合同发生争议产生的诉讼，由合同签订所在地人民法院管辖。</w:t>
      </w:r>
    </w:p>
    <w:p w14:paraId="3D6DF0F6">
      <w:pPr>
        <w:spacing w:line="360" w:lineRule="exact"/>
        <w:ind w:firstLine="480" w:firstLineChars="200"/>
        <w:rPr>
          <w:rFonts w:ascii="宋体" w:hAnsi="宋体"/>
          <w:sz w:val="24"/>
        </w:rPr>
      </w:pPr>
      <w:r>
        <w:rPr>
          <w:rFonts w:hint="eastAsia" w:ascii="宋体" w:hAnsi="宋体"/>
          <w:sz w:val="24"/>
        </w:rPr>
        <w:t>六、本合同壹式叁份，</w:t>
      </w:r>
      <w:r>
        <w:rPr>
          <w:rFonts w:hint="eastAsia" w:ascii="宋体" w:hAnsi="宋体"/>
          <w:sz w:val="24"/>
          <w:lang w:val="en-US" w:eastAsia="zh-CN"/>
        </w:rPr>
        <w:t>甲、乙、</w:t>
      </w:r>
      <w:r>
        <w:rPr>
          <w:rFonts w:hint="eastAsia" w:ascii="宋体" w:hAnsi="宋体"/>
          <w:sz w:val="24"/>
        </w:rPr>
        <w:t>招标机构三方各执壹份，均具同等效力。</w:t>
      </w:r>
    </w:p>
    <w:p w14:paraId="363683A5">
      <w:pPr>
        <w:spacing w:line="360" w:lineRule="exact"/>
        <w:ind w:firstLine="480" w:firstLineChars="200"/>
        <w:rPr>
          <w:rFonts w:ascii="宋体" w:hAnsi="宋体"/>
          <w:sz w:val="24"/>
        </w:rPr>
      </w:pPr>
      <w:r>
        <w:rPr>
          <w:rFonts w:hint="eastAsia" w:ascii="宋体" w:hAnsi="宋体"/>
          <w:sz w:val="24"/>
        </w:rPr>
        <w:t>七、本合同经甲、乙、鉴证三方签字、</w:t>
      </w:r>
      <w:r>
        <w:rPr>
          <w:rFonts w:hint="eastAsia" w:ascii="宋体" w:hAnsi="宋体"/>
          <w:sz w:val="24"/>
          <w:lang w:eastAsia="zh-CN"/>
        </w:rPr>
        <w:t>盖章</w:t>
      </w:r>
      <w:r>
        <w:rPr>
          <w:rFonts w:hint="eastAsia" w:ascii="宋体" w:hAnsi="宋体"/>
          <w:sz w:val="24"/>
        </w:rPr>
        <w:t>后，合同即生效。</w:t>
      </w:r>
    </w:p>
    <w:p w14:paraId="07BF0148">
      <w:pPr>
        <w:spacing w:line="360" w:lineRule="exact"/>
        <w:ind w:firstLine="480" w:firstLineChars="200"/>
        <w:rPr>
          <w:rFonts w:ascii="宋体" w:hAnsi="宋体"/>
          <w:sz w:val="24"/>
        </w:rPr>
      </w:pPr>
      <w:r>
        <w:rPr>
          <w:rFonts w:hint="eastAsia" w:ascii="宋体" w:hAnsi="宋体"/>
          <w:sz w:val="24"/>
        </w:rPr>
        <w:t>八、甲乙双方应当自成交通知书发出之日起30日内，按照采购文件和成交人响应文件的规定，双方签订书面合同。如超过期限未签合同，应重新招标或顺延下一成交候选人。</w:t>
      </w:r>
    </w:p>
    <w:p w14:paraId="6B849CB9">
      <w:pPr>
        <w:pStyle w:val="18"/>
        <w:rPr>
          <w:rFonts w:ascii="宋体" w:hAnsi="宋体"/>
        </w:rPr>
      </w:pPr>
    </w:p>
    <w:p w14:paraId="726167B5">
      <w:pPr>
        <w:pStyle w:val="18"/>
        <w:rPr>
          <w:rFonts w:ascii="宋体" w:hAnsi="宋体"/>
        </w:rPr>
      </w:pPr>
    </w:p>
    <w:p w14:paraId="3AF11E5A">
      <w:pPr>
        <w:spacing w:line="400" w:lineRule="exact"/>
        <w:ind w:firstLine="628" w:firstLineChars="262"/>
        <w:rPr>
          <w:rFonts w:ascii="宋体" w:hAnsi="宋体"/>
          <w:sz w:val="24"/>
        </w:rPr>
      </w:pPr>
      <w:r>
        <w:rPr>
          <w:rFonts w:hint="eastAsia" w:ascii="宋体" w:hAnsi="宋体"/>
          <w:sz w:val="24"/>
        </w:rPr>
        <w:t>附：成交通知书、成交清单</w:t>
      </w:r>
    </w:p>
    <w:p w14:paraId="3CFD40AE">
      <w:pPr>
        <w:spacing w:line="400" w:lineRule="exact"/>
        <w:rPr>
          <w:rFonts w:ascii="宋体" w:hAnsi="宋体"/>
          <w:sz w:val="24"/>
        </w:rPr>
      </w:pPr>
    </w:p>
    <w:p w14:paraId="203C1F43">
      <w:pPr>
        <w:spacing w:line="400" w:lineRule="exact"/>
        <w:rPr>
          <w:rFonts w:ascii="宋体" w:hAnsi="宋体"/>
          <w:sz w:val="24"/>
        </w:rPr>
      </w:pPr>
    </w:p>
    <w:p w14:paraId="6C3CD49F">
      <w:pPr>
        <w:spacing w:line="400" w:lineRule="exact"/>
        <w:rPr>
          <w:rFonts w:ascii="宋体" w:hAnsi="宋体"/>
          <w:sz w:val="24"/>
        </w:rPr>
      </w:pPr>
    </w:p>
    <w:p w14:paraId="1B1A8281">
      <w:pPr>
        <w:spacing w:line="400" w:lineRule="exact"/>
        <w:ind w:firstLine="523" w:firstLineChars="218"/>
        <w:rPr>
          <w:rFonts w:ascii="宋体" w:hAnsi="宋体"/>
          <w:sz w:val="24"/>
        </w:rPr>
      </w:pPr>
    </w:p>
    <w:p w14:paraId="0766AC9C">
      <w:pPr>
        <w:spacing w:line="400" w:lineRule="exact"/>
        <w:ind w:firstLine="523" w:firstLineChars="218"/>
        <w:rPr>
          <w:rFonts w:ascii="宋体" w:hAnsi="宋体"/>
          <w:sz w:val="24"/>
        </w:rPr>
      </w:pPr>
      <w:r>
        <w:rPr>
          <w:rFonts w:hint="eastAsia" w:ascii="宋体" w:hAnsi="宋体"/>
          <w:sz w:val="24"/>
        </w:rPr>
        <w:t xml:space="preserve">甲方：                            乙方： </w:t>
      </w:r>
    </w:p>
    <w:p w14:paraId="7ABCF9F2">
      <w:pPr>
        <w:spacing w:line="400" w:lineRule="exact"/>
        <w:ind w:firstLine="523" w:firstLineChars="218"/>
        <w:rPr>
          <w:rFonts w:ascii="宋体" w:hAnsi="宋体"/>
          <w:sz w:val="24"/>
        </w:rPr>
      </w:pPr>
      <w:r>
        <w:rPr>
          <w:rFonts w:hint="eastAsia" w:ascii="宋体" w:hAnsi="宋体"/>
          <w:sz w:val="24"/>
        </w:rPr>
        <w:t>地址：                            地址：</w:t>
      </w:r>
    </w:p>
    <w:p w14:paraId="3DDA6EEB">
      <w:pPr>
        <w:spacing w:line="400" w:lineRule="exact"/>
        <w:ind w:firstLine="523" w:firstLineChars="218"/>
        <w:rPr>
          <w:rFonts w:ascii="宋体" w:hAnsi="宋体"/>
          <w:sz w:val="24"/>
        </w:rPr>
      </w:pPr>
      <w:r>
        <w:rPr>
          <w:rFonts w:hint="eastAsia" w:ascii="宋体" w:hAnsi="宋体"/>
          <w:sz w:val="24"/>
        </w:rPr>
        <w:t>法定代表人：                      法定代表人：</w:t>
      </w:r>
    </w:p>
    <w:p w14:paraId="32C61C71">
      <w:pPr>
        <w:spacing w:line="400" w:lineRule="exact"/>
        <w:ind w:firstLine="523" w:firstLineChars="218"/>
        <w:rPr>
          <w:rFonts w:ascii="宋体" w:hAnsi="宋体"/>
          <w:sz w:val="24"/>
        </w:rPr>
      </w:pPr>
      <w:r>
        <w:rPr>
          <w:rFonts w:hint="eastAsia" w:ascii="宋体" w:hAnsi="宋体"/>
          <w:sz w:val="24"/>
        </w:rPr>
        <w:t>委托代理人：                      委托代理人：</w:t>
      </w:r>
    </w:p>
    <w:p w14:paraId="7937EF25">
      <w:pPr>
        <w:spacing w:line="400" w:lineRule="exact"/>
        <w:ind w:firstLine="523" w:firstLineChars="218"/>
        <w:rPr>
          <w:rFonts w:ascii="宋体" w:hAnsi="宋体"/>
          <w:sz w:val="24"/>
        </w:rPr>
      </w:pPr>
      <w:r>
        <w:rPr>
          <w:rFonts w:hint="eastAsia"/>
          <w:sz w:val="24"/>
        </w:rPr>
        <w:t>使用单位确认签名：</w:t>
      </w:r>
    </w:p>
    <w:p w14:paraId="749EBD77">
      <w:pPr>
        <w:spacing w:line="400" w:lineRule="exact"/>
        <w:ind w:firstLine="523" w:firstLineChars="218"/>
        <w:rPr>
          <w:rFonts w:ascii="宋体" w:hAnsi="宋体"/>
          <w:sz w:val="24"/>
        </w:rPr>
      </w:pPr>
      <w:r>
        <w:rPr>
          <w:rFonts w:hint="eastAsia" w:ascii="宋体" w:hAnsi="宋体"/>
          <w:sz w:val="24"/>
        </w:rPr>
        <w:t>电话：                            电话：</w:t>
      </w:r>
    </w:p>
    <w:p w14:paraId="35B11F1A">
      <w:pPr>
        <w:spacing w:line="400" w:lineRule="exact"/>
        <w:ind w:firstLine="523" w:firstLineChars="218"/>
        <w:rPr>
          <w:rFonts w:ascii="宋体" w:hAnsi="宋体"/>
          <w:sz w:val="24"/>
        </w:rPr>
      </w:pPr>
      <w:r>
        <w:rPr>
          <w:rFonts w:hint="eastAsia" w:ascii="宋体" w:hAnsi="宋体"/>
          <w:sz w:val="24"/>
        </w:rPr>
        <w:t xml:space="preserve">开户银行：                        开户银行： </w:t>
      </w:r>
    </w:p>
    <w:p w14:paraId="0F2368A8">
      <w:pPr>
        <w:spacing w:line="400" w:lineRule="exact"/>
        <w:ind w:firstLine="523" w:firstLineChars="218"/>
        <w:rPr>
          <w:rFonts w:ascii="宋体" w:hAnsi="宋体"/>
          <w:sz w:val="24"/>
        </w:rPr>
      </w:pPr>
      <w:r>
        <w:rPr>
          <w:rFonts w:hint="eastAsia" w:ascii="宋体" w:hAnsi="宋体"/>
          <w:sz w:val="24"/>
          <w:lang w:eastAsia="zh-CN"/>
        </w:rPr>
        <w:t>银行账号</w:t>
      </w:r>
      <w:r>
        <w:rPr>
          <w:rFonts w:hint="eastAsia" w:ascii="宋体" w:hAnsi="宋体"/>
          <w:sz w:val="24"/>
        </w:rPr>
        <w:t xml:space="preserve">：                        </w:t>
      </w:r>
      <w:r>
        <w:rPr>
          <w:rFonts w:hint="eastAsia" w:ascii="宋体" w:hAnsi="宋体"/>
          <w:sz w:val="24"/>
          <w:lang w:eastAsia="zh-CN"/>
        </w:rPr>
        <w:t>银行账号</w:t>
      </w:r>
      <w:r>
        <w:rPr>
          <w:rFonts w:hint="eastAsia" w:ascii="宋体" w:hAnsi="宋体"/>
          <w:sz w:val="24"/>
        </w:rPr>
        <w:t>：</w:t>
      </w:r>
    </w:p>
    <w:p w14:paraId="27BBD667">
      <w:pPr>
        <w:spacing w:line="400" w:lineRule="exact"/>
        <w:ind w:firstLine="523" w:firstLineChars="218"/>
        <w:rPr>
          <w:rFonts w:ascii="宋体" w:hAnsi="宋体"/>
          <w:sz w:val="24"/>
        </w:rPr>
      </w:pPr>
      <w:r>
        <w:rPr>
          <w:rFonts w:hint="eastAsia" w:ascii="宋体" w:hAnsi="宋体"/>
          <w:sz w:val="24"/>
        </w:rPr>
        <w:t xml:space="preserve">  年  月  日                        年  月  日</w:t>
      </w:r>
    </w:p>
    <w:p w14:paraId="31BB4902">
      <w:pPr>
        <w:spacing w:line="320" w:lineRule="exact"/>
        <w:rPr>
          <w:sz w:val="24"/>
        </w:rPr>
      </w:pPr>
    </w:p>
    <w:p w14:paraId="26BDDB7B">
      <w:pPr>
        <w:spacing w:line="320" w:lineRule="exact"/>
        <w:ind w:left="541" w:leftChars="258"/>
        <w:rPr>
          <w:sz w:val="24"/>
        </w:rPr>
      </w:pPr>
      <w:r>
        <w:rPr>
          <w:rFonts w:hint="eastAsia"/>
          <w:sz w:val="24"/>
        </w:rPr>
        <w:t>招标机构：海南省教学仪器设备招标中心有限公司</w:t>
      </w:r>
    </w:p>
    <w:p w14:paraId="596D65F1">
      <w:pPr>
        <w:spacing w:line="320" w:lineRule="exact"/>
        <w:ind w:left="541" w:leftChars="258"/>
        <w:rPr>
          <w:rFonts w:ascii="宋体" w:hAnsi="宋体"/>
          <w:sz w:val="24"/>
        </w:rPr>
      </w:pPr>
      <w:r>
        <w:rPr>
          <w:rFonts w:hint="eastAsia" w:ascii="宋体" w:hAnsi="宋体"/>
          <w:sz w:val="24"/>
        </w:rPr>
        <w:t>地  址：</w:t>
      </w:r>
      <w:r>
        <w:rPr>
          <w:rFonts w:ascii="宋体" w:hAnsi="宋体"/>
          <w:sz w:val="24"/>
        </w:rPr>
        <w:t>海口市</w:t>
      </w:r>
      <w:r>
        <w:rPr>
          <w:rFonts w:hint="eastAsia" w:ascii="宋体" w:hAnsi="宋体"/>
          <w:sz w:val="24"/>
        </w:rPr>
        <w:t>蓝天路西2-8</w:t>
      </w:r>
      <w:r>
        <w:rPr>
          <w:rFonts w:ascii="宋体" w:hAnsi="宋体"/>
          <w:sz w:val="24"/>
        </w:rPr>
        <w:t>号</w:t>
      </w:r>
    </w:p>
    <w:p w14:paraId="34AC6AF8">
      <w:pPr>
        <w:spacing w:line="320" w:lineRule="exact"/>
        <w:ind w:left="541" w:leftChars="258"/>
        <w:rPr>
          <w:rFonts w:ascii="宋体" w:hAnsi="宋体"/>
          <w:sz w:val="24"/>
        </w:rPr>
      </w:pPr>
      <w:r>
        <w:rPr>
          <w:rFonts w:hint="eastAsia" w:ascii="宋体" w:hAnsi="宋体"/>
          <w:sz w:val="24"/>
        </w:rPr>
        <w:t>电  话：0898－66757906</w:t>
      </w:r>
    </w:p>
    <w:p w14:paraId="68C5452B">
      <w:pPr>
        <w:spacing w:line="320" w:lineRule="exact"/>
        <w:ind w:left="541" w:leftChars="258"/>
        <w:rPr>
          <w:rFonts w:ascii="宋体" w:hAnsi="宋体"/>
          <w:sz w:val="24"/>
        </w:rPr>
      </w:pPr>
      <w:r>
        <w:rPr>
          <w:rFonts w:hint="eastAsia" w:ascii="宋体" w:hAnsi="宋体"/>
          <w:sz w:val="24"/>
        </w:rPr>
        <w:t>法定或授权代表：</w:t>
      </w:r>
    </w:p>
    <w:p w14:paraId="0AC6B7CB">
      <w:pPr>
        <w:spacing w:line="320" w:lineRule="exact"/>
        <w:ind w:left="541" w:leftChars="258"/>
        <w:rPr>
          <w:rFonts w:ascii="宋体" w:hAnsi="宋体"/>
          <w:sz w:val="24"/>
        </w:rPr>
      </w:pPr>
      <w:r>
        <w:rPr>
          <w:rFonts w:hint="eastAsia" w:ascii="宋体" w:hAnsi="宋体"/>
          <w:sz w:val="24"/>
        </w:rPr>
        <w:t>日期：  年  月  日</w:t>
      </w:r>
    </w:p>
    <w:p w14:paraId="74CBB791">
      <w:pPr>
        <w:snapToGrid w:val="0"/>
        <w:spacing w:before="19" w:line="340" w:lineRule="exact"/>
        <w:rPr>
          <w:rFonts w:ascii="宋体" w:hAnsi="宋体"/>
          <w:b/>
          <w:szCs w:val="21"/>
        </w:rPr>
      </w:pPr>
    </w:p>
    <w:p w14:paraId="2485EC1A">
      <w:pPr>
        <w:bidi w:val="0"/>
      </w:pPr>
      <w:r>
        <w:rPr>
          <w:rFonts w:hint="eastAsia"/>
        </w:rPr>
        <w:t>采购代理机构声明：本合同标的经采购代理机构依法定程序采购，合同主要条款内容与招响应文件的内容一致。</w:t>
      </w:r>
    </w:p>
    <w:p w14:paraId="2AA586D6">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pPr>
    </w:p>
    <w:p w14:paraId="758F7F2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pPr>
    </w:p>
    <w:p w14:paraId="19E593BE">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pPr>
    </w:p>
    <w:p w14:paraId="2A3137DF">
      <w:pPr>
        <w:bidi w:val="0"/>
        <w:rPr>
          <w:rFonts w:hint="eastAsia"/>
        </w:rPr>
      </w:pPr>
    </w:p>
    <w:p w14:paraId="45E4901B">
      <w:pPr>
        <w:rPr>
          <w:rFonts w:hint="eastAsia"/>
        </w:rPr>
      </w:pPr>
    </w:p>
    <w:p w14:paraId="32EF6285">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pPr>
    </w:p>
    <w:p w14:paraId="1413233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pPr>
    </w:p>
    <w:p w14:paraId="146EC74D">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pPr>
    </w:p>
    <w:p w14:paraId="3959C509">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pPr>
    </w:p>
    <w:p w14:paraId="7E6F7CD6">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hint="eastAsia" w:ascii="宋体"/>
          <w:b/>
          <w:bCs/>
          <w:kern w:val="0"/>
          <w:sz w:val="32"/>
          <w:szCs w:val="32"/>
        </w:rPr>
      </w:pPr>
    </w:p>
    <w:p w14:paraId="5BB93941">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outlineLvl w:val="0"/>
        <w:rPr>
          <w:rFonts w:ascii="宋体"/>
          <w:b/>
          <w:bCs/>
          <w:kern w:val="0"/>
          <w:sz w:val="32"/>
          <w:szCs w:val="32"/>
        </w:rPr>
      </w:pPr>
      <w:r>
        <w:rPr>
          <w:rFonts w:hint="eastAsia" w:ascii="宋体"/>
          <w:b/>
          <w:bCs/>
          <w:kern w:val="0"/>
          <w:sz w:val="32"/>
          <w:szCs w:val="32"/>
        </w:rPr>
        <w:t>第六部分  响应文件格式</w:t>
      </w:r>
    </w:p>
    <w:p w14:paraId="26869E21">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ascii="宋体"/>
          <w:b/>
          <w:bCs/>
          <w:kern w:val="0"/>
          <w:sz w:val="32"/>
          <w:szCs w:val="32"/>
        </w:rPr>
      </w:pPr>
    </w:p>
    <w:p w14:paraId="21BA68C9">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0" w:firstLineChars="525"/>
        <w:jc w:val="left"/>
        <w:rPr>
          <w:rFonts w:ascii="宋体"/>
          <w:b/>
          <w:bCs/>
          <w:kern w:val="0"/>
          <w:sz w:val="32"/>
          <w:szCs w:val="32"/>
        </w:rPr>
      </w:pPr>
    </w:p>
    <w:p w14:paraId="04280335">
      <w:pPr>
        <w:snapToGrid w:val="0"/>
        <w:spacing w:line="240" w:lineRule="atLeast"/>
        <w:jc w:val="center"/>
        <w:rPr>
          <w:rStyle w:val="63"/>
          <w:rFonts w:hAnsi="宋体"/>
          <w:b/>
          <w:kern w:val="0"/>
          <w:sz w:val="32"/>
          <w:szCs w:val="32"/>
        </w:rPr>
      </w:pPr>
      <w:r>
        <w:rPr>
          <w:rStyle w:val="63"/>
          <w:rFonts w:hAnsi="宋体"/>
          <w:b/>
          <w:kern w:val="0"/>
          <w:sz w:val="32"/>
          <w:szCs w:val="32"/>
        </w:rPr>
        <w:t xml:space="preserve">项目名称： </w:t>
      </w:r>
    </w:p>
    <w:p w14:paraId="0A4F4EB3">
      <w:pPr>
        <w:snapToGrid w:val="0"/>
        <w:spacing w:line="240" w:lineRule="atLeast"/>
        <w:jc w:val="center"/>
        <w:rPr>
          <w:rStyle w:val="63"/>
          <w:rFonts w:hAnsi="宋体"/>
          <w:b/>
          <w:kern w:val="0"/>
          <w:sz w:val="32"/>
          <w:szCs w:val="32"/>
        </w:rPr>
      </w:pPr>
    </w:p>
    <w:p w14:paraId="76314CE3">
      <w:pPr>
        <w:snapToGrid w:val="0"/>
        <w:spacing w:line="240" w:lineRule="atLeast"/>
        <w:jc w:val="center"/>
        <w:rPr>
          <w:rStyle w:val="63"/>
          <w:rFonts w:hAnsi="宋体"/>
          <w:b/>
          <w:kern w:val="0"/>
          <w:sz w:val="32"/>
          <w:szCs w:val="32"/>
        </w:rPr>
      </w:pPr>
      <w:r>
        <w:rPr>
          <w:rStyle w:val="63"/>
          <w:rFonts w:hAnsi="宋体"/>
          <w:b/>
          <w:kern w:val="0"/>
          <w:sz w:val="32"/>
          <w:szCs w:val="32"/>
        </w:rPr>
        <w:t>项目编号</w:t>
      </w:r>
      <w:r>
        <w:rPr>
          <w:rStyle w:val="63"/>
          <w:rFonts w:hint="eastAsia" w:hAnsi="宋体"/>
          <w:b/>
          <w:kern w:val="0"/>
          <w:sz w:val="32"/>
          <w:szCs w:val="32"/>
        </w:rPr>
        <w:t>：</w:t>
      </w:r>
    </w:p>
    <w:p w14:paraId="0005C075">
      <w:pPr>
        <w:pStyle w:val="104"/>
        <w:snapToGrid w:val="0"/>
        <w:rPr>
          <w:rStyle w:val="63"/>
          <w:rFonts w:hAnsi="宋体"/>
          <w:b/>
          <w:kern w:val="0"/>
          <w:sz w:val="32"/>
          <w:szCs w:val="32"/>
        </w:rPr>
      </w:pPr>
    </w:p>
    <w:p w14:paraId="0DB122FC">
      <w:pPr>
        <w:snapToGrid w:val="0"/>
        <w:spacing w:line="320" w:lineRule="exact"/>
        <w:ind w:right="2278" w:firstLine="3840" w:firstLineChars="1200"/>
        <w:rPr>
          <w:rStyle w:val="63"/>
          <w:rFonts w:hAnsi="宋体"/>
          <w:b/>
          <w:kern w:val="0"/>
          <w:sz w:val="32"/>
          <w:szCs w:val="32"/>
        </w:rPr>
      </w:pPr>
      <w:r>
        <w:rPr>
          <w:rStyle w:val="63"/>
          <w:rFonts w:hint="eastAsia" w:hAnsi="宋体"/>
          <w:b/>
          <w:kern w:val="0"/>
          <w:sz w:val="32"/>
          <w:szCs w:val="32"/>
        </w:rPr>
        <w:t>包号：</w:t>
      </w:r>
    </w:p>
    <w:p w14:paraId="32B36561">
      <w:pPr>
        <w:snapToGrid w:val="0"/>
        <w:ind w:right="2279"/>
        <w:rPr>
          <w:rStyle w:val="63"/>
          <w:rFonts w:hAnsi="宋体"/>
          <w:b/>
          <w:kern w:val="0"/>
          <w:sz w:val="32"/>
          <w:szCs w:val="32"/>
        </w:rPr>
      </w:pPr>
    </w:p>
    <w:p w14:paraId="5000C4C8">
      <w:pPr>
        <w:snapToGrid w:val="0"/>
        <w:ind w:right="2279"/>
        <w:jc w:val="center"/>
        <w:rPr>
          <w:rStyle w:val="63"/>
          <w:rFonts w:hAnsi="宋体"/>
          <w:b/>
          <w:kern w:val="0"/>
          <w:sz w:val="32"/>
          <w:szCs w:val="32"/>
        </w:rPr>
      </w:pPr>
      <w:r>
        <w:rPr>
          <w:rStyle w:val="63"/>
          <w:rFonts w:hAnsi="宋体"/>
          <w:b/>
          <w:kern w:val="0"/>
          <w:sz w:val="32"/>
          <w:szCs w:val="32"/>
        </w:rPr>
        <w:t xml:space="preserve">            响应文件</w:t>
      </w:r>
    </w:p>
    <w:p w14:paraId="135A6ED7">
      <w:pPr>
        <w:snapToGrid w:val="0"/>
        <w:spacing w:line="320" w:lineRule="exact"/>
        <w:ind w:right="2278"/>
        <w:rPr>
          <w:rStyle w:val="63"/>
          <w:rFonts w:hAnsi="宋体"/>
          <w:b/>
          <w:sz w:val="30"/>
          <w:szCs w:val="30"/>
        </w:rPr>
      </w:pPr>
    </w:p>
    <w:p w14:paraId="7C3A0C8B">
      <w:pPr>
        <w:snapToGrid w:val="0"/>
        <w:spacing w:line="320" w:lineRule="exact"/>
        <w:ind w:right="2278"/>
        <w:rPr>
          <w:rStyle w:val="63"/>
          <w:rFonts w:hAnsi="宋体"/>
          <w:b/>
          <w:sz w:val="30"/>
          <w:szCs w:val="30"/>
        </w:rPr>
      </w:pPr>
    </w:p>
    <w:p w14:paraId="62F2FFB7">
      <w:pPr>
        <w:snapToGrid w:val="0"/>
        <w:spacing w:line="320" w:lineRule="exact"/>
        <w:ind w:right="2278"/>
        <w:rPr>
          <w:rStyle w:val="63"/>
          <w:rFonts w:hAnsi="宋体"/>
          <w:b/>
          <w:sz w:val="30"/>
          <w:szCs w:val="30"/>
        </w:rPr>
      </w:pPr>
    </w:p>
    <w:p w14:paraId="1464147E">
      <w:pPr>
        <w:pStyle w:val="104"/>
      </w:pPr>
    </w:p>
    <w:p w14:paraId="65CAF22F">
      <w:pPr>
        <w:pStyle w:val="104"/>
      </w:pPr>
    </w:p>
    <w:p w14:paraId="1065789D">
      <w:pPr>
        <w:pStyle w:val="104"/>
      </w:pPr>
    </w:p>
    <w:p w14:paraId="23C8A22F">
      <w:pPr>
        <w:snapToGrid w:val="0"/>
        <w:spacing w:line="320" w:lineRule="exact"/>
        <w:ind w:right="2278"/>
        <w:rPr>
          <w:rStyle w:val="63"/>
          <w:rFonts w:hAnsi="宋体"/>
          <w:b/>
          <w:sz w:val="30"/>
          <w:szCs w:val="30"/>
        </w:rPr>
      </w:pPr>
    </w:p>
    <w:p w14:paraId="19F00E3C">
      <w:pPr>
        <w:snapToGrid w:val="0"/>
        <w:spacing w:line="320" w:lineRule="exact"/>
        <w:ind w:right="2278"/>
        <w:rPr>
          <w:rStyle w:val="63"/>
          <w:rFonts w:hAnsi="宋体"/>
          <w:b/>
          <w:sz w:val="30"/>
          <w:szCs w:val="30"/>
        </w:rPr>
      </w:pPr>
    </w:p>
    <w:p w14:paraId="2994D681">
      <w:pPr>
        <w:snapToGrid w:val="0"/>
        <w:spacing w:line="320" w:lineRule="exact"/>
        <w:ind w:right="2278"/>
        <w:rPr>
          <w:rStyle w:val="63"/>
          <w:rFonts w:hAnsi="宋体"/>
          <w:b/>
          <w:sz w:val="30"/>
          <w:szCs w:val="30"/>
        </w:rPr>
      </w:pPr>
    </w:p>
    <w:p w14:paraId="70B1FB70">
      <w:pPr>
        <w:snapToGrid w:val="0"/>
        <w:spacing w:line="320" w:lineRule="exact"/>
        <w:ind w:right="2278"/>
        <w:rPr>
          <w:rStyle w:val="63"/>
          <w:rFonts w:hAnsi="宋体"/>
          <w:b/>
          <w:sz w:val="30"/>
          <w:szCs w:val="30"/>
        </w:rPr>
      </w:pPr>
    </w:p>
    <w:p w14:paraId="56739C61">
      <w:pPr>
        <w:snapToGrid w:val="0"/>
        <w:spacing w:line="320" w:lineRule="exact"/>
        <w:ind w:right="2278"/>
        <w:rPr>
          <w:rStyle w:val="63"/>
          <w:rFonts w:hAnsi="宋体"/>
          <w:b/>
          <w:sz w:val="30"/>
          <w:szCs w:val="30"/>
        </w:rPr>
      </w:pPr>
    </w:p>
    <w:p w14:paraId="6BEE3233">
      <w:pPr>
        <w:snapToGrid w:val="0"/>
        <w:spacing w:line="320" w:lineRule="exact"/>
        <w:ind w:right="2278"/>
        <w:rPr>
          <w:rStyle w:val="63"/>
          <w:rFonts w:hAnsi="宋体"/>
          <w:b/>
          <w:sz w:val="30"/>
          <w:szCs w:val="30"/>
        </w:rPr>
      </w:pPr>
    </w:p>
    <w:p w14:paraId="4F7AE69C">
      <w:pPr>
        <w:snapToGrid w:val="0"/>
        <w:ind w:right="2279"/>
        <w:rPr>
          <w:rStyle w:val="63"/>
          <w:rFonts w:hAnsi="宋体"/>
          <w:b/>
          <w:sz w:val="30"/>
          <w:szCs w:val="30"/>
        </w:rPr>
      </w:pPr>
      <w:r>
        <w:rPr>
          <w:rStyle w:val="63"/>
          <w:rFonts w:hAnsi="宋体"/>
          <w:b/>
          <w:sz w:val="30"/>
          <w:szCs w:val="30"/>
        </w:rPr>
        <w:t>供应商名称：               （盖章）</w:t>
      </w:r>
    </w:p>
    <w:p w14:paraId="7D2B76B7">
      <w:pPr>
        <w:snapToGrid w:val="0"/>
        <w:ind w:right="2279"/>
        <w:rPr>
          <w:rStyle w:val="63"/>
          <w:rFonts w:hAnsi="宋体"/>
          <w:b/>
          <w:sz w:val="30"/>
          <w:szCs w:val="30"/>
        </w:rPr>
      </w:pPr>
      <w:r>
        <w:rPr>
          <w:rStyle w:val="63"/>
          <w:rFonts w:hAnsi="宋体"/>
          <w:b/>
          <w:sz w:val="30"/>
          <w:szCs w:val="30"/>
        </w:rPr>
        <w:t>公司地址：</w:t>
      </w:r>
    </w:p>
    <w:p w14:paraId="3812B468">
      <w:pPr>
        <w:snapToGrid w:val="0"/>
        <w:ind w:right="2279"/>
        <w:rPr>
          <w:rStyle w:val="63"/>
          <w:rFonts w:hAnsi="宋体"/>
          <w:b/>
          <w:sz w:val="30"/>
          <w:szCs w:val="30"/>
        </w:rPr>
      </w:pPr>
      <w:r>
        <w:rPr>
          <w:rStyle w:val="63"/>
          <w:rFonts w:hAnsi="宋体"/>
          <w:b/>
          <w:sz w:val="30"/>
          <w:szCs w:val="30"/>
        </w:rPr>
        <w:t>联系人：</w:t>
      </w:r>
    </w:p>
    <w:p w14:paraId="3FF80BED">
      <w:pPr>
        <w:snapToGrid w:val="0"/>
        <w:ind w:right="2279"/>
        <w:rPr>
          <w:rStyle w:val="63"/>
          <w:rFonts w:hAnsi="宋体"/>
          <w:b/>
          <w:sz w:val="30"/>
          <w:szCs w:val="30"/>
        </w:rPr>
      </w:pPr>
      <w:r>
        <w:rPr>
          <w:rStyle w:val="63"/>
          <w:rFonts w:hAnsi="宋体"/>
          <w:b/>
          <w:sz w:val="30"/>
          <w:szCs w:val="30"/>
        </w:rPr>
        <w:t>联系电话：</w:t>
      </w:r>
    </w:p>
    <w:p w14:paraId="545CD7FA">
      <w:pPr>
        <w:snapToGrid w:val="0"/>
        <w:spacing w:line="320" w:lineRule="exact"/>
        <w:ind w:right="2278"/>
        <w:rPr>
          <w:rStyle w:val="63"/>
          <w:rFonts w:hAnsi="宋体"/>
          <w:b/>
          <w:sz w:val="30"/>
          <w:szCs w:val="30"/>
        </w:rPr>
      </w:pPr>
      <w:r>
        <w:rPr>
          <w:rStyle w:val="63"/>
          <w:rFonts w:hAnsi="宋体"/>
          <w:b/>
          <w:sz w:val="30"/>
          <w:szCs w:val="30"/>
        </w:rPr>
        <w:t>日期：</w:t>
      </w:r>
    </w:p>
    <w:p w14:paraId="00F94F99">
      <w:pPr>
        <w:snapToGrid w:val="0"/>
        <w:spacing w:line="320" w:lineRule="exact"/>
        <w:ind w:right="2278"/>
        <w:rPr>
          <w:rStyle w:val="63"/>
          <w:rFonts w:hAnsi="宋体"/>
          <w:b/>
          <w:sz w:val="30"/>
          <w:szCs w:val="30"/>
        </w:rPr>
      </w:pPr>
    </w:p>
    <w:p w14:paraId="4E11BD05">
      <w:pPr>
        <w:pStyle w:val="104"/>
      </w:pPr>
    </w:p>
    <w:p w14:paraId="1AD7DFC2">
      <w:pPr>
        <w:pStyle w:val="104"/>
      </w:pPr>
    </w:p>
    <w:p w14:paraId="2E0799BA">
      <w:pPr>
        <w:pStyle w:val="104"/>
      </w:pPr>
    </w:p>
    <w:p w14:paraId="7F2ECA75">
      <w:pPr>
        <w:pStyle w:val="104"/>
      </w:pPr>
    </w:p>
    <w:p w14:paraId="496AFC78">
      <w:pPr>
        <w:pStyle w:val="104"/>
      </w:pPr>
    </w:p>
    <w:p w14:paraId="7908534D">
      <w:pPr>
        <w:pStyle w:val="104"/>
      </w:pPr>
    </w:p>
    <w:p w14:paraId="530C0207">
      <w:pPr>
        <w:pStyle w:val="104"/>
      </w:pPr>
    </w:p>
    <w:p w14:paraId="608B7C00">
      <w:pPr>
        <w:pStyle w:val="104"/>
      </w:pPr>
    </w:p>
    <w:p w14:paraId="713BAC8A">
      <w:pPr>
        <w:snapToGrid w:val="0"/>
        <w:spacing w:line="320" w:lineRule="exact"/>
        <w:ind w:right="2278"/>
        <w:jc w:val="center"/>
        <w:rPr>
          <w:rStyle w:val="63"/>
          <w:rFonts w:hAnsi="宋体"/>
          <w:b/>
          <w:sz w:val="30"/>
          <w:szCs w:val="30"/>
        </w:rPr>
      </w:pPr>
      <w:r>
        <w:rPr>
          <w:rStyle w:val="63"/>
          <w:rFonts w:hint="eastAsia" w:hAnsi="宋体"/>
          <w:b/>
          <w:sz w:val="30"/>
          <w:szCs w:val="30"/>
          <w:lang w:val="en-US" w:eastAsia="zh-CN"/>
        </w:rPr>
        <w:t xml:space="preserve">            </w:t>
      </w:r>
      <w:r>
        <w:rPr>
          <w:rStyle w:val="63"/>
          <w:rFonts w:hint="eastAsia" w:hAnsi="宋体"/>
          <w:b/>
          <w:sz w:val="30"/>
          <w:szCs w:val="30"/>
        </w:rPr>
        <w:t>目  录</w:t>
      </w:r>
    </w:p>
    <w:p w14:paraId="67237E46">
      <w:pPr>
        <w:pStyle w:val="104"/>
        <w:ind w:firstLine="3600" w:firstLineChars="1200"/>
        <w:rPr>
          <w:rStyle w:val="63"/>
          <w:rFonts w:hAnsi="宋体"/>
          <w:b/>
          <w:sz w:val="30"/>
          <w:szCs w:val="30"/>
        </w:rPr>
        <w:sectPr>
          <w:pgSz w:w="11906" w:h="16838"/>
          <w:pgMar w:top="1134" w:right="1134" w:bottom="1134" w:left="1134" w:header="851" w:footer="992" w:gutter="0"/>
          <w:cols w:space="720" w:num="1"/>
          <w:docGrid w:type="linesAndChars" w:linePitch="312" w:charSpace="0"/>
        </w:sectPr>
      </w:pPr>
      <w:r>
        <w:rPr>
          <w:rStyle w:val="63"/>
          <w:rFonts w:hint="eastAsia" w:hAnsi="宋体"/>
          <w:b/>
          <w:sz w:val="30"/>
          <w:szCs w:val="30"/>
        </w:rPr>
        <w:t>（请自行编制）</w:t>
      </w:r>
    </w:p>
    <w:p w14:paraId="2ED1F3A5">
      <w:pPr>
        <w:spacing w:line="320" w:lineRule="exact"/>
        <w:ind w:right="2278"/>
        <w:outlineLvl w:val="0"/>
        <w:rPr>
          <w:rFonts w:ascii="宋体" w:hAnsi="宋体"/>
          <w:b/>
          <w:sz w:val="24"/>
        </w:rPr>
      </w:pPr>
      <w:r>
        <w:rPr>
          <w:rFonts w:hint="eastAsia" w:ascii="宋体" w:hAnsi="宋体"/>
          <w:b/>
          <w:sz w:val="24"/>
        </w:rPr>
        <w:t>附件1</w:t>
      </w:r>
    </w:p>
    <w:p w14:paraId="15B0D2EF">
      <w:pPr>
        <w:jc w:val="center"/>
        <w:rPr>
          <w:b/>
          <w:bCs/>
          <w:sz w:val="24"/>
          <w:szCs w:val="32"/>
        </w:rPr>
      </w:pPr>
      <w:r>
        <w:rPr>
          <w:rFonts w:hint="eastAsia"/>
          <w:b/>
          <w:bCs/>
          <w:sz w:val="24"/>
          <w:szCs w:val="32"/>
        </w:rPr>
        <w:t>响应函</w:t>
      </w:r>
    </w:p>
    <w:p w14:paraId="3EE03A6F">
      <w:pPr>
        <w:jc w:val="center"/>
      </w:pPr>
    </w:p>
    <w:p w14:paraId="694FDF4F">
      <w:pPr>
        <w:rPr>
          <w:sz w:val="24"/>
          <w:szCs w:val="32"/>
        </w:rPr>
      </w:pPr>
      <w:r>
        <w:rPr>
          <w:rFonts w:hint="eastAsia"/>
          <w:sz w:val="24"/>
          <w:szCs w:val="32"/>
        </w:rPr>
        <w:t>致：海南省教学仪器设备招标中心有限公司：</w:t>
      </w:r>
    </w:p>
    <w:p w14:paraId="632DBB33"/>
    <w:p w14:paraId="3CCD7963">
      <w:pPr>
        <w:spacing w:line="360" w:lineRule="exact"/>
        <w:ind w:firstLine="480"/>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0" allowOverlap="1">
                <wp:simplePos x="0" y="0"/>
                <wp:positionH relativeFrom="column">
                  <wp:posOffset>4686300</wp:posOffset>
                </wp:positionH>
                <wp:positionV relativeFrom="paragraph">
                  <wp:posOffset>213995</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369pt;margin-top:16.85pt;height:0pt;width:0.05pt;z-index:251659264;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o0NLXVAAAACQEAAA8AAAAAAAAA&#10;AQAgAAAAIgAAAGRycy9kb3ducmV2LnhtbFBLAQIUABQAAAAIAIdO4kCUv1+j2wEAAOMDAAAOAAAA&#10;AAAAAAEAIAAAACQBAABkcnMvZTJvRG9jLnhtbFBLBQYAAAAABgAGAFkBAABxBQAAAAA=&#10;">
                <v:fill on="f" focussize="0,0"/>
                <v:stroke color="#000000" joinstyle="round"/>
                <v:imagedata o:title=""/>
                <o:lock v:ext="edit" aspectratio="f"/>
              </v:line>
            </w:pict>
          </mc:Fallback>
        </mc:AlternateContent>
      </w:r>
      <w:r>
        <w:rPr>
          <w:rFonts w:hint="eastAsia" w:ascii="宋体" w:hAnsi="宋体"/>
          <w:sz w:val="24"/>
        </w:rPr>
        <w:t>根据贵方为“”项目的邀请（项目编号：HNJY2025- - ），正式授权下签字代表（全名、职务）代表响应供应商（供应商名称、地址）提交响应文件正本壹份和副本</w:t>
      </w:r>
      <w:r>
        <w:rPr>
          <w:rFonts w:hint="eastAsia" w:ascii="宋体" w:hAnsi="宋体"/>
          <w:sz w:val="24"/>
          <w:lang w:val="en-US" w:eastAsia="zh-CN"/>
        </w:rPr>
        <w:t>贰</w:t>
      </w:r>
      <w:r>
        <w:rPr>
          <w:rFonts w:hint="eastAsia" w:ascii="宋体" w:hAnsi="宋体"/>
          <w:sz w:val="24"/>
        </w:rPr>
        <w:t>份及电子版壹份（U盘内附盖章版的正本PDF格式响应文件）。</w:t>
      </w:r>
    </w:p>
    <w:p w14:paraId="2C70DEB5">
      <w:pPr>
        <w:snapToGrid w:val="0"/>
        <w:spacing w:line="480" w:lineRule="exact"/>
        <w:ind w:firstLine="480" w:firstLineChars="200"/>
        <w:rPr>
          <w:rFonts w:ascii="宋体" w:hAnsi="宋体"/>
          <w:sz w:val="24"/>
        </w:rPr>
      </w:pPr>
      <w:r>
        <w:rPr>
          <w:rFonts w:hint="eastAsia" w:ascii="宋体" w:hAnsi="宋体"/>
          <w:sz w:val="24"/>
        </w:rPr>
        <w:t>根据此函，我们宣布同意如下：</w:t>
      </w:r>
    </w:p>
    <w:p w14:paraId="0C0855D3">
      <w:pPr>
        <w:snapToGrid w:val="0"/>
        <w:spacing w:line="480" w:lineRule="exact"/>
        <w:rPr>
          <w:rFonts w:ascii="宋体" w:hAnsi="宋体"/>
          <w:sz w:val="24"/>
        </w:rPr>
      </w:pPr>
      <w:r>
        <w:rPr>
          <w:rFonts w:hint="eastAsia" w:ascii="宋体" w:hAnsi="宋体"/>
          <w:sz w:val="24"/>
        </w:rPr>
        <w:t xml:space="preserve">    1.我方同意竞争性磋商采购文件包括修改文件（如有的话）以及全部参考资料和有关附件的所有条款和规定。我们完全理解并同意放弃对这方面有不明及误解的权利。</w:t>
      </w:r>
    </w:p>
    <w:p w14:paraId="3CD3BC06">
      <w:pPr>
        <w:snapToGrid w:val="0"/>
        <w:spacing w:line="480" w:lineRule="exact"/>
        <w:ind w:firstLine="480" w:firstLineChars="200"/>
        <w:rPr>
          <w:rFonts w:ascii="宋体" w:hAnsi="宋体"/>
          <w:sz w:val="24"/>
        </w:rPr>
      </w:pPr>
      <w:r>
        <w:rPr>
          <w:rFonts w:hint="eastAsia" w:ascii="宋体" w:hAnsi="宋体"/>
          <w:sz w:val="24"/>
        </w:rPr>
        <w:t>2.我方同意按照竞争性磋商采购文件第三部分 “供应商须知”的规定，本响应文件的有效期为自递交响应文件截止日期起计算的90天，在此期间，本响应文件将始终对我方具有约束力，并可随时被接受。</w:t>
      </w:r>
    </w:p>
    <w:p w14:paraId="78CBBC0E">
      <w:pPr>
        <w:snapToGrid w:val="0"/>
        <w:spacing w:line="480" w:lineRule="exact"/>
        <w:ind w:firstLine="480" w:firstLineChars="200"/>
        <w:rPr>
          <w:rFonts w:ascii="宋体" w:hAnsi="宋体"/>
          <w:sz w:val="24"/>
        </w:rPr>
      </w:pPr>
      <w:r>
        <w:rPr>
          <w:rFonts w:hint="eastAsia" w:ascii="宋体" w:hAnsi="宋体"/>
          <w:sz w:val="24"/>
        </w:rPr>
        <w:t xml:space="preserve">3.我们同意提供贵单位要求的有关本次响应的所有资料或证据，并保证资料、证据的真实有效性。    </w:t>
      </w:r>
    </w:p>
    <w:p w14:paraId="339F84A5">
      <w:pPr>
        <w:snapToGrid w:val="0"/>
        <w:spacing w:line="480" w:lineRule="exact"/>
        <w:ind w:firstLine="480" w:firstLineChars="200"/>
        <w:rPr>
          <w:rFonts w:ascii="宋体" w:hAnsi="宋体"/>
          <w:sz w:val="24"/>
        </w:rPr>
      </w:pPr>
      <w:r>
        <w:rPr>
          <w:rFonts w:hint="eastAsia" w:ascii="宋体" w:hAnsi="宋体"/>
          <w:sz w:val="24"/>
        </w:rPr>
        <w:t>4.如果我方成交，我们将根据竞争性磋商采购文件的规定严格履行自己的责任和义务。</w:t>
      </w:r>
    </w:p>
    <w:p w14:paraId="784802A2">
      <w:pPr>
        <w:snapToGrid w:val="0"/>
        <w:spacing w:line="480" w:lineRule="exact"/>
        <w:ind w:firstLine="480" w:firstLineChars="200"/>
        <w:rPr>
          <w:rFonts w:hint="eastAsia" w:ascii="宋体" w:hAnsi="宋体"/>
          <w:sz w:val="24"/>
        </w:rPr>
      </w:pPr>
      <w:r>
        <w:rPr>
          <w:rFonts w:hint="eastAsia" w:ascii="宋体" w:hAnsi="宋体"/>
          <w:sz w:val="24"/>
        </w:rPr>
        <w:t>5.如果我方成交，我方将支付本次采购活动的代理服务费。</w:t>
      </w:r>
    </w:p>
    <w:p w14:paraId="36911C4F">
      <w:pPr>
        <w:snapToGrid w:val="0"/>
        <w:spacing w:line="480" w:lineRule="exact"/>
        <w:ind w:firstLine="480" w:firstLineChars="200"/>
        <w:rPr>
          <w:rFonts w:hint="default" w:ascii="宋体" w:hAnsi="宋体" w:eastAsia="宋体"/>
          <w:sz w:val="24"/>
          <w:lang w:val="en-US" w:eastAsia="zh-CN"/>
        </w:rPr>
      </w:pPr>
      <w:r>
        <w:rPr>
          <w:rFonts w:hint="eastAsia" w:ascii="宋体" w:hAnsi="宋体"/>
          <w:sz w:val="24"/>
          <w:lang w:val="en-US" w:eastAsia="zh-CN"/>
        </w:rPr>
        <w:t>6、</w:t>
      </w:r>
      <w:r>
        <w:rPr>
          <w:rFonts w:hint="eastAsia" w:ascii="宋体" w:hAnsi="宋体"/>
          <w:sz w:val="24"/>
        </w:rPr>
        <w:t>如果我方成交，我方将</w:t>
      </w:r>
      <w:r>
        <w:rPr>
          <w:rFonts w:hint="eastAsia" w:ascii="宋体" w:hAnsi="宋体"/>
          <w:sz w:val="24"/>
          <w:lang w:val="en-US" w:eastAsia="zh-CN"/>
        </w:rPr>
        <w:t>按采购人指定地点交付（服务）。</w:t>
      </w:r>
    </w:p>
    <w:p w14:paraId="55775C44">
      <w:pPr>
        <w:snapToGrid w:val="0"/>
        <w:spacing w:line="480" w:lineRule="exact"/>
        <w:ind w:firstLine="570"/>
        <w:rPr>
          <w:rFonts w:ascii="宋体" w:hAnsi="宋体"/>
          <w:sz w:val="24"/>
        </w:rPr>
      </w:pPr>
    </w:p>
    <w:p w14:paraId="70FCF964">
      <w:pPr>
        <w:snapToGrid w:val="0"/>
        <w:spacing w:line="480" w:lineRule="exact"/>
        <w:rPr>
          <w:rFonts w:ascii="宋体" w:hAnsi="宋体"/>
          <w:sz w:val="24"/>
        </w:rPr>
      </w:pPr>
      <w:r>
        <w:rPr>
          <w:rFonts w:hint="eastAsia" w:ascii="宋体" w:hAnsi="宋体"/>
          <w:sz w:val="24"/>
        </w:rPr>
        <w:t xml:space="preserve">        供应商名称：</w:t>
      </w:r>
      <w:r>
        <w:rPr>
          <w:rFonts w:hint="eastAsia" w:ascii="宋体" w:hAnsi="宋体"/>
          <w:sz w:val="24"/>
          <w:u w:val="single"/>
        </w:rPr>
        <w:t xml:space="preserve">              （公章）</w:t>
      </w:r>
    </w:p>
    <w:p w14:paraId="1463DD7A">
      <w:pPr>
        <w:snapToGrid w:val="0"/>
        <w:spacing w:line="480" w:lineRule="exact"/>
        <w:rPr>
          <w:rFonts w:ascii="宋体" w:hAnsi="宋体"/>
          <w:sz w:val="24"/>
          <w:u w:val="single"/>
        </w:rPr>
      </w:pPr>
      <w:r>
        <w:rPr>
          <w:rFonts w:hint="eastAsia" w:ascii="宋体" w:hAnsi="宋体"/>
          <w:sz w:val="24"/>
        </w:rPr>
        <w:t xml:space="preserve">        地址：邮编：</w:t>
      </w:r>
    </w:p>
    <w:p w14:paraId="71248447">
      <w:pPr>
        <w:snapToGrid w:val="0"/>
        <w:spacing w:line="480" w:lineRule="exact"/>
        <w:rPr>
          <w:rFonts w:ascii="宋体" w:hAnsi="宋体"/>
          <w:sz w:val="24"/>
          <w:u w:val="single"/>
        </w:rPr>
      </w:pPr>
      <w:r>
        <w:rPr>
          <w:rFonts w:hint="eastAsia" w:ascii="宋体" w:hAnsi="宋体"/>
          <w:sz w:val="24"/>
        </w:rPr>
        <w:t xml:space="preserve">        电话：传真：</w:t>
      </w:r>
    </w:p>
    <w:p w14:paraId="00A698E8">
      <w:pPr>
        <w:snapToGrid w:val="0"/>
        <w:spacing w:line="480" w:lineRule="exact"/>
        <w:rPr>
          <w:rFonts w:ascii="宋体" w:hAnsi="宋体"/>
          <w:sz w:val="24"/>
          <w:u w:val="single"/>
        </w:rPr>
      </w:pPr>
      <w:r>
        <w:rPr>
          <w:rFonts w:hint="eastAsia" w:ascii="宋体" w:hAnsi="宋体"/>
          <w:sz w:val="24"/>
        </w:rPr>
        <w:t xml:space="preserve">        授权代表签字：   职务：</w:t>
      </w:r>
    </w:p>
    <w:p w14:paraId="08148562">
      <w:pPr>
        <w:snapToGrid w:val="0"/>
        <w:spacing w:line="480" w:lineRule="exact"/>
        <w:rPr>
          <w:rFonts w:ascii="宋体" w:hAnsi="宋体"/>
          <w:sz w:val="24"/>
          <w:u w:val="single"/>
        </w:rPr>
      </w:pPr>
      <w:r>
        <w:rPr>
          <w:rFonts w:hint="eastAsia" w:ascii="宋体" w:hAnsi="宋体"/>
          <w:sz w:val="24"/>
        </w:rPr>
        <w:t xml:space="preserve">        日期：</w:t>
      </w:r>
    </w:p>
    <w:p w14:paraId="6ACBBDD9">
      <w:pPr>
        <w:spacing w:line="360" w:lineRule="exact"/>
        <w:rPr>
          <w:rFonts w:ascii="宋体" w:hAnsi="宋体"/>
          <w:sz w:val="24"/>
        </w:rPr>
      </w:pPr>
    </w:p>
    <w:p w14:paraId="7A8DB086">
      <w:pPr>
        <w:spacing w:line="360" w:lineRule="exact"/>
        <w:rPr>
          <w:rFonts w:ascii="宋体" w:hAnsi="宋体"/>
          <w:sz w:val="24"/>
        </w:rPr>
      </w:pPr>
    </w:p>
    <w:p w14:paraId="57692A3F">
      <w:pPr>
        <w:sectPr>
          <w:pgSz w:w="11906" w:h="16838"/>
          <w:pgMar w:top="1134" w:right="1134" w:bottom="1134" w:left="1134" w:header="851" w:footer="992" w:gutter="0"/>
          <w:cols w:space="720" w:num="1"/>
          <w:docGrid w:type="linesAndChars" w:linePitch="312" w:charSpace="0"/>
        </w:sectPr>
      </w:pPr>
    </w:p>
    <w:p w14:paraId="150BF2A4">
      <w:pPr>
        <w:pStyle w:val="22"/>
        <w:spacing w:line="360" w:lineRule="exact"/>
        <w:ind w:left="480" w:right="508" w:hanging="480"/>
        <w:jc w:val="both"/>
        <w:outlineLvl w:val="0"/>
        <w:rPr>
          <w:b/>
          <w:kern w:val="2"/>
          <w:szCs w:val="24"/>
        </w:rPr>
      </w:pPr>
      <w:r>
        <w:rPr>
          <w:rFonts w:hint="eastAsia"/>
          <w:b/>
          <w:kern w:val="2"/>
          <w:szCs w:val="24"/>
        </w:rPr>
        <w:t>附件2</w:t>
      </w:r>
    </w:p>
    <w:p w14:paraId="0BBF0113">
      <w:pPr>
        <w:pStyle w:val="86"/>
        <w:ind w:firstLine="482"/>
        <w:jc w:val="center"/>
        <w:rPr>
          <w:rFonts w:ascii="宋体" w:hAnsi="宋体"/>
          <w:b/>
          <w:bCs/>
          <w:kern w:val="2"/>
        </w:rPr>
      </w:pPr>
      <w:r>
        <w:rPr>
          <w:rFonts w:hint="eastAsia" w:ascii="宋体" w:hAnsi="宋体"/>
          <w:b/>
          <w:bCs/>
          <w:kern w:val="2"/>
        </w:rPr>
        <w:t>报价一览表</w:t>
      </w:r>
    </w:p>
    <w:p w14:paraId="18E21575">
      <w:pPr>
        <w:bidi w:val="0"/>
        <w:rPr>
          <w:rFonts w:hint="eastAsia"/>
        </w:rPr>
      </w:pPr>
    </w:p>
    <w:p w14:paraId="3CFFA0BF">
      <w:pPr>
        <w:bidi w:val="0"/>
        <w:rPr>
          <w:rFonts w:hint="eastAsia"/>
        </w:rPr>
      </w:pPr>
      <w:r>
        <w:rPr>
          <w:rFonts w:hint="eastAsia"/>
        </w:rPr>
        <w:t>项目名称：</w:t>
      </w:r>
    </w:p>
    <w:p w14:paraId="54AC4E2C">
      <w:pPr>
        <w:spacing w:line="360" w:lineRule="exact"/>
        <w:rPr>
          <w:rFonts w:hint="eastAsia" w:ascii="宋体" w:hAnsi="宋体"/>
          <w:sz w:val="24"/>
        </w:rPr>
      </w:pPr>
      <w:r>
        <w:rPr>
          <w:rFonts w:hint="eastAsia" w:ascii="宋体" w:hAnsi="宋体"/>
          <w:sz w:val="24"/>
        </w:rPr>
        <w:t xml:space="preserve">供应商名称： （盖章）                           </w:t>
      </w:r>
    </w:p>
    <w:p w14:paraId="0CCCC559">
      <w:pPr>
        <w:spacing w:line="360" w:lineRule="exact"/>
        <w:rPr>
          <w:rFonts w:hint="eastAsia" w:ascii="宋体" w:hAnsi="宋体"/>
          <w:sz w:val="24"/>
        </w:rPr>
      </w:pPr>
    </w:p>
    <w:tbl>
      <w:tblPr>
        <w:tblStyle w:val="37"/>
        <w:tblW w:w="9760" w:type="dxa"/>
        <w:jc w:val="center"/>
        <w:tblLayout w:type="fixed"/>
        <w:tblCellMar>
          <w:top w:w="40" w:type="dxa"/>
          <w:left w:w="64" w:type="dxa"/>
          <w:bottom w:w="40" w:type="dxa"/>
          <w:right w:w="64" w:type="dxa"/>
        </w:tblCellMar>
      </w:tblPr>
      <w:tblGrid>
        <w:gridCol w:w="621"/>
        <w:gridCol w:w="1111"/>
        <w:gridCol w:w="2339"/>
        <w:gridCol w:w="621"/>
        <w:gridCol w:w="621"/>
        <w:gridCol w:w="621"/>
        <w:gridCol w:w="1603"/>
        <w:gridCol w:w="865"/>
        <w:gridCol w:w="1358"/>
      </w:tblGrid>
      <w:tr w14:paraId="73E63285">
        <w:tblPrEx>
          <w:tblCellMar>
            <w:top w:w="40" w:type="dxa"/>
            <w:left w:w="64" w:type="dxa"/>
            <w:bottom w:w="40" w:type="dxa"/>
            <w:right w:w="64" w:type="dxa"/>
          </w:tblCellMar>
        </w:tblPrEx>
        <w:trPr>
          <w:trHeight w:val="0" w:hRule="atLeast"/>
          <w:jc w:val="center"/>
        </w:trPr>
        <w:tc>
          <w:tcPr>
            <w:tcW w:w="621" w:type="dxa"/>
            <w:tcBorders>
              <w:top w:val="single" w:color="auto" w:sz="6" w:space="0"/>
              <w:left w:val="single" w:color="auto" w:sz="6" w:space="0"/>
              <w:bottom w:val="single" w:color="auto" w:sz="6" w:space="0"/>
              <w:right w:val="single" w:color="auto" w:sz="6" w:space="0"/>
            </w:tcBorders>
            <w:vAlign w:val="center"/>
          </w:tcPr>
          <w:p w14:paraId="5533D609">
            <w:pPr>
              <w:snapToGrid w:val="0"/>
              <w:spacing w:line="360" w:lineRule="exact"/>
              <w:jc w:val="center"/>
              <w:rPr>
                <w:rFonts w:hint="eastAsia" w:ascii="宋体" w:hAnsi="宋体"/>
                <w:sz w:val="24"/>
              </w:rPr>
            </w:pPr>
            <w:r>
              <w:rPr>
                <w:rFonts w:hint="eastAsia" w:ascii="宋体" w:hAnsi="宋体"/>
                <w:sz w:val="24"/>
              </w:rPr>
              <w:t>1</w:t>
            </w:r>
          </w:p>
        </w:tc>
        <w:tc>
          <w:tcPr>
            <w:tcW w:w="1111" w:type="dxa"/>
            <w:tcBorders>
              <w:top w:val="single" w:color="auto" w:sz="6" w:space="0"/>
              <w:left w:val="single" w:color="auto" w:sz="6" w:space="0"/>
              <w:bottom w:val="single" w:color="auto" w:sz="6" w:space="0"/>
              <w:right w:val="single" w:color="auto" w:sz="6" w:space="0"/>
            </w:tcBorders>
            <w:vAlign w:val="center"/>
          </w:tcPr>
          <w:p w14:paraId="32F7A71C">
            <w:pPr>
              <w:snapToGrid w:val="0"/>
              <w:spacing w:line="360" w:lineRule="exact"/>
              <w:jc w:val="center"/>
              <w:rPr>
                <w:rFonts w:hint="eastAsia" w:ascii="宋体" w:hAnsi="宋体"/>
                <w:sz w:val="24"/>
              </w:rPr>
            </w:pPr>
            <w:r>
              <w:rPr>
                <w:rFonts w:hint="eastAsia" w:ascii="宋体" w:hAnsi="宋体"/>
                <w:sz w:val="24"/>
              </w:rPr>
              <w:t>2</w:t>
            </w:r>
          </w:p>
        </w:tc>
        <w:tc>
          <w:tcPr>
            <w:tcW w:w="2339" w:type="dxa"/>
            <w:tcBorders>
              <w:top w:val="single" w:color="auto" w:sz="6" w:space="0"/>
              <w:left w:val="single" w:color="auto" w:sz="6" w:space="0"/>
              <w:bottom w:val="single" w:color="auto" w:sz="6" w:space="0"/>
              <w:right w:val="single" w:color="auto" w:sz="6" w:space="0"/>
            </w:tcBorders>
            <w:vAlign w:val="center"/>
          </w:tcPr>
          <w:p w14:paraId="4F767BA7">
            <w:pPr>
              <w:snapToGrid w:val="0"/>
              <w:spacing w:line="360" w:lineRule="exact"/>
              <w:jc w:val="center"/>
              <w:rPr>
                <w:rFonts w:hint="eastAsia" w:ascii="宋体" w:hAnsi="宋体"/>
                <w:sz w:val="24"/>
              </w:rPr>
            </w:pPr>
            <w:r>
              <w:rPr>
                <w:rFonts w:hint="eastAsia" w:ascii="宋体" w:hAnsi="宋体"/>
                <w:sz w:val="24"/>
              </w:rPr>
              <w:t>3</w:t>
            </w:r>
          </w:p>
        </w:tc>
        <w:tc>
          <w:tcPr>
            <w:tcW w:w="621" w:type="dxa"/>
            <w:tcBorders>
              <w:top w:val="single" w:color="auto" w:sz="6" w:space="0"/>
              <w:left w:val="single" w:color="auto" w:sz="6" w:space="0"/>
              <w:bottom w:val="single" w:color="auto" w:sz="6" w:space="0"/>
              <w:right w:val="single" w:color="auto" w:sz="4" w:space="0"/>
            </w:tcBorders>
            <w:vAlign w:val="center"/>
          </w:tcPr>
          <w:p w14:paraId="6E06416C">
            <w:pPr>
              <w:snapToGrid w:val="0"/>
              <w:spacing w:line="360" w:lineRule="exact"/>
              <w:jc w:val="center"/>
              <w:rPr>
                <w:rFonts w:hint="eastAsia" w:ascii="宋体" w:hAnsi="宋体"/>
                <w:sz w:val="24"/>
              </w:rPr>
            </w:pPr>
            <w:r>
              <w:rPr>
                <w:rFonts w:hint="eastAsia" w:ascii="宋体" w:hAnsi="宋体"/>
                <w:sz w:val="24"/>
              </w:rPr>
              <w:t>4</w:t>
            </w:r>
          </w:p>
        </w:tc>
        <w:tc>
          <w:tcPr>
            <w:tcW w:w="621" w:type="dxa"/>
            <w:tcBorders>
              <w:top w:val="single" w:color="auto" w:sz="6" w:space="0"/>
              <w:left w:val="single" w:color="auto" w:sz="4" w:space="0"/>
              <w:bottom w:val="single" w:color="auto" w:sz="6" w:space="0"/>
              <w:right w:val="single" w:color="auto" w:sz="4" w:space="0"/>
            </w:tcBorders>
            <w:vAlign w:val="center"/>
          </w:tcPr>
          <w:p w14:paraId="1E2F55F0">
            <w:pPr>
              <w:snapToGrid w:val="0"/>
              <w:spacing w:line="360" w:lineRule="exact"/>
              <w:jc w:val="center"/>
              <w:rPr>
                <w:rFonts w:hint="eastAsia" w:ascii="宋体" w:hAnsi="宋体"/>
                <w:sz w:val="24"/>
              </w:rPr>
            </w:pPr>
            <w:r>
              <w:rPr>
                <w:rFonts w:hint="eastAsia" w:ascii="宋体" w:hAnsi="宋体"/>
                <w:sz w:val="24"/>
              </w:rPr>
              <w:t>5</w:t>
            </w:r>
          </w:p>
        </w:tc>
        <w:tc>
          <w:tcPr>
            <w:tcW w:w="621" w:type="dxa"/>
            <w:tcBorders>
              <w:top w:val="single" w:color="auto" w:sz="6" w:space="0"/>
              <w:left w:val="single" w:color="auto" w:sz="4" w:space="0"/>
              <w:bottom w:val="single" w:color="auto" w:sz="6" w:space="0"/>
              <w:right w:val="single" w:color="auto" w:sz="6" w:space="0"/>
            </w:tcBorders>
            <w:vAlign w:val="center"/>
          </w:tcPr>
          <w:p w14:paraId="71F96BCF">
            <w:pPr>
              <w:snapToGrid w:val="0"/>
              <w:spacing w:line="360" w:lineRule="exact"/>
              <w:jc w:val="center"/>
              <w:rPr>
                <w:rFonts w:hint="eastAsia" w:ascii="宋体" w:hAnsi="宋体"/>
                <w:sz w:val="24"/>
              </w:rPr>
            </w:pPr>
            <w:r>
              <w:rPr>
                <w:rFonts w:hint="eastAsia" w:ascii="宋体" w:hAnsi="宋体"/>
                <w:sz w:val="24"/>
              </w:rPr>
              <w:t>6</w:t>
            </w:r>
          </w:p>
        </w:tc>
        <w:tc>
          <w:tcPr>
            <w:tcW w:w="1603" w:type="dxa"/>
            <w:tcBorders>
              <w:top w:val="single" w:color="auto" w:sz="6" w:space="0"/>
              <w:left w:val="single" w:color="auto" w:sz="6" w:space="0"/>
              <w:bottom w:val="single" w:color="auto" w:sz="6" w:space="0"/>
              <w:right w:val="single" w:color="auto" w:sz="4" w:space="0"/>
            </w:tcBorders>
            <w:vAlign w:val="center"/>
          </w:tcPr>
          <w:p w14:paraId="37449446">
            <w:pPr>
              <w:snapToGrid w:val="0"/>
              <w:spacing w:line="360" w:lineRule="exact"/>
              <w:jc w:val="center"/>
              <w:rPr>
                <w:rFonts w:hint="eastAsia" w:ascii="宋体" w:hAnsi="宋体"/>
                <w:sz w:val="24"/>
              </w:rPr>
            </w:pPr>
            <w:r>
              <w:rPr>
                <w:rFonts w:hint="eastAsia" w:ascii="宋体" w:hAnsi="宋体"/>
                <w:sz w:val="24"/>
              </w:rPr>
              <w:t>7</w:t>
            </w:r>
          </w:p>
        </w:tc>
        <w:tc>
          <w:tcPr>
            <w:tcW w:w="865" w:type="dxa"/>
            <w:tcBorders>
              <w:top w:val="single" w:color="auto" w:sz="6" w:space="0"/>
              <w:left w:val="single" w:color="auto" w:sz="4" w:space="0"/>
              <w:bottom w:val="single" w:color="auto" w:sz="6" w:space="0"/>
              <w:right w:val="single" w:color="auto" w:sz="4" w:space="0"/>
            </w:tcBorders>
            <w:vAlign w:val="center"/>
          </w:tcPr>
          <w:p w14:paraId="634D4314">
            <w:pPr>
              <w:snapToGrid w:val="0"/>
              <w:spacing w:line="360" w:lineRule="exact"/>
              <w:jc w:val="center"/>
              <w:rPr>
                <w:rFonts w:hint="eastAsia" w:ascii="宋体" w:hAnsi="宋体"/>
                <w:sz w:val="24"/>
              </w:rPr>
            </w:pPr>
            <w:r>
              <w:rPr>
                <w:rFonts w:hint="eastAsia" w:ascii="宋体" w:hAnsi="宋体"/>
                <w:sz w:val="24"/>
              </w:rPr>
              <w:t>8</w:t>
            </w:r>
          </w:p>
        </w:tc>
        <w:tc>
          <w:tcPr>
            <w:tcW w:w="1358" w:type="dxa"/>
            <w:tcBorders>
              <w:top w:val="single" w:color="auto" w:sz="6" w:space="0"/>
              <w:left w:val="single" w:color="auto" w:sz="4" w:space="0"/>
              <w:bottom w:val="single" w:color="auto" w:sz="6" w:space="0"/>
              <w:right w:val="single" w:color="auto" w:sz="4" w:space="0"/>
            </w:tcBorders>
          </w:tcPr>
          <w:p w14:paraId="73EC74C9">
            <w:pPr>
              <w:snapToGrid w:val="0"/>
              <w:spacing w:line="360" w:lineRule="exact"/>
              <w:jc w:val="center"/>
              <w:rPr>
                <w:rFonts w:hint="eastAsia" w:ascii="宋体" w:hAnsi="宋体"/>
                <w:sz w:val="24"/>
              </w:rPr>
            </w:pPr>
            <w:r>
              <w:rPr>
                <w:rFonts w:hint="eastAsia" w:ascii="宋体" w:hAnsi="宋体"/>
                <w:sz w:val="24"/>
              </w:rPr>
              <w:t>9</w:t>
            </w:r>
          </w:p>
        </w:tc>
      </w:tr>
      <w:tr w14:paraId="7042AC33">
        <w:tblPrEx>
          <w:tblCellMar>
            <w:top w:w="40" w:type="dxa"/>
            <w:left w:w="64" w:type="dxa"/>
            <w:bottom w:w="40" w:type="dxa"/>
            <w:right w:w="64" w:type="dxa"/>
          </w:tblCellMar>
        </w:tblPrEx>
        <w:trPr>
          <w:trHeight w:val="0" w:hRule="atLeast"/>
          <w:jc w:val="center"/>
        </w:trPr>
        <w:tc>
          <w:tcPr>
            <w:tcW w:w="621" w:type="dxa"/>
            <w:tcBorders>
              <w:top w:val="single" w:color="auto" w:sz="6" w:space="0"/>
              <w:left w:val="single" w:color="auto" w:sz="6" w:space="0"/>
              <w:bottom w:val="single" w:color="auto" w:sz="6" w:space="0"/>
              <w:right w:val="single" w:color="auto" w:sz="6" w:space="0"/>
            </w:tcBorders>
            <w:vAlign w:val="center"/>
          </w:tcPr>
          <w:p w14:paraId="39D6B01D">
            <w:pPr>
              <w:snapToGrid w:val="0"/>
              <w:spacing w:line="360" w:lineRule="exact"/>
              <w:jc w:val="center"/>
              <w:rPr>
                <w:rFonts w:hint="eastAsia" w:ascii="宋体" w:hAnsi="宋体"/>
                <w:sz w:val="24"/>
              </w:rPr>
            </w:pPr>
            <w:r>
              <w:rPr>
                <w:rFonts w:hint="eastAsia" w:ascii="宋体" w:hAnsi="宋体"/>
                <w:sz w:val="24"/>
              </w:rPr>
              <w:t>序号</w:t>
            </w:r>
          </w:p>
        </w:tc>
        <w:tc>
          <w:tcPr>
            <w:tcW w:w="1111" w:type="dxa"/>
            <w:tcBorders>
              <w:top w:val="single" w:color="auto" w:sz="6" w:space="0"/>
              <w:left w:val="single" w:color="auto" w:sz="6" w:space="0"/>
              <w:bottom w:val="single" w:color="auto" w:sz="6" w:space="0"/>
              <w:right w:val="single" w:color="auto" w:sz="6" w:space="0"/>
            </w:tcBorders>
            <w:vAlign w:val="center"/>
          </w:tcPr>
          <w:p w14:paraId="3A1EA95A">
            <w:pPr>
              <w:snapToGrid w:val="0"/>
              <w:spacing w:line="360" w:lineRule="exact"/>
              <w:jc w:val="center"/>
              <w:rPr>
                <w:rFonts w:hint="eastAsia" w:ascii="宋体" w:hAnsi="宋体"/>
                <w:sz w:val="24"/>
              </w:rPr>
            </w:pPr>
            <w:r>
              <w:rPr>
                <w:rFonts w:hint="eastAsia" w:ascii="宋体" w:hAnsi="宋体"/>
                <w:sz w:val="24"/>
              </w:rPr>
              <w:t>服务名称</w:t>
            </w:r>
          </w:p>
        </w:tc>
        <w:tc>
          <w:tcPr>
            <w:tcW w:w="2339" w:type="dxa"/>
            <w:tcBorders>
              <w:top w:val="single" w:color="auto" w:sz="6" w:space="0"/>
              <w:left w:val="single" w:color="auto" w:sz="6" w:space="0"/>
              <w:bottom w:val="single" w:color="auto" w:sz="6" w:space="0"/>
              <w:right w:val="single" w:color="auto" w:sz="6" w:space="0"/>
            </w:tcBorders>
            <w:vAlign w:val="center"/>
          </w:tcPr>
          <w:p w14:paraId="2B7E5580">
            <w:pPr>
              <w:snapToGrid w:val="0"/>
              <w:spacing w:line="360" w:lineRule="exact"/>
              <w:jc w:val="center"/>
              <w:rPr>
                <w:rFonts w:hint="eastAsia" w:ascii="宋体" w:hAnsi="宋体"/>
                <w:sz w:val="24"/>
              </w:rPr>
            </w:pPr>
            <w:r>
              <w:rPr>
                <w:rFonts w:hint="eastAsia" w:ascii="宋体" w:hAnsi="宋体"/>
                <w:sz w:val="24"/>
              </w:rPr>
              <w:t>技术参数、服务要求</w:t>
            </w:r>
          </w:p>
        </w:tc>
        <w:tc>
          <w:tcPr>
            <w:tcW w:w="621" w:type="dxa"/>
            <w:tcBorders>
              <w:top w:val="single" w:color="auto" w:sz="6" w:space="0"/>
              <w:left w:val="single" w:color="auto" w:sz="6" w:space="0"/>
              <w:bottom w:val="single" w:color="auto" w:sz="6" w:space="0"/>
              <w:right w:val="single" w:color="auto" w:sz="4" w:space="0"/>
            </w:tcBorders>
            <w:vAlign w:val="center"/>
          </w:tcPr>
          <w:p w14:paraId="48933CDD">
            <w:pPr>
              <w:snapToGrid w:val="0"/>
              <w:spacing w:line="360" w:lineRule="exact"/>
              <w:jc w:val="center"/>
              <w:rPr>
                <w:rFonts w:hint="eastAsia" w:ascii="宋体" w:hAnsi="宋体"/>
                <w:sz w:val="24"/>
              </w:rPr>
            </w:pPr>
            <w:r>
              <w:rPr>
                <w:rFonts w:hint="eastAsia" w:ascii="宋体" w:hAnsi="宋体"/>
                <w:sz w:val="24"/>
              </w:rPr>
              <w:t>数量</w:t>
            </w:r>
          </w:p>
        </w:tc>
        <w:tc>
          <w:tcPr>
            <w:tcW w:w="621" w:type="dxa"/>
            <w:tcBorders>
              <w:top w:val="single" w:color="auto" w:sz="6" w:space="0"/>
              <w:left w:val="single" w:color="auto" w:sz="4" w:space="0"/>
              <w:bottom w:val="single" w:color="auto" w:sz="6" w:space="0"/>
              <w:right w:val="single" w:color="auto" w:sz="4" w:space="0"/>
            </w:tcBorders>
            <w:vAlign w:val="center"/>
          </w:tcPr>
          <w:p w14:paraId="1B744991">
            <w:pPr>
              <w:snapToGrid w:val="0"/>
              <w:spacing w:line="360" w:lineRule="exact"/>
              <w:jc w:val="center"/>
              <w:rPr>
                <w:rFonts w:hint="eastAsia" w:ascii="宋体" w:hAnsi="宋体"/>
                <w:sz w:val="24"/>
              </w:rPr>
            </w:pPr>
            <w:r>
              <w:rPr>
                <w:rFonts w:hint="eastAsia" w:ascii="宋体" w:hAnsi="宋体"/>
                <w:sz w:val="24"/>
              </w:rPr>
              <w:t>单位</w:t>
            </w:r>
          </w:p>
        </w:tc>
        <w:tc>
          <w:tcPr>
            <w:tcW w:w="621" w:type="dxa"/>
            <w:tcBorders>
              <w:top w:val="single" w:color="auto" w:sz="6" w:space="0"/>
              <w:left w:val="single" w:color="auto" w:sz="4" w:space="0"/>
              <w:bottom w:val="single" w:color="auto" w:sz="6" w:space="0"/>
              <w:right w:val="single" w:color="auto" w:sz="6" w:space="0"/>
            </w:tcBorders>
            <w:vAlign w:val="center"/>
          </w:tcPr>
          <w:p w14:paraId="2ED3D4A6">
            <w:pPr>
              <w:snapToGrid w:val="0"/>
              <w:spacing w:line="360" w:lineRule="exact"/>
              <w:jc w:val="center"/>
              <w:rPr>
                <w:rFonts w:hint="eastAsia" w:ascii="宋体" w:hAnsi="宋体"/>
                <w:sz w:val="24"/>
              </w:rPr>
            </w:pPr>
            <w:r>
              <w:rPr>
                <w:rFonts w:hint="eastAsia" w:ascii="宋体" w:hAnsi="宋体"/>
                <w:sz w:val="24"/>
              </w:rPr>
              <w:t>单价</w:t>
            </w:r>
          </w:p>
        </w:tc>
        <w:tc>
          <w:tcPr>
            <w:tcW w:w="1603" w:type="dxa"/>
            <w:tcBorders>
              <w:top w:val="single" w:color="auto" w:sz="6" w:space="0"/>
              <w:left w:val="single" w:color="auto" w:sz="6" w:space="0"/>
              <w:bottom w:val="single" w:color="auto" w:sz="6" w:space="0"/>
              <w:right w:val="single" w:color="auto" w:sz="4" w:space="0"/>
            </w:tcBorders>
            <w:vAlign w:val="center"/>
          </w:tcPr>
          <w:p w14:paraId="14EB6F96">
            <w:pPr>
              <w:snapToGrid w:val="0"/>
              <w:spacing w:line="360" w:lineRule="exact"/>
              <w:jc w:val="center"/>
              <w:rPr>
                <w:rFonts w:hint="eastAsia" w:ascii="宋体" w:hAnsi="宋体"/>
                <w:sz w:val="24"/>
              </w:rPr>
            </w:pPr>
            <w:r>
              <w:rPr>
                <w:rFonts w:hint="eastAsia" w:ascii="宋体" w:hAnsi="宋体"/>
                <w:sz w:val="24"/>
              </w:rPr>
              <w:t>投标单项总价</w:t>
            </w:r>
          </w:p>
        </w:tc>
        <w:tc>
          <w:tcPr>
            <w:tcW w:w="865" w:type="dxa"/>
            <w:tcBorders>
              <w:top w:val="single" w:color="auto" w:sz="6" w:space="0"/>
              <w:left w:val="single" w:color="auto" w:sz="4" w:space="0"/>
              <w:bottom w:val="single" w:color="auto" w:sz="6" w:space="0"/>
              <w:right w:val="single" w:color="auto" w:sz="4" w:space="0"/>
            </w:tcBorders>
            <w:vAlign w:val="center"/>
          </w:tcPr>
          <w:p w14:paraId="0339E966">
            <w:pPr>
              <w:snapToGrid w:val="0"/>
              <w:spacing w:line="360" w:lineRule="exact"/>
              <w:jc w:val="center"/>
              <w:rPr>
                <w:rFonts w:hint="eastAsia" w:ascii="宋体" w:hAnsi="宋体"/>
                <w:sz w:val="24"/>
              </w:rPr>
            </w:pPr>
            <w:r>
              <w:rPr>
                <w:rFonts w:hint="eastAsia" w:ascii="宋体" w:hAnsi="宋体"/>
                <w:sz w:val="24"/>
                <w:lang w:eastAsia="zh-CN"/>
              </w:rPr>
              <w:t>服务</w:t>
            </w:r>
            <w:r>
              <w:rPr>
                <w:rFonts w:hint="eastAsia" w:ascii="宋体" w:hAnsi="宋体"/>
                <w:sz w:val="24"/>
              </w:rPr>
              <w:t>期</w:t>
            </w:r>
          </w:p>
        </w:tc>
        <w:tc>
          <w:tcPr>
            <w:tcW w:w="1358" w:type="dxa"/>
            <w:tcBorders>
              <w:top w:val="single" w:color="auto" w:sz="6" w:space="0"/>
              <w:left w:val="single" w:color="auto" w:sz="4" w:space="0"/>
              <w:bottom w:val="single" w:color="auto" w:sz="6" w:space="0"/>
              <w:right w:val="single" w:color="auto" w:sz="4" w:space="0"/>
            </w:tcBorders>
            <w:vAlign w:val="center"/>
          </w:tcPr>
          <w:p w14:paraId="10407CBA">
            <w:pPr>
              <w:snapToGrid w:val="0"/>
              <w:spacing w:line="360" w:lineRule="exact"/>
              <w:jc w:val="center"/>
              <w:rPr>
                <w:rFonts w:hint="eastAsia" w:ascii="宋体" w:hAnsi="宋体"/>
                <w:sz w:val="24"/>
              </w:rPr>
            </w:pPr>
            <w:r>
              <w:rPr>
                <w:rFonts w:hint="eastAsia" w:ascii="宋体" w:hAnsi="宋体"/>
                <w:sz w:val="24"/>
              </w:rPr>
              <w:t>免费质保期</w:t>
            </w:r>
          </w:p>
        </w:tc>
      </w:tr>
      <w:tr w14:paraId="112EE1C5">
        <w:tblPrEx>
          <w:tblCellMar>
            <w:top w:w="40" w:type="dxa"/>
            <w:left w:w="64" w:type="dxa"/>
            <w:bottom w:w="40" w:type="dxa"/>
            <w:right w:w="64" w:type="dxa"/>
          </w:tblCellMar>
        </w:tblPrEx>
        <w:trPr>
          <w:trHeight w:val="0" w:hRule="atLeast"/>
          <w:jc w:val="center"/>
        </w:trPr>
        <w:tc>
          <w:tcPr>
            <w:tcW w:w="621" w:type="dxa"/>
            <w:tcBorders>
              <w:top w:val="single" w:color="auto" w:sz="6" w:space="0"/>
              <w:left w:val="single" w:color="auto" w:sz="6" w:space="0"/>
              <w:bottom w:val="single" w:color="auto" w:sz="4" w:space="0"/>
              <w:right w:val="single" w:color="auto" w:sz="6" w:space="0"/>
            </w:tcBorders>
          </w:tcPr>
          <w:p w14:paraId="3AE400CD">
            <w:pPr>
              <w:snapToGrid w:val="0"/>
              <w:spacing w:line="360" w:lineRule="exact"/>
              <w:rPr>
                <w:rFonts w:hint="eastAsia" w:ascii="宋体" w:hAnsi="宋体"/>
                <w:sz w:val="24"/>
              </w:rPr>
            </w:pPr>
          </w:p>
        </w:tc>
        <w:tc>
          <w:tcPr>
            <w:tcW w:w="1111" w:type="dxa"/>
            <w:tcBorders>
              <w:top w:val="single" w:color="auto" w:sz="6" w:space="0"/>
              <w:left w:val="single" w:color="auto" w:sz="6" w:space="0"/>
              <w:bottom w:val="single" w:color="auto" w:sz="4" w:space="0"/>
              <w:right w:val="single" w:color="auto" w:sz="6" w:space="0"/>
            </w:tcBorders>
          </w:tcPr>
          <w:p w14:paraId="617E0F64">
            <w:pPr>
              <w:snapToGrid w:val="0"/>
              <w:spacing w:line="360" w:lineRule="exact"/>
              <w:rPr>
                <w:rFonts w:hint="eastAsia" w:ascii="宋体" w:hAnsi="宋体"/>
                <w:sz w:val="24"/>
              </w:rPr>
            </w:pPr>
          </w:p>
        </w:tc>
        <w:tc>
          <w:tcPr>
            <w:tcW w:w="2339" w:type="dxa"/>
            <w:tcBorders>
              <w:top w:val="single" w:color="auto" w:sz="6" w:space="0"/>
              <w:left w:val="single" w:color="auto" w:sz="6" w:space="0"/>
              <w:bottom w:val="single" w:color="auto" w:sz="4" w:space="0"/>
              <w:right w:val="single" w:color="auto" w:sz="6" w:space="0"/>
            </w:tcBorders>
          </w:tcPr>
          <w:p w14:paraId="46F79CC4">
            <w:pPr>
              <w:snapToGrid w:val="0"/>
              <w:spacing w:line="360" w:lineRule="exact"/>
              <w:rPr>
                <w:rFonts w:hint="eastAsia" w:ascii="宋体" w:hAnsi="宋体"/>
                <w:sz w:val="24"/>
              </w:rPr>
            </w:pPr>
          </w:p>
        </w:tc>
        <w:tc>
          <w:tcPr>
            <w:tcW w:w="621" w:type="dxa"/>
            <w:tcBorders>
              <w:top w:val="single" w:color="auto" w:sz="6" w:space="0"/>
              <w:left w:val="single" w:color="auto" w:sz="6" w:space="0"/>
              <w:bottom w:val="single" w:color="auto" w:sz="4" w:space="0"/>
              <w:right w:val="single" w:color="auto" w:sz="4" w:space="0"/>
            </w:tcBorders>
          </w:tcPr>
          <w:p w14:paraId="2EFD866E">
            <w:pPr>
              <w:snapToGrid w:val="0"/>
              <w:spacing w:line="360" w:lineRule="exact"/>
              <w:rPr>
                <w:rFonts w:hint="eastAsia" w:ascii="宋体" w:hAnsi="宋体"/>
                <w:sz w:val="24"/>
              </w:rPr>
            </w:pPr>
          </w:p>
        </w:tc>
        <w:tc>
          <w:tcPr>
            <w:tcW w:w="621" w:type="dxa"/>
            <w:tcBorders>
              <w:top w:val="single" w:color="auto" w:sz="6" w:space="0"/>
              <w:left w:val="single" w:color="auto" w:sz="4" w:space="0"/>
              <w:bottom w:val="single" w:color="auto" w:sz="4" w:space="0"/>
              <w:right w:val="single" w:color="auto" w:sz="4" w:space="0"/>
            </w:tcBorders>
          </w:tcPr>
          <w:p w14:paraId="5EC829B3">
            <w:pPr>
              <w:snapToGrid w:val="0"/>
              <w:spacing w:line="360" w:lineRule="exact"/>
              <w:rPr>
                <w:rFonts w:hint="eastAsia" w:ascii="宋体" w:hAnsi="宋体"/>
                <w:sz w:val="24"/>
              </w:rPr>
            </w:pPr>
          </w:p>
        </w:tc>
        <w:tc>
          <w:tcPr>
            <w:tcW w:w="621" w:type="dxa"/>
            <w:tcBorders>
              <w:top w:val="single" w:color="auto" w:sz="6" w:space="0"/>
              <w:left w:val="single" w:color="auto" w:sz="4" w:space="0"/>
              <w:bottom w:val="single" w:color="auto" w:sz="4" w:space="0"/>
              <w:right w:val="single" w:color="auto" w:sz="6" w:space="0"/>
            </w:tcBorders>
          </w:tcPr>
          <w:p w14:paraId="25D99D7C">
            <w:pPr>
              <w:snapToGrid w:val="0"/>
              <w:spacing w:line="360" w:lineRule="exact"/>
              <w:rPr>
                <w:rFonts w:hint="eastAsia" w:ascii="宋体" w:hAnsi="宋体"/>
                <w:sz w:val="24"/>
              </w:rPr>
            </w:pPr>
          </w:p>
        </w:tc>
        <w:tc>
          <w:tcPr>
            <w:tcW w:w="1603" w:type="dxa"/>
            <w:tcBorders>
              <w:top w:val="single" w:color="auto" w:sz="6" w:space="0"/>
              <w:left w:val="single" w:color="auto" w:sz="6" w:space="0"/>
              <w:bottom w:val="single" w:color="auto" w:sz="4" w:space="0"/>
              <w:right w:val="single" w:color="auto" w:sz="4" w:space="0"/>
            </w:tcBorders>
          </w:tcPr>
          <w:p w14:paraId="35188C6D">
            <w:pPr>
              <w:snapToGrid w:val="0"/>
              <w:spacing w:line="360" w:lineRule="exact"/>
              <w:rPr>
                <w:rFonts w:hint="eastAsia" w:ascii="宋体" w:hAnsi="宋体"/>
                <w:sz w:val="24"/>
              </w:rPr>
            </w:pPr>
          </w:p>
        </w:tc>
        <w:tc>
          <w:tcPr>
            <w:tcW w:w="865" w:type="dxa"/>
            <w:tcBorders>
              <w:top w:val="single" w:color="auto" w:sz="6" w:space="0"/>
              <w:left w:val="single" w:color="auto" w:sz="4" w:space="0"/>
              <w:bottom w:val="single" w:color="auto" w:sz="4" w:space="0"/>
              <w:right w:val="single" w:color="auto" w:sz="4" w:space="0"/>
            </w:tcBorders>
          </w:tcPr>
          <w:p w14:paraId="321C06B9">
            <w:pPr>
              <w:snapToGrid w:val="0"/>
              <w:spacing w:line="360" w:lineRule="exact"/>
              <w:rPr>
                <w:rFonts w:hint="eastAsia" w:ascii="宋体" w:hAnsi="宋体"/>
                <w:sz w:val="24"/>
              </w:rPr>
            </w:pPr>
          </w:p>
        </w:tc>
        <w:tc>
          <w:tcPr>
            <w:tcW w:w="1358" w:type="dxa"/>
            <w:tcBorders>
              <w:top w:val="single" w:color="auto" w:sz="6" w:space="0"/>
              <w:left w:val="single" w:color="auto" w:sz="4" w:space="0"/>
              <w:bottom w:val="single" w:color="auto" w:sz="4" w:space="0"/>
              <w:right w:val="single" w:color="auto" w:sz="4" w:space="0"/>
            </w:tcBorders>
          </w:tcPr>
          <w:p w14:paraId="49347F74">
            <w:pPr>
              <w:snapToGrid w:val="0"/>
              <w:spacing w:line="360" w:lineRule="exact"/>
              <w:rPr>
                <w:rFonts w:hint="eastAsia" w:ascii="宋体" w:hAnsi="宋体"/>
                <w:sz w:val="24"/>
              </w:rPr>
            </w:pPr>
          </w:p>
        </w:tc>
      </w:tr>
      <w:tr w14:paraId="440DBC42">
        <w:tblPrEx>
          <w:tblCellMar>
            <w:top w:w="40" w:type="dxa"/>
            <w:left w:w="64" w:type="dxa"/>
            <w:bottom w:w="40" w:type="dxa"/>
            <w:right w:w="64" w:type="dxa"/>
          </w:tblCellMar>
        </w:tblPrEx>
        <w:trPr>
          <w:trHeight w:val="0" w:hRule="atLeast"/>
          <w:jc w:val="center"/>
        </w:trPr>
        <w:tc>
          <w:tcPr>
            <w:tcW w:w="621" w:type="dxa"/>
            <w:tcBorders>
              <w:top w:val="single" w:color="auto" w:sz="4" w:space="0"/>
              <w:left w:val="single" w:color="auto" w:sz="6" w:space="0"/>
              <w:bottom w:val="single" w:color="auto" w:sz="4" w:space="0"/>
              <w:right w:val="single" w:color="auto" w:sz="6" w:space="0"/>
            </w:tcBorders>
          </w:tcPr>
          <w:p w14:paraId="723C0E0F">
            <w:pPr>
              <w:snapToGrid w:val="0"/>
              <w:spacing w:line="360" w:lineRule="exact"/>
              <w:rPr>
                <w:rFonts w:hint="eastAsia" w:ascii="宋体" w:hAnsi="宋体"/>
                <w:sz w:val="24"/>
              </w:rPr>
            </w:pPr>
          </w:p>
        </w:tc>
        <w:tc>
          <w:tcPr>
            <w:tcW w:w="1111" w:type="dxa"/>
            <w:tcBorders>
              <w:top w:val="single" w:color="auto" w:sz="4" w:space="0"/>
              <w:left w:val="single" w:color="auto" w:sz="6" w:space="0"/>
              <w:bottom w:val="single" w:color="auto" w:sz="4" w:space="0"/>
              <w:right w:val="single" w:color="auto" w:sz="6" w:space="0"/>
            </w:tcBorders>
          </w:tcPr>
          <w:p w14:paraId="12DA05E6">
            <w:pPr>
              <w:snapToGrid w:val="0"/>
              <w:spacing w:line="360" w:lineRule="exact"/>
              <w:rPr>
                <w:rFonts w:hint="eastAsia" w:ascii="宋体" w:hAnsi="宋体"/>
                <w:sz w:val="24"/>
              </w:rPr>
            </w:pPr>
          </w:p>
        </w:tc>
        <w:tc>
          <w:tcPr>
            <w:tcW w:w="2339" w:type="dxa"/>
            <w:tcBorders>
              <w:top w:val="single" w:color="auto" w:sz="4" w:space="0"/>
              <w:left w:val="single" w:color="auto" w:sz="6" w:space="0"/>
              <w:bottom w:val="single" w:color="auto" w:sz="4" w:space="0"/>
              <w:right w:val="single" w:color="auto" w:sz="6" w:space="0"/>
            </w:tcBorders>
          </w:tcPr>
          <w:p w14:paraId="77D2D82B">
            <w:pPr>
              <w:snapToGrid w:val="0"/>
              <w:spacing w:line="360" w:lineRule="exact"/>
              <w:rPr>
                <w:rFonts w:hint="eastAsia" w:ascii="宋体" w:hAnsi="宋体"/>
                <w:sz w:val="24"/>
              </w:rPr>
            </w:pPr>
          </w:p>
        </w:tc>
        <w:tc>
          <w:tcPr>
            <w:tcW w:w="621" w:type="dxa"/>
            <w:tcBorders>
              <w:top w:val="single" w:color="auto" w:sz="4" w:space="0"/>
              <w:left w:val="single" w:color="auto" w:sz="6" w:space="0"/>
              <w:bottom w:val="single" w:color="auto" w:sz="4" w:space="0"/>
              <w:right w:val="single" w:color="auto" w:sz="4" w:space="0"/>
            </w:tcBorders>
          </w:tcPr>
          <w:p w14:paraId="05080B76">
            <w:pPr>
              <w:snapToGrid w:val="0"/>
              <w:spacing w:line="360" w:lineRule="exact"/>
              <w:rPr>
                <w:rFonts w:hint="eastAsia" w:ascii="宋体" w:hAnsi="宋体"/>
                <w:sz w:val="24"/>
              </w:rPr>
            </w:pPr>
          </w:p>
        </w:tc>
        <w:tc>
          <w:tcPr>
            <w:tcW w:w="621" w:type="dxa"/>
            <w:tcBorders>
              <w:top w:val="single" w:color="auto" w:sz="4" w:space="0"/>
              <w:left w:val="single" w:color="auto" w:sz="4" w:space="0"/>
              <w:bottom w:val="single" w:color="auto" w:sz="4" w:space="0"/>
              <w:right w:val="single" w:color="auto" w:sz="4" w:space="0"/>
            </w:tcBorders>
          </w:tcPr>
          <w:p w14:paraId="4333E656">
            <w:pPr>
              <w:snapToGrid w:val="0"/>
              <w:spacing w:line="360" w:lineRule="exact"/>
              <w:rPr>
                <w:rFonts w:hint="eastAsia" w:ascii="宋体" w:hAnsi="宋体"/>
                <w:sz w:val="24"/>
              </w:rPr>
            </w:pPr>
          </w:p>
        </w:tc>
        <w:tc>
          <w:tcPr>
            <w:tcW w:w="621" w:type="dxa"/>
            <w:tcBorders>
              <w:top w:val="single" w:color="auto" w:sz="4" w:space="0"/>
              <w:left w:val="single" w:color="auto" w:sz="4" w:space="0"/>
              <w:bottom w:val="single" w:color="auto" w:sz="4" w:space="0"/>
              <w:right w:val="single" w:color="auto" w:sz="6" w:space="0"/>
            </w:tcBorders>
          </w:tcPr>
          <w:p w14:paraId="36461742">
            <w:pPr>
              <w:snapToGrid w:val="0"/>
              <w:spacing w:line="360" w:lineRule="exact"/>
              <w:rPr>
                <w:rFonts w:hint="eastAsia" w:ascii="宋体" w:hAnsi="宋体"/>
                <w:sz w:val="24"/>
              </w:rPr>
            </w:pPr>
          </w:p>
        </w:tc>
        <w:tc>
          <w:tcPr>
            <w:tcW w:w="1603" w:type="dxa"/>
            <w:tcBorders>
              <w:top w:val="single" w:color="auto" w:sz="4" w:space="0"/>
              <w:left w:val="single" w:color="auto" w:sz="6" w:space="0"/>
              <w:bottom w:val="single" w:color="auto" w:sz="4" w:space="0"/>
              <w:right w:val="single" w:color="auto" w:sz="4" w:space="0"/>
            </w:tcBorders>
          </w:tcPr>
          <w:p w14:paraId="21ABE136">
            <w:pPr>
              <w:snapToGrid w:val="0"/>
              <w:spacing w:line="360" w:lineRule="exact"/>
              <w:rPr>
                <w:rFonts w:hint="eastAsia" w:ascii="宋体" w:hAnsi="宋体"/>
                <w:sz w:val="24"/>
              </w:rPr>
            </w:pPr>
          </w:p>
        </w:tc>
        <w:tc>
          <w:tcPr>
            <w:tcW w:w="865" w:type="dxa"/>
            <w:tcBorders>
              <w:top w:val="single" w:color="auto" w:sz="4" w:space="0"/>
              <w:left w:val="single" w:color="auto" w:sz="4" w:space="0"/>
              <w:bottom w:val="single" w:color="auto" w:sz="4" w:space="0"/>
              <w:right w:val="single" w:color="auto" w:sz="4" w:space="0"/>
            </w:tcBorders>
          </w:tcPr>
          <w:p w14:paraId="635ED99F">
            <w:pPr>
              <w:snapToGrid w:val="0"/>
              <w:spacing w:line="360" w:lineRule="exact"/>
              <w:rPr>
                <w:rFonts w:hint="eastAsia" w:ascii="宋体" w:hAnsi="宋体"/>
                <w:sz w:val="24"/>
              </w:rPr>
            </w:pPr>
          </w:p>
        </w:tc>
        <w:tc>
          <w:tcPr>
            <w:tcW w:w="1358" w:type="dxa"/>
            <w:tcBorders>
              <w:top w:val="single" w:color="auto" w:sz="4" w:space="0"/>
              <w:left w:val="single" w:color="auto" w:sz="4" w:space="0"/>
              <w:bottom w:val="single" w:color="auto" w:sz="4" w:space="0"/>
              <w:right w:val="single" w:color="auto" w:sz="4" w:space="0"/>
            </w:tcBorders>
          </w:tcPr>
          <w:p w14:paraId="76765D34">
            <w:pPr>
              <w:snapToGrid w:val="0"/>
              <w:spacing w:line="360" w:lineRule="exact"/>
              <w:rPr>
                <w:rFonts w:hint="eastAsia" w:ascii="宋体" w:hAnsi="宋体"/>
                <w:sz w:val="24"/>
              </w:rPr>
            </w:pPr>
          </w:p>
        </w:tc>
      </w:tr>
      <w:tr w14:paraId="7F50B13A">
        <w:tblPrEx>
          <w:tblCellMar>
            <w:top w:w="40" w:type="dxa"/>
            <w:left w:w="64" w:type="dxa"/>
            <w:bottom w:w="40" w:type="dxa"/>
            <w:right w:w="64" w:type="dxa"/>
          </w:tblCellMar>
        </w:tblPrEx>
        <w:trPr>
          <w:trHeight w:val="0" w:hRule="atLeast"/>
          <w:jc w:val="center"/>
        </w:trPr>
        <w:tc>
          <w:tcPr>
            <w:tcW w:w="621" w:type="dxa"/>
            <w:tcBorders>
              <w:top w:val="single" w:color="auto" w:sz="4" w:space="0"/>
              <w:left w:val="single" w:color="auto" w:sz="6" w:space="0"/>
              <w:bottom w:val="single" w:color="auto" w:sz="4" w:space="0"/>
              <w:right w:val="single" w:color="auto" w:sz="6" w:space="0"/>
            </w:tcBorders>
          </w:tcPr>
          <w:p w14:paraId="2CCEF9C8">
            <w:pPr>
              <w:snapToGrid w:val="0"/>
              <w:spacing w:line="360" w:lineRule="exact"/>
              <w:rPr>
                <w:rFonts w:hint="eastAsia" w:ascii="宋体" w:hAnsi="宋体"/>
                <w:sz w:val="24"/>
              </w:rPr>
            </w:pPr>
          </w:p>
        </w:tc>
        <w:tc>
          <w:tcPr>
            <w:tcW w:w="1111" w:type="dxa"/>
            <w:tcBorders>
              <w:top w:val="single" w:color="auto" w:sz="4" w:space="0"/>
              <w:left w:val="single" w:color="auto" w:sz="6" w:space="0"/>
              <w:bottom w:val="single" w:color="auto" w:sz="4" w:space="0"/>
              <w:right w:val="single" w:color="auto" w:sz="6" w:space="0"/>
            </w:tcBorders>
          </w:tcPr>
          <w:p w14:paraId="324BF196">
            <w:pPr>
              <w:snapToGrid w:val="0"/>
              <w:spacing w:line="360" w:lineRule="exact"/>
              <w:rPr>
                <w:rFonts w:hint="eastAsia" w:ascii="宋体" w:hAnsi="宋体"/>
                <w:sz w:val="24"/>
              </w:rPr>
            </w:pPr>
          </w:p>
        </w:tc>
        <w:tc>
          <w:tcPr>
            <w:tcW w:w="2339" w:type="dxa"/>
            <w:tcBorders>
              <w:top w:val="single" w:color="auto" w:sz="4" w:space="0"/>
              <w:left w:val="single" w:color="auto" w:sz="6" w:space="0"/>
              <w:bottom w:val="single" w:color="auto" w:sz="4" w:space="0"/>
              <w:right w:val="single" w:color="auto" w:sz="6" w:space="0"/>
            </w:tcBorders>
          </w:tcPr>
          <w:p w14:paraId="6D461F7F">
            <w:pPr>
              <w:snapToGrid w:val="0"/>
              <w:spacing w:line="360" w:lineRule="exact"/>
              <w:rPr>
                <w:rFonts w:hint="eastAsia" w:ascii="宋体" w:hAnsi="宋体"/>
                <w:sz w:val="24"/>
              </w:rPr>
            </w:pPr>
          </w:p>
        </w:tc>
        <w:tc>
          <w:tcPr>
            <w:tcW w:w="621" w:type="dxa"/>
            <w:tcBorders>
              <w:top w:val="single" w:color="auto" w:sz="4" w:space="0"/>
              <w:left w:val="single" w:color="auto" w:sz="6" w:space="0"/>
              <w:bottom w:val="single" w:color="auto" w:sz="4" w:space="0"/>
              <w:right w:val="single" w:color="auto" w:sz="4" w:space="0"/>
            </w:tcBorders>
          </w:tcPr>
          <w:p w14:paraId="248E24F5">
            <w:pPr>
              <w:snapToGrid w:val="0"/>
              <w:spacing w:line="360" w:lineRule="exact"/>
              <w:rPr>
                <w:rFonts w:hint="eastAsia" w:ascii="宋体" w:hAnsi="宋体"/>
                <w:sz w:val="24"/>
              </w:rPr>
            </w:pPr>
          </w:p>
        </w:tc>
        <w:tc>
          <w:tcPr>
            <w:tcW w:w="621" w:type="dxa"/>
            <w:tcBorders>
              <w:top w:val="single" w:color="auto" w:sz="4" w:space="0"/>
              <w:left w:val="single" w:color="auto" w:sz="4" w:space="0"/>
              <w:bottom w:val="single" w:color="auto" w:sz="4" w:space="0"/>
              <w:right w:val="single" w:color="auto" w:sz="4" w:space="0"/>
            </w:tcBorders>
          </w:tcPr>
          <w:p w14:paraId="4B436E9E">
            <w:pPr>
              <w:snapToGrid w:val="0"/>
              <w:spacing w:line="360" w:lineRule="exact"/>
              <w:rPr>
                <w:rFonts w:hint="eastAsia" w:ascii="宋体" w:hAnsi="宋体"/>
                <w:sz w:val="24"/>
              </w:rPr>
            </w:pPr>
          </w:p>
        </w:tc>
        <w:tc>
          <w:tcPr>
            <w:tcW w:w="621" w:type="dxa"/>
            <w:tcBorders>
              <w:top w:val="single" w:color="auto" w:sz="4" w:space="0"/>
              <w:left w:val="single" w:color="auto" w:sz="4" w:space="0"/>
              <w:bottom w:val="single" w:color="auto" w:sz="4" w:space="0"/>
              <w:right w:val="single" w:color="auto" w:sz="6" w:space="0"/>
            </w:tcBorders>
          </w:tcPr>
          <w:p w14:paraId="6A5F9C0B">
            <w:pPr>
              <w:snapToGrid w:val="0"/>
              <w:spacing w:line="360" w:lineRule="exact"/>
              <w:rPr>
                <w:rFonts w:hint="eastAsia" w:ascii="宋体" w:hAnsi="宋体"/>
                <w:sz w:val="24"/>
              </w:rPr>
            </w:pPr>
          </w:p>
        </w:tc>
        <w:tc>
          <w:tcPr>
            <w:tcW w:w="1603" w:type="dxa"/>
            <w:tcBorders>
              <w:top w:val="single" w:color="auto" w:sz="4" w:space="0"/>
              <w:left w:val="single" w:color="auto" w:sz="6" w:space="0"/>
              <w:bottom w:val="single" w:color="auto" w:sz="4" w:space="0"/>
              <w:right w:val="single" w:color="auto" w:sz="4" w:space="0"/>
            </w:tcBorders>
          </w:tcPr>
          <w:p w14:paraId="4F2196D3">
            <w:pPr>
              <w:snapToGrid w:val="0"/>
              <w:spacing w:line="360" w:lineRule="exact"/>
              <w:rPr>
                <w:rFonts w:hint="eastAsia" w:ascii="宋体" w:hAnsi="宋体"/>
                <w:sz w:val="24"/>
              </w:rPr>
            </w:pPr>
          </w:p>
        </w:tc>
        <w:tc>
          <w:tcPr>
            <w:tcW w:w="865" w:type="dxa"/>
            <w:tcBorders>
              <w:top w:val="single" w:color="auto" w:sz="4" w:space="0"/>
              <w:left w:val="single" w:color="auto" w:sz="4" w:space="0"/>
              <w:bottom w:val="single" w:color="auto" w:sz="4" w:space="0"/>
              <w:right w:val="single" w:color="auto" w:sz="4" w:space="0"/>
            </w:tcBorders>
          </w:tcPr>
          <w:p w14:paraId="38A2D5FD">
            <w:pPr>
              <w:snapToGrid w:val="0"/>
              <w:spacing w:line="360" w:lineRule="exact"/>
              <w:rPr>
                <w:rFonts w:hint="eastAsia" w:ascii="宋体" w:hAnsi="宋体"/>
                <w:sz w:val="24"/>
              </w:rPr>
            </w:pPr>
          </w:p>
        </w:tc>
        <w:tc>
          <w:tcPr>
            <w:tcW w:w="1358" w:type="dxa"/>
            <w:tcBorders>
              <w:top w:val="single" w:color="auto" w:sz="4" w:space="0"/>
              <w:left w:val="single" w:color="auto" w:sz="4" w:space="0"/>
              <w:bottom w:val="single" w:color="auto" w:sz="4" w:space="0"/>
              <w:right w:val="single" w:color="auto" w:sz="4" w:space="0"/>
            </w:tcBorders>
          </w:tcPr>
          <w:p w14:paraId="1D80467F">
            <w:pPr>
              <w:snapToGrid w:val="0"/>
              <w:spacing w:line="360" w:lineRule="exact"/>
              <w:rPr>
                <w:rFonts w:hint="eastAsia" w:ascii="宋体" w:hAnsi="宋体"/>
                <w:sz w:val="24"/>
              </w:rPr>
            </w:pPr>
          </w:p>
        </w:tc>
      </w:tr>
      <w:tr w14:paraId="51AA79B0">
        <w:tblPrEx>
          <w:tblCellMar>
            <w:top w:w="40" w:type="dxa"/>
            <w:left w:w="64" w:type="dxa"/>
            <w:bottom w:w="40" w:type="dxa"/>
            <w:right w:w="64" w:type="dxa"/>
          </w:tblCellMar>
        </w:tblPrEx>
        <w:trPr>
          <w:trHeight w:val="0" w:hRule="atLeast"/>
          <w:jc w:val="center"/>
        </w:trPr>
        <w:tc>
          <w:tcPr>
            <w:tcW w:w="621" w:type="dxa"/>
            <w:tcBorders>
              <w:top w:val="single" w:color="auto" w:sz="4" w:space="0"/>
              <w:left w:val="single" w:color="auto" w:sz="6" w:space="0"/>
              <w:bottom w:val="single" w:color="auto" w:sz="4" w:space="0"/>
              <w:right w:val="single" w:color="auto" w:sz="6" w:space="0"/>
            </w:tcBorders>
          </w:tcPr>
          <w:p w14:paraId="340D6C27">
            <w:pPr>
              <w:snapToGrid w:val="0"/>
              <w:spacing w:line="360" w:lineRule="exact"/>
              <w:rPr>
                <w:rFonts w:hint="eastAsia" w:ascii="宋体" w:hAnsi="宋体"/>
                <w:sz w:val="24"/>
              </w:rPr>
            </w:pPr>
          </w:p>
        </w:tc>
        <w:tc>
          <w:tcPr>
            <w:tcW w:w="1111" w:type="dxa"/>
            <w:tcBorders>
              <w:top w:val="single" w:color="auto" w:sz="4" w:space="0"/>
              <w:left w:val="single" w:color="auto" w:sz="6" w:space="0"/>
              <w:bottom w:val="single" w:color="auto" w:sz="4" w:space="0"/>
              <w:right w:val="single" w:color="auto" w:sz="6" w:space="0"/>
            </w:tcBorders>
          </w:tcPr>
          <w:p w14:paraId="5647D392">
            <w:pPr>
              <w:snapToGrid w:val="0"/>
              <w:spacing w:line="360" w:lineRule="exact"/>
              <w:rPr>
                <w:rFonts w:hint="eastAsia" w:ascii="宋体" w:hAnsi="宋体"/>
                <w:sz w:val="24"/>
              </w:rPr>
            </w:pPr>
          </w:p>
        </w:tc>
        <w:tc>
          <w:tcPr>
            <w:tcW w:w="2339" w:type="dxa"/>
            <w:tcBorders>
              <w:top w:val="single" w:color="auto" w:sz="4" w:space="0"/>
              <w:left w:val="single" w:color="auto" w:sz="6" w:space="0"/>
              <w:bottom w:val="single" w:color="auto" w:sz="4" w:space="0"/>
              <w:right w:val="single" w:color="auto" w:sz="6" w:space="0"/>
            </w:tcBorders>
          </w:tcPr>
          <w:p w14:paraId="3300C75F">
            <w:pPr>
              <w:snapToGrid w:val="0"/>
              <w:spacing w:line="360" w:lineRule="exact"/>
              <w:rPr>
                <w:rFonts w:hint="eastAsia" w:ascii="宋体" w:hAnsi="宋体"/>
                <w:sz w:val="24"/>
              </w:rPr>
            </w:pPr>
          </w:p>
        </w:tc>
        <w:tc>
          <w:tcPr>
            <w:tcW w:w="621" w:type="dxa"/>
            <w:tcBorders>
              <w:top w:val="single" w:color="auto" w:sz="4" w:space="0"/>
              <w:left w:val="single" w:color="auto" w:sz="6" w:space="0"/>
              <w:bottom w:val="single" w:color="auto" w:sz="4" w:space="0"/>
              <w:right w:val="single" w:color="auto" w:sz="4" w:space="0"/>
            </w:tcBorders>
          </w:tcPr>
          <w:p w14:paraId="15F824CC">
            <w:pPr>
              <w:snapToGrid w:val="0"/>
              <w:spacing w:line="360" w:lineRule="exact"/>
              <w:rPr>
                <w:rFonts w:hint="eastAsia" w:ascii="宋体" w:hAnsi="宋体"/>
                <w:sz w:val="24"/>
              </w:rPr>
            </w:pPr>
          </w:p>
        </w:tc>
        <w:tc>
          <w:tcPr>
            <w:tcW w:w="621" w:type="dxa"/>
            <w:tcBorders>
              <w:top w:val="single" w:color="auto" w:sz="4" w:space="0"/>
              <w:left w:val="single" w:color="auto" w:sz="4" w:space="0"/>
              <w:bottom w:val="single" w:color="auto" w:sz="4" w:space="0"/>
              <w:right w:val="single" w:color="auto" w:sz="4" w:space="0"/>
            </w:tcBorders>
          </w:tcPr>
          <w:p w14:paraId="5A1A3723">
            <w:pPr>
              <w:snapToGrid w:val="0"/>
              <w:spacing w:line="360" w:lineRule="exact"/>
              <w:rPr>
                <w:rFonts w:hint="eastAsia" w:ascii="宋体" w:hAnsi="宋体"/>
                <w:sz w:val="24"/>
              </w:rPr>
            </w:pPr>
          </w:p>
        </w:tc>
        <w:tc>
          <w:tcPr>
            <w:tcW w:w="621" w:type="dxa"/>
            <w:tcBorders>
              <w:top w:val="single" w:color="auto" w:sz="4" w:space="0"/>
              <w:left w:val="single" w:color="auto" w:sz="4" w:space="0"/>
              <w:bottom w:val="single" w:color="auto" w:sz="4" w:space="0"/>
              <w:right w:val="single" w:color="auto" w:sz="6" w:space="0"/>
            </w:tcBorders>
          </w:tcPr>
          <w:p w14:paraId="3C329EBB">
            <w:pPr>
              <w:snapToGrid w:val="0"/>
              <w:spacing w:line="360" w:lineRule="exact"/>
              <w:rPr>
                <w:rFonts w:hint="eastAsia" w:ascii="宋体" w:hAnsi="宋体"/>
                <w:sz w:val="24"/>
              </w:rPr>
            </w:pPr>
          </w:p>
        </w:tc>
        <w:tc>
          <w:tcPr>
            <w:tcW w:w="1603" w:type="dxa"/>
            <w:tcBorders>
              <w:top w:val="single" w:color="auto" w:sz="4" w:space="0"/>
              <w:left w:val="single" w:color="auto" w:sz="6" w:space="0"/>
              <w:bottom w:val="single" w:color="auto" w:sz="4" w:space="0"/>
              <w:right w:val="single" w:color="auto" w:sz="4" w:space="0"/>
            </w:tcBorders>
          </w:tcPr>
          <w:p w14:paraId="21C9A204">
            <w:pPr>
              <w:snapToGrid w:val="0"/>
              <w:spacing w:line="360" w:lineRule="exact"/>
              <w:rPr>
                <w:rFonts w:hint="eastAsia" w:ascii="宋体" w:hAnsi="宋体"/>
                <w:sz w:val="24"/>
              </w:rPr>
            </w:pPr>
          </w:p>
        </w:tc>
        <w:tc>
          <w:tcPr>
            <w:tcW w:w="865" w:type="dxa"/>
            <w:tcBorders>
              <w:top w:val="single" w:color="auto" w:sz="4" w:space="0"/>
              <w:left w:val="single" w:color="auto" w:sz="4" w:space="0"/>
              <w:bottom w:val="single" w:color="auto" w:sz="4" w:space="0"/>
              <w:right w:val="single" w:color="auto" w:sz="4" w:space="0"/>
            </w:tcBorders>
          </w:tcPr>
          <w:p w14:paraId="2227E2F4">
            <w:pPr>
              <w:snapToGrid w:val="0"/>
              <w:spacing w:line="360" w:lineRule="exact"/>
              <w:rPr>
                <w:rFonts w:hint="eastAsia" w:ascii="宋体" w:hAnsi="宋体"/>
                <w:sz w:val="24"/>
              </w:rPr>
            </w:pPr>
          </w:p>
        </w:tc>
        <w:tc>
          <w:tcPr>
            <w:tcW w:w="1358" w:type="dxa"/>
            <w:tcBorders>
              <w:top w:val="single" w:color="auto" w:sz="4" w:space="0"/>
              <w:left w:val="single" w:color="auto" w:sz="4" w:space="0"/>
              <w:bottom w:val="single" w:color="auto" w:sz="4" w:space="0"/>
              <w:right w:val="single" w:color="auto" w:sz="4" w:space="0"/>
            </w:tcBorders>
          </w:tcPr>
          <w:p w14:paraId="21EECAB8">
            <w:pPr>
              <w:snapToGrid w:val="0"/>
              <w:spacing w:line="360" w:lineRule="exact"/>
              <w:rPr>
                <w:rFonts w:hint="eastAsia" w:ascii="宋体" w:hAnsi="宋体"/>
                <w:sz w:val="24"/>
              </w:rPr>
            </w:pPr>
          </w:p>
        </w:tc>
      </w:tr>
      <w:tr w14:paraId="2F499F09">
        <w:tblPrEx>
          <w:tblCellMar>
            <w:top w:w="40" w:type="dxa"/>
            <w:left w:w="64" w:type="dxa"/>
            <w:bottom w:w="40" w:type="dxa"/>
            <w:right w:w="64" w:type="dxa"/>
          </w:tblCellMar>
        </w:tblPrEx>
        <w:trPr>
          <w:trHeight w:val="0" w:hRule="atLeast"/>
          <w:jc w:val="center"/>
        </w:trPr>
        <w:tc>
          <w:tcPr>
            <w:tcW w:w="621" w:type="dxa"/>
            <w:tcBorders>
              <w:top w:val="single" w:color="auto" w:sz="4" w:space="0"/>
              <w:left w:val="single" w:color="auto" w:sz="6" w:space="0"/>
              <w:bottom w:val="single" w:color="auto" w:sz="4" w:space="0"/>
              <w:right w:val="single" w:color="auto" w:sz="6" w:space="0"/>
            </w:tcBorders>
          </w:tcPr>
          <w:p w14:paraId="391F5985">
            <w:pPr>
              <w:snapToGrid w:val="0"/>
              <w:spacing w:line="360" w:lineRule="exact"/>
              <w:rPr>
                <w:rFonts w:hint="eastAsia" w:ascii="宋体" w:hAnsi="宋体"/>
                <w:sz w:val="24"/>
              </w:rPr>
            </w:pPr>
          </w:p>
        </w:tc>
        <w:tc>
          <w:tcPr>
            <w:tcW w:w="1111" w:type="dxa"/>
            <w:tcBorders>
              <w:top w:val="single" w:color="auto" w:sz="4" w:space="0"/>
              <w:left w:val="single" w:color="auto" w:sz="6" w:space="0"/>
              <w:bottom w:val="single" w:color="auto" w:sz="4" w:space="0"/>
              <w:right w:val="single" w:color="auto" w:sz="6" w:space="0"/>
            </w:tcBorders>
          </w:tcPr>
          <w:p w14:paraId="312B6E11">
            <w:pPr>
              <w:snapToGrid w:val="0"/>
              <w:spacing w:line="360" w:lineRule="exact"/>
              <w:rPr>
                <w:rFonts w:hint="eastAsia" w:ascii="宋体" w:hAnsi="宋体"/>
                <w:sz w:val="24"/>
              </w:rPr>
            </w:pPr>
          </w:p>
        </w:tc>
        <w:tc>
          <w:tcPr>
            <w:tcW w:w="2339" w:type="dxa"/>
            <w:tcBorders>
              <w:top w:val="single" w:color="auto" w:sz="4" w:space="0"/>
              <w:left w:val="single" w:color="auto" w:sz="6" w:space="0"/>
              <w:bottom w:val="single" w:color="auto" w:sz="4" w:space="0"/>
              <w:right w:val="single" w:color="auto" w:sz="6" w:space="0"/>
            </w:tcBorders>
          </w:tcPr>
          <w:p w14:paraId="1FEA2AA8">
            <w:pPr>
              <w:snapToGrid w:val="0"/>
              <w:spacing w:line="360" w:lineRule="exact"/>
              <w:rPr>
                <w:rFonts w:hint="eastAsia" w:ascii="宋体" w:hAnsi="宋体"/>
                <w:sz w:val="24"/>
              </w:rPr>
            </w:pPr>
          </w:p>
        </w:tc>
        <w:tc>
          <w:tcPr>
            <w:tcW w:w="621" w:type="dxa"/>
            <w:tcBorders>
              <w:top w:val="single" w:color="auto" w:sz="4" w:space="0"/>
              <w:left w:val="single" w:color="auto" w:sz="6" w:space="0"/>
              <w:bottom w:val="single" w:color="auto" w:sz="4" w:space="0"/>
              <w:right w:val="single" w:color="auto" w:sz="4" w:space="0"/>
            </w:tcBorders>
          </w:tcPr>
          <w:p w14:paraId="459BEDBA">
            <w:pPr>
              <w:snapToGrid w:val="0"/>
              <w:spacing w:line="360" w:lineRule="exact"/>
              <w:rPr>
                <w:rFonts w:hint="eastAsia" w:ascii="宋体" w:hAnsi="宋体"/>
                <w:sz w:val="24"/>
              </w:rPr>
            </w:pPr>
          </w:p>
        </w:tc>
        <w:tc>
          <w:tcPr>
            <w:tcW w:w="621" w:type="dxa"/>
            <w:tcBorders>
              <w:top w:val="single" w:color="auto" w:sz="4" w:space="0"/>
              <w:left w:val="single" w:color="auto" w:sz="4" w:space="0"/>
              <w:bottom w:val="single" w:color="auto" w:sz="4" w:space="0"/>
              <w:right w:val="single" w:color="auto" w:sz="4" w:space="0"/>
            </w:tcBorders>
          </w:tcPr>
          <w:p w14:paraId="317AE69C">
            <w:pPr>
              <w:snapToGrid w:val="0"/>
              <w:spacing w:line="360" w:lineRule="exact"/>
              <w:rPr>
                <w:rFonts w:hint="eastAsia" w:ascii="宋体" w:hAnsi="宋体"/>
                <w:sz w:val="24"/>
              </w:rPr>
            </w:pPr>
          </w:p>
        </w:tc>
        <w:tc>
          <w:tcPr>
            <w:tcW w:w="621" w:type="dxa"/>
            <w:tcBorders>
              <w:top w:val="single" w:color="auto" w:sz="4" w:space="0"/>
              <w:left w:val="single" w:color="auto" w:sz="4" w:space="0"/>
              <w:bottom w:val="single" w:color="auto" w:sz="4" w:space="0"/>
              <w:right w:val="single" w:color="auto" w:sz="6" w:space="0"/>
            </w:tcBorders>
          </w:tcPr>
          <w:p w14:paraId="7198BADA">
            <w:pPr>
              <w:snapToGrid w:val="0"/>
              <w:spacing w:line="360" w:lineRule="exact"/>
              <w:rPr>
                <w:rFonts w:hint="eastAsia" w:ascii="宋体" w:hAnsi="宋体"/>
                <w:sz w:val="24"/>
              </w:rPr>
            </w:pPr>
          </w:p>
        </w:tc>
        <w:tc>
          <w:tcPr>
            <w:tcW w:w="1603" w:type="dxa"/>
            <w:tcBorders>
              <w:top w:val="single" w:color="auto" w:sz="4" w:space="0"/>
              <w:left w:val="single" w:color="auto" w:sz="6" w:space="0"/>
              <w:bottom w:val="single" w:color="auto" w:sz="4" w:space="0"/>
              <w:right w:val="single" w:color="auto" w:sz="4" w:space="0"/>
            </w:tcBorders>
          </w:tcPr>
          <w:p w14:paraId="20569541">
            <w:pPr>
              <w:snapToGrid w:val="0"/>
              <w:spacing w:line="360" w:lineRule="exact"/>
              <w:rPr>
                <w:rFonts w:hint="eastAsia" w:ascii="宋体" w:hAnsi="宋体"/>
                <w:sz w:val="24"/>
              </w:rPr>
            </w:pPr>
          </w:p>
        </w:tc>
        <w:tc>
          <w:tcPr>
            <w:tcW w:w="865" w:type="dxa"/>
            <w:tcBorders>
              <w:top w:val="single" w:color="auto" w:sz="4" w:space="0"/>
              <w:left w:val="single" w:color="auto" w:sz="4" w:space="0"/>
              <w:bottom w:val="single" w:color="auto" w:sz="4" w:space="0"/>
              <w:right w:val="single" w:color="auto" w:sz="4" w:space="0"/>
            </w:tcBorders>
          </w:tcPr>
          <w:p w14:paraId="22E7B8B7">
            <w:pPr>
              <w:snapToGrid w:val="0"/>
              <w:spacing w:line="360" w:lineRule="exact"/>
              <w:rPr>
                <w:rFonts w:hint="eastAsia" w:ascii="宋体" w:hAnsi="宋体"/>
                <w:sz w:val="24"/>
              </w:rPr>
            </w:pPr>
          </w:p>
        </w:tc>
        <w:tc>
          <w:tcPr>
            <w:tcW w:w="1358" w:type="dxa"/>
            <w:tcBorders>
              <w:top w:val="single" w:color="auto" w:sz="4" w:space="0"/>
              <w:left w:val="single" w:color="auto" w:sz="4" w:space="0"/>
              <w:bottom w:val="single" w:color="auto" w:sz="4" w:space="0"/>
              <w:right w:val="single" w:color="auto" w:sz="4" w:space="0"/>
            </w:tcBorders>
          </w:tcPr>
          <w:p w14:paraId="21928E3A">
            <w:pPr>
              <w:snapToGrid w:val="0"/>
              <w:spacing w:line="360" w:lineRule="exact"/>
              <w:rPr>
                <w:rFonts w:hint="eastAsia" w:ascii="宋体" w:hAnsi="宋体"/>
                <w:sz w:val="24"/>
              </w:rPr>
            </w:pPr>
          </w:p>
        </w:tc>
      </w:tr>
      <w:tr w14:paraId="5A8CDB6A">
        <w:tblPrEx>
          <w:tblCellMar>
            <w:top w:w="40" w:type="dxa"/>
            <w:left w:w="64" w:type="dxa"/>
            <w:bottom w:w="40" w:type="dxa"/>
            <w:right w:w="64" w:type="dxa"/>
          </w:tblCellMar>
        </w:tblPrEx>
        <w:trPr>
          <w:trHeight w:val="0" w:hRule="atLeast"/>
          <w:jc w:val="center"/>
        </w:trPr>
        <w:tc>
          <w:tcPr>
            <w:tcW w:w="621" w:type="dxa"/>
            <w:tcBorders>
              <w:top w:val="single" w:color="auto" w:sz="4" w:space="0"/>
              <w:left w:val="single" w:color="auto" w:sz="6" w:space="0"/>
              <w:bottom w:val="single" w:color="auto" w:sz="4" w:space="0"/>
              <w:right w:val="single" w:color="auto" w:sz="6" w:space="0"/>
            </w:tcBorders>
          </w:tcPr>
          <w:p w14:paraId="01FBDDAA">
            <w:pPr>
              <w:snapToGrid w:val="0"/>
              <w:spacing w:line="360" w:lineRule="exact"/>
              <w:rPr>
                <w:rFonts w:hint="eastAsia" w:ascii="宋体" w:hAnsi="宋体"/>
                <w:sz w:val="24"/>
              </w:rPr>
            </w:pPr>
          </w:p>
        </w:tc>
        <w:tc>
          <w:tcPr>
            <w:tcW w:w="1111" w:type="dxa"/>
            <w:tcBorders>
              <w:top w:val="single" w:color="auto" w:sz="4" w:space="0"/>
              <w:left w:val="single" w:color="auto" w:sz="6" w:space="0"/>
              <w:bottom w:val="single" w:color="auto" w:sz="4" w:space="0"/>
              <w:right w:val="single" w:color="auto" w:sz="6" w:space="0"/>
            </w:tcBorders>
          </w:tcPr>
          <w:p w14:paraId="663D765D">
            <w:pPr>
              <w:snapToGrid w:val="0"/>
              <w:spacing w:line="360" w:lineRule="exact"/>
              <w:rPr>
                <w:rFonts w:hint="eastAsia" w:ascii="宋体" w:hAnsi="宋体"/>
                <w:sz w:val="24"/>
              </w:rPr>
            </w:pPr>
          </w:p>
        </w:tc>
        <w:tc>
          <w:tcPr>
            <w:tcW w:w="2339" w:type="dxa"/>
            <w:tcBorders>
              <w:top w:val="single" w:color="auto" w:sz="4" w:space="0"/>
              <w:left w:val="single" w:color="auto" w:sz="6" w:space="0"/>
              <w:bottom w:val="single" w:color="auto" w:sz="4" w:space="0"/>
              <w:right w:val="single" w:color="auto" w:sz="6" w:space="0"/>
            </w:tcBorders>
          </w:tcPr>
          <w:p w14:paraId="23255B8F">
            <w:pPr>
              <w:snapToGrid w:val="0"/>
              <w:spacing w:line="360" w:lineRule="exact"/>
              <w:rPr>
                <w:rFonts w:hint="eastAsia" w:ascii="宋体" w:hAnsi="宋体"/>
                <w:sz w:val="24"/>
              </w:rPr>
            </w:pPr>
          </w:p>
        </w:tc>
        <w:tc>
          <w:tcPr>
            <w:tcW w:w="621" w:type="dxa"/>
            <w:tcBorders>
              <w:top w:val="single" w:color="auto" w:sz="4" w:space="0"/>
              <w:left w:val="single" w:color="auto" w:sz="6" w:space="0"/>
              <w:bottom w:val="single" w:color="auto" w:sz="4" w:space="0"/>
              <w:right w:val="single" w:color="auto" w:sz="4" w:space="0"/>
            </w:tcBorders>
          </w:tcPr>
          <w:p w14:paraId="332E4755">
            <w:pPr>
              <w:snapToGrid w:val="0"/>
              <w:spacing w:line="360" w:lineRule="exact"/>
              <w:rPr>
                <w:rFonts w:hint="eastAsia" w:ascii="宋体" w:hAnsi="宋体"/>
                <w:sz w:val="24"/>
              </w:rPr>
            </w:pPr>
          </w:p>
        </w:tc>
        <w:tc>
          <w:tcPr>
            <w:tcW w:w="621" w:type="dxa"/>
            <w:tcBorders>
              <w:top w:val="single" w:color="auto" w:sz="4" w:space="0"/>
              <w:left w:val="single" w:color="auto" w:sz="4" w:space="0"/>
              <w:bottom w:val="single" w:color="auto" w:sz="4" w:space="0"/>
              <w:right w:val="single" w:color="auto" w:sz="4" w:space="0"/>
            </w:tcBorders>
          </w:tcPr>
          <w:p w14:paraId="6D6333E5">
            <w:pPr>
              <w:snapToGrid w:val="0"/>
              <w:spacing w:line="360" w:lineRule="exact"/>
              <w:rPr>
                <w:rFonts w:hint="eastAsia" w:ascii="宋体" w:hAnsi="宋体"/>
                <w:sz w:val="24"/>
              </w:rPr>
            </w:pPr>
          </w:p>
        </w:tc>
        <w:tc>
          <w:tcPr>
            <w:tcW w:w="621" w:type="dxa"/>
            <w:tcBorders>
              <w:top w:val="single" w:color="auto" w:sz="4" w:space="0"/>
              <w:left w:val="single" w:color="auto" w:sz="4" w:space="0"/>
              <w:bottom w:val="single" w:color="auto" w:sz="4" w:space="0"/>
              <w:right w:val="single" w:color="auto" w:sz="6" w:space="0"/>
            </w:tcBorders>
          </w:tcPr>
          <w:p w14:paraId="39D34A3D">
            <w:pPr>
              <w:snapToGrid w:val="0"/>
              <w:spacing w:line="360" w:lineRule="exact"/>
              <w:rPr>
                <w:rFonts w:hint="eastAsia" w:ascii="宋体" w:hAnsi="宋体"/>
                <w:sz w:val="24"/>
              </w:rPr>
            </w:pPr>
          </w:p>
        </w:tc>
        <w:tc>
          <w:tcPr>
            <w:tcW w:w="1603" w:type="dxa"/>
            <w:tcBorders>
              <w:top w:val="single" w:color="auto" w:sz="4" w:space="0"/>
              <w:left w:val="single" w:color="auto" w:sz="6" w:space="0"/>
              <w:bottom w:val="single" w:color="auto" w:sz="4" w:space="0"/>
              <w:right w:val="single" w:color="auto" w:sz="4" w:space="0"/>
            </w:tcBorders>
          </w:tcPr>
          <w:p w14:paraId="547ED49B">
            <w:pPr>
              <w:snapToGrid w:val="0"/>
              <w:spacing w:line="360" w:lineRule="exact"/>
              <w:rPr>
                <w:rFonts w:hint="eastAsia" w:ascii="宋体" w:hAnsi="宋体"/>
                <w:sz w:val="24"/>
              </w:rPr>
            </w:pPr>
          </w:p>
        </w:tc>
        <w:tc>
          <w:tcPr>
            <w:tcW w:w="865" w:type="dxa"/>
            <w:tcBorders>
              <w:top w:val="single" w:color="auto" w:sz="4" w:space="0"/>
              <w:left w:val="single" w:color="auto" w:sz="4" w:space="0"/>
              <w:bottom w:val="single" w:color="auto" w:sz="4" w:space="0"/>
              <w:right w:val="single" w:color="auto" w:sz="4" w:space="0"/>
            </w:tcBorders>
          </w:tcPr>
          <w:p w14:paraId="1CDED654">
            <w:pPr>
              <w:snapToGrid w:val="0"/>
              <w:spacing w:line="360" w:lineRule="exact"/>
              <w:rPr>
                <w:rFonts w:hint="eastAsia" w:ascii="宋体" w:hAnsi="宋体"/>
                <w:sz w:val="24"/>
              </w:rPr>
            </w:pPr>
          </w:p>
        </w:tc>
        <w:tc>
          <w:tcPr>
            <w:tcW w:w="1358" w:type="dxa"/>
            <w:tcBorders>
              <w:top w:val="single" w:color="auto" w:sz="4" w:space="0"/>
              <w:left w:val="single" w:color="auto" w:sz="4" w:space="0"/>
              <w:bottom w:val="single" w:color="auto" w:sz="4" w:space="0"/>
              <w:right w:val="single" w:color="auto" w:sz="4" w:space="0"/>
            </w:tcBorders>
          </w:tcPr>
          <w:p w14:paraId="13F63880">
            <w:pPr>
              <w:snapToGrid w:val="0"/>
              <w:spacing w:line="360" w:lineRule="exact"/>
              <w:rPr>
                <w:rFonts w:hint="eastAsia" w:ascii="宋体" w:hAnsi="宋体"/>
                <w:sz w:val="24"/>
              </w:rPr>
            </w:pPr>
          </w:p>
        </w:tc>
      </w:tr>
    </w:tbl>
    <w:p w14:paraId="327D8634">
      <w:pPr>
        <w:spacing w:line="360" w:lineRule="exact"/>
        <w:rPr>
          <w:rFonts w:hint="eastAsia" w:ascii="宋体" w:hAnsi="宋体"/>
          <w:sz w:val="24"/>
        </w:rPr>
      </w:pPr>
    </w:p>
    <w:p w14:paraId="5B8EEF4C">
      <w:pPr>
        <w:spacing w:line="360" w:lineRule="exact"/>
        <w:rPr>
          <w:rFonts w:hint="eastAsia" w:ascii="宋体" w:hAnsi="宋体"/>
          <w:sz w:val="24"/>
        </w:rPr>
      </w:pPr>
      <w:r>
        <w:rPr>
          <w:rFonts w:hint="eastAsia" w:ascii="宋体" w:hAnsi="宋体"/>
          <w:sz w:val="24"/>
          <w:lang w:eastAsia="zh-CN"/>
        </w:rPr>
        <w:t>1.</w:t>
      </w:r>
      <w:r>
        <w:rPr>
          <w:rFonts w:hint="eastAsia" w:ascii="宋体" w:hAnsi="宋体"/>
          <w:sz w:val="24"/>
        </w:rPr>
        <w:t>供应商是否小微型企业产品</w:t>
      </w:r>
      <w:r>
        <w:rPr>
          <w:rFonts w:hint="eastAsia" w:ascii="宋体" w:hAnsi="宋体"/>
          <w:sz w:val="24"/>
          <w:lang w:eastAsia="zh-CN"/>
        </w:rPr>
        <w:t>：</w:t>
      </w:r>
      <w:r>
        <w:rPr>
          <w:rFonts w:hint="eastAsia" w:ascii="宋体" w:hAnsi="宋体"/>
          <w:sz w:val="24"/>
        </w:rPr>
        <w:t>是（   ）；否（   ）。</w:t>
      </w:r>
    </w:p>
    <w:p w14:paraId="1709C3D1">
      <w:pPr>
        <w:spacing w:line="360" w:lineRule="exact"/>
        <w:rPr>
          <w:rFonts w:hint="eastAsia" w:ascii="宋体" w:hAnsi="宋体"/>
          <w:sz w:val="24"/>
        </w:rPr>
      </w:pPr>
      <w:r>
        <w:rPr>
          <w:rFonts w:hint="eastAsia" w:ascii="宋体" w:hAnsi="宋体"/>
          <w:sz w:val="24"/>
          <w:lang w:eastAsia="zh-CN"/>
        </w:rPr>
        <w:t>2.</w:t>
      </w:r>
      <w:r>
        <w:rPr>
          <w:rFonts w:hint="eastAsia" w:ascii="宋体" w:hAnsi="宋体"/>
          <w:sz w:val="24"/>
        </w:rPr>
        <w:t>供应商是否为监狱企业：是（    ）    否（    ）</w:t>
      </w:r>
    </w:p>
    <w:p w14:paraId="0543F012">
      <w:pPr>
        <w:spacing w:line="360" w:lineRule="exact"/>
        <w:rPr>
          <w:rFonts w:hint="eastAsia" w:ascii="宋体" w:hAnsi="宋体"/>
          <w:sz w:val="24"/>
        </w:rPr>
      </w:pPr>
      <w:r>
        <w:rPr>
          <w:rFonts w:hint="eastAsia" w:ascii="宋体" w:hAnsi="宋体"/>
          <w:sz w:val="24"/>
          <w:lang w:eastAsia="zh-CN"/>
        </w:rPr>
        <w:t>3.</w:t>
      </w:r>
      <w:r>
        <w:rPr>
          <w:rFonts w:hint="eastAsia" w:ascii="宋体" w:hAnsi="宋体"/>
          <w:sz w:val="24"/>
        </w:rPr>
        <w:t>供应商是否为残疾人福利性单位：是（    ）    否（    ）</w:t>
      </w:r>
    </w:p>
    <w:p w14:paraId="5DFD53F7">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p>
    <w:p w14:paraId="3D1B37DD">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 xml:space="preserve">总价：                              大写：                         </w:t>
      </w:r>
    </w:p>
    <w:p w14:paraId="0970DADA">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p>
    <w:p w14:paraId="193DCC58">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优惠政策产品扣除后总价：            大写：</w:t>
      </w:r>
    </w:p>
    <w:p w14:paraId="5AF53FC3">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p>
    <w:p w14:paraId="3735BEFD">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供应商代表签名：             职务：         联系电话：           日期：</w:t>
      </w:r>
    </w:p>
    <w:p w14:paraId="2F8B0F56">
      <w:pPr>
        <w:tabs>
          <w:tab w:val="left" w:pos="654"/>
          <w:tab w:val="left" w:pos="1734"/>
          <w:tab w:val="left" w:pos="2814"/>
          <w:tab w:val="left" w:pos="3894"/>
          <w:tab w:val="left" w:pos="5334"/>
          <w:tab w:val="left" w:pos="6414"/>
          <w:tab w:val="left" w:pos="7254"/>
          <w:tab w:val="left" w:pos="8574"/>
          <w:tab w:val="left" w:pos="9654"/>
        </w:tabs>
        <w:spacing w:line="360" w:lineRule="exact"/>
        <w:rPr>
          <w:rFonts w:hint="eastAsia"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14:paraId="30B7CBF4">
      <w:pPr>
        <w:bidi w:val="0"/>
        <w:rPr>
          <w:rFonts w:hint="eastAsia" w:ascii="宋体" w:hAnsi="宋体"/>
          <w:bCs/>
          <w:sz w:val="24"/>
        </w:rPr>
      </w:pPr>
      <w:r>
        <w:rPr>
          <w:rFonts w:hint="eastAsia" w:ascii="宋体" w:hAnsi="宋体"/>
          <w:b/>
          <w:sz w:val="24"/>
        </w:rPr>
        <w:t>注：</w:t>
      </w:r>
      <w:r>
        <w:rPr>
          <w:rFonts w:hint="eastAsia" w:ascii="宋体" w:hAnsi="宋体"/>
          <w:bCs/>
          <w:sz w:val="24"/>
        </w:rPr>
        <w:t>1、设备用人民币报价。</w:t>
      </w:r>
    </w:p>
    <w:p w14:paraId="5B85DAED">
      <w:pPr>
        <w:spacing w:line="360" w:lineRule="exact"/>
        <w:ind w:firstLine="480" w:firstLineChars="200"/>
        <w:rPr>
          <w:rFonts w:hint="eastAsia" w:ascii="宋体" w:hAnsi="宋体"/>
          <w:bCs/>
          <w:sz w:val="24"/>
        </w:rPr>
      </w:pPr>
      <w:r>
        <w:rPr>
          <w:rFonts w:hint="eastAsia" w:ascii="宋体" w:hAnsi="宋体"/>
          <w:bCs/>
          <w:sz w:val="24"/>
          <w:lang w:eastAsia="zh-CN"/>
        </w:rPr>
        <w:t>2.</w:t>
      </w:r>
      <w:r>
        <w:rPr>
          <w:rFonts w:hint="eastAsia" w:ascii="宋体" w:hAnsi="宋体"/>
          <w:bCs/>
          <w:sz w:val="24"/>
        </w:rPr>
        <w:t>第6栏的单价应包括全部安装、调试、培训、技术服务、必不可少的部件、标准备件、专用工具等费用。</w:t>
      </w:r>
    </w:p>
    <w:p w14:paraId="6DA007DA">
      <w:pPr>
        <w:spacing w:line="360" w:lineRule="exact"/>
        <w:ind w:firstLine="480" w:firstLineChars="200"/>
        <w:rPr>
          <w:rFonts w:hint="eastAsia" w:ascii="宋体" w:hAnsi="宋体"/>
          <w:bCs/>
          <w:sz w:val="24"/>
        </w:rPr>
      </w:pPr>
      <w:r>
        <w:rPr>
          <w:rFonts w:hint="eastAsia" w:ascii="宋体" w:hAnsi="宋体"/>
          <w:bCs/>
          <w:sz w:val="24"/>
          <w:lang w:eastAsia="zh-CN"/>
        </w:rPr>
        <w:t>3.</w:t>
      </w:r>
      <w:r>
        <w:rPr>
          <w:rFonts w:hint="eastAsia" w:ascii="宋体" w:hAnsi="宋体"/>
          <w:bCs/>
          <w:sz w:val="24"/>
        </w:rPr>
        <w:t>单价{单价=（货价+运抵用户指定地点运、保、税</w:t>
      </w:r>
      <w:r>
        <w:rPr>
          <w:rFonts w:hint="eastAsia" w:ascii="宋体" w:hAnsi="宋体"/>
          <w:bCs/>
          <w:sz w:val="24"/>
          <w:lang w:eastAsia="zh-CN"/>
        </w:rPr>
        <w:t>）</w:t>
      </w:r>
      <w:r>
        <w:rPr>
          <w:rFonts w:hint="eastAsia" w:ascii="宋体" w:hAnsi="宋体"/>
          <w:bCs/>
          <w:sz w:val="24"/>
        </w:rPr>
        <w:t>}和响应总价。如果单价与总价有出入，以单价为准；大写金额与小写金额不一致的，以大写金额为准；总价金额与按单价汇总金额不一致的，以单价金额计算结果金额为准；单价金额小数点有明显错位的，应以总价为准并修改单价。</w:t>
      </w:r>
    </w:p>
    <w:p w14:paraId="6F6D8A01">
      <w:pPr>
        <w:spacing w:line="360" w:lineRule="exact"/>
        <w:ind w:firstLine="480" w:firstLineChars="200"/>
        <w:rPr>
          <w:rFonts w:hint="eastAsia" w:ascii="宋体" w:hAnsi="宋体"/>
          <w:bCs/>
          <w:sz w:val="24"/>
        </w:rPr>
      </w:pPr>
      <w:r>
        <w:rPr>
          <w:rFonts w:hint="eastAsia" w:ascii="宋体" w:hAnsi="宋体"/>
          <w:bCs/>
          <w:sz w:val="24"/>
          <w:lang w:eastAsia="zh-CN"/>
        </w:rPr>
        <w:t>4.</w:t>
      </w:r>
      <w:r>
        <w:rPr>
          <w:rFonts w:hint="eastAsia" w:ascii="宋体" w:hAnsi="宋体"/>
          <w:bCs/>
          <w:sz w:val="24"/>
        </w:rPr>
        <w:t>供应商企业类型、是否监狱企业栏和是否残疾人福利性单位栏，供应商须在相应的括弧里打勾（√），否则承担不利后果。</w:t>
      </w:r>
    </w:p>
    <w:p w14:paraId="144762FE">
      <w:pPr>
        <w:spacing w:line="360" w:lineRule="exact"/>
        <w:ind w:firstLine="480" w:firstLineChars="200"/>
        <w:rPr>
          <w:rFonts w:ascii="宋体" w:hAnsi="宋体"/>
          <w:bCs/>
          <w:sz w:val="24"/>
        </w:rPr>
      </w:pPr>
    </w:p>
    <w:p w14:paraId="56B2F786">
      <w:pPr>
        <w:pStyle w:val="86"/>
        <w:ind w:firstLine="480"/>
        <w:sectPr>
          <w:pgSz w:w="11906" w:h="16838"/>
          <w:pgMar w:top="1134" w:right="1134" w:bottom="1134" w:left="1134" w:header="851" w:footer="992" w:gutter="0"/>
          <w:cols w:space="720" w:num="1"/>
          <w:docGrid w:type="linesAndChars" w:linePitch="312" w:charSpace="0"/>
        </w:sectPr>
      </w:pPr>
    </w:p>
    <w:p w14:paraId="65359E63">
      <w:pPr>
        <w:pStyle w:val="22"/>
        <w:spacing w:line="360" w:lineRule="exact"/>
        <w:ind w:left="480" w:right="508" w:hanging="480"/>
        <w:jc w:val="both"/>
        <w:outlineLvl w:val="0"/>
        <w:rPr>
          <w:b/>
          <w:kern w:val="2"/>
          <w:szCs w:val="24"/>
        </w:rPr>
      </w:pPr>
      <w:r>
        <w:rPr>
          <w:rFonts w:hint="eastAsia"/>
          <w:b/>
          <w:kern w:val="2"/>
          <w:szCs w:val="24"/>
        </w:rPr>
        <w:t>附件3</w:t>
      </w:r>
    </w:p>
    <w:p w14:paraId="3F41341F">
      <w:pPr>
        <w:spacing w:after="100" w:afterAutospacing="1"/>
        <w:jc w:val="center"/>
        <w:rPr>
          <w:rFonts w:ascii="宋体" w:hAnsi="宋体"/>
          <w:b/>
          <w:sz w:val="32"/>
          <w:szCs w:val="32"/>
        </w:rPr>
      </w:pPr>
      <w:r>
        <w:rPr>
          <w:rFonts w:ascii="宋体" w:hAnsi="宋体"/>
          <w:b/>
          <w:sz w:val="32"/>
          <w:szCs w:val="32"/>
        </w:rPr>
        <w:t>需求响应表</w:t>
      </w:r>
    </w:p>
    <w:p w14:paraId="1E866D7D">
      <w:pPr>
        <w:spacing w:beforeLines="50" w:afterLines="50" w:line="360" w:lineRule="auto"/>
        <w:jc w:val="left"/>
        <w:rPr>
          <w:rFonts w:ascii="宋体" w:hAnsi="宋体" w:cs="宋体"/>
          <w:spacing w:val="-1"/>
          <w:kern w:val="0"/>
          <w:sz w:val="24"/>
        </w:rPr>
      </w:pPr>
      <w:r>
        <w:rPr>
          <w:rFonts w:hint="eastAsia" w:ascii="宋体" w:hAnsi="宋体" w:cs="宋体"/>
          <w:spacing w:val="-1"/>
          <w:kern w:val="0"/>
          <w:sz w:val="24"/>
        </w:rPr>
        <w:t>项目名称：</w:t>
      </w:r>
    </w:p>
    <w:p w14:paraId="160C3B87">
      <w:pPr>
        <w:spacing w:beforeLines="50" w:afterLines="50" w:line="360" w:lineRule="auto"/>
        <w:jc w:val="left"/>
        <w:rPr>
          <w:rFonts w:ascii="宋体" w:hAnsi="宋体" w:cs="宋体"/>
          <w:spacing w:val="-1"/>
          <w:kern w:val="0"/>
          <w:sz w:val="24"/>
        </w:rPr>
      </w:pPr>
      <w:r>
        <w:rPr>
          <w:rFonts w:hint="eastAsia" w:ascii="宋体" w:hAnsi="宋体" w:cs="宋体"/>
          <w:spacing w:val="-1"/>
          <w:kern w:val="0"/>
          <w:sz w:val="24"/>
        </w:rPr>
        <w:t>项目编号：</w:t>
      </w:r>
    </w:p>
    <w:p w14:paraId="58DEB13F">
      <w:pPr>
        <w:spacing w:afterLines="50" w:line="360" w:lineRule="auto"/>
        <w:ind w:firstLine="476" w:firstLineChars="200"/>
        <w:jc w:val="left"/>
        <w:rPr>
          <w:rFonts w:ascii="宋体" w:hAnsi="宋体" w:cs="宋体"/>
          <w:spacing w:val="-1"/>
          <w:kern w:val="0"/>
          <w:sz w:val="24"/>
        </w:rPr>
      </w:pPr>
      <w:r>
        <w:rPr>
          <w:rFonts w:hint="eastAsia" w:ascii="宋体" w:hAnsi="宋体" w:cs="宋体"/>
          <w:spacing w:val="-1"/>
          <w:kern w:val="0"/>
          <w:sz w:val="24"/>
        </w:rPr>
        <w:t>我公司已认真阅读竞争性磋商采购文件中“项目需求”中的所有条款，对采购项目需求的内容要求了解清晰，若我公司在本次磋商中成交，将按照“项目需求”要求的响应情况为采购人提供相应的产品及优质的服务。</w:t>
      </w:r>
    </w:p>
    <w:tbl>
      <w:tblPr>
        <w:tblStyle w:val="37"/>
        <w:tblW w:w="971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3"/>
        <w:gridCol w:w="1701"/>
        <w:gridCol w:w="1911"/>
        <w:gridCol w:w="1491"/>
        <w:gridCol w:w="2200"/>
        <w:gridCol w:w="1276"/>
      </w:tblGrid>
      <w:tr w14:paraId="0152A9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4745" w:type="dxa"/>
            <w:gridSpan w:val="3"/>
            <w:tcBorders>
              <w:top w:val="single" w:color="auto" w:sz="4" w:space="0"/>
              <w:left w:val="single" w:color="auto" w:sz="4" w:space="0"/>
              <w:bottom w:val="single" w:color="auto" w:sz="4" w:space="0"/>
              <w:right w:val="single" w:color="auto" w:sz="4" w:space="0"/>
            </w:tcBorders>
            <w:noWrap/>
            <w:vAlign w:val="center"/>
          </w:tcPr>
          <w:p w14:paraId="34FF09F4">
            <w:pPr>
              <w:pStyle w:val="21"/>
              <w:wordWrap w:val="0"/>
              <w:snapToGrid w:val="0"/>
              <w:spacing w:line="320" w:lineRule="exact"/>
              <w:jc w:val="center"/>
              <w:rPr>
                <w:rFonts w:ascii="Times New Roman" w:hAnsi="Times New Roman"/>
                <w:b/>
                <w:szCs w:val="24"/>
                <w:lang w:val="en-US" w:eastAsia="zh-CN"/>
              </w:rPr>
            </w:pPr>
            <w:bookmarkStart w:id="59" w:name="_Toc254970558"/>
            <w:bookmarkStart w:id="60" w:name="_Toc2018"/>
            <w:bookmarkStart w:id="61" w:name="_Toc254970699"/>
            <w:r>
              <w:rPr>
                <w:rFonts w:ascii="Times New Roman" w:hAnsi="宋体"/>
                <w:b/>
                <w:szCs w:val="24"/>
                <w:lang w:val="en-US" w:eastAsia="zh-CN"/>
              </w:rPr>
              <w:t>采购文件要求</w:t>
            </w:r>
            <w:bookmarkEnd w:id="59"/>
            <w:bookmarkEnd w:id="60"/>
            <w:bookmarkEnd w:id="61"/>
          </w:p>
        </w:tc>
        <w:tc>
          <w:tcPr>
            <w:tcW w:w="3691" w:type="dxa"/>
            <w:gridSpan w:val="2"/>
            <w:tcBorders>
              <w:top w:val="single" w:color="auto" w:sz="4" w:space="0"/>
              <w:left w:val="single" w:color="auto" w:sz="4" w:space="0"/>
              <w:bottom w:val="single" w:color="auto" w:sz="4" w:space="0"/>
              <w:right w:val="single" w:color="auto" w:sz="4" w:space="0"/>
            </w:tcBorders>
            <w:noWrap/>
            <w:vAlign w:val="center"/>
          </w:tcPr>
          <w:p w14:paraId="3648FD2F">
            <w:pPr>
              <w:pStyle w:val="21"/>
              <w:wordWrap w:val="0"/>
              <w:snapToGrid w:val="0"/>
              <w:spacing w:line="320" w:lineRule="exact"/>
              <w:jc w:val="center"/>
              <w:rPr>
                <w:rFonts w:ascii="Times New Roman" w:hAnsi="Times New Roman"/>
                <w:b/>
                <w:szCs w:val="24"/>
                <w:lang w:val="en-US" w:eastAsia="zh-CN"/>
              </w:rPr>
            </w:pPr>
            <w:bookmarkStart w:id="62" w:name="_Toc25093"/>
            <w:bookmarkStart w:id="63" w:name="_Toc254970700"/>
            <w:bookmarkStart w:id="64" w:name="_Toc254970559"/>
            <w:r>
              <w:rPr>
                <w:rFonts w:hint="eastAsia" w:ascii="Times New Roman" w:hAnsi="宋体"/>
                <w:b/>
                <w:szCs w:val="24"/>
                <w:lang w:val="en-US" w:eastAsia="zh-CN"/>
              </w:rPr>
              <w:t>响应</w:t>
            </w:r>
            <w:r>
              <w:rPr>
                <w:rFonts w:ascii="Times New Roman" w:hAnsi="宋体"/>
                <w:b/>
                <w:szCs w:val="24"/>
                <w:lang w:val="en-US" w:eastAsia="zh-CN"/>
              </w:rPr>
              <w:t>文件响应</w:t>
            </w:r>
            <w:bookmarkEnd w:id="62"/>
            <w:bookmarkEnd w:id="63"/>
            <w:bookmarkEnd w:id="64"/>
            <w:r>
              <w:rPr>
                <w:rFonts w:hint="eastAsia" w:ascii="Times New Roman" w:hAnsi="宋体"/>
                <w:b/>
                <w:szCs w:val="24"/>
                <w:lang w:val="en-US" w:eastAsia="zh-CN"/>
              </w:rPr>
              <w:t>情况</w:t>
            </w:r>
          </w:p>
        </w:tc>
        <w:tc>
          <w:tcPr>
            <w:tcW w:w="1276" w:type="dxa"/>
            <w:vMerge w:val="restart"/>
            <w:tcBorders>
              <w:top w:val="single" w:color="auto" w:sz="4" w:space="0"/>
              <w:left w:val="single" w:color="auto" w:sz="4" w:space="0"/>
              <w:bottom w:val="single" w:color="auto" w:sz="4" w:space="0"/>
              <w:right w:val="single" w:color="auto" w:sz="4" w:space="0"/>
            </w:tcBorders>
            <w:noWrap/>
            <w:vAlign w:val="center"/>
          </w:tcPr>
          <w:p w14:paraId="1D302A4C">
            <w:pPr>
              <w:pStyle w:val="21"/>
              <w:wordWrap w:val="0"/>
              <w:snapToGrid w:val="0"/>
              <w:spacing w:line="320" w:lineRule="exact"/>
              <w:jc w:val="center"/>
              <w:rPr>
                <w:rFonts w:ascii="Times New Roman" w:hAnsi="Times New Roman"/>
                <w:szCs w:val="24"/>
                <w:lang w:val="en-US" w:eastAsia="zh-CN"/>
              </w:rPr>
            </w:pPr>
            <w:bookmarkStart w:id="65" w:name="_Toc68178630"/>
            <w:bookmarkStart w:id="66" w:name="_Toc254970701"/>
            <w:bookmarkStart w:id="67" w:name="_Toc254970560"/>
            <w:bookmarkStart w:id="68" w:name="_Toc11893"/>
            <w:r>
              <w:rPr>
                <w:rFonts w:ascii="Times New Roman" w:hAnsi="宋体"/>
                <w:szCs w:val="24"/>
                <w:lang w:val="en-US" w:eastAsia="zh-CN"/>
              </w:rPr>
              <w:t>偏离情况</w:t>
            </w:r>
            <w:bookmarkEnd w:id="65"/>
            <w:bookmarkEnd w:id="66"/>
            <w:bookmarkEnd w:id="67"/>
            <w:bookmarkEnd w:id="68"/>
          </w:p>
        </w:tc>
      </w:tr>
      <w:tr w14:paraId="1EA1E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exact"/>
          <w:jc w:val="center"/>
        </w:trPr>
        <w:tc>
          <w:tcPr>
            <w:tcW w:w="1133" w:type="dxa"/>
            <w:tcBorders>
              <w:top w:val="single" w:color="auto" w:sz="4" w:space="0"/>
              <w:left w:val="single" w:color="auto" w:sz="4" w:space="0"/>
              <w:bottom w:val="single" w:color="auto" w:sz="4" w:space="0"/>
              <w:right w:val="single" w:color="auto" w:sz="4" w:space="0"/>
            </w:tcBorders>
            <w:noWrap/>
            <w:vAlign w:val="center"/>
          </w:tcPr>
          <w:p w14:paraId="45465FAF">
            <w:pPr>
              <w:pStyle w:val="21"/>
              <w:wordWrap w:val="0"/>
              <w:snapToGrid w:val="0"/>
              <w:spacing w:line="320" w:lineRule="exact"/>
              <w:jc w:val="center"/>
              <w:rPr>
                <w:rFonts w:ascii="Times New Roman" w:hAnsi="Times New Roman"/>
                <w:szCs w:val="24"/>
                <w:lang w:val="en-US" w:eastAsia="zh-CN"/>
              </w:rPr>
            </w:pPr>
            <w:bookmarkStart w:id="69" w:name="_Toc6343"/>
            <w:bookmarkStart w:id="70" w:name="_Toc68178631"/>
            <w:r>
              <w:rPr>
                <w:rFonts w:ascii="Times New Roman" w:hAnsi="宋体"/>
                <w:szCs w:val="24"/>
                <w:lang w:val="en-US" w:eastAsia="zh-CN"/>
              </w:rPr>
              <w:t>项号</w:t>
            </w:r>
            <w:bookmarkEnd w:id="69"/>
            <w:bookmarkEnd w:id="70"/>
          </w:p>
        </w:tc>
        <w:tc>
          <w:tcPr>
            <w:tcW w:w="1701" w:type="dxa"/>
            <w:tcBorders>
              <w:top w:val="single" w:color="auto" w:sz="4" w:space="0"/>
              <w:left w:val="single" w:color="auto" w:sz="4" w:space="0"/>
              <w:bottom w:val="single" w:color="auto" w:sz="4" w:space="0"/>
              <w:right w:val="single" w:color="auto" w:sz="4" w:space="0"/>
            </w:tcBorders>
            <w:noWrap/>
            <w:vAlign w:val="center"/>
          </w:tcPr>
          <w:p w14:paraId="19FF2384">
            <w:pPr>
              <w:pStyle w:val="21"/>
              <w:wordWrap w:val="0"/>
              <w:snapToGrid w:val="0"/>
              <w:spacing w:line="320" w:lineRule="exact"/>
              <w:jc w:val="center"/>
              <w:rPr>
                <w:rFonts w:ascii="Times New Roman" w:hAnsi="Times New Roman"/>
                <w:szCs w:val="24"/>
                <w:lang w:val="en-US" w:eastAsia="zh-CN"/>
              </w:rPr>
            </w:pPr>
            <w:bookmarkStart w:id="71" w:name="_Toc2655"/>
            <w:bookmarkStart w:id="72" w:name="_Toc68178632"/>
            <w:r>
              <w:rPr>
                <w:rFonts w:hint="eastAsia" w:ascii="Times New Roman" w:hAnsi="宋体"/>
                <w:szCs w:val="24"/>
                <w:lang w:val="en-US" w:eastAsia="zh-CN"/>
              </w:rPr>
              <w:t>服务</w:t>
            </w:r>
            <w:r>
              <w:rPr>
                <w:rFonts w:ascii="Times New Roman" w:hAnsi="宋体"/>
                <w:szCs w:val="24"/>
                <w:lang w:val="en-US" w:eastAsia="zh-CN"/>
              </w:rPr>
              <w:t>名称</w:t>
            </w:r>
            <w:bookmarkEnd w:id="71"/>
            <w:bookmarkEnd w:id="72"/>
          </w:p>
        </w:tc>
        <w:tc>
          <w:tcPr>
            <w:tcW w:w="1911" w:type="dxa"/>
            <w:tcBorders>
              <w:top w:val="single" w:color="auto" w:sz="4" w:space="0"/>
              <w:left w:val="single" w:color="auto" w:sz="4" w:space="0"/>
              <w:bottom w:val="single" w:color="auto" w:sz="4" w:space="0"/>
              <w:right w:val="single" w:color="auto" w:sz="4" w:space="0"/>
            </w:tcBorders>
            <w:noWrap/>
            <w:vAlign w:val="center"/>
          </w:tcPr>
          <w:p w14:paraId="61936112">
            <w:pPr>
              <w:pStyle w:val="21"/>
              <w:wordWrap w:val="0"/>
              <w:snapToGrid w:val="0"/>
              <w:spacing w:line="320" w:lineRule="exact"/>
              <w:jc w:val="center"/>
              <w:rPr>
                <w:rFonts w:ascii="Times New Roman" w:hAnsi="Times New Roman"/>
                <w:szCs w:val="24"/>
                <w:lang w:val="en-US" w:eastAsia="zh-CN"/>
              </w:rPr>
            </w:pPr>
            <w:bookmarkStart w:id="73" w:name="_Toc68178633"/>
            <w:bookmarkStart w:id="74" w:name="_Toc1441"/>
            <w:r>
              <w:rPr>
                <w:rFonts w:hint="eastAsia" w:ascii="Times New Roman" w:hAnsi="宋体"/>
                <w:szCs w:val="24"/>
                <w:lang w:val="en-US" w:eastAsia="zh-CN"/>
              </w:rPr>
              <w:t>服务</w:t>
            </w:r>
            <w:r>
              <w:rPr>
                <w:rFonts w:ascii="Times New Roman" w:hAnsi="宋体"/>
                <w:szCs w:val="24"/>
                <w:lang w:val="en-US" w:eastAsia="zh-CN"/>
              </w:rPr>
              <w:t>需求及要求</w:t>
            </w:r>
            <w:bookmarkEnd w:id="73"/>
            <w:bookmarkEnd w:id="74"/>
          </w:p>
        </w:tc>
        <w:tc>
          <w:tcPr>
            <w:tcW w:w="1491" w:type="dxa"/>
            <w:tcBorders>
              <w:top w:val="single" w:color="auto" w:sz="4" w:space="0"/>
              <w:left w:val="single" w:color="auto" w:sz="4" w:space="0"/>
              <w:bottom w:val="single" w:color="auto" w:sz="4" w:space="0"/>
              <w:right w:val="single" w:color="auto" w:sz="4" w:space="0"/>
            </w:tcBorders>
            <w:noWrap/>
            <w:vAlign w:val="center"/>
          </w:tcPr>
          <w:p w14:paraId="7D698AF0">
            <w:pPr>
              <w:pStyle w:val="21"/>
              <w:wordWrap w:val="0"/>
              <w:snapToGrid w:val="0"/>
              <w:spacing w:line="320" w:lineRule="exact"/>
              <w:jc w:val="center"/>
              <w:rPr>
                <w:rFonts w:ascii="Times New Roman" w:hAnsi="Times New Roman"/>
                <w:szCs w:val="24"/>
                <w:lang w:val="en-US" w:eastAsia="zh-CN"/>
              </w:rPr>
            </w:pPr>
            <w:r>
              <w:rPr>
                <w:rFonts w:hint="eastAsia" w:ascii="Times New Roman" w:hAnsi="宋体"/>
                <w:szCs w:val="24"/>
                <w:lang w:val="en-US" w:eastAsia="zh-CN"/>
              </w:rPr>
              <w:t>服务</w:t>
            </w:r>
            <w:r>
              <w:rPr>
                <w:rFonts w:ascii="Times New Roman" w:hAnsi="宋体"/>
                <w:szCs w:val="24"/>
                <w:lang w:val="en-US" w:eastAsia="zh-CN"/>
              </w:rPr>
              <w:t>名称</w:t>
            </w:r>
          </w:p>
        </w:tc>
        <w:tc>
          <w:tcPr>
            <w:tcW w:w="2200" w:type="dxa"/>
            <w:tcBorders>
              <w:top w:val="single" w:color="auto" w:sz="4" w:space="0"/>
              <w:left w:val="single" w:color="auto" w:sz="4" w:space="0"/>
              <w:bottom w:val="single" w:color="auto" w:sz="4" w:space="0"/>
              <w:right w:val="single" w:color="auto" w:sz="4" w:space="0"/>
            </w:tcBorders>
            <w:noWrap/>
            <w:vAlign w:val="center"/>
          </w:tcPr>
          <w:p w14:paraId="0DF0FDF5">
            <w:pPr>
              <w:pStyle w:val="21"/>
              <w:wordWrap w:val="0"/>
              <w:snapToGrid w:val="0"/>
              <w:spacing w:line="320" w:lineRule="exact"/>
              <w:jc w:val="center"/>
              <w:rPr>
                <w:rFonts w:ascii="Times New Roman" w:hAnsi="Times New Roman"/>
                <w:szCs w:val="24"/>
                <w:lang w:val="en-US" w:eastAsia="zh-CN"/>
              </w:rPr>
            </w:pPr>
            <w:r>
              <w:rPr>
                <w:rFonts w:hint="eastAsia" w:ascii="Times New Roman" w:hAnsi="宋体"/>
                <w:szCs w:val="24"/>
                <w:lang w:val="en-US" w:eastAsia="zh-CN"/>
              </w:rPr>
              <w:t>服务</w:t>
            </w:r>
            <w:r>
              <w:rPr>
                <w:rFonts w:ascii="Times New Roman" w:hAnsi="宋体"/>
                <w:szCs w:val="24"/>
                <w:lang w:val="en-US" w:eastAsia="zh-CN"/>
              </w:rPr>
              <w:t>需求及要求</w:t>
            </w:r>
          </w:p>
        </w:tc>
        <w:tc>
          <w:tcPr>
            <w:tcW w:w="1276" w:type="dxa"/>
            <w:vMerge w:val="continue"/>
            <w:tcBorders>
              <w:top w:val="single" w:color="auto" w:sz="4" w:space="0"/>
              <w:left w:val="single" w:color="auto" w:sz="4" w:space="0"/>
              <w:bottom w:val="single" w:color="auto" w:sz="4" w:space="0"/>
              <w:right w:val="single" w:color="auto" w:sz="4" w:space="0"/>
            </w:tcBorders>
            <w:noWrap/>
            <w:vAlign w:val="center"/>
          </w:tcPr>
          <w:p w14:paraId="071D86F3">
            <w:pPr>
              <w:widowControl/>
              <w:wordWrap w:val="0"/>
              <w:spacing w:line="320" w:lineRule="exact"/>
              <w:jc w:val="center"/>
              <w:rPr>
                <w:sz w:val="24"/>
              </w:rPr>
            </w:pPr>
          </w:p>
        </w:tc>
      </w:tr>
      <w:tr w14:paraId="5675C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5" w:hRule="exact"/>
          <w:jc w:val="center"/>
        </w:trPr>
        <w:tc>
          <w:tcPr>
            <w:tcW w:w="1133" w:type="dxa"/>
            <w:tcBorders>
              <w:top w:val="single" w:color="auto" w:sz="4" w:space="0"/>
              <w:left w:val="single" w:color="auto" w:sz="4" w:space="0"/>
              <w:bottom w:val="single" w:color="auto" w:sz="4" w:space="0"/>
              <w:right w:val="single" w:color="auto" w:sz="4" w:space="0"/>
            </w:tcBorders>
            <w:noWrap/>
            <w:vAlign w:val="center"/>
          </w:tcPr>
          <w:p w14:paraId="3998613E">
            <w:pPr>
              <w:pStyle w:val="21"/>
              <w:wordWrap w:val="0"/>
              <w:snapToGrid w:val="0"/>
              <w:spacing w:before="295" w:after="295" w:line="200" w:lineRule="exact"/>
              <w:jc w:val="center"/>
              <w:rPr>
                <w:rFonts w:ascii="Times New Roman" w:hAnsi="Times New Roman"/>
                <w:szCs w:val="24"/>
                <w:lang w:val="en-US" w:eastAsia="zh-CN"/>
              </w:rPr>
            </w:pPr>
            <w:bookmarkStart w:id="75" w:name="_Toc24012"/>
            <w:r>
              <w:rPr>
                <w:rFonts w:ascii="Times New Roman" w:hAnsi="Times New Roman"/>
                <w:szCs w:val="24"/>
                <w:lang w:val="en-US" w:eastAsia="zh-CN"/>
              </w:rPr>
              <w:t>1</w:t>
            </w:r>
            <w:bookmarkEnd w:id="75"/>
          </w:p>
        </w:tc>
        <w:tc>
          <w:tcPr>
            <w:tcW w:w="1701" w:type="dxa"/>
            <w:tcBorders>
              <w:top w:val="single" w:color="auto" w:sz="4" w:space="0"/>
              <w:left w:val="single" w:color="auto" w:sz="4" w:space="0"/>
              <w:bottom w:val="single" w:color="auto" w:sz="4" w:space="0"/>
              <w:right w:val="single" w:color="auto" w:sz="4" w:space="0"/>
            </w:tcBorders>
            <w:noWrap/>
            <w:vAlign w:val="center"/>
          </w:tcPr>
          <w:p w14:paraId="05D9F28D">
            <w:pPr>
              <w:pStyle w:val="21"/>
              <w:wordWrap w:val="0"/>
              <w:snapToGrid w:val="0"/>
              <w:spacing w:line="200" w:lineRule="exact"/>
              <w:jc w:val="center"/>
              <w:rPr>
                <w:rFonts w:ascii="Times New Roman" w:hAnsi="Times New Roman"/>
                <w:szCs w:val="24"/>
                <w:lang w:val="en-US" w:eastAsia="zh-CN"/>
              </w:rPr>
            </w:pPr>
            <w:bookmarkStart w:id="76" w:name="_Toc16655"/>
            <w:r>
              <w:rPr>
                <w:rFonts w:ascii="Times New Roman" w:hAnsi="Times New Roman"/>
                <w:szCs w:val="24"/>
                <w:lang w:val="en-US" w:eastAsia="zh-CN"/>
              </w:rPr>
              <w:t>……</w:t>
            </w:r>
            <w:bookmarkEnd w:id="76"/>
          </w:p>
        </w:tc>
        <w:tc>
          <w:tcPr>
            <w:tcW w:w="1911" w:type="dxa"/>
            <w:tcBorders>
              <w:top w:val="single" w:color="auto" w:sz="4" w:space="0"/>
              <w:left w:val="single" w:color="auto" w:sz="4" w:space="0"/>
              <w:bottom w:val="single" w:color="auto" w:sz="4" w:space="0"/>
              <w:right w:val="single" w:color="auto" w:sz="4" w:space="0"/>
            </w:tcBorders>
            <w:noWrap/>
            <w:vAlign w:val="center"/>
          </w:tcPr>
          <w:p w14:paraId="3A96740E">
            <w:pPr>
              <w:pStyle w:val="21"/>
              <w:wordWrap w:val="0"/>
              <w:snapToGrid w:val="0"/>
              <w:spacing w:line="200" w:lineRule="exact"/>
              <w:jc w:val="center"/>
              <w:rPr>
                <w:rFonts w:ascii="Times New Roman" w:hAnsi="Times New Roman"/>
                <w:szCs w:val="24"/>
                <w:lang w:val="en-US" w:eastAsia="zh-CN"/>
              </w:rPr>
            </w:pPr>
            <w:bookmarkStart w:id="77" w:name="_Toc15228"/>
            <w:r>
              <w:rPr>
                <w:rFonts w:ascii="Times New Roman" w:hAnsi="Times New Roman"/>
                <w:szCs w:val="24"/>
                <w:lang w:val="en-US" w:eastAsia="zh-CN"/>
              </w:rPr>
              <w:t>1  ……</w:t>
            </w:r>
            <w:bookmarkEnd w:id="77"/>
          </w:p>
          <w:p w14:paraId="6F66AEDF">
            <w:pPr>
              <w:pStyle w:val="21"/>
              <w:wordWrap w:val="0"/>
              <w:snapToGrid w:val="0"/>
              <w:spacing w:line="200" w:lineRule="exact"/>
              <w:jc w:val="center"/>
              <w:rPr>
                <w:rFonts w:ascii="Times New Roman" w:hAnsi="Times New Roman"/>
                <w:szCs w:val="24"/>
                <w:lang w:val="en-US" w:eastAsia="zh-CN"/>
              </w:rPr>
            </w:pPr>
            <w:bookmarkStart w:id="78" w:name="_Toc3525"/>
            <w:r>
              <w:rPr>
                <w:rFonts w:ascii="Times New Roman" w:hAnsi="Times New Roman"/>
                <w:szCs w:val="24"/>
                <w:lang w:val="en-US" w:eastAsia="zh-CN"/>
              </w:rPr>
              <w:t>2  ……</w:t>
            </w:r>
            <w:bookmarkEnd w:id="78"/>
          </w:p>
          <w:p w14:paraId="3EAE82AE">
            <w:pPr>
              <w:pStyle w:val="21"/>
              <w:wordWrap w:val="0"/>
              <w:snapToGrid w:val="0"/>
              <w:spacing w:line="200" w:lineRule="exact"/>
              <w:jc w:val="center"/>
              <w:rPr>
                <w:rFonts w:ascii="Times New Roman" w:hAnsi="Times New Roman"/>
                <w:szCs w:val="24"/>
                <w:lang w:val="en-US" w:eastAsia="zh-CN"/>
              </w:rPr>
            </w:pPr>
            <w:bookmarkStart w:id="79" w:name="_Toc1966"/>
            <w:r>
              <w:rPr>
                <w:rFonts w:ascii="Times New Roman" w:hAnsi="Times New Roman"/>
                <w:szCs w:val="24"/>
                <w:lang w:val="en-US" w:eastAsia="zh-CN"/>
              </w:rPr>
              <w:t>3  ……</w:t>
            </w:r>
            <w:bookmarkEnd w:id="79"/>
          </w:p>
          <w:p w14:paraId="2F583D96">
            <w:pPr>
              <w:pStyle w:val="21"/>
              <w:wordWrap w:val="0"/>
              <w:snapToGrid w:val="0"/>
              <w:spacing w:line="200" w:lineRule="exact"/>
              <w:jc w:val="center"/>
              <w:rPr>
                <w:rFonts w:ascii="Times New Roman" w:hAnsi="Times New Roman"/>
                <w:szCs w:val="24"/>
                <w:lang w:val="en-US" w:eastAsia="zh-CN"/>
              </w:rPr>
            </w:pPr>
            <w:bookmarkStart w:id="80" w:name="_Toc26455"/>
            <w:r>
              <w:rPr>
                <w:rFonts w:ascii="Times New Roman" w:hAnsi="Times New Roman"/>
                <w:szCs w:val="24"/>
                <w:lang w:val="en-US" w:eastAsia="zh-CN"/>
              </w:rPr>
              <w:t>……</w:t>
            </w:r>
            <w:bookmarkEnd w:id="80"/>
          </w:p>
        </w:tc>
        <w:tc>
          <w:tcPr>
            <w:tcW w:w="1491" w:type="dxa"/>
            <w:tcBorders>
              <w:top w:val="single" w:color="auto" w:sz="4" w:space="0"/>
              <w:left w:val="single" w:color="auto" w:sz="4" w:space="0"/>
              <w:bottom w:val="single" w:color="auto" w:sz="4" w:space="0"/>
              <w:right w:val="single" w:color="auto" w:sz="4" w:space="0"/>
            </w:tcBorders>
            <w:noWrap/>
            <w:vAlign w:val="center"/>
          </w:tcPr>
          <w:p w14:paraId="7289134B">
            <w:pPr>
              <w:wordWrap w:val="0"/>
              <w:spacing w:line="200" w:lineRule="exact"/>
              <w:jc w:val="center"/>
            </w:pPr>
            <w:r>
              <w:t>……</w:t>
            </w:r>
          </w:p>
        </w:tc>
        <w:tc>
          <w:tcPr>
            <w:tcW w:w="2200" w:type="dxa"/>
            <w:tcBorders>
              <w:top w:val="single" w:color="auto" w:sz="4" w:space="0"/>
              <w:left w:val="single" w:color="auto" w:sz="4" w:space="0"/>
              <w:bottom w:val="single" w:color="auto" w:sz="4" w:space="0"/>
              <w:right w:val="single" w:color="auto" w:sz="4" w:space="0"/>
            </w:tcBorders>
            <w:noWrap/>
            <w:vAlign w:val="center"/>
          </w:tcPr>
          <w:p w14:paraId="2BAC3629">
            <w:pPr>
              <w:pStyle w:val="21"/>
              <w:wordWrap w:val="0"/>
              <w:snapToGrid w:val="0"/>
              <w:spacing w:line="200" w:lineRule="exact"/>
              <w:jc w:val="center"/>
              <w:rPr>
                <w:rFonts w:ascii="Times New Roman" w:hAnsi="Times New Roman"/>
                <w:szCs w:val="24"/>
                <w:lang w:val="en-US" w:eastAsia="zh-CN"/>
              </w:rPr>
            </w:pPr>
            <w:bookmarkStart w:id="81" w:name="_Toc16672"/>
            <w:r>
              <w:rPr>
                <w:rFonts w:ascii="Times New Roman" w:hAnsi="Times New Roman"/>
                <w:szCs w:val="24"/>
                <w:lang w:val="en-US" w:eastAsia="zh-CN"/>
              </w:rPr>
              <w:t>1  ……</w:t>
            </w:r>
            <w:bookmarkEnd w:id="81"/>
          </w:p>
          <w:p w14:paraId="26ACD92F">
            <w:pPr>
              <w:pStyle w:val="21"/>
              <w:wordWrap w:val="0"/>
              <w:snapToGrid w:val="0"/>
              <w:spacing w:line="200" w:lineRule="exact"/>
              <w:jc w:val="center"/>
              <w:rPr>
                <w:rFonts w:ascii="Times New Roman" w:hAnsi="Times New Roman"/>
                <w:szCs w:val="24"/>
                <w:lang w:val="en-US" w:eastAsia="zh-CN"/>
              </w:rPr>
            </w:pPr>
            <w:bookmarkStart w:id="82" w:name="_Toc26276"/>
            <w:r>
              <w:rPr>
                <w:rFonts w:ascii="Times New Roman" w:hAnsi="Times New Roman"/>
                <w:szCs w:val="24"/>
                <w:lang w:val="en-US" w:eastAsia="zh-CN"/>
              </w:rPr>
              <w:t>2  ……</w:t>
            </w:r>
            <w:bookmarkEnd w:id="82"/>
          </w:p>
          <w:p w14:paraId="0D8FB652">
            <w:pPr>
              <w:pStyle w:val="21"/>
              <w:wordWrap w:val="0"/>
              <w:snapToGrid w:val="0"/>
              <w:spacing w:line="200" w:lineRule="exact"/>
              <w:jc w:val="center"/>
              <w:rPr>
                <w:rFonts w:ascii="Times New Roman" w:hAnsi="Times New Roman"/>
                <w:szCs w:val="24"/>
                <w:lang w:val="en-US" w:eastAsia="zh-CN"/>
              </w:rPr>
            </w:pPr>
            <w:bookmarkStart w:id="83" w:name="_Toc17898"/>
            <w:r>
              <w:rPr>
                <w:rFonts w:ascii="Times New Roman" w:hAnsi="Times New Roman"/>
                <w:szCs w:val="24"/>
                <w:lang w:val="en-US" w:eastAsia="zh-CN"/>
              </w:rPr>
              <w:t>3  ……</w:t>
            </w:r>
            <w:bookmarkEnd w:id="83"/>
          </w:p>
          <w:p w14:paraId="5E7B07C6">
            <w:pPr>
              <w:pStyle w:val="21"/>
              <w:wordWrap w:val="0"/>
              <w:snapToGrid w:val="0"/>
              <w:spacing w:line="200" w:lineRule="exact"/>
              <w:jc w:val="center"/>
              <w:rPr>
                <w:rFonts w:ascii="Times New Roman" w:hAnsi="Times New Roman"/>
                <w:szCs w:val="24"/>
                <w:lang w:val="en-US" w:eastAsia="zh-CN"/>
              </w:rPr>
            </w:pPr>
            <w:bookmarkStart w:id="84" w:name="_Toc16211"/>
            <w:r>
              <w:rPr>
                <w:rFonts w:ascii="Times New Roman" w:hAnsi="Times New Roman"/>
                <w:szCs w:val="24"/>
                <w:lang w:val="en-US" w:eastAsia="zh-CN"/>
              </w:rPr>
              <w:t>……</w:t>
            </w:r>
            <w:bookmarkEnd w:id="84"/>
          </w:p>
        </w:tc>
        <w:tc>
          <w:tcPr>
            <w:tcW w:w="1276" w:type="dxa"/>
            <w:tcBorders>
              <w:top w:val="single" w:color="auto" w:sz="4" w:space="0"/>
              <w:left w:val="single" w:color="auto" w:sz="4" w:space="0"/>
              <w:bottom w:val="single" w:color="auto" w:sz="4" w:space="0"/>
              <w:right w:val="single" w:color="auto" w:sz="4" w:space="0"/>
            </w:tcBorders>
            <w:noWrap/>
            <w:vAlign w:val="center"/>
          </w:tcPr>
          <w:p w14:paraId="69607DC3">
            <w:pPr>
              <w:pStyle w:val="21"/>
              <w:wordWrap w:val="0"/>
              <w:snapToGrid w:val="0"/>
              <w:spacing w:line="200" w:lineRule="exact"/>
              <w:rPr>
                <w:rFonts w:ascii="Times New Roman" w:hAnsi="Times New Roman"/>
                <w:szCs w:val="24"/>
                <w:lang w:val="en-US" w:eastAsia="zh-CN"/>
              </w:rPr>
            </w:pPr>
          </w:p>
        </w:tc>
      </w:tr>
      <w:tr w14:paraId="657B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1133" w:type="dxa"/>
            <w:tcBorders>
              <w:top w:val="single" w:color="auto" w:sz="4" w:space="0"/>
              <w:left w:val="single" w:color="auto" w:sz="4" w:space="0"/>
              <w:bottom w:val="single" w:color="auto" w:sz="4" w:space="0"/>
              <w:right w:val="single" w:color="auto" w:sz="4" w:space="0"/>
            </w:tcBorders>
            <w:noWrap/>
            <w:vAlign w:val="center"/>
          </w:tcPr>
          <w:p w14:paraId="128164BD">
            <w:pPr>
              <w:pStyle w:val="21"/>
              <w:wordWrap w:val="0"/>
              <w:snapToGrid w:val="0"/>
              <w:spacing w:line="200" w:lineRule="exact"/>
              <w:jc w:val="center"/>
              <w:rPr>
                <w:rFonts w:ascii="Times New Roman" w:hAnsi="Times New Roman"/>
                <w:szCs w:val="24"/>
                <w:lang w:val="en-US" w:eastAsia="zh-CN"/>
              </w:rPr>
            </w:pPr>
            <w:bookmarkStart w:id="85" w:name="_Toc14681"/>
            <w:r>
              <w:rPr>
                <w:rFonts w:ascii="Times New Roman" w:hAnsi="Times New Roman"/>
                <w:szCs w:val="24"/>
                <w:lang w:val="en-US" w:eastAsia="zh-CN"/>
              </w:rPr>
              <w:t>2</w:t>
            </w:r>
            <w:bookmarkEnd w:id="85"/>
          </w:p>
        </w:tc>
        <w:tc>
          <w:tcPr>
            <w:tcW w:w="1701" w:type="dxa"/>
            <w:tcBorders>
              <w:top w:val="single" w:color="auto" w:sz="4" w:space="0"/>
              <w:left w:val="single" w:color="auto" w:sz="4" w:space="0"/>
              <w:bottom w:val="single" w:color="auto" w:sz="4" w:space="0"/>
              <w:right w:val="single" w:color="auto" w:sz="4" w:space="0"/>
            </w:tcBorders>
            <w:noWrap/>
            <w:vAlign w:val="center"/>
          </w:tcPr>
          <w:p w14:paraId="02C3D7EF">
            <w:pPr>
              <w:pStyle w:val="21"/>
              <w:wordWrap w:val="0"/>
              <w:snapToGrid w:val="0"/>
              <w:spacing w:line="200" w:lineRule="exact"/>
              <w:jc w:val="center"/>
              <w:rPr>
                <w:rFonts w:ascii="Times New Roman" w:hAnsi="Times New Roman"/>
                <w:szCs w:val="24"/>
                <w:lang w:val="en-US" w:eastAsia="zh-CN"/>
              </w:rPr>
            </w:pPr>
            <w:bookmarkStart w:id="86" w:name="_Toc21684"/>
            <w:r>
              <w:rPr>
                <w:rFonts w:ascii="Times New Roman" w:hAnsi="Times New Roman"/>
                <w:szCs w:val="24"/>
                <w:lang w:val="en-US" w:eastAsia="zh-CN"/>
              </w:rPr>
              <w:t>……</w:t>
            </w:r>
            <w:bookmarkEnd w:id="86"/>
          </w:p>
        </w:tc>
        <w:tc>
          <w:tcPr>
            <w:tcW w:w="1911" w:type="dxa"/>
            <w:tcBorders>
              <w:top w:val="single" w:color="auto" w:sz="4" w:space="0"/>
              <w:left w:val="single" w:color="auto" w:sz="4" w:space="0"/>
              <w:bottom w:val="single" w:color="auto" w:sz="4" w:space="0"/>
              <w:right w:val="single" w:color="auto" w:sz="4" w:space="0"/>
            </w:tcBorders>
            <w:noWrap/>
            <w:vAlign w:val="center"/>
          </w:tcPr>
          <w:p w14:paraId="5622CB71">
            <w:pPr>
              <w:pStyle w:val="21"/>
              <w:wordWrap w:val="0"/>
              <w:snapToGrid w:val="0"/>
              <w:spacing w:line="200" w:lineRule="exact"/>
              <w:jc w:val="center"/>
              <w:rPr>
                <w:rFonts w:ascii="Times New Roman" w:hAnsi="Times New Roman"/>
                <w:szCs w:val="24"/>
                <w:lang w:val="en-US" w:eastAsia="zh-CN"/>
              </w:rPr>
            </w:pPr>
            <w:bookmarkStart w:id="87" w:name="_Toc29135"/>
            <w:r>
              <w:rPr>
                <w:rFonts w:ascii="Times New Roman" w:hAnsi="Times New Roman"/>
                <w:szCs w:val="24"/>
                <w:lang w:val="en-US" w:eastAsia="zh-CN"/>
              </w:rPr>
              <w:t>1  ……</w:t>
            </w:r>
            <w:bookmarkEnd w:id="87"/>
          </w:p>
          <w:p w14:paraId="6104405A">
            <w:pPr>
              <w:pStyle w:val="21"/>
              <w:wordWrap w:val="0"/>
              <w:snapToGrid w:val="0"/>
              <w:spacing w:line="200" w:lineRule="exact"/>
              <w:jc w:val="center"/>
              <w:rPr>
                <w:rFonts w:ascii="Times New Roman" w:hAnsi="Times New Roman"/>
                <w:szCs w:val="24"/>
                <w:lang w:val="en-US" w:eastAsia="zh-CN"/>
              </w:rPr>
            </w:pPr>
            <w:bookmarkStart w:id="88" w:name="_Toc27305"/>
            <w:r>
              <w:rPr>
                <w:rFonts w:ascii="Times New Roman" w:hAnsi="Times New Roman"/>
                <w:szCs w:val="24"/>
                <w:lang w:val="en-US" w:eastAsia="zh-CN"/>
              </w:rPr>
              <w:t>2  ……</w:t>
            </w:r>
            <w:bookmarkEnd w:id="88"/>
          </w:p>
          <w:p w14:paraId="4473BAAC">
            <w:pPr>
              <w:pStyle w:val="21"/>
              <w:wordWrap w:val="0"/>
              <w:snapToGrid w:val="0"/>
              <w:spacing w:line="200" w:lineRule="exact"/>
              <w:jc w:val="center"/>
              <w:rPr>
                <w:rFonts w:ascii="Times New Roman" w:hAnsi="Times New Roman"/>
                <w:szCs w:val="24"/>
                <w:lang w:val="en-US" w:eastAsia="zh-CN"/>
              </w:rPr>
            </w:pPr>
            <w:bookmarkStart w:id="89" w:name="_Toc30341"/>
            <w:r>
              <w:rPr>
                <w:rFonts w:ascii="Times New Roman" w:hAnsi="Times New Roman"/>
                <w:szCs w:val="24"/>
                <w:lang w:val="en-US" w:eastAsia="zh-CN"/>
              </w:rPr>
              <w:t>3  ……</w:t>
            </w:r>
            <w:bookmarkEnd w:id="89"/>
          </w:p>
          <w:p w14:paraId="4BD73CF2">
            <w:pPr>
              <w:pStyle w:val="21"/>
              <w:wordWrap w:val="0"/>
              <w:snapToGrid w:val="0"/>
              <w:spacing w:line="200" w:lineRule="exact"/>
              <w:jc w:val="center"/>
              <w:rPr>
                <w:rFonts w:ascii="Times New Roman" w:hAnsi="Times New Roman"/>
                <w:szCs w:val="24"/>
                <w:lang w:val="en-US" w:eastAsia="zh-CN"/>
              </w:rPr>
            </w:pPr>
            <w:bookmarkStart w:id="90" w:name="_Toc31461"/>
            <w:r>
              <w:rPr>
                <w:rFonts w:ascii="Times New Roman" w:hAnsi="Times New Roman"/>
                <w:szCs w:val="24"/>
                <w:lang w:val="en-US" w:eastAsia="zh-CN"/>
              </w:rPr>
              <w:t>……</w:t>
            </w:r>
            <w:bookmarkEnd w:id="90"/>
          </w:p>
        </w:tc>
        <w:tc>
          <w:tcPr>
            <w:tcW w:w="1491" w:type="dxa"/>
            <w:tcBorders>
              <w:top w:val="single" w:color="auto" w:sz="4" w:space="0"/>
              <w:left w:val="single" w:color="auto" w:sz="4" w:space="0"/>
              <w:bottom w:val="single" w:color="auto" w:sz="4" w:space="0"/>
              <w:right w:val="single" w:color="auto" w:sz="4" w:space="0"/>
            </w:tcBorders>
            <w:noWrap/>
            <w:vAlign w:val="center"/>
          </w:tcPr>
          <w:p w14:paraId="6FED1FCD">
            <w:pPr>
              <w:wordWrap w:val="0"/>
              <w:spacing w:line="200" w:lineRule="exact"/>
              <w:jc w:val="center"/>
            </w:pPr>
            <w:r>
              <w:t>……</w:t>
            </w:r>
          </w:p>
        </w:tc>
        <w:tc>
          <w:tcPr>
            <w:tcW w:w="2200" w:type="dxa"/>
            <w:tcBorders>
              <w:top w:val="single" w:color="auto" w:sz="4" w:space="0"/>
              <w:left w:val="single" w:color="auto" w:sz="4" w:space="0"/>
              <w:bottom w:val="single" w:color="auto" w:sz="4" w:space="0"/>
              <w:right w:val="single" w:color="auto" w:sz="4" w:space="0"/>
            </w:tcBorders>
            <w:noWrap/>
            <w:vAlign w:val="center"/>
          </w:tcPr>
          <w:p w14:paraId="03DEE7D6">
            <w:pPr>
              <w:pStyle w:val="21"/>
              <w:wordWrap w:val="0"/>
              <w:snapToGrid w:val="0"/>
              <w:spacing w:line="200" w:lineRule="exact"/>
              <w:jc w:val="center"/>
              <w:rPr>
                <w:rFonts w:ascii="Times New Roman" w:hAnsi="Times New Roman"/>
                <w:szCs w:val="24"/>
                <w:lang w:val="en-US" w:eastAsia="zh-CN"/>
              </w:rPr>
            </w:pPr>
            <w:bookmarkStart w:id="91" w:name="_Toc5207"/>
            <w:r>
              <w:rPr>
                <w:rFonts w:ascii="Times New Roman" w:hAnsi="Times New Roman"/>
                <w:szCs w:val="24"/>
                <w:lang w:val="en-US" w:eastAsia="zh-CN"/>
              </w:rPr>
              <w:t>1  ……</w:t>
            </w:r>
            <w:bookmarkEnd w:id="91"/>
          </w:p>
          <w:p w14:paraId="15665F55">
            <w:pPr>
              <w:pStyle w:val="21"/>
              <w:wordWrap w:val="0"/>
              <w:snapToGrid w:val="0"/>
              <w:spacing w:line="200" w:lineRule="exact"/>
              <w:jc w:val="center"/>
              <w:rPr>
                <w:rFonts w:ascii="Times New Roman" w:hAnsi="Times New Roman"/>
                <w:szCs w:val="24"/>
                <w:lang w:val="en-US" w:eastAsia="zh-CN"/>
              </w:rPr>
            </w:pPr>
            <w:bookmarkStart w:id="92" w:name="_Toc14589"/>
            <w:r>
              <w:rPr>
                <w:rFonts w:ascii="Times New Roman" w:hAnsi="Times New Roman"/>
                <w:szCs w:val="24"/>
                <w:lang w:val="en-US" w:eastAsia="zh-CN"/>
              </w:rPr>
              <w:t>2  ……</w:t>
            </w:r>
            <w:bookmarkEnd w:id="92"/>
          </w:p>
          <w:p w14:paraId="4479E967">
            <w:pPr>
              <w:pStyle w:val="21"/>
              <w:wordWrap w:val="0"/>
              <w:snapToGrid w:val="0"/>
              <w:spacing w:line="200" w:lineRule="exact"/>
              <w:jc w:val="center"/>
              <w:rPr>
                <w:rFonts w:ascii="Times New Roman" w:hAnsi="Times New Roman"/>
                <w:szCs w:val="24"/>
                <w:lang w:val="en-US" w:eastAsia="zh-CN"/>
              </w:rPr>
            </w:pPr>
            <w:bookmarkStart w:id="93" w:name="_Toc2570"/>
            <w:r>
              <w:rPr>
                <w:rFonts w:ascii="Times New Roman" w:hAnsi="Times New Roman"/>
                <w:szCs w:val="24"/>
                <w:lang w:val="en-US" w:eastAsia="zh-CN"/>
              </w:rPr>
              <w:t>3  ……</w:t>
            </w:r>
            <w:bookmarkEnd w:id="93"/>
          </w:p>
          <w:p w14:paraId="7F493416">
            <w:pPr>
              <w:pStyle w:val="21"/>
              <w:wordWrap w:val="0"/>
              <w:snapToGrid w:val="0"/>
              <w:spacing w:line="200" w:lineRule="exact"/>
              <w:jc w:val="center"/>
              <w:rPr>
                <w:rFonts w:ascii="Times New Roman" w:hAnsi="Times New Roman"/>
                <w:szCs w:val="24"/>
                <w:lang w:val="en-US" w:eastAsia="zh-CN"/>
              </w:rPr>
            </w:pPr>
            <w:bookmarkStart w:id="94" w:name="_Toc25627"/>
            <w:r>
              <w:rPr>
                <w:rFonts w:ascii="Times New Roman" w:hAnsi="Times New Roman"/>
                <w:szCs w:val="24"/>
                <w:lang w:val="en-US" w:eastAsia="zh-CN"/>
              </w:rPr>
              <w:t>……</w:t>
            </w:r>
            <w:bookmarkEnd w:id="94"/>
          </w:p>
        </w:tc>
        <w:tc>
          <w:tcPr>
            <w:tcW w:w="1276" w:type="dxa"/>
            <w:tcBorders>
              <w:top w:val="single" w:color="auto" w:sz="4" w:space="0"/>
              <w:left w:val="single" w:color="auto" w:sz="4" w:space="0"/>
              <w:bottom w:val="single" w:color="auto" w:sz="4" w:space="0"/>
              <w:right w:val="single" w:color="auto" w:sz="4" w:space="0"/>
            </w:tcBorders>
            <w:noWrap/>
            <w:vAlign w:val="center"/>
          </w:tcPr>
          <w:p w14:paraId="176691BA">
            <w:pPr>
              <w:pStyle w:val="21"/>
              <w:wordWrap w:val="0"/>
              <w:snapToGrid w:val="0"/>
              <w:spacing w:line="200" w:lineRule="exact"/>
              <w:jc w:val="center"/>
              <w:rPr>
                <w:rFonts w:ascii="Times New Roman" w:hAnsi="Times New Roman"/>
                <w:szCs w:val="24"/>
                <w:lang w:val="en-US" w:eastAsia="zh-CN"/>
              </w:rPr>
            </w:pPr>
          </w:p>
        </w:tc>
      </w:tr>
      <w:tr w14:paraId="4C9EE3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133" w:type="dxa"/>
            <w:tcBorders>
              <w:top w:val="single" w:color="auto" w:sz="4" w:space="0"/>
              <w:left w:val="single" w:color="auto" w:sz="4" w:space="0"/>
              <w:bottom w:val="single" w:color="auto" w:sz="4" w:space="0"/>
              <w:right w:val="single" w:color="auto" w:sz="4" w:space="0"/>
            </w:tcBorders>
            <w:noWrap/>
            <w:vAlign w:val="center"/>
          </w:tcPr>
          <w:p w14:paraId="20A98035">
            <w:pPr>
              <w:pStyle w:val="21"/>
              <w:wordWrap w:val="0"/>
              <w:snapToGrid w:val="0"/>
              <w:spacing w:line="200" w:lineRule="exact"/>
              <w:jc w:val="center"/>
              <w:rPr>
                <w:rFonts w:ascii="Times New Roman" w:hAnsi="Times New Roman"/>
                <w:szCs w:val="24"/>
                <w:lang w:val="en-US" w:eastAsia="zh-CN"/>
              </w:rPr>
            </w:pPr>
            <w:bookmarkStart w:id="95" w:name="_Toc4010"/>
            <w:r>
              <w:rPr>
                <w:rFonts w:ascii="Times New Roman" w:hAnsi="Times New Roman"/>
                <w:szCs w:val="24"/>
                <w:lang w:val="en-US" w:eastAsia="zh-CN"/>
              </w:rPr>
              <w:t>…</w:t>
            </w:r>
            <w:bookmarkEnd w:id="95"/>
          </w:p>
        </w:tc>
        <w:tc>
          <w:tcPr>
            <w:tcW w:w="1701" w:type="dxa"/>
            <w:tcBorders>
              <w:top w:val="single" w:color="auto" w:sz="4" w:space="0"/>
              <w:left w:val="single" w:color="auto" w:sz="4" w:space="0"/>
              <w:bottom w:val="single" w:color="auto" w:sz="4" w:space="0"/>
              <w:right w:val="single" w:color="auto" w:sz="4" w:space="0"/>
            </w:tcBorders>
            <w:noWrap/>
            <w:vAlign w:val="center"/>
          </w:tcPr>
          <w:p w14:paraId="330C0B49">
            <w:pPr>
              <w:pStyle w:val="21"/>
              <w:wordWrap w:val="0"/>
              <w:snapToGrid w:val="0"/>
              <w:spacing w:line="200" w:lineRule="exact"/>
              <w:jc w:val="center"/>
              <w:rPr>
                <w:rFonts w:ascii="Times New Roman" w:hAnsi="Times New Roman"/>
                <w:szCs w:val="24"/>
                <w:lang w:val="en-US" w:eastAsia="zh-CN"/>
              </w:rPr>
            </w:pPr>
          </w:p>
        </w:tc>
        <w:tc>
          <w:tcPr>
            <w:tcW w:w="1911" w:type="dxa"/>
            <w:tcBorders>
              <w:top w:val="single" w:color="auto" w:sz="4" w:space="0"/>
              <w:left w:val="single" w:color="auto" w:sz="4" w:space="0"/>
              <w:bottom w:val="single" w:color="auto" w:sz="4" w:space="0"/>
              <w:right w:val="single" w:color="auto" w:sz="4" w:space="0"/>
            </w:tcBorders>
            <w:noWrap/>
            <w:vAlign w:val="center"/>
          </w:tcPr>
          <w:p w14:paraId="14286BF6">
            <w:pPr>
              <w:pStyle w:val="21"/>
              <w:wordWrap w:val="0"/>
              <w:snapToGrid w:val="0"/>
              <w:spacing w:line="200" w:lineRule="exact"/>
              <w:jc w:val="center"/>
              <w:rPr>
                <w:rFonts w:ascii="Times New Roman" w:hAnsi="Times New Roman"/>
                <w:szCs w:val="24"/>
                <w:lang w:val="en-US" w:eastAsia="zh-CN"/>
              </w:rPr>
            </w:pPr>
          </w:p>
        </w:tc>
        <w:tc>
          <w:tcPr>
            <w:tcW w:w="1491" w:type="dxa"/>
            <w:tcBorders>
              <w:top w:val="single" w:color="auto" w:sz="4" w:space="0"/>
              <w:left w:val="single" w:color="auto" w:sz="4" w:space="0"/>
              <w:bottom w:val="single" w:color="auto" w:sz="4" w:space="0"/>
              <w:right w:val="single" w:color="auto" w:sz="4" w:space="0"/>
            </w:tcBorders>
            <w:noWrap/>
            <w:vAlign w:val="center"/>
          </w:tcPr>
          <w:p w14:paraId="3971E14C">
            <w:pPr>
              <w:pStyle w:val="21"/>
              <w:wordWrap w:val="0"/>
              <w:snapToGrid w:val="0"/>
              <w:spacing w:line="200" w:lineRule="exact"/>
              <w:jc w:val="center"/>
              <w:rPr>
                <w:rFonts w:ascii="Times New Roman" w:hAnsi="Times New Roman"/>
                <w:szCs w:val="24"/>
                <w:lang w:val="en-US" w:eastAsia="zh-CN"/>
              </w:rPr>
            </w:pPr>
          </w:p>
        </w:tc>
        <w:tc>
          <w:tcPr>
            <w:tcW w:w="2200" w:type="dxa"/>
            <w:tcBorders>
              <w:top w:val="single" w:color="auto" w:sz="4" w:space="0"/>
              <w:left w:val="single" w:color="auto" w:sz="4" w:space="0"/>
              <w:bottom w:val="single" w:color="auto" w:sz="4" w:space="0"/>
              <w:right w:val="single" w:color="auto" w:sz="4" w:space="0"/>
            </w:tcBorders>
            <w:noWrap/>
            <w:vAlign w:val="center"/>
          </w:tcPr>
          <w:p w14:paraId="01DBF2F2">
            <w:pPr>
              <w:pStyle w:val="21"/>
              <w:wordWrap w:val="0"/>
              <w:snapToGrid w:val="0"/>
              <w:spacing w:line="200" w:lineRule="exact"/>
              <w:jc w:val="center"/>
              <w:rPr>
                <w:rFonts w:ascii="Times New Roman" w:hAnsi="Times New Roman"/>
                <w:szCs w:val="24"/>
                <w:lang w:val="en-US" w:eastAsia="zh-CN"/>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275A126D">
            <w:pPr>
              <w:pStyle w:val="21"/>
              <w:wordWrap w:val="0"/>
              <w:snapToGrid w:val="0"/>
              <w:spacing w:line="200" w:lineRule="exact"/>
              <w:jc w:val="center"/>
              <w:rPr>
                <w:rFonts w:ascii="Times New Roman" w:hAnsi="Times New Roman"/>
                <w:szCs w:val="24"/>
                <w:lang w:val="en-US" w:eastAsia="zh-CN"/>
              </w:rPr>
            </w:pPr>
          </w:p>
        </w:tc>
      </w:tr>
    </w:tbl>
    <w:p w14:paraId="1AB60E41">
      <w:pPr>
        <w:spacing w:line="360" w:lineRule="auto"/>
        <w:rPr>
          <w:rFonts w:ascii="宋体" w:hAnsi="宋体" w:cs="宋体"/>
          <w:kern w:val="0"/>
          <w:szCs w:val="21"/>
        </w:rPr>
      </w:pPr>
    </w:p>
    <w:p w14:paraId="5C4C599A">
      <w:pPr>
        <w:spacing w:afterLines="50" w:line="360" w:lineRule="auto"/>
        <w:ind w:firstLine="476" w:firstLineChars="200"/>
        <w:jc w:val="left"/>
        <w:rPr>
          <w:rFonts w:ascii="宋体" w:hAnsi="宋体" w:cs="宋体"/>
          <w:spacing w:val="-1"/>
          <w:kern w:val="0"/>
          <w:sz w:val="24"/>
        </w:rPr>
      </w:pPr>
      <w:r>
        <w:rPr>
          <w:rFonts w:hint="eastAsia" w:ascii="宋体" w:hAnsi="宋体" w:cs="宋体"/>
          <w:spacing w:val="-1"/>
          <w:kern w:val="0"/>
          <w:sz w:val="24"/>
        </w:rPr>
        <w:t>注：1.如果响应文件需求小于或大于磋商文件某个数值标准时响应文件不得直接复制采购文件需求，响应文件对应内容应当写明磋商项目具体参数响应的实际数值，否则按无效响应处理。</w:t>
      </w:r>
    </w:p>
    <w:p w14:paraId="0EE2BA0B">
      <w:pPr>
        <w:spacing w:afterLines="50" w:line="360" w:lineRule="auto"/>
        <w:ind w:firstLine="476" w:firstLineChars="200"/>
        <w:jc w:val="left"/>
        <w:rPr>
          <w:rFonts w:ascii="宋体" w:hAnsi="宋体" w:cs="宋体"/>
          <w:spacing w:val="-1"/>
          <w:kern w:val="0"/>
          <w:sz w:val="24"/>
        </w:rPr>
      </w:pPr>
      <w:r>
        <w:rPr>
          <w:rFonts w:hint="eastAsia" w:ascii="宋体" w:hAnsi="宋体" w:cs="宋体"/>
          <w:spacing w:val="-1"/>
          <w:kern w:val="0"/>
          <w:sz w:val="24"/>
        </w:rPr>
        <w:t>2.偏离情况说明：正偏离、完全响应、负偏离，分别表示优于要求、满足要求、不满足要求。磋商小组评审时不能只根据供应商填写的偏离情况说明来判断是否响应，而应认真查阅“采购项目需求”内容以及相关的技术资料判断是否满足要求。</w:t>
      </w:r>
    </w:p>
    <w:p w14:paraId="236D2C16">
      <w:pPr>
        <w:pStyle w:val="86"/>
        <w:ind w:firstLine="480"/>
        <w:rPr>
          <w:rFonts w:ascii="宋体" w:hAnsi="宋体"/>
          <w:kern w:val="2"/>
        </w:rPr>
      </w:pPr>
      <w:r>
        <w:rPr>
          <w:rFonts w:hint="eastAsia" w:ascii="宋体" w:hAnsi="宋体"/>
          <w:kern w:val="2"/>
        </w:rPr>
        <w:t>供应商名称：                   （盖章）</w:t>
      </w:r>
    </w:p>
    <w:p w14:paraId="2DFD8874">
      <w:pPr>
        <w:pStyle w:val="86"/>
        <w:ind w:firstLine="480"/>
        <w:rPr>
          <w:rFonts w:ascii="宋体" w:hAnsi="宋体"/>
          <w:kern w:val="2"/>
        </w:rPr>
      </w:pPr>
      <w:r>
        <w:rPr>
          <w:rFonts w:hint="eastAsia" w:ascii="宋体" w:hAnsi="宋体"/>
          <w:kern w:val="2"/>
        </w:rPr>
        <w:t>授权代表人：                （签字或盖章）</w:t>
      </w:r>
    </w:p>
    <w:p w14:paraId="1626AC56">
      <w:pPr>
        <w:pStyle w:val="86"/>
        <w:ind w:firstLine="480"/>
        <w:rPr>
          <w:rFonts w:ascii="宋体" w:hAnsi="宋体"/>
          <w:kern w:val="2"/>
        </w:rPr>
      </w:pPr>
      <w:r>
        <w:rPr>
          <w:rFonts w:hint="eastAsia" w:ascii="宋体" w:hAnsi="宋体"/>
          <w:kern w:val="2"/>
        </w:rPr>
        <w:t xml:space="preserve">日期：    年   月   日  </w:t>
      </w:r>
    </w:p>
    <w:p w14:paraId="6593279C">
      <w:pPr>
        <w:sectPr>
          <w:pgSz w:w="11906" w:h="16838"/>
          <w:pgMar w:top="1134" w:right="1134" w:bottom="1134" w:left="1134" w:header="851" w:footer="992" w:gutter="0"/>
          <w:cols w:space="720" w:num="1"/>
          <w:docGrid w:type="linesAndChars" w:linePitch="312" w:charSpace="0"/>
        </w:sectPr>
      </w:pPr>
    </w:p>
    <w:p w14:paraId="32488230">
      <w:pPr>
        <w:spacing w:after="100" w:afterAutospacing="1"/>
        <w:jc w:val="center"/>
        <w:rPr>
          <w:rFonts w:ascii="宋体" w:hAnsi="宋体"/>
          <w:b/>
          <w:sz w:val="32"/>
          <w:szCs w:val="32"/>
        </w:rPr>
      </w:pPr>
      <w:bookmarkStart w:id="96" w:name="_Toc183588706"/>
      <w:bookmarkStart w:id="97" w:name="_Ref467990058"/>
      <w:bookmarkStart w:id="98" w:name="_Toc480942357"/>
      <w:bookmarkStart w:id="99" w:name="_Ref467990101"/>
      <w:bookmarkStart w:id="100" w:name="_Toc520356228"/>
      <w:bookmarkStart w:id="101" w:name="_Ref467988471"/>
      <w:bookmarkStart w:id="102" w:name="_Toc520125061"/>
      <w:bookmarkStart w:id="103" w:name="_Ref467990100"/>
      <w:bookmarkStart w:id="104" w:name="_Toc480942358"/>
      <w:bookmarkStart w:id="105" w:name="_Ref467988479"/>
      <w:bookmarkStart w:id="106" w:name="_Toc520125062"/>
      <w:bookmarkStart w:id="107" w:name="_Toc520356229"/>
      <w:bookmarkStart w:id="108" w:name="_Ref467990064"/>
      <w:bookmarkStart w:id="109" w:name="_Ref467988485"/>
      <w:r>
        <w:rPr>
          <w:rFonts w:hint="eastAsia" w:ascii="宋体" w:hAnsi="宋体"/>
          <w:b/>
          <w:sz w:val="32"/>
          <w:szCs w:val="32"/>
        </w:rPr>
        <w:t>附件4   法定代表人授权书</w:t>
      </w:r>
      <w:bookmarkEnd w:id="96"/>
    </w:p>
    <w:p w14:paraId="49E804D6">
      <w:pPr>
        <w:pStyle w:val="5"/>
        <w:ind w:firstLine="480"/>
        <w:rPr>
          <w:rFonts w:hAnsi="宋体"/>
        </w:rPr>
      </w:pPr>
    </w:p>
    <w:p w14:paraId="6F990DD0">
      <w:pPr>
        <w:pStyle w:val="21"/>
        <w:rPr>
          <w:rFonts w:hAnsi="宋体"/>
          <w:szCs w:val="24"/>
        </w:rPr>
      </w:pPr>
      <w:r>
        <w:rPr>
          <w:rFonts w:hint="eastAsia" w:hAnsi="宋体"/>
          <w:szCs w:val="24"/>
        </w:rPr>
        <w:t xml:space="preserve">    本授权书声明：注册于</w:t>
      </w:r>
      <w:r>
        <w:rPr>
          <w:rFonts w:hint="eastAsia" w:hAnsi="宋体"/>
          <w:szCs w:val="24"/>
          <w:u w:val="single"/>
        </w:rPr>
        <w:t>（国家或地区的名称）</w:t>
      </w:r>
      <w:r>
        <w:rPr>
          <w:rFonts w:hint="eastAsia" w:hAnsi="宋体"/>
          <w:szCs w:val="24"/>
        </w:rPr>
        <w:t>的（</w:t>
      </w:r>
      <w:r>
        <w:rPr>
          <w:rFonts w:hint="eastAsia" w:hAnsi="宋体"/>
          <w:i/>
          <w:szCs w:val="24"/>
          <w:u w:val="single"/>
        </w:rPr>
        <w:t>公司名称</w:t>
      </w:r>
      <w:r>
        <w:rPr>
          <w:rFonts w:hint="eastAsia" w:hAnsi="宋体"/>
          <w:szCs w:val="24"/>
        </w:rPr>
        <w:t>）的在下面签字的（</w:t>
      </w:r>
      <w:r>
        <w:rPr>
          <w:rFonts w:hint="eastAsia" w:hAnsi="宋体"/>
          <w:i/>
          <w:szCs w:val="24"/>
          <w:u w:val="single"/>
        </w:rPr>
        <w:t>法定代表人姓名、职务</w:t>
      </w:r>
      <w:r>
        <w:rPr>
          <w:rFonts w:hint="eastAsia" w:hAnsi="宋体"/>
          <w:szCs w:val="24"/>
        </w:rPr>
        <w:t>）代表本公司授权（</w:t>
      </w:r>
      <w:r>
        <w:rPr>
          <w:rFonts w:hint="eastAsia" w:hAnsi="宋体"/>
          <w:i/>
          <w:szCs w:val="24"/>
          <w:u w:val="single"/>
        </w:rPr>
        <w:t>单位名称</w:t>
      </w:r>
      <w:r>
        <w:rPr>
          <w:rFonts w:hint="eastAsia" w:hAnsi="宋体"/>
          <w:szCs w:val="24"/>
        </w:rPr>
        <w:t>）的在下面签字的（</w:t>
      </w:r>
      <w:r>
        <w:rPr>
          <w:rFonts w:hint="eastAsia" w:hAnsi="宋体"/>
          <w:i/>
          <w:szCs w:val="24"/>
          <w:u w:val="single"/>
        </w:rPr>
        <w:t>被授权人的姓名、职务</w:t>
      </w:r>
      <w:r>
        <w:rPr>
          <w:rFonts w:hint="eastAsia" w:hAnsi="宋体"/>
          <w:szCs w:val="24"/>
        </w:rPr>
        <w:t>）为本公司的合法代理人，就（</w:t>
      </w:r>
      <w:r>
        <w:rPr>
          <w:rFonts w:hint="eastAsia" w:hAnsi="宋体"/>
          <w:i/>
          <w:szCs w:val="24"/>
          <w:u w:val="single"/>
        </w:rPr>
        <w:t>项目名称</w:t>
      </w:r>
      <w:r>
        <w:rPr>
          <w:rFonts w:hint="eastAsia" w:hAnsi="宋体"/>
          <w:szCs w:val="24"/>
        </w:rPr>
        <w:t>）的响应磋商，以本公司名义处理一切与之有关的事务。</w:t>
      </w:r>
      <w:r>
        <w:rPr>
          <w:rFonts w:hint="eastAsia" w:hAnsi="宋体"/>
          <w:szCs w:val="24"/>
        </w:rPr>
        <w:cr/>
      </w:r>
      <w:r>
        <w:rPr>
          <w:rFonts w:hint="eastAsia" w:hAnsi="宋体"/>
          <w:szCs w:val="24"/>
        </w:rPr>
        <w:t>　　</w:t>
      </w:r>
    </w:p>
    <w:p w14:paraId="2AC6539B">
      <w:pPr>
        <w:pStyle w:val="21"/>
        <w:tabs>
          <w:tab w:val="left" w:pos="5580"/>
        </w:tabs>
        <w:ind w:firstLine="480"/>
        <w:rPr>
          <w:rFonts w:hAnsi="宋体"/>
          <w:szCs w:val="24"/>
        </w:rPr>
      </w:pPr>
      <w:r>
        <w:rPr>
          <w:rFonts w:hint="eastAsia" w:hAnsi="宋体"/>
          <w:szCs w:val="24"/>
        </w:rPr>
        <w:t>本授权书于__________年_____月______日签字生效，特此声明。</w:t>
      </w:r>
      <w:r>
        <w:rPr>
          <w:rFonts w:hint="eastAsia" w:hAnsi="宋体"/>
          <w:szCs w:val="24"/>
        </w:rPr>
        <w:cr/>
      </w:r>
    </w:p>
    <w:p w14:paraId="5E3F736C">
      <w:pPr>
        <w:pStyle w:val="21"/>
        <w:tabs>
          <w:tab w:val="left" w:pos="5580"/>
        </w:tabs>
        <w:rPr>
          <w:rFonts w:hAnsi="宋体"/>
          <w:szCs w:val="24"/>
        </w:rPr>
      </w:pPr>
      <w:r>
        <w:rPr>
          <w:rFonts w:hint="eastAsia" w:hAnsi="宋体"/>
          <w:szCs w:val="24"/>
        </w:rPr>
        <w:t>法定代表人签字或盖章_______________________________</w:t>
      </w:r>
      <w:r>
        <w:rPr>
          <w:rFonts w:hint="eastAsia" w:hAnsi="宋体"/>
          <w:szCs w:val="24"/>
        </w:rPr>
        <w:cr/>
      </w:r>
      <w:r>
        <w:rPr>
          <w:rFonts w:hint="eastAsia" w:hAnsi="宋体"/>
          <w:szCs w:val="24"/>
        </w:rPr>
        <w:t>被授权人签字_______________________________</w:t>
      </w:r>
    </w:p>
    <w:p w14:paraId="491A4D1C">
      <w:pPr>
        <w:pStyle w:val="21"/>
        <w:tabs>
          <w:tab w:val="left" w:pos="5580"/>
        </w:tabs>
        <w:rPr>
          <w:rFonts w:hAnsi="宋体"/>
          <w:szCs w:val="24"/>
        </w:rPr>
      </w:pPr>
      <w:r>
        <w:rPr>
          <w:rFonts w:hint="eastAsia" w:hAnsi="宋体"/>
          <w:szCs w:val="24"/>
        </w:rPr>
        <w:t xml:space="preserve">公司盖章：                                 </w:t>
      </w:r>
    </w:p>
    <w:p w14:paraId="3278991E">
      <w:pPr>
        <w:pStyle w:val="21"/>
        <w:tabs>
          <w:tab w:val="left" w:pos="5580"/>
        </w:tabs>
        <w:rPr>
          <w:rFonts w:hAnsi="宋体"/>
          <w:szCs w:val="24"/>
        </w:rPr>
      </w:pPr>
      <w:r>
        <w:rPr>
          <w:rFonts w:hint="eastAsia" w:hAnsi="宋体"/>
          <w:szCs w:val="24"/>
        </w:rPr>
        <w:t>附：</w:t>
      </w:r>
    </w:p>
    <w:p w14:paraId="7B5BA0B5">
      <w:pPr>
        <w:pStyle w:val="21"/>
        <w:tabs>
          <w:tab w:val="left" w:pos="5580"/>
        </w:tabs>
        <w:rPr>
          <w:rFonts w:hAnsi="宋体"/>
          <w:szCs w:val="24"/>
        </w:rPr>
      </w:pPr>
      <w:r>
        <w:rPr>
          <w:rFonts w:hint="eastAsia" w:hAnsi="宋体"/>
          <w:szCs w:val="24"/>
        </w:rPr>
        <w:t>被授权人姓名：</w:t>
      </w:r>
    </w:p>
    <w:p w14:paraId="7888CF3C">
      <w:pPr>
        <w:pStyle w:val="21"/>
        <w:tabs>
          <w:tab w:val="left" w:pos="5580"/>
        </w:tabs>
        <w:rPr>
          <w:rFonts w:hAnsi="宋体"/>
          <w:szCs w:val="24"/>
        </w:rPr>
      </w:pPr>
      <w:r>
        <w:rPr>
          <w:rFonts w:hint="eastAsia" w:hAnsi="宋体"/>
          <w:szCs w:val="24"/>
        </w:rPr>
        <w:t>职　　　　务：</w:t>
      </w:r>
    </w:p>
    <w:p w14:paraId="36474B10">
      <w:pPr>
        <w:pStyle w:val="21"/>
        <w:tabs>
          <w:tab w:val="left" w:pos="5580"/>
        </w:tabs>
        <w:rPr>
          <w:rFonts w:hAnsi="宋体"/>
          <w:szCs w:val="24"/>
        </w:rPr>
      </w:pPr>
      <w:r>
        <w:rPr>
          <w:rFonts w:hint="eastAsia" w:hAnsi="宋体"/>
          <w:szCs w:val="24"/>
        </w:rPr>
        <w:t>详细通信地址：</w:t>
      </w:r>
    </w:p>
    <w:p w14:paraId="77C9385C">
      <w:pPr>
        <w:pStyle w:val="21"/>
        <w:tabs>
          <w:tab w:val="left" w:pos="5580"/>
        </w:tabs>
        <w:rPr>
          <w:rFonts w:hAnsi="宋体"/>
          <w:szCs w:val="24"/>
        </w:rPr>
      </w:pPr>
      <w:r>
        <w:rPr>
          <w:rFonts w:hint="eastAsia" w:hAnsi="宋体"/>
          <w:szCs w:val="24"/>
        </w:rPr>
        <w:t>邮政编码　　：</w:t>
      </w:r>
    </w:p>
    <w:p w14:paraId="59DD3A8B">
      <w:pPr>
        <w:pStyle w:val="21"/>
        <w:tabs>
          <w:tab w:val="left" w:pos="5580"/>
        </w:tabs>
        <w:rPr>
          <w:rFonts w:hAnsi="宋体"/>
          <w:szCs w:val="24"/>
        </w:rPr>
      </w:pPr>
      <w:r>
        <w:rPr>
          <w:rFonts w:hint="eastAsia" w:hAnsi="宋体"/>
          <w:szCs w:val="24"/>
        </w:rPr>
        <w:t>传　　　　真：</w:t>
      </w:r>
    </w:p>
    <w:p w14:paraId="0D6625BF">
      <w:pPr>
        <w:pStyle w:val="21"/>
        <w:tabs>
          <w:tab w:val="left" w:pos="5580"/>
        </w:tabs>
        <w:rPr>
          <w:rFonts w:hAnsi="宋体"/>
          <w:szCs w:val="24"/>
        </w:rPr>
      </w:pPr>
      <w:r>
        <w:rPr>
          <w:rFonts w:hint="eastAsia" w:hAnsi="宋体"/>
          <w:szCs w:val="24"/>
        </w:rPr>
        <w:t>电　　　　话：</w:t>
      </w:r>
    </w:p>
    <w:tbl>
      <w:tblPr>
        <w:tblStyle w:val="37"/>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7339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992" w:type="dxa"/>
            <w:noWrap/>
            <w:vAlign w:val="center"/>
          </w:tcPr>
          <w:p w14:paraId="33592B3B">
            <w:pPr>
              <w:spacing w:line="360" w:lineRule="exact"/>
              <w:jc w:val="center"/>
              <w:rPr>
                <w:rFonts w:ascii="宋体" w:hAnsi="宋体"/>
                <w:sz w:val="24"/>
              </w:rPr>
            </w:pPr>
            <w:r>
              <w:rPr>
                <w:rFonts w:hint="eastAsia" w:ascii="宋体" w:hAnsi="宋体"/>
                <w:sz w:val="24"/>
              </w:rPr>
              <w:t>粘贴</w:t>
            </w:r>
          </w:p>
          <w:p w14:paraId="2460284C">
            <w:pPr>
              <w:spacing w:line="360" w:lineRule="exact"/>
              <w:jc w:val="center"/>
              <w:rPr>
                <w:rFonts w:ascii="宋体" w:hAnsi="宋体"/>
                <w:sz w:val="24"/>
              </w:rPr>
            </w:pPr>
            <w:r>
              <w:rPr>
                <w:rFonts w:hint="eastAsia" w:ascii="宋体" w:hAnsi="宋体"/>
                <w:sz w:val="24"/>
              </w:rPr>
              <w:t>法定代表人及被授权人身份证复印件（正反面）</w:t>
            </w:r>
          </w:p>
        </w:tc>
      </w:tr>
    </w:tbl>
    <w:p w14:paraId="700A11F6">
      <w:pPr>
        <w:pStyle w:val="21"/>
        <w:tabs>
          <w:tab w:val="left" w:pos="5580"/>
        </w:tabs>
        <w:rPr>
          <w:rFonts w:hAnsi="宋体"/>
          <w:szCs w:val="24"/>
        </w:rPr>
      </w:pPr>
    </w:p>
    <w:p w14:paraId="24F9FAEF">
      <w:pPr>
        <w:pStyle w:val="21"/>
        <w:tabs>
          <w:tab w:val="left" w:pos="5580"/>
        </w:tabs>
        <w:rPr>
          <w:rFonts w:hAnsi="宋体"/>
          <w:szCs w:val="24"/>
        </w:rPr>
      </w:pPr>
    </w:p>
    <w:p w14:paraId="6DDED735">
      <w:pPr>
        <w:pStyle w:val="21"/>
        <w:tabs>
          <w:tab w:val="left" w:pos="5580"/>
        </w:tabs>
        <w:rPr>
          <w:rFonts w:hAnsi="宋体"/>
          <w:szCs w:val="24"/>
        </w:rPr>
      </w:pPr>
    </w:p>
    <w:bookmarkEnd w:id="97"/>
    <w:bookmarkEnd w:id="98"/>
    <w:bookmarkEnd w:id="99"/>
    <w:bookmarkEnd w:id="100"/>
    <w:bookmarkEnd w:id="101"/>
    <w:bookmarkEnd w:id="102"/>
    <w:bookmarkEnd w:id="103"/>
    <w:bookmarkEnd w:id="104"/>
    <w:bookmarkEnd w:id="105"/>
    <w:bookmarkEnd w:id="106"/>
    <w:bookmarkEnd w:id="107"/>
    <w:bookmarkEnd w:id="108"/>
    <w:bookmarkEnd w:id="109"/>
    <w:p w14:paraId="2EEFE134">
      <w:pPr>
        <w:spacing w:line="360" w:lineRule="auto"/>
        <w:ind w:left="875" w:leftChars="417" w:firstLine="360" w:firstLineChars="150"/>
        <w:rPr>
          <w:rFonts w:ascii="宋体" w:hAnsi="宋体"/>
          <w:sz w:val="24"/>
        </w:rPr>
      </w:pPr>
    </w:p>
    <w:p w14:paraId="35BFB582">
      <w:bookmarkStart w:id="110" w:name="_Toc183588711"/>
    </w:p>
    <w:p w14:paraId="4E4BAC6C"/>
    <w:p w14:paraId="2CA00CD3"/>
    <w:p w14:paraId="191670BE">
      <w:pPr>
        <w:rPr>
          <w:rFonts w:ascii="宋体" w:hAnsi="宋体"/>
        </w:rPr>
      </w:pPr>
    </w:p>
    <w:p w14:paraId="5796D626">
      <w:pPr>
        <w:adjustRightInd w:val="0"/>
        <w:snapToGrid w:val="0"/>
        <w:spacing w:line="360" w:lineRule="auto"/>
        <w:ind w:firstLine="480" w:firstLineChars="200"/>
        <w:rPr>
          <w:rFonts w:ascii="宋体" w:hAnsi="宋体" w:cs="宋体"/>
          <w:kern w:val="0"/>
          <w:sz w:val="24"/>
        </w:rPr>
      </w:pPr>
    </w:p>
    <w:p w14:paraId="7D487E8A">
      <w:pPr>
        <w:adjustRightInd w:val="0"/>
        <w:snapToGrid w:val="0"/>
        <w:spacing w:line="360" w:lineRule="auto"/>
        <w:ind w:firstLine="480" w:firstLineChars="200"/>
        <w:rPr>
          <w:rFonts w:ascii="宋体" w:hAnsi="宋体" w:cs="宋体"/>
          <w:kern w:val="0"/>
          <w:sz w:val="24"/>
        </w:rPr>
      </w:pPr>
    </w:p>
    <w:p w14:paraId="7E31949F">
      <w:pPr>
        <w:adjustRightInd w:val="0"/>
        <w:snapToGrid w:val="0"/>
        <w:spacing w:line="360" w:lineRule="auto"/>
        <w:ind w:firstLine="480" w:firstLineChars="200"/>
        <w:rPr>
          <w:rFonts w:ascii="宋体" w:hAnsi="宋体" w:cs="宋体"/>
          <w:kern w:val="0"/>
          <w:sz w:val="24"/>
        </w:rPr>
      </w:pPr>
    </w:p>
    <w:p w14:paraId="68155429">
      <w:pPr>
        <w:adjustRightInd w:val="0"/>
        <w:snapToGrid w:val="0"/>
        <w:spacing w:line="360" w:lineRule="auto"/>
        <w:ind w:firstLine="480" w:firstLineChars="200"/>
        <w:rPr>
          <w:rFonts w:ascii="宋体" w:hAnsi="宋体" w:cs="宋体"/>
          <w:kern w:val="0"/>
          <w:sz w:val="24"/>
        </w:rPr>
      </w:pPr>
    </w:p>
    <w:p w14:paraId="3CE82ED4">
      <w:pPr>
        <w:adjustRightInd w:val="0"/>
        <w:snapToGrid w:val="0"/>
        <w:spacing w:line="360" w:lineRule="auto"/>
        <w:ind w:firstLine="480" w:firstLineChars="200"/>
        <w:rPr>
          <w:rFonts w:ascii="宋体" w:hAnsi="宋体" w:cs="宋体"/>
          <w:kern w:val="0"/>
          <w:sz w:val="24"/>
        </w:rPr>
      </w:pPr>
    </w:p>
    <w:p w14:paraId="2F1E2751">
      <w:pPr>
        <w:adjustRightInd w:val="0"/>
        <w:snapToGrid w:val="0"/>
        <w:spacing w:line="360" w:lineRule="auto"/>
        <w:outlineLvl w:val="0"/>
        <w:rPr>
          <w:rFonts w:ascii="宋体" w:hAnsi="宋体" w:cs="宋体"/>
          <w:kern w:val="0"/>
          <w:sz w:val="24"/>
        </w:rPr>
      </w:pPr>
      <w:r>
        <w:rPr>
          <w:rFonts w:hint="eastAsia" w:ascii="宋体" w:hAnsi="宋体" w:cs="宋体"/>
          <w:b/>
          <w:bCs/>
          <w:kern w:val="0"/>
          <w:sz w:val="24"/>
        </w:rPr>
        <w:t xml:space="preserve">附件5 </w:t>
      </w:r>
      <w:r>
        <w:rPr>
          <w:rFonts w:hint="eastAsia" w:ascii="宋体" w:hAnsi="宋体" w:cs="宋体"/>
          <w:kern w:val="0"/>
          <w:sz w:val="24"/>
        </w:rPr>
        <w:t xml:space="preserve"> 提供营业执照或事业单位法人证书复印件</w:t>
      </w:r>
    </w:p>
    <w:p w14:paraId="4E5971C5">
      <w:pPr>
        <w:pStyle w:val="2"/>
        <w:autoSpaceDE w:val="0"/>
        <w:autoSpaceDN w:val="0"/>
        <w:jc w:val="both"/>
        <w:rPr>
          <w:rFonts w:cs="宋体"/>
          <w:b w:val="0"/>
          <w:sz w:val="24"/>
          <w:szCs w:val="16"/>
        </w:rPr>
      </w:pPr>
      <w:r>
        <w:rPr>
          <w:rFonts w:hint="eastAsia" w:cs="宋体"/>
          <w:sz w:val="24"/>
          <w:szCs w:val="24"/>
        </w:rPr>
        <w:t>附件6</w:t>
      </w:r>
      <w:r>
        <w:rPr>
          <w:rFonts w:hint="eastAsia" w:cs="宋体"/>
          <w:b w:val="0"/>
          <w:sz w:val="24"/>
          <w:szCs w:val="16"/>
        </w:rPr>
        <w:t xml:space="preserve"> 具有良好的商业信誉和健全的财务会计制度、具有履行合同所必需的设备和专业技术能力、具有依法缴纳税收和社会保障资金的良好记录、参加本次采购活动前三年内，在经营活动中没有重大违法记录（成立不足三年的从成立之日起计算，提供承诺函）、参加本次采购活动前三年内，在经营活动中没有环保类行政处罚记录（成立不足三年的从成立之日起计算，提供承诺函）</w:t>
      </w:r>
      <w:r>
        <w:rPr>
          <w:rFonts w:hint="eastAsia" w:cs="宋体"/>
          <w:bCs/>
          <w:sz w:val="24"/>
          <w:szCs w:val="16"/>
        </w:rPr>
        <w:t>（按格式提供）</w:t>
      </w:r>
    </w:p>
    <w:p w14:paraId="26A1B4C4">
      <w:pPr>
        <w:autoSpaceDE w:val="0"/>
        <w:autoSpaceDN w:val="0"/>
        <w:adjustRightInd w:val="0"/>
        <w:jc w:val="center"/>
        <w:textAlignment w:val="baseline"/>
        <w:rPr>
          <w:rFonts w:ascii="宋体" w:hAnsi="宋体"/>
          <w:b/>
          <w:bCs/>
          <w:sz w:val="24"/>
          <w:szCs w:val="32"/>
        </w:rPr>
      </w:pPr>
      <w:r>
        <w:rPr>
          <w:rFonts w:hint="eastAsia" w:ascii="宋体" w:hAnsi="宋体"/>
          <w:b/>
          <w:bCs/>
          <w:sz w:val="24"/>
          <w:szCs w:val="32"/>
        </w:rPr>
        <w:t>承诺函</w:t>
      </w:r>
    </w:p>
    <w:p w14:paraId="7B1374AE">
      <w:pPr>
        <w:ind w:firstLine="480" w:firstLineChars="200"/>
        <w:rPr>
          <w:rFonts w:ascii="宋体" w:hAnsi="宋体"/>
          <w:sz w:val="24"/>
        </w:rPr>
      </w:pPr>
      <w:r>
        <w:rPr>
          <w:rFonts w:hint="eastAsia" w:ascii="宋体" w:hAnsi="宋体"/>
          <w:sz w:val="24"/>
        </w:rPr>
        <w:t>海南省教学仪器设备招标中心有限公司：</w:t>
      </w:r>
    </w:p>
    <w:p w14:paraId="6644B485">
      <w:pPr>
        <w:rPr>
          <w:rFonts w:ascii="宋体" w:hAnsi="宋体"/>
          <w:sz w:val="24"/>
        </w:rPr>
      </w:pPr>
    </w:p>
    <w:p w14:paraId="1F4216BE">
      <w:pPr>
        <w:ind w:firstLine="960" w:firstLineChars="400"/>
        <w:rPr>
          <w:rFonts w:ascii="宋体" w:hAnsi="宋体"/>
          <w:sz w:val="24"/>
        </w:rPr>
      </w:pPr>
      <w:r>
        <w:rPr>
          <w:rFonts w:hint="eastAsia" w:ascii="宋体" w:hAnsi="宋体"/>
          <w:sz w:val="24"/>
        </w:rPr>
        <w:t>我公司在参加</w:t>
      </w:r>
      <w:r>
        <w:rPr>
          <w:rFonts w:hint="eastAsia" w:ascii="宋体" w:hAnsi="宋体"/>
          <w:sz w:val="24"/>
          <w:u w:val="single"/>
          <w:lang w:val="en-US" w:eastAsia="zh-CN"/>
        </w:rPr>
        <w:t xml:space="preserve">                  </w:t>
      </w:r>
      <w:r>
        <w:rPr>
          <w:rFonts w:hint="eastAsia" w:ascii="宋体" w:hAnsi="宋体"/>
          <w:sz w:val="24"/>
        </w:rPr>
        <w:t>项目采购活动中承诺：</w:t>
      </w:r>
    </w:p>
    <w:p w14:paraId="3E4965AA">
      <w:pPr>
        <w:ind w:firstLine="960" w:firstLineChars="400"/>
        <w:rPr>
          <w:rFonts w:ascii="宋体" w:hAnsi="宋体"/>
          <w:sz w:val="24"/>
        </w:rPr>
      </w:pPr>
      <w:r>
        <w:rPr>
          <w:rFonts w:hint="eastAsia" w:ascii="宋体" w:hAnsi="宋体"/>
          <w:sz w:val="24"/>
        </w:rPr>
        <w:t>1.具有良好的商业信誉和健全的财务会计制度。</w:t>
      </w:r>
    </w:p>
    <w:p w14:paraId="625F6D46">
      <w:pPr>
        <w:ind w:firstLine="960" w:firstLineChars="400"/>
        <w:rPr>
          <w:rFonts w:ascii="宋体" w:hAnsi="宋体"/>
          <w:sz w:val="24"/>
        </w:rPr>
      </w:pPr>
      <w:r>
        <w:rPr>
          <w:rFonts w:hint="eastAsia" w:ascii="宋体" w:hAnsi="宋体"/>
          <w:sz w:val="24"/>
        </w:rPr>
        <w:t>2.具有履行合同所必需的设备和专业技术能力。</w:t>
      </w:r>
    </w:p>
    <w:p w14:paraId="643F841F">
      <w:pPr>
        <w:ind w:firstLine="960" w:firstLineChars="400"/>
        <w:rPr>
          <w:rFonts w:ascii="宋体" w:hAnsi="宋体"/>
          <w:sz w:val="24"/>
        </w:rPr>
      </w:pPr>
      <w:r>
        <w:rPr>
          <w:rFonts w:hint="eastAsia" w:ascii="宋体" w:hAnsi="宋体"/>
          <w:sz w:val="24"/>
        </w:rPr>
        <w:t>3.具有依法缴纳税收和社会保障资金的良好记录。</w:t>
      </w:r>
    </w:p>
    <w:p w14:paraId="3966F42B">
      <w:pPr>
        <w:ind w:left="478" w:leftChars="228" w:firstLine="480" w:firstLineChars="200"/>
        <w:rPr>
          <w:rFonts w:ascii="宋体" w:hAnsi="宋体"/>
          <w:sz w:val="24"/>
        </w:rPr>
      </w:pPr>
      <w:r>
        <w:rPr>
          <w:rFonts w:hint="eastAsia" w:ascii="宋体" w:hAnsi="宋体"/>
          <w:sz w:val="24"/>
        </w:rPr>
        <w:t>4.参加本次采购活动前三年内，在经营活动中没有重大违法记录（成立不足三年的从成立之日起计算）。</w:t>
      </w:r>
    </w:p>
    <w:p w14:paraId="29B0873F">
      <w:pPr>
        <w:ind w:left="478" w:leftChars="228" w:firstLine="480" w:firstLineChars="200"/>
      </w:pPr>
      <w:r>
        <w:rPr>
          <w:rFonts w:hint="eastAsia" w:ascii="宋体" w:hAnsi="宋体"/>
          <w:sz w:val="24"/>
        </w:rPr>
        <w:t>5.参加本次采购活动前三年内，在经营活动中没有环保类行政处罚记录（成立不足三年的从成立之日起计算）。</w:t>
      </w:r>
    </w:p>
    <w:p w14:paraId="5EFBEC20"/>
    <w:p w14:paraId="4B204D8C">
      <w:pPr>
        <w:ind w:firstLine="960" w:firstLineChars="400"/>
        <w:rPr>
          <w:rFonts w:ascii="宋体" w:hAnsi="宋体"/>
          <w:sz w:val="24"/>
        </w:rPr>
      </w:pPr>
      <w:r>
        <w:rPr>
          <w:rFonts w:hint="eastAsia" w:ascii="宋体" w:hAnsi="宋体"/>
          <w:sz w:val="24"/>
        </w:rPr>
        <w:t>特此承诺。</w:t>
      </w:r>
    </w:p>
    <w:p w14:paraId="08C0C59F">
      <w:pPr>
        <w:ind w:firstLine="480" w:firstLineChars="200"/>
        <w:rPr>
          <w:rFonts w:ascii="宋体" w:hAnsi="宋体"/>
          <w:sz w:val="24"/>
        </w:rPr>
      </w:pPr>
    </w:p>
    <w:p w14:paraId="2D82AC84">
      <w:pPr>
        <w:rPr>
          <w:rFonts w:ascii="宋体" w:hAnsi="宋体"/>
          <w:sz w:val="24"/>
        </w:rPr>
      </w:pPr>
    </w:p>
    <w:p w14:paraId="703647A1">
      <w:pPr>
        <w:ind w:firstLine="3600" w:firstLineChars="1500"/>
        <w:rPr>
          <w:rFonts w:ascii="宋体" w:hAnsi="宋体"/>
          <w:sz w:val="24"/>
        </w:rPr>
      </w:pPr>
      <w:r>
        <w:rPr>
          <w:rFonts w:hint="eastAsia" w:ascii="宋体" w:hAnsi="宋体"/>
          <w:sz w:val="24"/>
        </w:rPr>
        <w:t>法定代表人或被授权人签字：</w:t>
      </w:r>
    </w:p>
    <w:p w14:paraId="59473554">
      <w:pPr>
        <w:rPr>
          <w:rFonts w:ascii="宋体" w:hAnsi="宋体"/>
          <w:sz w:val="24"/>
        </w:rPr>
      </w:pPr>
    </w:p>
    <w:p w14:paraId="7A4FA935">
      <w:pPr>
        <w:ind w:firstLine="3840" w:firstLineChars="1600"/>
        <w:rPr>
          <w:rFonts w:ascii="宋体" w:hAnsi="宋体"/>
          <w:sz w:val="24"/>
        </w:rPr>
      </w:pPr>
      <w:r>
        <w:rPr>
          <w:rFonts w:hint="eastAsia" w:ascii="宋体" w:hAnsi="宋体"/>
          <w:sz w:val="24"/>
        </w:rPr>
        <w:t>供应商名称：（盖公章）：</w:t>
      </w:r>
    </w:p>
    <w:p w14:paraId="60DDFA7A">
      <w:pPr>
        <w:rPr>
          <w:rFonts w:ascii="宋体" w:hAnsi="宋体"/>
          <w:sz w:val="24"/>
        </w:rPr>
      </w:pPr>
    </w:p>
    <w:p w14:paraId="19FBAD0D">
      <w:pPr>
        <w:ind w:firstLine="3600" w:firstLineChars="1500"/>
        <w:rPr>
          <w:rFonts w:ascii="宋体" w:hAnsi="宋体"/>
          <w:sz w:val="24"/>
        </w:rPr>
      </w:pPr>
    </w:p>
    <w:p w14:paraId="15C73652">
      <w:pPr>
        <w:ind w:firstLine="6360" w:firstLineChars="2650"/>
        <w:rPr>
          <w:rFonts w:ascii="仿宋_GB2312" w:eastAsia="仿宋_GB2312"/>
          <w:sz w:val="24"/>
        </w:rPr>
      </w:pPr>
      <w:r>
        <w:rPr>
          <w:rFonts w:hint="eastAsia" w:ascii="宋体" w:hAnsi="宋体"/>
          <w:sz w:val="24"/>
        </w:rPr>
        <w:t>年    月    日</w:t>
      </w:r>
    </w:p>
    <w:p w14:paraId="25AADD6B">
      <w:pPr>
        <w:adjustRightInd w:val="0"/>
        <w:snapToGrid w:val="0"/>
        <w:spacing w:line="360" w:lineRule="auto"/>
        <w:ind w:firstLine="480" w:firstLineChars="200"/>
        <w:rPr>
          <w:rFonts w:ascii="宋体" w:hAnsi="宋体" w:cs="宋体"/>
          <w:kern w:val="0"/>
          <w:sz w:val="24"/>
        </w:rPr>
      </w:pPr>
    </w:p>
    <w:p w14:paraId="6B30A6BD">
      <w:pPr>
        <w:adjustRightInd w:val="0"/>
        <w:snapToGrid w:val="0"/>
        <w:spacing w:line="360" w:lineRule="auto"/>
        <w:ind w:firstLine="480" w:firstLineChars="200"/>
        <w:rPr>
          <w:rFonts w:ascii="宋体" w:hAnsi="宋体" w:cs="宋体"/>
          <w:kern w:val="0"/>
          <w:sz w:val="24"/>
        </w:rPr>
      </w:pPr>
    </w:p>
    <w:p w14:paraId="798728BD">
      <w:pPr>
        <w:pStyle w:val="2"/>
        <w:autoSpaceDE w:val="0"/>
        <w:autoSpaceDN w:val="0"/>
        <w:rPr>
          <w:kern w:val="2"/>
          <w:szCs w:val="24"/>
        </w:rPr>
      </w:pPr>
      <w:r>
        <w:rPr>
          <w:rFonts w:hint="eastAsia" w:cs="宋体"/>
          <w:bCs/>
        </w:rPr>
        <w:br w:type="page"/>
      </w:r>
      <w:r>
        <w:rPr>
          <w:rStyle w:val="48"/>
          <w:b/>
        </w:rPr>
        <w:t>附件7提供</w:t>
      </w:r>
      <w:r>
        <w:rPr>
          <w:rStyle w:val="48"/>
          <w:rFonts w:hint="eastAsia"/>
          <w:b/>
          <w:lang w:val="en-US"/>
        </w:rPr>
        <w:t xml:space="preserve"> </w:t>
      </w:r>
      <w:r>
        <w:rPr>
          <w:rStyle w:val="48"/>
          <w:b/>
        </w:rPr>
        <w:t>供应商承诺书（按格式提供）</w:t>
      </w:r>
    </w:p>
    <w:p w14:paraId="5100E220">
      <w:pPr>
        <w:adjustRightInd w:val="0"/>
        <w:snapToGrid w:val="0"/>
        <w:jc w:val="center"/>
        <w:rPr>
          <w:rFonts w:ascii="宋体" w:hAnsi="宋体"/>
          <w:b/>
          <w:bCs/>
          <w:sz w:val="24"/>
          <w:szCs w:val="20"/>
        </w:rPr>
      </w:pPr>
    </w:p>
    <w:p w14:paraId="58134D1F">
      <w:pPr>
        <w:adjustRightInd w:val="0"/>
        <w:snapToGrid w:val="0"/>
        <w:jc w:val="center"/>
        <w:rPr>
          <w:rFonts w:ascii="宋体" w:hAnsi="宋体"/>
          <w:b/>
          <w:sz w:val="24"/>
        </w:rPr>
      </w:pPr>
      <w:r>
        <w:rPr>
          <w:rFonts w:hint="eastAsia" w:ascii="宋体" w:hAnsi="宋体"/>
          <w:b/>
          <w:bCs/>
          <w:sz w:val="24"/>
          <w:szCs w:val="20"/>
        </w:rPr>
        <w:t>供应商承诺书</w:t>
      </w:r>
    </w:p>
    <w:p w14:paraId="67F207BB">
      <w:pPr>
        <w:adjustRightInd w:val="0"/>
        <w:snapToGrid w:val="0"/>
        <w:rPr>
          <w:rFonts w:ascii="宋体" w:hAnsi="宋体"/>
          <w:sz w:val="24"/>
        </w:rPr>
      </w:pPr>
      <w:r>
        <w:rPr>
          <w:rFonts w:hint="eastAsia" w:ascii="宋体" w:hAnsi="宋体"/>
          <w:sz w:val="24"/>
        </w:rPr>
        <w:t>致：海南省教学仪器设备招标中心有限公司：</w:t>
      </w:r>
    </w:p>
    <w:p w14:paraId="5DB278B3">
      <w:pPr>
        <w:rPr>
          <w:rFonts w:ascii="宋体" w:hAnsi="宋体"/>
          <w:sz w:val="24"/>
        </w:rPr>
      </w:pPr>
      <w:r>
        <w:rPr>
          <w:rFonts w:hint="eastAsia" w:ascii="宋体" w:hAnsi="宋体"/>
          <w:sz w:val="24"/>
        </w:rPr>
        <w:t>我单位在参加项目的采购活动中，郑重承诺如下：</w:t>
      </w:r>
    </w:p>
    <w:p w14:paraId="0F8C8209">
      <w:pPr>
        <w:ind w:firstLine="480" w:firstLineChars="200"/>
        <w:rPr>
          <w:rFonts w:hint="eastAsia" w:ascii="宋体" w:hAnsi="宋体" w:eastAsia="宋体"/>
          <w:sz w:val="24"/>
          <w:lang w:eastAsia="zh-CN"/>
        </w:rPr>
      </w:pPr>
      <w:r>
        <w:rPr>
          <w:rFonts w:hint="eastAsia" w:ascii="宋体" w:hAnsi="宋体"/>
          <w:sz w:val="24"/>
        </w:rPr>
        <w:t>1.我方在此声明，本次采购活动中提交的所有资料都是真实、准确完整的，如发现提供虚假资料，或与事实不符而导致响应无效，甚至造成任何法律和经济责任，完全由我方负责；</w:t>
      </w:r>
      <w:r>
        <w:rPr>
          <w:rFonts w:hint="eastAsia" w:ascii="宋体" w:hAnsi="宋体"/>
          <w:sz w:val="24"/>
          <w:lang w:eastAsia="zh-CN"/>
        </w:rPr>
        <w:t>我方不属于</w:t>
      </w:r>
      <w:r>
        <w:rPr>
          <w:rFonts w:hint="eastAsia" w:ascii="宋体" w:hAnsi="宋体"/>
          <w:sz w:val="24"/>
        </w:rPr>
        <w:t>前期为本项目提供整体设计、规范编制或者项目管理、监理、检测等服务的供应商</w:t>
      </w:r>
      <w:r>
        <w:rPr>
          <w:rFonts w:hint="eastAsia" w:ascii="宋体" w:hAnsi="宋体"/>
          <w:sz w:val="24"/>
          <w:lang w:eastAsia="zh-CN"/>
        </w:rPr>
        <w:t>；</w:t>
      </w:r>
    </w:p>
    <w:p w14:paraId="5E9ECB1E">
      <w:pPr>
        <w:ind w:firstLine="480" w:firstLineChars="200"/>
        <w:rPr>
          <w:rFonts w:ascii="宋体" w:hAnsi="宋体"/>
          <w:sz w:val="24"/>
        </w:rPr>
      </w:pPr>
      <w:r>
        <w:rPr>
          <w:rFonts w:hint="eastAsia" w:ascii="宋体" w:hAnsi="宋体"/>
          <w:sz w:val="24"/>
        </w:rPr>
        <w:t xml:space="preserve">2.我公司在参加本次采购活动前三年内，在经营活动中没有重大事故、违法记录；我方人员针对本项目没有重大违法记录； </w:t>
      </w:r>
    </w:p>
    <w:p w14:paraId="34E1DD13">
      <w:pPr>
        <w:ind w:firstLine="480" w:firstLineChars="200"/>
        <w:rPr>
          <w:rFonts w:ascii="宋体" w:hAnsi="宋体"/>
          <w:sz w:val="24"/>
        </w:rPr>
      </w:pPr>
      <w:r>
        <w:rPr>
          <w:rFonts w:hint="eastAsia" w:ascii="宋体" w:hAnsi="宋体"/>
          <w:sz w:val="24"/>
        </w:rPr>
        <w:t>3.我方未被地市级及其以上行政主管部门做出取消投标资格的处罚且该处罚在有效期内的；</w:t>
      </w:r>
    </w:p>
    <w:p w14:paraId="15C5B2D7">
      <w:pPr>
        <w:ind w:firstLine="480" w:firstLineChars="200"/>
        <w:rPr>
          <w:rFonts w:ascii="宋体" w:hAnsi="宋体"/>
          <w:sz w:val="24"/>
        </w:rPr>
      </w:pPr>
      <w:r>
        <w:rPr>
          <w:rFonts w:hint="eastAsia" w:ascii="宋体" w:hAnsi="宋体"/>
          <w:sz w:val="24"/>
        </w:rPr>
        <w:t>4.我方一旦成交，将严格按照竞争性磋商响应文件中所承诺的报价、质量、工期、措施、项目负责人等内容组织实施；</w:t>
      </w:r>
    </w:p>
    <w:p w14:paraId="4C6DDBED">
      <w:pPr>
        <w:ind w:firstLine="480" w:firstLineChars="200"/>
        <w:rPr>
          <w:rFonts w:ascii="宋体" w:hAnsi="宋体"/>
          <w:sz w:val="24"/>
        </w:rPr>
      </w:pPr>
      <w:r>
        <w:rPr>
          <w:rFonts w:hint="eastAsia" w:ascii="宋体" w:hAnsi="宋体"/>
          <w:sz w:val="24"/>
        </w:rPr>
        <w:t>5.我方一旦成交，将按规定及时与采购人签订合同。</w:t>
      </w:r>
    </w:p>
    <w:p w14:paraId="26A18E32">
      <w:pPr>
        <w:ind w:firstLine="480" w:firstLineChars="200"/>
        <w:rPr>
          <w:rFonts w:ascii="宋体" w:hAnsi="宋体"/>
          <w:sz w:val="24"/>
        </w:rPr>
      </w:pPr>
      <w:r>
        <w:rPr>
          <w:rFonts w:hint="eastAsia" w:ascii="宋体" w:hAnsi="宋体"/>
          <w:sz w:val="24"/>
        </w:rPr>
        <w:t>6.</w:t>
      </w:r>
      <w:r>
        <w:rPr>
          <w:rFonts w:hint="eastAsia" w:ascii="宋体" w:hAnsi="宋体"/>
          <w:sz w:val="24"/>
          <w:szCs w:val="20"/>
        </w:rPr>
        <w:t>我公司如果</w:t>
      </w:r>
      <w:r>
        <w:rPr>
          <w:rFonts w:hint="eastAsia" w:ascii="宋体" w:hAnsi="宋体"/>
          <w:sz w:val="24"/>
        </w:rPr>
        <w:t>成交</w:t>
      </w:r>
      <w:r>
        <w:rPr>
          <w:rFonts w:hint="eastAsia" w:ascii="宋体" w:hAnsi="宋体"/>
          <w:sz w:val="24"/>
          <w:szCs w:val="20"/>
        </w:rPr>
        <w:t>本项目，对本项目提供的所有货物保证货源全新正品，保质保量，按时供货，否则按合同赔偿违约金，并自愿接受省财政部门的相关处罚。</w:t>
      </w:r>
    </w:p>
    <w:p w14:paraId="63345444">
      <w:pPr>
        <w:ind w:firstLine="480" w:firstLineChars="200"/>
        <w:rPr>
          <w:rFonts w:ascii="宋体" w:hAnsi="宋体"/>
          <w:sz w:val="24"/>
        </w:rPr>
      </w:pPr>
      <w:r>
        <w:rPr>
          <w:rFonts w:hint="eastAsia" w:ascii="宋体" w:hAnsi="宋体"/>
          <w:sz w:val="24"/>
        </w:rPr>
        <w:t>7.我方在本次竞争性磋商采购活动中绝无资质挂靠、串标、围标情形，若出现下列情形，立即取消我方响应资格并承担相应的法律责任；</w:t>
      </w:r>
    </w:p>
    <w:p w14:paraId="4CEC4CA4">
      <w:pPr>
        <w:ind w:firstLine="480" w:firstLineChars="200"/>
        <w:rPr>
          <w:rFonts w:ascii="宋体" w:hAnsi="宋体"/>
          <w:sz w:val="24"/>
        </w:rPr>
      </w:pPr>
      <w:r>
        <w:rPr>
          <w:rFonts w:hint="eastAsia" w:ascii="宋体" w:hAnsi="宋体"/>
          <w:sz w:val="24"/>
        </w:rPr>
        <w:t>（1）不同供应商的响应文件由同一单位或者个人编制；</w:t>
      </w:r>
    </w:p>
    <w:p w14:paraId="461DB061">
      <w:pPr>
        <w:ind w:firstLine="480" w:firstLineChars="200"/>
        <w:rPr>
          <w:rFonts w:ascii="宋体" w:hAnsi="宋体"/>
          <w:sz w:val="24"/>
        </w:rPr>
      </w:pPr>
      <w:r>
        <w:rPr>
          <w:rFonts w:hint="eastAsia" w:ascii="宋体" w:hAnsi="宋体"/>
          <w:sz w:val="24"/>
        </w:rPr>
        <w:t>（2）不同供应商委托同一单位或者个人办理响应磋商事宜；</w:t>
      </w:r>
    </w:p>
    <w:p w14:paraId="5C70D91F">
      <w:pPr>
        <w:ind w:firstLine="480" w:firstLineChars="200"/>
        <w:rPr>
          <w:rFonts w:ascii="宋体" w:hAnsi="宋体"/>
          <w:sz w:val="24"/>
        </w:rPr>
      </w:pPr>
      <w:r>
        <w:rPr>
          <w:rFonts w:hint="eastAsia" w:ascii="宋体" w:hAnsi="宋体"/>
          <w:sz w:val="24"/>
        </w:rPr>
        <w:t>（3）不同供应商的响应文件载明的项目管理成员或者联系人员为同一人；</w:t>
      </w:r>
    </w:p>
    <w:p w14:paraId="5F85F472">
      <w:pPr>
        <w:ind w:firstLine="480" w:firstLineChars="200"/>
        <w:rPr>
          <w:rFonts w:ascii="宋体" w:hAnsi="宋体"/>
          <w:sz w:val="24"/>
        </w:rPr>
      </w:pPr>
      <w:r>
        <w:rPr>
          <w:rFonts w:hint="eastAsia" w:ascii="宋体" w:hAnsi="宋体"/>
          <w:sz w:val="24"/>
        </w:rPr>
        <w:t>（4）不同供应商的响应文件异常一致或者磋商报价呈规律性差异；</w:t>
      </w:r>
    </w:p>
    <w:p w14:paraId="4066EB2E">
      <w:pPr>
        <w:ind w:firstLine="480" w:firstLineChars="200"/>
        <w:rPr>
          <w:rFonts w:ascii="宋体" w:hAnsi="宋体"/>
          <w:sz w:val="24"/>
        </w:rPr>
      </w:pPr>
      <w:r>
        <w:rPr>
          <w:rFonts w:hint="eastAsia" w:ascii="宋体" w:hAnsi="宋体"/>
          <w:sz w:val="24"/>
        </w:rPr>
        <w:t>（5）不同供应商的响应文件相互混装；</w:t>
      </w:r>
    </w:p>
    <w:p w14:paraId="2F355B14">
      <w:pPr>
        <w:ind w:firstLine="480" w:firstLineChars="200"/>
        <w:rPr>
          <w:rFonts w:ascii="宋体" w:hAnsi="宋体"/>
          <w:sz w:val="24"/>
        </w:rPr>
      </w:pPr>
      <w:r>
        <w:rPr>
          <w:rFonts w:hint="eastAsia" w:ascii="宋体" w:hAnsi="宋体"/>
          <w:sz w:val="24"/>
        </w:rPr>
        <w:t>（6）单位负责人为同一人或者存在直接控股、管理关系的不同供应商，同时参加本项目采购活动；</w:t>
      </w:r>
    </w:p>
    <w:p w14:paraId="60A603D7">
      <w:pPr>
        <w:ind w:firstLine="480" w:firstLineChars="200"/>
        <w:rPr>
          <w:rFonts w:ascii="宋体" w:hAnsi="宋体"/>
          <w:sz w:val="24"/>
        </w:rPr>
      </w:pPr>
      <w:r>
        <w:rPr>
          <w:rFonts w:hint="eastAsia" w:ascii="宋体" w:hAnsi="宋体"/>
          <w:sz w:val="24"/>
        </w:rPr>
        <w:t>根据国家企业信用信息公示系统（</w:t>
      </w:r>
      <w:r>
        <w:fldChar w:fldCharType="begin"/>
      </w:r>
      <w:r>
        <w:instrText xml:space="preserve"> HYPERLINK "http://www.gsxt.gov.cn/" </w:instrText>
      </w:r>
      <w:r>
        <w:fldChar w:fldCharType="separate"/>
      </w:r>
      <w:r>
        <w:rPr>
          <w:rFonts w:ascii="宋体" w:hAnsi="宋体"/>
          <w:sz w:val="24"/>
        </w:rPr>
        <w:t>http://www.gsxt.gov.cn/</w:t>
      </w:r>
      <w:r>
        <w:rPr>
          <w:rFonts w:ascii="宋体" w:hAnsi="宋体"/>
          <w:sz w:val="24"/>
        </w:rPr>
        <w:fldChar w:fldCharType="end"/>
      </w:r>
      <w:r>
        <w:rPr>
          <w:rFonts w:hint="eastAsia" w:ascii="宋体" w:hAnsi="宋体"/>
          <w:sz w:val="24"/>
        </w:rPr>
        <w:t>）登记信息提供以下内容：</w:t>
      </w:r>
    </w:p>
    <w:tbl>
      <w:tblPr>
        <w:tblStyle w:val="37"/>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435"/>
        <w:gridCol w:w="2328"/>
        <w:gridCol w:w="2328"/>
        <w:gridCol w:w="2328"/>
        <w:gridCol w:w="1436"/>
      </w:tblGrid>
      <w:tr w14:paraId="6F89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435" w:type="dxa"/>
            <w:noWrap/>
            <w:vAlign w:val="center"/>
          </w:tcPr>
          <w:p w14:paraId="02F77FD2">
            <w:pPr>
              <w:snapToGrid w:val="0"/>
              <w:spacing w:line="400" w:lineRule="exact"/>
              <w:jc w:val="center"/>
              <w:rPr>
                <w:rFonts w:hint="eastAsia" w:ascii="宋体" w:hAnsi="宋体" w:eastAsia="宋体"/>
                <w:b/>
                <w:szCs w:val="21"/>
                <w:lang w:eastAsia="zh-CN"/>
              </w:rPr>
            </w:pPr>
            <w:r>
              <w:rPr>
                <w:rFonts w:hint="eastAsia" w:ascii="宋体" w:hAnsi="宋体"/>
                <w:b/>
                <w:szCs w:val="21"/>
                <w:lang w:eastAsia="zh-CN"/>
              </w:rPr>
              <w:t>序号</w:t>
            </w:r>
          </w:p>
        </w:tc>
        <w:tc>
          <w:tcPr>
            <w:tcW w:w="2328" w:type="dxa"/>
            <w:noWrap/>
            <w:vAlign w:val="center"/>
          </w:tcPr>
          <w:p w14:paraId="2ABE6AD0">
            <w:pPr>
              <w:snapToGrid w:val="0"/>
              <w:jc w:val="center"/>
              <w:rPr>
                <w:rFonts w:hint="eastAsia" w:ascii="宋体" w:hAnsi="宋体" w:eastAsia="宋体"/>
                <w:b/>
                <w:szCs w:val="21"/>
                <w:lang w:eastAsia="zh-CN"/>
              </w:rPr>
            </w:pPr>
            <w:r>
              <w:rPr>
                <w:rFonts w:hint="eastAsia" w:ascii="宋体" w:hAnsi="宋体"/>
                <w:b/>
                <w:szCs w:val="21"/>
                <w:lang w:eastAsia="zh-CN"/>
              </w:rPr>
              <w:t>股东名称</w:t>
            </w:r>
          </w:p>
        </w:tc>
        <w:tc>
          <w:tcPr>
            <w:tcW w:w="2328" w:type="dxa"/>
            <w:noWrap/>
            <w:vAlign w:val="center"/>
          </w:tcPr>
          <w:p w14:paraId="1F294ED1">
            <w:pPr>
              <w:snapToGrid w:val="0"/>
              <w:jc w:val="center"/>
              <w:rPr>
                <w:rFonts w:hint="eastAsia" w:ascii="宋体" w:hAnsi="宋体" w:eastAsia="宋体"/>
                <w:b/>
                <w:szCs w:val="21"/>
                <w:lang w:eastAsia="zh-CN"/>
              </w:rPr>
            </w:pPr>
            <w:r>
              <w:rPr>
                <w:rFonts w:hint="eastAsia" w:ascii="宋体" w:hAnsi="宋体"/>
                <w:b/>
                <w:szCs w:val="21"/>
                <w:lang w:eastAsia="zh-CN"/>
              </w:rPr>
              <w:t>股东类型</w:t>
            </w:r>
          </w:p>
        </w:tc>
        <w:tc>
          <w:tcPr>
            <w:tcW w:w="2328" w:type="dxa"/>
            <w:noWrap/>
            <w:vAlign w:val="center"/>
          </w:tcPr>
          <w:p w14:paraId="417AFD36">
            <w:pPr>
              <w:snapToGrid w:val="0"/>
              <w:spacing w:line="400" w:lineRule="exact"/>
              <w:jc w:val="center"/>
              <w:rPr>
                <w:rFonts w:hint="eastAsia" w:ascii="宋体" w:hAnsi="宋体" w:eastAsia="宋体"/>
                <w:b/>
                <w:szCs w:val="21"/>
                <w:lang w:eastAsia="zh-CN"/>
              </w:rPr>
            </w:pPr>
            <w:r>
              <w:rPr>
                <w:rFonts w:hint="eastAsia" w:ascii="宋体" w:hAnsi="宋体"/>
                <w:b/>
                <w:szCs w:val="21"/>
                <w:lang w:eastAsia="zh-CN"/>
              </w:rPr>
              <w:t>占股比例</w:t>
            </w:r>
          </w:p>
        </w:tc>
        <w:tc>
          <w:tcPr>
            <w:tcW w:w="1436" w:type="dxa"/>
            <w:noWrap/>
            <w:vAlign w:val="center"/>
          </w:tcPr>
          <w:p w14:paraId="5EB0772E">
            <w:pPr>
              <w:snapToGrid w:val="0"/>
              <w:spacing w:line="400" w:lineRule="exact"/>
              <w:jc w:val="center"/>
              <w:rPr>
                <w:rFonts w:hint="eastAsia" w:ascii="宋体" w:hAnsi="宋体" w:eastAsia="宋体"/>
                <w:b/>
                <w:szCs w:val="21"/>
                <w:lang w:eastAsia="zh-CN"/>
              </w:rPr>
            </w:pPr>
            <w:r>
              <w:rPr>
                <w:rFonts w:hint="eastAsia" w:ascii="宋体" w:hAnsi="宋体"/>
                <w:b/>
                <w:szCs w:val="21"/>
                <w:lang w:eastAsia="zh-CN"/>
              </w:rPr>
              <w:t>备注</w:t>
            </w:r>
          </w:p>
        </w:tc>
      </w:tr>
      <w:tr w14:paraId="7171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435" w:type="dxa"/>
            <w:noWrap/>
            <w:vAlign w:val="center"/>
          </w:tcPr>
          <w:p w14:paraId="26765B92">
            <w:pPr>
              <w:snapToGrid w:val="0"/>
              <w:jc w:val="center"/>
              <w:rPr>
                <w:rFonts w:ascii="宋体" w:hAnsi="宋体"/>
                <w:szCs w:val="21"/>
              </w:rPr>
            </w:pPr>
            <w:r>
              <w:rPr>
                <w:rFonts w:hint="eastAsia" w:ascii="宋体" w:hAnsi="宋体"/>
                <w:szCs w:val="21"/>
              </w:rPr>
              <w:t>1</w:t>
            </w:r>
          </w:p>
        </w:tc>
        <w:tc>
          <w:tcPr>
            <w:tcW w:w="2328" w:type="dxa"/>
            <w:noWrap/>
            <w:vAlign w:val="center"/>
          </w:tcPr>
          <w:p w14:paraId="41B996AF">
            <w:pPr>
              <w:snapToGrid w:val="0"/>
              <w:jc w:val="center"/>
              <w:rPr>
                <w:rFonts w:ascii="宋体" w:hAnsi="宋体"/>
                <w:szCs w:val="21"/>
              </w:rPr>
            </w:pPr>
          </w:p>
        </w:tc>
        <w:tc>
          <w:tcPr>
            <w:tcW w:w="2328" w:type="dxa"/>
            <w:noWrap/>
            <w:vAlign w:val="center"/>
          </w:tcPr>
          <w:p w14:paraId="1E63C15D">
            <w:pPr>
              <w:snapToGrid w:val="0"/>
              <w:jc w:val="center"/>
              <w:rPr>
                <w:rFonts w:ascii="宋体" w:hAnsi="宋体"/>
                <w:szCs w:val="21"/>
              </w:rPr>
            </w:pPr>
          </w:p>
        </w:tc>
        <w:tc>
          <w:tcPr>
            <w:tcW w:w="2328" w:type="dxa"/>
            <w:noWrap/>
            <w:vAlign w:val="center"/>
          </w:tcPr>
          <w:p w14:paraId="07F09CFE">
            <w:pPr>
              <w:snapToGrid w:val="0"/>
              <w:jc w:val="center"/>
              <w:rPr>
                <w:rFonts w:ascii="宋体" w:hAnsi="宋体"/>
                <w:szCs w:val="21"/>
              </w:rPr>
            </w:pPr>
          </w:p>
        </w:tc>
        <w:tc>
          <w:tcPr>
            <w:tcW w:w="1436" w:type="dxa"/>
            <w:noWrap/>
            <w:vAlign w:val="center"/>
          </w:tcPr>
          <w:p w14:paraId="7FECC478">
            <w:pPr>
              <w:snapToGrid w:val="0"/>
              <w:jc w:val="center"/>
              <w:rPr>
                <w:rFonts w:ascii="宋体" w:hAnsi="宋体"/>
                <w:szCs w:val="21"/>
              </w:rPr>
            </w:pPr>
          </w:p>
        </w:tc>
      </w:tr>
      <w:tr w14:paraId="4F91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435" w:type="dxa"/>
            <w:noWrap/>
            <w:vAlign w:val="center"/>
          </w:tcPr>
          <w:p w14:paraId="71806216">
            <w:pPr>
              <w:snapToGrid w:val="0"/>
              <w:jc w:val="center"/>
              <w:rPr>
                <w:rFonts w:ascii="宋体" w:hAnsi="宋体"/>
                <w:szCs w:val="21"/>
              </w:rPr>
            </w:pPr>
            <w:r>
              <w:rPr>
                <w:rFonts w:hint="eastAsia" w:ascii="宋体" w:hAnsi="宋体"/>
                <w:szCs w:val="21"/>
              </w:rPr>
              <w:t>2</w:t>
            </w:r>
          </w:p>
        </w:tc>
        <w:tc>
          <w:tcPr>
            <w:tcW w:w="2328" w:type="dxa"/>
            <w:noWrap/>
            <w:vAlign w:val="center"/>
          </w:tcPr>
          <w:p w14:paraId="20A26D87">
            <w:pPr>
              <w:snapToGrid w:val="0"/>
              <w:jc w:val="center"/>
              <w:rPr>
                <w:rFonts w:ascii="宋体" w:hAnsi="宋体"/>
                <w:szCs w:val="21"/>
              </w:rPr>
            </w:pPr>
          </w:p>
        </w:tc>
        <w:tc>
          <w:tcPr>
            <w:tcW w:w="2328" w:type="dxa"/>
            <w:noWrap/>
            <w:vAlign w:val="center"/>
          </w:tcPr>
          <w:p w14:paraId="263AC5D2">
            <w:pPr>
              <w:snapToGrid w:val="0"/>
              <w:jc w:val="center"/>
              <w:rPr>
                <w:rFonts w:ascii="宋体" w:hAnsi="宋体"/>
                <w:szCs w:val="21"/>
              </w:rPr>
            </w:pPr>
          </w:p>
        </w:tc>
        <w:tc>
          <w:tcPr>
            <w:tcW w:w="2328" w:type="dxa"/>
            <w:noWrap/>
            <w:vAlign w:val="center"/>
          </w:tcPr>
          <w:p w14:paraId="717FB743">
            <w:pPr>
              <w:snapToGrid w:val="0"/>
              <w:jc w:val="center"/>
              <w:rPr>
                <w:rFonts w:ascii="宋体" w:hAnsi="宋体"/>
                <w:szCs w:val="21"/>
              </w:rPr>
            </w:pPr>
          </w:p>
        </w:tc>
        <w:tc>
          <w:tcPr>
            <w:tcW w:w="1436" w:type="dxa"/>
            <w:noWrap/>
            <w:vAlign w:val="center"/>
          </w:tcPr>
          <w:p w14:paraId="144B4ACB">
            <w:pPr>
              <w:snapToGrid w:val="0"/>
              <w:jc w:val="center"/>
              <w:rPr>
                <w:rFonts w:ascii="宋体" w:hAnsi="宋体"/>
                <w:szCs w:val="21"/>
              </w:rPr>
            </w:pPr>
          </w:p>
        </w:tc>
      </w:tr>
      <w:tr w14:paraId="1873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435" w:type="dxa"/>
            <w:noWrap/>
            <w:vAlign w:val="center"/>
          </w:tcPr>
          <w:p w14:paraId="202D82D2">
            <w:pPr>
              <w:snapToGrid w:val="0"/>
              <w:jc w:val="center"/>
              <w:rPr>
                <w:rFonts w:ascii="宋体" w:hAnsi="宋体"/>
                <w:szCs w:val="21"/>
              </w:rPr>
            </w:pPr>
            <w:r>
              <w:rPr>
                <w:rFonts w:hint="eastAsia" w:ascii="宋体" w:hAnsi="宋体"/>
                <w:szCs w:val="21"/>
              </w:rPr>
              <w:t>……</w:t>
            </w:r>
          </w:p>
        </w:tc>
        <w:tc>
          <w:tcPr>
            <w:tcW w:w="2328" w:type="dxa"/>
            <w:noWrap/>
            <w:vAlign w:val="center"/>
          </w:tcPr>
          <w:p w14:paraId="35F916EA">
            <w:pPr>
              <w:snapToGrid w:val="0"/>
              <w:jc w:val="center"/>
              <w:rPr>
                <w:rFonts w:ascii="宋体" w:hAnsi="宋体"/>
                <w:szCs w:val="21"/>
              </w:rPr>
            </w:pPr>
          </w:p>
        </w:tc>
        <w:tc>
          <w:tcPr>
            <w:tcW w:w="2328" w:type="dxa"/>
            <w:noWrap/>
            <w:vAlign w:val="center"/>
          </w:tcPr>
          <w:p w14:paraId="407781E5">
            <w:pPr>
              <w:snapToGrid w:val="0"/>
              <w:jc w:val="center"/>
              <w:rPr>
                <w:rFonts w:ascii="宋体" w:hAnsi="宋体"/>
                <w:szCs w:val="21"/>
              </w:rPr>
            </w:pPr>
          </w:p>
        </w:tc>
        <w:tc>
          <w:tcPr>
            <w:tcW w:w="2328" w:type="dxa"/>
            <w:noWrap/>
            <w:vAlign w:val="center"/>
          </w:tcPr>
          <w:p w14:paraId="7617693E">
            <w:pPr>
              <w:snapToGrid w:val="0"/>
              <w:jc w:val="center"/>
              <w:rPr>
                <w:rFonts w:ascii="宋体" w:hAnsi="宋体"/>
                <w:szCs w:val="21"/>
              </w:rPr>
            </w:pPr>
          </w:p>
        </w:tc>
        <w:tc>
          <w:tcPr>
            <w:tcW w:w="1436" w:type="dxa"/>
            <w:noWrap/>
            <w:vAlign w:val="center"/>
          </w:tcPr>
          <w:p w14:paraId="55D0BD90">
            <w:pPr>
              <w:snapToGrid w:val="0"/>
              <w:jc w:val="center"/>
              <w:rPr>
                <w:rFonts w:ascii="宋体" w:hAnsi="宋体"/>
                <w:szCs w:val="21"/>
              </w:rPr>
            </w:pPr>
          </w:p>
        </w:tc>
      </w:tr>
    </w:tbl>
    <w:p w14:paraId="43F2BD7C">
      <w:pPr>
        <w:rPr>
          <w:rFonts w:ascii="宋体" w:hAnsi="宋体"/>
          <w:sz w:val="24"/>
        </w:rPr>
      </w:pPr>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680"/>
        <w:gridCol w:w="3769"/>
        <w:gridCol w:w="1680"/>
        <w:gridCol w:w="2725"/>
      </w:tblGrid>
      <w:tr w14:paraId="4176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680" w:type="dxa"/>
            <w:noWrap/>
            <w:vAlign w:val="center"/>
          </w:tcPr>
          <w:p w14:paraId="4CEFD3A5">
            <w:pPr>
              <w:snapToGrid w:val="0"/>
              <w:jc w:val="center"/>
              <w:rPr>
                <w:rFonts w:hint="eastAsia" w:ascii="宋体" w:hAnsi="宋体" w:eastAsia="宋体"/>
                <w:b/>
                <w:szCs w:val="21"/>
                <w:lang w:eastAsia="zh-CN"/>
              </w:rPr>
            </w:pPr>
            <w:r>
              <w:rPr>
                <w:rFonts w:hint="eastAsia" w:ascii="宋体" w:hAnsi="宋体"/>
                <w:b/>
                <w:szCs w:val="21"/>
                <w:lang w:eastAsia="zh-CN"/>
              </w:rPr>
              <w:t>序号</w:t>
            </w:r>
          </w:p>
        </w:tc>
        <w:tc>
          <w:tcPr>
            <w:tcW w:w="3769" w:type="dxa"/>
            <w:noWrap/>
            <w:vAlign w:val="center"/>
          </w:tcPr>
          <w:p w14:paraId="38235BF3">
            <w:pPr>
              <w:snapToGrid w:val="0"/>
              <w:jc w:val="center"/>
              <w:rPr>
                <w:rFonts w:hint="eastAsia" w:ascii="宋体" w:hAnsi="宋体" w:eastAsia="宋体"/>
                <w:b/>
                <w:szCs w:val="21"/>
                <w:lang w:eastAsia="zh-CN"/>
              </w:rPr>
            </w:pPr>
            <w:r>
              <w:rPr>
                <w:rFonts w:hint="eastAsia" w:ascii="宋体" w:hAnsi="宋体"/>
                <w:b/>
                <w:szCs w:val="21"/>
                <w:lang w:eastAsia="zh-CN"/>
              </w:rPr>
              <w:t>主要人员姓名</w:t>
            </w:r>
          </w:p>
        </w:tc>
        <w:tc>
          <w:tcPr>
            <w:tcW w:w="1680" w:type="dxa"/>
            <w:noWrap/>
            <w:vAlign w:val="center"/>
          </w:tcPr>
          <w:p w14:paraId="4FEB1DA5">
            <w:pPr>
              <w:snapToGrid w:val="0"/>
              <w:jc w:val="center"/>
              <w:rPr>
                <w:rFonts w:hint="eastAsia" w:ascii="宋体" w:hAnsi="宋体" w:eastAsia="宋体"/>
                <w:b/>
                <w:szCs w:val="21"/>
                <w:lang w:eastAsia="zh-CN"/>
              </w:rPr>
            </w:pPr>
            <w:r>
              <w:rPr>
                <w:rFonts w:hint="eastAsia" w:ascii="宋体" w:hAnsi="宋体"/>
                <w:b/>
                <w:szCs w:val="21"/>
                <w:lang w:eastAsia="zh-CN"/>
              </w:rPr>
              <w:t>职务</w:t>
            </w:r>
          </w:p>
        </w:tc>
        <w:tc>
          <w:tcPr>
            <w:tcW w:w="2725" w:type="dxa"/>
            <w:noWrap/>
            <w:vAlign w:val="center"/>
          </w:tcPr>
          <w:p w14:paraId="1C10486B">
            <w:pPr>
              <w:snapToGrid w:val="0"/>
              <w:jc w:val="center"/>
              <w:rPr>
                <w:rFonts w:hint="eastAsia" w:ascii="宋体" w:hAnsi="宋体" w:eastAsia="宋体"/>
                <w:b/>
                <w:szCs w:val="21"/>
                <w:lang w:eastAsia="zh-CN"/>
              </w:rPr>
            </w:pPr>
            <w:r>
              <w:rPr>
                <w:rFonts w:hint="eastAsia" w:ascii="宋体" w:hAnsi="宋体"/>
                <w:b/>
                <w:szCs w:val="21"/>
                <w:lang w:eastAsia="zh-CN"/>
              </w:rPr>
              <w:t>身份证号</w:t>
            </w:r>
          </w:p>
        </w:tc>
      </w:tr>
      <w:tr w14:paraId="0C92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680" w:type="dxa"/>
            <w:noWrap/>
            <w:vAlign w:val="center"/>
          </w:tcPr>
          <w:p w14:paraId="2BC013E7">
            <w:pPr>
              <w:snapToGrid w:val="0"/>
              <w:jc w:val="center"/>
              <w:rPr>
                <w:rFonts w:ascii="宋体" w:hAnsi="宋体"/>
                <w:szCs w:val="21"/>
              </w:rPr>
            </w:pPr>
            <w:r>
              <w:rPr>
                <w:rFonts w:hint="eastAsia" w:ascii="宋体" w:hAnsi="宋体"/>
                <w:szCs w:val="21"/>
              </w:rPr>
              <w:t>1</w:t>
            </w:r>
          </w:p>
        </w:tc>
        <w:tc>
          <w:tcPr>
            <w:tcW w:w="3769" w:type="dxa"/>
            <w:noWrap/>
            <w:vAlign w:val="center"/>
          </w:tcPr>
          <w:p w14:paraId="415E4489">
            <w:pPr>
              <w:snapToGrid w:val="0"/>
              <w:jc w:val="center"/>
              <w:rPr>
                <w:rFonts w:ascii="宋体" w:hAnsi="宋体"/>
                <w:szCs w:val="21"/>
              </w:rPr>
            </w:pPr>
          </w:p>
        </w:tc>
        <w:tc>
          <w:tcPr>
            <w:tcW w:w="1680" w:type="dxa"/>
            <w:noWrap/>
            <w:vAlign w:val="center"/>
          </w:tcPr>
          <w:p w14:paraId="59A2E029">
            <w:pPr>
              <w:snapToGrid w:val="0"/>
              <w:jc w:val="center"/>
              <w:rPr>
                <w:rFonts w:ascii="宋体" w:hAnsi="宋体"/>
                <w:szCs w:val="21"/>
              </w:rPr>
            </w:pPr>
          </w:p>
        </w:tc>
        <w:tc>
          <w:tcPr>
            <w:tcW w:w="2725" w:type="dxa"/>
            <w:noWrap/>
            <w:vAlign w:val="center"/>
          </w:tcPr>
          <w:p w14:paraId="2AE26A1C">
            <w:pPr>
              <w:snapToGrid w:val="0"/>
              <w:jc w:val="center"/>
              <w:rPr>
                <w:rFonts w:ascii="宋体" w:hAnsi="宋体"/>
                <w:szCs w:val="21"/>
              </w:rPr>
            </w:pPr>
          </w:p>
        </w:tc>
      </w:tr>
      <w:tr w14:paraId="7B5E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680" w:type="dxa"/>
            <w:noWrap/>
            <w:vAlign w:val="center"/>
          </w:tcPr>
          <w:p w14:paraId="018B8D32">
            <w:pPr>
              <w:snapToGrid w:val="0"/>
              <w:jc w:val="center"/>
              <w:rPr>
                <w:rFonts w:ascii="宋体" w:hAnsi="宋体"/>
                <w:szCs w:val="21"/>
              </w:rPr>
            </w:pPr>
            <w:r>
              <w:rPr>
                <w:rFonts w:hint="eastAsia" w:ascii="宋体" w:hAnsi="宋体"/>
                <w:szCs w:val="21"/>
              </w:rPr>
              <w:t>2</w:t>
            </w:r>
          </w:p>
        </w:tc>
        <w:tc>
          <w:tcPr>
            <w:tcW w:w="3769" w:type="dxa"/>
            <w:noWrap/>
            <w:vAlign w:val="center"/>
          </w:tcPr>
          <w:p w14:paraId="6615DB48">
            <w:pPr>
              <w:snapToGrid w:val="0"/>
              <w:jc w:val="center"/>
              <w:rPr>
                <w:rFonts w:ascii="宋体" w:hAnsi="宋体"/>
                <w:szCs w:val="21"/>
              </w:rPr>
            </w:pPr>
          </w:p>
        </w:tc>
        <w:tc>
          <w:tcPr>
            <w:tcW w:w="1680" w:type="dxa"/>
            <w:noWrap/>
            <w:vAlign w:val="center"/>
          </w:tcPr>
          <w:p w14:paraId="162B5201">
            <w:pPr>
              <w:snapToGrid w:val="0"/>
              <w:jc w:val="center"/>
              <w:rPr>
                <w:rFonts w:ascii="宋体" w:hAnsi="宋体"/>
                <w:szCs w:val="21"/>
              </w:rPr>
            </w:pPr>
          </w:p>
        </w:tc>
        <w:tc>
          <w:tcPr>
            <w:tcW w:w="2725" w:type="dxa"/>
            <w:noWrap/>
            <w:vAlign w:val="center"/>
          </w:tcPr>
          <w:p w14:paraId="7E9E536C">
            <w:pPr>
              <w:snapToGrid w:val="0"/>
              <w:jc w:val="center"/>
              <w:rPr>
                <w:rFonts w:ascii="宋体" w:hAnsi="宋体"/>
                <w:szCs w:val="21"/>
              </w:rPr>
            </w:pPr>
          </w:p>
        </w:tc>
      </w:tr>
      <w:tr w14:paraId="314B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680" w:type="dxa"/>
            <w:noWrap/>
            <w:vAlign w:val="center"/>
          </w:tcPr>
          <w:p w14:paraId="68B709D2">
            <w:pPr>
              <w:snapToGrid w:val="0"/>
              <w:jc w:val="center"/>
              <w:rPr>
                <w:rFonts w:ascii="宋体" w:hAnsi="宋体"/>
                <w:szCs w:val="21"/>
              </w:rPr>
            </w:pPr>
            <w:r>
              <w:rPr>
                <w:rFonts w:hint="eastAsia" w:ascii="宋体" w:hAnsi="宋体"/>
                <w:szCs w:val="21"/>
              </w:rPr>
              <w:t>……</w:t>
            </w:r>
          </w:p>
        </w:tc>
        <w:tc>
          <w:tcPr>
            <w:tcW w:w="3769" w:type="dxa"/>
            <w:noWrap/>
            <w:vAlign w:val="center"/>
          </w:tcPr>
          <w:p w14:paraId="3D8C2A26">
            <w:pPr>
              <w:snapToGrid w:val="0"/>
              <w:jc w:val="center"/>
              <w:rPr>
                <w:rFonts w:ascii="宋体" w:hAnsi="宋体"/>
                <w:szCs w:val="21"/>
              </w:rPr>
            </w:pPr>
          </w:p>
        </w:tc>
        <w:tc>
          <w:tcPr>
            <w:tcW w:w="1680" w:type="dxa"/>
            <w:noWrap/>
            <w:vAlign w:val="center"/>
          </w:tcPr>
          <w:p w14:paraId="5C67D1FC">
            <w:pPr>
              <w:snapToGrid w:val="0"/>
              <w:jc w:val="center"/>
              <w:rPr>
                <w:rFonts w:ascii="宋体" w:hAnsi="宋体"/>
                <w:szCs w:val="21"/>
              </w:rPr>
            </w:pPr>
          </w:p>
        </w:tc>
        <w:tc>
          <w:tcPr>
            <w:tcW w:w="2725" w:type="dxa"/>
            <w:noWrap/>
            <w:vAlign w:val="center"/>
          </w:tcPr>
          <w:p w14:paraId="667E7F72">
            <w:pPr>
              <w:snapToGrid w:val="0"/>
              <w:jc w:val="center"/>
              <w:rPr>
                <w:rFonts w:ascii="宋体" w:hAnsi="宋体"/>
                <w:szCs w:val="21"/>
              </w:rPr>
            </w:pPr>
          </w:p>
        </w:tc>
      </w:tr>
    </w:tbl>
    <w:p w14:paraId="004B01EC">
      <w:pPr>
        <w:rPr>
          <w:rFonts w:ascii="宋体" w:hAnsi="宋体"/>
          <w:sz w:val="24"/>
        </w:rPr>
      </w:pPr>
    </w:p>
    <w:p w14:paraId="66EEA889">
      <w:pPr>
        <w:ind w:left="2698" w:leftChars="1285"/>
        <w:rPr>
          <w:rFonts w:ascii="宋体" w:hAnsi="宋体"/>
          <w:sz w:val="24"/>
        </w:rPr>
      </w:pPr>
      <w:r>
        <w:rPr>
          <w:rFonts w:hint="eastAsia" w:ascii="宋体" w:hAnsi="宋体"/>
          <w:sz w:val="24"/>
        </w:rPr>
        <w:t>供应商名称： （盖公章）</w:t>
      </w:r>
    </w:p>
    <w:p w14:paraId="7BB20672">
      <w:pPr>
        <w:ind w:left="2698" w:leftChars="1285"/>
        <w:rPr>
          <w:rFonts w:ascii="宋体" w:hAnsi="宋体"/>
          <w:sz w:val="24"/>
        </w:rPr>
      </w:pPr>
      <w:r>
        <w:rPr>
          <w:rFonts w:hint="eastAsia" w:ascii="宋体" w:hAnsi="宋体"/>
          <w:sz w:val="24"/>
        </w:rPr>
        <w:t>法定代表人（或授权代理人）： （签字或盖章）</w:t>
      </w:r>
    </w:p>
    <w:p w14:paraId="54037D6F">
      <w:pPr>
        <w:adjustRightInd w:val="0"/>
        <w:snapToGrid w:val="0"/>
        <w:spacing w:line="300" w:lineRule="auto"/>
        <w:ind w:firstLine="2640" w:firstLineChars="1100"/>
        <w:rPr>
          <w:rFonts w:ascii="宋体" w:hAnsi="宋体"/>
          <w:sz w:val="24"/>
        </w:rPr>
      </w:pPr>
      <w:r>
        <w:rPr>
          <w:rFonts w:hint="eastAsia" w:ascii="宋体" w:hAnsi="宋体"/>
          <w:sz w:val="24"/>
        </w:rPr>
        <w:t>日期： 年 月 日</w:t>
      </w:r>
    </w:p>
    <w:p w14:paraId="1C46D4C3"/>
    <w:p w14:paraId="5C3453D1">
      <w:pPr>
        <w:bidi w:val="0"/>
        <w:rPr>
          <w:rStyle w:val="48"/>
          <w:rFonts w:hint="eastAsia"/>
          <w:b/>
        </w:rPr>
      </w:pPr>
    </w:p>
    <w:p w14:paraId="68EAE55C">
      <w:pPr>
        <w:pStyle w:val="2"/>
        <w:autoSpaceDE w:val="0"/>
        <w:autoSpaceDN w:val="0"/>
        <w:rPr>
          <w:rStyle w:val="48"/>
          <w:b/>
        </w:rPr>
      </w:pPr>
      <w:r>
        <w:rPr>
          <w:rStyle w:val="48"/>
          <w:rFonts w:hint="eastAsia"/>
          <w:b/>
        </w:rPr>
        <w:t>附件8 在“信用中国”网站信用查询截图</w:t>
      </w:r>
    </w:p>
    <w:bookmarkEnd w:id="110"/>
    <w:p w14:paraId="5A3A47D6">
      <w:pPr>
        <w:rPr>
          <w:rStyle w:val="48"/>
        </w:rPr>
      </w:pPr>
    </w:p>
    <w:p w14:paraId="0D2CF9DB">
      <w:pPr>
        <w:pStyle w:val="2"/>
        <w:autoSpaceDE w:val="0"/>
        <w:autoSpaceDN w:val="0"/>
        <w:rPr>
          <w:rStyle w:val="48"/>
          <w:b/>
        </w:rPr>
      </w:pPr>
      <w:r>
        <w:rPr>
          <w:rStyle w:val="48"/>
          <w:rFonts w:hint="eastAsia"/>
          <w:b/>
        </w:rPr>
        <w:t>附件9  按资格要求和评分要求提供相应证明材料</w:t>
      </w:r>
    </w:p>
    <w:p w14:paraId="0E57B5CF"/>
    <w:p w14:paraId="4971C40C">
      <w:pPr>
        <w:spacing w:line="360" w:lineRule="exact"/>
        <w:rPr>
          <w:rFonts w:ascii="宋体" w:hAnsi="宋体"/>
          <w:b/>
          <w:sz w:val="32"/>
          <w:szCs w:val="30"/>
        </w:rPr>
      </w:pPr>
    </w:p>
    <w:p w14:paraId="6874C256">
      <w:pPr>
        <w:spacing w:line="360" w:lineRule="exact"/>
        <w:ind w:firstLine="4560" w:firstLineChars="1900"/>
        <w:rPr>
          <w:sz w:val="24"/>
        </w:rPr>
      </w:pPr>
    </w:p>
    <w:p w14:paraId="56EA65C9">
      <w:pPr>
        <w:spacing w:line="360" w:lineRule="exact"/>
        <w:ind w:firstLine="6080" w:firstLineChars="1900"/>
        <w:rPr>
          <w:rFonts w:ascii="宋体" w:hAnsi="宋体"/>
          <w:b/>
          <w:sz w:val="32"/>
          <w:szCs w:val="30"/>
        </w:rPr>
      </w:pPr>
    </w:p>
    <w:sectPr>
      <w:pgSz w:w="11906" w:h="16838"/>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FangSong-Identity-H">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Identity-H">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8E3FE">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8</w:t>
    </w:r>
    <w:r>
      <w:fldChar w:fldCharType="end"/>
    </w:r>
  </w:p>
  <w:p w14:paraId="11B0F9C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9D1D5">
    <w:pPr>
      <w:pStyle w:val="25"/>
      <w:framePr w:wrap="around" w:vAnchor="text" w:hAnchor="margin" w:xAlign="center" w:y="1"/>
      <w:rPr>
        <w:rStyle w:val="41"/>
      </w:rPr>
    </w:pPr>
    <w:r>
      <w:fldChar w:fldCharType="begin"/>
    </w:r>
    <w:r>
      <w:rPr>
        <w:rStyle w:val="41"/>
      </w:rPr>
      <w:instrText xml:space="preserve">PAGE  </w:instrText>
    </w:r>
    <w:r>
      <w:fldChar w:fldCharType="separate"/>
    </w:r>
    <w:r>
      <w:rPr>
        <w:rStyle w:val="41"/>
      </w:rPr>
      <w:t>1</w:t>
    </w:r>
    <w:r>
      <w:fldChar w:fldCharType="end"/>
    </w:r>
  </w:p>
  <w:p w14:paraId="12A11566">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29C2">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61EA5B"/>
    <w:multiLevelType w:val="singleLevel"/>
    <w:tmpl w:val="F361EA5B"/>
    <w:lvl w:ilvl="0" w:tentative="0">
      <w:start w:val="1"/>
      <w:numFmt w:val="decimal"/>
      <w:pStyle w:val="102"/>
      <w:lvlText w:val="%1."/>
      <w:lvlJc w:val="left"/>
      <w:pPr>
        <w:tabs>
          <w:tab w:val="left" w:pos="312"/>
        </w:tabs>
      </w:pPr>
    </w:lvl>
  </w:abstractNum>
  <w:abstractNum w:abstractNumId="1">
    <w:nsid w:val="F5CF015B"/>
    <w:multiLevelType w:val="singleLevel"/>
    <w:tmpl w:val="F5CF015B"/>
    <w:lvl w:ilvl="0" w:tentative="0">
      <w:start w:val="3"/>
      <w:numFmt w:val="chineseCounting"/>
      <w:suff w:val="nothing"/>
      <w:lvlText w:val="%1、"/>
      <w:lvlJc w:val="left"/>
      <w:rPr>
        <w:rFonts w:hint="eastAsia"/>
      </w:rPr>
    </w:lvl>
  </w:abstractNum>
  <w:abstractNum w:abstractNumId="2">
    <w:nsid w:val="0761288F"/>
    <w:multiLevelType w:val="singleLevel"/>
    <w:tmpl w:val="0761288F"/>
    <w:lvl w:ilvl="0" w:tentative="0">
      <w:start w:val="5"/>
      <w:numFmt w:val="chineseCounting"/>
      <w:suff w:val="nothing"/>
      <w:lvlText w:val="第%1部分　"/>
      <w:lvlJc w:val="left"/>
      <w:rPr>
        <w:rFonts w:hint="eastAsia"/>
      </w:rPr>
    </w:lvl>
  </w:abstractNum>
  <w:abstractNum w:abstractNumId="3">
    <w:nsid w:val="0E9DFB97"/>
    <w:multiLevelType w:val="singleLevel"/>
    <w:tmpl w:val="0E9DFB97"/>
    <w:lvl w:ilvl="0" w:tentative="0">
      <w:start w:val="6"/>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0ZTgxNGIxYjRmNjJhZjliOTkxODMxZDg3Y2FhZjQifQ=="/>
  </w:docVars>
  <w:rsids>
    <w:rsidRoot w:val="00172A27"/>
    <w:rsid w:val="00004197"/>
    <w:rsid w:val="00010D6B"/>
    <w:rsid w:val="00011053"/>
    <w:rsid w:val="0001669F"/>
    <w:rsid w:val="00020B83"/>
    <w:rsid w:val="000312D5"/>
    <w:rsid w:val="000326A0"/>
    <w:rsid w:val="00032EA9"/>
    <w:rsid w:val="00033873"/>
    <w:rsid w:val="00034936"/>
    <w:rsid w:val="000371AB"/>
    <w:rsid w:val="000436F1"/>
    <w:rsid w:val="000445B9"/>
    <w:rsid w:val="00045337"/>
    <w:rsid w:val="00050091"/>
    <w:rsid w:val="000506D4"/>
    <w:rsid w:val="000545B2"/>
    <w:rsid w:val="000545FD"/>
    <w:rsid w:val="00054AED"/>
    <w:rsid w:val="000562FE"/>
    <w:rsid w:val="00056954"/>
    <w:rsid w:val="000576AF"/>
    <w:rsid w:val="000601D9"/>
    <w:rsid w:val="00062078"/>
    <w:rsid w:val="00066AA1"/>
    <w:rsid w:val="00067DCD"/>
    <w:rsid w:val="00070A7E"/>
    <w:rsid w:val="00071C9C"/>
    <w:rsid w:val="00072322"/>
    <w:rsid w:val="000736EF"/>
    <w:rsid w:val="0007676A"/>
    <w:rsid w:val="00080FF1"/>
    <w:rsid w:val="0008152A"/>
    <w:rsid w:val="00086C3D"/>
    <w:rsid w:val="00087E36"/>
    <w:rsid w:val="0009167D"/>
    <w:rsid w:val="00091DDA"/>
    <w:rsid w:val="00092774"/>
    <w:rsid w:val="000953DE"/>
    <w:rsid w:val="00096564"/>
    <w:rsid w:val="00096F8B"/>
    <w:rsid w:val="000979A0"/>
    <w:rsid w:val="000A297D"/>
    <w:rsid w:val="000A4D2D"/>
    <w:rsid w:val="000A5E73"/>
    <w:rsid w:val="000A7C40"/>
    <w:rsid w:val="000B00E0"/>
    <w:rsid w:val="000B01CF"/>
    <w:rsid w:val="000B1D44"/>
    <w:rsid w:val="000B26FB"/>
    <w:rsid w:val="000B7515"/>
    <w:rsid w:val="000C1B7F"/>
    <w:rsid w:val="000C363A"/>
    <w:rsid w:val="000C46B5"/>
    <w:rsid w:val="000C5A12"/>
    <w:rsid w:val="000C7D8C"/>
    <w:rsid w:val="000D07EC"/>
    <w:rsid w:val="000D205E"/>
    <w:rsid w:val="000D2A5D"/>
    <w:rsid w:val="000D5F87"/>
    <w:rsid w:val="000D67F5"/>
    <w:rsid w:val="000D6CDF"/>
    <w:rsid w:val="000D7801"/>
    <w:rsid w:val="000D7BE8"/>
    <w:rsid w:val="000E0C99"/>
    <w:rsid w:val="000E2875"/>
    <w:rsid w:val="000F33A7"/>
    <w:rsid w:val="000F433A"/>
    <w:rsid w:val="00101BCF"/>
    <w:rsid w:val="0010742D"/>
    <w:rsid w:val="0011063D"/>
    <w:rsid w:val="00111100"/>
    <w:rsid w:val="00111EAF"/>
    <w:rsid w:val="001169DF"/>
    <w:rsid w:val="00116ECD"/>
    <w:rsid w:val="001207F7"/>
    <w:rsid w:val="00121ED3"/>
    <w:rsid w:val="00124ED9"/>
    <w:rsid w:val="001254A4"/>
    <w:rsid w:val="00132286"/>
    <w:rsid w:val="001343FA"/>
    <w:rsid w:val="00134A8B"/>
    <w:rsid w:val="0013542A"/>
    <w:rsid w:val="00135448"/>
    <w:rsid w:val="001367FE"/>
    <w:rsid w:val="00137BD9"/>
    <w:rsid w:val="0014253C"/>
    <w:rsid w:val="001476AE"/>
    <w:rsid w:val="001546B2"/>
    <w:rsid w:val="001571D2"/>
    <w:rsid w:val="00157B86"/>
    <w:rsid w:val="001612FE"/>
    <w:rsid w:val="0016494A"/>
    <w:rsid w:val="00165C57"/>
    <w:rsid w:val="001673F4"/>
    <w:rsid w:val="0017182D"/>
    <w:rsid w:val="00172A27"/>
    <w:rsid w:val="00173E8E"/>
    <w:rsid w:val="00174A43"/>
    <w:rsid w:val="00176565"/>
    <w:rsid w:val="001809DB"/>
    <w:rsid w:val="00184D45"/>
    <w:rsid w:val="001853A9"/>
    <w:rsid w:val="00186B06"/>
    <w:rsid w:val="00186F54"/>
    <w:rsid w:val="0018749E"/>
    <w:rsid w:val="0019123C"/>
    <w:rsid w:val="0019210E"/>
    <w:rsid w:val="00192744"/>
    <w:rsid w:val="00192A9F"/>
    <w:rsid w:val="00196098"/>
    <w:rsid w:val="001961E8"/>
    <w:rsid w:val="00196E77"/>
    <w:rsid w:val="001A28B5"/>
    <w:rsid w:val="001A36FE"/>
    <w:rsid w:val="001A5A11"/>
    <w:rsid w:val="001A5BAB"/>
    <w:rsid w:val="001A7448"/>
    <w:rsid w:val="001A7B39"/>
    <w:rsid w:val="001B143D"/>
    <w:rsid w:val="001C3343"/>
    <w:rsid w:val="001C3823"/>
    <w:rsid w:val="001C466E"/>
    <w:rsid w:val="001C5556"/>
    <w:rsid w:val="001C63AA"/>
    <w:rsid w:val="001C751F"/>
    <w:rsid w:val="001C7A4B"/>
    <w:rsid w:val="001D0E37"/>
    <w:rsid w:val="001D613C"/>
    <w:rsid w:val="001E2CB4"/>
    <w:rsid w:val="001E4E27"/>
    <w:rsid w:val="001F40CF"/>
    <w:rsid w:val="001F6512"/>
    <w:rsid w:val="001F6880"/>
    <w:rsid w:val="0020183F"/>
    <w:rsid w:val="00205E3A"/>
    <w:rsid w:val="00206D53"/>
    <w:rsid w:val="0020798F"/>
    <w:rsid w:val="00213C22"/>
    <w:rsid w:val="00217B8C"/>
    <w:rsid w:val="00221252"/>
    <w:rsid w:val="002217D0"/>
    <w:rsid w:val="00221A03"/>
    <w:rsid w:val="00222453"/>
    <w:rsid w:val="00235E37"/>
    <w:rsid w:val="002366AF"/>
    <w:rsid w:val="00241C66"/>
    <w:rsid w:val="00242046"/>
    <w:rsid w:val="00247619"/>
    <w:rsid w:val="00251B8C"/>
    <w:rsid w:val="00252529"/>
    <w:rsid w:val="00257FE7"/>
    <w:rsid w:val="002611A9"/>
    <w:rsid w:val="00261526"/>
    <w:rsid w:val="0026269F"/>
    <w:rsid w:val="00262D7A"/>
    <w:rsid w:val="00263546"/>
    <w:rsid w:val="002659BA"/>
    <w:rsid w:val="00270839"/>
    <w:rsid w:val="00272A9F"/>
    <w:rsid w:val="002761E2"/>
    <w:rsid w:val="00277007"/>
    <w:rsid w:val="00280521"/>
    <w:rsid w:val="0028120A"/>
    <w:rsid w:val="00281AEB"/>
    <w:rsid w:val="00286C29"/>
    <w:rsid w:val="00290B4F"/>
    <w:rsid w:val="00291928"/>
    <w:rsid w:val="0029617A"/>
    <w:rsid w:val="00297164"/>
    <w:rsid w:val="002A486C"/>
    <w:rsid w:val="002A4D24"/>
    <w:rsid w:val="002A572D"/>
    <w:rsid w:val="002A6228"/>
    <w:rsid w:val="002A7DD9"/>
    <w:rsid w:val="002A7E1E"/>
    <w:rsid w:val="002B040B"/>
    <w:rsid w:val="002B09A7"/>
    <w:rsid w:val="002B2000"/>
    <w:rsid w:val="002B4FD1"/>
    <w:rsid w:val="002B6898"/>
    <w:rsid w:val="002C0896"/>
    <w:rsid w:val="002C43AD"/>
    <w:rsid w:val="002C7C22"/>
    <w:rsid w:val="002D1C63"/>
    <w:rsid w:val="002D3A0E"/>
    <w:rsid w:val="002D7E20"/>
    <w:rsid w:val="002E0D61"/>
    <w:rsid w:val="002E1473"/>
    <w:rsid w:val="002E4A9F"/>
    <w:rsid w:val="002F187B"/>
    <w:rsid w:val="00300D1E"/>
    <w:rsid w:val="003016D4"/>
    <w:rsid w:val="0030413B"/>
    <w:rsid w:val="00306B15"/>
    <w:rsid w:val="00306D09"/>
    <w:rsid w:val="00310808"/>
    <w:rsid w:val="003127DE"/>
    <w:rsid w:val="00312B08"/>
    <w:rsid w:val="00314897"/>
    <w:rsid w:val="0031632A"/>
    <w:rsid w:val="00320D1B"/>
    <w:rsid w:val="0032251B"/>
    <w:rsid w:val="00322CBF"/>
    <w:rsid w:val="00330C7A"/>
    <w:rsid w:val="00333BC8"/>
    <w:rsid w:val="0033452E"/>
    <w:rsid w:val="00336B51"/>
    <w:rsid w:val="00344385"/>
    <w:rsid w:val="00345FC1"/>
    <w:rsid w:val="00346AC5"/>
    <w:rsid w:val="00347679"/>
    <w:rsid w:val="00352DFF"/>
    <w:rsid w:val="0035321C"/>
    <w:rsid w:val="0035393B"/>
    <w:rsid w:val="00354DBC"/>
    <w:rsid w:val="00355252"/>
    <w:rsid w:val="00357C42"/>
    <w:rsid w:val="00362B82"/>
    <w:rsid w:val="00365427"/>
    <w:rsid w:val="00366D50"/>
    <w:rsid w:val="00367E22"/>
    <w:rsid w:val="00373DC8"/>
    <w:rsid w:val="0037524A"/>
    <w:rsid w:val="00376C28"/>
    <w:rsid w:val="003774CE"/>
    <w:rsid w:val="003813AE"/>
    <w:rsid w:val="00383F01"/>
    <w:rsid w:val="003846BF"/>
    <w:rsid w:val="0038632D"/>
    <w:rsid w:val="00391467"/>
    <w:rsid w:val="00393981"/>
    <w:rsid w:val="00395AD9"/>
    <w:rsid w:val="003A0690"/>
    <w:rsid w:val="003A36CA"/>
    <w:rsid w:val="003A47E1"/>
    <w:rsid w:val="003A4E7F"/>
    <w:rsid w:val="003A6D85"/>
    <w:rsid w:val="003A7659"/>
    <w:rsid w:val="003B2FCA"/>
    <w:rsid w:val="003B419F"/>
    <w:rsid w:val="003B5806"/>
    <w:rsid w:val="003C0897"/>
    <w:rsid w:val="003C1DD7"/>
    <w:rsid w:val="003C3462"/>
    <w:rsid w:val="003C5CB8"/>
    <w:rsid w:val="003D23F0"/>
    <w:rsid w:val="003D2793"/>
    <w:rsid w:val="003D3DBF"/>
    <w:rsid w:val="003D57E0"/>
    <w:rsid w:val="003D6011"/>
    <w:rsid w:val="003D631B"/>
    <w:rsid w:val="003E075B"/>
    <w:rsid w:val="003E1B25"/>
    <w:rsid w:val="003E529B"/>
    <w:rsid w:val="003F3DB3"/>
    <w:rsid w:val="003F6248"/>
    <w:rsid w:val="003F72EB"/>
    <w:rsid w:val="0040043D"/>
    <w:rsid w:val="0040056D"/>
    <w:rsid w:val="004009D3"/>
    <w:rsid w:val="0040783E"/>
    <w:rsid w:val="00410398"/>
    <w:rsid w:val="00415FC8"/>
    <w:rsid w:val="00416D06"/>
    <w:rsid w:val="0042162E"/>
    <w:rsid w:val="00421DE7"/>
    <w:rsid w:val="0042529A"/>
    <w:rsid w:val="00430894"/>
    <w:rsid w:val="0043368E"/>
    <w:rsid w:val="004356CE"/>
    <w:rsid w:val="00443D23"/>
    <w:rsid w:val="00445727"/>
    <w:rsid w:val="0044588F"/>
    <w:rsid w:val="00445C38"/>
    <w:rsid w:val="004468C0"/>
    <w:rsid w:val="00452595"/>
    <w:rsid w:val="00452E92"/>
    <w:rsid w:val="00453C3B"/>
    <w:rsid w:val="00454A19"/>
    <w:rsid w:val="004569EF"/>
    <w:rsid w:val="004605E7"/>
    <w:rsid w:val="00461FA9"/>
    <w:rsid w:val="0047047B"/>
    <w:rsid w:val="00470B04"/>
    <w:rsid w:val="0047283A"/>
    <w:rsid w:val="004737E8"/>
    <w:rsid w:val="00476744"/>
    <w:rsid w:val="004776DD"/>
    <w:rsid w:val="0048657B"/>
    <w:rsid w:val="0048701C"/>
    <w:rsid w:val="00487CC9"/>
    <w:rsid w:val="00487E2D"/>
    <w:rsid w:val="0049383B"/>
    <w:rsid w:val="00494C20"/>
    <w:rsid w:val="00497341"/>
    <w:rsid w:val="004A12D9"/>
    <w:rsid w:val="004A602D"/>
    <w:rsid w:val="004B02A5"/>
    <w:rsid w:val="004B0F25"/>
    <w:rsid w:val="004B24B6"/>
    <w:rsid w:val="004B2595"/>
    <w:rsid w:val="004B3D1B"/>
    <w:rsid w:val="004B447C"/>
    <w:rsid w:val="004B4C75"/>
    <w:rsid w:val="004C6012"/>
    <w:rsid w:val="004D21A5"/>
    <w:rsid w:val="004D46E0"/>
    <w:rsid w:val="004D5B68"/>
    <w:rsid w:val="004D6142"/>
    <w:rsid w:val="004D614B"/>
    <w:rsid w:val="004E22DE"/>
    <w:rsid w:val="004E3750"/>
    <w:rsid w:val="004E6B61"/>
    <w:rsid w:val="004E6E5E"/>
    <w:rsid w:val="004F0AF3"/>
    <w:rsid w:val="004F14D5"/>
    <w:rsid w:val="004F3490"/>
    <w:rsid w:val="004F5295"/>
    <w:rsid w:val="00513D41"/>
    <w:rsid w:val="00517EE1"/>
    <w:rsid w:val="005205FD"/>
    <w:rsid w:val="00523504"/>
    <w:rsid w:val="00523B92"/>
    <w:rsid w:val="0052564C"/>
    <w:rsid w:val="00525902"/>
    <w:rsid w:val="00525CEA"/>
    <w:rsid w:val="00527A37"/>
    <w:rsid w:val="00530197"/>
    <w:rsid w:val="005367BC"/>
    <w:rsid w:val="0054029A"/>
    <w:rsid w:val="005412F8"/>
    <w:rsid w:val="00542725"/>
    <w:rsid w:val="00543E01"/>
    <w:rsid w:val="00544BDE"/>
    <w:rsid w:val="0055121A"/>
    <w:rsid w:val="00551333"/>
    <w:rsid w:val="00552FF8"/>
    <w:rsid w:val="005536E2"/>
    <w:rsid w:val="005546C1"/>
    <w:rsid w:val="005572EE"/>
    <w:rsid w:val="00557CC4"/>
    <w:rsid w:val="00561A4F"/>
    <w:rsid w:val="005660E4"/>
    <w:rsid w:val="005661B6"/>
    <w:rsid w:val="00567F7C"/>
    <w:rsid w:val="005712BF"/>
    <w:rsid w:val="005713A3"/>
    <w:rsid w:val="005732F9"/>
    <w:rsid w:val="00576F64"/>
    <w:rsid w:val="005812B8"/>
    <w:rsid w:val="005858E8"/>
    <w:rsid w:val="00590849"/>
    <w:rsid w:val="00591AC4"/>
    <w:rsid w:val="005A029E"/>
    <w:rsid w:val="005A2372"/>
    <w:rsid w:val="005A2389"/>
    <w:rsid w:val="005A351E"/>
    <w:rsid w:val="005B05DD"/>
    <w:rsid w:val="005B11C9"/>
    <w:rsid w:val="005B11E5"/>
    <w:rsid w:val="005B2AAF"/>
    <w:rsid w:val="005B431B"/>
    <w:rsid w:val="005B455E"/>
    <w:rsid w:val="005B5E8E"/>
    <w:rsid w:val="005B6CDF"/>
    <w:rsid w:val="005C0493"/>
    <w:rsid w:val="005C25A2"/>
    <w:rsid w:val="005C3810"/>
    <w:rsid w:val="005D100C"/>
    <w:rsid w:val="005D290E"/>
    <w:rsid w:val="005D31EB"/>
    <w:rsid w:val="005D3561"/>
    <w:rsid w:val="005D61E2"/>
    <w:rsid w:val="005D6760"/>
    <w:rsid w:val="005E2E45"/>
    <w:rsid w:val="005E4081"/>
    <w:rsid w:val="005E6B43"/>
    <w:rsid w:val="005E7494"/>
    <w:rsid w:val="005E77EC"/>
    <w:rsid w:val="005E7C03"/>
    <w:rsid w:val="005F0807"/>
    <w:rsid w:val="005F3EA8"/>
    <w:rsid w:val="005F46D3"/>
    <w:rsid w:val="005F55B3"/>
    <w:rsid w:val="005F5F54"/>
    <w:rsid w:val="00600515"/>
    <w:rsid w:val="006030BF"/>
    <w:rsid w:val="006071FC"/>
    <w:rsid w:val="00612396"/>
    <w:rsid w:val="00612632"/>
    <w:rsid w:val="006128B3"/>
    <w:rsid w:val="00613D88"/>
    <w:rsid w:val="0061455F"/>
    <w:rsid w:val="00615147"/>
    <w:rsid w:val="00616F8F"/>
    <w:rsid w:val="0061701A"/>
    <w:rsid w:val="0061757B"/>
    <w:rsid w:val="00617DAD"/>
    <w:rsid w:val="00623507"/>
    <w:rsid w:val="00624511"/>
    <w:rsid w:val="00624DEF"/>
    <w:rsid w:val="0062550E"/>
    <w:rsid w:val="006279DC"/>
    <w:rsid w:val="006301F9"/>
    <w:rsid w:val="00632D89"/>
    <w:rsid w:val="0063683F"/>
    <w:rsid w:val="00645696"/>
    <w:rsid w:val="00652F61"/>
    <w:rsid w:val="00652FE5"/>
    <w:rsid w:val="00664006"/>
    <w:rsid w:val="0066763E"/>
    <w:rsid w:val="00674198"/>
    <w:rsid w:val="006771ED"/>
    <w:rsid w:val="00684879"/>
    <w:rsid w:val="0069378D"/>
    <w:rsid w:val="00693D70"/>
    <w:rsid w:val="0069454F"/>
    <w:rsid w:val="00694889"/>
    <w:rsid w:val="0069682C"/>
    <w:rsid w:val="00696A6A"/>
    <w:rsid w:val="006A3A67"/>
    <w:rsid w:val="006A3DC5"/>
    <w:rsid w:val="006A3FF2"/>
    <w:rsid w:val="006A7095"/>
    <w:rsid w:val="006B14C0"/>
    <w:rsid w:val="006B2095"/>
    <w:rsid w:val="006B585F"/>
    <w:rsid w:val="006C6680"/>
    <w:rsid w:val="006D0BC1"/>
    <w:rsid w:val="006D21CD"/>
    <w:rsid w:val="006D38A5"/>
    <w:rsid w:val="006D4DAE"/>
    <w:rsid w:val="006E051C"/>
    <w:rsid w:val="006E0CB2"/>
    <w:rsid w:val="006E30A5"/>
    <w:rsid w:val="006F220C"/>
    <w:rsid w:val="006F40A3"/>
    <w:rsid w:val="00701EA1"/>
    <w:rsid w:val="007029C6"/>
    <w:rsid w:val="00702C50"/>
    <w:rsid w:val="00702D90"/>
    <w:rsid w:val="0070324B"/>
    <w:rsid w:val="00703AB8"/>
    <w:rsid w:val="007063D1"/>
    <w:rsid w:val="00707C1D"/>
    <w:rsid w:val="007111C0"/>
    <w:rsid w:val="00711CCE"/>
    <w:rsid w:val="0072445D"/>
    <w:rsid w:val="00724656"/>
    <w:rsid w:val="00724CE9"/>
    <w:rsid w:val="00724F1F"/>
    <w:rsid w:val="0073641F"/>
    <w:rsid w:val="00740798"/>
    <w:rsid w:val="00743363"/>
    <w:rsid w:val="0074415B"/>
    <w:rsid w:val="0075119B"/>
    <w:rsid w:val="0075136B"/>
    <w:rsid w:val="00751E80"/>
    <w:rsid w:val="00761DA2"/>
    <w:rsid w:val="007634C0"/>
    <w:rsid w:val="00767B62"/>
    <w:rsid w:val="00770E66"/>
    <w:rsid w:val="00773CF8"/>
    <w:rsid w:val="00777B93"/>
    <w:rsid w:val="00787AA4"/>
    <w:rsid w:val="00790373"/>
    <w:rsid w:val="00790A16"/>
    <w:rsid w:val="00790B1C"/>
    <w:rsid w:val="0079218D"/>
    <w:rsid w:val="00793675"/>
    <w:rsid w:val="00793BA0"/>
    <w:rsid w:val="00797796"/>
    <w:rsid w:val="007A0F45"/>
    <w:rsid w:val="007A2B7F"/>
    <w:rsid w:val="007A3037"/>
    <w:rsid w:val="007A3381"/>
    <w:rsid w:val="007B0396"/>
    <w:rsid w:val="007B24D9"/>
    <w:rsid w:val="007B59B1"/>
    <w:rsid w:val="007B65F4"/>
    <w:rsid w:val="007B7FB2"/>
    <w:rsid w:val="007C0441"/>
    <w:rsid w:val="007C4BF7"/>
    <w:rsid w:val="007C4F7B"/>
    <w:rsid w:val="007C6A39"/>
    <w:rsid w:val="007D1311"/>
    <w:rsid w:val="007D5DD1"/>
    <w:rsid w:val="007D6EC4"/>
    <w:rsid w:val="007E20A1"/>
    <w:rsid w:val="007E281C"/>
    <w:rsid w:val="007E2D61"/>
    <w:rsid w:val="007E6251"/>
    <w:rsid w:val="007E784E"/>
    <w:rsid w:val="007F020D"/>
    <w:rsid w:val="007F1A6E"/>
    <w:rsid w:val="007F4596"/>
    <w:rsid w:val="007F470A"/>
    <w:rsid w:val="007F659E"/>
    <w:rsid w:val="008048D1"/>
    <w:rsid w:val="0081009A"/>
    <w:rsid w:val="0081318A"/>
    <w:rsid w:val="0081517D"/>
    <w:rsid w:val="00817D27"/>
    <w:rsid w:val="008204F5"/>
    <w:rsid w:val="00821650"/>
    <w:rsid w:val="00822DF2"/>
    <w:rsid w:val="00823DB8"/>
    <w:rsid w:val="008243A4"/>
    <w:rsid w:val="00826069"/>
    <w:rsid w:val="008269D0"/>
    <w:rsid w:val="00826ACE"/>
    <w:rsid w:val="00831360"/>
    <w:rsid w:val="0083332E"/>
    <w:rsid w:val="008343E5"/>
    <w:rsid w:val="00840472"/>
    <w:rsid w:val="008436B5"/>
    <w:rsid w:val="00843F1F"/>
    <w:rsid w:val="00847A16"/>
    <w:rsid w:val="00847C9F"/>
    <w:rsid w:val="008514F6"/>
    <w:rsid w:val="00851A36"/>
    <w:rsid w:val="00852668"/>
    <w:rsid w:val="00852752"/>
    <w:rsid w:val="00854706"/>
    <w:rsid w:val="00860211"/>
    <w:rsid w:val="00860FD0"/>
    <w:rsid w:val="00866630"/>
    <w:rsid w:val="00872644"/>
    <w:rsid w:val="00874A20"/>
    <w:rsid w:val="00874AB0"/>
    <w:rsid w:val="00875615"/>
    <w:rsid w:val="00876534"/>
    <w:rsid w:val="00876AA6"/>
    <w:rsid w:val="0088565D"/>
    <w:rsid w:val="00886166"/>
    <w:rsid w:val="0089338B"/>
    <w:rsid w:val="00893D5E"/>
    <w:rsid w:val="00895991"/>
    <w:rsid w:val="00897571"/>
    <w:rsid w:val="008A3ABE"/>
    <w:rsid w:val="008A41F1"/>
    <w:rsid w:val="008A63A0"/>
    <w:rsid w:val="008A78CD"/>
    <w:rsid w:val="008B7729"/>
    <w:rsid w:val="008C43CB"/>
    <w:rsid w:val="008C4DB5"/>
    <w:rsid w:val="008D2A5F"/>
    <w:rsid w:val="008D44FA"/>
    <w:rsid w:val="008E2CD4"/>
    <w:rsid w:val="008E395E"/>
    <w:rsid w:val="008F08F5"/>
    <w:rsid w:val="008F099F"/>
    <w:rsid w:val="008F28F7"/>
    <w:rsid w:val="008F33B6"/>
    <w:rsid w:val="008F4CDB"/>
    <w:rsid w:val="008F5648"/>
    <w:rsid w:val="00900FD9"/>
    <w:rsid w:val="0090592D"/>
    <w:rsid w:val="00907716"/>
    <w:rsid w:val="00910EDA"/>
    <w:rsid w:val="009117DE"/>
    <w:rsid w:val="00920E79"/>
    <w:rsid w:val="009275AC"/>
    <w:rsid w:val="00935043"/>
    <w:rsid w:val="00937742"/>
    <w:rsid w:val="009443AA"/>
    <w:rsid w:val="00944761"/>
    <w:rsid w:val="009508DD"/>
    <w:rsid w:val="00951BFE"/>
    <w:rsid w:val="009545C5"/>
    <w:rsid w:val="00956887"/>
    <w:rsid w:val="00960AB6"/>
    <w:rsid w:val="00964660"/>
    <w:rsid w:val="00966225"/>
    <w:rsid w:val="00971C0D"/>
    <w:rsid w:val="00971DB2"/>
    <w:rsid w:val="009769DD"/>
    <w:rsid w:val="00976B5C"/>
    <w:rsid w:val="00982510"/>
    <w:rsid w:val="00984462"/>
    <w:rsid w:val="0098566A"/>
    <w:rsid w:val="009859E0"/>
    <w:rsid w:val="00986782"/>
    <w:rsid w:val="00986D37"/>
    <w:rsid w:val="00993400"/>
    <w:rsid w:val="00993AA0"/>
    <w:rsid w:val="009959FE"/>
    <w:rsid w:val="009B0782"/>
    <w:rsid w:val="009B2D0E"/>
    <w:rsid w:val="009B6360"/>
    <w:rsid w:val="009C028D"/>
    <w:rsid w:val="009C09E7"/>
    <w:rsid w:val="009C2283"/>
    <w:rsid w:val="009C7425"/>
    <w:rsid w:val="009D10B7"/>
    <w:rsid w:val="009D11CB"/>
    <w:rsid w:val="009D2C2B"/>
    <w:rsid w:val="009D38AB"/>
    <w:rsid w:val="009F289E"/>
    <w:rsid w:val="009F2E0D"/>
    <w:rsid w:val="009F3FD6"/>
    <w:rsid w:val="009F7578"/>
    <w:rsid w:val="00A00635"/>
    <w:rsid w:val="00A01F77"/>
    <w:rsid w:val="00A05114"/>
    <w:rsid w:val="00A07E35"/>
    <w:rsid w:val="00A153A5"/>
    <w:rsid w:val="00A22B64"/>
    <w:rsid w:val="00A42373"/>
    <w:rsid w:val="00A425A4"/>
    <w:rsid w:val="00A43BA9"/>
    <w:rsid w:val="00A47784"/>
    <w:rsid w:val="00A47E70"/>
    <w:rsid w:val="00A5274D"/>
    <w:rsid w:val="00A5515C"/>
    <w:rsid w:val="00A56C72"/>
    <w:rsid w:val="00A60DB7"/>
    <w:rsid w:val="00A62AEB"/>
    <w:rsid w:val="00A65525"/>
    <w:rsid w:val="00A6638D"/>
    <w:rsid w:val="00A67555"/>
    <w:rsid w:val="00A676FE"/>
    <w:rsid w:val="00A67DB6"/>
    <w:rsid w:val="00A731B1"/>
    <w:rsid w:val="00A827AE"/>
    <w:rsid w:val="00A840F1"/>
    <w:rsid w:val="00A87546"/>
    <w:rsid w:val="00A90CFE"/>
    <w:rsid w:val="00A921B7"/>
    <w:rsid w:val="00A9348D"/>
    <w:rsid w:val="00A95E2E"/>
    <w:rsid w:val="00A96390"/>
    <w:rsid w:val="00A97137"/>
    <w:rsid w:val="00A975DC"/>
    <w:rsid w:val="00AA17A7"/>
    <w:rsid w:val="00AA302B"/>
    <w:rsid w:val="00AB04DC"/>
    <w:rsid w:val="00AB1D38"/>
    <w:rsid w:val="00AB1FF7"/>
    <w:rsid w:val="00AB3447"/>
    <w:rsid w:val="00AB3A69"/>
    <w:rsid w:val="00AC272B"/>
    <w:rsid w:val="00AC38FF"/>
    <w:rsid w:val="00AC5805"/>
    <w:rsid w:val="00AC7B87"/>
    <w:rsid w:val="00AC7DF1"/>
    <w:rsid w:val="00AD124C"/>
    <w:rsid w:val="00AD1B15"/>
    <w:rsid w:val="00AD529C"/>
    <w:rsid w:val="00AD5958"/>
    <w:rsid w:val="00AD77E7"/>
    <w:rsid w:val="00AD7A7D"/>
    <w:rsid w:val="00AE237D"/>
    <w:rsid w:val="00AE344B"/>
    <w:rsid w:val="00AE46EA"/>
    <w:rsid w:val="00AE5577"/>
    <w:rsid w:val="00AE6F1C"/>
    <w:rsid w:val="00AE7A12"/>
    <w:rsid w:val="00AE7F76"/>
    <w:rsid w:val="00AF0A69"/>
    <w:rsid w:val="00AF15F6"/>
    <w:rsid w:val="00AF1B13"/>
    <w:rsid w:val="00AF4A7A"/>
    <w:rsid w:val="00AF5F86"/>
    <w:rsid w:val="00AF6B9F"/>
    <w:rsid w:val="00AF7255"/>
    <w:rsid w:val="00B002A1"/>
    <w:rsid w:val="00B009BD"/>
    <w:rsid w:val="00B01A61"/>
    <w:rsid w:val="00B06B99"/>
    <w:rsid w:val="00B102E3"/>
    <w:rsid w:val="00B11F24"/>
    <w:rsid w:val="00B12224"/>
    <w:rsid w:val="00B14B7F"/>
    <w:rsid w:val="00B1638F"/>
    <w:rsid w:val="00B170A6"/>
    <w:rsid w:val="00B17616"/>
    <w:rsid w:val="00B201EE"/>
    <w:rsid w:val="00B20DC5"/>
    <w:rsid w:val="00B21296"/>
    <w:rsid w:val="00B21A22"/>
    <w:rsid w:val="00B21C03"/>
    <w:rsid w:val="00B229CA"/>
    <w:rsid w:val="00B26D08"/>
    <w:rsid w:val="00B30863"/>
    <w:rsid w:val="00B3428F"/>
    <w:rsid w:val="00B358B4"/>
    <w:rsid w:val="00B364EB"/>
    <w:rsid w:val="00B43A03"/>
    <w:rsid w:val="00B44185"/>
    <w:rsid w:val="00B46AA3"/>
    <w:rsid w:val="00B4710A"/>
    <w:rsid w:val="00B47E41"/>
    <w:rsid w:val="00B50C95"/>
    <w:rsid w:val="00B522C3"/>
    <w:rsid w:val="00B525BC"/>
    <w:rsid w:val="00B62149"/>
    <w:rsid w:val="00B64EF9"/>
    <w:rsid w:val="00B669B5"/>
    <w:rsid w:val="00B71F44"/>
    <w:rsid w:val="00B73420"/>
    <w:rsid w:val="00B73A03"/>
    <w:rsid w:val="00B7507C"/>
    <w:rsid w:val="00B750DD"/>
    <w:rsid w:val="00B76AD4"/>
    <w:rsid w:val="00B77329"/>
    <w:rsid w:val="00B80012"/>
    <w:rsid w:val="00B80694"/>
    <w:rsid w:val="00B8108A"/>
    <w:rsid w:val="00B816FB"/>
    <w:rsid w:val="00B86334"/>
    <w:rsid w:val="00B86816"/>
    <w:rsid w:val="00B9464F"/>
    <w:rsid w:val="00BA23ED"/>
    <w:rsid w:val="00BA7A40"/>
    <w:rsid w:val="00BB2F1F"/>
    <w:rsid w:val="00BC1695"/>
    <w:rsid w:val="00BC4A59"/>
    <w:rsid w:val="00BC582E"/>
    <w:rsid w:val="00BC627B"/>
    <w:rsid w:val="00BC63F9"/>
    <w:rsid w:val="00BC6BF6"/>
    <w:rsid w:val="00BD0786"/>
    <w:rsid w:val="00BD0D65"/>
    <w:rsid w:val="00BD55C0"/>
    <w:rsid w:val="00BE3E9E"/>
    <w:rsid w:val="00BE6714"/>
    <w:rsid w:val="00BF04F8"/>
    <w:rsid w:val="00BF1D33"/>
    <w:rsid w:val="00BF5A79"/>
    <w:rsid w:val="00BF60D1"/>
    <w:rsid w:val="00BF736E"/>
    <w:rsid w:val="00C011AE"/>
    <w:rsid w:val="00C012A0"/>
    <w:rsid w:val="00C03BF0"/>
    <w:rsid w:val="00C108ED"/>
    <w:rsid w:val="00C11B7B"/>
    <w:rsid w:val="00C14A3E"/>
    <w:rsid w:val="00C15848"/>
    <w:rsid w:val="00C15C91"/>
    <w:rsid w:val="00C215B7"/>
    <w:rsid w:val="00C21F29"/>
    <w:rsid w:val="00C222D2"/>
    <w:rsid w:val="00C240E4"/>
    <w:rsid w:val="00C2499F"/>
    <w:rsid w:val="00C25B18"/>
    <w:rsid w:val="00C271A6"/>
    <w:rsid w:val="00C32CBC"/>
    <w:rsid w:val="00C338FC"/>
    <w:rsid w:val="00C33C13"/>
    <w:rsid w:val="00C341FA"/>
    <w:rsid w:val="00C36532"/>
    <w:rsid w:val="00C374A6"/>
    <w:rsid w:val="00C374FA"/>
    <w:rsid w:val="00C376EA"/>
    <w:rsid w:val="00C41F5E"/>
    <w:rsid w:val="00C47AB3"/>
    <w:rsid w:val="00C51427"/>
    <w:rsid w:val="00C524CB"/>
    <w:rsid w:val="00C52F2A"/>
    <w:rsid w:val="00C559AB"/>
    <w:rsid w:val="00C61955"/>
    <w:rsid w:val="00C65450"/>
    <w:rsid w:val="00C716A9"/>
    <w:rsid w:val="00C74505"/>
    <w:rsid w:val="00C75802"/>
    <w:rsid w:val="00C7690F"/>
    <w:rsid w:val="00C83DF6"/>
    <w:rsid w:val="00C849DE"/>
    <w:rsid w:val="00C8594F"/>
    <w:rsid w:val="00C85B6D"/>
    <w:rsid w:val="00C8744D"/>
    <w:rsid w:val="00CA0DFA"/>
    <w:rsid w:val="00CA4FF6"/>
    <w:rsid w:val="00CB346B"/>
    <w:rsid w:val="00CB4DCC"/>
    <w:rsid w:val="00CB6241"/>
    <w:rsid w:val="00CC01ED"/>
    <w:rsid w:val="00CC6B91"/>
    <w:rsid w:val="00CD002D"/>
    <w:rsid w:val="00CD428D"/>
    <w:rsid w:val="00CD4866"/>
    <w:rsid w:val="00CD4DE6"/>
    <w:rsid w:val="00CD5C09"/>
    <w:rsid w:val="00CE06DC"/>
    <w:rsid w:val="00CE6EBD"/>
    <w:rsid w:val="00CE701B"/>
    <w:rsid w:val="00CF0ED5"/>
    <w:rsid w:val="00CF3E33"/>
    <w:rsid w:val="00D019F0"/>
    <w:rsid w:val="00D10353"/>
    <w:rsid w:val="00D12B1A"/>
    <w:rsid w:val="00D146A4"/>
    <w:rsid w:val="00D17023"/>
    <w:rsid w:val="00D24686"/>
    <w:rsid w:val="00D2479C"/>
    <w:rsid w:val="00D27A56"/>
    <w:rsid w:val="00D320BD"/>
    <w:rsid w:val="00D366B7"/>
    <w:rsid w:val="00D42942"/>
    <w:rsid w:val="00D42B93"/>
    <w:rsid w:val="00D42E99"/>
    <w:rsid w:val="00D436B2"/>
    <w:rsid w:val="00D44FC3"/>
    <w:rsid w:val="00D51A0B"/>
    <w:rsid w:val="00D52190"/>
    <w:rsid w:val="00D54DDC"/>
    <w:rsid w:val="00D5502F"/>
    <w:rsid w:val="00D6319B"/>
    <w:rsid w:val="00D6451B"/>
    <w:rsid w:val="00D65BA9"/>
    <w:rsid w:val="00D66087"/>
    <w:rsid w:val="00D679C7"/>
    <w:rsid w:val="00D7143E"/>
    <w:rsid w:val="00D72F71"/>
    <w:rsid w:val="00D74FA1"/>
    <w:rsid w:val="00D77615"/>
    <w:rsid w:val="00D81199"/>
    <w:rsid w:val="00D82B9B"/>
    <w:rsid w:val="00D83691"/>
    <w:rsid w:val="00D85BC7"/>
    <w:rsid w:val="00D87350"/>
    <w:rsid w:val="00D9025F"/>
    <w:rsid w:val="00D93135"/>
    <w:rsid w:val="00D94FCC"/>
    <w:rsid w:val="00DA14F7"/>
    <w:rsid w:val="00DA20F0"/>
    <w:rsid w:val="00DA2FBC"/>
    <w:rsid w:val="00DA3C7B"/>
    <w:rsid w:val="00DA4BC9"/>
    <w:rsid w:val="00DA5CE7"/>
    <w:rsid w:val="00DA6CF8"/>
    <w:rsid w:val="00DB0F9C"/>
    <w:rsid w:val="00DB1613"/>
    <w:rsid w:val="00DB1BBE"/>
    <w:rsid w:val="00DB2178"/>
    <w:rsid w:val="00DB2F42"/>
    <w:rsid w:val="00DB30B2"/>
    <w:rsid w:val="00DB31A8"/>
    <w:rsid w:val="00DB43A5"/>
    <w:rsid w:val="00DB60DB"/>
    <w:rsid w:val="00DB6345"/>
    <w:rsid w:val="00DB759A"/>
    <w:rsid w:val="00DB7EB0"/>
    <w:rsid w:val="00DC4677"/>
    <w:rsid w:val="00DC66B2"/>
    <w:rsid w:val="00DC73E7"/>
    <w:rsid w:val="00DC79BE"/>
    <w:rsid w:val="00DD1F27"/>
    <w:rsid w:val="00DD4188"/>
    <w:rsid w:val="00DE06D6"/>
    <w:rsid w:val="00DE0755"/>
    <w:rsid w:val="00DE27F8"/>
    <w:rsid w:val="00DE3BA7"/>
    <w:rsid w:val="00DE3FCA"/>
    <w:rsid w:val="00DE561C"/>
    <w:rsid w:val="00DE7FDC"/>
    <w:rsid w:val="00E02A5F"/>
    <w:rsid w:val="00E03DC5"/>
    <w:rsid w:val="00E106FB"/>
    <w:rsid w:val="00E11A0D"/>
    <w:rsid w:val="00E13306"/>
    <w:rsid w:val="00E13EF2"/>
    <w:rsid w:val="00E15079"/>
    <w:rsid w:val="00E248A8"/>
    <w:rsid w:val="00E27BF2"/>
    <w:rsid w:val="00E30D69"/>
    <w:rsid w:val="00E31948"/>
    <w:rsid w:val="00E31D32"/>
    <w:rsid w:val="00E34B84"/>
    <w:rsid w:val="00E37B8A"/>
    <w:rsid w:val="00E40AA0"/>
    <w:rsid w:val="00E41763"/>
    <w:rsid w:val="00E41E24"/>
    <w:rsid w:val="00E437DC"/>
    <w:rsid w:val="00E43B72"/>
    <w:rsid w:val="00E47FD6"/>
    <w:rsid w:val="00E50443"/>
    <w:rsid w:val="00E50B13"/>
    <w:rsid w:val="00E51368"/>
    <w:rsid w:val="00E5433B"/>
    <w:rsid w:val="00E560A7"/>
    <w:rsid w:val="00E61592"/>
    <w:rsid w:val="00E6422C"/>
    <w:rsid w:val="00E672F5"/>
    <w:rsid w:val="00E673CD"/>
    <w:rsid w:val="00E67880"/>
    <w:rsid w:val="00E7010F"/>
    <w:rsid w:val="00E70193"/>
    <w:rsid w:val="00E73BFC"/>
    <w:rsid w:val="00E754AE"/>
    <w:rsid w:val="00E759E3"/>
    <w:rsid w:val="00E8551B"/>
    <w:rsid w:val="00E90033"/>
    <w:rsid w:val="00E95437"/>
    <w:rsid w:val="00E96406"/>
    <w:rsid w:val="00E9706E"/>
    <w:rsid w:val="00EA16CB"/>
    <w:rsid w:val="00EA1DC2"/>
    <w:rsid w:val="00EA43B7"/>
    <w:rsid w:val="00EA56C3"/>
    <w:rsid w:val="00EB00E1"/>
    <w:rsid w:val="00EB17DE"/>
    <w:rsid w:val="00EB1991"/>
    <w:rsid w:val="00EB1AD7"/>
    <w:rsid w:val="00EB2155"/>
    <w:rsid w:val="00EB3C45"/>
    <w:rsid w:val="00EB4DBD"/>
    <w:rsid w:val="00EC0D09"/>
    <w:rsid w:val="00EC1359"/>
    <w:rsid w:val="00EC31A6"/>
    <w:rsid w:val="00EC45C1"/>
    <w:rsid w:val="00EC6294"/>
    <w:rsid w:val="00EC7A22"/>
    <w:rsid w:val="00ED0F1E"/>
    <w:rsid w:val="00EE059F"/>
    <w:rsid w:val="00EE5CFC"/>
    <w:rsid w:val="00EF36DA"/>
    <w:rsid w:val="00EF4841"/>
    <w:rsid w:val="00EF49FB"/>
    <w:rsid w:val="00F038AF"/>
    <w:rsid w:val="00F03BE8"/>
    <w:rsid w:val="00F044EF"/>
    <w:rsid w:val="00F050E9"/>
    <w:rsid w:val="00F0719B"/>
    <w:rsid w:val="00F12057"/>
    <w:rsid w:val="00F1405D"/>
    <w:rsid w:val="00F17537"/>
    <w:rsid w:val="00F20C22"/>
    <w:rsid w:val="00F226A6"/>
    <w:rsid w:val="00F27890"/>
    <w:rsid w:val="00F27A9E"/>
    <w:rsid w:val="00F30D46"/>
    <w:rsid w:val="00F32DCA"/>
    <w:rsid w:val="00F33A51"/>
    <w:rsid w:val="00F33BCB"/>
    <w:rsid w:val="00F35386"/>
    <w:rsid w:val="00F361F7"/>
    <w:rsid w:val="00F45784"/>
    <w:rsid w:val="00F47781"/>
    <w:rsid w:val="00F52B67"/>
    <w:rsid w:val="00F54435"/>
    <w:rsid w:val="00F56C18"/>
    <w:rsid w:val="00F579E6"/>
    <w:rsid w:val="00F606B4"/>
    <w:rsid w:val="00F60A8C"/>
    <w:rsid w:val="00F652A0"/>
    <w:rsid w:val="00F72B8A"/>
    <w:rsid w:val="00F733D1"/>
    <w:rsid w:val="00F76898"/>
    <w:rsid w:val="00F82CAB"/>
    <w:rsid w:val="00F83D87"/>
    <w:rsid w:val="00F854A2"/>
    <w:rsid w:val="00F90308"/>
    <w:rsid w:val="00F90638"/>
    <w:rsid w:val="00F95488"/>
    <w:rsid w:val="00F96644"/>
    <w:rsid w:val="00FA08C3"/>
    <w:rsid w:val="00FA3790"/>
    <w:rsid w:val="00FB4FED"/>
    <w:rsid w:val="00FB6F1C"/>
    <w:rsid w:val="00FB7444"/>
    <w:rsid w:val="00FC0D5F"/>
    <w:rsid w:val="00FC1F48"/>
    <w:rsid w:val="00FC2992"/>
    <w:rsid w:val="00FC3285"/>
    <w:rsid w:val="00FC57B0"/>
    <w:rsid w:val="00FC60A4"/>
    <w:rsid w:val="00FD3880"/>
    <w:rsid w:val="00FD68FA"/>
    <w:rsid w:val="00FE4D79"/>
    <w:rsid w:val="00FE50C9"/>
    <w:rsid w:val="00FE6713"/>
    <w:rsid w:val="00FE6A5A"/>
    <w:rsid w:val="00FE7554"/>
    <w:rsid w:val="00FF1624"/>
    <w:rsid w:val="00FF1966"/>
    <w:rsid w:val="00FF3FEB"/>
    <w:rsid w:val="00FF414E"/>
    <w:rsid w:val="00FF48C6"/>
    <w:rsid w:val="00FF67AE"/>
    <w:rsid w:val="00FF715E"/>
    <w:rsid w:val="013062A1"/>
    <w:rsid w:val="01323CE1"/>
    <w:rsid w:val="019C5277"/>
    <w:rsid w:val="01DB1C83"/>
    <w:rsid w:val="02201D8C"/>
    <w:rsid w:val="030B22AF"/>
    <w:rsid w:val="03824AAC"/>
    <w:rsid w:val="03E11E2F"/>
    <w:rsid w:val="04211C07"/>
    <w:rsid w:val="042E7B78"/>
    <w:rsid w:val="048C2F16"/>
    <w:rsid w:val="053A4900"/>
    <w:rsid w:val="06037305"/>
    <w:rsid w:val="0661309E"/>
    <w:rsid w:val="06B84C89"/>
    <w:rsid w:val="07524795"/>
    <w:rsid w:val="07936DEC"/>
    <w:rsid w:val="07D757D2"/>
    <w:rsid w:val="07FF7CC3"/>
    <w:rsid w:val="08253C58"/>
    <w:rsid w:val="09B94F9F"/>
    <w:rsid w:val="0A5E408E"/>
    <w:rsid w:val="0BA852CC"/>
    <w:rsid w:val="0BE87F23"/>
    <w:rsid w:val="0CA67D96"/>
    <w:rsid w:val="0D821B4C"/>
    <w:rsid w:val="0DE6291B"/>
    <w:rsid w:val="0E157E71"/>
    <w:rsid w:val="0E362F6C"/>
    <w:rsid w:val="0E386240"/>
    <w:rsid w:val="0F1D584C"/>
    <w:rsid w:val="0FB029A1"/>
    <w:rsid w:val="10500F7A"/>
    <w:rsid w:val="10B4201D"/>
    <w:rsid w:val="11E26D7E"/>
    <w:rsid w:val="11FC29D4"/>
    <w:rsid w:val="127039FD"/>
    <w:rsid w:val="12ED3AF7"/>
    <w:rsid w:val="14294AD0"/>
    <w:rsid w:val="14A14FAE"/>
    <w:rsid w:val="15235F00"/>
    <w:rsid w:val="159470CB"/>
    <w:rsid w:val="16702E8A"/>
    <w:rsid w:val="16D62F97"/>
    <w:rsid w:val="1735378C"/>
    <w:rsid w:val="18E81E83"/>
    <w:rsid w:val="190B2869"/>
    <w:rsid w:val="19276AFB"/>
    <w:rsid w:val="19BF2755"/>
    <w:rsid w:val="19C20124"/>
    <w:rsid w:val="19F8741E"/>
    <w:rsid w:val="1A257C7F"/>
    <w:rsid w:val="1ABF618E"/>
    <w:rsid w:val="1BC40BE8"/>
    <w:rsid w:val="1BC57DFD"/>
    <w:rsid w:val="1BCE1F90"/>
    <w:rsid w:val="1C1376ED"/>
    <w:rsid w:val="1D454C65"/>
    <w:rsid w:val="1D695934"/>
    <w:rsid w:val="1D816AA4"/>
    <w:rsid w:val="1DAF669C"/>
    <w:rsid w:val="1DF13A63"/>
    <w:rsid w:val="1EBF394D"/>
    <w:rsid w:val="1F2D1751"/>
    <w:rsid w:val="1FAE3080"/>
    <w:rsid w:val="1FAF10AC"/>
    <w:rsid w:val="20027045"/>
    <w:rsid w:val="205511B7"/>
    <w:rsid w:val="208715C8"/>
    <w:rsid w:val="21A13378"/>
    <w:rsid w:val="21C80FA2"/>
    <w:rsid w:val="21CB4AC6"/>
    <w:rsid w:val="223971D0"/>
    <w:rsid w:val="22574D34"/>
    <w:rsid w:val="225779D5"/>
    <w:rsid w:val="22862FC6"/>
    <w:rsid w:val="22CB6405"/>
    <w:rsid w:val="22D008A5"/>
    <w:rsid w:val="23153937"/>
    <w:rsid w:val="2410143D"/>
    <w:rsid w:val="25706A02"/>
    <w:rsid w:val="26456133"/>
    <w:rsid w:val="26665B9D"/>
    <w:rsid w:val="26A85D28"/>
    <w:rsid w:val="26B75F6B"/>
    <w:rsid w:val="26C758B1"/>
    <w:rsid w:val="27130B80"/>
    <w:rsid w:val="27DB2255"/>
    <w:rsid w:val="2865044E"/>
    <w:rsid w:val="286B4792"/>
    <w:rsid w:val="28BF4190"/>
    <w:rsid w:val="28E60D8A"/>
    <w:rsid w:val="291747BA"/>
    <w:rsid w:val="2A692A82"/>
    <w:rsid w:val="2AB10E0D"/>
    <w:rsid w:val="2B1E480B"/>
    <w:rsid w:val="2BB37649"/>
    <w:rsid w:val="2BB62C95"/>
    <w:rsid w:val="2BBD5EBF"/>
    <w:rsid w:val="2BD54FBE"/>
    <w:rsid w:val="2BFD37AF"/>
    <w:rsid w:val="2C3A1E29"/>
    <w:rsid w:val="2C7E113E"/>
    <w:rsid w:val="2CB46522"/>
    <w:rsid w:val="2D8717C3"/>
    <w:rsid w:val="2E386967"/>
    <w:rsid w:val="2E4619BD"/>
    <w:rsid w:val="2E837CB4"/>
    <w:rsid w:val="2FF95F46"/>
    <w:rsid w:val="3131467E"/>
    <w:rsid w:val="317C672F"/>
    <w:rsid w:val="31EC10CE"/>
    <w:rsid w:val="32D81743"/>
    <w:rsid w:val="334F4E2A"/>
    <w:rsid w:val="33543E57"/>
    <w:rsid w:val="34554A4E"/>
    <w:rsid w:val="346A4ED3"/>
    <w:rsid w:val="34C16DC2"/>
    <w:rsid w:val="34FA0097"/>
    <w:rsid w:val="350B7DCE"/>
    <w:rsid w:val="35380BBF"/>
    <w:rsid w:val="35A149B6"/>
    <w:rsid w:val="35CC4711"/>
    <w:rsid w:val="36112941"/>
    <w:rsid w:val="36714005"/>
    <w:rsid w:val="36DB422C"/>
    <w:rsid w:val="36F9612C"/>
    <w:rsid w:val="370F76FD"/>
    <w:rsid w:val="37E312B6"/>
    <w:rsid w:val="37F464E2"/>
    <w:rsid w:val="387639B4"/>
    <w:rsid w:val="391017E0"/>
    <w:rsid w:val="3922455C"/>
    <w:rsid w:val="395064D7"/>
    <w:rsid w:val="39F2758E"/>
    <w:rsid w:val="3A6A181A"/>
    <w:rsid w:val="3A951952"/>
    <w:rsid w:val="3AB34F0A"/>
    <w:rsid w:val="3AB46F3A"/>
    <w:rsid w:val="3C5D17C7"/>
    <w:rsid w:val="3CA408E8"/>
    <w:rsid w:val="3CC72F54"/>
    <w:rsid w:val="3CE851E1"/>
    <w:rsid w:val="3CF526E9"/>
    <w:rsid w:val="3D127F47"/>
    <w:rsid w:val="3D7C548A"/>
    <w:rsid w:val="3DC21380"/>
    <w:rsid w:val="3E0529D0"/>
    <w:rsid w:val="3E7C195D"/>
    <w:rsid w:val="3F331774"/>
    <w:rsid w:val="3F52664F"/>
    <w:rsid w:val="3F582D46"/>
    <w:rsid w:val="40116E7F"/>
    <w:rsid w:val="40245174"/>
    <w:rsid w:val="424866FD"/>
    <w:rsid w:val="431402B1"/>
    <w:rsid w:val="44411C2B"/>
    <w:rsid w:val="444B4E50"/>
    <w:rsid w:val="447F5EC2"/>
    <w:rsid w:val="44D52AF7"/>
    <w:rsid w:val="45D814A9"/>
    <w:rsid w:val="47086B46"/>
    <w:rsid w:val="47FE191C"/>
    <w:rsid w:val="48934632"/>
    <w:rsid w:val="489F2E1F"/>
    <w:rsid w:val="48CC307C"/>
    <w:rsid w:val="49260A8C"/>
    <w:rsid w:val="49437E06"/>
    <w:rsid w:val="49917B06"/>
    <w:rsid w:val="49C9629B"/>
    <w:rsid w:val="4A7E09CA"/>
    <w:rsid w:val="4A981B20"/>
    <w:rsid w:val="4B1530DD"/>
    <w:rsid w:val="4B7B626D"/>
    <w:rsid w:val="4BEB70BC"/>
    <w:rsid w:val="4C6807BE"/>
    <w:rsid w:val="4D1B26B0"/>
    <w:rsid w:val="4D1F4797"/>
    <w:rsid w:val="4D826A23"/>
    <w:rsid w:val="4D855C14"/>
    <w:rsid w:val="4DC62DB4"/>
    <w:rsid w:val="4E4A464C"/>
    <w:rsid w:val="4EA46692"/>
    <w:rsid w:val="4F231B40"/>
    <w:rsid w:val="4F394BD8"/>
    <w:rsid w:val="4F404315"/>
    <w:rsid w:val="4F806F93"/>
    <w:rsid w:val="4FE53EE4"/>
    <w:rsid w:val="4FFF435B"/>
    <w:rsid w:val="508F6894"/>
    <w:rsid w:val="50D457E8"/>
    <w:rsid w:val="50D92DFE"/>
    <w:rsid w:val="511A58F1"/>
    <w:rsid w:val="512B5665"/>
    <w:rsid w:val="52B66476"/>
    <w:rsid w:val="52DF183F"/>
    <w:rsid w:val="52F40FEE"/>
    <w:rsid w:val="52FB52AE"/>
    <w:rsid w:val="53366C79"/>
    <w:rsid w:val="53993E69"/>
    <w:rsid w:val="53EA0E7E"/>
    <w:rsid w:val="53EE4E13"/>
    <w:rsid w:val="53F021F5"/>
    <w:rsid w:val="540A435C"/>
    <w:rsid w:val="555420C8"/>
    <w:rsid w:val="557E6E29"/>
    <w:rsid w:val="557F21C6"/>
    <w:rsid w:val="55896405"/>
    <w:rsid w:val="565E3EDD"/>
    <w:rsid w:val="570F757A"/>
    <w:rsid w:val="57272B15"/>
    <w:rsid w:val="575B631B"/>
    <w:rsid w:val="57A442AA"/>
    <w:rsid w:val="57C542D9"/>
    <w:rsid w:val="585D60C3"/>
    <w:rsid w:val="586F082C"/>
    <w:rsid w:val="58A91A2A"/>
    <w:rsid w:val="58B518B9"/>
    <w:rsid w:val="58B57CAD"/>
    <w:rsid w:val="590B1FC3"/>
    <w:rsid w:val="59E234C2"/>
    <w:rsid w:val="5A4A0C19"/>
    <w:rsid w:val="5B72008C"/>
    <w:rsid w:val="5B77456E"/>
    <w:rsid w:val="5B8F0C89"/>
    <w:rsid w:val="5BB64468"/>
    <w:rsid w:val="5BD40834"/>
    <w:rsid w:val="5BDF0145"/>
    <w:rsid w:val="5C497C53"/>
    <w:rsid w:val="5C537F09"/>
    <w:rsid w:val="5C594DF3"/>
    <w:rsid w:val="5C7E2CBD"/>
    <w:rsid w:val="5D6D4FFA"/>
    <w:rsid w:val="5DA603AA"/>
    <w:rsid w:val="5E522B63"/>
    <w:rsid w:val="5E650E6B"/>
    <w:rsid w:val="5F0744FB"/>
    <w:rsid w:val="5F8F74AA"/>
    <w:rsid w:val="5FC20C8C"/>
    <w:rsid w:val="60360BA1"/>
    <w:rsid w:val="608E59B3"/>
    <w:rsid w:val="61314591"/>
    <w:rsid w:val="614B11AE"/>
    <w:rsid w:val="61555712"/>
    <w:rsid w:val="62281FA1"/>
    <w:rsid w:val="622A0E64"/>
    <w:rsid w:val="62572206"/>
    <w:rsid w:val="632D7425"/>
    <w:rsid w:val="637C38A9"/>
    <w:rsid w:val="63E43B3C"/>
    <w:rsid w:val="63F216D6"/>
    <w:rsid w:val="64FB58E5"/>
    <w:rsid w:val="65EF62A4"/>
    <w:rsid w:val="66C3135F"/>
    <w:rsid w:val="66E548C7"/>
    <w:rsid w:val="67974524"/>
    <w:rsid w:val="67B744BE"/>
    <w:rsid w:val="67BE7815"/>
    <w:rsid w:val="68030215"/>
    <w:rsid w:val="68290E7E"/>
    <w:rsid w:val="68386205"/>
    <w:rsid w:val="689D7795"/>
    <w:rsid w:val="69345C13"/>
    <w:rsid w:val="693853D1"/>
    <w:rsid w:val="697061F8"/>
    <w:rsid w:val="6A535578"/>
    <w:rsid w:val="6A751C15"/>
    <w:rsid w:val="6A875C5B"/>
    <w:rsid w:val="6AD94673"/>
    <w:rsid w:val="6B5934F8"/>
    <w:rsid w:val="6BA04935"/>
    <w:rsid w:val="6C1A459F"/>
    <w:rsid w:val="6CD23D69"/>
    <w:rsid w:val="6D5663ED"/>
    <w:rsid w:val="6D6F091A"/>
    <w:rsid w:val="6DC5212E"/>
    <w:rsid w:val="6E787440"/>
    <w:rsid w:val="6F116256"/>
    <w:rsid w:val="6F120E19"/>
    <w:rsid w:val="6F9D67D3"/>
    <w:rsid w:val="6FC046DF"/>
    <w:rsid w:val="702A4113"/>
    <w:rsid w:val="708E0327"/>
    <w:rsid w:val="70DD5889"/>
    <w:rsid w:val="71F03559"/>
    <w:rsid w:val="7277483C"/>
    <w:rsid w:val="72867527"/>
    <w:rsid w:val="73B148B4"/>
    <w:rsid w:val="74065409"/>
    <w:rsid w:val="740B2A1F"/>
    <w:rsid w:val="745148D6"/>
    <w:rsid w:val="74B70B38"/>
    <w:rsid w:val="75174F46"/>
    <w:rsid w:val="75262126"/>
    <w:rsid w:val="75D900B4"/>
    <w:rsid w:val="76027BFA"/>
    <w:rsid w:val="772C162A"/>
    <w:rsid w:val="78452022"/>
    <w:rsid w:val="784716A8"/>
    <w:rsid w:val="78D27468"/>
    <w:rsid w:val="79761AE5"/>
    <w:rsid w:val="79B50E56"/>
    <w:rsid w:val="79CB63FC"/>
    <w:rsid w:val="79D61C3B"/>
    <w:rsid w:val="79D93CE4"/>
    <w:rsid w:val="79FC3536"/>
    <w:rsid w:val="7A565EBD"/>
    <w:rsid w:val="7A78094E"/>
    <w:rsid w:val="7A805F15"/>
    <w:rsid w:val="7AD47958"/>
    <w:rsid w:val="7C0B180E"/>
    <w:rsid w:val="7C27712C"/>
    <w:rsid w:val="7CF343A1"/>
    <w:rsid w:val="7E460C79"/>
    <w:rsid w:val="7E484F9C"/>
    <w:rsid w:val="7E583C67"/>
    <w:rsid w:val="7F9C28E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center"/>
      <w:textAlignment w:val="baseline"/>
      <w:outlineLvl w:val="0"/>
    </w:pPr>
    <w:rPr>
      <w:rFonts w:ascii="宋体" w:hAnsi="宋体"/>
      <w:b/>
      <w:kern w:val="44"/>
      <w:sz w:val="44"/>
      <w:szCs w:val="44"/>
    </w:rPr>
  </w:style>
  <w:style w:type="paragraph" w:styleId="3">
    <w:name w:val="heading 2"/>
    <w:basedOn w:val="1"/>
    <w:next w:val="1"/>
    <w:link w:val="48"/>
    <w:qFormat/>
    <w:uiPriority w:val="0"/>
    <w:pPr>
      <w:keepNext/>
      <w:keepLines/>
      <w:autoSpaceDE w:val="0"/>
      <w:autoSpaceDN w:val="0"/>
      <w:adjustRightInd w:val="0"/>
      <w:spacing w:line="360" w:lineRule="auto"/>
      <w:jc w:val="center"/>
      <w:textAlignment w:val="baseline"/>
      <w:outlineLvl w:val="1"/>
    </w:pPr>
    <w:rPr>
      <w:rFonts w:ascii="Arial" w:hAnsi="Arial" w:eastAsia="黑体"/>
      <w:b/>
      <w:spacing w:val="24"/>
      <w:kern w:val="0"/>
      <w:sz w:val="24"/>
      <w:szCs w:val="20"/>
    </w:rPr>
  </w:style>
  <w:style w:type="paragraph" w:styleId="4">
    <w:name w:val="heading 3"/>
    <w:basedOn w:val="1"/>
    <w:next w:val="5"/>
    <w:qFormat/>
    <w:uiPriority w:val="0"/>
    <w:pPr>
      <w:keepNext/>
      <w:keepLines/>
      <w:autoSpaceDE w:val="0"/>
      <w:autoSpaceDN w:val="0"/>
      <w:adjustRightInd w:val="0"/>
      <w:spacing w:line="360" w:lineRule="auto"/>
      <w:jc w:val="left"/>
      <w:textAlignment w:val="baseline"/>
      <w:outlineLvl w:val="2"/>
    </w:pPr>
    <w:rPr>
      <w:rFonts w:ascii="宋体" w:hAnsi="Arial"/>
      <w:b/>
      <w:sz w:val="28"/>
      <w:szCs w:val="20"/>
    </w:rPr>
  </w:style>
  <w:style w:type="paragraph" w:styleId="6">
    <w:name w:val="heading 4"/>
    <w:basedOn w:val="1"/>
    <w:qFormat/>
    <w:uiPriority w:val="0"/>
    <w:pPr>
      <w:widowControl/>
      <w:spacing w:beforeAutospacing="1" w:afterAutospacing="1"/>
      <w:jc w:val="center"/>
      <w:outlineLvl w:val="3"/>
    </w:pPr>
    <w:rPr>
      <w:rFonts w:ascii="宋体" w:hAnsi="宋体" w:cs="宋体"/>
      <w:b/>
      <w:bCs/>
      <w:kern w:val="0"/>
      <w:sz w:val="24"/>
    </w:rPr>
  </w:style>
  <w:style w:type="paragraph" w:styleId="7">
    <w:name w:val="heading 5"/>
    <w:basedOn w:val="1"/>
    <w:next w:val="5"/>
    <w:qFormat/>
    <w:uiPriority w:val="0"/>
    <w:pPr>
      <w:keepNext/>
      <w:keepLines/>
      <w:tabs>
        <w:tab w:val="left" w:pos="312"/>
      </w:tabs>
      <w:spacing w:line="372" w:lineRule="auto"/>
      <w:outlineLvl w:val="4"/>
    </w:pPr>
    <w:rPr>
      <w:b/>
      <w:sz w:val="28"/>
      <w:szCs w:val="20"/>
    </w:rPr>
  </w:style>
  <w:style w:type="paragraph" w:styleId="8">
    <w:name w:val="heading 6"/>
    <w:basedOn w:val="1"/>
    <w:next w:val="1"/>
    <w:link w:val="50"/>
    <w:autoRedefine/>
    <w:qFormat/>
    <w:uiPriority w:val="0"/>
    <w:pPr>
      <w:keepNext/>
      <w:keepLines/>
      <w:tabs>
        <w:tab w:val="left" w:pos="312"/>
      </w:tabs>
      <w:spacing w:line="317" w:lineRule="auto"/>
      <w:outlineLvl w:val="5"/>
    </w:pPr>
    <w:rPr>
      <w:rFonts w:ascii="Arial" w:hAnsi="Arial" w:eastAsia="黑体"/>
      <w:b/>
      <w:sz w:val="24"/>
      <w:szCs w:val="20"/>
    </w:rPr>
  </w:style>
  <w:style w:type="paragraph" w:styleId="9">
    <w:name w:val="heading 7"/>
    <w:basedOn w:val="1"/>
    <w:next w:val="5"/>
    <w:qFormat/>
    <w:uiPriority w:val="0"/>
    <w:pPr>
      <w:keepNext/>
      <w:keepLines/>
      <w:tabs>
        <w:tab w:val="left" w:pos="312"/>
      </w:tabs>
      <w:spacing w:line="317" w:lineRule="auto"/>
      <w:outlineLvl w:val="6"/>
    </w:pPr>
    <w:rPr>
      <w:b/>
      <w:sz w:val="24"/>
      <w:szCs w:val="20"/>
    </w:rPr>
  </w:style>
  <w:style w:type="paragraph" w:styleId="10">
    <w:name w:val="heading 8"/>
    <w:basedOn w:val="1"/>
    <w:next w:val="5"/>
    <w:qFormat/>
    <w:uiPriority w:val="0"/>
    <w:pPr>
      <w:keepNext/>
      <w:keepLines/>
      <w:tabs>
        <w:tab w:val="left" w:pos="312"/>
      </w:tabs>
      <w:spacing w:line="317" w:lineRule="auto"/>
      <w:outlineLvl w:val="7"/>
    </w:pPr>
    <w:rPr>
      <w:rFonts w:ascii="Arial" w:hAnsi="Arial" w:eastAsia="黑体"/>
      <w:sz w:val="24"/>
      <w:szCs w:val="20"/>
    </w:rPr>
  </w:style>
  <w:style w:type="paragraph" w:styleId="11">
    <w:name w:val="heading 9"/>
    <w:basedOn w:val="1"/>
    <w:next w:val="5"/>
    <w:qFormat/>
    <w:uiPriority w:val="0"/>
    <w:pPr>
      <w:keepNext/>
      <w:keepLines/>
      <w:tabs>
        <w:tab w:val="left" w:pos="312"/>
      </w:tabs>
      <w:spacing w:line="317" w:lineRule="auto"/>
      <w:outlineLvl w:val="8"/>
    </w:pPr>
    <w:rPr>
      <w:rFonts w:ascii="Arial" w:hAnsi="Arial" w:eastAsia="黑体"/>
      <w:szCs w:val="20"/>
    </w:rPr>
  </w:style>
  <w:style w:type="character" w:default="1" w:styleId="39">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9"/>
    <w:qFormat/>
    <w:uiPriority w:val="0"/>
    <w:pPr>
      <w:autoSpaceDE w:val="0"/>
      <w:autoSpaceDN w:val="0"/>
      <w:spacing w:line="360" w:lineRule="auto"/>
      <w:ind w:left="181" w:firstLine="420"/>
    </w:pPr>
    <w:rPr>
      <w:sz w:val="24"/>
      <w:szCs w:val="20"/>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360" w:lineRule="auto"/>
      <w:jc w:val="center"/>
    </w:pPr>
    <w:rPr>
      <w:rFonts w:ascii="Arial" w:hAnsi="Arial" w:eastAsia="黑体"/>
      <w:sz w:val="24"/>
      <w:szCs w:val="20"/>
    </w:rPr>
  </w:style>
  <w:style w:type="paragraph" w:styleId="14">
    <w:name w:val="Document Map"/>
    <w:basedOn w:val="1"/>
    <w:qFormat/>
    <w:uiPriority w:val="0"/>
    <w:pPr>
      <w:shd w:val="clear" w:color="auto" w:fill="000080"/>
    </w:pPr>
  </w:style>
  <w:style w:type="paragraph" w:styleId="15">
    <w:name w:val="annotation text"/>
    <w:basedOn w:val="1"/>
    <w:link w:val="51"/>
    <w:qFormat/>
    <w:uiPriority w:val="99"/>
    <w:pPr>
      <w:jc w:val="left"/>
    </w:pPr>
  </w:style>
  <w:style w:type="paragraph" w:styleId="16">
    <w:name w:val="Body Text 3"/>
    <w:basedOn w:val="1"/>
    <w:qFormat/>
    <w:uiPriority w:val="0"/>
    <w:pPr>
      <w:spacing w:line="240" w:lineRule="exact"/>
    </w:pPr>
    <w:rPr>
      <w:rFonts w:ascii="宋体" w:hAnsi="宋体"/>
      <w:sz w:val="18"/>
    </w:rPr>
  </w:style>
  <w:style w:type="paragraph" w:styleId="17">
    <w:name w:val="Body Text"/>
    <w:basedOn w:val="1"/>
    <w:next w:val="1"/>
    <w:qFormat/>
    <w:uiPriority w:val="0"/>
  </w:style>
  <w:style w:type="paragraph" w:styleId="18">
    <w:name w:val="Body Text Indent"/>
    <w:basedOn w:val="1"/>
    <w:link w:val="47"/>
    <w:qFormat/>
    <w:uiPriority w:val="0"/>
    <w:pPr>
      <w:autoSpaceDE w:val="0"/>
      <w:autoSpaceDN w:val="0"/>
      <w:spacing w:line="360" w:lineRule="auto"/>
      <w:ind w:left="181" w:firstLine="539"/>
    </w:pPr>
    <w:rPr>
      <w:sz w:val="24"/>
      <w:szCs w:val="20"/>
    </w:rPr>
  </w:style>
  <w:style w:type="paragraph" w:styleId="19">
    <w:name w:val="Block Text"/>
    <w:basedOn w:val="1"/>
    <w:qFormat/>
    <w:uiPriority w:val="0"/>
    <w:pPr>
      <w:ind w:left="1440" w:leftChars="700" w:right="1440" w:rightChars="700"/>
    </w:pPr>
  </w:style>
  <w:style w:type="paragraph" w:styleId="20">
    <w:name w:val="toc 3"/>
    <w:basedOn w:val="1"/>
    <w:next w:val="1"/>
    <w:qFormat/>
    <w:uiPriority w:val="0"/>
    <w:pPr>
      <w:ind w:left="420"/>
      <w:jc w:val="left"/>
    </w:pPr>
    <w:rPr>
      <w:i/>
      <w:iCs/>
    </w:rPr>
  </w:style>
  <w:style w:type="paragraph" w:styleId="21">
    <w:name w:val="Plain Text"/>
    <w:basedOn w:val="1"/>
    <w:link w:val="52"/>
    <w:qFormat/>
    <w:uiPriority w:val="99"/>
    <w:pPr>
      <w:spacing w:line="360" w:lineRule="auto"/>
    </w:pPr>
    <w:rPr>
      <w:rFonts w:ascii="宋体" w:hAnsi="Courier New"/>
      <w:spacing w:val="-8"/>
      <w:sz w:val="24"/>
      <w:szCs w:val="20"/>
    </w:rPr>
  </w:style>
  <w:style w:type="paragraph" w:styleId="22">
    <w:name w:val="Date"/>
    <w:basedOn w:val="1"/>
    <w:next w:val="1"/>
    <w:link w:val="53"/>
    <w:qFormat/>
    <w:uiPriority w:val="99"/>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23">
    <w:name w:val="Body Text Indent 2"/>
    <w:basedOn w:val="1"/>
    <w:qFormat/>
    <w:uiPriority w:val="0"/>
    <w:pPr>
      <w:ind w:firstLine="540"/>
    </w:pPr>
    <w:rPr>
      <w:szCs w:val="20"/>
    </w:rPr>
  </w:style>
  <w:style w:type="paragraph" w:styleId="24">
    <w:name w:val="Balloon Text"/>
    <w:basedOn w:val="1"/>
    <w:link w:val="54"/>
    <w:qFormat/>
    <w:uiPriority w:val="99"/>
    <w:rPr>
      <w:sz w:val="18"/>
      <w:szCs w:val="18"/>
    </w:rPr>
  </w:style>
  <w:style w:type="paragraph" w:styleId="25">
    <w:name w:val="footer"/>
    <w:basedOn w:val="1"/>
    <w:link w:val="55"/>
    <w:qFormat/>
    <w:uiPriority w:val="99"/>
    <w:pPr>
      <w:tabs>
        <w:tab w:val="center" w:pos="4153"/>
        <w:tab w:val="right" w:pos="8306"/>
      </w:tabs>
      <w:snapToGrid w:val="0"/>
      <w:jc w:val="left"/>
    </w:pPr>
    <w:rPr>
      <w:sz w:val="18"/>
      <w:szCs w:val="20"/>
    </w:rPr>
  </w:style>
  <w:style w:type="paragraph" w:styleId="26">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7">
    <w:name w:val="Signature"/>
    <w:basedOn w:val="1"/>
    <w:qFormat/>
    <w:uiPriority w:val="0"/>
    <w:pPr>
      <w:ind w:left="4320"/>
    </w:pPr>
    <w:rPr>
      <w:rFonts w:eastAsia="楷体_GB2312"/>
      <w:szCs w:val="20"/>
    </w:rPr>
  </w:style>
  <w:style w:type="paragraph" w:styleId="28">
    <w:name w:val="toc 1"/>
    <w:basedOn w:val="1"/>
    <w:next w:val="1"/>
    <w:qFormat/>
    <w:uiPriority w:val="0"/>
    <w:pPr>
      <w:jc w:val="left"/>
    </w:pPr>
    <w:rPr>
      <w:b/>
      <w:bCs/>
      <w:caps/>
    </w:rPr>
  </w:style>
  <w:style w:type="paragraph" w:styleId="29">
    <w:name w:val="Body Text Indent 3"/>
    <w:basedOn w:val="1"/>
    <w:qFormat/>
    <w:uiPriority w:val="0"/>
    <w:pPr>
      <w:ind w:firstLine="426"/>
    </w:pPr>
    <w:rPr>
      <w:szCs w:val="20"/>
    </w:rPr>
  </w:style>
  <w:style w:type="paragraph" w:styleId="30">
    <w:name w:val="Body Text 2"/>
    <w:basedOn w:val="1"/>
    <w:qFormat/>
    <w:uiPriority w:val="0"/>
    <w:rPr>
      <w:sz w:val="28"/>
      <w:szCs w:val="20"/>
    </w:r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2">
    <w:name w:val="Normal (Web)"/>
    <w:basedOn w:val="1"/>
    <w:qFormat/>
    <w:uiPriority w:val="99"/>
    <w:pPr>
      <w:widowControl/>
      <w:spacing w:beforeAutospacing="1" w:afterAutospacing="1"/>
      <w:jc w:val="left"/>
    </w:pPr>
    <w:rPr>
      <w:rFonts w:ascii="宋体" w:hAnsi="宋体"/>
      <w:kern w:val="0"/>
      <w:sz w:val="24"/>
    </w:rPr>
  </w:style>
  <w:style w:type="paragraph" w:styleId="33">
    <w:name w:val="Title"/>
    <w:basedOn w:val="1"/>
    <w:qFormat/>
    <w:uiPriority w:val="0"/>
    <w:pPr>
      <w:pageBreakBefore/>
      <w:tabs>
        <w:tab w:val="left" w:pos="600"/>
        <w:tab w:val="left" w:pos="960"/>
        <w:tab w:val="left" w:pos="1080"/>
      </w:tabs>
      <w:overflowPunct w:val="0"/>
      <w:spacing w:line="360" w:lineRule="auto"/>
      <w:ind w:left="839" w:right="-357" w:firstLine="480"/>
      <w:jc w:val="center"/>
      <w:outlineLvl w:val="0"/>
    </w:pPr>
    <w:rPr>
      <w:rFonts w:ascii="Arial" w:hAnsi="Arial"/>
      <w:b/>
      <w:kern w:val="0"/>
      <w:sz w:val="36"/>
      <w:szCs w:val="20"/>
    </w:rPr>
  </w:style>
  <w:style w:type="paragraph" w:styleId="34">
    <w:name w:val="annotation subject"/>
    <w:basedOn w:val="15"/>
    <w:next w:val="15"/>
    <w:link w:val="57"/>
    <w:qFormat/>
    <w:uiPriority w:val="0"/>
    <w:rPr>
      <w:b/>
      <w:bCs/>
    </w:rPr>
  </w:style>
  <w:style w:type="paragraph" w:styleId="35">
    <w:name w:val="Body Text First Indent"/>
    <w:basedOn w:val="17"/>
    <w:next w:val="1"/>
    <w:qFormat/>
    <w:uiPriority w:val="0"/>
    <w:pPr>
      <w:ind w:firstLine="420"/>
    </w:pPr>
    <w:rPr>
      <w:szCs w:val="20"/>
    </w:rPr>
  </w:style>
  <w:style w:type="paragraph" w:styleId="36">
    <w:name w:val="Body Text First Indent 2"/>
    <w:basedOn w:val="18"/>
    <w:next w:val="1"/>
    <w:unhideWhenUsed/>
    <w:qFormat/>
    <w:uiPriority w:val="99"/>
    <w:pPr>
      <w:ind w:firstLine="420" w:firstLineChars="200"/>
    </w:pPr>
  </w:style>
  <w:style w:type="table" w:styleId="38">
    <w:name w:val="Table Grid"/>
    <w:basedOn w:val="37"/>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autoRedefine/>
    <w:qFormat/>
    <w:uiPriority w:val="0"/>
  </w:style>
  <w:style w:type="character" w:styleId="42">
    <w:name w:val="FollowedHyperlink"/>
    <w:autoRedefine/>
    <w:unhideWhenUsed/>
    <w:qFormat/>
    <w:uiPriority w:val="99"/>
    <w:rPr>
      <w:color w:val="800080"/>
      <w:u w:val="single"/>
    </w:rPr>
  </w:style>
  <w:style w:type="character" w:styleId="43">
    <w:name w:val="Emphasis"/>
    <w:qFormat/>
    <w:uiPriority w:val="20"/>
    <w:rPr>
      <w:i/>
      <w:iCs/>
    </w:rPr>
  </w:style>
  <w:style w:type="character" w:styleId="44">
    <w:name w:val="Hyperlink"/>
    <w:qFormat/>
    <w:uiPriority w:val="0"/>
    <w:rPr>
      <w:rFonts w:eastAsia="宋体"/>
      <w:color w:val="0000FF"/>
      <w:kern w:val="2"/>
      <w:sz w:val="24"/>
      <w:szCs w:val="24"/>
      <w:u w:val="single"/>
      <w:lang w:val="en-US" w:eastAsia="zh-CN" w:bidi="ar-SA"/>
    </w:rPr>
  </w:style>
  <w:style w:type="character" w:styleId="45">
    <w:name w:val="annotation reference"/>
    <w:qFormat/>
    <w:uiPriority w:val="0"/>
    <w:rPr>
      <w:sz w:val="21"/>
      <w:szCs w:val="21"/>
    </w:rPr>
  </w:style>
  <w:style w:type="paragraph" w:customStyle="1" w:styleId="4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7">
    <w:name w:val="正文文本缩进 Char"/>
    <w:link w:val="18"/>
    <w:qFormat/>
    <w:uiPriority w:val="0"/>
    <w:rPr>
      <w:kern w:val="2"/>
      <w:sz w:val="24"/>
    </w:rPr>
  </w:style>
  <w:style w:type="character" w:customStyle="1" w:styleId="48">
    <w:name w:val="标题 2 Char"/>
    <w:link w:val="3"/>
    <w:autoRedefine/>
    <w:qFormat/>
    <w:uiPriority w:val="0"/>
    <w:rPr>
      <w:rFonts w:ascii="Arial" w:hAnsi="Arial" w:eastAsia="黑体"/>
      <w:b/>
      <w:spacing w:val="24"/>
      <w:sz w:val="24"/>
      <w:lang w:val="en-US" w:eastAsia="zh-CN" w:bidi="ar-SA"/>
    </w:rPr>
  </w:style>
  <w:style w:type="character" w:customStyle="1" w:styleId="49">
    <w:name w:val="正文缩进 Char"/>
    <w:link w:val="5"/>
    <w:qFormat/>
    <w:uiPriority w:val="0"/>
    <w:rPr>
      <w:kern w:val="2"/>
      <w:sz w:val="24"/>
    </w:rPr>
  </w:style>
  <w:style w:type="character" w:customStyle="1" w:styleId="50">
    <w:name w:val="标题 6 Char"/>
    <w:link w:val="8"/>
    <w:qFormat/>
    <w:uiPriority w:val="0"/>
    <w:rPr>
      <w:rFonts w:ascii="Arial" w:hAnsi="Arial" w:eastAsia="黑体"/>
      <w:b/>
      <w:kern w:val="2"/>
      <w:sz w:val="24"/>
    </w:rPr>
  </w:style>
  <w:style w:type="character" w:customStyle="1" w:styleId="51">
    <w:name w:val="批注文字 Char"/>
    <w:link w:val="15"/>
    <w:qFormat/>
    <w:uiPriority w:val="99"/>
    <w:rPr>
      <w:rFonts w:eastAsia="宋体"/>
      <w:kern w:val="2"/>
      <w:sz w:val="21"/>
      <w:szCs w:val="24"/>
      <w:lang w:val="en-US" w:eastAsia="zh-CN" w:bidi="ar-SA"/>
    </w:rPr>
  </w:style>
  <w:style w:type="character" w:customStyle="1" w:styleId="52">
    <w:name w:val="纯文本 Char1"/>
    <w:link w:val="21"/>
    <w:qFormat/>
    <w:uiPriority w:val="99"/>
    <w:rPr>
      <w:rFonts w:ascii="宋体" w:hAnsi="Courier New"/>
      <w:spacing w:val="-8"/>
      <w:kern w:val="2"/>
      <w:sz w:val="24"/>
    </w:rPr>
  </w:style>
  <w:style w:type="character" w:customStyle="1" w:styleId="53">
    <w:name w:val="日期 Char"/>
    <w:link w:val="22"/>
    <w:autoRedefine/>
    <w:qFormat/>
    <w:uiPriority w:val="99"/>
    <w:rPr>
      <w:rFonts w:ascii="宋体" w:hAnsi="宋体"/>
      <w:sz w:val="24"/>
    </w:rPr>
  </w:style>
  <w:style w:type="character" w:customStyle="1" w:styleId="54">
    <w:name w:val="批注框文本 Char"/>
    <w:link w:val="24"/>
    <w:qFormat/>
    <w:uiPriority w:val="99"/>
    <w:rPr>
      <w:kern w:val="2"/>
      <w:sz w:val="18"/>
      <w:szCs w:val="18"/>
    </w:rPr>
  </w:style>
  <w:style w:type="character" w:customStyle="1" w:styleId="55">
    <w:name w:val="页脚 Char"/>
    <w:link w:val="25"/>
    <w:qFormat/>
    <w:uiPriority w:val="99"/>
    <w:rPr>
      <w:kern w:val="2"/>
      <w:sz w:val="18"/>
    </w:rPr>
  </w:style>
  <w:style w:type="character" w:customStyle="1" w:styleId="56">
    <w:name w:val="页眉 Char"/>
    <w:link w:val="26"/>
    <w:qFormat/>
    <w:uiPriority w:val="99"/>
    <w:rPr>
      <w:kern w:val="2"/>
      <w:sz w:val="18"/>
      <w:szCs w:val="18"/>
    </w:rPr>
  </w:style>
  <w:style w:type="character" w:customStyle="1" w:styleId="57">
    <w:name w:val="批注主题 Char"/>
    <w:link w:val="34"/>
    <w:autoRedefine/>
    <w:qFormat/>
    <w:uiPriority w:val="0"/>
    <w:rPr>
      <w:rFonts w:eastAsia="宋体"/>
      <w:b/>
      <w:bCs/>
      <w:kern w:val="2"/>
      <w:sz w:val="21"/>
      <w:szCs w:val="24"/>
      <w:lang w:val="en-US" w:eastAsia="zh-CN" w:bidi="ar-SA"/>
    </w:rPr>
  </w:style>
  <w:style w:type="character" w:customStyle="1" w:styleId="58">
    <w:name w:val="无间隔 字符"/>
    <w:link w:val="59"/>
    <w:autoRedefine/>
    <w:qFormat/>
    <w:uiPriority w:val="0"/>
    <w:rPr>
      <w:rFonts w:eastAsia="Times New Roman"/>
      <w:sz w:val="22"/>
      <w:lang w:val="en-US" w:eastAsia="zh-CN" w:bidi="ar-SA"/>
    </w:rPr>
  </w:style>
  <w:style w:type="paragraph" w:customStyle="1" w:styleId="59">
    <w:name w:val="无间隔1"/>
    <w:link w:val="58"/>
    <w:qFormat/>
    <w:uiPriority w:val="0"/>
    <w:rPr>
      <w:rFonts w:ascii="Times New Roman" w:hAnsi="Times New Roman" w:eastAsia="Times New Roman" w:cs="Times New Roman"/>
      <w:sz w:val="22"/>
      <w:lang w:val="en-US" w:eastAsia="zh-CN" w:bidi="ar-SA"/>
    </w:rPr>
  </w:style>
  <w:style w:type="character" w:customStyle="1" w:styleId="60">
    <w:name w:val="font11"/>
    <w:autoRedefine/>
    <w:qFormat/>
    <w:uiPriority w:val="0"/>
    <w:rPr>
      <w:rFonts w:hint="default" w:ascii="Times New Roman" w:hAnsi="Times New Roman" w:cs="Times New Roman"/>
      <w:color w:val="000000"/>
      <w:sz w:val="24"/>
      <w:szCs w:val="24"/>
      <w:u w:val="none"/>
    </w:rPr>
  </w:style>
  <w:style w:type="character" w:customStyle="1" w:styleId="61">
    <w:name w:val="文字 Char"/>
    <w:link w:val="62"/>
    <w:qFormat/>
    <w:uiPriority w:val="0"/>
    <w:rPr>
      <w:rFonts w:ascii="宋体" w:hAnsi="宋体" w:eastAsia="宋体"/>
      <w:kern w:val="2"/>
      <w:sz w:val="28"/>
      <w:lang w:val="en-US" w:eastAsia="zh-CN" w:bidi="ar-SA"/>
    </w:rPr>
  </w:style>
  <w:style w:type="paragraph" w:customStyle="1" w:styleId="62">
    <w:name w:val="文字"/>
    <w:basedOn w:val="1"/>
    <w:link w:val="61"/>
    <w:qFormat/>
    <w:uiPriority w:val="0"/>
    <w:pPr>
      <w:tabs>
        <w:tab w:val="left" w:pos="8520"/>
      </w:tabs>
      <w:spacing w:line="312" w:lineRule="auto"/>
      <w:ind w:right="-210" w:firstLine="556"/>
    </w:pPr>
    <w:rPr>
      <w:rFonts w:ascii="宋体" w:hAnsi="宋体"/>
      <w:sz w:val="28"/>
      <w:szCs w:val="20"/>
    </w:rPr>
  </w:style>
  <w:style w:type="character" w:customStyle="1" w:styleId="63">
    <w:name w:val="NormalCharacter"/>
    <w:qFormat/>
    <w:uiPriority w:val="0"/>
  </w:style>
  <w:style w:type="character" w:customStyle="1" w:styleId="64">
    <w:name w:val="fontstyle01"/>
    <w:qFormat/>
    <w:uiPriority w:val="0"/>
    <w:rPr>
      <w:rFonts w:hint="default" w:ascii="FangSong-Identity-H" w:hAnsi="FangSong-Identity-H"/>
      <w:color w:val="005A87"/>
      <w:sz w:val="20"/>
      <w:szCs w:val="20"/>
    </w:rPr>
  </w:style>
  <w:style w:type="character" w:customStyle="1" w:styleId="65">
    <w:name w:val="￥正文 Char"/>
    <w:link w:val="66"/>
    <w:qFormat/>
    <w:uiPriority w:val="0"/>
    <w:rPr>
      <w:kern w:val="2"/>
      <w:sz w:val="24"/>
      <w:szCs w:val="22"/>
    </w:rPr>
  </w:style>
  <w:style w:type="paragraph" w:customStyle="1" w:styleId="66">
    <w:name w:val="￥正文"/>
    <w:basedOn w:val="1"/>
    <w:link w:val="65"/>
    <w:autoRedefine/>
    <w:qFormat/>
    <w:uiPriority w:val="0"/>
    <w:pPr>
      <w:spacing w:line="360" w:lineRule="auto"/>
      <w:ind w:firstLine="200" w:firstLineChars="200"/>
    </w:pPr>
    <w:rPr>
      <w:sz w:val="24"/>
      <w:szCs w:val="22"/>
    </w:rPr>
  </w:style>
  <w:style w:type="character" w:customStyle="1" w:styleId="67">
    <w:name w:val="列出段落 Char"/>
    <w:link w:val="68"/>
    <w:autoRedefine/>
    <w:qFormat/>
    <w:locked/>
    <w:uiPriority w:val="34"/>
    <w:rPr>
      <w:kern w:val="2"/>
      <w:sz w:val="21"/>
      <w:szCs w:val="21"/>
    </w:rPr>
  </w:style>
  <w:style w:type="paragraph" w:customStyle="1" w:styleId="68">
    <w:name w:val="列出段落1"/>
    <w:basedOn w:val="1"/>
    <w:link w:val="67"/>
    <w:autoRedefine/>
    <w:qFormat/>
    <w:uiPriority w:val="34"/>
    <w:pPr>
      <w:ind w:firstLine="420" w:firstLineChars="200"/>
    </w:pPr>
    <w:rPr>
      <w:szCs w:val="21"/>
    </w:rPr>
  </w:style>
  <w:style w:type="character" w:customStyle="1" w:styleId="69">
    <w:name w:val="font01"/>
    <w:qFormat/>
    <w:uiPriority w:val="0"/>
    <w:rPr>
      <w:rFonts w:hint="eastAsia" w:ascii="微软雅黑" w:hAnsi="微软雅黑" w:eastAsia="微软雅黑" w:cs="微软雅黑"/>
      <w:color w:val="000000"/>
      <w:sz w:val="18"/>
      <w:szCs w:val="18"/>
      <w:u w:val="none"/>
    </w:rPr>
  </w:style>
  <w:style w:type="character" w:customStyle="1" w:styleId="70">
    <w:name w:val="CSS1级正文 Char"/>
    <w:link w:val="71"/>
    <w:autoRedefine/>
    <w:qFormat/>
    <w:uiPriority w:val="0"/>
    <w:rPr>
      <w:kern w:val="2"/>
      <w:sz w:val="21"/>
      <w:lang w:val="zh-CN"/>
    </w:rPr>
  </w:style>
  <w:style w:type="paragraph" w:customStyle="1" w:styleId="71">
    <w:name w:val="CSS1级正文"/>
    <w:basedOn w:val="17"/>
    <w:link w:val="70"/>
    <w:qFormat/>
    <w:uiPriority w:val="0"/>
    <w:pPr>
      <w:widowControl/>
      <w:spacing w:afterLines="100" w:line="360" w:lineRule="auto"/>
      <w:ind w:firstLine="480" w:firstLineChars="200"/>
      <w:jc w:val="left"/>
    </w:pPr>
    <w:rPr>
      <w:szCs w:val="20"/>
      <w:lang w:val="zh-CN"/>
    </w:rPr>
  </w:style>
  <w:style w:type="character" w:customStyle="1" w:styleId="72">
    <w:name w:val="样式 标准正文 + 宋体 小四 Char"/>
    <w:link w:val="73"/>
    <w:qFormat/>
    <w:uiPriority w:val="0"/>
    <w:rPr>
      <w:rFonts w:ascii="宋体" w:hAnsi="宋体" w:eastAsia="宋体"/>
      <w:kern w:val="2"/>
      <w:sz w:val="24"/>
      <w:lang w:val="en-US" w:eastAsia="zh-CN" w:bidi="ar-SA"/>
    </w:rPr>
  </w:style>
  <w:style w:type="paragraph" w:customStyle="1" w:styleId="73">
    <w:name w:val="样式 标准正文 + 宋体 小四"/>
    <w:basedOn w:val="1"/>
    <w:link w:val="72"/>
    <w:autoRedefine/>
    <w:qFormat/>
    <w:uiPriority w:val="0"/>
    <w:pPr>
      <w:spacing w:line="360" w:lineRule="auto"/>
      <w:ind w:firstLine="200" w:firstLineChars="200"/>
    </w:pPr>
    <w:rPr>
      <w:rFonts w:ascii="宋体" w:hAnsi="宋体"/>
      <w:sz w:val="24"/>
      <w:szCs w:val="20"/>
    </w:rPr>
  </w:style>
  <w:style w:type="character" w:customStyle="1" w:styleId="74">
    <w:name w:val="t14"/>
    <w:qFormat/>
    <w:uiPriority w:val="0"/>
  </w:style>
  <w:style w:type="character" w:customStyle="1" w:styleId="75">
    <w:name w:val="页码1"/>
    <w:autoRedefine/>
    <w:qFormat/>
    <w:uiPriority w:val="0"/>
  </w:style>
  <w:style w:type="character" w:customStyle="1" w:styleId="76">
    <w:name w:val="Char Char"/>
    <w:qFormat/>
    <w:uiPriority w:val="0"/>
    <w:rPr>
      <w:rFonts w:ascii="宋体" w:hAnsi="Courier New" w:eastAsia="宋体"/>
      <w:kern w:val="2"/>
      <w:sz w:val="21"/>
      <w:lang w:val="en-US" w:eastAsia="zh-CN" w:bidi="ar-SA"/>
    </w:rPr>
  </w:style>
  <w:style w:type="character" w:customStyle="1" w:styleId="77">
    <w:name w:val="apple-converted-space"/>
    <w:autoRedefine/>
    <w:qFormat/>
    <w:uiPriority w:val="0"/>
  </w:style>
  <w:style w:type="character" w:customStyle="1" w:styleId="78">
    <w:name w:val="fontstyle11"/>
    <w:qFormat/>
    <w:uiPriority w:val="0"/>
    <w:rPr>
      <w:rFonts w:hint="default" w:ascii="TimesNewRomanPSMT-Identity-H" w:hAnsi="TimesNewRomanPSMT-Identity-H"/>
      <w:color w:val="000000"/>
      <w:sz w:val="18"/>
      <w:szCs w:val="18"/>
    </w:rPr>
  </w:style>
  <w:style w:type="character" w:customStyle="1" w:styleId="79">
    <w:name w:val="纯文本 Char"/>
    <w:qFormat/>
    <w:uiPriority w:val="0"/>
    <w:rPr>
      <w:rFonts w:ascii="宋体" w:hAnsi="Courier New" w:eastAsia="宋体"/>
      <w:kern w:val="2"/>
      <w:sz w:val="21"/>
      <w:szCs w:val="24"/>
      <w:lang w:val="en-US" w:eastAsia="zh-CN" w:bidi="ar-SA"/>
    </w:rPr>
  </w:style>
  <w:style w:type="character" w:customStyle="1" w:styleId="80">
    <w:name w:val="纯文本 Char Char"/>
    <w:autoRedefine/>
    <w:qFormat/>
    <w:uiPriority w:val="0"/>
    <w:rPr>
      <w:rFonts w:ascii="宋体" w:hAnsi="Courier New" w:eastAsia="宋体"/>
      <w:kern w:val="2"/>
      <w:sz w:val="21"/>
      <w:lang w:val="en-US" w:eastAsia="zh-CN" w:bidi="ar-SA"/>
    </w:rPr>
  </w:style>
  <w:style w:type="character" w:customStyle="1" w:styleId="81">
    <w:name w:val="表正文 Char"/>
    <w:autoRedefine/>
    <w:qFormat/>
    <w:uiPriority w:val="0"/>
    <w:rPr>
      <w:rFonts w:eastAsia="宋体"/>
      <w:kern w:val="2"/>
      <w:sz w:val="21"/>
      <w:szCs w:val="24"/>
      <w:lang w:val="en-US" w:eastAsia="zh-CN" w:bidi="ar-SA"/>
    </w:rPr>
  </w:style>
  <w:style w:type="character" w:customStyle="1" w:styleId="82">
    <w:name w:val="Char Char1"/>
    <w:autoRedefine/>
    <w:qFormat/>
    <w:uiPriority w:val="0"/>
    <w:rPr>
      <w:rFonts w:ascii="宋体" w:hAnsi="Courier New" w:eastAsia="宋体"/>
      <w:kern w:val="2"/>
      <w:sz w:val="21"/>
      <w:lang w:val="en-US" w:eastAsia="zh-CN" w:bidi="ar-SA"/>
    </w:rPr>
  </w:style>
  <w:style w:type="character" w:customStyle="1" w:styleId="83">
    <w:name w:val="style1"/>
    <w:autoRedefine/>
    <w:qFormat/>
    <w:uiPriority w:val="0"/>
  </w:style>
  <w:style w:type="character" w:customStyle="1" w:styleId="84">
    <w:name w:val="font81"/>
    <w:qFormat/>
    <w:uiPriority w:val="0"/>
    <w:rPr>
      <w:rFonts w:hint="eastAsia" w:ascii="微软雅黑" w:hAnsi="微软雅黑" w:eastAsia="微软雅黑" w:cs="微软雅黑"/>
      <w:color w:val="000000"/>
      <w:sz w:val="18"/>
      <w:szCs w:val="18"/>
      <w:u w:val="none"/>
    </w:rPr>
  </w:style>
  <w:style w:type="character" w:customStyle="1" w:styleId="85">
    <w:name w:val="my正文 Char"/>
    <w:link w:val="86"/>
    <w:autoRedefine/>
    <w:qFormat/>
    <w:uiPriority w:val="0"/>
    <w:rPr>
      <w:sz w:val="24"/>
      <w:szCs w:val="24"/>
    </w:rPr>
  </w:style>
  <w:style w:type="paragraph" w:customStyle="1" w:styleId="86">
    <w:name w:val="my正文"/>
    <w:basedOn w:val="1"/>
    <w:link w:val="85"/>
    <w:qFormat/>
    <w:uiPriority w:val="0"/>
    <w:pPr>
      <w:spacing w:line="360" w:lineRule="auto"/>
      <w:ind w:firstLine="200" w:firstLineChars="200"/>
    </w:pPr>
    <w:rPr>
      <w:kern w:val="0"/>
      <w:sz w:val="24"/>
    </w:rPr>
  </w:style>
  <w:style w:type="character" w:customStyle="1" w:styleId="87">
    <w:name w:val="普通文字 Char Char Char"/>
    <w:qFormat/>
    <w:uiPriority w:val="0"/>
    <w:rPr>
      <w:rFonts w:ascii="宋体" w:hAnsi="Courier New" w:eastAsia="宋体"/>
      <w:kern w:val="2"/>
      <w:sz w:val="21"/>
      <w:lang w:val="en-US" w:eastAsia="zh-CN" w:bidi="ar-SA"/>
    </w:rPr>
  </w:style>
  <w:style w:type="character" w:customStyle="1" w:styleId="88">
    <w:name w:val="列出段落 Char1"/>
    <w:link w:val="89"/>
    <w:autoRedefine/>
    <w:qFormat/>
    <w:uiPriority w:val="34"/>
    <w:rPr>
      <w:rFonts w:ascii="Calibri" w:hAnsi="Calibri"/>
      <w:kern w:val="2"/>
      <w:sz w:val="21"/>
      <w:szCs w:val="22"/>
    </w:rPr>
  </w:style>
  <w:style w:type="paragraph" w:styleId="89">
    <w:name w:val="List Paragraph"/>
    <w:basedOn w:val="1"/>
    <w:link w:val="88"/>
    <w:autoRedefine/>
    <w:qFormat/>
    <w:uiPriority w:val="34"/>
    <w:pPr>
      <w:ind w:firstLine="420" w:firstLineChars="200"/>
    </w:pPr>
    <w:rPr>
      <w:rFonts w:ascii="Calibri" w:hAnsi="Calibri"/>
      <w:szCs w:val="22"/>
    </w:rPr>
  </w:style>
  <w:style w:type="character" w:customStyle="1" w:styleId="90">
    <w:name w:val="font51"/>
    <w:qFormat/>
    <w:uiPriority w:val="0"/>
    <w:rPr>
      <w:rFonts w:hint="eastAsia" w:ascii="宋体" w:hAnsi="宋体" w:eastAsia="宋体" w:cs="宋体"/>
      <w:color w:val="000000"/>
      <w:sz w:val="18"/>
      <w:szCs w:val="18"/>
      <w:u w:val="none"/>
    </w:rPr>
  </w:style>
  <w:style w:type="paragraph" w:customStyle="1" w:styleId="91">
    <w:name w:val="样式5"/>
    <w:basedOn w:val="92"/>
    <w:next w:val="92"/>
    <w:autoRedefine/>
    <w:qFormat/>
    <w:uiPriority w:val="0"/>
    <w:pPr>
      <w:tabs>
        <w:tab w:val="right" w:leader="dot" w:pos="9458"/>
      </w:tabs>
    </w:pPr>
  </w:style>
  <w:style w:type="paragraph" w:customStyle="1" w:styleId="92">
    <w:name w:val="样式4"/>
    <w:basedOn w:val="28"/>
    <w:qFormat/>
    <w:uiPriority w:val="0"/>
    <w:pPr>
      <w:tabs>
        <w:tab w:val="right" w:leader="dot" w:pos="9458"/>
      </w:tabs>
    </w:pPr>
    <w:rPr>
      <w:b w:val="0"/>
    </w:rPr>
  </w:style>
  <w:style w:type="paragraph" w:customStyle="1" w:styleId="93">
    <w:name w:val="xl10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94">
    <w:name w:val="xl10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95">
    <w:name w:val="默认段落字体 Para Char"/>
    <w:basedOn w:val="1"/>
    <w:qFormat/>
    <w:uiPriority w:val="0"/>
    <w:pPr>
      <w:tabs>
        <w:tab w:val="left" w:pos="360"/>
        <w:tab w:val="left" w:pos="1008"/>
      </w:tabs>
      <w:ind w:left="420" w:hanging="420"/>
    </w:pPr>
    <w:rPr>
      <w:rFonts w:ascii="Verdana" w:hAnsi="Verdana"/>
      <w:kern w:val="0"/>
      <w:sz w:val="24"/>
      <w:szCs w:val="20"/>
      <w:lang w:eastAsia="en-US"/>
    </w:rPr>
  </w:style>
  <w:style w:type="paragraph" w:customStyle="1" w:styleId="96">
    <w:name w:val="xl82"/>
    <w:basedOn w:val="1"/>
    <w:autoRedefine/>
    <w:qFormat/>
    <w:uiPriority w:val="0"/>
    <w:pPr>
      <w:widowControl/>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97">
    <w:name w:val="修订2"/>
    <w:autoRedefine/>
    <w:unhideWhenUsed/>
    <w:qFormat/>
    <w:uiPriority w:val="99"/>
    <w:rPr>
      <w:rFonts w:ascii="Calibri" w:hAnsi="Calibri" w:eastAsia="宋体" w:cs="Times New Roman"/>
      <w:kern w:val="2"/>
      <w:sz w:val="21"/>
      <w:szCs w:val="24"/>
      <w:lang w:val="en-US" w:eastAsia="zh-CN" w:bidi="ar-SA"/>
    </w:rPr>
  </w:style>
  <w:style w:type="paragraph" w:customStyle="1" w:styleId="98">
    <w:name w:val="ÕýÎÄ 1"/>
    <w:basedOn w:val="1"/>
    <w:autoRedefine/>
    <w:qFormat/>
    <w:uiPriority w:val="0"/>
    <w:pPr>
      <w:widowControl/>
      <w:overflowPunct w:val="0"/>
      <w:autoSpaceDE w:val="0"/>
      <w:autoSpaceDN w:val="0"/>
      <w:adjustRightInd w:val="0"/>
      <w:spacing w:line="360" w:lineRule="auto"/>
      <w:ind w:left="1417"/>
      <w:textAlignment w:val="baseline"/>
    </w:pPr>
    <w:rPr>
      <w:kern w:val="0"/>
      <w:szCs w:val="20"/>
    </w:rPr>
  </w:style>
  <w:style w:type="paragraph" w:customStyle="1" w:styleId="99">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paragraph" w:customStyle="1" w:styleId="100">
    <w:name w:val="xl42"/>
    <w:basedOn w:val="1"/>
    <w:autoRedefine/>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kern w:val="0"/>
      <w:sz w:val="22"/>
      <w:szCs w:val="22"/>
    </w:rPr>
  </w:style>
  <w:style w:type="paragraph" w:customStyle="1" w:styleId="101">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102">
    <w:name w:val="表格内容"/>
    <w:basedOn w:val="1"/>
    <w:autoRedefine/>
    <w:qFormat/>
    <w:uiPriority w:val="0"/>
    <w:pPr>
      <w:numPr>
        <w:ilvl w:val="0"/>
        <w:numId w:val="1"/>
      </w:numPr>
      <w:spacing w:line="312" w:lineRule="auto"/>
    </w:pPr>
    <w:rPr>
      <w:rFonts w:ascii="宋体"/>
      <w:sz w:val="24"/>
      <w:szCs w:val="20"/>
    </w:rPr>
  </w:style>
  <w:style w:type="paragraph" w:customStyle="1" w:styleId="103">
    <w:name w:val="xl51"/>
    <w:basedOn w:val="1"/>
    <w:autoRedefine/>
    <w:qFormat/>
    <w:uiPriority w:val="0"/>
    <w:pPr>
      <w:widowControl/>
      <w:pBdr>
        <w:bottom w:val="single" w:color="auto" w:sz="4" w:space="0"/>
        <w:right w:val="single" w:color="auto" w:sz="4" w:space="0"/>
      </w:pBdr>
      <w:spacing w:beforeAutospacing="1" w:afterAutospacing="1"/>
      <w:textAlignment w:val="center"/>
    </w:pPr>
    <w:rPr>
      <w:rFonts w:ascii="Arial" w:hAnsi="Arial" w:eastAsia="Arial Unicode MS" w:cs="Arial"/>
      <w:kern w:val="0"/>
      <w:szCs w:val="21"/>
    </w:rPr>
  </w:style>
  <w:style w:type="paragraph" w:customStyle="1" w:styleId="104">
    <w:name w:val="BodyText"/>
    <w:basedOn w:val="1"/>
    <w:qFormat/>
    <w:uiPriority w:val="0"/>
    <w:pPr>
      <w:widowControl/>
      <w:spacing w:after="120"/>
      <w:textAlignment w:val="baseline"/>
    </w:pPr>
    <w:rPr>
      <w:rFonts w:ascii="Calibri" w:hAnsi="Calibri"/>
    </w:rPr>
  </w:style>
  <w:style w:type="paragraph" w:customStyle="1" w:styleId="105">
    <w:name w:val="xl112"/>
    <w:basedOn w:val="1"/>
    <w:autoRedefine/>
    <w:qFormat/>
    <w:uiPriority w:val="0"/>
    <w:pPr>
      <w:widowControl/>
      <w:pBdr>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06">
    <w:name w:val="xl11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07">
    <w:name w:val="xl85"/>
    <w:basedOn w:val="1"/>
    <w:autoRedefine/>
    <w:qFormat/>
    <w:uiPriority w:val="0"/>
    <w:pPr>
      <w:widowControl/>
      <w:pBdr>
        <w:top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08">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Cs w:val="21"/>
    </w:rPr>
  </w:style>
  <w:style w:type="paragraph" w:customStyle="1" w:styleId="109">
    <w:name w:val="修订4"/>
    <w:autoRedefine/>
    <w:unhideWhenUsed/>
    <w:qFormat/>
    <w:uiPriority w:val="99"/>
    <w:rPr>
      <w:rFonts w:ascii="Calibri" w:hAnsi="Calibri" w:eastAsia="宋体" w:cs="Times New Roman"/>
      <w:kern w:val="2"/>
      <w:sz w:val="21"/>
      <w:szCs w:val="24"/>
      <w:lang w:val="en-US" w:eastAsia="zh-CN" w:bidi="ar-SA"/>
    </w:rPr>
  </w:style>
  <w:style w:type="paragraph" w:customStyle="1" w:styleId="110">
    <w:name w:val="xl34"/>
    <w:basedOn w:val="1"/>
    <w:autoRedefine/>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11">
    <w:name w:val="xl67"/>
    <w:basedOn w:val="1"/>
    <w:autoRedefine/>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112">
    <w:name w:val="Char Char1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3">
    <w:name w:val="xl66"/>
    <w:basedOn w:val="1"/>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14">
    <w:name w:val="È¡ÀÊ¡ÎÄ¡À¾"/>
    <w:basedOn w:val="1"/>
    <w:autoRedefine/>
    <w:qFormat/>
    <w:uiPriority w:val="0"/>
    <w:pPr>
      <w:widowControl/>
      <w:overflowPunct w:val="0"/>
      <w:autoSpaceDE w:val="0"/>
      <w:autoSpaceDN w:val="0"/>
      <w:adjustRightInd w:val="0"/>
      <w:spacing w:line="360" w:lineRule="auto"/>
      <w:textAlignment w:val="baseline"/>
    </w:pPr>
    <w:rPr>
      <w:kern w:val="0"/>
      <w:szCs w:val="20"/>
    </w:rPr>
  </w:style>
  <w:style w:type="paragraph" w:customStyle="1" w:styleId="115">
    <w:name w:val="font6"/>
    <w:basedOn w:val="1"/>
    <w:autoRedefine/>
    <w:qFormat/>
    <w:uiPriority w:val="0"/>
    <w:pPr>
      <w:widowControl/>
      <w:spacing w:beforeAutospacing="1" w:afterAutospacing="1"/>
      <w:jc w:val="left"/>
    </w:pPr>
    <w:rPr>
      <w:rFonts w:hint="eastAsia" w:ascii="宋体" w:hAnsi="宋体"/>
      <w:kern w:val="0"/>
      <w:sz w:val="22"/>
      <w:szCs w:val="22"/>
    </w:rPr>
  </w:style>
  <w:style w:type="paragraph" w:customStyle="1" w:styleId="116">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17">
    <w:name w:val="关于"/>
    <w:basedOn w:val="1"/>
    <w:next w:val="1"/>
    <w:autoRedefine/>
    <w:qFormat/>
    <w:uiPriority w:val="0"/>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118">
    <w:name w:val="List Paragraph1"/>
    <w:basedOn w:val="1"/>
    <w:autoRedefine/>
    <w:qFormat/>
    <w:uiPriority w:val="0"/>
    <w:pPr>
      <w:widowControl/>
      <w:ind w:firstLine="420" w:firstLineChars="200"/>
      <w:jc w:val="left"/>
    </w:pPr>
    <w:rPr>
      <w:kern w:val="0"/>
      <w:szCs w:val="20"/>
    </w:rPr>
  </w:style>
  <w:style w:type="paragraph" w:customStyle="1" w:styleId="119">
    <w:name w:val="样式1"/>
    <w:basedOn w:val="1"/>
    <w:qFormat/>
    <w:uiPriority w:val="0"/>
    <w:pPr>
      <w:adjustRightInd w:val="0"/>
      <w:snapToGrid w:val="0"/>
      <w:spacing w:line="300" w:lineRule="auto"/>
      <w:ind w:left="425" w:hanging="425"/>
      <w:jc w:val="center"/>
      <w:textAlignment w:val="center"/>
    </w:pPr>
    <w:rPr>
      <w:snapToGrid w:val="0"/>
      <w:spacing w:val="20"/>
      <w:kern w:val="0"/>
      <w:sz w:val="18"/>
      <w:szCs w:val="20"/>
    </w:rPr>
  </w:style>
  <w:style w:type="paragraph" w:customStyle="1" w:styleId="120">
    <w:name w:val="p0"/>
    <w:basedOn w:val="1"/>
    <w:qFormat/>
    <w:uiPriority w:val="0"/>
    <w:pPr>
      <w:widowControl/>
    </w:pPr>
    <w:rPr>
      <w:rFonts w:ascii="Calibri" w:hAnsi="Calibri" w:cs="Calibri"/>
      <w:kern w:val="0"/>
      <w:szCs w:val="21"/>
    </w:rPr>
  </w:style>
  <w:style w:type="paragraph" w:customStyle="1" w:styleId="121">
    <w:name w:val="Char Char2 Char"/>
    <w:basedOn w:val="1"/>
    <w:autoRedefine/>
    <w:qFormat/>
    <w:uiPriority w:val="0"/>
    <w:pPr>
      <w:keepNext/>
      <w:keepLines/>
      <w:pageBreakBefore/>
      <w:tabs>
        <w:tab w:val="left" w:pos="845"/>
      </w:tabs>
      <w:ind w:left="845" w:hanging="420"/>
    </w:pPr>
    <w:rPr>
      <w:rFonts w:ascii="Tahoma" w:hAnsi="Tahoma"/>
      <w:sz w:val="24"/>
      <w:szCs w:val="20"/>
    </w:rPr>
  </w:style>
  <w:style w:type="paragraph" w:customStyle="1" w:styleId="12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123">
    <w:name w:val="font7"/>
    <w:basedOn w:val="1"/>
    <w:autoRedefine/>
    <w:qFormat/>
    <w:uiPriority w:val="0"/>
    <w:pPr>
      <w:widowControl/>
      <w:spacing w:beforeAutospacing="1" w:afterAutospacing="1"/>
      <w:jc w:val="left"/>
    </w:pPr>
    <w:rPr>
      <w:kern w:val="0"/>
      <w:sz w:val="22"/>
      <w:szCs w:val="22"/>
    </w:rPr>
  </w:style>
  <w:style w:type="paragraph" w:customStyle="1" w:styleId="124">
    <w:name w:val="Char1 Char Char Char Char Char Char"/>
    <w:basedOn w:val="1"/>
    <w:autoRedefine/>
    <w:qFormat/>
    <w:uiPriority w:val="0"/>
    <w:pPr>
      <w:tabs>
        <w:tab w:val="left" w:pos="425"/>
      </w:tabs>
      <w:ind w:left="425" w:hanging="425"/>
    </w:pPr>
    <w:rPr>
      <w:rFonts w:ascii="Calibri" w:hAnsi="Calibri"/>
      <w:sz w:val="24"/>
    </w:rPr>
  </w:style>
  <w:style w:type="paragraph" w:customStyle="1" w:styleId="125">
    <w:name w:val="xl80"/>
    <w:basedOn w:val="1"/>
    <w:autoRedefine/>
    <w:qFormat/>
    <w:uiPriority w:val="0"/>
    <w:pPr>
      <w:widowControl/>
      <w:spacing w:before="100" w:beforeAutospacing="1" w:after="100" w:afterAutospacing="1"/>
      <w:jc w:val="left"/>
      <w:textAlignment w:val="top"/>
    </w:pPr>
    <w:rPr>
      <w:rFonts w:ascii="微软雅黑" w:hAnsi="微软雅黑" w:eastAsia="微软雅黑" w:cs="宋体"/>
      <w:kern w:val="0"/>
      <w:sz w:val="24"/>
    </w:rPr>
  </w:style>
  <w:style w:type="paragraph" w:customStyle="1" w:styleId="126">
    <w:name w:val="Char Char Char Char"/>
    <w:basedOn w:val="1"/>
    <w:autoRedefine/>
    <w:qFormat/>
    <w:uiPriority w:val="0"/>
    <w:pPr>
      <w:widowControl/>
      <w:spacing w:line="240" w:lineRule="exact"/>
      <w:jc w:val="left"/>
    </w:pPr>
  </w:style>
  <w:style w:type="paragraph" w:customStyle="1" w:styleId="127">
    <w:name w:val="xl88"/>
    <w:basedOn w:val="1"/>
    <w:autoRedefine/>
    <w:qFormat/>
    <w:uiPriority w:val="0"/>
    <w:pPr>
      <w:widowControl/>
      <w:pBdr>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2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4"/>
    </w:rPr>
  </w:style>
  <w:style w:type="paragraph" w:customStyle="1" w:styleId="129">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30">
    <w:name w:val="Normal1"/>
    <w:basedOn w:val="1"/>
    <w:autoRedefine/>
    <w:qFormat/>
    <w:uiPriority w:val="0"/>
    <w:pPr>
      <w:widowControl/>
      <w:spacing w:after="200" w:line="300" w:lineRule="atLeast"/>
      <w:jc w:val="left"/>
    </w:pPr>
    <w:rPr>
      <w:rFonts w:ascii="Calibri" w:hAnsi="Calibri" w:cs="宋体"/>
      <w:kern w:val="0"/>
      <w:sz w:val="22"/>
      <w:szCs w:val="22"/>
    </w:rPr>
  </w:style>
  <w:style w:type="paragraph" w:customStyle="1" w:styleId="131">
    <w:name w:val="xl7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32">
    <w:name w:val="xl65"/>
    <w:basedOn w:val="1"/>
    <w:autoRedefine/>
    <w:qFormat/>
    <w:uiPriority w:val="0"/>
    <w:pPr>
      <w:widowControl/>
      <w:spacing w:before="100" w:beforeAutospacing="1" w:after="100" w:afterAutospacing="1"/>
      <w:jc w:val="left"/>
    </w:pPr>
    <w:rPr>
      <w:rFonts w:ascii="微软雅黑" w:hAnsi="微软雅黑" w:eastAsia="微软雅黑" w:cs="宋体"/>
      <w:kern w:val="0"/>
      <w:sz w:val="24"/>
    </w:rPr>
  </w:style>
  <w:style w:type="paragraph" w:customStyle="1" w:styleId="133">
    <w:name w:val="±í??É"/>
    <w:basedOn w:val="1"/>
    <w:autoRedefine/>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34">
    <w:name w:val="z1"/>
    <w:basedOn w:val="1"/>
    <w:autoRedefine/>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135">
    <w:name w:val="Char Char Char Char Char Char Char Char Char Char Char Char Char"/>
    <w:basedOn w:val="1"/>
    <w:autoRedefine/>
    <w:qFormat/>
    <w:uiPriority w:val="0"/>
    <w:pPr>
      <w:widowControl/>
      <w:spacing w:line="240" w:lineRule="exact"/>
      <w:jc w:val="left"/>
    </w:pPr>
    <w:rPr>
      <w:szCs w:val="20"/>
    </w:rPr>
  </w:style>
  <w:style w:type="paragraph" w:customStyle="1" w:styleId="136">
    <w:name w:val="列表2"/>
    <w:basedOn w:val="1"/>
    <w:next w:val="1"/>
    <w:autoRedefine/>
    <w:qFormat/>
    <w:uiPriority w:val="0"/>
    <w:pPr>
      <w:tabs>
        <w:tab w:val="left" w:pos="312"/>
        <w:tab w:val="left" w:pos="1547"/>
      </w:tabs>
      <w:spacing w:line="200" w:lineRule="atLeast"/>
      <w:ind w:left="1547" w:hanging="507"/>
    </w:pPr>
    <w:rPr>
      <w:sz w:val="28"/>
    </w:rPr>
  </w:style>
  <w:style w:type="paragraph" w:customStyle="1" w:styleId="137">
    <w:name w:val="Char1"/>
    <w:basedOn w:val="1"/>
    <w:autoRedefine/>
    <w:qFormat/>
    <w:uiPriority w:val="0"/>
    <w:rPr>
      <w:rFonts w:ascii="Tahoma" w:hAnsi="Tahoma"/>
      <w:sz w:val="24"/>
      <w:szCs w:val="20"/>
    </w:rPr>
  </w:style>
  <w:style w:type="paragraph" w:customStyle="1" w:styleId="138">
    <w:name w:val="Table Body"/>
    <w:basedOn w:val="1"/>
    <w:autoRedefine/>
    <w:qFormat/>
    <w:uiPriority w:val="0"/>
    <w:pPr>
      <w:widowControl/>
      <w:jc w:val="center"/>
    </w:pPr>
    <w:rPr>
      <w:rFonts w:ascii="Arial" w:hAnsi="Arial"/>
      <w:snapToGrid w:val="0"/>
      <w:kern w:val="0"/>
      <w:sz w:val="18"/>
      <w:szCs w:val="20"/>
    </w:rPr>
  </w:style>
  <w:style w:type="paragraph" w:customStyle="1" w:styleId="139">
    <w:name w:val="Table Paragraph"/>
    <w:basedOn w:val="1"/>
    <w:autoRedefine/>
    <w:qFormat/>
    <w:uiPriority w:val="1"/>
    <w:pPr>
      <w:jc w:val="left"/>
    </w:pPr>
    <w:rPr>
      <w:rFonts w:ascii="Calibri" w:hAnsi="Calibri"/>
      <w:kern w:val="0"/>
      <w:sz w:val="22"/>
      <w:szCs w:val="22"/>
      <w:lang w:eastAsia="en-US"/>
    </w:rPr>
  </w:style>
  <w:style w:type="paragraph" w:customStyle="1" w:styleId="140">
    <w:name w:val="xl73"/>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41">
    <w:name w:val="Char Char Char"/>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142">
    <w:name w:val="xl90"/>
    <w:basedOn w:val="1"/>
    <w:autoRedefine/>
    <w:qFormat/>
    <w:uiPriority w:val="0"/>
    <w:pPr>
      <w:widowControl/>
      <w:pBdr>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43">
    <w:name w:val="Char11"/>
    <w:basedOn w:val="1"/>
    <w:autoRedefine/>
    <w:qFormat/>
    <w:uiPriority w:val="0"/>
    <w:rPr>
      <w:rFonts w:ascii="Tahoma" w:hAnsi="Tahoma"/>
      <w:sz w:val="24"/>
      <w:szCs w:val="20"/>
    </w:rPr>
  </w:style>
  <w:style w:type="paragraph" w:customStyle="1" w:styleId="144">
    <w:name w:val="列出段落21"/>
    <w:basedOn w:val="1"/>
    <w:autoRedefine/>
    <w:unhideWhenUsed/>
    <w:qFormat/>
    <w:uiPriority w:val="99"/>
    <w:pPr>
      <w:ind w:firstLine="420" w:firstLineChars="200"/>
    </w:pPr>
  </w:style>
  <w:style w:type="paragraph" w:customStyle="1" w:styleId="145">
    <w:name w:val="Char1 Char Char Char Char Char Char1"/>
    <w:basedOn w:val="1"/>
    <w:autoRedefine/>
    <w:qFormat/>
    <w:uiPriority w:val="0"/>
    <w:pPr>
      <w:tabs>
        <w:tab w:val="left" w:pos="425"/>
      </w:tabs>
      <w:ind w:left="425" w:hanging="425"/>
    </w:pPr>
    <w:rPr>
      <w:sz w:val="24"/>
    </w:rPr>
  </w:style>
  <w:style w:type="paragraph" w:customStyle="1" w:styleId="146">
    <w:name w:val="font9"/>
    <w:basedOn w:val="1"/>
    <w:autoRedefine/>
    <w:qFormat/>
    <w:uiPriority w:val="0"/>
    <w:pPr>
      <w:widowControl/>
      <w:spacing w:beforeAutospacing="1" w:afterAutospacing="1"/>
      <w:jc w:val="left"/>
    </w:pPr>
    <w:rPr>
      <w:rFonts w:hint="eastAsia" w:ascii="宋体" w:hAnsi="宋体"/>
      <w:kern w:val="0"/>
      <w:sz w:val="22"/>
      <w:szCs w:val="22"/>
    </w:rPr>
  </w:style>
  <w:style w:type="paragraph" w:customStyle="1" w:styleId="147">
    <w:name w:val="表格文字"/>
    <w:basedOn w:val="1"/>
    <w:autoRedefine/>
    <w:qFormat/>
    <w:uiPriority w:val="0"/>
    <w:pPr>
      <w:jc w:val="left"/>
    </w:pPr>
    <w:rPr>
      <w:spacing w:val="10"/>
      <w:kern w:val="0"/>
      <w:sz w:val="24"/>
    </w:rPr>
  </w:style>
  <w:style w:type="paragraph" w:customStyle="1" w:styleId="14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4"/>
    </w:rPr>
  </w:style>
  <w:style w:type="paragraph" w:customStyle="1" w:styleId="149">
    <w:name w:val="xl23"/>
    <w:basedOn w:val="1"/>
    <w:autoRedefine/>
    <w:qFormat/>
    <w:uiPriority w:val="0"/>
    <w:pPr>
      <w:widowControl/>
      <w:spacing w:beforeAutospacing="1" w:afterAutospacing="1" w:line="360" w:lineRule="auto"/>
      <w:textAlignment w:val="top"/>
    </w:pPr>
    <w:rPr>
      <w:kern w:val="0"/>
      <w:sz w:val="24"/>
    </w:rPr>
  </w:style>
  <w:style w:type="paragraph" w:customStyle="1" w:styleId="150">
    <w:name w:val="xl79"/>
    <w:basedOn w:val="1"/>
    <w:autoRedefine/>
    <w:qFormat/>
    <w:uiPriority w:val="0"/>
    <w:pPr>
      <w:widowControl/>
      <w:pBdr>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color w:val="000000"/>
      <w:kern w:val="0"/>
      <w:sz w:val="18"/>
      <w:szCs w:val="18"/>
    </w:rPr>
  </w:style>
  <w:style w:type="paragraph" w:customStyle="1" w:styleId="151">
    <w:name w:val="xl114"/>
    <w:basedOn w:val="1"/>
    <w:autoRedefine/>
    <w:qFormat/>
    <w:uiPriority w:val="0"/>
    <w:pPr>
      <w:widowControl/>
      <w:pBdr>
        <w:lef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152">
    <w:name w:val="Char Char12"/>
    <w:basedOn w:val="1"/>
    <w:autoRedefine/>
    <w:qFormat/>
    <w:uiPriority w:val="0"/>
    <w:pPr>
      <w:widowControl/>
      <w:spacing w:line="240" w:lineRule="exact"/>
      <w:jc w:val="left"/>
    </w:pPr>
    <w:rPr>
      <w:rFonts w:ascii="宋体" w:hAnsi="宋体"/>
      <w:kern w:val="0"/>
      <w:sz w:val="20"/>
      <w:szCs w:val="20"/>
      <w:lang w:eastAsia="en-US"/>
    </w:rPr>
  </w:style>
  <w:style w:type="paragraph" w:customStyle="1" w:styleId="153">
    <w:name w:val="修订3"/>
    <w:autoRedefine/>
    <w:unhideWhenUsed/>
    <w:qFormat/>
    <w:uiPriority w:val="99"/>
    <w:rPr>
      <w:rFonts w:ascii="Calibri" w:hAnsi="Calibri" w:eastAsia="宋体" w:cs="Times New Roman"/>
      <w:kern w:val="2"/>
      <w:sz w:val="21"/>
      <w:szCs w:val="24"/>
      <w:lang w:val="en-US" w:eastAsia="zh-CN" w:bidi="ar-SA"/>
    </w:rPr>
  </w:style>
  <w:style w:type="paragraph" w:customStyle="1" w:styleId="154">
    <w:name w:val="±í??"/>
    <w:basedOn w:val="1"/>
    <w:autoRedefine/>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155">
    <w:name w:val="Char Char Char Char Char Char Char Char"/>
    <w:basedOn w:val="1"/>
    <w:autoRedefine/>
    <w:qFormat/>
    <w:uiPriority w:val="0"/>
    <w:pPr>
      <w:tabs>
        <w:tab w:val="left" w:pos="360"/>
      </w:tabs>
    </w:pPr>
    <w:rPr>
      <w:sz w:val="24"/>
    </w:rPr>
  </w:style>
  <w:style w:type="paragraph" w:customStyle="1" w:styleId="156">
    <w:name w:val="列出段落2"/>
    <w:basedOn w:val="1"/>
    <w:autoRedefine/>
    <w:qFormat/>
    <w:uiPriority w:val="34"/>
    <w:pPr>
      <w:widowControl/>
      <w:ind w:firstLine="420" w:firstLineChars="200"/>
      <w:jc w:val="left"/>
    </w:pPr>
    <w:rPr>
      <w:rFonts w:ascii="Calibri" w:hAnsi="Calibri"/>
      <w:kern w:val="0"/>
      <w:szCs w:val="20"/>
    </w:rPr>
  </w:style>
  <w:style w:type="paragraph" w:customStyle="1" w:styleId="157">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Cs w:val="21"/>
    </w:rPr>
  </w:style>
  <w:style w:type="paragraph" w:customStyle="1" w:styleId="158">
    <w:name w:val="xl43"/>
    <w:basedOn w:val="1"/>
    <w:autoRedefine/>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159">
    <w:name w:val="样式3"/>
    <w:basedOn w:val="20"/>
    <w:autoRedefine/>
    <w:qFormat/>
    <w:uiPriority w:val="0"/>
    <w:pPr>
      <w:tabs>
        <w:tab w:val="right" w:leader="dot" w:pos="9458"/>
      </w:tabs>
    </w:pPr>
    <w:rPr>
      <w:i w:val="0"/>
    </w:rPr>
  </w:style>
  <w:style w:type="paragraph" w:customStyle="1" w:styleId="160">
    <w:name w:val="Char1 Char Char Char1"/>
    <w:basedOn w:val="1"/>
    <w:autoRedefine/>
    <w:qFormat/>
    <w:uiPriority w:val="0"/>
    <w:pPr>
      <w:widowControl/>
      <w:spacing w:after="160" w:line="240" w:lineRule="exact"/>
      <w:jc w:val="left"/>
    </w:pPr>
    <w:rPr>
      <w:rFonts w:ascii="Verdana" w:hAnsi="Verdana" w:eastAsia="仿宋_GB2312"/>
      <w:kern w:val="0"/>
      <w:sz w:val="28"/>
      <w:szCs w:val="20"/>
      <w:lang w:eastAsia="en-US"/>
    </w:rPr>
  </w:style>
  <w:style w:type="paragraph" w:customStyle="1" w:styleId="161">
    <w:name w:val="正文缩进1"/>
    <w:basedOn w:val="1"/>
    <w:autoRedefine/>
    <w:qFormat/>
    <w:uiPriority w:val="0"/>
    <w:pPr>
      <w:ind w:firstLine="567"/>
    </w:pPr>
    <w:rPr>
      <w:spacing w:val="20"/>
      <w:sz w:val="24"/>
      <w:szCs w:val="20"/>
    </w:rPr>
  </w:style>
  <w:style w:type="paragraph" w:customStyle="1" w:styleId="162">
    <w:name w:val="xl46"/>
    <w:basedOn w:val="1"/>
    <w:autoRedefine/>
    <w:qFormat/>
    <w:uiPriority w:val="0"/>
    <w:pPr>
      <w:widowControl/>
      <w:spacing w:beforeAutospacing="1" w:afterAutospacing="1"/>
      <w:jc w:val="left"/>
      <w:textAlignment w:val="center"/>
    </w:pPr>
    <w:rPr>
      <w:rFonts w:ascii="宋体" w:hAnsi="宋体"/>
      <w:kern w:val="0"/>
      <w:sz w:val="22"/>
      <w:szCs w:val="22"/>
    </w:rPr>
  </w:style>
  <w:style w:type="paragraph" w:customStyle="1" w:styleId="163">
    <w:name w:val="xl113"/>
    <w:basedOn w:val="1"/>
    <w:autoRedefine/>
    <w:qFormat/>
    <w:uiPriority w:val="0"/>
    <w:pPr>
      <w:widowControl/>
      <w:pBdr>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64">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165">
    <w:name w:val="Char Char Char Char Char Char Char"/>
    <w:basedOn w:val="1"/>
    <w:autoRedefine/>
    <w:qFormat/>
    <w:uiPriority w:val="0"/>
  </w:style>
  <w:style w:type="paragraph" w:customStyle="1" w:styleId="166">
    <w:name w:val="Char Char Char Char Char Char Char Char Char Char Char Char Char Char Char Char Char Char1 Char Char Char1 Char"/>
    <w:basedOn w:val="1"/>
    <w:autoRedefine/>
    <w:qFormat/>
    <w:uiPriority w:val="0"/>
    <w:pPr>
      <w:tabs>
        <w:tab w:val="left" w:pos="360"/>
      </w:tabs>
      <w:ind w:left="360" w:hanging="360" w:hangingChars="200"/>
    </w:pPr>
    <w:rPr>
      <w:sz w:val="24"/>
    </w:rPr>
  </w:style>
  <w:style w:type="paragraph" w:customStyle="1" w:styleId="167">
    <w:name w:val="xl45"/>
    <w:basedOn w:val="1"/>
    <w:autoRedefine/>
    <w:qFormat/>
    <w:uiPriority w:val="0"/>
    <w:pPr>
      <w:widowControl/>
      <w:pBdr>
        <w:top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68">
    <w:name w:val="xl109"/>
    <w:basedOn w:val="1"/>
    <w:autoRedefine/>
    <w:qFormat/>
    <w:uiPriority w:val="0"/>
    <w:pPr>
      <w:widowControl/>
      <w:pBdr>
        <w:righ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169">
    <w:name w:val="xl24"/>
    <w:basedOn w:val="1"/>
    <w:autoRedefine/>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70">
    <w:name w:val="_Style 1"/>
    <w:basedOn w:val="1"/>
    <w:autoRedefine/>
    <w:qFormat/>
    <w:uiPriority w:val="34"/>
    <w:pPr>
      <w:widowControl/>
      <w:adjustRightInd w:val="0"/>
      <w:snapToGrid w:val="0"/>
      <w:spacing w:before="100" w:beforeAutospacing="1" w:after="100" w:afterAutospacing="1"/>
      <w:jc w:val="left"/>
    </w:pPr>
    <w:rPr>
      <w:rFonts w:eastAsia="Times New Roman"/>
      <w:kern w:val="0"/>
      <w:sz w:val="24"/>
    </w:rPr>
  </w:style>
  <w:style w:type="paragraph" w:customStyle="1" w:styleId="171">
    <w:name w:val="xl83"/>
    <w:basedOn w:val="1"/>
    <w:autoRedefine/>
    <w:qFormat/>
    <w:uiPriority w:val="0"/>
    <w:pPr>
      <w:widowControl/>
      <w:pBdr>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72">
    <w:name w:val="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3">
    <w:name w:val="xl84"/>
    <w:basedOn w:val="1"/>
    <w:autoRedefine/>
    <w:qFormat/>
    <w:uiPriority w:val="0"/>
    <w:pPr>
      <w:widowControl/>
      <w:pBdr>
        <w:top w:val="single" w:color="auto" w:sz="4" w:space="0"/>
        <w:lef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74">
    <w:name w:val="Char Char Char Char Char Char Char Char Char Char Char Char Char Char Char Char"/>
    <w:basedOn w:val="1"/>
    <w:autoRedefine/>
    <w:qFormat/>
    <w:uiPriority w:val="0"/>
    <w:pPr>
      <w:tabs>
        <w:tab w:val="left" w:pos="360"/>
      </w:tabs>
    </w:pPr>
    <w:rPr>
      <w:rFonts w:ascii="Calibri" w:hAnsi="Calibri"/>
      <w:sz w:val="24"/>
    </w:rPr>
  </w:style>
  <w:style w:type="paragraph" w:customStyle="1" w:styleId="175">
    <w:name w:val="xl91"/>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176">
    <w:name w:val="_Style 173"/>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77">
    <w:name w:val="样式"/>
    <w:basedOn w:val="1"/>
    <w:next w:val="19"/>
    <w:autoRedefine/>
    <w:qFormat/>
    <w:uiPriority w:val="0"/>
    <w:pPr>
      <w:ind w:left="572" w:right="32" w:firstLine="478"/>
    </w:pPr>
    <w:rPr>
      <w:szCs w:val="21"/>
    </w:rPr>
  </w:style>
  <w:style w:type="paragraph" w:customStyle="1" w:styleId="178">
    <w:name w:val="xl106"/>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179">
    <w:name w:val="xl37"/>
    <w:basedOn w:val="1"/>
    <w:autoRedefine/>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180">
    <w:name w:val="Table Heading"/>
    <w:basedOn w:val="1"/>
    <w:autoRedefine/>
    <w:qFormat/>
    <w:uiPriority w:val="0"/>
    <w:pPr>
      <w:widowControl/>
      <w:jc w:val="center"/>
    </w:pPr>
    <w:rPr>
      <w:rFonts w:ascii="Arial" w:hAnsi="Arial"/>
      <w:b/>
      <w:kern w:val="0"/>
      <w:sz w:val="18"/>
      <w:szCs w:val="20"/>
    </w:rPr>
  </w:style>
  <w:style w:type="paragraph" w:customStyle="1" w:styleId="181">
    <w:name w:val="xl75"/>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82">
    <w:name w:val="HHT表格"/>
    <w:basedOn w:val="1"/>
    <w:autoRedefine/>
    <w:qFormat/>
    <w:uiPriority w:val="0"/>
    <w:pPr>
      <w:widowControl/>
      <w:adjustRightInd w:val="0"/>
      <w:snapToGrid w:val="0"/>
      <w:spacing w:after="200"/>
      <w:jc w:val="left"/>
    </w:pPr>
    <w:rPr>
      <w:rFonts w:ascii="宋体" w:hAnsi="宋体"/>
      <w:kern w:val="0"/>
      <w:sz w:val="22"/>
      <w:szCs w:val="21"/>
    </w:rPr>
  </w:style>
  <w:style w:type="paragraph" w:customStyle="1" w:styleId="183">
    <w:name w:val="xl9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84">
    <w:name w:val="xl108"/>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185">
    <w:name w:val="xl100"/>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186">
    <w:name w:val="xl49"/>
    <w:basedOn w:val="1"/>
    <w:autoRedefine/>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187">
    <w:name w:val="日期1"/>
    <w:basedOn w:val="1"/>
    <w:next w:val="1"/>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188">
    <w:name w:val="Char Char Char Char11"/>
    <w:basedOn w:val="14"/>
    <w:autoRedefine/>
    <w:qFormat/>
    <w:uiPriority w:val="0"/>
    <w:rPr>
      <w:rFonts w:ascii="Tahoma" w:hAnsi="Tahoma"/>
      <w:sz w:val="24"/>
    </w:rPr>
  </w:style>
  <w:style w:type="paragraph" w:customStyle="1" w:styleId="189">
    <w:name w:val="xl98"/>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color w:val="000000"/>
      <w:kern w:val="0"/>
      <w:szCs w:val="21"/>
    </w:rPr>
  </w:style>
  <w:style w:type="paragraph" w:customStyle="1" w:styleId="190">
    <w:name w:val="xl44"/>
    <w:basedOn w:val="1"/>
    <w:autoRedefine/>
    <w:qFormat/>
    <w:uiPriority w:val="0"/>
    <w:pPr>
      <w:widowControl/>
      <w:pBdr>
        <w:top w:val="single" w:color="auto" w:sz="4" w:space="0"/>
        <w:left w:val="single" w:color="auto" w:sz="4" w:space="0"/>
        <w:bottom w:val="single" w:color="auto" w:sz="4" w:space="0"/>
      </w:pBdr>
      <w:spacing w:beforeAutospacing="1" w:afterAutospacing="1"/>
      <w:jc w:val="left"/>
      <w:textAlignment w:val="center"/>
    </w:pPr>
    <w:rPr>
      <w:rFonts w:ascii="宋体" w:hAnsi="宋体"/>
      <w:kern w:val="0"/>
      <w:sz w:val="22"/>
      <w:szCs w:val="22"/>
    </w:rPr>
  </w:style>
  <w:style w:type="paragraph" w:customStyle="1" w:styleId="191">
    <w:name w:val="xl92"/>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192">
    <w:name w:val="xl89"/>
    <w:basedOn w:val="1"/>
    <w:autoRedefine/>
    <w:qFormat/>
    <w:uiPriority w:val="0"/>
    <w:pPr>
      <w:widowControl/>
      <w:pBdr>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193">
    <w:name w:val="日期2"/>
    <w:basedOn w:val="1"/>
    <w:next w:val="1"/>
    <w:autoRedefine/>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194">
    <w:name w:val="cnfont"/>
    <w:basedOn w:val="1"/>
    <w:autoRedefine/>
    <w:qFormat/>
    <w:uiPriority w:val="0"/>
    <w:pPr>
      <w:widowControl/>
      <w:spacing w:beforeAutospacing="1" w:afterAutospacing="1"/>
      <w:jc w:val="left"/>
    </w:pPr>
    <w:rPr>
      <w:rFonts w:ascii="宋体" w:hAnsi="宋体"/>
      <w:color w:val="000000"/>
      <w:kern w:val="0"/>
      <w:sz w:val="24"/>
    </w:rPr>
  </w:style>
  <w:style w:type="paragraph" w:customStyle="1" w:styleId="195">
    <w:name w:val="正文样式"/>
    <w:basedOn w:val="1"/>
    <w:autoRedefine/>
    <w:qFormat/>
    <w:uiPriority w:val="0"/>
    <w:pPr>
      <w:tabs>
        <w:tab w:val="left" w:pos="1560"/>
      </w:tabs>
      <w:spacing w:line="300" w:lineRule="auto"/>
      <w:ind w:left="1560" w:hanging="360"/>
    </w:pPr>
    <w:rPr>
      <w:rFonts w:ascii="宋体"/>
      <w:sz w:val="24"/>
    </w:rPr>
  </w:style>
  <w:style w:type="paragraph" w:customStyle="1" w:styleId="196">
    <w:name w:val="xl105"/>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197">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198">
    <w:name w:val="正文内容"/>
    <w:basedOn w:val="1"/>
    <w:autoRedefine/>
    <w:qFormat/>
    <w:uiPriority w:val="0"/>
    <w:rPr>
      <w:rFonts w:ascii="Arial" w:hAnsi="Arial"/>
      <w:spacing w:val="-12"/>
      <w:szCs w:val="20"/>
    </w:rPr>
  </w:style>
  <w:style w:type="paragraph" w:customStyle="1" w:styleId="199">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00">
    <w:name w:val="Char1 Char Char Char11"/>
    <w:basedOn w:val="1"/>
    <w:autoRedefine/>
    <w:qFormat/>
    <w:uiPriority w:val="0"/>
    <w:pPr>
      <w:widowControl/>
      <w:spacing w:line="240" w:lineRule="exact"/>
      <w:jc w:val="left"/>
    </w:pPr>
    <w:rPr>
      <w:rFonts w:ascii="Verdana" w:hAnsi="Verdana" w:eastAsia="仿宋_GB2312"/>
      <w:kern w:val="0"/>
      <w:sz w:val="28"/>
      <w:szCs w:val="20"/>
      <w:lang w:eastAsia="en-US"/>
    </w:rPr>
  </w:style>
  <w:style w:type="paragraph" w:customStyle="1" w:styleId="201">
    <w:name w:val="font8"/>
    <w:basedOn w:val="1"/>
    <w:autoRedefine/>
    <w:qFormat/>
    <w:uiPriority w:val="0"/>
    <w:pPr>
      <w:widowControl/>
      <w:spacing w:beforeAutospacing="1" w:afterAutospacing="1"/>
      <w:jc w:val="left"/>
    </w:pPr>
    <w:rPr>
      <w:rFonts w:hint="eastAsia" w:ascii="宋体" w:hAnsi="宋体"/>
      <w:kern w:val="0"/>
      <w:sz w:val="24"/>
    </w:rPr>
  </w:style>
  <w:style w:type="paragraph" w:customStyle="1" w:styleId="202">
    <w:name w:val="Char2"/>
    <w:basedOn w:val="1"/>
    <w:autoRedefine/>
    <w:qFormat/>
    <w:uiPriority w:val="0"/>
    <w:pPr>
      <w:tabs>
        <w:tab w:val="left" w:pos="825"/>
      </w:tabs>
      <w:ind w:left="825" w:hanging="360"/>
    </w:pPr>
    <w:rPr>
      <w:rFonts w:ascii="Calibri" w:hAnsi="Calibri"/>
      <w:sz w:val="24"/>
    </w:rPr>
  </w:style>
  <w:style w:type="paragraph" w:customStyle="1" w:styleId="203">
    <w:name w:val="xl31"/>
    <w:basedOn w:val="1"/>
    <w:autoRedefine/>
    <w:qFormat/>
    <w:uiPriority w:val="0"/>
    <w:pPr>
      <w:widowControl/>
      <w:pBdr>
        <w:top w:val="single" w:color="auto" w:sz="4" w:space="0"/>
        <w:left w:val="single" w:color="auto" w:sz="4" w:space="0"/>
        <w:right w:val="single" w:color="auto" w:sz="4" w:space="0"/>
      </w:pBdr>
      <w:spacing w:beforeAutospacing="1" w:afterAutospacing="1"/>
      <w:jc w:val="left"/>
      <w:textAlignment w:val="center"/>
    </w:pPr>
    <w:rPr>
      <w:kern w:val="0"/>
      <w:sz w:val="22"/>
      <w:szCs w:val="22"/>
    </w:rPr>
  </w:style>
  <w:style w:type="paragraph" w:customStyle="1" w:styleId="204">
    <w:name w:val="4"/>
    <w:basedOn w:val="1"/>
    <w:next w:val="1"/>
    <w:autoRedefine/>
    <w:qFormat/>
    <w:uiPriority w:val="0"/>
  </w:style>
  <w:style w:type="paragraph" w:customStyle="1" w:styleId="205">
    <w:name w:val="修订1"/>
    <w:autoRedefine/>
    <w:unhideWhenUsed/>
    <w:qFormat/>
    <w:uiPriority w:val="99"/>
    <w:rPr>
      <w:rFonts w:ascii="Calibri" w:hAnsi="Calibri" w:eastAsia="宋体" w:cs="Times New Roman"/>
      <w:kern w:val="2"/>
      <w:sz w:val="21"/>
      <w:szCs w:val="24"/>
      <w:lang w:val="en-US" w:eastAsia="zh-CN" w:bidi="ar-SA"/>
    </w:rPr>
  </w:style>
  <w:style w:type="paragraph" w:customStyle="1" w:styleId="206">
    <w:name w:val="图"/>
    <w:basedOn w:val="1"/>
    <w:autoRedefine/>
    <w:qFormat/>
    <w:uiPriority w:val="0"/>
    <w:pPr>
      <w:keepNext/>
      <w:adjustRightInd w:val="0"/>
      <w:spacing w:line="300" w:lineRule="auto"/>
      <w:jc w:val="center"/>
      <w:textAlignment w:val="center"/>
    </w:pPr>
    <w:rPr>
      <w:snapToGrid w:val="0"/>
      <w:spacing w:val="20"/>
      <w:kern w:val="0"/>
      <w:sz w:val="24"/>
      <w:szCs w:val="20"/>
    </w:rPr>
  </w:style>
  <w:style w:type="paragraph" w:customStyle="1" w:styleId="207">
    <w:name w:val="xl36"/>
    <w:basedOn w:val="1"/>
    <w:autoRedefine/>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b/>
      <w:bCs/>
      <w:kern w:val="0"/>
      <w:sz w:val="22"/>
      <w:szCs w:val="22"/>
    </w:rPr>
  </w:style>
  <w:style w:type="paragraph" w:customStyle="1" w:styleId="208">
    <w:name w:val="Char Char Char Char Char Char Char Char11"/>
    <w:basedOn w:val="1"/>
    <w:autoRedefine/>
    <w:qFormat/>
    <w:uiPriority w:val="0"/>
    <w:pPr>
      <w:tabs>
        <w:tab w:val="left" w:pos="360"/>
      </w:tabs>
    </w:pPr>
    <w:rPr>
      <w:sz w:val="24"/>
    </w:rPr>
  </w:style>
  <w:style w:type="paragraph" w:customStyle="1" w:styleId="209">
    <w:name w:val="xl39"/>
    <w:basedOn w:val="1"/>
    <w:autoRedefine/>
    <w:qFormat/>
    <w:uiPriority w:val="0"/>
    <w:pPr>
      <w:widowControl/>
      <w:pBdr>
        <w:top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10">
    <w:name w:val="xl48"/>
    <w:basedOn w:val="1"/>
    <w:autoRedefine/>
    <w:qFormat/>
    <w:uiPriority w:val="0"/>
    <w:pPr>
      <w:widowControl/>
      <w:pBdr>
        <w:top w:val="single" w:color="auto" w:sz="4" w:space="0"/>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11">
    <w:name w:val="xl111"/>
    <w:basedOn w:val="1"/>
    <w:autoRedefine/>
    <w:qFormat/>
    <w:uiPriority w:val="0"/>
    <w:pPr>
      <w:widowControl/>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212">
    <w:name w:val="_Style 2"/>
    <w:basedOn w:val="1"/>
    <w:autoRedefine/>
    <w:qFormat/>
    <w:uiPriority w:val="0"/>
    <w:pPr>
      <w:widowControl/>
      <w:adjustRightInd w:val="0"/>
      <w:snapToGrid w:val="0"/>
      <w:spacing w:after="200"/>
      <w:ind w:firstLine="420" w:firstLineChars="200"/>
      <w:jc w:val="left"/>
    </w:pPr>
    <w:rPr>
      <w:rFonts w:ascii="宋体" w:hAnsi="宋体" w:eastAsia="微软雅黑" w:cs="宋体"/>
      <w:kern w:val="0"/>
      <w:sz w:val="24"/>
      <w:szCs w:val="22"/>
    </w:rPr>
  </w:style>
  <w:style w:type="paragraph" w:customStyle="1" w:styleId="213">
    <w:name w:val="Char Char2 Char1"/>
    <w:basedOn w:val="1"/>
    <w:autoRedefine/>
    <w:qFormat/>
    <w:uiPriority w:val="0"/>
    <w:pPr>
      <w:keepNext/>
      <w:keepLines/>
      <w:pageBreakBefore/>
      <w:tabs>
        <w:tab w:val="left" w:pos="845"/>
      </w:tabs>
      <w:ind w:left="845" w:hanging="420"/>
    </w:pPr>
    <w:rPr>
      <w:rFonts w:ascii="Tahoma" w:hAnsi="Tahoma"/>
      <w:sz w:val="24"/>
      <w:szCs w:val="20"/>
    </w:rPr>
  </w:style>
  <w:style w:type="paragraph" w:customStyle="1" w:styleId="214">
    <w:name w:val="xl35"/>
    <w:basedOn w:val="1"/>
    <w:autoRedefine/>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kern w:val="0"/>
      <w:sz w:val="22"/>
      <w:szCs w:val="22"/>
    </w:rPr>
  </w:style>
  <w:style w:type="paragraph" w:customStyle="1" w:styleId="215">
    <w:name w:val="l2"/>
    <w:basedOn w:val="1"/>
    <w:autoRedefine/>
    <w:qFormat/>
    <w:uiPriority w:val="0"/>
    <w:pPr>
      <w:keepLines/>
      <w:widowControl/>
      <w:spacing w:beforeLines="50" w:afterLines="50" w:line="300" w:lineRule="auto"/>
    </w:pPr>
    <w:rPr>
      <w:rFonts w:ascii="Arial" w:hAnsi="Arial"/>
      <w:bCs/>
    </w:rPr>
  </w:style>
  <w:style w:type="paragraph" w:customStyle="1" w:styleId="216">
    <w:name w:val="正文文本缩进 21"/>
    <w:basedOn w:val="1"/>
    <w:autoRedefine/>
    <w:qFormat/>
    <w:uiPriority w:val="0"/>
    <w:pPr>
      <w:adjustRightInd w:val="0"/>
      <w:spacing w:before="120"/>
      <w:ind w:firstLine="420"/>
      <w:textAlignment w:val="baseline"/>
    </w:pPr>
    <w:rPr>
      <w:rFonts w:ascii="Calibri" w:hAnsi="Calibri"/>
      <w:sz w:val="24"/>
      <w:szCs w:val="20"/>
    </w:rPr>
  </w:style>
  <w:style w:type="paragraph" w:customStyle="1" w:styleId="217">
    <w:name w:val="xl47"/>
    <w:basedOn w:val="1"/>
    <w:autoRedefine/>
    <w:qFormat/>
    <w:uiPriority w:val="0"/>
    <w:pPr>
      <w:widowControl/>
      <w:pBdr>
        <w:left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18">
    <w:name w:val="正文1"/>
    <w:autoRedefine/>
    <w:qFormat/>
    <w:uiPriority w:val="0"/>
    <w:pPr>
      <w:widowControl w:val="0"/>
      <w:adjustRightInd w:val="0"/>
      <w:spacing w:line="360" w:lineRule="atLeast"/>
      <w:textAlignment w:val="baseline"/>
    </w:pPr>
    <w:rPr>
      <w:rFonts w:ascii="宋体" w:hAnsi="Calibri" w:eastAsia="宋体" w:cs="Times New Roman"/>
      <w:sz w:val="24"/>
      <w:lang w:val="en-US" w:eastAsia="zh-CN" w:bidi="ar-SA"/>
    </w:rPr>
  </w:style>
  <w:style w:type="paragraph" w:customStyle="1" w:styleId="219">
    <w:name w:val="Char Char Char Char1"/>
    <w:basedOn w:val="1"/>
    <w:autoRedefine/>
    <w:qFormat/>
    <w:uiPriority w:val="0"/>
    <w:pPr>
      <w:widowControl/>
      <w:spacing w:after="160" w:line="240" w:lineRule="exact"/>
      <w:jc w:val="left"/>
    </w:pPr>
    <w:rPr>
      <w:rFonts w:ascii="Calibri" w:hAnsi="Calibri"/>
    </w:rPr>
  </w:style>
  <w:style w:type="paragraph" w:customStyle="1" w:styleId="220">
    <w:name w:val="标题5"/>
    <w:basedOn w:val="1"/>
    <w:autoRedefine/>
    <w:qFormat/>
    <w:uiPriority w:val="0"/>
    <w:rPr>
      <w:rFonts w:ascii="宋体"/>
      <w:b/>
      <w:sz w:val="28"/>
    </w:rPr>
  </w:style>
  <w:style w:type="paragraph" w:customStyle="1" w:styleId="221">
    <w:name w:val="Default Paragraph Font Para Char"/>
    <w:basedOn w:val="1"/>
    <w:autoRedefine/>
    <w:qFormat/>
    <w:uiPriority w:val="0"/>
    <w:pPr>
      <w:widowControl/>
      <w:spacing w:line="240" w:lineRule="exact"/>
      <w:jc w:val="left"/>
    </w:pPr>
    <w:rPr>
      <w:rFonts w:ascii="Verdana" w:hAnsi="Verdana"/>
      <w:kern w:val="0"/>
      <w:sz w:val="20"/>
      <w:szCs w:val="20"/>
      <w:lang w:eastAsia="en-US"/>
    </w:rPr>
  </w:style>
  <w:style w:type="paragraph" w:customStyle="1" w:styleId="222">
    <w:name w:val="正文文本缩进 22"/>
    <w:basedOn w:val="1"/>
    <w:autoRedefine/>
    <w:qFormat/>
    <w:uiPriority w:val="0"/>
    <w:pPr>
      <w:adjustRightInd w:val="0"/>
      <w:ind w:firstLine="420"/>
      <w:textAlignment w:val="baseline"/>
    </w:pPr>
    <w:rPr>
      <w:sz w:val="24"/>
      <w:szCs w:val="20"/>
    </w:rPr>
  </w:style>
  <w:style w:type="paragraph" w:customStyle="1" w:styleId="223">
    <w:name w:val="xl81"/>
    <w:basedOn w:val="1"/>
    <w:autoRedefine/>
    <w:qFormat/>
    <w:uiPriority w:val="0"/>
    <w:pPr>
      <w:widowControl/>
      <w:pBdr>
        <w:lef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24">
    <w:name w:val="xl86"/>
    <w:basedOn w:val="1"/>
    <w:autoRedefine/>
    <w:qFormat/>
    <w:uiPriority w:val="0"/>
    <w:pPr>
      <w:widowControl/>
      <w:pBdr>
        <w:top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25">
    <w:name w:val="文档正文"/>
    <w:basedOn w:val="1"/>
    <w:autoRedefine/>
    <w:qFormat/>
    <w:uiPriority w:val="0"/>
    <w:rPr>
      <w:rFonts w:ascii="Arial" w:hAnsi="Arial" w:cs="Arial"/>
      <w:bCs/>
      <w:sz w:val="24"/>
    </w:rPr>
  </w:style>
  <w:style w:type="paragraph" w:customStyle="1" w:styleId="226">
    <w:name w:val="xl115"/>
    <w:basedOn w:val="1"/>
    <w:autoRedefine/>
    <w:qFormat/>
    <w:uiPriority w:val="0"/>
    <w:pPr>
      <w:widowControl/>
      <w:shd w:val="clear" w:color="000000" w:fill="FFFFFF"/>
      <w:spacing w:before="100" w:beforeAutospacing="1" w:after="100" w:afterAutospacing="1"/>
      <w:jc w:val="left"/>
    </w:pPr>
    <w:rPr>
      <w:rFonts w:ascii="微软雅黑" w:hAnsi="微软雅黑" w:eastAsia="微软雅黑" w:cs="宋体"/>
      <w:b/>
      <w:bCs/>
      <w:color w:val="000000"/>
      <w:kern w:val="0"/>
      <w:sz w:val="18"/>
      <w:szCs w:val="18"/>
    </w:rPr>
  </w:style>
  <w:style w:type="paragraph" w:customStyle="1" w:styleId="22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kern w:val="0"/>
      <w:sz w:val="22"/>
      <w:szCs w:val="22"/>
    </w:rPr>
  </w:style>
  <w:style w:type="paragraph" w:customStyle="1" w:styleId="228">
    <w:name w:val="xl95"/>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29">
    <w:name w:val="xl26"/>
    <w:basedOn w:val="1"/>
    <w:autoRedefine/>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30">
    <w:name w:val="GP正文(首行缩进)"/>
    <w:basedOn w:val="1"/>
    <w:autoRedefine/>
    <w:qFormat/>
    <w:uiPriority w:val="0"/>
    <w:pPr>
      <w:spacing w:line="360" w:lineRule="auto"/>
      <w:ind w:firstLine="200" w:firstLineChars="200"/>
      <w:jc w:val="left"/>
    </w:pPr>
    <w:rPr>
      <w:sz w:val="24"/>
      <w:szCs w:val="21"/>
    </w:rPr>
  </w:style>
  <w:style w:type="paragraph" w:customStyle="1" w:styleId="231">
    <w:name w:val="xl32"/>
    <w:basedOn w:val="1"/>
    <w:autoRedefine/>
    <w:qFormat/>
    <w:uiPriority w:val="0"/>
    <w:pPr>
      <w:widowControl/>
      <w:pBdr>
        <w:left w:val="single" w:color="auto" w:sz="4" w:space="0"/>
        <w:bottom w:val="single" w:color="auto" w:sz="4" w:space="0"/>
        <w:right w:val="single" w:color="auto" w:sz="4" w:space="0"/>
      </w:pBdr>
      <w:spacing w:beforeAutospacing="1" w:afterAutospacing="1"/>
      <w:jc w:val="left"/>
      <w:textAlignment w:val="center"/>
    </w:pPr>
    <w:rPr>
      <w:rFonts w:ascii="宋体" w:hAnsi="宋体"/>
      <w:kern w:val="0"/>
      <w:sz w:val="22"/>
      <w:szCs w:val="22"/>
    </w:rPr>
  </w:style>
  <w:style w:type="paragraph" w:customStyle="1" w:styleId="232">
    <w:name w:val="Char Char13"/>
    <w:basedOn w:val="1"/>
    <w:autoRedefine/>
    <w:qFormat/>
    <w:uiPriority w:val="0"/>
    <w:pPr>
      <w:widowControl/>
      <w:spacing w:line="240" w:lineRule="exact"/>
      <w:jc w:val="left"/>
    </w:pPr>
    <w:rPr>
      <w:rFonts w:ascii="Verdana" w:hAnsi="Verdana" w:eastAsia="楷体_GB2312"/>
      <w:b/>
      <w:i/>
      <w:iCs/>
      <w:color w:val="000000"/>
      <w:kern w:val="0"/>
      <w:sz w:val="20"/>
      <w:szCs w:val="20"/>
      <w:lang w:eastAsia="en-US"/>
    </w:rPr>
  </w:style>
  <w:style w:type="paragraph" w:customStyle="1" w:styleId="233">
    <w:name w:val="xl87"/>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234">
    <w:name w:val="样式2"/>
    <w:basedOn w:val="20"/>
    <w:autoRedefine/>
    <w:qFormat/>
    <w:uiPriority w:val="0"/>
    <w:pPr>
      <w:tabs>
        <w:tab w:val="right" w:leader="dot" w:pos="9458"/>
      </w:tabs>
    </w:pPr>
    <w:rPr>
      <w:rFonts w:ascii="Arial" w:cs="Arial"/>
      <w:i w:val="0"/>
    </w:rPr>
  </w:style>
  <w:style w:type="paragraph" w:customStyle="1" w:styleId="235">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236">
    <w:name w:val="xl30"/>
    <w:basedOn w:val="1"/>
    <w:autoRedefine/>
    <w:qFormat/>
    <w:uiPriority w:val="0"/>
    <w:pPr>
      <w:widowControl/>
      <w:pBdr>
        <w:left w:val="single" w:color="auto" w:sz="4" w:space="0"/>
        <w:bottom w:val="single" w:color="auto" w:sz="4" w:space="0"/>
        <w:right w:val="single" w:color="auto" w:sz="4" w:space="0"/>
      </w:pBdr>
      <w:spacing w:beforeAutospacing="1" w:afterAutospacing="1"/>
      <w:jc w:val="center"/>
      <w:textAlignment w:val="center"/>
    </w:pPr>
    <w:rPr>
      <w:rFonts w:ascii="宋体" w:hAnsi="宋体"/>
      <w:kern w:val="0"/>
      <w:sz w:val="22"/>
      <w:szCs w:val="22"/>
    </w:rPr>
  </w:style>
  <w:style w:type="paragraph" w:customStyle="1" w:styleId="23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宋体" w:hAnsi="宋体"/>
      <w:b/>
      <w:bCs/>
      <w:kern w:val="0"/>
      <w:sz w:val="22"/>
      <w:szCs w:val="22"/>
    </w:rPr>
  </w:style>
  <w:style w:type="paragraph" w:customStyle="1" w:styleId="238">
    <w:name w:val="xl7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239">
    <w:name w:val="签名 - 公司"/>
    <w:basedOn w:val="27"/>
    <w:next w:val="117"/>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240">
    <w:name w:val="Default 123  Text1"/>
    <w:basedOn w:val="1"/>
    <w:autoRedefine/>
    <w:qFormat/>
    <w:uiPriority w:val="0"/>
    <w:pPr>
      <w:widowControl/>
      <w:overflowPunct w:val="0"/>
      <w:autoSpaceDE w:val="0"/>
      <w:autoSpaceDN w:val="0"/>
      <w:adjustRightInd w:val="0"/>
      <w:jc w:val="left"/>
    </w:pPr>
    <w:rPr>
      <w:rFonts w:hint="eastAsia" w:ascii="宋体"/>
      <w:kern w:val="0"/>
      <w:sz w:val="26"/>
      <w:szCs w:val="20"/>
    </w:rPr>
  </w:style>
  <w:style w:type="paragraph" w:customStyle="1" w:styleId="241">
    <w:name w:val="Char Char1 Char Char Char Char Char Char"/>
    <w:basedOn w:val="1"/>
    <w:autoRedefine/>
    <w:qFormat/>
    <w:uiPriority w:val="0"/>
    <w:pPr>
      <w:widowControl/>
      <w:adjustRightInd w:val="0"/>
      <w:snapToGrid w:val="0"/>
      <w:spacing w:beforeLines="25" w:afterLines="25" w:line="240" w:lineRule="exact"/>
      <w:ind w:firstLine="560" w:firstLineChars="192"/>
      <w:jc w:val="left"/>
    </w:pPr>
    <w:rPr>
      <w:sz w:val="24"/>
    </w:rPr>
  </w:style>
  <w:style w:type="paragraph" w:customStyle="1" w:styleId="242">
    <w:name w:val="Char"/>
    <w:basedOn w:val="1"/>
    <w:autoRedefine/>
    <w:qFormat/>
    <w:uiPriority w:val="0"/>
    <w:pPr>
      <w:tabs>
        <w:tab w:val="left" w:pos="425"/>
      </w:tabs>
      <w:ind w:left="425" w:hanging="425"/>
    </w:pPr>
    <w:rPr>
      <w:sz w:val="24"/>
    </w:rPr>
  </w:style>
  <w:style w:type="paragraph" w:customStyle="1" w:styleId="243">
    <w:name w:val="xl110"/>
    <w:basedOn w:val="1"/>
    <w:autoRedefine/>
    <w:qFormat/>
    <w:uiPriority w:val="0"/>
    <w:pPr>
      <w:widowControl/>
      <w:pBdr>
        <w:left w:val="single" w:color="auto" w:sz="4" w:space="0"/>
      </w:pBdr>
      <w:shd w:val="clear" w:color="000000" w:fill="FFFFFF"/>
      <w:spacing w:before="100" w:beforeAutospacing="1" w:after="100" w:afterAutospacing="1"/>
    </w:pPr>
    <w:rPr>
      <w:rFonts w:ascii="微软雅黑" w:hAnsi="微软雅黑" w:eastAsia="微软雅黑" w:cs="宋体"/>
      <w:b/>
      <w:bCs/>
      <w:color w:val="000000"/>
      <w:kern w:val="0"/>
      <w:sz w:val="18"/>
      <w:szCs w:val="18"/>
    </w:rPr>
  </w:style>
  <w:style w:type="paragraph" w:customStyle="1" w:styleId="244">
    <w:name w:val="xl6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45">
    <w:name w:val="正文2"/>
    <w:autoRedefine/>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246">
    <w:name w:val="Char Char Char Char Char Char Char Char Char Char Char Char Char Char Char Char Char Char1 Char Char Char1 Char1"/>
    <w:basedOn w:val="1"/>
    <w:autoRedefine/>
    <w:qFormat/>
    <w:uiPriority w:val="0"/>
    <w:pPr>
      <w:tabs>
        <w:tab w:val="left" w:pos="360"/>
      </w:tabs>
      <w:ind w:left="360" w:hanging="360" w:hangingChars="200"/>
    </w:pPr>
    <w:rPr>
      <w:rFonts w:ascii="Calibri" w:hAnsi="Calibri"/>
      <w:sz w:val="24"/>
    </w:rPr>
  </w:style>
  <w:style w:type="paragraph" w:customStyle="1" w:styleId="247">
    <w:name w:val="xl77"/>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 w:val="18"/>
      <w:szCs w:val="18"/>
    </w:rPr>
  </w:style>
  <w:style w:type="paragraph" w:customStyle="1" w:styleId="248">
    <w:name w:val="Char Char Char Char Char Char Char Char Char Char Char Char Char Char Char Char1"/>
    <w:basedOn w:val="1"/>
    <w:autoRedefine/>
    <w:qFormat/>
    <w:uiPriority w:val="0"/>
    <w:pPr>
      <w:tabs>
        <w:tab w:val="left" w:pos="360"/>
      </w:tabs>
    </w:pPr>
    <w:rPr>
      <w:sz w:val="24"/>
    </w:rPr>
  </w:style>
  <w:style w:type="paragraph" w:customStyle="1" w:styleId="249">
    <w:name w:val="xl10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50">
    <w:name w:val="xl96"/>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51">
    <w:name w:val="xl33"/>
    <w:basedOn w:val="1"/>
    <w:autoRedefine/>
    <w:qFormat/>
    <w:uiPriority w:val="0"/>
    <w:pPr>
      <w:widowControl/>
      <w:spacing w:beforeAutospacing="1" w:afterAutospacing="1"/>
      <w:jc w:val="left"/>
      <w:textAlignment w:val="center"/>
    </w:pPr>
    <w:rPr>
      <w:rFonts w:ascii="宋体" w:hAnsi="宋体"/>
      <w:b/>
      <w:bCs/>
      <w:kern w:val="0"/>
      <w:sz w:val="28"/>
      <w:szCs w:val="28"/>
    </w:rPr>
  </w:style>
  <w:style w:type="paragraph" w:customStyle="1" w:styleId="252">
    <w:name w:val="xl10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color w:val="000000"/>
      <w:kern w:val="0"/>
      <w:sz w:val="18"/>
      <w:szCs w:val="18"/>
    </w:rPr>
  </w:style>
  <w:style w:type="paragraph" w:customStyle="1" w:styleId="253">
    <w:name w:val="Char3"/>
    <w:basedOn w:val="1"/>
    <w:autoRedefine/>
    <w:qFormat/>
    <w:uiPriority w:val="0"/>
    <w:pPr>
      <w:tabs>
        <w:tab w:val="left" w:pos="825"/>
      </w:tabs>
      <w:ind w:left="825" w:hanging="360"/>
    </w:pPr>
    <w:rPr>
      <w:sz w:val="24"/>
    </w:rPr>
  </w:style>
  <w:style w:type="paragraph" w:customStyle="1" w:styleId="25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5">
    <w:name w:val="xl99"/>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top"/>
    </w:pPr>
    <w:rPr>
      <w:rFonts w:ascii="微软雅黑" w:hAnsi="微软雅黑" w:eastAsia="微软雅黑" w:cs="宋体"/>
      <w:color w:val="000000"/>
      <w:kern w:val="0"/>
      <w:szCs w:val="21"/>
    </w:rPr>
  </w:style>
  <w:style w:type="paragraph" w:customStyle="1" w:styleId="256">
    <w:name w:val="xl78"/>
    <w:basedOn w:val="1"/>
    <w:autoRedefine/>
    <w:qFormat/>
    <w:uiPriority w:val="0"/>
    <w:pPr>
      <w:widowControl/>
      <w:pBdr>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color w:val="000000"/>
      <w:kern w:val="0"/>
      <w:sz w:val="18"/>
      <w:szCs w:val="18"/>
    </w:rPr>
  </w:style>
  <w:style w:type="paragraph" w:customStyle="1" w:styleId="257">
    <w:name w:val="Char Char Char Char Char Char Char Char1"/>
    <w:basedOn w:val="1"/>
    <w:autoRedefine/>
    <w:qFormat/>
    <w:uiPriority w:val="0"/>
    <w:pPr>
      <w:tabs>
        <w:tab w:val="left" w:pos="360"/>
      </w:tabs>
    </w:pPr>
    <w:rPr>
      <w:rFonts w:ascii="Calibri" w:hAnsi="Calibri"/>
      <w:sz w:val="24"/>
    </w:rPr>
  </w:style>
  <w:style w:type="paragraph" w:customStyle="1" w:styleId="258">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pPr>
    <w:rPr>
      <w:rFonts w:ascii="微软雅黑" w:hAnsi="微软雅黑" w:eastAsia="微软雅黑" w:cs="宋体"/>
      <w:color w:val="000000"/>
      <w:kern w:val="0"/>
      <w:sz w:val="18"/>
      <w:szCs w:val="18"/>
    </w:rPr>
  </w:style>
  <w:style w:type="paragraph" w:customStyle="1" w:styleId="259">
    <w:name w:val="BodyText1I2"/>
    <w:basedOn w:val="260"/>
    <w:next w:val="261"/>
    <w:autoRedefine/>
    <w:qFormat/>
    <w:uiPriority w:val="0"/>
    <w:pPr>
      <w:ind w:firstLine="420"/>
    </w:pPr>
  </w:style>
  <w:style w:type="paragraph" w:customStyle="1" w:styleId="260">
    <w:name w:val="BodyTextIndent"/>
    <w:basedOn w:val="1"/>
    <w:autoRedefine/>
    <w:qFormat/>
    <w:uiPriority w:val="0"/>
    <w:pPr>
      <w:spacing w:after="120" w:line="360" w:lineRule="auto"/>
      <w:ind w:left="420" w:leftChars="200" w:firstLine="200" w:firstLineChars="200"/>
    </w:pPr>
  </w:style>
  <w:style w:type="paragraph" w:customStyle="1" w:styleId="261">
    <w:name w:val="UserStyle_13"/>
    <w:basedOn w:val="1"/>
    <w:autoRedefine/>
    <w:qFormat/>
    <w:uiPriority w:val="0"/>
    <w:pPr>
      <w:spacing w:line="360" w:lineRule="auto"/>
      <w:ind w:firstLine="200" w:firstLineChars="200"/>
    </w:pPr>
    <w:rPr>
      <w:rFonts w:ascii="宋体" w:hAnsi="宋体"/>
      <w:sz w:val="28"/>
    </w:rPr>
  </w:style>
  <w:style w:type="paragraph" w:customStyle="1" w:styleId="262">
    <w:name w:val="正文 New New New New New"/>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table" w:customStyle="1" w:styleId="263">
    <w:name w:val="Table Normal"/>
    <w:autoRedefine/>
    <w:unhideWhenUsed/>
    <w:qFormat/>
    <w:uiPriority w:val="2"/>
    <w:tblPr>
      <w:tblCellMar>
        <w:top w:w="0" w:type="dxa"/>
        <w:left w:w="0" w:type="dxa"/>
        <w:bottom w:w="0" w:type="dxa"/>
        <w:right w:w="0" w:type="dxa"/>
      </w:tblCellMar>
    </w:tblPr>
  </w:style>
  <w:style w:type="paragraph" w:customStyle="1" w:styleId="264">
    <w:name w:val="0正文"/>
    <w:basedOn w:val="1"/>
    <w:qFormat/>
    <w:uiPriority w:val="0"/>
    <w:pPr>
      <w:autoSpaceDE/>
      <w:autoSpaceDN/>
      <w:spacing w:line="360" w:lineRule="auto"/>
      <w:ind w:firstLine="200" w:firstLineChars="200"/>
      <w:jc w:val="both"/>
    </w:pPr>
    <w:rPr>
      <w:rFonts w:hint="eastAsia" w:ascii="Times New Roman" w:hAnsi="Times New Roman" w:cs="Times New Roman"/>
      <w:kern w:val="2"/>
      <w:sz w:val="24"/>
      <w:szCs w:val="24"/>
      <w:lang w:val="en-GB" w:bidi="ar-SA"/>
    </w:rPr>
  </w:style>
  <w:style w:type="paragraph" w:customStyle="1" w:styleId="265">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24304</Words>
  <Characters>25175</Characters>
  <Lines>152</Lines>
  <Paragraphs>42</Paragraphs>
  <TotalTime>5</TotalTime>
  <ScaleCrop>false</ScaleCrop>
  <LinksUpToDate>false</LinksUpToDate>
  <CharactersWithSpaces>25358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2023-01-19T02:49:00Z</dcterms:created>
  <dc:creator>Lenovo User</dc:creator>
  <cp:lastModifiedBy>招标中心</cp:lastModifiedBy>
  <cp:lastPrinted>2017-04-13T08:53:00Z</cp:lastPrinted>
  <dcterms:modified xsi:type="dcterms:W3CDTF">2025-09-22T09:06:21Z</dcterms:modified>
  <dc:title>2017省本级政府设备采购招标项目</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B375CDF8A1D0461FA7CF679022C01A4C_13</vt:lpwstr>
  </property>
  <property fmtid="{D5CDD505-2E9C-101B-9397-08002B2CF9AE}" pid="4" name="KSOTemplateDocerSaveRecord">
    <vt:lpwstr>eyJoZGlkIjoiYmY1YWVhNjBjOGUwZjNmZGJiOGZkMjUyOTA4MThkMmUiLCJ1c2VySWQiOiIxNTk1MDQ5MjkwIn0=</vt:lpwstr>
  </property>
</Properties>
</file>