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0421431">
      <w:pPr>
        <w:spacing w:line="240" w:lineRule="atLeast"/>
        <w:jc w:val="center"/>
        <w:rPr>
          <w:rFonts w:ascii="宋体"/>
          <w:sz w:val="32"/>
          <w:szCs w:val="32"/>
        </w:rPr>
      </w:pPr>
      <w:bookmarkStart w:id="0" w:name="_Toc506611570"/>
      <w:bookmarkStart w:id="1" w:name="_Toc75917299"/>
      <w:bookmarkStart w:id="2" w:name="_Toc531987376"/>
      <w:bookmarkStart w:id="3" w:name="_Toc484827160"/>
      <w:bookmarkStart w:id="4" w:name="_Toc46738149"/>
      <w:bookmarkStart w:id="5" w:name="_Toc46738410"/>
      <w:bookmarkStart w:id="6" w:name="_Toc484848505"/>
      <w:bookmarkStart w:id="7" w:name="_Toc12118333"/>
      <w:bookmarkStart w:id="8" w:name="_Toc490832162"/>
      <w:bookmarkStart w:id="9" w:name="_Toc494875372"/>
      <w:bookmarkStart w:id="10" w:name="_Toc517502601"/>
      <w:bookmarkStart w:id="11" w:name="_Toc506628521"/>
      <w:bookmarkStart w:id="12" w:name="_Toc506611778"/>
      <w:bookmarkStart w:id="13" w:name="_Toc494597746"/>
      <w:bookmarkStart w:id="14" w:name="_Toc46738283"/>
      <w:bookmarkStart w:id="15" w:name="_Toc169338716"/>
    </w:p>
    <w:p w14:paraId="5D8A5BF8">
      <w:pPr>
        <w:spacing w:line="240" w:lineRule="atLeast"/>
        <w:jc w:val="center"/>
        <w:rPr>
          <w:rFonts w:ascii="宋体"/>
          <w:sz w:val="32"/>
          <w:szCs w:val="32"/>
        </w:rPr>
      </w:pPr>
    </w:p>
    <w:p w14:paraId="3594FDCA">
      <w:pPr>
        <w:spacing w:line="240" w:lineRule="atLeast"/>
        <w:jc w:val="center"/>
        <w:rPr>
          <w:rFonts w:ascii="宋体"/>
          <w:sz w:val="32"/>
          <w:szCs w:val="32"/>
        </w:rPr>
      </w:pPr>
    </w:p>
    <w:p w14:paraId="43E3F5B2">
      <w:pPr>
        <w:spacing w:line="240" w:lineRule="atLeast"/>
        <w:jc w:val="center"/>
        <w:rPr>
          <w:rFonts w:hint="eastAsia" w:ascii="宋体" w:eastAsia="宋体"/>
          <w:color w:val="auto"/>
          <w:sz w:val="36"/>
          <w:szCs w:val="36"/>
          <w:highlight w:val="none"/>
          <w:lang w:eastAsia="zh-CN"/>
        </w:rPr>
      </w:pPr>
      <w:r>
        <w:rPr>
          <w:rFonts w:hint="eastAsia" w:ascii="宋体"/>
          <w:color w:val="auto"/>
          <w:sz w:val="36"/>
          <w:szCs w:val="36"/>
          <w:highlight w:val="none"/>
        </w:rPr>
        <w:t>项目名称：</w:t>
      </w:r>
      <w:r>
        <w:rPr>
          <w:rFonts w:hint="eastAsia" w:ascii="宋体"/>
          <w:color w:val="auto"/>
          <w:sz w:val="36"/>
          <w:szCs w:val="36"/>
          <w:highlight w:val="none"/>
          <w:lang w:eastAsia="zh-CN"/>
        </w:rPr>
        <w:t>海南政法职业学院教务管理系统项目</w:t>
      </w:r>
    </w:p>
    <w:p w14:paraId="6458F67E">
      <w:pPr>
        <w:spacing w:line="240" w:lineRule="atLeast"/>
        <w:jc w:val="center"/>
        <w:rPr>
          <w:rFonts w:hint="eastAsia" w:ascii="宋体"/>
          <w:color w:val="auto"/>
          <w:sz w:val="36"/>
          <w:szCs w:val="36"/>
          <w:highlight w:val="none"/>
        </w:rPr>
      </w:pPr>
    </w:p>
    <w:p w14:paraId="258DFE80">
      <w:pPr>
        <w:spacing w:line="240" w:lineRule="atLeast"/>
        <w:jc w:val="center"/>
        <w:rPr>
          <w:rFonts w:hint="eastAsia" w:ascii="宋体"/>
          <w:color w:val="auto"/>
          <w:sz w:val="36"/>
          <w:szCs w:val="36"/>
          <w:highlight w:val="none"/>
        </w:rPr>
      </w:pPr>
    </w:p>
    <w:p w14:paraId="5F75FD6E">
      <w:pPr>
        <w:spacing w:line="240" w:lineRule="atLeast"/>
        <w:jc w:val="center"/>
        <w:rPr>
          <w:rFonts w:hint="eastAsia" w:ascii="宋体" w:hAnsi="宋体" w:eastAsia="宋体"/>
          <w:b/>
          <w:color w:val="auto"/>
          <w:kern w:val="0"/>
          <w:sz w:val="32"/>
          <w:szCs w:val="32"/>
          <w:highlight w:val="none"/>
          <w:lang w:val="en-US" w:eastAsia="zh-CN"/>
        </w:rPr>
      </w:pPr>
      <w:r>
        <w:rPr>
          <w:rFonts w:hint="eastAsia" w:ascii="宋体"/>
          <w:color w:val="auto"/>
          <w:sz w:val="36"/>
          <w:szCs w:val="36"/>
          <w:highlight w:val="none"/>
        </w:rPr>
        <w:t xml:space="preserve">项目编号: </w:t>
      </w:r>
      <w:r>
        <w:rPr>
          <w:rFonts w:hint="eastAsia" w:ascii="宋体"/>
          <w:color w:val="auto"/>
          <w:sz w:val="36"/>
          <w:szCs w:val="36"/>
          <w:highlight w:val="none"/>
          <w:lang w:eastAsia="zh-CN"/>
        </w:rPr>
        <w:t>HNJY2025-14-4</w:t>
      </w:r>
    </w:p>
    <w:p w14:paraId="2AAFC977">
      <w:pPr>
        <w:spacing w:line="240" w:lineRule="atLeast"/>
        <w:jc w:val="center"/>
        <w:rPr>
          <w:rFonts w:ascii="宋体" w:hAnsi="宋体"/>
          <w:b/>
          <w:color w:val="auto"/>
          <w:kern w:val="0"/>
          <w:sz w:val="28"/>
          <w:szCs w:val="28"/>
          <w:highlight w:val="none"/>
        </w:rPr>
      </w:pPr>
    </w:p>
    <w:p w14:paraId="565A2A21">
      <w:pPr>
        <w:spacing w:line="240" w:lineRule="atLeast"/>
        <w:jc w:val="center"/>
        <w:rPr>
          <w:b/>
          <w:color w:val="auto"/>
          <w:sz w:val="28"/>
          <w:highlight w:val="none"/>
        </w:rPr>
      </w:pPr>
    </w:p>
    <w:p w14:paraId="453617BA">
      <w:pPr>
        <w:spacing w:line="240" w:lineRule="atLeast"/>
        <w:jc w:val="center"/>
        <w:rPr>
          <w:b/>
          <w:color w:val="auto"/>
          <w:sz w:val="28"/>
          <w:highlight w:val="none"/>
        </w:rPr>
      </w:pPr>
    </w:p>
    <w:p w14:paraId="1E22F20E">
      <w:pPr>
        <w:spacing w:line="240" w:lineRule="atLeast"/>
        <w:jc w:val="center"/>
        <w:rPr>
          <w:color w:val="auto"/>
          <w:sz w:val="72"/>
          <w:szCs w:val="72"/>
          <w:highlight w:val="none"/>
        </w:rPr>
      </w:pPr>
      <w:r>
        <w:rPr>
          <w:rFonts w:hint="eastAsia"/>
          <w:color w:val="auto"/>
          <w:sz w:val="72"/>
          <w:szCs w:val="72"/>
          <w:highlight w:val="none"/>
        </w:rPr>
        <w:t>竞争性磋商采购文件</w:t>
      </w:r>
    </w:p>
    <w:p w14:paraId="1DBC4E44">
      <w:pPr>
        <w:spacing w:line="240" w:lineRule="atLeast"/>
        <w:jc w:val="center"/>
        <w:rPr>
          <w:rFonts w:ascii="宋体"/>
          <w:color w:val="auto"/>
          <w:sz w:val="72"/>
          <w:szCs w:val="72"/>
          <w:highlight w:val="none"/>
        </w:rPr>
      </w:pPr>
    </w:p>
    <w:p w14:paraId="56EA52CA">
      <w:pPr>
        <w:rPr>
          <w:color w:val="auto"/>
          <w:highlight w:val="none"/>
        </w:rPr>
      </w:pPr>
    </w:p>
    <w:p w14:paraId="02BBF9AF">
      <w:pPr>
        <w:rPr>
          <w:color w:val="auto"/>
          <w:highlight w:val="none"/>
        </w:rPr>
      </w:pPr>
    </w:p>
    <w:p w14:paraId="3EFDD923">
      <w:pPr>
        <w:pStyle w:val="3"/>
        <w:rPr>
          <w:color w:val="auto"/>
          <w:highlight w:val="none"/>
        </w:rPr>
      </w:pPr>
    </w:p>
    <w:p w14:paraId="5998D3C7">
      <w:pPr>
        <w:rPr>
          <w:color w:val="auto"/>
          <w:highlight w:val="none"/>
        </w:rPr>
      </w:pPr>
    </w:p>
    <w:p w14:paraId="2099FC4F">
      <w:pPr>
        <w:spacing w:line="240" w:lineRule="atLeast"/>
        <w:rPr>
          <w:rFonts w:ascii="宋体"/>
          <w:b/>
          <w:color w:val="auto"/>
          <w:sz w:val="32"/>
          <w:highlight w:val="none"/>
        </w:rPr>
      </w:pPr>
    </w:p>
    <w:p w14:paraId="74BEFE35">
      <w:pPr>
        <w:jc w:val="center"/>
        <w:rPr>
          <w:rFonts w:hint="eastAsia" w:ascii="宋体" w:hAnsi="宋体" w:eastAsia="宋体"/>
          <w:color w:val="auto"/>
          <w:sz w:val="32"/>
          <w:szCs w:val="32"/>
          <w:highlight w:val="none"/>
          <w:lang w:eastAsia="zh-CN"/>
        </w:rPr>
      </w:pPr>
      <w:r>
        <w:rPr>
          <w:rFonts w:hint="eastAsia" w:ascii="宋体" w:hAnsi="宋体"/>
          <w:color w:val="auto"/>
          <w:sz w:val="32"/>
          <w:szCs w:val="32"/>
          <w:highlight w:val="none"/>
        </w:rPr>
        <w:t>采购人：</w:t>
      </w:r>
      <w:r>
        <w:rPr>
          <w:rFonts w:ascii="宋体" w:hAnsi="宋体"/>
          <w:color w:val="auto"/>
          <w:sz w:val="32"/>
          <w:szCs w:val="32"/>
          <w:highlight w:val="none"/>
        </w:rPr>
        <w:t xml:space="preserve"> </w:t>
      </w:r>
      <w:r>
        <w:rPr>
          <w:rFonts w:hint="eastAsia" w:ascii="宋体" w:hAnsi="宋体"/>
          <w:color w:val="auto"/>
          <w:sz w:val="32"/>
          <w:szCs w:val="32"/>
          <w:highlight w:val="none"/>
        </w:rPr>
        <w:t>海南政法职业学院</w:t>
      </w:r>
    </w:p>
    <w:p w14:paraId="7D87F475">
      <w:pPr>
        <w:pStyle w:val="21"/>
        <w:ind w:left="834" w:leftChars="397" w:firstLineChars="160"/>
        <w:jc w:val="both"/>
        <w:outlineLvl w:val="0"/>
        <w:rPr>
          <w:b/>
          <w:color w:val="auto"/>
          <w:sz w:val="36"/>
          <w:szCs w:val="36"/>
          <w:highlight w:val="none"/>
        </w:rPr>
      </w:pPr>
      <w:r>
        <w:rPr>
          <w:rFonts w:hint="eastAsia"/>
          <w:color w:val="auto"/>
          <w:sz w:val="32"/>
          <w:szCs w:val="32"/>
          <w:highlight w:val="none"/>
        </w:rPr>
        <w:t>采购代理机构：海南省教学仪器设备招标中心有限公司</w:t>
      </w:r>
    </w:p>
    <w:p w14:paraId="3B222556">
      <w:pPr>
        <w:spacing w:line="240" w:lineRule="atLeast"/>
        <w:jc w:val="center"/>
        <w:rPr>
          <w:rFonts w:hint="eastAsia"/>
          <w:color w:val="auto"/>
          <w:sz w:val="36"/>
          <w:szCs w:val="36"/>
          <w:highlight w:val="none"/>
          <w:lang w:eastAsia="zh-CN"/>
        </w:rPr>
      </w:pPr>
    </w:p>
    <w:p w14:paraId="319ABCC9">
      <w:pPr>
        <w:spacing w:line="240" w:lineRule="atLeast"/>
        <w:jc w:val="center"/>
        <w:rPr>
          <w:rFonts w:hint="eastAsia"/>
          <w:color w:val="auto"/>
          <w:sz w:val="36"/>
          <w:szCs w:val="36"/>
          <w:highlight w:val="none"/>
        </w:rPr>
      </w:pPr>
      <w:r>
        <w:rPr>
          <w:rFonts w:hint="eastAsia"/>
          <w:color w:val="auto"/>
          <w:sz w:val="36"/>
          <w:szCs w:val="36"/>
          <w:highlight w:val="none"/>
          <w:lang w:eastAsia="zh-CN"/>
        </w:rPr>
        <w:t>2025年</w:t>
      </w:r>
      <w:r>
        <w:rPr>
          <w:rFonts w:hint="eastAsia"/>
          <w:color w:val="auto"/>
          <w:sz w:val="36"/>
          <w:szCs w:val="36"/>
          <w:highlight w:val="none"/>
          <w:lang w:val="en-US" w:eastAsia="zh-CN"/>
        </w:rPr>
        <w:t>9</w:t>
      </w:r>
      <w:r>
        <w:rPr>
          <w:rFonts w:hint="eastAsia"/>
          <w:color w:val="auto"/>
          <w:sz w:val="36"/>
          <w:szCs w:val="36"/>
          <w:highlight w:val="none"/>
        </w:rPr>
        <w:t>月</w:t>
      </w:r>
    </w:p>
    <w:p w14:paraId="5F938D15">
      <w:pPr>
        <w:jc w:val="center"/>
        <w:rPr>
          <w:b/>
          <w:bCs/>
          <w:sz w:val="36"/>
          <w:szCs w:val="36"/>
        </w:rPr>
      </w:pPr>
    </w:p>
    <w:p w14:paraId="2D597CD1">
      <w:pPr>
        <w:jc w:val="center"/>
        <w:rPr>
          <w:b/>
          <w:bCs/>
          <w:sz w:val="36"/>
          <w:szCs w:val="36"/>
        </w:rPr>
      </w:pPr>
    </w:p>
    <w:p w14:paraId="301CE533">
      <w:pPr>
        <w:jc w:val="center"/>
        <w:rPr>
          <w:b/>
          <w:bCs/>
          <w:sz w:val="36"/>
          <w:szCs w:val="36"/>
        </w:rPr>
      </w:pPr>
    </w:p>
    <w:p w14:paraId="3F042C93">
      <w:pPr>
        <w:jc w:val="center"/>
        <w:rPr>
          <w:b/>
          <w:bCs/>
          <w:sz w:val="36"/>
          <w:szCs w:val="36"/>
        </w:rPr>
      </w:pPr>
    </w:p>
    <w:p w14:paraId="11CF82B5">
      <w:pPr>
        <w:jc w:val="center"/>
        <w:rPr>
          <w:b/>
          <w:bCs/>
          <w:sz w:val="36"/>
          <w:szCs w:val="36"/>
        </w:rPr>
      </w:pPr>
      <w:r>
        <w:rPr>
          <w:rFonts w:hint="eastAsia"/>
          <w:b/>
          <w:bCs/>
          <w:sz w:val="36"/>
          <w:szCs w:val="36"/>
        </w:rPr>
        <w:t>目录</w:t>
      </w:r>
    </w:p>
    <w:p w14:paraId="2929DA22">
      <w:pPr>
        <w:pStyle w:val="21"/>
        <w:spacing w:line="360" w:lineRule="exact"/>
        <w:ind w:left="836" w:leftChars="398" w:firstLine="1918" w:firstLineChars="597"/>
        <w:jc w:val="both"/>
        <w:rPr>
          <w:b/>
          <w:bCs/>
          <w:sz w:val="32"/>
          <w:szCs w:val="32"/>
        </w:rPr>
      </w:pPr>
    </w:p>
    <w:p w14:paraId="3B42A757"/>
    <w:p w14:paraId="530B5635">
      <w:pPr>
        <w:spacing w:line="900" w:lineRule="exact"/>
        <w:rPr>
          <w:b/>
          <w:sz w:val="32"/>
          <w:szCs w:val="32"/>
        </w:rPr>
      </w:pPr>
      <w:r>
        <w:rPr>
          <w:rFonts w:hint="eastAsia"/>
          <w:b/>
          <w:sz w:val="32"/>
          <w:szCs w:val="32"/>
        </w:rPr>
        <w:t>第一部分竞争性磋商采购邀请函</w:t>
      </w:r>
    </w:p>
    <w:p w14:paraId="0E7976FF">
      <w:pPr>
        <w:spacing w:line="900" w:lineRule="exact"/>
        <w:outlineLvl w:val="0"/>
        <w:rPr>
          <w:b/>
          <w:sz w:val="32"/>
          <w:szCs w:val="32"/>
        </w:rPr>
      </w:pPr>
      <w:r>
        <w:rPr>
          <w:rFonts w:hint="eastAsia"/>
          <w:b/>
          <w:sz w:val="32"/>
          <w:szCs w:val="32"/>
        </w:rPr>
        <w:t>第二部分竞争性磋商项目需求</w:t>
      </w:r>
    </w:p>
    <w:p w14:paraId="4EA94CA9">
      <w:pPr>
        <w:tabs>
          <w:tab w:val="left" w:pos="720"/>
          <w:tab w:val="left" w:pos="1260"/>
          <w:tab w:val="left" w:pos="2160"/>
          <w:tab w:val="left" w:pos="2880"/>
          <w:tab w:val="left" w:pos="3600"/>
          <w:tab w:val="left" w:pos="4320"/>
          <w:tab w:val="left" w:pos="5040"/>
          <w:tab w:val="left" w:pos="5760"/>
        </w:tabs>
        <w:autoSpaceDE w:val="0"/>
        <w:autoSpaceDN w:val="0"/>
        <w:adjustRightInd w:val="0"/>
        <w:spacing w:line="900" w:lineRule="exact"/>
        <w:ind w:right="258" w:rightChars="123"/>
        <w:rPr>
          <w:b/>
          <w:sz w:val="32"/>
          <w:szCs w:val="32"/>
        </w:rPr>
      </w:pPr>
      <w:r>
        <w:rPr>
          <w:rFonts w:hint="eastAsia"/>
          <w:b/>
          <w:sz w:val="32"/>
          <w:szCs w:val="32"/>
        </w:rPr>
        <w:t>第三部分供应商须知</w:t>
      </w:r>
    </w:p>
    <w:p w14:paraId="684AE73E">
      <w:pPr>
        <w:spacing w:line="900" w:lineRule="exact"/>
        <w:rPr>
          <w:b/>
          <w:sz w:val="32"/>
          <w:szCs w:val="32"/>
        </w:rPr>
      </w:pPr>
      <w:r>
        <w:rPr>
          <w:rFonts w:hint="eastAsia"/>
          <w:b/>
          <w:sz w:val="32"/>
          <w:szCs w:val="32"/>
        </w:rPr>
        <w:t>第四部分评审办法</w:t>
      </w:r>
    </w:p>
    <w:p w14:paraId="076A699B">
      <w:pPr>
        <w:spacing w:line="900" w:lineRule="exact"/>
        <w:rPr>
          <w:b/>
          <w:sz w:val="32"/>
          <w:szCs w:val="32"/>
        </w:rPr>
      </w:pPr>
      <w:r>
        <w:rPr>
          <w:rFonts w:hint="eastAsia"/>
          <w:b/>
          <w:sz w:val="32"/>
          <w:szCs w:val="32"/>
        </w:rPr>
        <w:t>第五部分合同条款格式</w:t>
      </w:r>
    </w:p>
    <w:p w14:paraId="338661B1">
      <w:pPr>
        <w:spacing w:line="900" w:lineRule="exact"/>
        <w:rPr>
          <w:b/>
          <w:sz w:val="32"/>
          <w:szCs w:val="32"/>
        </w:rPr>
      </w:pPr>
      <w:r>
        <w:rPr>
          <w:rFonts w:hint="eastAsia"/>
          <w:b/>
          <w:sz w:val="32"/>
          <w:szCs w:val="32"/>
        </w:rPr>
        <w:t>第六部分响应文件格式</w:t>
      </w:r>
    </w:p>
    <w:p w14:paraId="7F36A6FB"/>
    <w:p w14:paraId="7BF6BE53"/>
    <w:p w14:paraId="272F0EF4"/>
    <w:p w14:paraId="2EEABDFF"/>
    <w:p w14:paraId="05F4897D"/>
    <w:p w14:paraId="11FB35DE"/>
    <w:p w14:paraId="5CEFE9EE"/>
    <w:p w14:paraId="45340EDE"/>
    <w:p w14:paraId="28F8487D"/>
    <w:p w14:paraId="0AC0EA16"/>
    <w:p w14:paraId="489268C2"/>
    <w:p w14:paraId="6882883E"/>
    <w:p w14:paraId="27B3E16E"/>
    <w:p w14:paraId="353BCE89"/>
    <w:p w14:paraId="26A24886"/>
    <w:p w14:paraId="34BBFCB9"/>
    <w:p w14:paraId="1870D0FA"/>
    <w:p w14:paraId="7EA1DF0B"/>
    <w:p w14:paraId="185A7BA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4B31576C">
      <w:pPr>
        <w:pStyle w:val="130"/>
        <w:spacing w:line="360" w:lineRule="exact"/>
        <w:ind w:left="0" w:leftChars="0" w:firstLine="0" w:firstLineChars="0"/>
        <w:jc w:val="both"/>
        <w:rPr>
          <w:rFonts w:hint="eastAsia"/>
          <w:b/>
          <w:bCs/>
          <w:color w:val="auto"/>
          <w:sz w:val="32"/>
          <w:szCs w:val="32"/>
          <w:highlight w:val="none"/>
        </w:rPr>
      </w:pPr>
    </w:p>
    <w:p w14:paraId="3B21DF63">
      <w:pPr>
        <w:pStyle w:val="130"/>
        <w:spacing w:line="360" w:lineRule="exact"/>
        <w:ind w:left="836" w:leftChars="398" w:firstLine="1918" w:firstLineChars="597"/>
        <w:jc w:val="both"/>
        <w:rPr>
          <w:color w:val="auto"/>
          <w:highlight w:val="none"/>
        </w:rPr>
      </w:pPr>
      <w:r>
        <w:rPr>
          <w:rFonts w:hint="eastAsia"/>
          <w:b/>
          <w:bCs/>
          <w:color w:val="auto"/>
          <w:sz w:val="32"/>
          <w:szCs w:val="32"/>
          <w:highlight w:val="none"/>
        </w:rPr>
        <w:t>第一部分　采购</w:t>
      </w:r>
      <w:r>
        <w:rPr>
          <w:rFonts w:hint="eastAsia"/>
          <w:b/>
          <w:color w:val="auto"/>
          <w:sz w:val="32"/>
          <w:szCs w:val="32"/>
          <w:highlight w:val="none"/>
        </w:rPr>
        <w:t>邀请函</w:t>
      </w:r>
    </w:p>
    <w:p w14:paraId="65A617D5">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项目概况</w:t>
      </w:r>
    </w:p>
    <w:p w14:paraId="07F3AEF1">
      <w:pPr>
        <w:pBdr>
          <w:top w:val="single" w:color="auto" w:sz="4" w:space="1"/>
          <w:left w:val="single" w:color="auto" w:sz="4" w:space="4"/>
          <w:bottom w:val="single" w:color="auto" w:sz="4" w:space="1"/>
          <w:right w:val="single" w:color="auto" w:sz="4" w:space="4"/>
        </w:pBdr>
        <w:adjustRightInd w:val="0"/>
        <w:snapToGrid w:val="0"/>
        <w:spacing w:line="360" w:lineRule="auto"/>
        <w:ind w:firstLine="600" w:firstLineChars="250"/>
        <w:rPr>
          <w:rFonts w:ascii="宋体" w:hAnsi="宋体" w:cs="宋体"/>
          <w:color w:val="auto"/>
          <w:kern w:val="0"/>
          <w:sz w:val="24"/>
          <w:highlight w:val="none"/>
        </w:rPr>
      </w:pPr>
      <w:r>
        <w:rPr>
          <w:rFonts w:hint="eastAsia" w:ascii="宋体" w:hAnsi="宋体" w:cs="宋体"/>
          <w:color w:val="auto"/>
          <w:kern w:val="0"/>
          <w:sz w:val="24"/>
          <w:highlight w:val="none"/>
          <w:u w:val="single"/>
          <w:lang w:eastAsia="zh-CN"/>
        </w:rPr>
        <w:t>海南政法职业学院教务管理系统项目</w:t>
      </w:r>
      <w:r>
        <w:rPr>
          <w:rFonts w:hint="eastAsia" w:ascii="宋体" w:hAnsi="宋体" w:cs="宋体"/>
          <w:color w:val="auto"/>
          <w:kern w:val="0"/>
          <w:sz w:val="24"/>
          <w:highlight w:val="none"/>
        </w:rPr>
        <w:t>的潜在供应商应在</w:t>
      </w:r>
      <w:r>
        <w:rPr>
          <w:rFonts w:hint="eastAsia" w:ascii="宋体" w:hAnsi="宋体" w:cs="宋体"/>
          <w:color w:val="auto"/>
          <w:kern w:val="0"/>
          <w:sz w:val="24"/>
          <w:highlight w:val="none"/>
          <w:u w:val="single"/>
        </w:rPr>
        <w:t>（海南省海口市蓝天路2-8号海南省教学仪器设备招标中心有限公司）</w:t>
      </w:r>
      <w:r>
        <w:rPr>
          <w:rFonts w:hint="eastAsia" w:ascii="宋体" w:hAnsi="宋体" w:cs="宋体"/>
          <w:color w:val="auto"/>
          <w:kern w:val="0"/>
          <w:sz w:val="24"/>
          <w:highlight w:val="none"/>
        </w:rPr>
        <w:t>获取磋商文件，并于</w:t>
      </w:r>
      <w:r>
        <w:rPr>
          <w:rFonts w:hint="eastAsia" w:ascii="宋体" w:hAnsi="宋体" w:cs="宋体"/>
          <w:color w:val="auto"/>
          <w:kern w:val="0"/>
          <w:sz w:val="24"/>
          <w:highlight w:val="none"/>
          <w:u w:val="single"/>
          <w:lang w:eastAsia="zh-CN"/>
        </w:rPr>
        <w:t>2025年</w:t>
      </w:r>
      <w:r>
        <w:rPr>
          <w:rFonts w:hint="eastAsia" w:ascii="宋体" w:hAnsi="宋体" w:cs="宋体"/>
          <w:color w:val="auto"/>
          <w:kern w:val="0"/>
          <w:sz w:val="24"/>
          <w:highlight w:val="none"/>
          <w:u w:val="single"/>
          <w:lang w:val="en-US" w:eastAsia="zh-CN"/>
        </w:rPr>
        <w:t>10</w:t>
      </w:r>
      <w:r>
        <w:rPr>
          <w:rFonts w:hint="eastAsia" w:ascii="宋体" w:hAnsi="宋体" w:cs="宋体"/>
          <w:color w:val="auto"/>
          <w:kern w:val="0"/>
          <w:sz w:val="24"/>
          <w:highlight w:val="none"/>
          <w:u w:val="single"/>
        </w:rPr>
        <w:t>月</w:t>
      </w:r>
      <w:r>
        <w:rPr>
          <w:rFonts w:hint="eastAsia" w:ascii="宋体" w:hAnsi="宋体" w:cs="宋体"/>
          <w:color w:val="auto"/>
          <w:kern w:val="0"/>
          <w:sz w:val="24"/>
          <w:highlight w:val="none"/>
          <w:u w:val="single"/>
          <w:lang w:val="en-US" w:eastAsia="zh-CN"/>
        </w:rPr>
        <w:t>16</w:t>
      </w:r>
      <w:r>
        <w:rPr>
          <w:rFonts w:hint="eastAsia" w:ascii="宋体" w:hAnsi="宋体" w:cs="宋体"/>
          <w:color w:val="auto"/>
          <w:kern w:val="0"/>
          <w:sz w:val="24"/>
          <w:highlight w:val="none"/>
          <w:u w:val="single"/>
        </w:rPr>
        <w:t>日</w:t>
      </w:r>
      <w:r>
        <w:rPr>
          <w:rFonts w:hint="eastAsia" w:ascii="宋体" w:hAnsi="宋体" w:cs="宋体"/>
          <w:color w:val="auto"/>
          <w:kern w:val="0"/>
          <w:sz w:val="24"/>
          <w:highlight w:val="none"/>
          <w:u w:val="single"/>
          <w:lang w:val="en-US" w:eastAsia="zh-CN"/>
        </w:rPr>
        <w:t>9</w:t>
      </w:r>
      <w:r>
        <w:rPr>
          <w:rFonts w:hint="eastAsia" w:ascii="宋体" w:hAnsi="宋体" w:cs="宋体"/>
          <w:color w:val="auto"/>
          <w:kern w:val="0"/>
          <w:sz w:val="24"/>
          <w:highlight w:val="none"/>
          <w:u w:val="single"/>
        </w:rPr>
        <w:t>点</w:t>
      </w:r>
      <w:r>
        <w:rPr>
          <w:rFonts w:hint="eastAsia" w:ascii="宋体" w:hAnsi="宋体" w:cs="宋体"/>
          <w:color w:val="auto"/>
          <w:kern w:val="0"/>
          <w:sz w:val="24"/>
          <w:highlight w:val="none"/>
          <w:u w:val="single"/>
          <w:lang w:val="en-US" w:eastAsia="zh-CN"/>
        </w:rPr>
        <w:t>00</w:t>
      </w:r>
      <w:r>
        <w:rPr>
          <w:rFonts w:hint="eastAsia" w:ascii="宋体" w:hAnsi="宋体" w:cs="宋体"/>
          <w:color w:val="auto"/>
          <w:kern w:val="0"/>
          <w:sz w:val="24"/>
          <w:highlight w:val="none"/>
          <w:u w:val="single"/>
        </w:rPr>
        <w:t>分（北京时间）</w:t>
      </w:r>
      <w:r>
        <w:rPr>
          <w:rFonts w:hint="eastAsia" w:ascii="宋体" w:hAnsi="宋体" w:cs="宋体"/>
          <w:color w:val="auto"/>
          <w:kern w:val="0"/>
          <w:sz w:val="24"/>
          <w:highlight w:val="none"/>
        </w:rPr>
        <w:t>前提交响应</w:t>
      </w:r>
      <w:r>
        <w:rPr>
          <w:rFonts w:ascii="宋体" w:hAnsi="宋体" w:cs="宋体"/>
          <w:color w:val="auto"/>
          <w:kern w:val="0"/>
          <w:sz w:val="24"/>
          <w:highlight w:val="none"/>
        </w:rPr>
        <w:t>文件</w:t>
      </w:r>
      <w:r>
        <w:rPr>
          <w:rFonts w:hint="eastAsia" w:ascii="宋体" w:hAnsi="宋体" w:cs="宋体"/>
          <w:color w:val="auto"/>
          <w:kern w:val="0"/>
          <w:sz w:val="24"/>
          <w:highlight w:val="none"/>
        </w:rPr>
        <w:t>。</w:t>
      </w:r>
    </w:p>
    <w:p w14:paraId="1D7F168C">
      <w:pPr>
        <w:adjustRightInd w:val="0"/>
        <w:snapToGrid w:val="0"/>
        <w:spacing w:line="360" w:lineRule="auto"/>
        <w:rPr>
          <w:rFonts w:ascii="宋体" w:hAnsi="宋体" w:cs="宋体"/>
          <w:color w:val="auto"/>
          <w:kern w:val="0"/>
          <w:sz w:val="24"/>
          <w:highlight w:val="none"/>
        </w:rPr>
      </w:pPr>
    </w:p>
    <w:p w14:paraId="43DB7C26">
      <w:pPr>
        <w:keepNext/>
        <w:keepLines/>
        <w:autoSpaceDE w:val="0"/>
        <w:autoSpaceDN w:val="0"/>
        <w:adjustRightInd w:val="0"/>
        <w:snapToGrid w:val="0"/>
        <w:spacing w:line="360" w:lineRule="auto"/>
        <w:textAlignment w:val="baseline"/>
        <w:outlineLvl w:val="1"/>
        <w:rPr>
          <w:rFonts w:ascii="宋体" w:hAnsi="宋体" w:cs="宋体"/>
          <w:b/>
          <w:color w:val="auto"/>
          <w:kern w:val="0"/>
          <w:sz w:val="24"/>
          <w:highlight w:val="none"/>
        </w:rPr>
      </w:pPr>
      <w:bookmarkStart w:id="16" w:name="_Toc28359089"/>
      <w:bookmarkStart w:id="17" w:name="_Toc28359012"/>
      <w:bookmarkStart w:id="18" w:name="_Toc35393798"/>
      <w:bookmarkStart w:id="19" w:name="_Toc35393629"/>
      <w:r>
        <w:rPr>
          <w:rFonts w:hint="eastAsia" w:ascii="宋体" w:hAnsi="宋体" w:cs="宋体"/>
          <w:b/>
          <w:color w:val="auto"/>
          <w:kern w:val="0"/>
          <w:sz w:val="24"/>
          <w:highlight w:val="none"/>
        </w:rPr>
        <w:t>一、项目基本情况</w:t>
      </w:r>
      <w:bookmarkEnd w:id="16"/>
      <w:bookmarkEnd w:id="17"/>
      <w:bookmarkEnd w:id="18"/>
      <w:bookmarkEnd w:id="19"/>
    </w:p>
    <w:p w14:paraId="2F24B6E5">
      <w:pPr>
        <w:adjustRightInd w:val="0"/>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项目编号：</w:t>
      </w:r>
      <w:r>
        <w:rPr>
          <w:rFonts w:hint="eastAsia" w:ascii="宋体" w:hAnsi="宋体" w:cs="宋体"/>
          <w:color w:val="auto"/>
          <w:kern w:val="0"/>
          <w:sz w:val="24"/>
          <w:highlight w:val="none"/>
          <w:lang w:eastAsia="zh-CN"/>
        </w:rPr>
        <w:t>HNJY2025-14-4</w:t>
      </w:r>
    </w:p>
    <w:p w14:paraId="36F2E02B">
      <w:pPr>
        <w:spacing w:line="360" w:lineRule="auto"/>
        <w:ind w:left="1679" w:leftChars="228" w:hanging="1200" w:hangingChars="500"/>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kern w:val="0"/>
          <w:sz w:val="24"/>
          <w:highlight w:val="none"/>
        </w:rPr>
        <w:t>项目名称：</w:t>
      </w:r>
      <w:r>
        <w:rPr>
          <w:rFonts w:hint="eastAsia" w:ascii="宋体" w:hAnsi="宋体" w:cs="宋体"/>
          <w:b w:val="0"/>
          <w:bCs w:val="0"/>
          <w:color w:val="auto"/>
          <w:sz w:val="24"/>
          <w:szCs w:val="24"/>
          <w:highlight w:val="none"/>
          <w:lang w:val="en-US" w:eastAsia="zh-CN"/>
        </w:rPr>
        <w:t>海南政法职业学院教务管理系统项目</w:t>
      </w:r>
    </w:p>
    <w:p w14:paraId="57C2EDDB">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 xml:space="preserve">采购方式：竞争性磋商 </w:t>
      </w:r>
    </w:p>
    <w:p w14:paraId="76E8F006">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预算金额</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含税</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：45.2</w:t>
      </w:r>
      <w:r>
        <w:rPr>
          <w:rFonts w:hint="eastAsia" w:ascii="宋体" w:hAnsi="宋体" w:cs="宋体"/>
          <w:color w:val="auto"/>
          <w:kern w:val="0"/>
          <w:sz w:val="24"/>
          <w:highlight w:val="none"/>
          <w:lang w:val="en-US" w:eastAsia="zh-CN"/>
        </w:rPr>
        <w:t>万元</w:t>
      </w:r>
      <w:r>
        <w:rPr>
          <w:rFonts w:hint="eastAsia" w:ascii="宋体" w:hAnsi="宋体" w:cs="宋体"/>
          <w:color w:val="auto"/>
          <w:kern w:val="0"/>
          <w:sz w:val="24"/>
          <w:highlight w:val="none"/>
        </w:rPr>
        <w:t>。</w:t>
      </w:r>
    </w:p>
    <w:p w14:paraId="729A0ABF">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最高限价</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含税</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：45.2万元</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超过最高限价的响应无效</w:t>
      </w:r>
      <w:r>
        <w:rPr>
          <w:rFonts w:hint="eastAsia" w:ascii="宋体" w:hAnsi="宋体" w:cs="宋体"/>
          <w:color w:val="auto"/>
          <w:kern w:val="0"/>
          <w:sz w:val="24"/>
          <w:highlight w:val="none"/>
        </w:rPr>
        <w:t>。</w:t>
      </w:r>
    </w:p>
    <w:p w14:paraId="5C1D5E5F">
      <w:pPr>
        <w:adjustRightInd w:val="0"/>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采购需求：详见</w:t>
      </w:r>
      <w:r>
        <w:rPr>
          <w:rFonts w:hint="eastAsia" w:ascii="宋体" w:hAnsi="宋体" w:cs="宋体"/>
          <w:color w:val="auto"/>
          <w:kern w:val="0"/>
          <w:sz w:val="24"/>
          <w:highlight w:val="none"/>
          <w:lang w:eastAsia="zh-CN"/>
        </w:rPr>
        <w:t>采购文件</w:t>
      </w:r>
      <w:r>
        <w:rPr>
          <w:rFonts w:hint="eastAsia" w:ascii="宋体" w:hAnsi="宋体" w:cs="宋体"/>
          <w:color w:val="auto"/>
          <w:kern w:val="0"/>
          <w:sz w:val="24"/>
          <w:highlight w:val="none"/>
        </w:rPr>
        <w:t>采购需求清单</w:t>
      </w:r>
    </w:p>
    <w:p w14:paraId="393EAEFA">
      <w:pPr>
        <w:adjustRightInd w:val="0"/>
        <w:snapToGrid w:val="0"/>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rPr>
        <w:t>合同履行期限：合同签订之日起</w:t>
      </w:r>
      <w:r>
        <w:rPr>
          <w:rFonts w:hint="eastAsia" w:ascii="宋体" w:hAnsi="宋体" w:cs="宋体"/>
          <w:color w:val="auto"/>
          <w:kern w:val="0"/>
          <w:sz w:val="24"/>
          <w:highlight w:val="none"/>
          <w:lang w:val="en-US" w:eastAsia="zh-CN"/>
        </w:rPr>
        <w:t>45</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内</w:t>
      </w:r>
      <w:r>
        <w:rPr>
          <w:rFonts w:hint="eastAsia" w:ascii="宋体" w:hAnsi="宋体" w:cs="宋体"/>
          <w:color w:val="auto"/>
          <w:kern w:val="0"/>
          <w:sz w:val="24"/>
          <w:highlight w:val="none"/>
        </w:rPr>
        <w:t>完成项目交付</w:t>
      </w:r>
      <w:r>
        <w:rPr>
          <w:rFonts w:hint="eastAsia" w:ascii="宋体" w:hAnsi="宋体" w:cs="宋体"/>
          <w:color w:val="auto"/>
          <w:kern w:val="0"/>
          <w:sz w:val="24"/>
          <w:highlight w:val="none"/>
          <w:lang w:eastAsia="zh-CN"/>
        </w:rPr>
        <w:t>。</w:t>
      </w:r>
    </w:p>
    <w:p w14:paraId="57AE3E22">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本项目不接受联合体。</w:t>
      </w:r>
    </w:p>
    <w:p w14:paraId="188F6981">
      <w:pPr>
        <w:keepNext/>
        <w:keepLines/>
        <w:autoSpaceDE w:val="0"/>
        <w:autoSpaceDN w:val="0"/>
        <w:adjustRightInd w:val="0"/>
        <w:snapToGrid w:val="0"/>
        <w:spacing w:line="360" w:lineRule="auto"/>
        <w:textAlignment w:val="baseline"/>
        <w:outlineLvl w:val="1"/>
        <w:rPr>
          <w:rFonts w:ascii="宋体" w:hAnsi="宋体" w:cs="宋体"/>
          <w:b/>
          <w:color w:val="auto"/>
          <w:kern w:val="0"/>
          <w:sz w:val="24"/>
          <w:highlight w:val="none"/>
        </w:rPr>
      </w:pPr>
      <w:bookmarkStart w:id="20" w:name="_Toc35393630"/>
      <w:bookmarkStart w:id="21" w:name="_Toc28359090"/>
      <w:bookmarkStart w:id="22" w:name="_Toc35393799"/>
      <w:bookmarkStart w:id="23" w:name="_Toc28359013"/>
      <w:r>
        <w:rPr>
          <w:rFonts w:hint="eastAsia" w:ascii="宋体" w:hAnsi="宋体" w:cs="宋体"/>
          <w:b/>
          <w:color w:val="auto"/>
          <w:kern w:val="0"/>
          <w:sz w:val="24"/>
          <w:highlight w:val="none"/>
        </w:rPr>
        <w:t>二、申请人的资格要求：</w:t>
      </w:r>
      <w:bookmarkEnd w:id="20"/>
      <w:bookmarkEnd w:id="21"/>
      <w:bookmarkEnd w:id="22"/>
      <w:bookmarkEnd w:id="23"/>
    </w:p>
    <w:p w14:paraId="047C4139">
      <w:pPr>
        <w:adjustRightInd w:val="0"/>
        <w:snapToGrid w:val="0"/>
        <w:spacing w:line="360" w:lineRule="auto"/>
        <w:ind w:firstLine="480" w:firstLineChars="200"/>
        <w:rPr>
          <w:rFonts w:ascii="宋体" w:hAnsi="宋体" w:cs="宋体"/>
          <w:color w:val="auto"/>
          <w:kern w:val="0"/>
          <w:sz w:val="24"/>
          <w:highlight w:val="none"/>
        </w:rPr>
      </w:pPr>
      <w:bookmarkStart w:id="24" w:name="_Toc28359091"/>
      <w:bookmarkStart w:id="25" w:name="_Toc28359014"/>
      <w:r>
        <w:rPr>
          <w:rFonts w:hint="eastAsia" w:ascii="宋体" w:hAnsi="宋体" w:cs="宋体"/>
          <w:color w:val="auto"/>
          <w:kern w:val="0"/>
          <w:sz w:val="24"/>
          <w:highlight w:val="none"/>
        </w:rPr>
        <w:t xml:space="preserve">1.满足《中华人民共和国政府采购法》第二十二条规定； </w:t>
      </w:r>
    </w:p>
    <w:p w14:paraId="093E4FC5">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2.落实政府采购政策需满足的资格要求：无</w:t>
      </w:r>
    </w:p>
    <w:p w14:paraId="37953B53">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3.本项目的特定资格要求：无</w:t>
      </w:r>
    </w:p>
    <w:p w14:paraId="01E8A50A">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4.在中华人民共和国境内注册、具有独立承担民事责任的能力（提供营业执照或事业单位法人证书</w:t>
      </w:r>
      <w:r>
        <w:rPr>
          <w:rFonts w:hint="eastAsia" w:ascii="宋体" w:hAnsi="宋体" w:cs="宋体"/>
          <w:color w:val="auto"/>
          <w:kern w:val="0"/>
          <w:sz w:val="24"/>
          <w:highlight w:val="none"/>
          <w:lang w:val="en-US" w:eastAsia="zh-CN"/>
        </w:rPr>
        <w:t>或其他证明的复印件并加盖公章</w:t>
      </w:r>
      <w:r>
        <w:rPr>
          <w:rFonts w:hint="eastAsia" w:ascii="宋体" w:hAnsi="宋体" w:cs="宋体"/>
          <w:color w:val="auto"/>
          <w:kern w:val="0"/>
          <w:sz w:val="24"/>
          <w:highlight w:val="none"/>
        </w:rPr>
        <w:t>）；</w:t>
      </w:r>
    </w:p>
    <w:p w14:paraId="56BD3DE5">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5.具有良好的商业信誉和健全的财务会计制度(提供承诺函</w:t>
      </w:r>
      <w:r>
        <w:rPr>
          <w:rFonts w:hint="eastAsia" w:ascii="宋体" w:hAnsi="宋体" w:cs="宋体"/>
          <w:color w:val="auto"/>
          <w:kern w:val="0"/>
          <w:sz w:val="24"/>
          <w:highlight w:val="none"/>
          <w:lang w:val="en-US" w:eastAsia="zh-CN"/>
        </w:rPr>
        <w:t>并加盖公章</w:t>
      </w:r>
      <w:r>
        <w:rPr>
          <w:rFonts w:hint="eastAsia" w:ascii="宋体" w:hAnsi="宋体" w:cs="宋体"/>
          <w:color w:val="auto"/>
          <w:kern w:val="0"/>
          <w:sz w:val="24"/>
          <w:highlight w:val="none"/>
        </w:rPr>
        <w:t>）</w:t>
      </w:r>
    </w:p>
    <w:p w14:paraId="32F609A1">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6.具有履行合同所必需的设备和专业技术能力（提供承诺书</w:t>
      </w:r>
      <w:r>
        <w:rPr>
          <w:rFonts w:hint="eastAsia" w:ascii="宋体" w:hAnsi="宋体" w:cs="宋体"/>
          <w:color w:val="auto"/>
          <w:kern w:val="0"/>
          <w:sz w:val="24"/>
          <w:highlight w:val="none"/>
          <w:lang w:val="en-US" w:eastAsia="zh-CN"/>
        </w:rPr>
        <w:t>并加盖公章</w:t>
      </w:r>
      <w:r>
        <w:rPr>
          <w:rFonts w:hint="eastAsia" w:ascii="宋体" w:hAnsi="宋体" w:cs="宋体"/>
          <w:color w:val="auto"/>
          <w:kern w:val="0"/>
          <w:sz w:val="24"/>
          <w:highlight w:val="none"/>
        </w:rPr>
        <w:t>）；</w:t>
      </w:r>
    </w:p>
    <w:p w14:paraId="69EFA40C">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7.具有依法缴纳税收和社会保障资金的良好记录（提供承诺函</w:t>
      </w:r>
      <w:r>
        <w:rPr>
          <w:rFonts w:hint="eastAsia" w:ascii="宋体" w:hAnsi="宋体" w:cs="宋体"/>
          <w:color w:val="auto"/>
          <w:kern w:val="0"/>
          <w:sz w:val="24"/>
          <w:highlight w:val="none"/>
          <w:lang w:val="en-US" w:eastAsia="zh-CN"/>
        </w:rPr>
        <w:t>并加盖公章</w:t>
      </w:r>
      <w:r>
        <w:rPr>
          <w:rFonts w:hint="eastAsia" w:ascii="宋体" w:hAnsi="宋体" w:cs="宋体"/>
          <w:color w:val="auto"/>
          <w:kern w:val="0"/>
          <w:sz w:val="24"/>
          <w:highlight w:val="none"/>
        </w:rPr>
        <w:t>）；</w:t>
      </w:r>
    </w:p>
    <w:p w14:paraId="55034C7A">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8</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参加本次政府采购活动前三年内，在经营活动中没有重大违法记录（</w:t>
      </w:r>
      <w:r>
        <w:rPr>
          <w:rFonts w:ascii="宋体" w:hAnsi="宋体" w:cs="宋体"/>
          <w:color w:val="auto"/>
          <w:kern w:val="0"/>
          <w:sz w:val="24"/>
          <w:highlight w:val="none"/>
        </w:rPr>
        <w:t>成立不足三年的从成立之日起计算</w:t>
      </w:r>
      <w:r>
        <w:rPr>
          <w:rFonts w:hint="eastAsia" w:ascii="宋体" w:hAnsi="宋体" w:cs="宋体"/>
          <w:color w:val="auto"/>
          <w:kern w:val="0"/>
          <w:sz w:val="24"/>
          <w:highlight w:val="none"/>
        </w:rPr>
        <w:t>，提供声明</w:t>
      </w:r>
      <w:r>
        <w:rPr>
          <w:rFonts w:hint="eastAsia" w:ascii="宋体" w:hAnsi="宋体" w:cs="宋体"/>
          <w:color w:val="auto"/>
          <w:kern w:val="0"/>
          <w:sz w:val="24"/>
          <w:highlight w:val="none"/>
          <w:lang w:val="en-US" w:eastAsia="zh-CN"/>
        </w:rPr>
        <w:t>函并加盖公章</w:t>
      </w:r>
      <w:r>
        <w:rPr>
          <w:rFonts w:hint="eastAsia" w:ascii="宋体" w:hAnsi="宋体" w:cs="宋体"/>
          <w:color w:val="auto"/>
          <w:kern w:val="0"/>
          <w:sz w:val="24"/>
          <w:highlight w:val="none"/>
        </w:rPr>
        <w:t>）；</w:t>
      </w:r>
    </w:p>
    <w:p w14:paraId="47891248">
      <w:pPr>
        <w:adjustRightInd w:val="0"/>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9</w:t>
      </w:r>
      <w:r>
        <w:rPr>
          <w:rFonts w:hint="eastAsia" w:ascii="宋体" w:hAnsi="宋体" w:cs="宋体"/>
          <w:color w:val="auto"/>
          <w:kern w:val="0"/>
          <w:sz w:val="24"/>
          <w:highlight w:val="none"/>
          <w:lang w:val="en-US" w:eastAsia="zh-CN"/>
        </w:rPr>
        <w:t>.</w:t>
      </w:r>
      <w:r>
        <w:rPr>
          <w:rFonts w:ascii="宋体" w:hAnsi="宋体" w:cs="宋体"/>
          <w:color w:val="auto"/>
          <w:kern w:val="0"/>
          <w:sz w:val="24"/>
          <w:highlight w:val="none"/>
        </w:rPr>
        <w:t>参加政府采购活动前三年内，在经营活动中没有环保类行政处罚记录（成立不足三年的从成立之日起计算</w:t>
      </w:r>
      <w:r>
        <w:rPr>
          <w:rFonts w:hint="eastAsia" w:ascii="宋体" w:hAnsi="宋体" w:cs="宋体"/>
          <w:color w:val="auto"/>
          <w:kern w:val="0"/>
          <w:sz w:val="24"/>
          <w:highlight w:val="none"/>
        </w:rPr>
        <w:t>，提供声明</w:t>
      </w:r>
      <w:r>
        <w:rPr>
          <w:rFonts w:hint="eastAsia" w:ascii="宋体" w:hAnsi="宋体" w:cs="宋体"/>
          <w:color w:val="auto"/>
          <w:kern w:val="0"/>
          <w:sz w:val="24"/>
          <w:highlight w:val="none"/>
          <w:lang w:val="en-US" w:eastAsia="zh-CN"/>
        </w:rPr>
        <w:t>函并加盖公章</w:t>
      </w:r>
      <w:r>
        <w:rPr>
          <w:rFonts w:ascii="宋体" w:hAnsi="宋体" w:cs="宋体"/>
          <w:color w:val="auto"/>
          <w:kern w:val="0"/>
          <w:sz w:val="24"/>
          <w:highlight w:val="none"/>
        </w:rPr>
        <w:t>）</w:t>
      </w:r>
      <w:r>
        <w:rPr>
          <w:rFonts w:hint="eastAsia" w:ascii="宋体" w:hAnsi="宋体" w:cs="宋体"/>
          <w:color w:val="auto"/>
          <w:kern w:val="0"/>
          <w:sz w:val="24"/>
          <w:highlight w:val="none"/>
          <w:lang w:eastAsia="zh-CN"/>
        </w:rPr>
        <w:t>；</w:t>
      </w:r>
    </w:p>
    <w:p w14:paraId="561D7DE6">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10.购买采购文件；</w:t>
      </w:r>
    </w:p>
    <w:p w14:paraId="3ED614DA">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11</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提供供应商响应承诺书；</w:t>
      </w:r>
    </w:p>
    <w:p w14:paraId="34983415">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12.</w:t>
      </w:r>
      <w:bookmarkStart w:id="26" w:name="_Toc35393631"/>
      <w:bookmarkStart w:id="27" w:name="_Toc35393800"/>
      <w:r>
        <w:rPr>
          <w:rFonts w:hint="eastAsia" w:ascii="宋体" w:hAnsi="宋体" w:cs="宋体"/>
          <w:color w:val="auto"/>
          <w:kern w:val="0"/>
          <w:sz w:val="24"/>
          <w:highlight w:val="none"/>
        </w:rPr>
        <w:t>在“信用中国”网站（www.creditchina.gov.cn）、中国政府采购网（www.ccgp.gov.cn）没有列入失信被执行人、重大税收违法失信主体、政府采购严重违法失信行为记录名单的投标人。（注：采购人或采购代理机构将于本项目投标截止日在“信用中国”网站、“中国政府采购网”网站等渠道对供应商进行信用记录查询，凡被列入失信被执行人、重大税收违法失信主体、政府采购严重违法失信行为记录名单的，视为存在不良信用记录，参与本项目的将被拒绝。）</w:t>
      </w:r>
    </w:p>
    <w:p w14:paraId="428CE4E6">
      <w:pPr>
        <w:adjustRightInd w:val="0"/>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三、获取采购文件</w:t>
      </w:r>
      <w:bookmarkEnd w:id="24"/>
      <w:bookmarkEnd w:id="25"/>
      <w:bookmarkEnd w:id="26"/>
      <w:bookmarkEnd w:id="27"/>
    </w:p>
    <w:p w14:paraId="4C8507FA">
      <w:pPr>
        <w:adjustRightInd w:val="0"/>
        <w:snapToGrid w:val="0"/>
        <w:spacing w:line="360" w:lineRule="auto"/>
        <w:ind w:firstLine="540"/>
        <w:rPr>
          <w:rFonts w:ascii="宋体" w:hAnsi="宋体" w:cs="宋体"/>
          <w:color w:val="auto"/>
          <w:kern w:val="0"/>
          <w:sz w:val="24"/>
          <w:highlight w:val="none"/>
        </w:rPr>
      </w:pPr>
      <w:r>
        <w:rPr>
          <w:rFonts w:hint="eastAsia" w:ascii="宋体" w:hAnsi="宋体" w:cs="宋体"/>
          <w:color w:val="auto"/>
          <w:kern w:val="0"/>
          <w:sz w:val="24"/>
          <w:highlight w:val="none"/>
        </w:rPr>
        <w:t>时间：</w:t>
      </w:r>
      <w:r>
        <w:rPr>
          <w:rFonts w:hint="eastAsia" w:ascii="宋体" w:hAnsi="宋体" w:cs="宋体"/>
          <w:color w:val="auto"/>
          <w:kern w:val="0"/>
          <w:sz w:val="24"/>
          <w:highlight w:val="none"/>
          <w:lang w:eastAsia="zh-CN"/>
        </w:rPr>
        <w:t>2025年</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rPr>
        <w:t>日至</w:t>
      </w:r>
      <w:r>
        <w:rPr>
          <w:rFonts w:hint="eastAsia" w:ascii="宋体" w:hAnsi="宋体" w:cs="宋体"/>
          <w:color w:val="auto"/>
          <w:kern w:val="0"/>
          <w:sz w:val="24"/>
          <w:highlight w:val="none"/>
          <w:lang w:eastAsia="zh-CN"/>
        </w:rPr>
        <w:t>2025年</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14</w:t>
      </w:r>
      <w:r>
        <w:rPr>
          <w:rFonts w:hint="eastAsia" w:ascii="宋体" w:hAnsi="宋体" w:cs="宋体"/>
          <w:color w:val="auto"/>
          <w:kern w:val="0"/>
          <w:sz w:val="24"/>
          <w:highlight w:val="none"/>
        </w:rPr>
        <w:t>日，每天上午08:00至12:00，下午14:30至17:30（北京时间，</w:t>
      </w:r>
      <w:r>
        <w:rPr>
          <w:rFonts w:ascii="宋体" w:hAnsi="宋体" w:cs="宋体"/>
          <w:color w:val="auto"/>
          <w:kern w:val="0"/>
          <w:sz w:val="24"/>
          <w:highlight w:val="none"/>
        </w:rPr>
        <w:t>法定节假日</w:t>
      </w:r>
      <w:r>
        <w:rPr>
          <w:rFonts w:hint="eastAsia" w:ascii="宋体" w:hAnsi="宋体" w:cs="宋体"/>
          <w:color w:val="auto"/>
          <w:kern w:val="0"/>
          <w:sz w:val="24"/>
          <w:highlight w:val="none"/>
        </w:rPr>
        <w:t>除外 ）</w:t>
      </w:r>
    </w:p>
    <w:p w14:paraId="12E4A367">
      <w:pPr>
        <w:adjustRightInd w:val="0"/>
        <w:snapToGrid w:val="0"/>
        <w:spacing w:line="360" w:lineRule="auto"/>
        <w:ind w:firstLine="540"/>
        <w:rPr>
          <w:rFonts w:ascii="宋体" w:hAnsi="宋体" w:cs="宋体"/>
          <w:color w:val="auto"/>
          <w:kern w:val="0"/>
          <w:sz w:val="24"/>
          <w:highlight w:val="none"/>
        </w:rPr>
      </w:pPr>
      <w:r>
        <w:rPr>
          <w:rFonts w:hint="eastAsia" w:ascii="宋体" w:hAnsi="宋体" w:cs="宋体"/>
          <w:color w:val="auto"/>
          <w:kern w:val="0"/>
          <w:sz w:val="24"/>
          <w:highlight w:val="none"/>
        </w:rPr>
        <w:t>地点：海南省海口市蓝天路西2-8号</w:t>
      </w:r>
    </w:p>
    <w:p w14:paraId="5A936E4A">
      <w:pPr>
        <w:adjustRightInd w:val="0"/>
        <w:snapToGrid w:val="0"/>
        <w:spacing w:line="360" w:lineRule="auto"/>
        <w:ind w:firstLine="540"/>
        <w:rPr>
          <w:rFonts w:ascii="宋体" w:hAnsi="宋体" w:cs="宋体"/>
          <w:color w:val="auto"/>
          <w:kern w:val="0"/>
          <w:sz w:val="24"/>
          <w:highlight w:val="none"/>
        </w:rPr>
      </w:pPr>
      <w:r>
        <w:rPr>
          <w:rFonts w:hint="eastAsia" w:ascii="宋体" w:hAnsi="宋体" w:cs="宋体"/>
          <w:color w:val="auto"/>
          <w:kern w:val="0"/>
          <w:sz w:val="24"/>
          <w:highlight w:val="none"/>
        </w:rPr>
        <w:t>方式：现场购买</w:t>
      </w:r>
    </w:p>
    <w:p w14:paraId="2BA7F626">
      <w:pPr>
        <w:spacing w:line="360" w:lineRule="auto"/>
        <w:ind w:firstLine="540"/>
        <w:rPr>
          <w:color w:val="auto"/>
          <w:highlight w:val="none"/>
        </w:rPr>
      </w:pPr>
      <w:r>
        <w:rPr>
          <w:rFonts w:hint="eastAsia" w:ascii="宋体" w:hAnsi="宋体" w:cs="宋体"/>
          <w:color w:val="auto"/>
          <w:kern w:val="0"/>
          <w:sz w:val="24"/>
          <w:highlight w:val="none"/>
        </w:rPr>
        <w:t>售价：</w:t>
      </w:r>
      <w:r>
        <w:rPr>
          <w:rFonts w:hint="eastAsia" w:ascii="宋体" w:hAnsi="宋体" w:cs="宋体"/>
          <w:color w:val="auto"/>
          <w:kern w:val="0"/>
          <w:sz w:val="24"/>
          <w:highlight w:val="none"/>
          <w:lang w:val="en-US" w:eastAsia="zh-CN"/>
        </w:rPr>
        <w:t>300</w:t>
      </w:r>
      <w:r>
        <w:rPr>
          <w:rFonts w:hint="eastAsia" w:ascii="宋体" w:hAnsi="宋体" w:cs="宋体"/>
          <w:color w:val="auto"/>
          <w:kern w:val="0"/>
          <w:sz w:val="24"/>
          <w:highlight w:val="none"/>
        </w:rPr>
        <w:t>元</w:t>
      </w:r>
      <w:r>
        <w:rPr>
          <w:rFonts w:hint="eastAsia" w:ascii="宋体" w:hAnsi="宋体" w:cs="宋体"/>
          <w:color w:val="auto"/>
          <w:kern w:val="0"/>
          <w:sz w:val="24"/>
          <w:highlight w:val="none"/>
          <w:lang w:eastAsia="zh-CN"/>
        </w:rPr>
        <w:t>。</w:t>
      </w:r>
    </w:p>
    <w:p w14:paraId="0621299F">
      <w:pPr>
        <w:keepNext/>
        <w:keepLines/>
        <w:autoSpaceDE w:val="0"/>
        <w:autoSpaceDN w:val="0"/>
        <w:adjustRightInd w:val="0"/>
        <w:snapToGrid w:val="0"/>
        <w:spacing w:line="360" w:lineRule="auto"/>
        <w:textAlignment w:val="baseline"/>
        <w:outlineLvl w:val="1"/>
        <w:rPr>
          <w:rFonts w:ascii="宋体" w:hAnsi="宋体" w:cs="宋体"/>
          <w:b/>
          <w:color w:val="auto"/>
          <w:kern w:val="0"/>
          <w:sz w:val="24"/>
          <w:highlight w:val="none"/>
        </w:rPr>
      </w:pPr>
      <w:bookmarkStart w:id="28" w:name="_Toc35393632"/>
      <w:bookmarkStart w:id="29" w:name="_Toc28359015"/>
      <w:bookmarkStart w:id="30" w:name="_Toc28359092"/>
      <w:bookmarkStart w:id="31" w:name="_Toc35393801"/>
      <w:r>
        <w:rPr>
          <w:rFonts w:hint="eastAsia" w:ascii="宋体" w:hAnsi="宋体" w:cs="宋体"/>
          <w:b/>
          <w:color w:val="auto"/>
          <w:kern w:val="0"/>
          <w:sz w:val="24"/>
          <w:highlight w:val="none"/>
        </w:rPr>
        <w:t>四、响应文件提交</w:t>
      </w:r>
      <w:bookmarkEnd w:id="28"/>
      <w:bookmarkEnd w:id="29"/>
      <w:bookmarkEnd w:id="30"/>
      <w:bookmarkEnd w:id="31"/>
    </w:p>
    <w:p w14:paraId="4FCE1EFD">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截止时间：</w:t>
      </w:r>
      <w:r>
        <w:rPr>
          <w:rFonts w:hint="eastAsia" w:ascii="宋体" w:hAnsi="宋体" w:cs="宋体"/>
          <w:color w:val="auto"/>
          <w:kern w:val="0"/>
          <w:sz w:val="24"/>
          <w:highlight w:val="none"/>
          <w:lang w:eastAsia="zh-CN"/>
        </w:rPr>
        <w:t>2025年</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16</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点</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0分（北京时间）</w:t>
      </w:r>
    </w:p>
    <w:p w14:paraId="59368D4B">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地点：海南省海口市蓝天路2-8号、海南省教学仪器设备招标中心有限公司开标室</w:t>
      </w:r>
    </w:p>
    <w:p w14:paraId="198A6897">
      <w:pPr>
        <w:keepNext/>
        <w:keepLines/>
        <w:autoSpaceDE w:val="0"/>
        <w:autoSpaceDN w:val="0"/>
        <w:adjustRightInd w:val="0"/>
        <w:snapToGrid w:val="0"/>
        <w:spacing w:line="360" w:lineRule="auto"/>
        <w:textAlignment w:val="baseline"/>
        <w:outlineLvl w:val="1"/>
        <w:rPr>
          <w:rFonts w:ascii="宋体" w:hAnsi="宋体" w:cs="宋体"/>
          <w:b/>
          <w:color w:val="auto"/>
          <w:kern w:val="0"/>
          <w:sz w:val="24"/>
          <w:highlight w:val="none"/>
        </w:rPr>
      </w:pPr>
      <w:bookmarkStart w:id="32" w:name="_Toc35393802"/>
      <w:bookmarkStart w:id="33" w:name="_Toc28359093"/>
      <w:bookmarkStart w:id="34" w:name="_Toc28359016"/>
      <w:bookmarkStart w:id="35" w:name="_Toc35393633"/>
      <w:r>
        <w:rPr>
          <w:rFonts w:hint="eastAsia" w:ascii="宋体" w:hAnsi="宋体" w:cs="宋体"/>
          <w:b/>
          <w:color w:val="auto"/>
          <w:kern w:val="0"/>
          <w:sz w:val="24"/>
          <w:highlight w:val="none"/>
        </w:rPr>
        <w:t>五、开启</w:t>
      </w:r>
      <w:bookmarkEnd w:id="32"/>
      <w:bookmarkEnd w:id="33"/>
      <w:bookmarkEnd w:id="34"/>
      <w:bookmarkEnd w:id="35"/>
    </w:p>
    <w:p w14:paraId="617D43E9">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时间：2025年10月16日9点00分（北京时间）</w:t>
      </w:r>
    </w:p>
    <w:p w14:paraId="60047377">
      <w:pPr>
        <w:adjustRightInd w:val="0"/>
        <w:snapToGrid w:val="0"/>
        <w:spacing w:line="360" w:lineRule="auto"/>
        <w:ind w:firstLine="480" w:firstLineChars="200"/>
        <w:rPr>
          <w:rFonts w:ascii="宋体" w:hAnsi="宋体" w:cs="宋体"/>
          <w:b/>
          <w:bCs/>
          <w:color w:val="auto"/>
          <w:kern w:val="0"/>
          <w:sz w:val="24"/>
          <w:highlight w:val="none"/>
        </w:rPr>
      </w:pPr>
      <w:r>
        <w:rPr>
          <w:rFonts w:hint="eastAsia" w:ascii="宋体" w:hAnsi="宋体" w:cs="宋体"/>
          <w:color w:val="auto"/>
          <w:kern w:val="0"/>
          <w:sz w:val="24"/>
          <w:highlight w:val="none"/>
        </w:rPr>
        <w:t>地点：海南省海口市蓝天路2-8号、海南省教学仪器设备招标中心有限公司</w:t>
      </w:r>
      <w:bookmarkStart w:id="36" w:name="_Toc35393803"/>
      <w:bookmarkStart w:id="37" w:name="_Toc35393634"/>
      <w:bookmarkStart w:id="38" w:name="_Toc28359017"/>
      <w:bookmarkStart w:id="39" w:name="_Toc28359094"/>
      <w:r>
        <w:rPr>
          <w:rFonts w:hint="eastAsia" w:ascii="宋体" w:hAnsi="宋体" w:cs="宋体"/>
          <w:color w:val="auto"/>
          <w:kern w:val="0"/>
          <w:sz w:val="24"/>
          <w:highlight w:val="none"/>
        </w:rPr>
        <w:t>开标室</w:t>
      </w:r>
    </w:p>
    <w:p w14:paraId="497CC838">
      <w:pPr>
        <w:keepNext/>
        <w:keepLines/>
        <w:autoSpaceDE w:val="0"/>
        <w:autoSpaceDN w:val="0"/>
        <w:adjustRightInd w:val="0"/>
        <w:snapToGrid w:val="0"/>
        <w:spacing w:line="360" w:lineRule="auto"/>
        <w:ind w:firstLine="0" w:firstLineChars="0"/>
        <w:textAlignment w:val="baseline"/>
        <w:outlineLvl w:val="1"/>
        <w:rPr>
          <w:rFonts w:hint="eastAsia" w:ascii="宋体" w:hAnsi="宋体" w:cs="宋体"/>
          <w:b/>
          <w:bCs w:val="0"/>
          <w:color w:val="auto"/>
          <w:kern w:val="0"/>
          <w:sz w:val="24"/>
          <w:highlight w:val="none"/>
        </w:rPr>
      </w:pPr>
      <w:r>
        <w:rPr>
          <w:rFonts w:hint="eastAsia" w:ascii="宋体" w:hAnsi="宋体" w:cs="宋体"/>
          <w:b/>
          <w:bCs w:val="0"/>
          <w:color w:val="auto"/>
          <w:kern w:val="0"/>
          <w:sz w:val="24"/>
          <w:highlight w:val="none"/>
        </w:rPr>
        <w:t>六、</w:t>
      </w:r>
      <w:bookmarkEnd w:id="36"/>
      <w:bookmarkEnd w:id="37"/>
      <w:bookmarkEnd w:id="38"/>
      <w:bookmarkEnd w:id="39"/>
      <w:bookmarkStart w:id="40" w:name="_Toc35393804"/>
      <w:bookmarkStart w:id="41" w:name="_Toc35393635"/>
      <w:r>
        <w:rPr>
          <w:rFonts w:hint="eastAsia" w:ascii="宋体" w:hAnsi="宋体" w:cs="宋体"/>
          <w:b/>
          <w:bCs w:val="0"/>
          <w:color w:val="auto"/>
          <w:kern w:val="0"/>
          <w:sz w:val="24"/>
          <w:highlight w:val="none"/>
        </w:rPr>
        <w:t>其他补充事宜</w:t>
      </w:r>
      <w:bookmarkEnd w:id="40"/>
      <w:bookmarkEnd w:id="41"/>
    </w:p>
    <w:p w14:paraId="281C1301">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1、标</w:t>
      </w:r>
      <w:r>
        <w:rPr>
          <w:rFonts w:ascii="宋体" w:hAnsi="宋体" w:cs="宋体"/>
          <w:color w:val="auto"/>
          <w:sz w:val="24"/>
          <w:highlight w:val="none"/>
        </w:rPr>
        <w:t>书售后不退</w:t>
      </w:r>
      <w:r>
        <w:rPr>
          <w:rFonts w:hint="eastAsia" w:ascii="宋体" w:hAnsi="宋体" w:cs="宋体"/>
          <w:color w:val="auto"/>
          <w:sz w:val="24"/>
          <w:highlight w:val="none"/>
        </w:rPr>
        <w:t>，</w:t>
      </w:r>
      <w:r>
        <w:rPr>
          <w:rFonts w:hint="eastAsia" w:ascii="宋体" w:hAnsi="宋体" w:cs="宋体"/>
          <w:color w:val="auto"/>
          <w:kern w:val="0"/>
          <w:sz w:val="24"/>
          <w:highlight w:val="none"/>
        </w:rPr>
        <w:t>购买标书时需提供以下证明资料及备案：</w:t>
      </w:r>
    </w:p>
    <w:p w14:paraId="4957D25B">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w:t>
      </w:r>
      <w:r>
        <w:rPr>
          <w:rFonts w:hint="eastAsia" w:ascii="宋体" w:hAnsi="宋体" w:cs="宋体"/>
          <w:color w:val="auto"/>
          <w:kern w:val="0"/>
          <w:sz w:val="24"/>
          <w:highlight w:val="none"/>
        </w:rPr>
        <w:t>.1营业执照复印件或事业单位法人证书</w:t>
      </w:r>
      <w:r>
        <w:rPr>
          <w:rFonts w:hint="eastAsia" w:ascii="宋体" w:hAnsi="宋体" w:cs="宋体"/>
          <w:color w:val="auto"/>
          <w:kern w:val="0"/>
          <w:sz w:val="24"/>
          <w:highlight w:val="none"/>
          <w:lang w:val="en-US" w:eastAsia="zh-CN"/>
        </w:rPr>
        <w:t>或其他证明的复印件</w:t>
      </w:r>
      <w:r>
        <w:rPr>
          <w:rFonts w:hint="eastAsia" w:ascii="宋体" w:hAnsi="宋体" w:cs="宋体"/>
          <w:color w:val="auto"/>
          <w:kern w:val="0"/>
          <w:sz w:val="24"/>
          <w:highlight w:val="none"/>
        </w:rPr>
        <w:t>（加盖本单位公章）</w:t>
      </w:r>
    </w:p>
    <w:p w14:paraId="20E6628C">
      <w:pPr>
        <w:adjustRightInd w:val="0"/>
        <w:snapToGrid w:val="0"/>
        <w:spacing w:line="360" w:lineRule="auto"/>
        <w:ind w:firstLine="480" w:firstLineChars="200"/>
        <w:rPr>
          <w:rFonts w:hint="default"/>
          <w:color w:val="auto"/>
          <w:highlight w:val="none"/>
          <w:lang w:val="en-US" w:eastAsia="zh-CN"/>
        </w:rPr>
      </w:pPr>
      <w:r>
        <w:rPr>
          <w:rFonts w:hint="eastAsia" w:ascii="宋体" w:hAnsi="宋体" w:cs="宋体"/>
          <w:color w:val="auto"/>
          <w:sz w:val="24"/>
          <w:highlight w:val="none"/>
          <w:lang w:val="en-US" w:eastAsia="zh-CN"/>
        </w:rPr>
        <w:t>1.2法定代表人身份证明书</w:t>
      </w:r>
    </w:p>
    <w:p w14:paraId="1294E7EA">
      <w:pPr>
        <w:adjustRightInd w:val="0"/>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1.3授权委托书</w:t>
      </w:r>
    </w:p>
    <w:p w14:paraId="129F751D">
      <w:pPr>
        <w:adjustRightInd w:val="0"/>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1.4法定代表人、授权代表身份证复印件</w:t>
      </w:r>
    </w:p>
    <w:p w14:paraId="3804C2B2">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、供应商应准备一份正本和</w:t>
      </w:r>
      <w:r>
        <w:rPr>
          <w:rFonts w:hint="eastAsia" w:ascii="宋体" w:hAnsi="宋体" w:cs="宋体"/>
          <w:color w:val="auto"/>
          <w:kern w:val="0"/>
          <w:sz w:val="24"/>
          <w:highlight w:val="none"/>
          <w:lang w:val="en-US" w:eastAsia="zh-CN"/>
        </w:rPr>
        <w:t>两</w:t>
      </w:r>
      <w:r>
        <w:rPr>
          <w:rFonts w:hint="eastAsia" w:ascii="宋体" w:hAnsi="宋体" w:cs="宋体"/>
          <w:color w:val="auto"/>
          <w:kern w:val="0"/>
          <w:sz w:val="24"/>
          <w:highlight w:val="none"/>
        </w:rPr>
        <w:t>份副本，并在每一份“响应文件”上要明确注明“正本”或“副本”字样。</w:t>
      </w:r>
    </w:p>
    <w:p w14:paraId="079C40B2">
      <w:pPr>
        <w:adjustRightInd w:val="0"/>
        <w:snapToGrid w:val="0"/>
        <w:spacing w:line="360" w:lineRule="auto"/>
        <w:ind w:firstLine="480" w:firstLineChars="200"/>
        <w:rPr>
          <w:rFonts w:ascii="宋体" w:hAnsi="宋体" w:cs="宋体"/>
          <w:b/>
          <w:bCs/>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供应商应将“响应文件”胶装成册。供应商应将“响应文件”正本的“报价一览表和规格响应表多备一份（加盖公章以包为单位）”单独密封于一小信封内，并在该信封上标明“报价一览表”字样，然后再装入“响应文件”正本的密封袋中。</w:t>
      </w:r>
      <w:r>
        <w:rPr>
          <w:rFonts w:hint="eastAsia" w:ascii="宋体" w:hAnsi="宋体" w:cs="宋体"/>
          <w:b/>
          <w:bCs/>
          <w:color w:val="auto"/>
          <w:kern w:val="0"/>
          <w:sz w:val="24"/>
          <w:highlight w:val="none"/>
        </w:rPr>
        <w:t>（开标时递交U盘拷贝的PDF格式正本的</w:t>
      </w:r>
      <w:r>
        <w:rPr>
          <w:rFonts w:hint="eastAsia" w:ascii="宋体" w:hAnsi="宋体" w:cs="宋体"/>
          <w:b/>
          <w:bCs/>
          <w:color w:val="auto"/>
          <w:kern w:val="0"/>
          <w:sz w:val="24"/>
          <w:highlight w:val="none"/>
          <w:lang w:eastAsia="zh-CN"/>
        </w:rPr>
        <w:t>响应文件</w:t>
      </w:r>
      <w:r>
        <w:rPr>
          <w:rFonts w:hint="eastAsia" w:ascii="宋体" w:hAnsi="宋体" w:cs="宋体"/>
          <w:b/>
          <w:bCs/>
          <w:color w:val="auto"/>
          <w:kern w:val="0"/>
          <w:sz w:val="24"/>
          <w:highlight w:val="none"/>
        </w:rPr>
        <w:t>。）</w:t>
      </w:r>
    </w:p>
    <w:p w14:paraId="6C6BE3FB">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、采购人不接受有任何选择的报价。</w:t>
      </w:r>
    </w:p>
    <w:p w14:paraId="34AA87EF">
      <w:pPr>
        <w:adjustRightInd w:val="0"/>
        <w:snapToGrid w:val="0"/>
        <w:spacing w:line="360" w:lineRule="auto"/>
        <w:ind w:firstLine="480" w:firstLineChars="200"/>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采购信息查询：</w:t>
      </w:r>
      <w:r>
        <w:rPr>
          <w:rFonts w:ascii="宋体" w:hAnsi="宋体" w:cs="宋体"/>
          <w:color w:val="auto"/>
          <w:kern w:val="0"/>
          <w:sz w:val="24"/>
          <w:highlight w:val="none"/>
        </w:rPr>
        <w:t>http://www.hainjy.com/</w:t>
      </w:r>
      <w:r>
        <w:rPr>
          <w:rFonts w:hint="eastAsia" w:ascii="宋体" w:hAnsi="宋体" w:cs="宋体"/>
          <w:color w:val="auto"/>
          <w:kern w:val="0"/>
          <w:sz w:val="24"/>
          <w:highlight w:val="none"/>
          <w:lang w:eastAsia="zh-CN"/>
        </w:rPr>
        <w:t>、www.hnzfcgxh.com。</w:t>
      </w:r>
    </w:p>
    <w:p w14:paraId="66AC6F00">
      <w:pPr>
        <w:keepNext/>
        <w:keepLines/>
        <w:autoSpaceDE w:val="0"/>
        <w:autoSpaceDN w:val="0"/>
        <w:adjustRightInd w:val="0"/>
        <w:snapToGrid w:val="0"/>
        <w:spacing w:line="360" w:lineRule="auto"/>
        <w:ind w:firstLine="0" w:firstLineChars="0"/>
        <w:textAlignment w:val="baseline"/>
        <w:outlineLvl w:val="1"/>
        <w:rPr>
          <w:rFonts w:ascii="宋体" w:hAnsi="宋体" w:cs="宋体"/>
          <w:b/>
          <w:color w:val="auto"/>
          <w:kern w:val="0"/>
          <w:sz w:val="24"/>
          <w:highlight w:val="none"/>
        </w:rPr>
      </w:pPr>
      <w:bookmarkStart w:id="42" w:name="_Toc35393636"/>
      <w:bookmarkStart w:id="43" w:name="_Toc28359095"/>
      <w:bookmarkStart w:id="44" w:name="_Toc28359018"/>
      <w:bookmarkStart w:id="45" w:name="_Toc35393805"/>
      <w:r>
        <w:rPr>
          <w:rFonts w:hint="eastAsia" w:ascii="宋体" w:hAnsi="宋体" w:cs="宋体"/>
          <w:b/>
          <w:color w:val="auto"/>
          <w:kern w:val="0"/>
          <w:sz w:val="24"/>
          <w:highlight w:val="none"/>
        </w:rPr>
        <w:t>七、凡对本次采购提出询问，请按</w:t>
      </w:r>
      <w:r>
        <w:rPr>
          <w:rFonts w:ascii="宋体" w:hAnsi="宋体" w:cs="宋体"/>
          <w:b/>
          <w:color w:val="auto"/>
          <w:kern w:val="0"/>
          <w:sz w:val="24"/>
          <w:highlight w:val="none"/>
        </w:rPr>
        <w:t>以下方式</w:t>
      </w:r>
      <w:r>
        <w:rPr>
          <w:rFonts w:hint="eastAsia" w:ascii="宋体" w:hAnsi="宋体" w:cs="宋体"/>
          <w:b/>
          <w:color w:val="auto"/>
          <w:kern w:val="0"/>
          <w:sz w:val="24"/>
          <w:highlight w:val="none"/>
        </w:rPr>
        <w:t>联系。</w:t>
      </w:r>
      <w:bookmarkEnd w:id="42"/>
      <w:bookmarkEnd w:id="43"/>
      <w:bookmarkEnd w:id="44"/>
      <w:bookmarkEnd w:id="45"/>
    </w:p>
    <w:p w14:paraId="19982FD1">
      <w:pPr>
        <w:adjustRightInd w:val="0"/>
        <w:snapToGrid w:val="0"/>
        <w:spacing w:line="360" w:lineRule="auto"/>
        <w:ind w:firstLine="480" w:firstLineChars="200"/>
        <w:rPr>
          <w:rFonts w:ascii="宋体" w:hAnsi="宋体" w:cs="宋体"/>
          <w:color w:val="auto"/>
          <w:kern w:val="0"/>
          <w:sz w:val="24"/>
          <w:highlight w:val="none"/>
        </w:rPr>
      </w:pPr>
      <w:bookmarkStart w:id="46" w:name="_Toc35393637"/>
      <w:bookmarkStart w:id="47" w:name="_Toc35393806"/>
      <w:bookmarkStart w:id="48" w:name="_Toc28359096"/>
      <w:bookmarkStart w:id="49" w:name="_Toc28359019"/>
      <w:bookmarkStart w:id="50" w:name="_Toc28359097"/>
      <w:bookmarkStart w:id="51" w:name="_Toc35393638"/>
      <w:bookmarkStart w:id="52" w:name="_Toc28359020"/>
      <w:bookmarkStart w:id="53" w:name="_Toc35393807"/>
      <w:r>
        <w:rPr>
          <w:rFonts w:hint="eastAsia" w:ascii="宋体" w:hAnsi="宋体" w:cs="宋体"/>
          <w:color w:val="auto"/>
          <w:kern w:val="0"/>
          <w:sz w:val="24"/>
          <w:highlight w:val="none"/>
        </w:rPr>
        <w:t>1.采购人信息</w:t>
      </w:r>
      <w:bookmarkEnd w:id="46"/>
      <w:bookmarkEnd w:id="47"/>
      <w:bookmarkEnd w:id="48"/>
      <w:bookmarkEnd w:id="49"/>
    </w:p>
    <w:p w14:paraId="03653B70">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名    称：　海南政法职业学院</w:t>
      </w:r>
    </w:p>
    <w:p w14:paraId="682B2583">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地    址：　海南省海口市琼山区新大洲大道280号</w:t>
      </w:r>
    </w:p>
    <w:p w14:paraId="78C20BBB">
      <w:pPr>
        <w:adjustRightInd w:val="0"/>
        <w:snapToGrid w:val="0"/>
        <w:spacing w:line="360" w:lineRule="auto"/>
        <w:ind w:firstLine="480" w:firstLineChars="200"/>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联系方式：</w:t>
      </w:r>
      <w:bookmarkStart w:id="208" w:name="_GoBack"/>
      <w:r>
        <w:rPr>
          <w:rFonts w:hint="eastAsia" w:ascii="宋体" w:hAnsi="宋体" w:cs="宋体"/>
          <w:color w:val="auto"/>
          <w:kern w:val="0"/>
          <w:sz w:val="24"/>
          <w:highlight w:val="none"/>
          <w:lang w:val="en-US" w:eastAsia="zh-CN"/>
        </w:rPr>
        <w:t>0898-65856935</w:t>
      </w:r>
      <w:bookmarkEnd w:id="208"/>
    </w:p>
    <w:p w14:paraId="4C710C67">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2.采购代理机构信息</w:t>
      </w:r>
      <w:bookmarkEnd w:id="50"/>
      <w:bookmarkEnd w:id="51"/>
      <w:bookmarkEnd w:id="52"/>
      <w:bookmarkEnd w:id="53"/>
    </w:p>
    <w:p w14:paraId="356F5C24">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名    称：　海南省教学仪器设备招标中心有限公司　　</w:t>
      </w:r>
    </w:p>
    <w:p w14:paraId="5B05A197">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地　　址：　海南省海口市蓝天路西2-8号</w:t>
      </w:r>
    </w:p>
    <w:p w14:paraId="2169139C">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联 系 人：  林工</w:t>
      </w:r>
      <w:r>
        <w:rPr>
          <w:rFonts w:hint="eastAsia" w:ascii="宋体" w:hAnsi="宋体" w:cs="宋体"/>
          <w:color w:val="auto"/>
          <w:kern w:val="0"/>
          <w:sz w:val="24"/>
          <w:highlight w:val="none"/>
        </w:rPr>
        <w:t>　　</w:t>
      </w:r>
    </w:p>
    <w:p w14:paraId="1B124379">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联系方式：　0898-66779294　</w:t>
      </w:r>
    </w:p>
    <w:p w14:paraId="38FE8F68">
      <w:pPr>
        <w:adjustRightInd w:val="0"/>
        <w:snapToGrid w:val="0"/>
        <w:spacing w:line="360" w:lineRule="auto"/>
        <w:ind w:firstLine="480" w:firstLineChars="200"/>
        <w:rPr>
          <w:rFonts w:ascii="宋体" w:hAnsi="宋体" w:cs="宋体"/>
          <w:kern w:val="0"/>
          <w:sz w:val="24"/>
        </w:rPr>
      </w:pPr>
    </w:p>
    <w:p w14:paraId="2B969523">
      <w:pPr>
        <w:pStyle w:val="21"/>
        <w:adjustRightInd w:val="0"/>
        <w:snapToGrid w:val="0"/>
        <w:spacing w:line="300" w:lineRule="auto"/>
        <w:ind w:left="0" w:right="0" w:firstLine="0"/>
        <w:jc w:val="center"/>
        <w:rPr>
          <w:b/>
          <w:bCs/>
          <w:sz w:val="32"/>
          <w:szCs w:val="32"/>
        </w:rPr>
      </w:pPr>
      <w:r>
        <w:rPr>
          <w:b/>
          <w:bCs/>
          <w:sz w:val="32"/>
          <w:szCs w:val="32"/>
        </w:rPr>
        <w:br w:type="page"/>
      </w:r>
      <w:r>
        <w:rPr>
          <w:rFonts w:hint="eastAsia"/>
          <w:b/>
          <w:bCs/>
          <w:sz w:val="32"/>
          <w:szCs w:val="32"/>
        </w:rPr>
        <w:t>第二部分  竞争性磋商采购项目需求</w:t>
      </w:r>
    </w:p>
    <w:p w14:paraId="58FFE802">
      <w:pPr>
        <w:spacing w:line="360" w:lineRule="auto"/>
        <w:ind w:firstLine="112" w:firstLineChars="47"/>
        <w:outlineLvl w:val="0"/>
        <w:rPr>
          <w:rFonts w:ascii="宋体" w:hAnsi="宋体"/>
          <w:b/>
          <w:kern w:val="0"/>
          <w:sz w:val="32"/>
          <w:shd w:val="clear" w:color="auto" w:fill="FFFFFF"/>
        </w:rPr>
      </w:pPr>
      <w:bookmarkStart w:id="54" w:name="_Toc373100977"/>
      <w:r>
        <w:rPr>
          <w:rFonts w:hAnsi="宋体"/>
          <w:sz w:val="24"/>
          <w:shd w:val="clear" w:color="auto" w:fill="FFFFFF"/>
        </w:rPr>
        <w:t>一、</w:t>
      </w:r>
      <w:bookmarkEnd w:id="54"/>
      <w:r>
        <w:rPr>
          <w:rFonts w:hint="eastAsia" w:ascii="宋体" w:hAnsi="宋体"/>
          <w:kern w:val="24"/>
          <w:sz w:val="24"/>
          <w:shd w:val="clear" w:color="auto" w:fill="FFFFFF"/>
        </w:rPr>
        <w:t>供应商须知前附表</w:t>
      </w:r>
    </w:p>
    <w:tbl>
      <w:tblPr>
        <w:tblStyle w:val="37"/>
        <w:tblW w:w="9498" w:type="dxa"/>
        <w:tblInd w:w="-28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914"/>
        <w:gridCol w:w="2914"/>
        <w:gridCol w:w="5670"/>
      </w:tblGrid>
      <w:tr w14:paraId="1069DB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1" w:hRule="atLeast"/>
          <w:tblHeader/>
        </w:trPr>
        <w:tc>
          <w:tcPr>
            <w:tcW w:w="914" w:type="dxa"/>
            <w:noWrap/>
            <w:vAlign w:val="center"/>
          </w:tcPr>
          <w:p w14:paraId="3F5CCFBD">
            <w:pPr>
              <w:pStyle w:val="125"/>
              <w:spacing w:line="500" w:lineRule="exact"/>
              <w:ind w:left="9" w:firstLine="0"/>
              <w:jc w:val="center"/>
              <w:rPr>
                <w:rFonts w:ascii="宋体" w:hAnsi="宋体"/>
                <w:sz w:val="24"/>
                <w:szCs w:val="24"/>
                <w:shd w:val="clear" w:color="auto" w:fill="FFFFFF"/>
                <w:lang w:val="zh-CN"/>
              </w:rPr>
            </w:pPr>
            <w:r>
              <w:rPr>
                <w:rFonts w:hint="eastAsia" w:ascii="宋体" w:hAnsi="宋体"/>
                <w:sz w:val="24"/>
                <w:szCs w:val="24"/>
                <w:shd w:val="clear" w:color="auto" w:fill="FFFFFF"/>
                <w:lang w:val="zh-CN"/>
              </w:rPr>
              <w:t>序号</w:t>
            </w:r>
          </w:p>
        </w:tc>
        <w:tc>
          <w:tcPr>
            <w:tcW w:w="2914" w:type="dxa"/>
            <w:noWrap/>
            <w:vAlign w:val="center"/>
          </w:tcPr>
          <w:p w14:paraId="1E2A6D94">
            <w:pPr>
              <w:pStyle w:val="125"/>
              <w:spacing w:line="500" w:lineRule="exact"/>
              <w:rPr>
                <w:rFonts w:ascii="宋体" w:hAnsi="宋体"/>
                <w:sz w:val="24"/>
                <w:szCs w:val="24"/>
                <w:shd w:val="clear" w:color="auto" w:fill="FFFFFF"/>
                <w:lang w:val="zh-CN"/>
              </w:rPr>
            </w:pPr>
            <w:r>
              <w:rPr>
                <w:rFonts w:hint="eastAsia" w:ascii="宋体" w:hAnsi="宋体"/>
                <w:sz w:val="24"/>
                <w:szCs w:val="24"/>
                <w:shd w:val="clear" w:color="auto" w:fill="FFFFFF"/>
                <w:lang w:val="zh-CN"/>
              </w:rPr>
              <w:t>条款名称</w:t>
            </w:r>
          </w:p>
        </w:tc>
        <w:tc>
          <w:tcPr>
            <w:tcW w:w="5670" w:type="dxa"/>
            <w:noWrap/>
            <w:vAlign w:val="center"/>
          </w:tcPr>
          <w:p w14:paraId="2BDB10F3">
            <w:pPr>
              <w:pStyle w:val="125"/>
              <w:spacing w:line="500" w:lineRule="exact"/>
              <w:ind w:left="571" w:leftChars="272" w:firstLine="1677" w:firstLineChars="699"/>
              <w:rPr>
                <w:rFonts w:ascii="宋体" w:hAnsi="宋体"/>
                <w:sz w:val="24"/>
                <w:szCs w:val="24"/>
                <w:shd w:val="clear" w:color="auto" w:fill="FFFFFF"/>
                <w:lang w:val="zh-CN"/>
              </w:rPr>
            </w:pPr>
            <w:r>
              <w:rPr>
                <w:rFonts w:hint="eastAsia" w:ascii="宋体" w:hAnsi="宋体"/>
                <w:sz w:val="24"/>
                <w:szCs w:val="24"/>
                <w:shd w:val="clear" w:color="auto" w:fill="FFFFFF"/>
                <w:lang w:val="zh-CN"/>
              </w:rPr>
              <w:t>说明和要求</w:t>
            </w:r>
          </w:p>
        </w:tc>
      </w:tr>
      <w:tr w14:paraId="000D4F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1" w:hRule="atLeast"/>
          <w:tblHeader/>
        </w:trPr>
        <w:tc>
          <w:tcPr>
            <w:tcW w:w="914" w:type="dxa"/>
            <w:noWrap/>
            <w:vAlign w:val="center"/>
          </w:tcPr>
          <w:p w14:paraId="76B9CEAD">
            <w:pPr>
              <w:bidi w:val="0"/>
              <w:jc w:val="center"/>
              <w:rPr>
                <w:rFonts w:hint="eastAsia" w:ascii="宋体" w:hAnsi="宋体" w:eastAsia="宋体" w:cs="宋体"/>
                <w:sz w:val="28"/>
                <w:szCs w:val="28"/>
                <w:lang w:val="zh-CN"/>
              </w:rPr>
            </w:pPr>
            <w:r>
              <w:rPr>
                <w:rFonts w:hint="eastAsia" w:ascii="宋体" w:hAnsi="宋体" w:eastAsia="宋体" w:cs="宋体"/>
                <w:sz w:val="28"/>
                <w:szCs w:val="28"/>
                <w:lang w:val="zh-CN"/>
              </w:rPr>
              <w:t>1</w:t>
            </w:r>
          </w:p>
        </w:tc>
        <w:tc>
          <w:tcPr>
            <w:tcW w:w="2914" w:type="dxa"/>
            <w:noWrap/>
            <w:vAlign w:val="center"/>
          </w:tcPr>
          <w:p w14:paraId="2169A358">
            <w:pPr>
              <w:spacing w:line="380" w:lineRule="exact"/>
              <w:jc w:val="center"/>
              <w:rPr>
                <w:rFonts w:ascii="宋体" w:hAnsi="宋体"/>
                <w:kern w:val="0"/>
                <w:sz w:val="24"/>
                <w:shd w:val="clear" w:color="auto" w:fill="FFFFFF"/>
              </w:rPr>
            </w:pPr>
            <w:r>
              <w:rPr>
                <w:rFonts w:hint="eastAsia" w:ascii="宋体" w:hAnsi="宋体"/>
                <w:sz w:val="24"/>
                <w:shd w:val="clear" w:color="auto" w:fill="FFFFFF"/>
                <w:lang w:val="zh-CN"/>
              </w:rPr>
              <w:t>项目预算</w:t>
            </w:r>
          </w:p>
        </w:tc>
        <w:tc>
          <w:tcPr>
            <w:tcW w:w="5670" w:type="dxa"/>
            <w:noWrap/>
            <w:vAlign w:val="center"/>
          </w:tcPr>
          <w:p w14:paraId="4ABF898C">
            <w:pPr>
              <w:spacing w:line="300" w:lineRule="exact"/>
              <w:jc w:val="left"/>
              <w:rPr>
                <w:rFonts w:ascii="宋体" w:hAnsi="宋体" w:cs="宋体"/>
                <w:kern w:val="0"/>
                <w:sz w:val="24"/>
                <w:shd w:val="clear" w:color="auto" w:fill="FFFFFF"/>
                <w:lang w:val="zh-CN"/>
              </w:rPr>
            </w:pPr>
            <w:r>
              <w:rPr>
                <w:rFonts w:hint="eastAsia" w:ascii="宋体" w:hAnsi="宋体" w:cs="宋体"/>
                <w:kern w:val="0"/>
                <w:sz w:val="24"/>
                <w:shd w:val="clear" w:color="auto" w:fill="FFFFFF"/>
                <w:lang w:val="zh-CN"/>
              </w:rPr>
              <w:t>本项目采购预算为：</w:t>
            </w:r>
            <w:r>
              <w:rPr>
                <w:rFonts w:hint="eastAsia" w:ascii="宋体" w:hAnsi="宋体" w:cs="宋体"/>
                <w:color w:val="auto"/>
                <w:kern w:val="0"/>
                <w:sz w:val="24"/>
                <w:highlight w:val="none"/>
              </w:rPr>
              <w:t>45.2</w:t>
            </w:r>
            <w:r>
              <w:rPr>
                <w:rFonts w:hint="eastAsia" w:ascii="宋体" w:hAnsi="宋体" w:cs="宋体"/>
                <w:color w:val="auto"/>
                <w:kern w:val="0"/>
                <w:sz w:val="24"/>
                <w:highlight w:val="none"/>
                <w:lang w:val="en-US" w:eastAsia="zh-CN"/>
              </w:rPr>
              <w:t>万元</w:t>
            </w:r>
            <w:r>
              <w:rPr>
                <w:rFonts w:hint="eastAsia" w:ascii="宋体" w:hAnsi="宋体" w:cs="宋体"/>
                <w:kern w:val="0"/>
                <w:sz w:val="24"/>
              </w:rPr>
              <w:t>。</w:t>
            </w:r>
          </w:p>
          <w:p w14:paraId="66C04A65">
            <w:pPr>
              <w:spacing w:line="300" w:lineRule="exact"/>
              <w:jc w:val="left"/>
              <w:rPr>
                <w:rFonts w:ascii="宋体" w:hAnsi="宋体" w:cs="宋体"/>
                <w:kern w:val="0"/>
                <w:sz w:val="24"/>
                <w:shd w:val="clear" w:color="auto" w:fill="FFFFFF"/>
              </w:rPr>
            </w:pPr>
            <w:r>
              <w:rPr>
                <w:rFonts w:hint="eastAsia" w:ascii="宋体" w:hAnsi="宋体" w:cs="宋体"/>
                <w:kern w:val="0"/>
                <w:sz w:val="24"/>
                <w:shd w:val="clear" w:color="auto" w:fill="FFFFFF"/>
                <w:lang w:val="zh-CN"/>
              </w:rPr>
              <w:t>报价（包括第一次报价及磋商后的最后报价）不能超过采购预算，超过视为无效响应。</w:t>
            </w:r>
          </w:p>
        </w:tc>
      </w:tr>
      <w:tr w14:paraId="518D31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46" w:hRule="atLeast"/>
        </w:trPr>
        <w:tc>
          <w:tcPr>
            <w:tcW w:w="914" w:type="dxa"/>
            <w:noWrap/>
            <w:vAlign w:val="center"/>
          </w:tcPr>
          <w:p w14:paraId="78B36702">
            <w:pPr>
              <w:bidi w:val="0"/>
              <w:jc w:val="center"/>
              <w:rPr>
                <w:rFonts w:hint="eastAsia" w:ascii="宋体" w:hAnsi="宋体" w:eastAsia="宋体" w:cs="宋体"/>
                <w:sz w:val="28"/>
                <w:szCs w:val="28"/>
                <w:lang w:val="zh-CN"/>
              </w:rPr>
            </w:pPr>
            <w:r>
              <w:rPr>
                <w:rFonts w:hint="eastAsia" w:ascii="宋体" w:hAnsi="宋体" w:eastAsia="宋体" w:cs="宋体"/>
                <w:sz w:val="28"/>
                <w:szCs w:val="28"/>
                <w:lang w:val="zh-CN"/>
              </w:rPr>
              <w:t>2</w:t>
            </w:r>
          </w:p>
        </w:tc>
        <w:tc>
          <w:tcPr>
            <w:tcW w:w="2914" w:type="dxa"/>
            <w:noWrap/>
            <w:vAlign w:val="center"/>
          </w:tcPr>
          <w:p w14:paraId="5F254FE3">
            <w:pPr>
              <w:spacing w:line="440" w:lineRule="exact"/>
              <w:ind w:firstLine="240" w:firstLineChars="100"/>
              <w:jc w:val="left"/>
              <w:rPr>
                <w:rFonts w:ascii="宋体" w:hAnsi="宋体" w:cs="宋体"/>
                <w:kern w:val="0"/>
                <w:sz w:val="24"/>
                <w:shd w:val="clear" w:color="auto" w:fill="FFFFFF"/>
                <w:lang w:val="zh-CN"/>
              </w:rPr>
            </w:pPr>
            <w:r>
              <w:rPr>
                <w:rFonts w:hint="eastAsia" w:ascii="宋体" w:hAnsi="宋体" w:cs="宋体"/>
                <w:kern w:val="0"/>
                <w:sz w:val="24"/>
                <w:shd w:val="clear" w:color="auto" w:fill="FFFFFF"/>
                <w:lang w:val="zh-CN"/>
              </w:rPr>
              <w:t>是否接受进口产品投标</w:t>
            </w:r>
          </w:p>
        </w:tc>
        <w:tc>
          <w:tcPr>
            <w:tcW w:w="5670" w:type="dxa"/>
            <w:noWrap/>
            <w:vAlign w:val="center"/>
          </w:tcPr>
          <w:p w14:paraId="1CB8ECCB">
            <w:pPr>
              <w:spacing w:line="300" w:lineRule="exact"/>
              <w:ind w:firstLine="240" w:firstLineChars="100"/>
              <w:jc w:val="left"/>
              <w:rPr>
                <w:rFonts w:ascii="宋体" w:hAnsi="宋体" w:cs="宋体"/>
                <w:kern w:val="0"/>
                <w:sz w:val="24"/>
                <w:shd w:val="clear" w:color="auto" w:fill="FFFFFF"/>
                <w:lang w:val="zh-CN"/>
              </w:rPr>
            </w:pPr>
            <w:r>
              <w:rPr>
                <w:rFonts w:hint="eastAsia" w:ascii="宋体" w:hAnsi="宋体" w:cs="宋体"/>
                <w:kern w:val="0"/>
                <w:sz w:val="24"/>
                <w:shd w:val="clear" w:color="auto" w:fill="FFFFFF"/>
                <w:lang w:val="zh-CN"/>
              </w:rPr>
              <w:t>接受（ ）    不接受（√）</w:t>
            </w:r>
          </w:p>
        </w:tc>
      </w:tr>
      <w:tr w14:paraId="59E8FA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7" w:hRule="atLeast"/>
        </w:trPr>
        <w:tc>
          <w:tcPr>
            <w:tcW w:w="914" w:type="dxa"/>
            <w:noWrap/>
            <w:vAlign w:val="center"/>
          </w:tcPr>
          <w:p w14:paraId="021352E0">
            <w:pPr>
              <w:bidi w:val="0"/>
              <w:jc w:val="center"/>
              <w:rPr>
                <w:rFonts w:hint="eastAsia" w:ascii="宋体" w:hAnsi="宋体" w:eastAsia="宋体" w:cs="宋体"/>
                <w:sz w:val="28"/>
                <w:szCs w:val="28"/>
                <w:lang w:val="zh-CN"/>
              </w:rPr>
            </w:pPr>
            <w:r>
              <w:rPr>
                <w:rFonts w:hint="eastAsia" w:ascii="宋体" w:hAnsi="宋体" w:eastAsia="宋体" w:cs="宋体"/>
                <w:sz w:val="28"/>
                <w:szCs w:val="28"/>
                <w:lang w:val="zh-CN"/>
              </w:rPr>
              <w:t>3</w:t>
            </w:r>
          </w:p>
        </w:tc>
        <w:tc>
          <w:tcPr>
            <w:tcW w:w="2914" w:type="dxa"/>
            <w:noWrap/>
            <w:vAlign w:val="center"/>
          </w:tcPr>
          <w:p w14:paraId="13F7E810">
            <w:pPr>
              <w:spacing w:line="500" w:lineRule="exact"/>
              <w:jc w:val="center"/>
              <w:rPr>
                <w:rFonts w:ascii="宋体" w:hAnsi="宋体"/>
                <w:sz w:val="24"/>
                <w:shd w:val="clear" w:color="auto" w:fill="FFFFFF"/>
              </w:rPr>
            </w:pPr>
            <w:r>
              <w:rPr>
                <w:rFonts w:hint="eastAsia" w:ascii="宋体" w:hAnsi="宋体"/>
                <w:sz w:val="24"/>
                <w:shd w:val="clear" w:color="auto" w:fill="FFFFFF"/>
              </w:rPr>
              <w:t>标前踏勘现场</w:t>
            </w:r>
          </w:p>
        </w:tc>
        <w:tc>
          <w:tcPr>
            <w:tcW w:w="5670" w:type="dxa"/>
            <w:noWrap/>
            <w:vAlign w:val="center"/>
          </w:tcPr>
          <w:p w14:paraId="079B8411">
            <w:pPr>
              <w:spacing w:line="300" w:lineRule="exact"/>
              <w:ind w:firstLine="240" w:firstLineChars="100"/>
              <w:jc w:val="left"/>
              <w:rPr>
                <w:rFonts w:ascii="宋体" w:hAnsi="宋体"/>
                <w:kern w:val="0"/>
                <w:sz w:val="24"/>
                <w:shd w:val="clear" w:color="auto" w:fill="FFFFFF"/>
                <w:lang w:val="zh-CN"/>
              </w:rPr>
            </w:pPr>
            <w:r>
              <w:rPr>
                <w:rFonts w:hint="eastAsia" w:ascii="宋体" w:hAnsi="宋体"/>
                <w:kern w:val="0"/>
                <w:sz w:val="24"/>
                <w:shd w:val="clear" w:color="auto" w:fill="FFFFFF"/>
                <w:lang w:val="zh-CN"/>
              </w:rPr>
              <w:t>组织（）   不组织（√）</w:t>
            </w:r>
          </w:p>
        </w:tc>
      </w:tr>
      <w:tr w14:paraId="117D16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7" w:hRule="atLeast"/>
        </w:trPr>
        <w:tc>
          <w:tcPr>
            <w:tcW w:w="914" w:type="dxa"/>
            <w:noWrap/>
            <w:vAlign w:val="center"/>
          </w:tcPr>
          <w:p w14:paraId="05F78AB9">
            <w:pPr>
              <w:bidi w:val="0"/>
              <w:jc w:val="center"/>
              <w:rPr>
                <w:rFonts w:hint="eastAsia" w:ascii="宋体" w:hAnsi="宋体" w:eastAsia="宋体" w:cs="宋体"/>
                <w:sz w:val="28"/>
                <w:szCs w:val="28"/>
                <w:lang w:val="zh-CN"/>
              </w:rPr>
            </w:pPr>
            <w:r>
              <w:rPr>
                <w:rFonts w:hint="eastAsia" w:ascii="宋体" w:hAnsi="宋体" w:eastAsia="宋体" w:cs="宋体"/>
                <w:sz w:val="28"/>
                <w:szCs w:val="28"/>
                <w:lang w:val="zh-CN"/>
              </w:rPr>
              <w:t>4</w:t>
            </w:r>
          </w:p>
        </w:tc>
        <w:tc>
          <w:tcPr>
            <w:tcW w:w="2914" w:type="dxa"/>
            <w:noWrap/>
            <w:vAlign w:val="center"/>
          </w:tcPr>
          <w:p w14:paraId="4914ED13">
            <w:pPr>
              <w:pStyle w:val="125"/>
              <w:spacing w:line="500" w:lineRule="exact"/>
              <w:ind w:left="0" w:firstLine="0"/>
              <w:rPr>
                <w:rFonts w:ascii="宋体" w:hAnsi="宋体"/>
                <w:kern w:val="0"/>
                <w:sz w:val="24"/>
                <w:szCs w:val="24"/>
                <w:shd w:val="clear" w:color="auto" w:fill="FFFFFF"/>
                <w:lang w:val="zh-CN"/>
              </w:rPr>
            </w:pPr>
            <w:r>
              <w:rPr>
                <w:rFonts w:hint="eastAsia" w:ascii="宋体" w:hAnsi="宋体"/>
                <w:kern w:val="0"/>
                <w:sz w:val="24"/>
                <w:szCs w:val="24"/>
                <w:shd w:val="clear" w:color="auto" w:fill="FFFFFF"/>
                <w:lang w:val="zh-CN"/>
              </w:rPr>
              <w:t>述标和/或产（样）品演（展）示</w:t>
            </w:r>
          </w:p>
        </w:tc>
        <w:tc>
          <w:tcPr>
            <w:tcW w:w="5670" w:type="dxa"/>
            <w:noWrap/>
            <w:vAlign w:val="center"/>
          </w:tcPr>
          <w:p w14:paraId="0E95C05C">
            <w:pPr>
              <w:widowControl/>
              <w:tabs>
                <w:tab w:val="left" w:pos="425"/>
              </w:tabs>
              <w:spacing w:line="300" w:lineRule="exact"/>
              <w:ind w:firstLine="240" w:firstLineChars="100"/>
              <w:jc w:val="left"/>
              <w:rPr>
                <w:rFonts w:ascii="宋体" w:hAnsi="宋体"/>
                <w:kern w:val="0"/>
                <w:sz w:val="24"/>
                <w:shd w:val="clear" w:color="auto" w:fill="FFFFFF"/>
                <w:lang w:val="zh-CN"/>
              </w:rPr>
            </w:pPr>
            <w:r>
              <w:rPr>
                <w:rFonts w:hint="eastAsia" w:ascii="宋体" w:hAnsi="宋体"/>
                <w:kern w:val="0"/>
                <w:sz w:val="24"/>
                <w:shd w:val="clear" w:color="auto" w:fill="FFFFFF"/>
                <w:lang w:val="zh-CN"/>
              </w:rPr>
              <w:t>有（√ ）       无（）</w:t>
            </w:r>
          </w:p>
        </w:tc>
      </w:tr>
      <w:tr w14:paraId="092CAE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8" w:hRule="atLeast"/>
        </w:trPr>
        <w:tc>
          <w:tcPr>
            <w:tcW w:w="914" w:type="dxa"/>
            <w:noWrap/>
            <w:vAlign w:val="center"/>
          </w:tcPr>
          <w:p w14:paraId="3C3C9CDA">
            <w:pPr>
              <w:bidi w:val="0"/>
              <w:jc w:val="center"/>
              <w:rPr>
                <w:rFonts w:hint="eastAsia" w:ascii="宋体" w:hAnsi="宋体" w:eastAsia="宋体" w:cs="宋体"/>
                <w:sz w:val="28"/>
                <w:szCs w:val="28"/>
                <w:lang w:val="zh-CN"/>
              </w:rPr>
            </w:pPr>
            <w:r>
              <w:rPr>
                <w:rFonts w:hint="eastAsia" w:ascii="宋体" w:hAnsi="宋体" w:eastAsia="宋体" w:cs="宋体"/>
                <w:sz w:val="28"/>
                <w:szCs w:val="28"/>
                <w:lang w:val="zh-CN"/>
              </w:rPr>
              <w:t>5</w:t>
            </w:r>
          </w:p>
        </w:tc>
        <w:tc>
          <w:tcPr>
            <w:tcW w:w="2914" w:type="dxa"/>
            <w:noWrap/>
            <w:vAlign w:val="center"/>
          </w:tcPr>
          <w:p w14:paraId="386D589A">
            <w:pPr>
              <w:pStyle w:val="125"/>
              <w:spacing w:line="500" w:lineRule="exact"/>
              <w:ind w:left="0" w:firstLine="0"/>
              <w:rPr>
                <w:rFonts w:ascii="宋体" w:hAnsi="宋体"/>
                <w:sz w:val="24"/>
                <w:szCs w:val="24"/>
                <w:shd w:val="clear" w:color="auto" w:fill="FFFFFF"/>
                <w:lang w:val="zh-CN"/>
              </w:rPr>
            </w:pPr>
            <w:r>
              <w:rPr>
                <w:rFonts w:hint="eastAsia" w:ascii="宋体" w:hAnsi="宋体"/>
                <w:sz w:val="24"/>
                <w:szCs w:val="24"/>
                <w:shd w:val="clear" w:color="auto" w:fill="FFFFFF"/>
                <w:lang w:val="zh-CN"/>
              </w:rPr>
              <w:t>响应有效期</w:t>
            </w:r>
          </w:p>
        </w:tc>
        <w:tc>
          <w:tcPr>
            <w:tcW w:w="5670" w:type="dxa"/>
            <w:noWrap/>
            <w:vAlign w:val="center"/>
          </w:tcPr>
          <w:p w14:paraId="1BE19854">
            <w:pPr>
              <w:pStyle w:val="125"/>
              <w:spacing w:line="300" w:lineRule="exact"/>
              <w:jc w:val="left"/>
              <w:rPr>
                <w:rFonts w:ascii="宋体" w:hAnsi="宋体"/>
                <w:sz w:val="24"/>
                <w:szCs w:val="24"/>
                <w:shd w:val="clear" w:color="auto" w:fill="FFFFFF"/>
                <w:lang w:val="zh-CN"/>
              </w:rPr>
            </w:pPr>
            <w:r>
              <w:rPr>
                <w:rFonts w:hint="eastAsia" w:ascii="宋体" w:hAnsi="宋体"/>
                <w:sz w:val="24"/>
                <w:szCs w:val="24"/>
                <w:shd w:val="clear" w:color="auto" w:fill="FFFFFF"/>
              </w:rPr>
              <w:t>自响应文件递交之日起90天内。</w:t>
            </w:r>
          </w:p>
        </w:tc>
      </w:tr>
      <w:tr w14:paraId="573C69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4" w:hRule="atLeast"/>
        </w:trPr>
        <w:tc>
          <w:tcPr>
            <w:tcW w:w="914" w:type="dxa"/>
            <w:noWrap/>
            <w:vAlign w:val="center"/>
          </w:tcPr>
          <w:p w14:paraId="7587F7B3">
            <w:pPr>
              <w:bidi w:val="0"/>
              <w:jc w:val="center"/>
              <w:rPr>
                <w:rFonts w:hint="eastAsia" w:ascii="宋体" w:hAnsi="宋体" w:eastAsia="宋体" w:cs="宋体"/>
                <w:sz w:val="28"/>
                <w:szCs w:val="28"/>
              </w:rPr>
            </w:pPr>
            <w:r>
              <w:rPr>
                <w:rFonts w:hint="eastAsia" w:ascii="宋体" w:hAnsi="宋体" w:eastAsia="宋体" w:cs="宋体"/>
                <w:sz w:val="28"/>
                <w:szCs w:val="28"/>
              </w:rPr>
              <w:t>6</w:t>
            </w:r>
          </w:p>
        </w:tc>
        <w:tc>
          <w:tcPr>
            <w:tcW w:w="2914" w:type="dxa"/>
            <w:noWrap/>
            <w:vAlign w:val="center"/>
          </w:tcPr>
          <w:p w14:paraId="7E30C0E3">
            <w:pPr>
              <w:pStyle w:val="125"/>
              <w:spacing w:line="500" w:lineRule="exact"/>
              <w:ind w:left="0" w:firstLine="0"/>
              <w:rPr>
                <w:rFonts w:ascii="宋体" w:hAnsi="宋体"/>
                <w:sz w:val="24"/>
                <w:szCs w:val="24"/>
                <w:shd w:val="clear" w:color="auto" w:fill="FFFFFF"/>
                <w:lang w:val="zh-CN"/>
              </w:rPr>
            </w:pPr>
            <w:r>
              <w:rPr>
                <w:rFonts w:hint="eastAsia" w:ascii="宋体" w:hAnsi="宋体"/>
                <w:sz w:val="24"/>
                <w:szCs w:val="24"/>
                <w:shd w:val="clear" w:color="auto" w:fill="FFFFFF"/>
                <w:lang w:val="zh-CN"/>
              </w:rPr>
              <w:t>响应文件份数</w:t>
            </w:r>
          </w:p>
        </w:tc>
        <w:tc>
          <w:tcPr>
            <w:tcW w:w="5670" w:type="dxa"/>
            <w:noWrap/>
            <w:vAlign w:val="center"/>
          </w:tcPr>
          <w:p w14:paraId="6549867D">
            <w:pPr>
              <w:pStyle w:val="125"/>
              <w:spacing w:line="300" w:lineRule="exact"/>
              <w:ind w:firstLine="240" w:firstLineChars="100"/>
              <w:rPr>
                <w:rFonts w:ascii="宋体" w:hAnsi="宋体"/>
                <w:sz w:val="24"/>
                <w:szCs w:val="24"/>
                <w:shd w:val="clear" w:color="auto" w:fill="FFFFFF"/>
                <w:lang w:val="zh-CN"/>
              </w:rPr>
            </w:pPr>
            <w:r>
              <w:rPr>
                <w:rFonts w:hint="eastAsia" w:ascii="宋体" w:hAnsi="宋体"/>
                <w:sz w:val="24"/>
                <w:szCs w:val="24"/>
                <w:shd w:val="clear" w:color="auto" w:fill="FFFFFF"/>
                <w:lang w:val="zh-CN"/>
              </w:rPr>
              <w:t>正本</w:t>
            </w:r>
            <w:r>
              <w:rPr>
                <w:rFonts w:hint="eastAsia" w:ascii="宋体" w:hAnsi="宋体"/>
                <w:sz w:val="24"/>
                <w:szCs w:val="24"/>
                <w:u w:val="single"/>
                <w:shd w:val="clear" w:color="auto" w:fill="FFFFFF"/>
                <w:lang w:val="zh-CN"/>
              </w:rPr>
              <w:t xml:space="preserve">  壹 </w:t>
            </w:r>
            <w:r>
              <w:rPr>
                <w:rFonts w:hint="eastAsia" w:ascii="宋体" w:hAnsi="宋体"/>
                <w:sz w:val="24"/>
                <w:szCs w:val="24"/>
                <w:shd w:val="clear" w:color="auto" w:fill="FFFFFF"/>
                <w:lang w:val="zh-CN"/>
              </w:rPr>
              <w:t>份    副本</w:t>
            </w:r>
            <w:r>
              <w:rPr>
                <w:rFonts w:hint="eastAsia" w:ascii="宋体" w:hAnsi="宋体"/>
                <w:sz w:val="24"/>
                <w:szCs w:val="24"/>
                <w:u w:val="single"/>
                <w:shd w:val="clear" w:color="auto" w:fill="FFFFFF"/>
                <w:lang w:val="en-US" w:eastAsia="zh-CN"/>
              </w:rPr>
              <w:t xml:space="preserve"> 贰 </w:t>
            </w:r>
            <w:r>
              <w:rPr>
                <w:rFonts w:hint="eastAsia" w:ascii="宋体" w:hAnsi="宋体"/>
                <w:sz w:val="24"/>
                <w:szCs w:val="24"/>
                <w:shd w:val="clear" w:color="auto" w:fill="FFFFFF"/>
                <w:lang w:val="zh-CN"/>
              </w:rPr>
              <w:t>份</w:t>
            </w:r>
          </w:p>
          <w:p w14:paraId="0AFF76C3">
            <w:pPr>
              <w:pStyle w:val="125"/>
              <w:spacing w:line="300" w:lineRule="exact"/>
              <w:ind w:left="0" w:firstLine="0"/>
              <w:jc w:val="left"/>
              <w:rPr>
                <w:lang w:val="zh-CN"/>
              </w:rPr>
            </w:pPr>
            <w:r>
              <w:rPr>
                <w:rFonts w:hint="eastAsia"/>
              </w:rPr>
              <w:t>（响应时递交U盘拷贝的PDF格式正本的响应文件和报价一览表和规格响应表PDF格式并加盖公章</w:t>
            </w:r>
            <w:r>
              <w:rPr>
                <w:rFonts w:hint="eastAsia" w:ascii="宋体" w:hAnsi="宋体" w:cs="宋体"/>
                <w:b/>
                <w:bCs/>
                <w:kern w:val="0"/>
                <w:sz w:val="24"/>
              </w:rPr>
              <w:t>）</w:t>
            </w:r>
          </w:p>
          <w:p w14:paraId="0C8E6276">
            <w:pPr>
              <w:pStyle w:val="125"/>
              <w:spacing w:line="300" w:lineRule="exact"/>
              <w:ind w:left="0" w:firstLine="0"/>
              <w:rPr>
                <w:rFonts w:ascii="宋体" w:hAnsi="宋体"/>
                <w:sz w:val="18"/>
                <w:szCs w:val="18"/>
                <w:shd w:val="clear" w:color="auto" w:fill="FFFFFF"/>
                <w:lang w:val="zh-CN"/>
              </w:rPr>
            </w:pPr>
            <w:r>
              <w:rPr>
                <w:rFonts w:hint="eastAsia" w:ascii="宋体" w:hAnsi="宋体"/>
                <w:b/>
                <w:bCs/>
                <w:kern w:val="0"/>
                <w:sz w:val="18"/>
                <w:szCs w:val="18"/>
              </w:rPr>
              <w:t>温馨提示：为了节约能源保护环境，制作响应文件时建议双面打印</w:t>
            </w:r>
          </w:p>
        </w:tc>
      </w:tr>
      <w:tr w14:paraId="206791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trPr>
        <w:tc>
          <w:tcPr>
            <w:tcW w:w="914" w:type="dxa"/>
            <w:noWrap/>
            <w:vAlign w:val="center"/>
          </w:tcPr>
          <w:p w14:paraId="2F31B463">
            <w:pPr>
              <w:bidi w:val="0"/>
              <w:jc w:val="center"/>
              <w:rPr>
                <w:rFonts w:hint="eastAsia" w:ascii="宋体" w:hAnsi="宋体" w:eastAsia="宋体" w:cs="宋体"/>
                <w:sz w:val="28"/>
                <w:szCs w:val="28"/>
              </w:rPr>
            </w:pPr>
            <w:r>
              <w:rPr>
                <w:rFonts w:hint="eastAsia" w:ascii="宋体" w:hAnsi="宋体" w:eastAsia="宋体" w:cs="宋体"/>
                <w:sz w:val="28"/>
                <w:szCs w:val="28"/>
              </w:rPr>
              <w:t>7</w:t>
            </w:r>
          </w:p>
        </w:tc>
        <w:tc>
          <w:tcPr>
            <w:tcW w:w="2914" w:type="dxa"/>
            <w:noWrap/>
            <w:vAlign w:val="center"/>
          </w:tcPr>
          <w:p w14:paraId="6995CA7E">
            <w:pPr>
              <w:pStyle w:val="125"/>
              <w:spacing w:line="500" w:lineRule="exact"/>
              <w:ind w:left="0" w:firstLine="0"/>
              <w:rPr>
                <w:rFonts w:ascii="宋体" w:hAnsi="宋体"/>
                <w:sz w:val="24"/>
                <w:szCs w:val="24"/>
                <w:shd w:val="clear" w:color="auto" w:fill="FFFFFF"/>
                <w:lang w:val="zh-CN"/>
              </w:rPr>
            </w:pPr>
            <w:r>
              <w:rPr>
                <w:rFonts w:hint="eastAsia" w:ascii="宋体" w:hAnsi="宋体"/>
                <w:sz w:val="24"/>
                <w:szCs w:val="24"/>
                <w:shd w:val="clear" w:color="auto" w:fill="FFFFFF"/>
                <w:lang w:val="zh-CN"/>
              </w:rPr>
              <w:t>评审方法</w:t>
            </w:r>
          </w:p>
        </w:tc>
        <w:tc>
          <w:tcPr>
            <w:tcW w:w="5670" w:type="dxa"/>
            <w:noWrap/>
            <w:vAlign w:val="center"/>
          </w:tcPr>
          <w:p w14:paraId="45B151E4">
            <w:pPr>
              <w:pStyle w:val="125"/>
              <w:spacing w:line="300" w:lineRule="exact"/>
              <w:ind w:left="65" w:leftChars="31" w:firstLine="120" w:firstLineChars="50"/>
              <w:jc w:val="left"/>
              <w:rPr>
                <w:rFonts w:ascii="宋体" w:hAnsi="宋体"/>
                <w:sz w:val="24"/>
                <w:szCs w:val="24"/>
                <w:shd w:val="clear" w:color="auto" w:fill="FFFFFF"/>
                <w:lang w:val="zh-CN"/>
              </w:rPr>
            </w:pPr>
            <w:r>
              <w:rPr>
                <w:rFonts w:hint="eastAsia" w:ascii="宋体" w:hAnsi="宋体"/>
                <w:sz w:val="24"/>
                <w:szCs w:val="24"/>
                <w:shd w:val="clear" w:color="auto" w:fill="FFFFFF"/>
                <w:lang w:val="zh-CN"/>
              </w:rPr>
              <w:t>最低评标价法（  ） 综合评分法（√）</w:t>
            </w:r>
          </w:p>
        </w:tc>
      </w:tr>
      <w:tr w14:paraId="570C64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trPr>
        <w:tc>
          <w:tcPr>
            <w:tcW w:w="914" w:type="dxa"/>
            <w:noWrap/>
            <w:vAlign w:val="center"/>
          </w:tcPr>
          <w:p w14:paraId="78BC8EBC">
            <w:pPr>
              <w:bidi w:val="0"/>
              <w:jc w:val="center"/>
              <w:rPr>
                <w:rFonts w:hint="eastAsia" w:ascii="宋体" w:hAnsi="宋体" w:eastAsia="宋体" w:cs="宋体"/>
                <w:sz w:val="28"/>
                <w:szCs w:val="28"/>
              </w:rPr>
            </w:pPr>
            <w:r>
              <w:rPr>
                <w:rFonts w:hint="eastAsia" w:ascii="宋体" w:hAnsi="宋体" w:eastAsia="宋体" w:cs="宋体"/>
                <w:sz w:val="28"/>
                <w:szCs w:val="28"/>
              </w:rPr>
              <w:t>8</w:t>
            </w:r>
          </w:p>
        </w:tc>
        <w:tc>
          <w:tcPr>
            <w:tcW w:w="2914" w:type="dxa"/>
            <w:noWrap/>
            <w:vAlign w:val="center"/>
          </w:tcPr>
          <w:p w14:paraId="5F51702E">
            <w:pPr>
              <w:pStyle w:val="125"/>
              <w:spacing w:line="500" w:lineRule="exact"/>
              <w:ind w:left="0" w:firstLine="0"/>
              <w:rPr>
                <w:rFonts w:hint="default" w:ascii="宋体" w:hAnsi="宋体" w:eastAsia="宋体"/>
                <w:sz w:val="24"/>
                <w:szCs w:val="24"/>
                <w:shd w:val="clear" w:color="auto" w:fill="FFFFFF"/>
                <w:lang w:val="en-US" w:eastAsia="zh-CN"/>
              </w:rPr>
            </w:pPr>
            <w:r>
              <w:rPr>
                <w:rFonts w:hint="eastAsia" w:ascii="宋体" w:hAnsi="宋体"/>
                <w:sz w:val="24"/>
                <w:szCs w:val="24"/>
                <w:shd w:val="clear" w:color="auto" w:fill="FFFFFF"/>
                <w:lang w:val="en-US" w:eastAsia="zh-CN"/>
              </w:rPr>
              <w:t>交付期</w:t>
            </w:r>
          </w:p>
        </w:tc>
        <w:tc>
          <w:tcPr>
            <w:tcW w:w="5670" w:type="dxa"/>
            <w:noWrap/>
            <w:vAlign w:val="center"/>
          </w:tcPr>
          <w:p w14:paraId="543FE234">
            <w:pPr>
              <w:adjustRightInd w:val="0"/>
              <w:snapToGrid w:val="0"/>
              <w:spacing w:line="360" w:lineRule="auto"/>
              <w:rPr>
                <w:rFonts w:hint="eastAsia" w:ascii="宋体" w:hAnsi="宋体" w:eastAsia="宋体"/>
                <w:sz w:val="24"/>
                <w:szCs w:val="24"/>
                <w:shd w:val="clear" w:color="auto" w:fill="FFFFFF"/>
                <w:lang w:val="zh-CN" w:eastAsia="zh-CN"/>
              </w:rPr>
            </w:pPr>
            <w:r>
              <w:rPr>
                <w:rFonts w:hint="eastAsia" w:ascii="宋体" w:hAnsi="宋体" w:cs="宋体"/>
                <w:color w:val="auto"/>
                <w:kern w:val="0"/>
                <w:sz w:val="24"/>
                <w:highlight w:val="none"/>
              </w:rPr>
              <w:t>合同签订之日起</w:t>
            </w:r>
            <w:r>
              <w:rPr>
                <w:rFonts w:hint="eastAsia" w:ascii="宋体" w:hAnsi="宋体" w:cs="宋体"/>
                <w:color w:val="auto"/>
                <w:kern w:val="0"/>
                <w:sz w:val="24"/>
                <w:highlight w:val="none"/>
                <w:lang w:val="en-US" w:eastAsia="zh-CN"/>
              </w:rPr>
              <w:t>45</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内</w:t>
            </w:r>
            <w:r>
              <w:rPr>
                <w:rFonts w:hint="eastAsia" w:ascii="宋体" w:hAnsi="宋体" w:cs="宋体"/>
                <w:color w:val="auto"/>
                <w:kern w:val="0"/>
                <w:sz w:val="24"/>
                <w:highlight w:val="none"/>
              </w:rPr>
              <w:t>完成项目交付</w:t>
            </w:r>
            <w:r>
              <w:rPr>
                <w:rFonts w:hint="eastAsia" w:ascii="宋体" w:hAnsi="宋体" w:cs="宋体"/>
                <w:color w:val="auto"/>
                <w:kern w:val="0"/>
                <w:sz w:val="24"/>
                <w:highlight w:val="none"/>
                <w:lang w:eastAsia="zh-CN"/>
              </w:rPr>
              <w:t>。</w:t>
            </w:r>
          </w:p>
        </w:tc>
      </w:tr>
      <w:tr w14:paraId="4D0329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trPr>
        <w:tc>
          <w:tcPr>
            <w:tcW w:w="914" w:type="dxa"/>
            <w:noWrap/>
            <w:vAlign w:val="center"/>
          </w:tcPr>
          <w:p w14:paraId="20ED2D79">
            <w:pPr>
              <w:bidi w:val="0"/>
              <w:jc w:val="center"/>
              <w:rPr>
                <w:rFonts w:hint="eastAsia" w:ascii="宋体" w:hAnsi="宋体" w:eastAsia="宋体" w:cs="宋体"/>
                <w:sz w:val="28"/>
                <w:szCs w:val="28"/>
              </w:rPr>
            </w:pPr>
            <w:r>
              <w:rPr>
                <w:rFonts w:hint="eastAsia" w:ascii="宋体" w:hAnsi="宋体" w:eastAsia="宋体" w:cs="宋体"/>
                <w:sz w:val="28"/>
                <w:szCs w:val="28"/>
              </w:rPr>
              <w:t>9</w:t>
            </w:r>
          </w:p>
        </w:tc>
        <w:tc>
          <w:tcPr>
            <w:tcW w:w="2914" w:type="dxa"/>
            <w:noWrap/>
            <w:vAlign w:val="center"/>
          </w:tcPr>
          <w:p w14:paraId="58A41FE6">
            <w:pPr>
              <w:pStyle w:val="125"/>
              <w:spacing w:line="500" w:lineRule="exact"/>
              <w:ind w:left="0" w:firstLine="0"/>
              <w:rPr>
                <w:rFonts w:ascii="宋体" w:hAnsi="宋体"/>
                <w:sz w:val="24"/>
                <w:szCs w:val="24"/>
                <w:shd w:val="clear" w:color="auto" w:fill="FFFFFF"/>
                <w:lang w:val="zh-CN"/>
              </w:rPr>
            </w:pPr>
            <w:r>
              <w:rPr>
                <w:rFonts w:hint="eastAsia" w:ascii="宋体" w:hAnsi="宋体"/>
                <w:sz w:val="24"/>
                <w:szCs w:val="24"/>
                <w:shd w:val="clear" w:color="auto" w:fill="FFFFFF"/>
                <w:lang w:val="en-US" w:eastAsia="zh-CN"/>
              </w:rPr>
              <w:t>服务</w:t>
            </w:r>
            <w:r>
              <w:rPr>
                <w:rFonts w:hint="eastAsia" w:ascii="宋体" w:hAnsi="宋体"/>
                <w:sz w:val="24"/>
                <w:szCs w:val="24"/>
                <w:shd w:val="clear" w:color="auto" w:fill="FFFFFF"/>
                <w:lang w:val="zh-CN"/>
              </w:rPr>
              <w:t>地点</w:t>
            </w:r>
          </w:p>
        </w:tc>
        <w:tc>
          <w:tcPr>
            <w:tcW w:w="5670" w:type="dxa"/>
            <w:noWrap/>
            <w:vAlign w:val="center"/>
          </w:tcPr>
          <w:p w14:paraId="3959765B">
            <w:pPr>
              <w:pStyle w:val="125"/>
              <w:spacing w:line="300" w:lineRule="exact"/>
              <w:ind w:left="0" w:firstLine="0"/>
              <w:jc w:val="left"/>
              <w:rPr>
                <w:rFonts w:ascii="宋体" w:hAnsi="宋体"/>
                <w:sz w:val="24"/>
                <w:szCs w:val="24"/>
                <w:shd w:val="clear" w:color="auto" w:fill="FFFFFF"/>
              </w:rPr>
            </w:pPr>
            <w:r>
              <w:rPr>
                <w:rFonts w:hint="eastAsia" w:ascii="宋体" w:hAnsi="宋体"/>
                <w:sz w:val="24"/>
                <w:szCs w:val="24"/>
                <w:shd w:val="clear" w:color="auto" w:fill="FFFFFF"/>
              </w:rPr>
              <w:t>采购人指定地点</w:t>
            </w:r>
          </w:p>
        </w:tc>
      </w:tr>
      <w:tr w14:paraId="6CD2FF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9" w:hRule="atLeast"/>
        </w:trPr>
        <w:tc>
          <w:tcPr>
            <w:tcW w:w="914" w:type="dxa"/>
            <w:noWrap/>
            <w:vAlign w:val="center"/>
          </w:tcPr>
          <w:p w14:paraId="11C0A7D1">
            <w:pPr>
              <w:bidi w:val="0"/>
              <w:jc w:val="center"/>
              <w:rPr>
                <w:rFonts w:hint="default" w:ascii="宋体" w:hAnsi="宋体" w:eastAsia="宋体" w:cs="宋体"/>
                <w:sz w:val="28"/>
                <w:szCs w:val="28"/>
                <w:lang w:val="en-US" w:eastAsia="zh-CN"/>
              </w:rPr>
            </w:pPr>
            <w:r>
              <w:rPr>
                <w:rFonts w:hint="eastAsia" w:ascii="宋体" w:hAnsi="宋体" w:cs="宋体"/>
                <w:sz w:val="28"/>
                <w:szCs w:val="28"/>
                <w:lang w:val="en-US" w:eastAsia="zh-CN"/>
              </w:rPr>
              <w:t>10</w:t>
            </w:r>
          </w:p>
        </w:tc>
        <w:tc>
          <w:tcPr>
            <w:tcW w:w="2914" w:type="dxa"/>
            <w:noWrap/>
            <w:vAlign w:val="center"/>
          </w:tcPr>
          <w:p w14:paraId="6B477829">
            <w:pPr>
              <w:pStyle w:val="125"/>
              <w:spacing w:line="500" w:lineRule="exact"/>
              <w:ind w:left="0" w:firstLine="0"/>
              <w:rPr>
                <w:rFonts w:hint="default" w:ascii="宋体" w:hAnsi="宋体" w:eastAsia="宋体"/>
                <w:sz w:val="24"/>
                <w:szCs w:val="24"/>
                <w:shd w:val="clear" w:color="auto" w:fill="FFFFFF"/>
                <w:lang w:val="en-US" w:eastAsia="zh-CN"/>
              </w:rPr>
            </w:pPr>
            <w:r>
              <w:rPr>
                <w:rFonts w:hint="eastAsia" w:ascii="宋体" w:hAnsi="宋体"/>
                <w:sz w:val="24"/>
                <w:szCs w:val="24"/>
                <w:shd w:val="clear" w:color="auto" w:fill="FFFFFF"/>
                <w:lang w:val="en-US" w:eastAsia="zh-CN"/>
              </w:rPr>
              <w:t>磋商保证金</w:t>
            </w:r>
          </w:p>
        </w:tc>
        <w:tc>
          <w:tcPr>
            <w:tcW w:w="5670" w:type="dxa"/>
            <w:noWrap/>
            <w:vAlign w:val="center"/>
          </w:tcPr>
          <w:p w14:paraId="2CA13975">
            <w:pPr>
              <w:pStyle w:val="125"/>
              <w:spacing w:line="300" w:lineRule="exact"/>
              <w:ind w:left="0" w:firstLine="0"/>
              <w:jc w:val="left"/>
              <w:rPr>
                <w:rFonts w:hint="default" w:ascii="宋体" w:hAnsi="宋体" w:eastAsia="宋体"/>
                <w:sz w:val="24"/>
                <w:szCs w:val="24"/>
                <w:shd w:val="clear" w:color="auto" w:fill="FFFFFF"/>
                <w:lang w:val="en-US" w:eastAsia="zh-CN"/>
              </w:rPr>
            </w:pPr>
            <w:r>
              <w:rPr>
                <w:rFonts w:hint="eastAsia" w:ascii="宋体" w:hAnsi="宋体"/>
                <w:sz w:val="24"/>
                <w:szCs w:val="24"/>
                <w:shd w:val="clear" w:color="auto" w:fill="FFFFFF"/>
                <w:lang w:val="en-US" w:eastAsia="zh-CN"/>
              </w:rPr>
              <w:t>本项目不收取</w:t>
            </w:r>
          </w:p>
        </w:tc>
      </w:tr>
      <w:tr w14:paraId="04784A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trPr>
        <w:tc>
          <w:tcPr>
            <w:tcW w:w="914" w:type="dxa"/>
            <w:noWrap/>
            <w:vAlign w:val="center"/>
          </w:tcPr>
          <w:p w14:paraId="46CA9842">
            <w:pPr>
              <w:bidi w:val="0"/>
              <w:jc w:val="center"/>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cs="宋体"/>
                <w:sz w:val="28"/>
                <w:szCs w:val="28"/>
                <w:lang w:val="en-US" w:eastAsia="zh-CN"/>
              </w:rPr>
              <w:t>1</w:t>
            </w:r>
          </w:p>
        </w:tc>
        <w:tc>
          <w:tcPr>
            <w:tcW w:w="2914" w:type="dxa"/>
            <w:noWrap/>
            <w:vAlign w:val="center"/>
          </w:tcPr>
          <w:p w14:paraId="07571C47">
            <w:pPr>
              <w:pStyle w:val="125"/>
              <w:spacing w:line="400" w:lineRule="exact"/>
              <w:ind w:left="0" w:firstLine="0"/>
              <w:jc w:val="left"/>
              <w:rPr>
                <w:rFonts w:ascii="宋体" w:hAnsi="宋体"/>
                <w:sz w:val="24"/>
                <w:szCs w:val="24"/>
                <w:shd w:val="clear" w:color="auto" w:fill="FFFFFF"/>
              </w:rPr>
            </w:pPr>
            <w:r>
              <w:rPr>
                <w:rFonts w:hint="eastAsia" w:ascii="宋体" w:hAnsi="宋体"/>
                <w:sz w:val="24"/>
                <w:szCs w:val="24"/>
                <w:shd w:val="clear" w:color="auto" w:fill="FFFFFF"/>
              </w:rPr>
              <w:t>本项目所属行业</w:t>
            </w:r>
          </w:p>
        </w:tc>
        <w:tc>
          <w:tcPr>
            <w:tcW w:w="5670" w:type="dxa"/>
            <w:noWrap/>
            <w:vAlign w:val="center"/>
          </w:tcPr>
          <w:p w14:paraId="449C5B2E">
            <w:pPr>
              <w:pStyle w:val="125"/>
              <w:spacing w:line="300" w:lineRule="exact"/>
              <w:ind w:left="0" w:firstLine="0"/>
              <w:jc w:val="left"/>
              <w:rPr>
                <w:rFonts w:ascii="宋体" w:hAnsi="宋体"/>
                <w:sz w:val="24"/>
                <w:szCs w:val="24"/>
                <w:shd w:val="clear" w:color="auto" w:fill="FFFFFF"/>
              </w:rPr>
            </w:pPr>
            <w:r>
              <w:rPr>
                <w:rFonts w:hint="eastAsia" w:ascii="宋体" w:hAnsi="宋体"/>
                <w:sz w:val="24"/>
                <w:szCs w:val="24"/>
                <w:shd w:val="clear" w:color="auto" w:fill="FFFFFF"/>
              </w:rPr>
              <w:t xml:space="preserve">根据《统计上大中小微型企业划分办法（2017）》，本项目所属行业为 </w:t>
            </w:r>
            <w:r>
              <w:rPr>
                <w:rFonts w:hint="eastAsia" w:ascii="宋体" w:hAnsi="宋体"/>
                <w:sz w:val="24"/>
                <w:szCs w:val="24"/>
                <w:u w:val="single"/>
                <w:shd w:val="clear" w:color="auto" w:fill="FFFFFF"/>
                <w:lang w:val="en-US" w:eastAsia="zh-CN"/>
              </w:rPr>
              <w:t>其他未列明行业</w:t>
            </w:r>
            <w:r>
              <w:rPr>
                <w:rFonts w:hint="eastAsia" w:ascii="宋体" w:hAnsi="宋体"/>
                <w:sz w:val="24"/>
                <w:szCs w:val="24"/>
                <w:shd w:val="clear" w:color="auto" w:fill="FFFFFF"/>
              </w:rPr>
              <w:t>。</w:t>
            </w:r>
          </w:p>
        </w:tc>
      </w:tr>
      <w:tr w14:paraId="318630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trPr>
        <w:tc>
          <w:tcPr>
            <w:tcW w:w="914" w:type="dxa"/>
            <w:noWrap/>
            <w:vAlign w:val="center"/>
          </w:tcPr>
          <w:p w14:paraId="4044A418">
            <w:pPr>
              <w:jc w:val="center"/>
              <w:rPr>
                <w:rFonts w:hint="eastAsia" w:ascii="宋体" w:hAnsi="宋体" w:eastAsia="宋体"/>
                <w:sz w:val="28"/>
                <w:szCs w:val="28"/>
                <w:lang w:eastAsia="zh-CN"/>
              </w:rPr>
            </w:pPr>
            <w:r>
              <w:rPr>
                <w:rFonts w:ascii="宋体" w:hAnsi="宋体"/>
                <w:sz w:val="28"/>
                <w:szCs w:val="28"/>
              </w:rPr>
              <w:t>1</w:t>
            </w:r>
            <w:r>
              <w:rPr>
                <w:rFonts w:hint="eastAsia" w:ascii="宋体" w:hAnsi="宋体"/>
                <w:sz w:val="28"/>
                <w:szCs w:val="28"/>
                <w:lang w:val="en-US" w:eastAsia="zh-CN"/>
              </w:rPr>
              <w:t>2</w:t>
            </w:r>
          </w:p>
        </w:tc>
        <w:tc>
          <w:tcPr>
            <w:tcW w:w="2914" w:type="dxa"/>
            <w:noWrap/>
            <w:vAlign w:val="center"/>
          </w:tcPr>
          <w:p w14:paraId="670EF67B">
            <w:pPr>
              <w:pStyle w:val="125"/>
              <w:spacing w:line="400" w:lineRule="exact"/>
              <w:ind w:left="0" w:firstLine="0"/>
            </w:pPr>
            <w:r>
              <w:rPr>
                <w:rFonts w:hint="eastAsia"/>
              </w:rPr>
              <w:t>备注</w:t>
            </w:r>
          </w:p>
        </w:tc>
        <w:tc>
          <w:tcPr>
            <w:tcW w:w="5670" w:type="dxa"/>
            <w:noWrap/>
            <w:vAlign w:val="center"/>
          </w:tcPr>
          <w:p w14:paraId="1471D9FA">
            <w:pPr>
              <w:pStyle w:val="125"/>
              <w:spacing w:line="400" w:lineRule="exact"/>
              <w:ind w:left="0" w:firstLine="0"/>
            </w:pPr>
          </w:p>
        </w:tc>
      </w:tr>
    </w:tbl>
    <w:p w14:paraId="3C34855C">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rPr>
          <w:rFonts w:hint="eastAsia" w:ascii="宋体" w:hAnsi="宋体"/>
          <w:b/>
          <w:kern w:val="0"/>
          <w:sz w:val="32"/>
        </w:rPr>
      </w:pPr>
    </w:p>
    <w:p w14:paraId="02F8B50E">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rPr>
          <w:rFonts w:hint="eastAsia" w:ascii="宋体" w:hAnsi="宋体"/>
          <w:b/>
          <w:kern w:val="0"/>
          <w:sz w:val="32"/>
        </w:rPr>
      </w:pPr>
    </w:p>
    <w:p w14:paraId="7291345E">
      <w:pPr>
        <w:keepNext/>
        <w:keepLines/>
        <w:autoSpaceDE w:val="0"/>
        <w:autoSpaceDN w:val="0"/>
        <w:adjustRightInd w:val="0"/>
        <w:snapToGrid w:val="0"/>
        <w:spacing w:line="360" w:lineRule="auto"/>
        <w:textAlignment w:val="baseline"/>
        <w:outlineLvl w:val="1"/>
        <w:rPr>
          <w:rFonts w:hint="eastAsia" w:ascii="宋体" w:hAnsi="宋体" w:cs="宋体"/>
          <w:b/>
          <w:color w:val="auto"/>
          <w:kern w:val="0"/>
          <w:sz w:val="28"/>
          <w:szCs w:val="28"/>
          <w:highlight w:val="none"/>
          <w:lang w:val="en-US" w:eastAsia="zh-CN"/>
        </w:rPr>
      </w:pPr>
    </w:p>
    <w:p w14:paraId="3F3FB122">
      <w:pPr>
        <w:pStyle w:val="3"/>
        <w:rPr>
          <w:rFonts w:hint="eastAsia" w:ascii="宋体" w:hAnsi="宋体" w:cs="宋体"/>
          <w:b/>
          <w:color w:val="auto"/>
          <w:kern w:val="0"/>
          <w:sz w:val="28"/>
          <w:szCs w:val="28"/>
          <w:highlight w:val="none"/>
          <w:lang w:val="en-US" w:eastAsia="zh-CN"/>
        </w:rPr>
      </w:pPr>
    </w:p>
    <w:p w14:paraId="57A9A010">
      <w:pPr>
        <w:rPr>
          <w:rFonts w:hint="eastAsia"/>
          <w:lang w:val="en-US" w:eastAsia="zh-CN"/>
        </w:rPr>
      </w:pPr>
    </w:p>
    <w:p w14:paraId="792B60AB">
      <w:pPr>
        <w:keepNext/>
        <w:keepLines/>
        <w:autoSpaceDE w:val="0"/>
        <w:autoSpaceDN w:val="0"/>
        <w:adjustRightInd w:val="0"/>
        <w:snapToGrid w:val="0"/>
        <w:spacing w:line="360" w:lineRule="auto"/>
        <w:textAlignment w:val="baseline"/>
        <w:outlineLvl w:val="1"/>
        <w:rPr>
          <w:rFonts w:hint="eastAsia" w:ascii="方正小标宋简体" w:hAnsi="方正小标宋简体" w:eastAsia="方正小标宋简体"/>
          <w:color w:val="auto"/>
          <w:sz w:val="28"/>
          <w:szCs w:val="28"/>
          <w:highlight w:val="none"/>
          <w:lang w:val="en-US" w:eastAsia="zh-CN"/>
        </w:rPr>
      </w:pPr>
      <w:r>
        <w:rPr>
          <w:rFonts w:hint="eastAsia" w:ascii="宋体" w:hAnsi="宋体" w:cs="宋体"/>
          <w:b/>
          <w:color w:val="auto"/>
          <w:kern w:val="0"/>
          <w:sz w:val="28"/>
          <w:szCs w:val="28"/>
          <w:highlight w:val="none"/>
          <w:lang w:val="en-US" w:eastAsia="zh-CN"/>
        </w:rPr>
        <w:t>采购需求清单：</w:t>
      </w:r>
    </w:p>
    <w:p w14:paraId="34E315B9">
      <w:pPr>
        <w:pStyle w:val="3"/>
        <w:ind w:firstLine="484" w:firstLineChars="147"/>
        <w:jc w:val="both"/>
        <w:rPr>
          <w:color w:val="auto"/>
          <w:sz w:val="28"/>
          <w:szCs w:val="21"/>
        </w:rPr>
      </w:pPr>
      <w:bookmarkStart w:id="55" w:name="_Toc134046590"/>
      <w:bookmarkStart w:id="56" w:name="_Toc175142465"/>
      <w:r>
        <w:rPr>
          <w:rFonts w:hint="eastAsia" w:asciiTheme="minorEastAsia" w:hAnsiTheme="minorEastAsia" w:eastAsiaTheme="minorEastAsia" w:cstheme="minorEastAsia"/>
          <w:color w:val="auto"/>
          <w:sz w:val="28"/>
          <w:szCs w:val="21"/>
        </w:rPr>
        <w:t>一、总体要求</w:t>
      </w:r>
      <w:bookmarkEnd w:id="55"/>
    </w:p>
    <w:p w14:paraId="3E93B85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1、技术架构：</w:t>
      </w:r>
    </w:p>
    <w:p w14:paraId="6D4FFFCA">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须遵循JAVA EE技术规范，应用市场主流技术框架。以微服务方式实现各项业务功能。采用B/S结构、无须安装客户端软件。</w:t>
      </w:r>
    </w:p>
    <w:p w14:paraId="66226B03">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2、系统包括但不限于支持集群部署及虚拟化。集群节点可以随时加入或退出，不同节点实时检查、自动同步等功能。</w:t>
      </w:r>
    </w:p>
    <w:p w14:paraId="6672B91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3、操作便捷性要求：</w:t>
      </w:r>
    </w:p>
    <w:p w14:paraId="2504BA0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采用流程化界面、支持向导式操作。系统所有功能模块，需支持在一个界面就可以准确反映每一项教务管理工作的流程、顺序、步骤。以管理员身份登录后，选择某一功能群组界面，展示所有下级功能模块工作流程图，通过流向箭头体现工作流转方向，点击其中一个功能模块后，进入下一级功能模块工作流程图界面，或功能操作界面。</w:t>
      </w:r>
    </w:p>
    <w:p w14:paraId="21EB546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▲(2)可控制系统侧边栏显示模式，即可采用资源管理器模式提供系统各功能模块的快捷访问；包括但不限于可采用</w:t>
      </w:r>
      <w:r>
        <w:rPr>
          <w:rFonts w:hint="eastAsia" w:asciiTheme="minorEastAsia" w:hAnsiTheme="minorEastAsia" w:eastAsiaTheme="minorEastAsia" w:cstheme="minorEastAsia"/>
          <w:color w:val="auto"/>
          <w:sz w:val="24"/>
          <w:szCs w:val="24"/>
          <w:lang w:val="en-US" w:eastAsia="zh-CN"/>
        </w:rPr>
        <w:t>常用</w:t>
      </w:r>
      <w:r>
        <w:rPr>
          <w:rFonts w:hint="eastAsia" w:asciiTheme="minorEastAsia" w:hAnsiTheme="minorEastAsia" w:eastAsiaTheme="minorEastAsia" w:cstheme="minorEastAsia"/>
          <w:color w:val="auto"/>
          <w:sz w:val="24"/>
          <w:szCs w:val="24"/>
        </w:rPr>
        <w:t>的服务或最近使用功能等</w:t>
      </w:r>
      <w:r>
        <w:rPr>
          <w:rFonts w:hint="eastAsia" w:asciiTheme="minorEastAsia" w:hAnsiTheme="minorEastAsia" w:eastAsiaTheme="minorEastAsia" w:cstheme="minorEastAsia"/>
          <w:color w:val="auto"/>
          <w:sz w:val="24"/>
          <w:szCs w:val="24"/>
          <w:lang w:val="en-US" w:eastAsia="zh-CN"/>
        </w:rPr>
        <w:t>类似</w:t>
      </w:r>
      <w:r>
        <w:rPr>
          <w:rFonts w:hint="eastAsia" w:asciiTheme="minorEastAsia" w:hAnsiTheme="minorEastAsia" w:eastAsiaTheme="minorEastAsia" w:cstheme="minorEastAsia"/>
          <w:color w:val="auto"/>
          <w:sz w:val="24"/>
          <w:szCs w:val="24"/>
        </w:rPr>
        <w:t>形式提供登录用户常用功能的快捷访问，可按操作的时间顺序将最近使用的功能菜单(不少于4个)动态呈现最近使用的功能显示框，用户通过单击其中某个菜单能直接跳转到相应的操作界面；须支持</w:t>
      </w:r>
      <w:r>
        <w:rPr>
          <w:rFonts w:hint="eastAsia" w:asciiTheme="minorEastAsia" w:hAnsiTheme="minorEastAsia" w:eastAsiaTheme="minorEastAsia" w:cstheme="minorEastAsia"/>
          <w:color w:val="auto"/>
          <w:sz w:val="24"/>
          <w:szCs w:val="24"/>
          <w:lang w:val="en-US" w:eastAsia="zh-CN"/>
        </w:rPr>
        <w:t>常用</w:t>
      </w:r>
      <w:r>
        <w:rPr>
          <w:rFonts w:hint="eastAsia" w:asciiTheme="minorEastAsia" w:hAnsiTheme="minorEastAsia" w:eastAsiaTheme="minorEastAsia" w:cstheme="minorEastAsia"/>
          <w:color w:val="auto"/>
          <w:sz w:val="24"/>
          <w:szCs w:val="24"/>
        </w:rPr>
        <w:t>的服务功能，用户任意功能菜单后，该功能菜单自动呈现到</w:t>
      </w:r>
      <w:r>
        <w:rPr>
          <w:rFonts w:hint="eastAsia" w:asciiTheme="minorEastAsia" w:hAnsiTheme="minorEastAsia" w:eastAsiaTheme="minorEastAsia" w:cstheme="minorEastAsia"/>
          <w:color w:val="auto"/>
          <w:sz w:val="24"/>
          <w:szCs w:val="24"/>
          <w:lang w:val="en-US" w:eastAsia="zh-CN"/>
        </w:rPr>
        <w:t>常用</w:t>
      </w:r>
      <w:r>
        <w:rPr>
          <w:rFonts w:hint="eastAsia" w:asciiTheme="minorEastAsia" w:hAnsiTheme="minorEastAsia" w:eastAsiaTheme="minorEastAsia" w:cstheme="minorEastAsia"/>
          <w:color w:val="auto"/>
          <w:sz w:val="24"/>
          <w:szCs w:val="24"/>
        </w:rPr>
        <w:t>的服务栏目(不少于5个)，通过单击其中某个功能菜单直接跳转相应的操作界面。</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投标时现场提供软件功能演示和厂家参数确认函</w:t>
      </w:r>
      <w:r>
        <w:rPr>
          <w:rFonts w:hint="eastAsia" w:asciiTheme="minorEastAsia" w:hAnsiTheme="minorEastAsia" w:eastAsiaTheme="minorEastAsia" w:cstheme="minorEastAsia"/>
          <w:color w:val="auto"/>
          <w:sz w:val="24"/>
          <w:szCs w:val="24"/>
          <w:lang w:eastAsia="zh-CN"/>
        </w:rPr>
        <w:t>）</w:t>
      </w:r>
    </w:p>
    <w:p w14:paraId="0921A34D">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▲(3)按照学院教学计划安排展示教学管理工作的进程，包括但不限于支持通过点击展示的教学管理工作功能后直接到达相应功能模块的操作界面，并支持根据用户使用权限准确展示相应服务功能。</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投标时现场提供软件功能演示和厂家参数确认函</w:t>
      </w:r>
      <w:r>
        <w:rPr>
          <w:rFonts w:hint="eastAsia" w:asciiTheme="minorEastAsia" w:hAnsiTheme="minorEastAsia" w:eastAsiaTheme="minorEastAsia" w:cstheme="minorEastAsia"/>
          <w:color w:val="auto"/>
          <w:sz w:val="24"/>
          <w:szCs w:val="24"/>
          <w:lang w:eastAsia="zh-CN"/>
        </w:rPr>
        <w:t>）</w:t>
      </w:r>
    </w:p>
    <w:p w14:paraId="5DDB8ACD">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 包括但不限于</w:t>
      </w:r>
      <w:r>
        <w:rPr>
          <w:rFonts w:hint="eastAsia" w:asciiTheme="minorEastAsia" w:hAnsiTheme="minorEastAsia" w:eastAsiaTheme="minorEastAsia" w:cstheme="minorEastAsia"/>
          <w:bCs/>
          <w:caps/>
          <w:color w:val="auto"/>
          <w:sz w:val="24"/>
          <w:szCs w:val="24"/>
        </w:rPr>
        <w:t>支持信息推送技术，将教学管理工作中产生的各种信息，智能、及时地推送到相应用户的系统桌面、手机和电子邮箱中；管理人员可即时发送在线消息给相应师生。</w:t>
      </w:r>
    </w:p>
    <w:p w14:paraId="0825223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(5)需支持数据搜索引擎，依据输入的关键字快速搜索并集中呈现相关的所有数据和信息资源。</w:t>
      </w:r>
    </w:p>
    <w:p w14:paraId="7763C940">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(6)需支持登录系统后，一键切换不同身份，无需退出系统重新登录，支持按不同身份详细记录系统日志。 </w:t>
      </w:r>
    </w:p>
    <w:p w14:paraId="02C42FB9">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4、数据关联要求：</w:t>
      </w:r>
    </w:p>
    <w:p w14:paraId="326031AF">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(1)管理系统应具备严谨的数据关联，对于已产生前后关联的数据，包括但不限于具备通过改变文字颜色等明显的提醒控制等策略，以防止误操作带来的数据安全隐患；</w:t>
      </w:r>
    </w:p>
    <w:p w14:paraId="06DF309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需支持数据</w:t>
      </w:r>
      <w:r>
        <w:rPr>
          <w:rFonts w:hint="eastAsia" w:asciiTheme="minorEastAsia" w:hAnsiTheme="minorEastAsia" w:eastAsiaTheme="minorEastAsia" w:cstheme="minorEastAsia"/>
          <w:color w:val="auto"/>
          <w:sz w:val="24"/>
          <w:szCs w:val="24"/>
          <w:lang w:val="en-US" w:eastAsia="zh-CN"/>
        </w:rPr>
        <w:t>在</w:t>
      </w:r>
      <w:r>
        <w:rPr>
          <w:rFonts w:hint="eastAsia" w:asciiTheme="minorEastAsia" w:hAnsiTheme="minorEastAsia" w:eastAsiaTheme="minorEastAsia" w:cstheme="minorEastAsia"/>
          <w:color w:val="auto"/>
          <w:sz w:val="24"/>
          <w:szCs w:val="24"/>
        </w:rPr>
        <w:t>一处</w:t>
      </w:r>
      <w:r>
        <w:rPr>
          <w:rFonts w:hint="eastAsia" w:asciiTheme="minorEastAsia" w:hAnsiTheme="minorEastAsia" w:eastAsiaTheme="minorEastAsia" w:cstheme="minorEastAsia"/>
          <w:color w:val="auto"/>
          <w:sz w:val="24"/>
          <w:szCs w:val="24"/>
          <w:lang w:val="en-US" w:eastAsia="zh-CN"/>
        </w:rPr>
        <w:t>进行</w:t>
      </w:r>
      <w:r>
        <w:rPr>
          <w:rFonts w:hint="eastAsia" w:asciiTheme="minorEastAsia" w:hAnsiTheme="minorEastAsia" w:eastAsiaTheme="minorEastAsia" w:cstheme="minorEastAsia"/>
          <w:color w:val="auto"/>
          <w:sz w:val="24"/>
          <w:szCs w:val="24"/>
        </w:rPr>
        <w:t>修改，多处自动关联变化，不可随意修改或删除，以防止数据混乱数据；</w:t>
      </w:r>
    </w:p>
    <w:p w14:paraId="2980BB4A">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 需支持业务处理流程产生的数据，包括但不限于系统能进行过程性查询及相关统计。</w:t>
      </w:r>
    </w:p>
    <w:p w14:paraId="415EFE8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管理控制要求：包括但不限于支持动态配置参数，灵活控制审批流程，包括设置流程、分发控制、启用/禁用；审批业务流程的每个步骤通过消息机制进行督办(由规定的人在规定的时间做规定的事；如学生或教职工申请→院(系)/部管理人员审核→教务处管理人员审批)；能通过灵活的控制参数与智能的控制开关，实现系统控制和采购方管理制度的互动融合，确保协同办公、实现和谐管理。</w:t>
      </w:r>
    </w:p>
    <w:p w14:paraId="1B88233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6、数据打印要求：所有规范报表可通过系统直接打印，不再像传统系统通过导出为PDF、EXCEL、WORD等文件格式后再打印的方式实现数据打印需求。</w:t>
      </w:r>
    </w:p>
    <w:p w14:paraId="0C3FB1D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7、权限要求：系统</w:t>
      </w:r>
      <w:bookmarkStart w:id="57" w:name="OLE_LINK1"/>
      <w:r>
        <w:rPr>
          <w:rFonts w:hint="eastAsia" w:asciiTheme="minorEastAsia" w:hAnsiTheme="minorEastAsia" w:eastAsiaTheme="minorEastAsia" w:cstheme="minorEastAsia"/>
          <w:color w:val="auto"/>
          <w:sz w:val="24"/>
          <w:szCs w:val="24"/>
        </w:rPr>
        <w:t>包括但不限于</w:t>
      </w:r>
      <w:bookmarkEnd w:id="57"/>
      <w:r>
        <w:rPr>
          <w:rFonts w:hint="eastAsia" w:asciiTheme="minorEastAsia" w:hAnsiTheme="minorEastAsia" w:eastAsiaTheme="minorEastAsia" w:cstheme="minorEastAsia"/>
          <w:color w:val="auto"/>
          <w:sz w:val="24"/>
          <w:szCs w:val="24"/>
        </w:rPr>
        <w:t>支持RBAC的权限管理方案，实现多级灵活授权。平台维护员可将功能权限、数据范围组合授权给系统管理员，系统管理员可将自身权限范围内的功能权限、数据范围组合授权给相应用户，用户亦可将自己的某项工作任务委托授权给其他用户在规定时间内办理。</w:t>
      </w:r>
    </w:p>
    <w:p w14:paraId="5D0DAFB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8、程序更新维护要求：</w:t>
      </w:r>
    </w:p>
    <w:p w14:paraId="3465347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(1)需支持在线自动检测需要更新的内容，包括但不限于具有短信、系统信息等消息提醒机制；</w:t>
      </w:r>
    </w:p>
    <w:p w14:paraId="6C440F68">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需支持系统智能维护，包括但不限于可实现更新包一键下载、多台应用服务器自动同步更新，支持系统本地测试更新。不得通过FTP、QQ、邮件等方式传递程序文件，采用手工更新程序文件(更新程序文件时，不能停止应用服务器)，确保系统维护时的稳定性；</w:t>
      </w:r>
    </w:p>
    <w:p w14:paraId="08962C96">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 需提供更新日志智能反馈、维护全过程记录的功能。</w:t>
      </w:r>
    </w:p>
    <w:p w14:paraId="2F711923">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9、安全性要求：</w:t>
      </w:r>
    </w:p>
    <w:p w14:paraId="4A1E9FD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(1)实现二级授权，平台维护员可将功能权限、数据范围组合授权给系统管理员，系统管理员可将自身权限范围内的功能权限、数据范围组合授权给相应用户。</w:t>
      </w:r>
    </w:p>
    <w:p w14:paraId="5C6787CD">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采取各种安全措施包括但不限于支持(用户与权限管理、统一身份认证、访问控制、管理控制、版本控制、数据关联控制、数据加密、数据存储、数据备份与恢复、日志与安全审计)，确保教务管理系统安全及教学管理数据安全；</w:t>
      </w:r>
    </w:p>
    <w:p w14:paraId="21FEFC0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▲(3)系统需满足信息安全等级保护不低于二级的要求，需配合等保测评厂家进行测评工作，并随时修复系统漏洞，直到达到不低于二级标准。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投标时提供等保测评报告复印件</w:t>
      </w:r>
      <w:r>
        <w:rPr>
          <w:rFonts w:hint="eastAsia" w:asciiTheme="minorEastAsia" w:hAnsiTheme="minorEastAsia" w:eastAsiaTheme="minorEastAsia" w:cstheme="minorEastAsia"/>
          <w:color w:val="auto"/>
          <w:sz w:val="24"/>
          <w:szCs w:val="24"/>
          <w:lang w:eastAsia="zh-CN"/>
        </w:rPr>
        <w:t>）</w:t>
      </w:r>
    </w:p>
    <w:p w14:paraId="0DF94F68">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(4)具有成绩防篡改机制。 </w:t>
      </w:r>
    </w:p>
    <w:p w14:paraId="0E2A1658">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10、提供单点登录和数据集成接口，可实现与信息化平台对接。</w:t>
      </w:r>
    </w:p>
    <w:p w14:paraId="2B9823FF">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▲11、并发性要求：系统运行所需要的硬件配置、第三方软件配置方案，系统满足8000学生的选课需求。</w:t>
      </w:r>
      <w:r>
        <w:rPr>
          <w:rFonts w:hint="eastAsia" w:asciiTheme="minorEastAsia" w:hAnsiTheme="minorEastAsia" w:eastAsiaTheme="minorEastAsia" w:cstheme="minorEastAsia"/>
          <w:color w:val="auto"/>
          <w:sz w:val="24"/>
          <w:szCs w:val="24"/>
          <w:lang w:eastAsia="zh-CN"/>
        </w:rPr>
        <w:t>（第三方测试机构出具的一份内容完整、页码连续，且具有CNAS或者CMA标识的报告复印件）</w:t>
      </w:r>
    </w:p>
    <w:p w14:paraId="54EE21C9">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12、扩展性要求：</w:t>
      </w:r>
    </w:p>
    <w:p w14:paraId="28C79563">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(1)系统需支持各种主流操作系统(Unix/Linux/Windows等)、数据库管理系统(Oracle/DB2/SQL Server/MySQL等)、应用服务器(Oracle Weblogic/IBM WebSphere/Jboss/Tomcat等)，具有良好的可移植性、适应性。</w:t>
      </w:r>
    </w:p>
    <w:p w14:paraId="2E2E5468">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(2)支持WebService、Restful、数据视图、数据导入/导出等多种数据对接方式，可为教务主管部门及第三方应用软件提供丰富的外部接口，具有良好的开放性。</w:t>
      </w:r>
    </w:p>
    <w:p w14:paraId="63CB7C04">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(3)能够接入各种移动终端与智能设备，并按照具体业务需求提供相应的校园移动服务。</w:t>
      </w:r>
    </w:p>
    <w:p w14:paraId="42BD513E">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(4)提供相应认证、数据、网页接口，便于校方完成与信息化平台的无缝对接。 </w:t>
      </w:r>
    </w:p>
    <w:p w14:paraId="48707FE3">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13、信息化标准，系统需严格遵守《教育管理信息化标准》和《高等采购方管理信息标准》等信息化标准。</w:t>
      </w:r>
    </w:p>
    <w:p w14:paraId="66C5EDB0">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▲14、可批量上传和导出学生照片。可按照片类型包括但不限于(毕业照片\高考招生照片\入学后照片)、导出方式包括但不限于(姓名\学号\身份证号\高考考号)将学生照片导出到本地电脑，展示导出结果。</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投标时现场提供软件功能演示和厂家参数确认函</w:t>
      </w:r>
      <w:r>
        <w:rPr>
          <w:rFonts w:hint="eastAsia" w:asciiTheme="minorEastAsia" w:hAnsiTheme="minorEastAsia" w:eastAsiaTheme="minorEastAsia" w:cstheme="minorEastAsia"/>
          <w:color w:val="auto"/>
          <w:sz w:val="24"/>
          <w:szCs w:val="24"/>
          <w:lang w:eastAsia="zh-CN"/>
        </w:rPr>
        <w:t>）</w:t>
      </w:r>
    </w:p>
    <w:p w14:paraId="08D14C27">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15、支持兼容国产化操作系统、数据库系统。</w:t>
      </w:r>
    </w:p>
    <w:p w14:paraId="492C5967">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16、系统集成要求：按照学校要求开放接口，支持与学校各信息化应用系统实现对接，共享数据。</w:t>
      </w:r>
    </w:p>
    <w:p w14:paraId="58600B10">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17、支持与原有教务系统迁移数据到新系统，实现新老系统的平稳切换过渡。</w:t>
      </w:r>
    </w:p>
    <w:p w14:paraId="2E2406FB">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18、</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教务管理系统应</w:t>
      </w:r>
      <w:r>
        <w:rPr>
          <w:rFonts w:hint="eastAsia" w:asciiTheme="minorEastAsia" w:hAnsiTheme="minorEastAsia" w:eastAsiaTheme="minorEastAsia" w:cstheme="minorEastAsia"/>
          <w:color w:val="000000" w:themeColor="text1"/>
          <w:sz w:val="24"/>
          <w:szCs w:val="24"/>
          <w14:textFill>
            <w14:solidFill>
              <w14:schemeClr w14:val="tx1"/>
            </w14:solidFill>
          </w14:textFill>
        </w:rPr>
        <w:t>具有自主知识产权。</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投标时提供证书复印件</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69DA30EF">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19、售后服务要求：质保期三年</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质保期过后</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每年</w:t>
      </w:r>
      <w:r>
        <w:rPr>
          <w:rFonts w:hint="eastAsia" w:asciiTheme="minorEastAsia" w:hAnsiTheme="minorEastAsia" w:eastAsiaTheme="minorEastAsia" w:cstheme="minorEastAsia"/>
          <w:color w:val="000000" w:themeColor="text1"/>
          <w:sz w:val="24"/>
          <w:szCs w:val="24"/>
          <w14:textFill>
            <w14:solidFill>
              <w14:schemeClr w14:val="tx1"/>
            </w14:solidFill>
          </w14:textFill>
        </w:rPr>
        <w:t>有偿服务费用为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不超过</w:t>
      </w:r>
      <w:r>
        <w:rPr>
          <w:rFonts w:hint="eastAsia" w:asciiTheme="minorEastAsia" w:hAnsiTheme="minorEastAsia" w:eastAsiaTheme="minorEastAsia" w:cstheme="minorEastAsia"/>
          <w:color w:val="000000" w:themeColor="text1"/>
          <w:sz w:val="24"/>
          <w:szCs w:val="24"/>
          <w14:textFill>
            <w14:solidFill>
              <w14:schemeClr w14:val="tx1"/>
            </w14:solidFill>
          </w14:textFill>
        </w:rPr>
        <w:t>合同总金额</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p>
    <w:p w14:paraId="2A366879">
      <w:pPr>
        <w:pStyle w:val="3"/>
        <w:ind w:firstLine="425" w:firstLineChars="14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二、功能要求</w:t>
      </w:r>
    </w:p>
    <w:bookmarkEnd w:id="56"/>
    <w:p w14:paraId="23C45F01">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rPr>
      </w:pPr>
      <w:bookmarkStart w:id="58" w:name="_Toc134537186"/>
      <w:bookmarkStart w:id="59" w:name="_Toc175142466"/>
      <w:bookmarkStart w:id="60" w:name="_Toc133576799"/>
      <w:bookmarkStart w:id="61" w:name="_Toc153267078"/>
      <w:r>
        <w:rPr>
          <w:rFonts w:hint="eastAsia" w:asciiTheme="minorEastAsia" w:hAnsiTheme="minorEastAsia" w:eastAsiaTheme="minorEastAsia" w:cstheme="minorEastAsia"/>
          <w:b/>
          <w:color w:val="auto"/>
          <w:sz w:val="24"/>
          <w:szCs w:val="24"/>
        </w:rPr>
        <w:t>1.基础资源</w:t>
      </w:r>
      <w:bookmarkEnd w:id="58"/>
      <w:bookmarkEnd w:id="59"/>
      <w:bookmarkEnd w:id="60"/>
      <w:bookmarkEnd w:id="61"/>
    </w:p>
    <w:p w14:paraId="016A5E1F">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基础资源是教学运行的基本保障之一，主要包括但不限于组织机构(采购方/组织机构(处室与科室信息、院(系)/部和系(教研室)/研究室/实验室))、专业体系(专业大类/专业/专业方向)、教学场地(校区/楼房/教学场地(教室/实验室/体育场馆))，支持相应信息日常管理与维护(含录入、修改、删除)。被引用信息的代码标注为红色且不允许删除，部分字段信息不允许修改。</w:t>
      </w:r>
    </w:p>
    <w:p w14:paraId="30D489A6">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支持灵活设置处室与科室信息、院(系)/部和系(教研室)/研究室/实验室的管理人员。可详细记录被撤销的处室与科室信息、院(系)/部和系(教研室)/研究室/实验室。</w:t>
      </w:r>
    </w:p>
    <w:p w14:paraId="5CB2DBFD">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按处室/院(系)/部或科室信息/系(教研室)/研究室/实验室设置课程/环节承担单位，在查询与课程/环节相关信息时，查询条件自动过滤出已设置的课程/环节承担单位(不允许出现未设置的处室/院(系)/部或科室信息/系(教研室)/研究室/实验室)。</w:t>
      </w:r>
    </w:p>
    <w:p w14:paraId="44EA705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支持灵活设置教学管理部门，智能分配该教学管理部门下用户的教学综合管理服务平台的所有数据范围权限。</w:t>
      </w:r>
    </w:p>
    <w:p w14:paraId="00CF11AE">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支持按招生季节设置年级对应的专业，在查询与学生相关信息时，查询条件自动过滤出已设置的年级、院(系)/部、专业(不允许出现未设置的专业)。</w:t>
      </w:r>
    </w:p>
    <w:p w14:paraId="227DE2A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支持灵活设置教学场地归属部门，课表编排、考试安排时自动识别归属部门。</w:t>
      </w:r>
    </w:p>
    <w:p w14:paraId="58434D6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包括但不限于支持树状结构查询教学场地信息。</w:t>
      </w:r>
    </w:p>
    <w:p w14:paraId="39C1E706">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rPr>
      </w:pPr>
      <w:bookmarkStart w:id="62" w:name="_Toc175142467"/>
      <w:bookmarkStart w:id="63" w:name="_Toc133576800"/>
      <w:bookmarkStart w:id="64" w:name="_Toc134537187"/>
      <w:bookmarkStart w:id="65" w:name="_Toc153267079"/>
      <w:r>
        <w:rPr>
          <w:rFonts w:hint="eastAsia" w:asciiTheme="minorEastAsia" w:hAnsiTheme="minorEastAsia" w:eastAsiaTheme="minorEastAsia" w:cstheme="minorEastAsia"/>
          <w:b/>
          <w:color w:val="auto"/>
          <w:sz w:val="24"/>
          <w:szCs w:val="24"/>
        </w:rPr>
        <w:t>2. 师资管理</w:t>
      </w:r>
      <w:bookmarkEnd w:id="62"/>
      <w:bookmarkEnd w:id="63"/>
      <w:bookmarkEnd w:id="64"/>
      <w:bookmarkEnd w:id="65"/>
    </w:p>
    <w:p w14:paraId="2A0516B4">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师资管理是教学运行的基本保障之一，主要包括教师队伍(教职工信息/外聘教师信息)、任课资格、导师资格、学业导师和助教管理。</w:t>
      </w:r>
    </w:p>
    <w:p w14:paraId="163785FA">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支持管理人员维护教职工职称信息，教职工维护个人信息(管理人员可根据需要设置允许教职工维护的个人信息字段)。</w:t>
      </w:r>
    </w:p>
    <w:p w14:paraId="18F33DA9">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支持教职工能执教的课程/环节设置，自动关联教学任务设置。</w:t>
      </w:r>
    </w:p>
    <w:p w14:paraId="140C550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支持教职工导师资格登记。</w:t>
      </w:r>
    </w:p>
    <w:p w14:paraId="6984FA84">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支持学业导师上报、确认和指导学生分配。</w:t>
      </w:r>
    </w:p>
    <w:p w14:paraId="23D4DF18">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支持助教岗位登记，助教岗位申请/审核，助教费用登记。</w:t>
      </w:r>
    </w:p>
    <w:p w14:paraId="477B5750">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支持人事部门教职工信息自动同步。</w:t>
      </w:r>
    </w:p>
    <w:p w14:paraId="5EC2C6BE">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rPr>
      </w:pPr>
      <w:bookmarkStart w:id="66" w:name="_Toc175142468"/>
      <w:bookmarkStart w:id="67" w:name="_Toc134537188"/>
      <w:bookmarkStart w:id="68" w:name="_Toc133576801"/>
      <w:bookmarkStart w:id="69" w:name="_Toc153267080"/>
      <w:r>
        <w:rPr>
          <w:rFonts w:hint="eastAsia" w:asciiTheme="minorEastAsia" w:hAnsiTheme="minorEastAsia" w:eastAsiaTheme="minorEastAsia" w:cstheme="minorEastAsia"/>
          <w:b/>
          <w:color w:val="auto"/>
          <w:sz w:val="24"/>
          <w:szCs w:val="24"/>
        </w:rPr>
        <w:t>3. 课程/环节管理</w:t>
      </w:r>
      <w:bookmarkEnd w:id="66"/>
      <w:bookmarkEnd w:id="67"/>
      <w:bookmarkEnd w:id="68"/>
      <w:bookmarkEnd w:id="69"/>
    </w:p>
    <w:p w14:paraId="0488D84A">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课程/环节管理是教学运行的基本保障之一，主要包括理论课程，实践环节。</w:t>
      </w:r>
    </w:p>
    <w:p w14:paraId="37278F6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支持课程/环节按照模块批量导入。</w:t>
      </w:r>
    </w:p>
    <w:p w14:paraId="10ED5A4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支持新增课程/环节的申请、审批流程，支持同名课程/环节的自动识别、灵活处理，协助采购方构建完整、准确、规范的课程/环节信息库。</w:t>
      </w:r>
    </w:p>
    <w:p w14:paraId="3F41203E">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支持错误课程/环节的修改、替换，自动关联已产生数据，不影响已产生数据的状态。</w:t>
      </w:r>
    </w:p>
    <w:p w14:paraId="0C67D218">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支持课程/环节先修关系设置，学生基于校园网、互联网选课时自动识别先修课程关系。</w:t>
      </w:r>
    </w:p>
    <w:p w14:paraId="7EA6D0E2">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支持课程/环节替代关系设置，毕业审核时替代课程可冲抵毕业审核要求。</w:t>
      </w:r>
    </w:p>
    <w:p w14:paraId="4B62A046">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支持课程/环节教学大纲的提交、审核流程。</w:t>
      </w:r>
    </w:p>
    <w:p w14:paraId="316C7C5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支持课程/环节信息查询、打印和导出。</w:t>
      </w:r>
    </w:p>
    <w:p w14:paraId="1739EA87">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rPr>
      </w:pPr>
      <w:bookmarkStart w:id="70" w:name="_Toc153267081"/>
      <w:bookmarkStart w:id="71" w:name="_Toc175142469"/>
      <w:bookmarkStart w:id="72" w:name="_Toc133576802"/>
      <w:bookmarkStart w:id="73" w:name="_Toc134537189"/>
      <w:r>
        <w:rPr>
          <w:rFonts w:hint="eastAsia" w:asciiTheme="minorEastAsia" w:hAnsiTheme="minorEastAsia" w:eastAsiaTheme="minorEastAsia" w:cstheme="minorEastAsia"/>
          <w:b/>
          <w:color w:val="auto"/>
          <w:sz w:val="24"/>
          <w:szCs w:val="24"/>
        </w:rPr>
        <w:t>4. 培养方案</w:t>
      </w:r>
      <w:bookmarkEnd w:id="70"/>
      <w:bookmarkEnd w:id="71"/>
      <w:bookmarkEnd w:id="72"/>
      <w:bookmarkEnd w:id="73"/>
    </w:p>
    <w:p w14:paraId="2E11AD0F">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培养方案是教学运行的基本依据，主要包括年级/专业理论课程、实践环节培养方案。</w:t>
      </w:r>
    </w:p>
    <w:p w14:paraId="0F569F3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支持学年制、学分学年制、学分制培养方案的灵活设置。</w:t>
      </w:r>
    </w:p>
    <w:p w14:paraId="41D8359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支持一套培养方案适应多个年级。</w:t>
      </w:r>
    </w:p>
    <w:p w14:paraId="4F0800D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支持自定义培养方案模板，包括但不限于能够支持实现模板项目自定义、标题、状态、内容形式、标题字体、标题字号、正文字体、正文字号的设定。</w:t>
      </w:r>
    </w:p>
    <w:p w14:paraId="0296FB7D">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支持培养方案提交、审核流程。</w:t>
      </w:r>
    </w:p>
    <w:p w14:paraId="43AC0C50">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支持分专业大类/专业/专业方向制定主修和辅修培养方案。</w:t>
      </w:r>
    </w:p>
    <w:p w14:paraId="20B05039">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支持课程模块、专业课组的设置，满足网上选课限制需要。</w:t>
      </w:r>
    </w:p>
    <w:p w14:paraId="6A3B0C2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支持专业毕业学分要求灵活设置，满足学生及时查看学业进展。</w:t>
      </w:r>
    </w:p>
    <w:p w14:paraId="6A1AE8D8">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同一年级相近专业培养方案复制，支持不同年级相同专业培养方案复制(可到学期)，增加允许下一学期计划开设课程在以往学期已开设情况下，对于到学期的培养方案复制功能，通过少量增/删/改，即可形成相应专业的培养方案。</w:t>
      </w:r>
    </w:p>
    <w:p w14:paraId="32FE0B43">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支持培养方案说明生成WORD或PDF文档。</w:t>
      </w:r>
    </w:p>
    <w:p w14:paraId="515C3E93">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rPr>
      </w:pPr>
      <w:bookmarkStart w:id="74" w:name="_Toc133576803"/>
      <w:bookmarkStart w:id="75" w:name="_Toc153267082"/>
      <w:bookmarkStart w:id="76" w:name="_Toc134537190"/>
      <w:bookmarkStart w:id="77" w:name="_Toc175142470"/>
      <w:r>
        <w:rPr>
          <w:rFonts w:hint="eastAsia" w:asciiTheme="minorEastAsia" w:hAnsiTheme="minorEastAsia" w:eastAsiaTheme="minorEastAsia" w:cstheme="minorEastAsia"/>
          <w:b/>
          <w:color w:val="auto"/>
          <w:sz w:val="24"/>
          <w:szCs w:val="24"/>
        </w:rPr>
        <w:t>5. 入学管理</w:t>
      </w:r>
      <w:bookmarkEnd w:id="74"/>
      <w:bookmarkEnd w:id="75"/>
      <w:bookmarkEnd w:id="76"/>
      <w:bookmarkEnd w:id="77"/>
    </w:p>
    <w:p w14:paraId="3B34648A">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入学管理主要包括录取学生转入(补录/修改)、录取学生校内专业确定、预分班、新生报到和新生学号生成。</w:t>
      </w:r>
    </w:p>
    <w:p w14:paraId="1F125AA6">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支持国家招生网录取学生直接转入。</w:t>
      </w:r>
    </w:p>
    <w:p w14:paraId="5E0F19A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支持录取学生按照模板导入、补录和修改。</w:t>
      </w:r>
    </w:p>
    <w:p w14:paraId="2E20E1D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支持录取专业对应唯一和不唯一的校内专业，从而确定录取学生的校内专业。</w:t>
      </w:r>
    </w:p>
    <w:p w14:paraId="6507436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支持按照性别、生源省份和成绩等因素智能分班和零散调整班级学生。</w:t>
      </w:r>
    </w:p>
    <w:p w14:paraId="053A6304">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▲支持自定义规则生成新生学号，规则中可选因素包括但不限于支持年级、院(系)/部、专业、班级、国标代码、培养层次、学制、培养对象、学号前缀、序号等。</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投标时现场提供软件功能演示和厂家参数确认函</w:t>
      </w:r>
      <w:r>
        <w:rPr>
          <w:rFonts w:hint="eastAsia" w:asciiTheme="minorEastAsia" w:hAnsiTheme="minorEastAsia" w:eastAsiaTheme="minorEastAsia" w:cstheme="minorEastAsia"/>
          <w:color w:val="auto"/>
          <w:sz w:val="24"/>
          <w:szCs w:val="24"/>
          <w:lang w:eastAsia="zh-CN"/>
        </w:rPr>
        <w:t>）</w:t>
      </w:r>
    </w:p>
    <w:p w14:paraId="4B9D49E6">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rPr>
      </w:pPr>
      <w:bookmarkStart w:id="78" w:name="_Toc133576804"/>
      <w:bookmarkStart w:id="79" w:name="_Toc134537191"/>
      <w:bookmarkStart w:id="80" w:name="_Toc153267083"/>
      <w:bookmarkStart w:id="81" w:name="_Toc175142471"/>
      <w:r>
        <w:rPr>
          <w:rFonts w:hint="eastAsia" w:asciiTheme="minorEastAsia" w:hAnsiTheme="minorEastAsia" w:eastAsiaTheme="minorEastAsia" w:cstheme="minorEastAsia"/>
          <w:b/>
          <w:color w:val="auto"/>
          <w:sz w:val="24"/>
          <w:szCs w:val="24"/>
        </w:rPr>
        <w:t>6. 学生学籍</w:t>
      </w:r>
      <w:bookmarkEnd w:id="78"/>
      <w:bookmarkEnd w:id="79"/>
      <w:bookmarkEnd w:id="80"/>
      <w:bookmarkEnd w:id="81"/>
    </w:p>
    <w:p w14:paraId="2AC1EF6F">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学生学籍指学生从入学到毕业学籍信息的详细记录，主要包括学籍建档、学期注册、专业分流、学业预警、学籍异动、转专业、档案使用等。</w:t>
      </w:r>
    </w:p>
    <w:p w14:paraId="7FBAFAE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(1)学籍建档</w:t>
      </w:r>
    </w:p>
    <w:p w14:paraId="56D582A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支持按学期设置年级，在查询与学生相关信息时，查询条件自动过滤出已设置的年级，支持年级班级录入及特殊培养班级设置。</w:t>
      </w:r>
    </w:p>
    <w:p w14:paraId="79E3F8C0">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支持按照模板批量导入及零散录入学生信息，初始化学籍档案，创建学籍档案。</w:t>
      </w:r>
    </w:p>
    <w:p w14:paraId="78A7338E">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支持灵活设置学籍档案检测条件，基于检测条件全面检测学籍档案，能及时查询/分析检测结果，为学籍档案完善提供数据依据。</w:t>
      </w:r>
    </w:p>
    <w:p w14:paraId="1AC6A1A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支持批量或零散修改学籍档案。亦可通过设置修改有关信息(可根据需要设置需审核的有关信息)，学生在规定的时间内基于校园网、互联网完善学籍档案，通过审核生效后，进一步完善学籍档案。</w:t>
      </w:r>
    </w:p>
    <w:p w14:paraId="7ADCBF72">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支持特殊学生管理，可设置特殊培养班级学生，查看特殊班级学生名册，特殊班级学生分布情况。</w:t>
      </w:r>
    </w:p>
    <w:p w14:paraId="7CB1FAC6">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支持查询学籍档案修改日志。</w:t>
      </w:r>
    </w:p>
    <w:p w14:paraId="3E5AF7D6">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可记录、查看、统计学生奖励和处分信息。</w:t>
      </w:r>
    </w:p>
    <w:p w14:paraId="148412A3">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可设置、查看、统计特殊班级、特殊班级学生。</w:t>
      </w:r>
    </w:p>
    <w:p w14:paraId="2C22BB1A">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供组合查询学生学籍档案，可选查询条件需包括但不限于学年学期、在校状态、学籍状态、年级、院(系)/部、专业、班级、学号、姓名、生源省份、身份证号、考生号、培养对象及所有学生基本信息的字段，并且可导出EXCEL或DBF。</w:t>
      </w:r>
    </w:p>
    <w:p w14:paraId="38EDFF3E">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可登记、查看、统计报到与不报到学生。</w:t>
      </w:r>
    </w:p>
    <w:p w14:paraId="5BC53436">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(2)学期注册</w:t>
      </w:r>
    </w:p>
    <w:p w14:paraId="13735C44">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可依据设定的注册规定(规定包括不允许上学期未注册学生注册、不允许未报到学生注册、不允许欠专业注册费学生注册、不允许欠学分费学生注册)，批量处理学期注册，对未注册学生的有关活动进行限制(如禁止选课、禁止考试、屏蔽成绩)；可根据需要对不能正常注册学生进行强制注册。统计分析学期注册情况。</w:t>
      </w:r>
    </w:p>
    <w:p w14:paraId="7D43318A">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(3)专业分流</w:t>
      </w:r>
    </w:p>
    <w:p w14:paraId="485B2A4F">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可进行专业分流，先确定需要分流的专业与对应专业，学生可基于校园网、互联网填报分流志愿。依据学生填报分流志愿、参照学生以往成绩，将需要分流的学生分流到对应专业，专业分流之后进行分班。</w:t>
      </w:r>
    </w:p>
    <w:p w14:paraId="0012D61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(4)学业预警</w:t>
      </w:r>
    </w:p>
    <w:p w14:paraId="05FE8CE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支持灵活设置学业预警规定(预警规定到异动类型，支持自定义预警规定)，基于学业预警规定智能判断学业预警学生，确认预警学生之后，可为学业预警学生打印学业预警通知单。</w:t>
      </w:r>
    </w:p>
    <w:p w14:paraId="12BC1040">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(5)学籍异动</w:t>
      </w:r>
    </w:p>
    <w:p w14:paraId="0639F0C6">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分异动类别灵活设置异动规定(支持自定义异动规定)，基于异动规定智能判断规定异动学生，学生亦可基于校园网、互联网申请异动；审核确认异动学生，逐个处理学籍异动(包括自动更新学生班级、在校状态、学籍状态等)。</w:t>
      </w:r>
    </w:p>
    <w:p w14:paraId="06F05789">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(6)转专业</w:t>
      </w:r>
    </w:p>
    <w:p w14:paraId="45A5E273">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可进行转专业处理，支持灵活设置转专业申请条件和限制条件(申请条件和限制条件包括转入学年、允许申请的年级、允许申请的学生类型、允许申请转专业次数、不允许转专业处分类别等)，学生可基于校园网、互联网申请转专业，经转出、转入院(系)/部审核后即可处理转专业学生。</w:t>
      </w:r>
    </w:p>
    <w:p w14:paraId="43A2F7C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(7)档案使用</w:t>
      </w:r>
    </w:p>
    <w:p w14:paraId="4CD65FE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可打印查询和统计报表(学生学籍档案、在校学生名册、在籍学生名册、在校证明、学籍证明、分年级按班级统计在校学生人数、分年级按院(系)/部/培养层次/专业/班级统计在校学生人数、分院(系)/部按年级/培养层次/专业/班级统计在校学生人数、分院(系)/部按年级/培养层次统计在校学生人数、分年级按院(系)/部/专业统计在籍学生人数)。</w:t>
      </w:r>
    </w:p>
    <w:p w14:paraId="056004E7">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rPr>
      </w:pPr>
      <w:bookmarkStart w:id="82" w:name="_Toc175142475"/>
      <w:bookmarkStart w:id="83" w:name="_Toc153267087"/>
      <w:r>
        <w:rPr>
          <w:rFonts w:hint="eastAsia" w:asciiTheme="minorEastAsia" w:hAnsiTheme="minorEastAsia" w:eastAsiaTheme="minorEastAsia" w:cstheme="minorEastAsia"/>
          <w:b/>
          <w:color w:val="auto"/>
          <w:sz w:val="24"/>
          <w:szCs w:val="24"/>
        </w:rPr>
        <w:t>7. 实践教学</w:t>
      </w:r>
      <w:bookmarkEnd w:id="82"/>
      <w:bookmarkEnd w:id="83"/>
    </w:p>
    <w:p w14:paraId="4EFA0A18">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实践教学是高校培养学生能力、提高学生素质的重要环节，主要包括军训、课程设计、专业实习、其它实践环节、毕业设计等。</w:t>
      </w:r>
    </w:p>
    <w:p w14:paraId="1B6399D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可依据学期开课计划，由承担单位为承担的每一环节确定指导教师，由院系为下属各个班级确定相应环节周次，形成学期初步实践教学任务(含辅修),生成学期实践教学进程。</w:t>
      </w:r>
    </w:p>
    <w:p w14:paraId="0DEF7A32">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可安排军训，可由承担单位教学秘书安排课程设计，可由院系教学秘书安排其它实践环节，可根据需要发布学期实践教学安排。</w:t>
      </w:r>
    </w:p>
    <w:p w14:paraId="2A4549F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可维护实习基地基本信息与实习基地指导教师信息。</w:t>
      </w:r>
    </w:p>
    <w:p w14:paraId="5681EF5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可由院系申报实习计划与实习岗位，主管部门审核实习计划与实习岗位；可由学生基于校园网、互联网提交实习报名，院系审核、确定实习学生，安排实习指导教师。</w:t>
      </w:r>
    </w:p>
    <w:p w14:paraId="169A4ACE">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可由学生提交实习附件、实习日志、实习总结。</w:t>
      </w:r>
    </w:p>
    <w:p w14:paraId="60D6EB6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可由指导教师评阅学生实习日志、实习总结，录入学生实习成绩。</w:t>
      </w:r>
    </w:p>
    <w:p w14:paraId="0824AF19">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可由院系提交实习总结，推荐优秀实习学生；主管部门审核、确定优秀实习学生。</w:t>
      </w:r>
    </w:p>
    <w:p w14:paraId="563879C0">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rPr>
      </w:pPr>
      <w:bookmarkStart w:id="84" w:name="_Toc133576806"/>
      <w:bookmarkStart w:id="85" w:name="_Toc134537193"/>
      <w:bookmarkStart w:id="86" w:name="_Toc153267085"/>
      <w:bookmarkStart w:id="87" w:name="_Toc175142473"/>
      <w:r>
        <w:rPr>
          <w:rFonts w:hint="eastAsia" w:asciiTheme="minorEastAsia" w:hAnsiTheme="minorEastAsia" w:eastAsiaTheme="minorEastAsia" w:cstheme="minorEastAsia"/>
          <w:b/>
          <w:color w:val="auto"/>
          <w:sz w:val="24"/>
          <w:szCs w:val="24"/>
        </w:rPr>
        <w:t>8. 开课计划</w:t>
      </w:r>
      <w:bookmarkEnd w:id="84"/>
      <w:bookmarkEnd w:id="85"/>
      <w:bookmarkEnd w:id="86"/>
      <w:bookmarkEnd w:id="87"/>
    </w:p>
    <w:p w14:paraId="720B5D8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开课计划主要包括制定理论课程、实践环节、课组和公共任选课开课计划。</w:t>
      </w:r>
    </w:p>
    <w:p w14:paraId="64EE51FF">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依据年级/专业培养方案自动读取(培养方案要确定课程代码)理论课程、实践环节开课计划，支持在规定的时间内由各院(系)/部为各年级/专业学期开课变更申请(包括理论课程、实践环节两个方面，涉及增开、不开、修改三种开课变更类型)，由教务处逐一审定，形成各个年级/专业开课计划。</w:t>
      </w:r>
    </w:p>
    <w:p w14:paraId="5E898764">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支持课组开课计划设置、支持公共任选课开课计划设置。</w:t>
      </w:r>
    </w:p>
    <w:p w14:paraId="1C5407F8">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可打印查询和统计报表(查看学期开课计划、教学计划执行情况，查看/统计学期开课变更)。</w:t>
      </w:r>
    </w:p>
    <w:p w14:paraId="5C5EF09E">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所有批量操作需有批量撤回功能。</w:t>
      </w:r>
    </w:p>
    <w:p w14:paraId="5249F11A">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rPr>
      </w:pPr>
      <w:bookmarkStart w:id="88" w:name="_Toc175142476"/>
      <w:bookmarkStart w:id="89" w:name="_Toc153267088"/>
      <w:bookmarkStart w:id="90" w:name="_Toc134537196"/>
      <w:bookmarkStart w:id="91" w:name="_Toc133576809"/>
      <w:r>
        <w:rPr>
          <w:rFonts w:hint="eastAsia" w:asciiTheme="minorEastAsia" w:hAnsiTheme="minorEastAsia" w:eastAsiaTheme="minorEastAsia" w:cstheme="minorEastAsia"/>
          <w:b/>
          <w:color w:val="auto"/>
          <w:sz w:val="24"/>
          <w:szCs w:val="24"/>
        </w:rPr>
        <w:t>9. 课表编排</w:t>
      </w:r>
      <w:bookmarkEnd w:id="88"/>
      <w:bookmarkEnd w:id="89"/>
      <w:bookmarkEnd w:id="90"/>
      <w:bookmarkEnd w:id="91"/>
    </w:p>
    <w:p w14:paraId="5AF26C8E">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课表编排是落实教学任务、实施教学活动的依据，主要包括设置校历、教学任务、分级教学、课表编排、调课管理和学期课表。</w:t>
      </w:r>
    </w:p>
    <w:p w14:paraId="267D201D">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(1)设置校历</w:t>
      </w:r>
    </w:p>
    <w:p w14:paraId="6BDBDC48">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支持校历设置，能灵活定义星期天为一周的第一天和星期一为一周的第一天，支持校历明细设置(可灵活设置工作日和节假日，并且能录入节假日的显示名称及备注)，支持校历自动生成与打印。</w:t>
      </w:r>
    </w:p>
    <w:p w14:paraId="4823742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(2)教学任务</w:t>
      </w:r>
    </w:p>
    <w:p w14:paraId="79F7E6C0">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支持教学任务参数灵活设置：周排课天数与日排课节数(含节次时间设置)，理论教学周的自动生成，授课方式对应的教室类型，教学进度表录入人及录入时间等。</w:t>
      </w:r>
    </w:p>
    <w:p w14:paraId="54E0A006">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支持批量生成和零散设置教学任务，对于每一上课班级，确定授课方式、周学时、周学时分布、任课教师、上课班级名称、上课班级人数、连上节数、周次，设置教学场地要求、节次安排要求。</w:t>
      </w:r>
    </w:p>
    <w:p w14:paraId="518D0B68">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支持教学任务设置适应的性别，网上选课时自动剔除不适合的性别。</w:t>
      </w:r>
    </w:p>
    <w:p w14:paraId="6B365B0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包括但不限于支持教学任务设置上课群组(若干上课班级设置成同一上课群组)，智能排课时将若干上课班级排到同一上课时间不同上课地点。支持教学任务设置上课班组(若干上课班级设置成同一上课班组，每个上课班级的周次不重叠)，智能排课实将若干上课班级排到同一上课时间同一上课地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投标时现场提供软件功能演示和厂家参数确认函</w:t>
      </w:r>
      <w:r>
        <w:rPr>
          <w:rFonts w:hint="eastAsia" w:asciiTheme="minorEastAsia" w:hAnsiTheme="minorEastAsia" w:eastAsiaTheme="minorEastAsia" w:cstheme="minorEastAsia"/>
          <w:color w:val="auto"/>
          <w:sz w:val="24"/>
          <w:szCs w:val="24"/>
          <w:lang w:eastAsia="zh-CN"/>
        </w:rPr>
        <w:t>）</w:t>
      </w:r>
    </w:p>
    <w:p w14:paraId="335127ED">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支持教学任务设置单双周，智能排课时可根据需要排成需要的单双周。</w:t>
      </w:r>
    </w:p>
    <w:p w14:paraId="612C0863">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支持已排课表的教学任务的调整。</w:t>
      </w:r>
    </w:p>
    <w:p w14:paraId="1892A0E3">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可打印查询和统计报表(学期教学任务，学期任课教师构成一览表等)。</w:t>
      </w:r>
    </w:p>
    <w:p w14:paraId="3CC1F7BA">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系统提供教学任务制作情况查询和通知功能，能够分承担单位按照教学任务制作(比对任务学时和课程学时)情况，生成数据统计报表(未制作、学时不一致等)，并提供短信通知。</w:t>
      </w:r>
    </w:p>
    <w:p w14:paraId="6EBFB65E">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(3)分级教学</w:t>
      </w:r>
    </w:p>
    <w:p w14:paraId="18B7C6A9">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于大学英语等需要分级教学的课程，按照分级教学的要求，通过为课程设置标签、为学生设置标签，能够快速准确地在课程→上课班级与学生之间建立允许修读关系，确定分级教学课程，确定分级教学课程等级，确定分级教学课程等级→学生，设置分级教学课程教学任务，确定分级教学课程上课班级→学生。</w:t>
      </w:r>
    </w:p>
    <w:p w14:paraId="2405E51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(4)课表编排</w:t>
      </w:r>
    </w:p>
    <w:p w14:paraId="10DDA8E0">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支持排课参数灵活设置：承担单位排课时间，节次用二维表方式呈现，可排课节次，承担单位留用教室等。</w:t>
      </w:r>
    </w:p>
    <w:p w14:paraId="1F91C64D">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支持排课要求灵活设置：年级专业不排课节次；教学场地留用周次、节次；课程需要的排课节次与不排课节次；教师对排课时间的特殊要求。</w:t>
      </w:r>
    </w:p>
    <w:p w14:paraId="5153AB7A">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智能编排课表：融合课表编排惯例，充分考虑各类课程特点及各种特殊要求，如周次间一致性、隔天错节、地点一致性、指定地点、指定期望安排节次或不期望安排节次、多节连上、单双周搭配、前后半学期接续等。</w:t>
      </w:r>
    </w:p>
    <w:p w14:paraId="6E0C9DF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对于追加的学期教学任务，或由于教学资源受限、特殊要求无法满足等原因而未编排完的课程→上课班级，可先调节教学资源或调整教学任务，而后采用辅助编排方式完成相应的编排。</w:t>
      </w:r>
    </w:p>
    <w:p w14:paraId="483688B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包括但不限于支持复制课表：可以将某一学期若干课程(如公共任选课)的课表(各上课班级中不含学生)复制到下学期，无需制定学期教学任务、无需排课、但需选课；还可以某一学期某门课程→上课班级(如大学英语)的课表(各上课班级中含学生)复制到下学期另一门课程→上课班级，限下学期相应地点空闲且上课班级中每个学生相应时间空闲(否则可以智能推荐空闲时间、空闲地点)，需要制定下学期教学任务、无需排课、无需选课。</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投标时现场提供软件功能演示和厂家参数确认函</w:t>
      </w:r>
      <w:r>
        <w:rPr>
          <w:rFonts w:hint="eastAsia" w:asciiTheme="minorEastAsia" w:hAnsiTheme="minorEastAsia" w:eastAsiaTheme="minorEastAsia" w:cstheme="minorEastAsia"/>
          <w:color w:val="auto"/>
          <w:sz w:val="24"/>
          <w:szCs w:val="24"/>
          <w:lang w:eastAsia="zh-CN"/>
        </w:rPr>
        <w:t>）</w:t>
      </w:r>
    </w:p>
    <w:p w14:paraId="59ADBFB6">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支持删除无学生的行政班级课表，剔除课程→上课班级中无学生的行政班级。</w:t>
      </w:r>
    </w:p>
    <w:p w14:paraId="285AA3D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(5)学期课表</w:t>
      </w:r>
    </w:p>
    <w:p w14:paraId="6011B6CF">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供各种课表：课程课表，教师课表，教室课表，班级课表，学生课表，周日节次课表，全校课表(按课程、按教师、按教室、按班级)，任选课表，每种课表可灵活设置显示内容。(如：班级课表内容显示，课程名称、学分、第一任课教师、第一任课教师职称、第二任课教师、第二任课教师职称、周次、节次、单双周、上课地点)</w:t>
      </w:r>
    </w:p>
    <w:p w14:paraId="36BB8C8E">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课表分析：分类型按容量分析教室使用情况；按节次查看上课班级个数、上课学生人数；查看排课要求满足情况；分周次/节次按行政班级统计无课学生人数。</w:t>
      </w:r>
    </w:p>
    <w:p w14:paraId="765F1E63">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(6)教学进度</w:t>
      </w:r>
    </w:p>
    <w:p w14:paraId="41D460B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教学进度表管理，系统支持任课老师或课程负责人录入教学进度内容。系统支持相关老师选择是否将教学进度表开放给同课程其他老师。系统支持教学进度表录入、审核流程。系统支持教学进度表查询和统计功能。</w:t>
      </w:r>
    </w:p>
    <w:p w14:paraId="625594EF">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支持批量录入教学进度表，可下载教学进度表粘贴模板，教师录入授课章节与内容提要、课后作业等信息后，可通过粘贴功能，实现批量录入教学进度。</w:t>
      </w:r>
    </w:p>
    <w:p w14:paraId="02663B9A">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rPr>
      </w:pPr>
      <w:bookmarkStart w:id="92" w:name="_Toc133576810"/>
      <w:bookmarkStart w:id="93" w:name="_Toc153267089"/>
      <w:bookmarkStart w:id="94" w:name="_Toc175142477"/>
      <w:bookmarkStart w:id="95" w:name="_Toc134537197"/>
      <w:r>
        <w:rPr>
          <w:rFonts w:hint="eastAsia" w:asciiTheme="minorEastAsia" w:hAnsiTheme="minorEastAsia" w:eastAsiaTheme="minorEastAsia" w:cstheme="minorEastAsia"/>
          <w:b/>
          <w:color w:val="auto"/>
          <w:sz w:val="24"/>
          <w:szCs w:val="24"/>
        </w:rPr>
        <w:t>10. 网上选课</w:t>
      </w:r>
      <w:bookmarkEnd w:id="92"/>
      <w:bookmarkEnd w:id="93"/>
      <w:bookmarkEnd w:id="94"/>
      <w:bookmarkEnd w:id="95"/>
    </w:p>
    <w:p w14:paraId="5FA42BB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网上选课基于校园网、互联网为学生提供简便快捷、公平合理的选课平台，为推进教学改革、实行学分制提供先进、可靠的技术保障。</w:t>
      </w:r>
    </w:p>
    <w:p w14:paraId="3E95B97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各种选课方案，可灵活采用选课策略：先选先得(设有上课班级人数上限，不允许突破)；选后抽签(对于超出上课班级人数上限的情况，按照设置的筛选规则及学生优先级通过抽签剔除多余学生)；选课币(赋予学生一定的选课币，学生选一门课程时需持若干选课币，根据选一门课程的每个学生所持选课币数量进行确定，必要时采用抽签办法)；退课池(为了避免学生私下转让课程，将每个学生退选的课程集中收入退课池，然后统一向所有学生开放补选)。</w:t>
      </w:r>
    </w:p>
    <w:p w14:paraId="0A51B158">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正选轮次的设置，可基于年级/专业、学生在校、在籍状态灵活设置学生选课范围，并且可通过灵活设置选课开关、退课开关、未合班学生是否可选开关、跨校区选课开关、辅修课程开关限定课程范围。另外，支持选课评教限制/先修课程控制方式限制/学生筛选限制/突破人数上限限制/退课池启动限制等。</w:t>
      </w:r>
    </w:p>
    <w:p w14:paraId="23DA8DED">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支持依据注册情况、交费情况设置禁止选课学生。</w:t>
      </w:r>
    </w:p>
    <w:p w14:paraId="2CA7E92A">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依据学期开课计划，为各个年级专业分主修与辅修设置不需要正选课程(限不需要预选的课程)(即直接进入正选结果且不允许学生退掉)、确定需要正选课程(即预选结果去掉不需要正选课程)。制定学期教学任务时，对于任一课程，不需要正选的主修年级、专业的任一行政班级(或辅修年级专业)学生全部进入唯一的上课班级或分别进入多个上课班级(以解决分级教学等问题)，需要正选的主修年级专业的任一行政班级(或辅修年级、专业)学生可以进入一个或多个上课班级。在完成课表编排之后，分年级按专业、分课程按上课班级以及按学生设置有关正选限制。</w:t>
      </w:r>
    </w:p>
    <w:p w14:paraId="04557E5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支持分年级按专业正选可跨年级/专业；支持批量设置学生正选课程门数上限与学分上限；支持批量设置课程→上课班级人数上限；支持分年级按专业初始化选课币等。</w:t>
      </w:r>
    </w:p>
    <w:p w14:paraId="25CAE3C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学生通过校园网、互联网在需要正选课程范围内正选课程及相应任课教师→上课班级之一(亦即选定相应的上课周次、节次)。学生正选某一课程时，起初限制在预选时所选定任课教师对应的各个上课班级；若预选时所选定任课教师对应的各个上课班级均已被选满或时间冲突且预选时注明了允许调剂任课教师，则开放其余任课教师对应的各个上课班级，处理学生正选情况，形成正选结果。</w:t>
      </w:r>
    </w:p>
    <w:p w14:paraId="08547858">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支持依据正选结果确定开设的课程→上课班级和取消的课程→上课班级；支持分课程→上课班级确定上课学生；支持分课程在上课班级之间调剂正选学生；支持批量删除取消的课程→上课班级。</w:t>
      </w:r>
    </w:p>
    <w:p w14:paraId="66FCB4DE">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包括但不限于支持异动学生批量退选和批量补选(可到学生)、支持处理学生重复修读的课程，可按有效成绩判断重复、按原始成绩判断重复、按课程名称判断重复、按学生标签筛选等。支持对重复修读的课程批量设置为重修。</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投标时现场提供软件功能演示和厂家参数确认函</w:t>
      </w:r>
      <w:r>
        <w:rPr>
          <w:rFonts w:hint="eastAsia" w:asciiTheme="minorEastAsia" w:hAnsiTheme="minorEastAsia" w:eastAsiaTheme="minorEastAsia" w:cstheme="minorEastAsia"/>
          <w:color w:val="auto"/>
          <w:sz w:val="24"/>
          <w:szCs w:val="24"/>
          <w:lang w:eastAsia="zh-CN"/>
        </w:rPr>
        <w:t>）</w:t>
      </w:r>
    </w:p>
    <w:p w14:paraId="44F40999">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完成正选之后，实时发布课程→任课教师→上课班级之一→空余名额等信息，学生通过校园网、互联网在可补选课程范围内补选课程(限可预选且未正选上课程)(限有空余名额的课程→上课班级)、在已正选课程范围内退选课程(限需要正选课程)。</w:t>
      </w:r>
    </w:p>
    <w:p w14:paraId="12B1706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选课结果:分课程按上课班级查看空余名额，分课程按上课班级统计学生人数，分课程按上课班级查看被取消选课学生名单，查看单个学生修读课程/环节，分年级/专业/行政班级按课程查看选课学生名单，按年级/专业统计学生修读课程/环节数，分年级/专业/行政班级按课程查看未选课学生名单，分课程按上课班级查看学生名册，分课程按上课班级查看学生分布，学生选课日志等。</w:t>
      </w:r>
    </w:p>
    <w:p w14:paraId="08C19490">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rPr>
      </w:pPr>
      <w:bookmarkStart w:id="96" w:name="_Toc133576811"/>
      <w:bookmarkStart w:id="97" w:name="_Toc134537198"/>
      <w:bookmarkStart w:id="98" w:name="_Toc175142479"/>
      <w:bookmarkStart w:id="99" w:name="_Toc153267091"/>
      <w:r>
        <w:rPr>
          <w:rFonts w:hint="eastAsia" w:asciiTheme="minorEastAsia" w:hAnsiTheme="minorEastAsia" w:eastAsiaTheme="minorEastAsia" w:cstheme="minorEastAsia"/>
          <w:b/>
          <w:color w:val="auto"/>
          <w:sz w:val="24"/>
          <w:szCs w:val="24"/>
        </w:rPr>
        <w:t>11. 调课管理</w:t>
      </w:r>
      <w:bookmarkEnd w:id="96"/>
      <w:bookmarkEnd w:id="97"/>
      <w:bookmarkEnd w:id="98"/>
      <w:bookmarkEnd w:id="99"/>
    </w:p>
    <w:p w14:paraId="01C3FCF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支持灵活设置调课原因类别。</w:t>
      </w:r>
    </w:p>
    <w:p w14:paraId="7810C87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支持教师基于校园网/互联网提交调课申请。</w:t>
      </w:r>
    </w:p>
    <w:p w14:paraId="32302184">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支持由承担单位审核调课申请。</w:t>
      </w:r>
    </w:p>
    <w:p w14:paraId="39D78F5E">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支持由承担单位代替教师提交调课申请。</w:t>
      </w:r>
    </w:p>
    <w:p w14:paraId="5CDC8028">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支持由教务处审核调课申请。</w:t>
      </w:r>
    </w:p>
    <w:p w14:paraId="33762A8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支持调课处理(含调停课，只停不调等)，亦支持批量停课和补课(主要面向节假日)。</w:t>
      </w:r>
    </w:p>
    <w:p w14:paraId="6DC58ED6">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可打印查询和统计报表(调课通知、调课日志、统计调课次数等)。</w:t>
      </w:r>
    </w:p>
    <w:p w14:paraId="46137283">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rPr>
      </w:pPr>
      <w:bookmarkStart w:id="100" w:name="_Toc134537199"/>
      <w:bookmarkStart w:id="101" w:name="_Toc153267092"/>
      <w:bookmarkStart w:id="102" w:name="_Toc133576812"/>
      <w:bookmarkStart w:id="103" w:name="_Toc175142480"/>
      <w:r>
        <w:rPr>
          <w:rFonts w:hint="eastAsia" w:asciiTheme="minorEastAsia" w:hAnsiTheme="minorEastAsia" w:eastAsiaTheme="minorEastAsia" w:cstheme="minorEastAsia"/>
          <w:b/>
          <w:color w:val="auto"/>
          <w:sz w:val="24"/>
          <w:szCs w:val="24"/>
        </w:rPr>
        <w:t>12.免修处理</w:t>
      </w:r>
      <w:bookmarkEnd w:id="100"/>
      <w:bookmarkEnd w:id="101"/>
      <w:bookmarkEnd w:id="102"/>
      <w:bookmarkEnd w:id="103"/>
    </w:p>
    <w:p w14:paraId="7DDBB44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免修处理依据有关免修规定，完成免修报名审核，主要包括免修申请、审核免修、确认免修。</w:t>
      </w:r>
    </w:p>
    <w:p w14:paraId="67B3732F">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支持灵活设置禁止免修限制(含设置禁止免修[课程/环节→年级/专业]、设置禁止免修[年级/专业→课程/环节])。</w:t>
      </w:r>
    </w:p>
    <w:p w14:paraId="58F01578">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支持学生在规定的时间基于校园网、互联网提交免修课程申请，对于禁止免修的课程环节，可自动屏蔽申请、禁止确认。</w:t>
      </w:r>
    </w:p>
    <w:p w14:paraId="4765FFAE">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支持依据有关免修规定，对学生申请免修的课程环节进行逐个审核、确认(包括录入规定成绩(默认为百分制60分)与免修原因)。</w:t>
      </w:r>
    </w:p>
    <w:p w14:paraId="1E85915E">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可打印查看和统计报表(查看学生免修情况、统计学生免修情况)。</w:t>
      </w:r>
    </w:p>
    <w:p w14:paraId="165B8743">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rPr>
      </w:pPr>
      <w:bookmarkStart w:id="104" w:name="_Toc133576814"/>
      <w:bookmarkStart w:id="105" w:name="_Toc134537201"/>
      <w:bookmarkStart w:id="106" w:name="_Toc153267094"/>
      <w:bookmarkStart w:id="107" w:name="_Toc175142482"/>
      <w:r>
        <w:rPr>
          <w:rFonts w:hint="eastAsia" w:asciiTheme="minorEastAsia" w:hAnsiTheme="minorEastAsia" w:eastAsiaTheme="minorEastAsia" w:cstheme="minorEastAsia"/>
          <w:b/>
          <w:color w:val="auto"/>
          <w:sz w:val="24"/>
          <w:szCs w:val="24"/>
        </w:rPr>
        <w:t>13. 课程考试</w:t>
      </w:r>
      <w:bookmarkEnd w:id="104"/>
      <w:bookmarkEnd w:id="105"/>
      <w:bookmarkEnd w:id="106"/>
      <w:bookmarkEnd w:id="107"/>
    </w:p>
    <w:p w14:paraId="76F8978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课程考试是教学运行的重要环节，主要包括考试任务、缓考处理、考试安排、试卷选定与速印、考场记录与考试通报等多个方面的工作。</w:t>
      </w:r>
    </w:p>
    <w:p w14:paraId="637A61D2">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支持灵活设置考试轮次(含末考和补考)、考试时间与考场容量。</w:t>
      </w:r>
    </w:p>
    <w:p w14:paraId="471FCEEA">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(1)考试任务</w:t>
      </w:r>
    </w:p>
    <w:p w14:paraId="704FE80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末考任务：支持通过读取课程结束节序、确认需安排考试课程(支持考试课程安排申请)、确定考试安排任务(支持随堂考、分批次等考试任务确定)，形成末考任务。</w:t>
      </w:r>
    </w:p>
    <w:p w14:paraId="161D8D3A">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补考任务，支持通过灵活设置补考规定(支持允许补考成绩范围、允许补考年级、允许补考特殊情况、允许补考课程的学年学期等)、批量设置学生可补考课程，学生基于校园网、互联网提交补考申请或确认补考课程/学生，形成补考任务。另外，支持分课程或按学分设置补考标准。</w:t>
      </w:r>
    </w:p>
    <w:p w14:paraId="0221E12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(2)缓考处理</w:t>
      </w:r>
    </w:p>
    <w:p w14:paraId="390C73CE">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支持由学生在规定时间基于校园网、互联网提交缓考申请或简便快捷地完成学生缓考课程的登记、确认。</w:t>
      </w:r>
    </w:p>
    <w:p w14:paraId="4D670B72">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对于在安排考试之前确认的缓考学生，不安排座位号，对于在安排考试之后确认的缓考学生，在对应的座位号处标记缓考。</w:t>
      </w:r>
    </w:p>
    <w:p w14:paraId="17A82A09">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(3)考试安排</w:t>
      </w:r>
    </w:p>
    <w:p w14:paraId="36156AC9">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支持灵活设置排考要求(含设置课程需要的排考场次和不排考场次、设置课程需要的排考教室类型、设置课程考试群组、设置教室留用日期/场次等)。</w:t>
      </w:r>
    </w:p>
    <w:p w14:paraId="0A7077FD">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支持灵活设置监考要求(含设置课程任课教师监考类别、设置可排监考的教师教辅人员、设置监考人员监考时间要求、批量设置课程→可监考人员、零散调整课程→可监考人员、设置考场辅监考人数)，</w:t>
      </w:r>
    </w:p>
    <w:p w14:paraId="2BA0A399">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支持安排考试时间/地点(含智能编排/辅助编排)，支持排考考场冲突检查、排考学生冲突检查、取消退选学生考试安排。</w:t>
      </w:r>
    </w:p>
    <w:p w14:paraId="7A9E8679">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支持分承担单位、时间调整课程考试时间。</w:t>
      </w:r>
    </w:p>
    <w:p w14:paraId="5D737000">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支持安排监考人员(含智能编排/辅助编排等)、安排巡考。</w:t>
      </w:r>
    </w:p>
    <w:p w14:paraId="420FEF5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(4)试卷选定与速印</w:t>
      </w:r>
    </w:p>
    <w:p w14:paraId="15417F3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支持详细记录课程信息、试卷库存信息，通过智能批量或辅助零散方式为考试课程选定试卷。</w:t>
      </w:r>
    </w:p>
    <w:p w14:paraId="5BF22B36">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支持依据考试安排按考试课程、批次生成相应的试卷速印单(自动计算试卷速印份数)，并按考场打印相应的试卷袋标签、考场学生名册(可含照片)、考场记录表。</w:t>
      </w:r>
    </w:p>
    <w:p w14:paraId="64B597F8">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支持详细记录试卷领取信息与阅卷安排信息。</w:t>
      </w:r>
    </w:p>
    <w:p w14:paraId="464FC6C4">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(5)处理考场记录</w:t>
      </w:r>
    </w:p>
    <w:p w14:paraId="28E917F3">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支持由监考人员或承担单位教学秘书在规定时间基于校园网、互联网及时提交考场记录，经教务处审核确认之后通过校园网、互联网发布考试通报(有关缺考与舞弊等情况的处理)。</w:t>
      </w:r>
    </w:p>
    <w:p w14:paraId="2BB5786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打印查询和统计报表(查询空闲考场、按时间区段查看考试安排、分承担单位按课程→上课班级查看考试安排、分承担单位按课程查看考试安排(考场→行政班级(人数))、分行政班级按课程查看考试安排(考场→考试人数)、分行政班级按课程查看考试安排(考场→考生名单)、分校区/楼房按教室查看考试安排、分校区/楼房按教室打印考场标签、打印考试通知单、打印考试签到表、分院(系)/部/处室按教师教辅人员查看监考安排、分院(系)/部/处室按时间查看监考安排(考场→监考人员)、查看监考情况、统计监考情况、查看巡考安排等)。</w:t>
      </w:r>
    </w:p>
    <w:p w14:paraId="2AEDFE32">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rPr>
      </w:pPr>
      <w:bookmarkStart w:id="108" w:name="_Toc134537203"/>
      <w:bookmarkStart w:id="109" w:name="_Toc153267096"/>
      <w:bookmarkStart w:id="110" w:name="_Toc175142484"/>
      <w:r>
        <w:rPr>
          <w:rFonts w:hint="eastAsia" w:asciiTheme="minorEastAsia" w:hAnsiTheme="minorEastAsia" w:eastAsiaTheme="minorEastAsia" w:cstheme="minorEastAsia"/>
          <w:b/>
          <w:color w:val="auto"/>
          <w:sz w:val="24"/>
          <w:szCs w:val="24"/>
        </w:rPr>
        <w:t>14. 教材管理</w:t>
      </w:r>
      <w:bookmarkEnd w:id="108"/>
      <w:bookmarkEnd w:id="109"/>
      <w:bookmarkEnd w:id="110"/>
    </w:p>
    <w:p w14:paraId="03302349">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教材管理是教学管理的重要组成部分，须包括教材的库存管理、收订、采购、入库、出库、调拨、付款、收款、退款、退书、报损、耗费、赠送及网上发布有关信息等多个环节。</w:t>
      </w:r>
    </w:p>
    <w:p w14:paraId="37A30122">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可依据实际需要与现有库存，确定采购教材的种类与数量：依据学期开课计划确定各个年级、专业的对应课程、环节，由承担单位通过校园网、互联网为承担的课程、环节指定相应的教材种类；依据学生学籍、选课结果或新生招生计划(自动识别是否有选课结果，若有则按照选课结果确定数量)、教师用书(能自动识别基于教学任务教师用书数量)等确定需要的教材种类与数量；参照现有库存，最终确定需要采购的教材种类与数量，将教材采购单分别报相应的供书单位。</w:t>
      </w:r>
    </w:p>
    <w:p w14:paraId="6347CF8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教材入库时自动提示报给相应供书单位的采购单，教材出库时自动提示相应购书单位报订的教材种类与数量，入库单、出库单及库存清单均标注有每一种类教材所在库房位置(即库房、书架号)，使教材的入库、出库及定期盘点简便快捷。</w:t>
      </w:r>
    </w:p>
    <w:p w14:paraId="6C6F33DA">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详细记录教材的收退、发退、报损与赠送情况。</w:t>
      </w:r>
    </w:p>
    <w:p w14:paraId="7FA91D0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依据入库单付款，分供书单位提供对账单；依据出库单收款，以购书单位(包含班级与非班级)或单个学生为账户进行结算；详细记录退款与耗费情况。</w:t>
      </w:r>
    </w:p>
    <w:p w14:paraId="320D8978">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分承担单位按教师记录教学领书信息，便于同财务管理部门核算。</w:t>
      </w:r>
    </w:p>
    <w:p w14:paraId="4DDD386D">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按课程/环节查询近年来教材的选用情况；提供上报教育部的年度教材使用情况表。</w:t>
      </w:r>
    </w:p>
    <w:p w14:paraId="5050F6E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实现跨区域联网操作，可进行教材调拨，适合多个校区的管理。</w:t>
      </w:r>
    </w:p>
    <w:p w14:paraId="67952649">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▲支持教材评价。涉及评价主体、评价指标、评价安排等。包括但不限于支持灵活确定学期数据结转，需能在本学期所有教材管理工作结束、下学期收订教材之前均可进行结转。</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投标时现场提供软件功能演示和厂家参数确认函</w:t>
      </w:r>
      <w:r>
        <w:rPr>
          <w:rFonts w:hint="eastAsia" w:asciiTheme="minorEastAsia" w:hAnsiTheme="minorEastAsia" w:eastAsiaTheme="minorEastAsia" w:cstheme="minorEastAsia"/>
          <w:color w:val="auto"/>
          <w:sz w:val="24"/>
          <w:szCs w:val="24"/>
          <w:lang w:eastAsia="zh-CN"/>
        </w:rPr>
        <w:t>）</w:t>
      </w:r>
    </w:p>
    <w:p w14:paraId="580C62E2">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rPr>
      </w:pPr>
      <w:bookmarkStart w:id="111" w:name="_Toc133576816"/>
      <w:bookmarkStart w:id="112" w:name="_Toc175142485"/>
      <w:bookmarkStart w:id="113" w:name="_Toc153267097"/>
      <w:bookmarkStart w:id="114" w:name="_Toc134537204"/>
      <w:r>
        <w:rPr>
          <w:rFonts w:hint="eastAsia" w:asciiTheme="minorEastAsia" w:hAnsiTheme="minorEastAsia" w:eastAsiaTheme="minorEastAsia" w:cstheme="minorEastAsia"/>
          <w:b/>
          <w:color w:val="auto"/>
          <w:sz w:val="24"/>
          <w:szCs w:val="24"/>
        </w:rPr>
        <w:t>15. 学生成绩</w:t>
      </w:r>
      <w:bookmarkEnd w:id="111"/>
      <w:bookmarkEnd w:id="112"/>
      <w:bookmarkEnd w:id="113"/>
      <w:bookmarkEnd w:id="114"/>
    </w:p>
    <w:p w14:paraId="3D568BAD">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学生成绩指学生在校期间、从入学到毕业各个学习环节的考核结果。主要包括设置成绩参数、打印成绩登记册、课程成绩录入、环节成绩录入、补录/删除/修改成绩、成绩认定、成绩查询、成绩分析。</w:t>
      </w:r>
    </w:p>
    <w:p w14:paraId="235D8D7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(1)设置成绩参数</w:t>
      </w:r>
    </w:p>
    <w:p w14:paraId="69467099">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包括但不限于支持灵活设置成绩参数(成绩表现形式(百分制/五级制/两级制)、成绩表现形式之间对应关系、综合成绩计算方法、成绩特殊情况(舞弊、缺考、缓考、免考等)、技能类别、补考成绩→有效成绩的计算方法、重修成绩→有效成绩的计算方法、绩点计算方法(公式形式或分段形式)、绩点计算方式、缓考后补考成绩处理办法等)。 </w:t>
      </w:r>
    </w:p>
    <w:p w14:paraId="12C822C4">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(2)打印成绩登记册</w:t>
      </w:r>
    </w:p>
    <w:p w14:paraId="6C61F678">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支持各类成绩登记册打印(编辑成绩登记注意事项、分行政班级按课程打印成绩登记册、分行政班级按环节打印成绩登记册、分辅修年级/专业按环节打印成绩登记册、分承担单位按环节打印重修成绩登记册)。</w:t>
      </w:r>
    </w:p>
    <w:p w14:paraId="5F43735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(3)课程成绩录入</w:t>
      </w:r>
    </w:p>
    <w:p w14:paraId="0BECFCEE">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支持灵活设置课程→综合成绩构成(到年级专业(主修/辅修))：平时成绩(表现形式与所占比例)，中考成绩(表现形式与所占比例)，末考成绩(表现形式与所占比例)，技能成绩(表现形式与所占比例)。</w:t>
      </w:r>
    </w:p>
    <w:p w14:paraId="1B712A5A">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支持灵活设置成绩录入时间区段：可统一设置录入成绩的起始日期与结束日期；还可依据考试安排及录入成绩天数、按课程自动设置相应的录入成绩时间区段。</w:t>
      </w:r>
    </w:p>
    <w:p w14:paraId="2D497D4A">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支持灵活设置课程成绩录入人：批量或者零散将任课教师、院(系)/部教学秘书、承担单位教学秘书等设置为成绩录入人。</w:t>
      </w:r>
    </w:p>
    <w:p w14:paraId="2944489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支持课程补考成绩、课程重修成绩的录入，支持屏蔽部分课程成绩。</w:t>
      </w:r>
    </w:p>
    <w:p w14:paraId="4FB2D6D0">
      <w:pPr>
        <w:adjustRightInd w:val="0"/>
        <w:snapToGrid w:val="0"/>
        <w:spacing w:line="360" w:lineRule="auto"/>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支持成绩批量粘贴。</w:t>
      </w:r>
    </w:p>
    <w:p w14:paraId="375ADF7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(4)成绩录入环节</w:t>
      </w:r>
    </w:p>
    <w:p w14:paraId="0FD6D3D4">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灵活设置环节→成绩表现形式(到年级、专业(主修辅修))(毕业设计除外)、毕业设计(论文)→综合成绩构成(到年级、专业)：指导教师给定成绩(表现形式与所占比例)，评阅教师给定成绩(表现形式与所占比例)，答辩专家给定成绩(表现形式与所占比例)、</w:t>
      </w:r>
    </w:p>
    <w:p w14:paraId="736A8579">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支持灵活设置成绩录入时间区段：可统一设置录入成绩的起始日期与结束日期。</w:t>
      </w:r>
    </w:p>
    <w:p w14:paraId="5A89A250">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支持灵活设置环节成绩录入人：批量或者零散将指导教师、院(系)/部部教学秘书设置为成绩录入人。</w:t>
      </w:r>
    </w:p>
    <w:p w14:paraId="46F269D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支持环节重修成绩的录入，支持屏蔽部分环节成绩。</w:t>
      </w:r>
    </w:p>
    <w:p w14:paraId="5EB93E3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支持成绩批量粘贴。</w:t>
      </w:r>
    </w:p>
    <w:p w14:paraId="1EE723E4">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(5)补录/删除/修改成绩</w:t>
      </w:r>
    </w:p>
    <w:p w14:paraId="1941E8F6">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支持零散补录/删除/修改成绩。</w:t>
      </w:r>
    </w:p>
    <w:p w14:paraId="65FC298F">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(6)成绩认定</w:t>
      </w:r>
    </w:p>
    <w:p w14:paraId="785DCF0D">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批量认定[原始成绩有效成绩]：若某一学生的某一课程环节仅有一个原始成绩，则原始成绩同时成为认定后的有效成绩；否则，最为有效的成绩成为认定后的有效成绩。可查看[原始成绩有效成绩]认定记录，</w:t>
      </w:r>
    </w:p>
    <w:p w14:paraId="73316D09">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包括但不限于支持逐个认定异动学生有效成绩：依据异动后年级、专业的培养方案，通过直通认定、对应认定、任选处理与无效处理四种方式，对异动学生异动前的成绩进行认定，查看异动学生成绩认定记录。支持认定特殊学生成绩：设置特殊学生成绩及格标准，特殊学生成绩认定[原始成绩→有效成绩](支持修改成绩(修改有效成绩、有效成绩=原始成绩+分数、有效成绩=原始成绩×系数、有效成绩=不及格原始成绩加至到多少分、有效成绩=原始成绩开根号×10 )、缓考课程成绩认定到有效成绩、辅修综合成绩&lt;60，成绩做无效处理、公共任选课综合成绩&lt;60，成绩做无效处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投标时现场提供软件功能演示和厂家参数确认函</w:t>
      </w:r>
      <w:r>
        <w:rPr>
          <w:rFonts w:hint="eastAsia" w:asciiTheme="minorEastAsia" w:hAnsiTheme="minorEastAsia" w:eastAsiaTheme="minorEastAsia" w:cstheme="minorEastAsia"/>
          <w:color w:val="auto"/>
          <w:sz w:val="24"/>
          <w:szCs w:val="24"/>
          <w:lang w:eastAsia="zh-CN"/>
        </w:rPr>
        <w:t>）</w:t>
      </w:r>
    </w:p>
    <w:p w14:paraId="64DCDD4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支持成绩防篡改机制设置(智能匹配出异常成绩、自动生成异常成绩报告、批量恢复异常成绩)。</w:t>
      </w:r>
    </w:p>
    <w:p w14:paraId="57396F69">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可打印查询和统计报表(查看未交完成绩[原始]，打印学期成绩通知单[原始]，分行政班级按课程查看成绩[原始]，分行政班级按环节查看成绩[原始]，分辅修年级/专业按环节查看成绩[原始]，分承担单位按环节查看重修成绩[原始]，分课程按行政班级查看成绩[原始]，分课程按上课班级查看成绩[原始]，分课程按年级/专业查看补考成绩[原始]，分毕业年届按专业查看毕业设计(论文)成绩[原始]，分查看单个学生成绩[原始/有效]，查看考试未通过情况[原始/有效]，统计考试未通过情况[原始/有效]，分行政班级按课程/环节查看成绩[有效]，分行政班级按学年/学期查看成绩[有效]，分辅修年级/专业查看成绩[有效]：按课程环节、按学年学期，打印学生成绩档案表[原始/有效],行政班级按成绩区段统计学生修读课程/环节数[有效]，分课程/环节按年级/专业查看学生成绩分布[原始]，分行政班级按学生查看学业进展[有效]，学生成绩排名[有效]等)。</w:t>
      </w:r>
    </w:p>
    <w:p w14:paraId="64176D02">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能够灵活设置教师成绩录入时的提示信息和自动暂存的时间间隔(如：通过设置提示信息和自动暂存的时间间隔(比如30秒钟)，教师A录入成绩时，能够查看提示信息，能够自动暂存录入的成绩)。</w:t>
      </w:r>
    </w:p>
    <w:p w14:paraId="69070659">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(7)电子证明</w:t>
      </w:r>
    </w:p>
    <w:p w14:paraId="0A36482A">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支持成绩单添加背景水印、电子章、二维码等防伪措施，支持设定可校验的时限；支持学生下载电子成绩单/在校证明等自助打印，支持三方扫描成绩单二维码对成绩单进行校验。</w:t>
      </w:r>
    </w:p>
    <w:p w14:paraId="0F56E9B8">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(8)成绩查看</w:t>
      </w:r>
    </w:p>
    <w:p w14:paraId="5BBED033">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支持分类类别查看所有学生或者各种学分，支持档案成绩自动换行全部显示，增加学业进展可选类别复选框。增加分析等级考试成绩。增加学生重修次数的显示。</w:t>
      </w:r>
    </w:p>
    <w:p w14:paraId="592D7D94">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rPr>
      </w:pPr>
      <w:bookmarkStart w:id="115" w:name="_Toc175142487"/>
      <w:bookmarkStart w:id="116" w:name="_Toc134537207"/>
      <w:bookmarkStart w:id="117" w:name="_Toc133576817"/>
      <w:bookmarkStart w:id="118" w:name="_Toc153267100"/>
      <w:r>
        <w:rPr>
          <w:rFonts w:hint="eastAsia" w:asciiTheme="minorEastAsia" w:hAnsiTheme="minorEastAsia" w:eastAsiaTheme="minorEastAsia" w:cstheme="minorEastAsia"/>
          <w:b/>
          <w:color w:val="auto"/>
          <w:sz w:val="24"/>
          <w:szCs w:val="24"/>
        </w:rPr>
        <w:t>16. 教学业绩</w:t>
      </w:r>
      <w:bookmarkEnd w:id="115"/>
      <w:bookmarkEnd w:id="116"/>
      <w:bookmarkEnd w:id="117"/>
      <w:bookmarkEnd w:id="118"/>
    </w:p>
    <w:p w14:paraId="624DA36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教学业绩分为理论教学与实践教学两个方面，包括讲授课程、指导实验、指导上机、指导实习、指导课程设计与指导毕业设计等。</w:t>
      </w:r>
    </w:p>
    <w:p w14:paraId="69ECCAF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(1)设置计算参数</w:t>
      </w:r>
    </w:p>
    <w:p w14:paraId="5DEB5A80">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设置计算轮次、教学工作、教学手段、计算范围、设置教学工作量计算系数：职称系数，特殊身份系数，人数区段系数(分教学工作)，学生层次系数，课程类别系数，环节类别系数，重复教学系数(分教学工作)，教学手段系数，教学质量系数(分教学工作)，设置教学工作量计算公式：通过交互式地选定有关操作数(包括但不限于教学工作量计算系数、学时/周数、学分、0-9)与操作符(包括(、)、+、-、*、/)完成。</w:t>
      </w:r>
    </w:p>
    <w:p w14:paraId="0D4D0506">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(2)计算工作量</w:t>
      </w:r>
    </w:p>
    <w:p w14:paraId="4F9D7324">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支持依据设定的教学工作量计算公式，计算当前学年学期或现行计算轮次的教学工作量。</w:t>
      </w:r>
    </w:p>
    <w:p w14:paraId="1326D778">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支持调整教学工作量、分教师录入教学工作量、分课程环节录入教学工作量、录入附加教学工作量。</w:t>
      </w:r>
    </w:p>
    <w:p w14:paraId="54379B6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(3)计算结果</w:t>
      </w:r>
    </w:p>
    <w:p w14:paraId="1118747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院(系)/部部按教师查看教学工作量；分承担单位按课程/环节查看教学工作量；分院(系)/部按教师统计教学工作量；分承担单位按课程环节统计教学工作量；分院(系)/部按教学工作统计分析教学工作量；分院(系)/部按职称、学历、学位及年龄区段统计分析教学工作量。</w:t>
      </w:r>
    </w:p>
    <w:p w14:paraId="53066363">
      <w:pPr>
        <w:adjustRightInd w:val="0"/>
        <w:snapToGrid w:val="0"/>
        <w:spacing w:line="360" w:lineRule="auto"/>
        <w:ind w:firstLine="482" w:firstLineChars="200"/>
        <w:rPr>
          <w:rFonts w:hint="eastAsia" w:asciiTheme="minorEastAsia" w:hAnsiTheme="minorEastAsia" w:eastAsiaTheme="minorEastAsia" w:cstheme="minorEastAsia"/>
          <w:color w:val="auto"/>
          <w:sz w:val="24"/>
          <w:szCs w:val="24"/>
        </w:rPr>
      </w:pPr>
      <w:bookmarkStart w:id="119" w:name="_Toc153267099"/>
      <w:bookmarkStart w:id="120" w:name="_Toc134537206"/>
      <w:r>
        <w:rPr>
          <w:rFonts w:hint="eastAsia" w:asciiTheme="minorEastAsia" w:hAnsiTheme="minorEastAsia" w:eastAsiaTheme="minorEastAsia" w:cstheme="minorEastAsia"/>
          <w:b/>
          <w:color w:val="auto"/>
          <w:sz w:val="24"/>
          <w:szCs w:val="24"/>
        </w:rPr>
        <w:t>17</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
          <w:color w:val="auto"/>
          <w:sz w:val="24"/>
          <w:szCs w:val="24"/>
        </w:rPr>
        <w:t>教学评价</w:t>
      </w:r>
      <w:bookmarkEnd w:id="119"/>
      <w:bookmarkEnd w:id="120"/>
    </w:p>
    <w:p w14:paraId="6E85822A">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(1)教学质量评价</w:t>
      </w:r>
    </w:p>
    <w:p w14:paraId="581A7F6E">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教学质量评价包括领导评、督导评、同行评与学生评四个层面，提供两种评价方式：非指标评价与指标评价(非指标评价又分为问卷调查与听课记录)(指标评价又分为过程性与终结性两种类型)；可根据需要在一个学期内设定多个评价轮次，相应评价轮次的时间区段由管理人员设定。</w:t>
      </w:r>
    </w:p>
    <w:p w14:paraId="355503D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评价设置：评价主体，评价主体权重，评价主体成员及评价范围，评价问卷题目，评价指标等级，评价质量等级，评价量化办法，评价指标体系。</w:t>
      </w:r>
    </w:p>
    <w:p w14:paraId="4CFBB29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评价安排：设置评价轮次，分现行评价轮次设置评价主体成员的评价范围、生成评价主体成员的评价安排。</w:t>
      </w:r>
    </w:p>
    <w:p w14:paraId="5EC5C0C6">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价处理：各个评价主体成员通过校园网、互联网或互联网、依据教学质量评价指标体系与问卷题目，对于相应评价范围内的课程环节→教师进行评价；录入评价主体成员的评价信息；按学生或按课程环节处理学生的评价信息。</w:t>
      </w:r>
    </w:p>
    <w:p w14:paraId="580FD35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价结果：分评价主体成员按课程环节→教师查看评价信息；分课程环节→教师按评价主体(成员)查看评价结果；分教师→课程环节按评价主体(成员)查看评价结果；按综合评价结果查看教师排名；分院(系)/部按评价质量等级查看教师人数分布。</w:t>
      </w:r>
    </w:p>
    <w:p w14:paraId="0DCC927D">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(2)教师评学</w:t>
      </w:r>
    </w:p>
    <w:p w14:paraId="1565F0F0">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教师评学包括学生自评、同学评与任课教师评三个层面，提供两种评价方式：非指标评价与指标评价；可根据需要在一学期内设定多个评价轮次，相应评价轮次的时间区段由管理人员设定。</w:t>
      </w:r>
    </w:p>
    <w:p w14:paraId="7CC607AC">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rPr>
      </w:pPr>
      <w:bookmarkStart w:id="121" w:name="_Toc175142488"/>
      <w:bookmarkStart w:id="122" w:name="_Toc133576818"/>
      <w:bookmarkStart w:id="123" w:name="_Toc153267102"/>
      <w:bookmarkStart w:id="124" w:name="_Toc134537209"/>
      <w:r>
        <w:rPr>
          <w:rFonts w:hint="eastAsia" w:asciiTheme="minorEastAsia" w:hAnsiTheme="minorEastAsia" w:eastAsiaTheme="minorEastAsia" w:cstheme="minorEastAsia"/>
          <w:b/>
          <w:color w:val="auto"/>
          <w:sz w:val="24"/>
          <w:szCs w:val="24"/>
        </w:rPr>
        <w:t>18. 毕业处理</w:t>
      </w:r>
      <w:bookmarkEnd w:id="121"/>
      <w:bookmarkEnd w:id="122"/>
      <w:bookmarkEnd w:id="123"/>
      <w:bookmarkEnd w:id="124"/>
    </w:p>
    <w:p w14:paraId="3100F80F">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毕业处理是学生学业管理的最后环节，涉及到主修毕业、结业、辅修毕业、获得学位和获得双学位等情况。</w:t>
      </w:r>
    </w:p>
    <w:p w14:paraId="2B99E00A">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支持由学生在规定时间内基于校园网、互联网提交提前毕业申请和推迟毕业申请。审核确认有望提前毕业或必须推迟毕业学生。</w:t>
      </w:r>
    </w:p>
    <w:p w14:paraId="420F3FB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支持灵活设置设置预计毕业规定。依据设置的预计毕业规定，智能判断预计毕业学生，生成预计毕业学生名册(含有望提前毕业学生)、必须推迟毕业学生名册，统计预计毕业学生情况。</w:t>
      </w:r>
    </w:p>
    <w:p w14:paraId="660B1212">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灵活设置主修毕业规定：如学生取得学分达到所在年级专业的毕业学分要求，计算机、外语及职业技能达到相应等级要求。依据设置的毕业规定，智能判断毕业学生，审核确认正常毕业学生、结业学生与本转专毕业学生，生成主修毕业学生名册(含提前毕业学生与本转专毕业学生)、主修结业学生名册、主修推迟毕业学生名册，统计分析毕业学生情况，分析未通过主修毕业。</w:t>
      </w:r>
    </w:p>
    <w:p w14:paraId="567B89E9">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灵活设置获得学位规定、辅修毕业规定、获得双学位规定。依据设置的学位规定、辅修毕业规定、获得双学位规定，智能判断毕业学生，审核确认、辅修毕业学生名册以及授予学位学生名册(含双学位)。获得学位、辅修毕业与获得双学位审核的原因。</w:t>
      </w:r>
    </w:p>
    <w:p w14:paraId="39778706">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支持简便的证书设计功能，批量打印主修毕业证书、主修结业证书、辅修毕业证书、学位证书、双学位证书，自动记录证书印刷号(与毕业电子注册号对应)、生成证书存根。</w:t>
      </w:r>
    </w:p>
    <w:p w14:paraId="52F0AC29">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rPr>
      </w:pPr>
      <w:bookmarkStart w:id="125" w:name="_Toc175142492"/>
      <w:bookmarkStart w:id="126" w:name="_Toc133576823"/>
      <w:bookmarkStart w:id="127" w:name="_Toc134537215"/>
      <w:bookmarkStart w:id="128" w:name="_Toc153267108"/>
      <w:r>
        <w:rPr>
          <w:rFonts w:hint="eastAsia" w:asciiTheme="minorEastAsia" w:hAnsiTheme="minorEastAsia" w:eastAsiaTheme="minorEastAsia" w:cstheme="minorEastAsia"/>
          <w:b/>
          <w:color w:val="auto"/>
          <w:sz w:val="24"/>
          <w:szCs w:val="24"/>
        </w:rPr>
        <w:t>19. 移动教务</w:t>
      </w:r>
      <w:bookmarkEnd w:id="125"/>
    </w:p>
    <w:p w14:paraId="204329DD">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功能包括：</w:t>
      </w:r>
    </w:p>
    <w:p w14:paraId="5B8B04E0">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教学管理：校历，培养方案，教学任务，选课，课表，调课申请及审核，蹭课，重修报名，等级考试报名及交费，教学评价，空闲教室，实习考勤，实习日志，实习总结，考试安排，监控安排，成绩录入，学业成绩，成绩分布，学业进展，学情警示，异动申请</w:t>
      </w:r>
      <w:r>
        <w:rPr>
          <w:rFonts w:hint="eastAsia" w:asciiTheme="minorEastAsia" w:hAnsiTheme="minorEastAsia" w:eastAsiaTheme="minorEastAsia" w:cstheme="minorEastAsia"/>
          <w:color w:val="auto"/>
          <w:sz w:val="24"/>
          <w:szCs w:val="24"/>
          <w:lang w:val="en-US" w:eastAsia="zh-CN"/>
        </w:rPr>
        <w:t>及审核</w:t>
      </w:r>
      <w:r>
        <w:rPr>
          <w:rFonts w:hint="eastAsia" w:asciiTheme="minorEastAsia" w:hAnsiTheme="minorEastAsia" w:eastAsiaTheme="minorEastAsia" w:cstheme="minorEastAsia"/>
          <w:color w:val="auto"/>
          <w:sz w:val="24"/>
          <w:szCs w:val="24"/>
        </w:rPr>
        <w:t>，教学工作量，确认教材，教材对账。</w:t>
      </w:r>
    </w:p>
    <w:p w14:paraId="38C61AA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▲(2)教学过程：包括但不限于请假登记，上课签到，课堂表现，课堂练习，课后作业，平时成绩。</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投标时现场提供软件功能演示和厂家参数确认函</w:t>
      </w:r>
      <w:r>
        <w:rPr>
          <w:rFonts w:hint="eastAsia" w:asciiTheme="minorEastAsia" w:hAnsiTheme="minorEastAsia" w:eastAsiaTheme="minorEastAsia" w:cstheme="minorEastAsia"/>
          <w:color w:val="auto"/>
          <w:sz w:val="24"/>
          <w:szCs w:val="24"/>
          <w:lang w:eastAsia="zh-CN"/>
        </w:rPr>
        <w:t>）</w:t>
      </w:r>
    </w:p>
    <w:p w14:paraId="67A83DA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(3)实习管理：包括但不限于实习考勤，实习日志，实习周总结，实习月总结，实习成绩，实习评优等。</w:t>
      </w:r>
    </w:p>
    <w:p w14:paraId="28706160">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(4)系统管理：为师生初始化平台密码，自动开通移动服务，发布问卷调查，问卷调查结果，平台使用情况。</w:t>
      </w:r>
    </w:p>
    <w:p w14:paraId="71432E4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(5)其他服务：作息时间，场馆开放时间，校车时刻表，常用电话，学校资讯；扫码登录，忘记密码，修改个人信息，黑名单。</w:t>
      </w:r>
    </w:p>
    <w:bookmarkEnd w:id="126"/>
    <w:bookmarkEnd w:id="127"/>
    <w:bookmarkEnd w:id="128"/>
    <w:p w14:paraId="56DD4D17">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rPr>
      </w:pPr>
      <w:bookmarkStart w:id="129" w:name="_Toc175142494"/>
      <w:bookmarkStart w:id="130" w:name="_Toc133576821"/>
      <w:bookmarkStart w:id="131" w:name="_Toc153267106"/>
      <w:bookmarkStart w:id="132" w:name="_Toc134537213"/>
      <w:bookmarkStart w:id="133" w:name="_Toc134537216"/>
      <w:bookmarkStart w:id="134" w:name="_Toc133576824"/>
      <w:bookmarkStart w:id="135" w:name="_Toc153267109"/>
      <w:r>
        <w:rPr>
          <w:rFonts w:hint="eastAsia" w:asciiTheme="minorEastAsia" w:hAnsiTheme="minorEastAsia" w:eastAsiaTheme="minorEastAsia" w:cstheme="minorEastAsia"/>
          <w:b/>
          <w:color w:val="auto"/>
          <w:sz w:val="24"/>
          <w:szCs w:val="24"/>
        </w:rPr>
        <w:t>20. 上报数据</w:t>
      </w:r>
      <w:bookmarkEnd w:id="129"/>
      <w:bookmarkEnd w:id="130"/>
      <w:bookmarkEnd w:id="131"/>
      <w:bookmarkEnd w:id="132"/>
    </w:p>
    <w:p w14:paraId="44F606B6">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(1)电子注册</w:t>
      </w:r>
    </w:p>
    <w:p w14:paraId="561D0A18">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确认上报新生。</w:t>
      </w:r>
    </w:p>
    <w:p w14:paraId="0316F80D">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新生电子注册：依据新生电子注册的要求对确认上报新生进行逐一校验，增加、修改新生有关字段信息，将通过校验的新生数据导出。</w:t>
      </w:r>
    </w:p>
    <w:p w14:paraId="0FE1C47F">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在校生电子注册：依据在校生电子注册的要求对在校生进行逐一校验，增加、修改在校生有关字段信息，将通过校验的在校生数据导出。</w:t>
      </w:r>
    </w:p>
    <w:p w14:paraId="03DF7F2F">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学籍异动信息上报：将相应的学籍异动信息导出，毕业生电子注册：将相应的毕业学生信息导出(以DBF格式)。</w:t>
      </w:r>
    </w:p>
    <w:p w14:paraId="0C29425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(2)高基表</w:t>
      </w:r>
    </w:p>
    <w:p w14:paraId="5BB55D9E">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设置上报批次，可具体到学生个人。</w:t>
      </w:r>
    </w:p>
    <w:p w14:paraId="4B96421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自动生成教育部要求上报的各类高基表结构，并自动统计各项数据。</w:t>
      </w:r>
    </w:p>
    <w:p w14:paraId="4A6593E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支持录入、修改、导出数据。例如：</w:t>
      </w:r>
    </w:p>
    <w:p w14:paraId="1326B160">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高基311 普通专科分专业学生数   </w:t>
      </w:r>
    </w:p>
    <w:p w14:paraId="1FD58AB4">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高基312 普通本科分专业学生数</w:t>
      </w:r>
    </w:p>
    <w:p w14:paraId="043A58B2">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高基321 在校生分年龄情况       </w:t>
      </w:r>
    </w:p>
    <w:p w14:paraId="7DBE8DFA">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高基322 招生、在校生来源情况</w:t>
      </w:r>
    </w:p>
    <w:p w14:paraId="2197677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高基331 学生变动情况           </w:t>
      </w:r>
    </w:p>
    <w:p w14:paraId="1D14145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高基332学生休退学的主要原因</w:t>
      </w:r>
    </w:p>
    <w:p w14:paraId="4886BF74">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高基341在校生中其他情况      </w:t>
      </w:r>
    </w:p>
    <w:p w14:paraId="1228EBA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A1在校生中少数民族分族别人数</w:t>
      </w:r>
    </w:p>
    <w:p w14:paraId="29517E01">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rPr>
      </w:pPr>
      <w:bookmarkStart w:id="136" w:name="_Toc175142495"/>
      <w:r>
        <w:rPr>
          <w:rFonts w:hint="eastAsia" w:asciiTheme="minorEastAsia" w:hAnsiTheme="minorEastAsia" w:eastAsiaTheme="minorEastAsia" w:cstheme="minorEastAsia"/>
          <w:b/>
          <w:color w:val="auto"/>
          <w:sz w:val="24"/>
          <w:szCs w:val="24"/>
        </w:rPr>
        <w:t>21. 学生应用</w:t>
      </w:r>
      <w:bookmarkEnd w:id="133"/>
      <w:bookmarkEnd w:id="134"/>
      <w:bookmarkEnd w:id="135"/>
      <w:bookmarkEnd w:id="136"/>
    </w:p>
    <w:p w14:paraId="121FDD4F">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学生应用包括但不限于个人桌面、学生学籍、培养方案、网上选课、教学安排、实践教学、教学评价、课程考试、资格考试、学生成绩、毕业论文。</w:t>
      </w:r>
    </w:p>
    <w:p w14:paraId="54F6D0F3">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rPr>
      </w:pPr>
      <w:bookmarkStart w:id="137" w:name="_Toc133576825"/>
      <w:bookmarkStart w:id="138" w:name="_Toc134537217"/>
      <w:bookmarkStart w:id="139" w:name="_Toc153267110"/>
      <w:bookmarkStart w:id="140" w:name="_Toc175142496"/>
      <w:r>
        <w:rPr>
          <w:rFonts w:hint="eastAsia" w:asciiTheme="minorEastAsia" w:hAnsiTheme="minorEastAsia" w:eastAsiaTheme="minorEastAsia" w:cstheme="minorEastAsia"/>
          <w:b/>
          <w:color w:val="auto"/>
          <w:sz w:val="24"/>
          <w:szCs w:val="24"/>
        </w:rPr>
        <w:t>22. 教师应用</w:t>
      </w:r>
      <w:bookmarkEnd w:id="137"/>
      <w:bookmarkEnd w:id="138"/>
      <w:bookmarkEnd w:id="139"/>
      <w:bookmarkEnd w:id="140"/>
    </w:p>
    <w:p w14:paraId="70A4CBF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教师应用包括但不限于个人桌面、个人信息、教学任务、教学安排、考试安排、毕业设计、成绩录入、教学评价、工作业绩。</w:t>
      </w:r>
    </w:p>
    <w:p w14:paraId="0CDA3093">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rPr>
      </w:pPr>
      <w:bookmarkStart w:id="141" w:name="_Toc133576826"/>
      <w:bookmarkStart w:id="142" w:name="_Toc175142497"/>
      <w:bookmarkStart w:id="143" w:name="_Toc153267111"/>
      <w:bookmarkStart w:id="144" w:name="_Toc134537218"/>
      <w:r>
        <w:rPr>
          <w:rFonts w:hint="eastAsia" w:asciiTheme="minorEastAsia" w:hAnsiTheme="minorEastAsia" w:eastAsiaTheme="minorEastAsia" w:cstheme="minorEastAsia"/>
          <w:b/>
          <w:color w:val="auto"/>
          <w:sz w:val="24"/>
          <w:szCs w:val="24"/>
        </w:rPr>
        <w:t>23. 用户权限</w:t>
      </w:r>
      <w:bookmarkEnd w:id="141"/>
      <w:bookmarkEnd w:id="142"/>
      <w:bookmarkEnd w:id="143"/>
      <w:bookmarkEnd w:id="144"/>
    </w:p>
    <w:p w14:paraId="58597C2A">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包括二级管理员可以灵活地管理用户权限。</w:t>
      </w:r>
    </w:p>
    <w:p w14:paraId="2B8A2B0F">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菜单项对应到角色：为已定义的角色分别赋予相应的菜单项。</w:t>
      </w:r>
    </w:p>
    <w:p w14:paraId="40E85C96">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角色对应到用户：为已定义的用户分别赋予相应角色。</w:t>
      </w:r>
    </w:p>
    <w:p w14:paraId="24678D20">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校区对应到用户、角色：为已定义的用户、角色赋予相应的校区。</w:t>
      </w:r>
    </w:p>
    <w:p w14:paraId="1E0D7D12">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部门对应到用户、角色：为已定义的用户、角色赋予相应的部门。</w:t>
      </w:r>
    </w:p>
    <w:p w14:paraId="042729C4">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承担单位对应到用户、角色：为已定义的用户、角色赋予相应的承担单位。</w:t>
      </w:r>
    </w:p>
    <w:p w14:paraId="0DFD259F">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查看用户权限：按角色或按用户，分别浏览学生、教师与管理人员的权限。</w:t>
      </w:r>
    </w:p>
    <w:p w14:paraId="45A1DDFF">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rPr>
      </w:pPr>
      <w:bookmarkStart w:id="145" w:name="_Toc134537219"/>
      <w:bookmarkStart w:id="146" w:name="_Toc133576827"/>
      <w:bookmarkStart w:id="147" w:name="_Toc175142498"/>
      <w:bookmarkStart w:id="148" w:name="_Toc153267112"/>
      <w:r>
        <w:rPr>
          <w:rFonts w:hint="eastAsia" w:asciiTheme="minorEastAsia" w:hAnsiTheme="minorEastAsia" w:eastAsiaTheme="minorEastAsia" w:cstheme="minorEastAsia"/>
          <w:b/>
          <w:color w:val="auto"/>
          <w:sz w:val="24"/>
          <w:szCs w:val="24"/>
        </w:rPr>
        <w:t>24. 平台维护</w:t>
      </w:r>
      <w:bookmarkEnd w:id="145"/>
      <w:bookmarkEnd w:id="146"/>
      <w:bookmarkEnd w:id="147"/>
      <w:bookmarkEnd w:id="148"/>
    </w:p>
    <w:p w14:paraId="327BDD6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平台维护为平台管理员提供的服务：</w:t>
      </w:r>
    </w:p>
    <w:p w14:paraId="20DE4738">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bookmarkStart w:id="149" w:name="_Toc357438478"/>
      <w:bookmarkStart w:id="150" w:name="_Toc493084916"/>
      <w:bookmarkStart w:id="151" w:name="_Toc298351045"/>
      <w:r>
        <w:rPr>
          <w:rFonts w:hint="eastAsia" w:asciiTheme="minorEastAsia" w:hAnsiTheme="minorEastAsia" w:eastAsiaTheme="minorEastAsia" w:cstheme="minorEastAsia"/>
          <w:color w:val="auto"/>
          <w:sz w:val="24"/>
          <w:szCs w:val="24"/>
        </w:rPr>
        <w:t>信息标准</w:t>
      </w:r>
      <w:bookmarkEnd w:id="149"/>
      <w:bookmarkEnd w:id="150"/>
      <w:r>
        <w:rPr>
          <w:rFonts w:hint="eastAsia" w:asciiTheme="minorEastAsia" w:hAnsiTheme="minorEastAsia" w:eastAsiaTheme="minorEastAsia" w:cstheme="minorEastAsia"/>
          <w:color w:val="auto"/>
          <w:sz w:val="24"/>
          <w:szCs w:val="24"/>
        </w:rPr>
        <w:t>：平台依据《国家教育部教育管理信息化标准》和若干强制性约束封装的标准代码(标识为红色)不可修改或删除；平台管理员可以根据教学管理需要新增、修改或删除其它标准代码。</w:t>
      </w:r>
    </w:p>
    <w:p w14:paraId="58D90EE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bookmarkStart w:id="152" w:name="_Toc298351047"/>
      <w:bookmarkStart w:id="153" w:name="_Toc493084917"/>
      <w:bookmarkStart w:id="154" w:name="_Toc357438479"/>
      <w:r>
        <w:rPr>
          <w:rFonts w:hint="eastAsia" w:asciiTheme="minorEastAsia" w:hAnsiTheme="minorEastAsia" w:eastAsiaTheme="minorEastAsia" w:cstheme="minorEastAsia"/>
          <w:color w:val="auto"/>
          <w:sz w:val="24"/>
          <w:szCs w:val="24"/>
        </w:rPr>
        <w:t>桌面管理</w:t>
      </w:r>
      <w:bookmarkEnd w:id="152"/>
      <w:bookmarkEnd w:id="153"/>
      <w:bookmarkEnd w:id="154"/>
      <w:r>
        <w:rPr>
          <w:rFonts w:hint="eastAsia" w:asciiTheme="minorEastAsia" w:hAnsiTheme="minorEastAsia" w:eastAsiaTheme="minorEastAsia" w:cstheme="minorEastAsia"/>
          <w:color w:val="auto"/>
          <w:sz w:val="24"/>
          <w:szCs w:val="24"/>
        </w:rPr>
        <w:t>：平台管理员可以方便地管理平台桌面：设置校历，校内通知，文档管理，业务处理流程定制，维护教学工作进程。</w:t>
      </w:r>
    </w:p>
    <w:p w14:paraId="1DD78F1E">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bookmarkStart w:id="155" w:name="_Toc493084918"/>
      <w:r>
        <w:rPr>
          <w:rFonts w:hint="eastAsia" w:asciiTheme="minorEastAsia" w:hAnsiTheme="minorEastAsia" w:eastAsiaTheme="minorEastAsia" w:cstheme="minorEastAsia"/>
          <w:color w:val="auto"/>
          <w:sz w:val="24"/>
          <w:szCs w:val="24"/>
        </w:rPr>
        <w:t>接口管理</w:t>
      </w:r>
      <w:bookmarkEnd w:id="155"/>
      <w:r>
        <w:rPr>
          <w:rFonts w:hint="eastAsia" w:asciiTheme="minorEastAsia" w:hAnsiTheme="minorEastAsia" w:eastAsiaTheme="minorEastAsia" w:cstheme="minorEastAsia"/>
          <w:color w:val="auto"/>
          <w:sz w:val="24"/>
          <w:szCs w:val="24"/>
        </w:rPr>
        <w:t>：平台管理员可以方便地管理平台接口：设置提醒消息，设置手机短信网关，设置邮件服务器，论坛管理。</w:t>
      </w:r>
    </w:p>
    <w:p w14:paraId="4DFA44AE">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bookmarkStart w:id="156" w:name="_Toc357438480"/>
      <w:bookmarkStart w:id="157" w:name="_Toc493084919"/>
      <w:r>
        <w:rPr>
          <w:rFonts w:hint="eastAsia" w:asciiTheme="minorEastAsia" w:hAnsiTheme="minorEastAsia" w:eastAsiaTheme="minorEastAsia" w:cstheme="minorEastAsia"/>
          <w:color w:val="auto"/>
          <w:sz w:val="24"/>
          <w:szCs w:val="24"/>
        </w:rPr>
        <w:t>用户管理</w:t>
      </w:r>
      <w:bookmarkEnd w:id="151"/>
      <w:bookmarkEnd w:id="156"/>
      <w:bookmarkEnd w:id="157"/>
      <w:r>
        <w:rPr>
          <w:rFonts w:hint="eastAsia" w:asciiTheme="minorEastAsia" w:hAnsiTheme="minorEastAsia" w:eastAsiaTheme="minorEastAsia" w:cstheme="minorEastAsia"/>
          <w:color w:val="auto"/>
          <w:sz w:val="24"/>
          <w:szCs w:val="24"/>
        </w:rPr>
        <w:t>：平台管理员可以方便地维护用户信息(如启用/禁用)，快速地初始化用户密码为指定密码、关联密码或随机密码，还可设置密码复杂度要求。</w:t>
      </w:r>
    </w:p>
    <w:p w14:paraId="10CAFFBD">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bookmarkStart w:id="158" w:name="_Toc493084920"/>
      <w:r>
        <w:rPr>
          <w:rFonts w:hint="eastAsia" w:asciiTheme="minorEastAsia" w:hAnsiTheme="minorEastAsia" w:eastAsiaTheme="minorEastAsia" w:cstheme="minorEastAsia"/>
          <w:color w:val="auto"/>
          <w:sz w:val="24"/>
          <w:szCs w:val="24"/>
        </w:rPr>
        <w:t>二级授权</w:t>
      </w:r>
      <w:bookmarkEnd w:id="158"/>
      <w:r>
        <w:rPr>
          <w:rFonts w:hint="eastAsia" w:asciiTheme="minorEastAsia" w:hAnsiTheme="minorEastAsia" w:eastAsiaTheme="minorEastAsia" w:cstheme="minorEastAsia"/>
          <w:color w:val="auto"/>
          <w:sz w:val="24"/>
          <w:szCs w:val="24"/>
        </w:rPr>
        <w:t>：</w:t>
      </w:r>
      <w:bookmarkStart w:id="159" w:name="_Toc357438484"/>
      <w:bookmarkStart w:id="160" w:name="_Toc303171589"/>
      <w:r>
        <w:rPr>
          <w:rFonts w:hint="eastAsia" w:asciiTheme="minorEastAsia" w:hAnsiTheme="minorEastAsia" w:eastAsiaTheme="minorEastAsia" w:cstheme="minorEastAsia"/>
          <w:color w:val="auto"/>
          <w:sz w:val="24"/>
          <w:szCs w:val="24"/>
        </w:rPr>
        <w:t>参照教学工作的岗位设置，为管理人员定义若干角色和系统管理员，并为相应系统管理员设置所属角色、功能范围和数据范围。</w:t>
      </w:r>
    </w:p>
    <w:p w14:paraId="16721E39">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bookmarkStart w:id="161" w:name="_Toc493084921"/>
      <w:r>
        <w:rPr>
          <w:rFonts w:hint="eastAsia" w:asciiTheme="minorEastAsia" w:hAnsiTheme="minorEastAsia" w:eastAsiaTheme="minorEastAsia" w:cstheme="minorEastAsia"/>
          <w:color w:val="auto"/>
          <w:sz w:val="24"/>
          <w:szCs w:val="24"/>
        </w:rPr>
        <w:t>访问控制</w:t>
      </w:r>
      <w:bookmarkEnd w:id="161"/>
      <w:r>
        <w:rPr>
          <w:rFonts w:hint="eastAsia" w:asciiTheme="minorEastAsia" w:hAnsiTheme="minorEastAsia" w:eastAsiaTheme="minorEastAsia" w:cstheme="minorEastAsia"/>
          <w:color w:val="auto"/>
          <w:sz w:val="24"/>
          <w:szCs w:val="24"/>
        </w:rPr>
        <w:t>：通过拒绝IP、绑定IP、限制时间、限制用户，平台管理员可以灵活地控制用户访问。</w:t>
      </w:r>
    </w:p>
    <w:p w14:paraId="7C8386F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bookmarkStart w:id="162" w:name="_Toc493084922"/>
      <w:r>
        <w:rPr>
          <w:rFonts w:hint="eastAsia" w:asciiTheme="minorEastAsia" w:hAnsiTheme="minorEastAsia" w:eastAsiaTheme="minorEastAsia" w:cstheme="minorEastAsia"/>
          <w:color w:val="auto"/>
          <w:sz w:val="24"/>
          <w:szCs w:val="24"/>
        </w:rPr>
        <w:t>控制开关</w:t>
      </w:r>
      <w:bookmarkEnd w:id="159"/>
      <w:bookmarkEnd w:id="160"/>
      <w:bookmarkEnd w:id="162"/>
      <w:r>
        <w:rPr>
          <w:rFonts w:hint="eastAsia" w:asciiTheme="minorEastAsia" w:hAnsiTheme="minorEastAsia" w:eastAsiaTheme="minorEastAsia" w:cstheme="minorEastAsia"/>
          <w:color w:val="auto"/>
          <w:sz w:val="24"/>
          <w:szCs w:val="24"/>
        </w:rPr>
        <w:t>：根据管理工作的需要，设置相应控制开关。每个控制开关具有开与关两种状态(默认为关状态)，通过单击对应的两个单选按钮之一，即可开启或关闭相应的控制点。</w:t>
      </w:r>
    </w:p>
    <w:p w14:paraId="7C2E1A9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bookmarkStart w:id="163" w:name="_Toc357438483"/>
      <w:bookmarkStart w:id="164" w:name="_Toc493084923"/>
      <w:bookmarkStart w:id="165" w:name="_Toc357438482"/>
      <w:bookmarkStart w:id="166" w:name="_Toc298351050"/>
      <w:bookmarkStart w:id="167" w:name="_Toc303171588"/>
      <w:bookmarkStart w:id="168" w:name="_Toc298351049"/>
      <w:r>
        <w:rPr>
          <w:rFonts w:hint="eastAsia" w:asciiTheme="minorEastAsia" w:hAnsiTheme="minorEastAsia" w:eastAsiaTheme="minorEastAsia" w:cstheme="minorEastAsia"/>
          <w:color w:val="auto"/>
          <w:sz w:val="24"/>
          <w:szCs w:val="24"/>
        </w:rPr>
        <w:t>控制参数</w:t>
      </w:r>
      <w:bookmarkEnd w:id="163"/>
      <w:bookmarkEnd w:id="164"/>
      <w:r>
        <w:rPr>
          <w:rFonts w:hint="eastAsia" w:asciiTheme="minorEastAsia" w:hAnsiTheme="minorEastAsia" w:eastAsiaTheme="minorEastAsia" w:cstheme="minorEastAsia"/>
          <w:color w:val="auto"/>
          <w:sz w:val="24"/>
          <w:szCs w:val="24"/>
        </w:rPr>
        <w:t>：通过设置各项控制参数，构建一个管理控制平台，保障平台正常运行；通过联接各级管理人员、教职工与学生，协同完成相应教学管理工作。</w:t>
      </w:r>
    </w:p>
    <w:bookmarkEnd w:id="165"/>
    <w:p w14:paraId="5BAB0233">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bookmarkStart w:id="169" w:name="_Toc493084924"/>
      <w:r>
        <w:rPr>
          <w:rFonts w:hint="eastAsia" w:asciiTheme="minorEastAsia" w:hAnsiTheme="minorEastAsia" w:eastAsiaTheme="minorEastAsia" w:cstheme="minorEastAsia"/>
          <w:color w:val="auto"/>
          <w:sz w:val="24"/>
          <w:szCs w:val="24"/>
        </w:rPr>
        <w:t>审批业务流程管理</w:t>
      </w:r>
      <w:bookmarkEnd w:id="169"/>
      <w:r>
        <w:rPr>
          <w:rFonts w:hint="eastAsia" w:asciiTheme="minorEastAsia" w:hAnsiTheme="minorEastAsia" w:eastAsiaTheme="minorEastAsia" w:cstheme="minorEastAsia"/>
          <w:color w:val="auto"/>
          <w:sz w:val="24"/>
          <w:szCs w:val="24"/>
        </w:rPr>
        <w:t>：可设置审核业务流程的状态(启用与禁用，默认为启用状态)，设置流程(步骤序号、步骤名称、角色、是否允许终止、回退方式、是否消息提醒、通知方式、时间范围)，设置分发控制。</w:t>
      </w:r>
    </w:p>
    <w:p w14:paraId="5E6E52FD">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bookmarkStart w:id="170" w:name="_Toc493084925"/>
      <w:r>
        <w:rPr>
          <w:rFonts w:hint="eastAsia" w:asciiTheme="minorEastAsia" w:hAnsiTheme="minorEastAsia" w:eastAsiaTheme="minorEastAsia" w:cstheme="minorEastAsia"/>
          <w:color w:val="auto"/>
          <w:sz w:val="24"/>
          <w:szCs w:val="24"/>
        </w:rPr>
        <w:t>▲标签管理</w:t>
      </w:r>
      <w:bookmarkEnd w:id="170"/>
      <w:r>
        <w:rPr>
          <w:rFonts w:hint="eastAsia" w:asciiTheme="minorEastAsia" w:hAnsiTheme="minorEastAsia" w:eastAsiaTheme="minorEastAsia" w:cstheme="minorEastAsia"/>
          <w:color w:val="auto"/>
          <w:sz w:val="24"/>
          <w:szCs w:val="24"/>
        </w:rPr>
        <w:t>：通过设置标签信息，包括但不限于为学生、教职工、课程等数据增加特殊标识，可灵活、有效的进行个性化管理。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投标时现场提供软件功能演示和厂家参数确认函</w:t>
      </w:r>
      <w:r>
        <w:rPr>
          <w:rFonts w:hint="eastAsia" w:asciiTheme="minorEastAsia" w:hAnsiTheme="minorEastAsia" w:eastAsiaTheme="minorEastAsia" w:cstheme="minorEastAsia"/>
          <w:color w:val="auto"/>
          <w:sz w:val="24"/>
          <w:szCs w:val="24"/>
          <w:lang w:eastAsia="zh-CN"/>
        </w:rPr>
        <w:t>）</w:t>
      </w:r>
    </w:p>
    <w:p w14:paraId="1796D443">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bookmarkStart w:id="171" w:name="_Toc493084926"/>
      <w:r>
        <w:rPr>
          <w:rFonts w:hint="eastAsia" w:asciiTheme="minorEastAsia" w:hAnsiTheme="minorEastAsia" w:eastAsiaTheme="minorEastAsia" w:cstheme="minorEastAsia"/>
          <w:color w:val="auto"/>
          <w:sz w:val="24"/>
          <w:szCs w:val="24"/>
        </w:rPr>
        <w:t>照片管理</w:t>
      </w:r>
      <w:bookmarkEnd w:id="171"/>
      <w:r>
        <w:rPr>
          <w:rFonts w:hint="eastAsia" w:asciiTheme="minorEastAsia" w:hAnsiTheme="minorEastAsia" w:eastAsiaTheme="minorEastAsia" w:cstheme="minorEastAsia"/>
          <w:color w:val="auto"/>
          <w:sz w:val="24"/>
          <w:szCs w:val="24"/>
        </w:rPr>
        <w:t>：</w:t>
      </w:r>
      <w:bookmarkEnd w:id="166"/>
      <w:bookmarkEnd w:id="167"/>
      <w:bookmarkStart w:id="172" w:name="_Toc357438485"/>
      <w:r>
        <w:rPr>
          <w:rFonts w:hint="eastAsia" w:asciiTheme="minorEastAsia" w:hAnsiTheme="minorEastAsia" w:eastAsiaTheme="minorEastAsia" w:cstheme="minorEastAsia"/>
          <w:color w:val="auto"/>
          <w:sz w:val="24"/>
          <w:szCs w:val="24"/>
        </w:rPr>
        <w:t>可批量上传、导出和删除学生照片；可批量上传和删除教职工照片。</w:t>
      </w:r>
    </w:p>
    <w:p w14:paraId="5AB40938">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bookmarkStart w:id="173" w:name="_Toc493084927"/>
      <w:r>
        <w:rPr>
          <w:rFonts w:hint="eastAsia" w:asciiTheme="minorEastAsia" w:hAnsiTheme="minorEastAsia" w:eastAsiaTheme="minorEastAsia" w:cstheme="minorEastAsia"/>
          <w:color w:val="auto"/>
          <w:sz w:val="24"/>
          <w:szCs w:val="24"/>
        </w:rPr>
        <w:t>导入数据</w:t>
      </w:r>
      <w:bookmarkEnd w:id="172"/>
      <w:bookmarkEnd w:id="173"/>
      <w:r>
        <w:rPr>
          <w:rFonts w:hint="eastAsia" w:asciiTheme="minorEastAsia" w:hAnsiTheme="minorEastAsia" w:eastAsiaTheme="minorEastAsia" w:cstheme="minorEastAsia"/>
          <w:color w:val="auto"/>
          <w:sz w:val="24"/>
          <w:szCs w:val="24"/>
        </w:rPr>
        <w:t>：可以灵活、方便地将有关数据批量导入平台，涉及到部门、专业、班级、教职工、教学场地、课程/环节、培养方案、开课计划、学生、学生成绩、教材等信息。</w:t>
      </w:r>
    </w:p>
    <w:p w14:paraId="5CE1736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bookmarkStart w:id="174" w:name="_Toc493084928"/>
      <w:bookmarkStart w:id="175" w:name="_Toc357438486"/>
      <w:r>
        <w:rPr>
          <w:rFonts w:hint="eastAsia" w:asciiTheme="minorEastAsia" w:hAnsiTheme="minorEastAsia" w:eastAsiaTheme="minorEastAsia" w:cstheme="minorEastAsia"/>
          <w:color w:val="auto"/>
          <w:sz w:val="24"/>
          <w:szCs w:val="24"/>
        </w:rPr>
        <w:t>数据库维护</w:t>
      </w:r>
      <w:bookmarkEnd w:id="168"/>
      <w:bookmarkEnd w:id="174"/>
      <w:bookmarkEnd w:id="175"/>
      <w:r>
        <w:rPr>
          <w:rFonts w:hint="eastAsia" w:asciiTheme="minorEastAsia" w:hAnsiTheme="minorEastAsia" w:eastAsiaTheme="minorEastAsia" w:cstheme="minorEastAsia"/>
          <w:color w:val="auto"/>
          <w:sz w:val="24"/>
          <w:szCs w:val="24"/>
        </w:rPr>
        <w:t>：创建数据库备份；管理数据库维护计划：修改自动备份频率(含间隔天数与备份时间)，修改自动删除旧数据库备份的早于天数，修改本地备份文件与远程备份文件的存放路径。</w:t>
      </w:r>
    </w:p>
    <w:p w14:paraId="59DEE45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bookmarkStart w:id="176" w:name="_Toc298351051"/>
      <w:bookmarkStart w:id="177" w:name="_Toc493084929"/>
      <w:bookmarkStart w:id="178" w:name="_Toc357438487"/>
      <w:r>
        <w:rPr>
          <w:rFonts w:hint="eastAsia" w:asciiTheme="minorEastAsia" w:hAnsiTheme="minorEastAsia" w:eastAsiaTheme="minorEastAsia" w:cstheme="minorEastAsia"/>
          <w:color w:val="auto"/>
          <w:sz w:val="24"/>
          <w:szCs w:val="24"/>
        </w:rPr>
        <w:t>平台日志</w:t>
      </w:r>
      <w:bookmarkEnd w:id="176"/>
      <w:bookmarkEnd w:id="177"/>
      <w:bookmarkEnd w:id="178"/>
      <w:r>
        <w:rPr>
          <w:rFonts w:hint="eastAsia" w:asciiTheme="minorEastAsia" w:hAnsiTheme="minorEastAsia" w:eastAsiaTheme="minorEastAsia" w:cstheme="minorEastAsia"/>
          <w:color w:val="auto"/>
          <w:sz w:val="24"/>
          <w:szCs w:val="24"/>
        </w:rPr>
        <w:t>：平台管理员可以查看用户操作日志、数据操作日志、在线消息发送日志、在线消息接收日志、在线用户列表。</w:t>
      </w:r>
    </w:p>
    <w:p w14:paraId="35F55B00">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rPr>
      </w:pPr>
      <w:bookmarkStart w:id="179" w:name="_Toc153267114"/>
      <w:bookmarkStart w:id="180" w:name="_Toc175142499"/>
      <w:r>
        <w:rPr>
          <w:rFonts w:hint="eastAsia" w:asciiTheme="minorEastAsia" w:hAnsiTheme="minorEastAsia" w:eastAsiaTheme="minorEastAsia" w:cstheme="minorEastAsia"/>
          <w:b/>
          <w:color w:val="auto"/>
          <w:sz w:val="24"/>
          <w:szCs w:val="24"/>
        </w:rPr>
        <w:t>25. 客户服务平台</w:t>
      </w:r>
      <w:bookmarkEnd w:id="179"/>
      <w:bookmarkEnd w:id="180"/>
    </w:p>
    <w:p w14:paraId="58491864">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支持依托平台进行多应用服务器的配置与维护。</w:t>
      </w:r>
    </w:p>
    <w:p w14:paraId="346F76C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支持自动检测到已发布的更新包并自动下载到采购方的版本控制服务器。</w:t>
      </w:r>
    </w:p>
    <w:p w14:paraId="1A917FF2">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支持通过平台进行更新包更新，所有的应用服务器同步更新程序文件，更新内容即时生效。</w:t>
      </w:r>
    </w:p>
    <w:p w14:paraId="11E1EB36">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支持智能反馈更新日志,并记录更新全过程。</w:t>
      </w:r>
    </w:p>
    <w:p w14:paraId="58AA0A8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bookmarkStart w:id="181" w:name="_Toc175142500"/>
      <w:r>
        <w:rPr>
          <w:rFonts w:hint="eastAsia" w:asciiTheme="minorEastAsia" w:hAnsiTheme="minorEastAsia" w:eastAsiaTheme="minorEastAsia" w:cstheme="minorEastAsia"/>
          <w:color w:val="auto"/>
          <w:sz w:val="24"/>
          <w:szCs w:val="24"/>
        </w:rPr>
        <w:t>▲支持包括但不限于对用户登录、活跃用户、系统功能使用情况、功能访问排行等信息进行分析，并能提供相应的图表。</w:t>
      </w:r>
      <w:bookmarkEnd w:id="181"/>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投标时现场提供软件功能演示和厂家参数确认函</w:t>
      </w:r>
      <w:r>
        <w:rPr>
          <w:rFonts w:hint="eastAsia" w:asciiTheme="minorEastAsia" w:hAnsiTheme="minorEastAsia" w:eastAsiaTheme="minorEastAsia" w:cstheme="minorEastAsia"/>
          <w:color w:val="auto"/>
          <w:sz w:val="24"/>
          <w:szCs w:val="24"/>
          <w:lang w:eastAsia="zh-CN"/>
        </w:rPr>
        <w:t>）</w:t>
      </w:r>
    </w:p>
    <w:p w14:paraId="5C38A16C">
      <w:pPr>
        <w:numPr>
          <w:ilvl w:val="-1"/>
          <w:numId w:val="0"/>
        </w:num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商务要求</w:t>
      </w:r>
    </w:p>
    <w:p w14:paraId="68356A18">
      <w:pPr>
        <w:numPr>
          <w:ilvl w:val="-1"/>
          <w:numId w:val="0"/>
        </w:numPr>
        <w:adjustRightInd w:val="0"/>
        <w:snapToGrid w:val="0"/>
        <w:spacing w:line="360" w:lineRule="auto"/>
        <w:ind w:firstLine="0" w:firstLineChars="0"/>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(1) 付款时间、方式及条件（以实际签署合同为准）：合同签订后10个工作日内支付67%预付款，项目验收合格后支付尾款。</w:t>
      </w:r>
    </w:p>
    <w:p w14:paraId="6EA0DDA5">
      <w:pPr>
        <w:numPr>
          <w:ilvl w:val="-1"/>
          <w:numId w:val="0"/>
        </w:numPr>
        <w:adjustRightInd w:val="0"/>
        <w:snapToGrid w:val="0"/>
        <w:spacing w:line="360" w:lineRule="auto"/>
        <w:ind w:firstLine="0" w:firstLineChars="0"/>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(2) 质保要求：3年（自验收通过之日算起）。质保期内，提供7*24小时电话服务，如需现场处理在1小时内到达现场。故障处理原则上不能超过3小时。如3小时内无法处理，则需处具书面说明，报采购人备案。合同的3%作为履约保证金。履约保证金形式：支票、汇票、本票或者金融机构、担保机构出具的保函等非现金形式。</w:t>
      </w:r>
    </w:p>
    <w:p w14:paraId="77C535B8">
      <w:pPr>
        <w:numPr>
          <w:ilvl w:val="-1"/>
          <w:numId w:val="0"/>
        </w:numPr>
        <w:adjustRightInd w:val="0"/>
        <w:snapToGrid w:val="0"/>
        <w:spacing w:line="360" w:lineRule="auto"/>
        <w:ind w:firstLine="0" w:firstLineChars="0"/>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(3) 验收要求</w:t>
      </w:r>
    </w:p>
    <w:p w14:paraId="6B64AFA2">
      <w:pPr>
        <w:numPr>
          <w:ilvl w:val="-1"/>
          <w:numId w:val="0"/>
        </w:numPr>
        <w:adjustRightInd w:val="0"/>
        <w:snapToGrid w:val="0"/>
        <w:spacing w:line="360" w:lineRule="auto"/>
        <w:ind w:firstLine="0" w:firstLineChars="0"/>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1）按照国家有关标准和招标文件的规定由采购人或委托第三方机构进行验收，由成交方承担验收费用。</w:t>
      </w:r>
    </w:p>
    <w:p w14:paraId="077048FB">
      <w:pPr>
        <w:numPr>
          <w:ilvl w:val="-1"/>
          <w:numId w:val="0"/>
        </w:numPr>
        <w:adjustRightInd w:val="0"/>
        <w:snapToGrid w:val="0"/>
        <w:spacing w:line="360" w:lineRule="auto"/>
        <w:ind w:firstLine="0" w:firstLineChars="0"/>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2）验收过程中产生纠纷的，采购人认为需要检验机构进行检验的，由成交方承担检验费用。</w:t>
      </w:r>
    </w:p>
    <w:p w14:paraId="30221FC6">
      <w:pPr>
        <w:numPr>
          <w:ilvl w:val="-1"/>
          <w:numId w:val="0"/>
        </w:numPr>
        <w:adjustRightInd w:val="0"/>
        <w:snapToGrid w:val="0"/>
        <w:spacing w:line="360" w:lineRule="auto"/>
        <w:ind w:firstLine="0" w:firstLineChars="0"/>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3）供应商应保证货物是全新、未使用过、通过合法渠道获得，并完全符合规定的质量、规格和性能的要求。</w:t>
      </w:r>
    </w:p>
    <w:p w14:paraId="77A9FF96">
      <w:pPr>
        <w:numPr>
          <w:ilvl w:val="-1"/>
          <w:numId w:val="0"/>
        </w:numPr>
        <w:adjustRightInd w:val="0"/>
        <w:snapToGrid w:val="0"/>
        <w:spacing w:line="360" w:lineRule="auto"/>
        <w:ind w:firstLine="0" w:firstLineChars="0"/>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4）项目验收不合格，由成交供应商返工直至合格，有关返工、再行验收以及给采购人造成损失等费用由成交供应商承担。</w:t>
      </w:r>
    </w:p>
    <w:p w14:paraId="4522293D">
      <w:pPr>
        <w:adjustRightInd w:val="0"/>
        <w:snapToGrid w:val="0"/>
        <w:spacing w:line="360" w:lineRule="auto"/>
        <w:ind w:firstLine="420" w:firstLineChars="200"/>
        <w:rPr>
          <w:rFonts w:hint="eastAsia" w:ascii="宋体" w:hAnsi="宋体" w:eastAsia="宋体"/>
          <w:color w:val="auto"/>
        </w:rPr>
      </w:pPr>
    </w:p>
    <w:p w14:paraId="089ABA33">
      <w:pPr>
        <w:rPr>
          <w:rFonts w:hint="eastAsia" w:ascii="宋体" w:hAnsi="宋体"/>
          <w:b/>
          <w:kern w:val="0"/>
          <w:sz w:val="32"/>
        </w:rPr>
      </w:pPr>
    </w:p>
    <w:p w14:paraId="18EF2929">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jc w:val="center"/>
        <w:rPr>
          <w:rFonts w:ascii="宋体" w:hAnsi="宋体"/>
          <w:b/>
          <w:kern w:val="0"/>
          <w:sz w:val="32"/>
        </w:rPr>
      </w:pPr>
      <w:r>
        <w:rPr>
          <w:rFonts w:hint="eastAsia" w:ascii="宋体" w:hAnsi="宋体"/>
          <w:b/>
          <w:kern w:val="0"/>
          <w:sz w:val="32"/>
        </w:rPr>
        <w:t>第三部分供应商须知</w:t>
      </w:r>
    </w:p>
    <w:p w14:paraId="7CE4FC63">
      <w:pPr>
        <w:adjustRightInd w:val="0"/>
        <w:snapToGrid w:val="0"/>
        <w:spacing w:line="300" w:lineRule="auto"/>
        <w:ind w:firstLine="480" w:firstLineChars="200"/>
        <w:rPr>
          <w:rFonts w:ascii="宋体"/>
          <w:kern w:val="0"/>
          <w:sz w:val="24"/>
        </w:rPr>
      </w:pPr>
      <w:r>
        <w:rPr>
          <w:rFonts w:hint="eastAsia" w:ascii="宋体"/>
          <w:kern w:val="0"/>
          <w:sz w:val="24"/>
        </w:rPr>
        <w:t>一、说明</w:t>
      </w:r>
    </w:p>
    <w:p w14:paraId="56358EA5">
      <w:pPr>
        <w:adjustRightInd w:val="0"/>
        <w:snapToGrid w:val="0"/>
        <w:spacing w:line="300" w:lineRule="auto"/>
        <w:ind w:firstLine="588" w:firstLineChars="245"/>
        <w:rPr>
          <w:rFonts w:ascii="宋体"/>
          <w:kern w:val="0"/>
          <w:sz w:val="24"/>
        </w:rPr>
      </w:pPr>
      <w:r>
        <w:rPr>
          <w:rFonts w:hint="eastAsia" w:ascii="宋体"/>
          <w:kern w:val="0"/>
          <w:sz w:val="24"/>
        </w:rPr>
        <w:t>1、本次政府采购是按照《中华人民共和国政府采购法》和财政部财库〔2014〕214号印发《政府采购竞争性磋商采购方式管理暂行办法》组织和实施。无论过程中的做法和结果如何，竞争性磋商供应商自行承担所有与参加竞争性磋商有关的全部费用。</w:t>
      </w:r>
    </w:p>
    <w:p w14:paraId="3DE5F44E">
      <w:pPr>
        <w:adjustRightInd w:val="0"/>
        <w:snapToGrid w:val="0"/>
        <w:spacing w:line="300" w:lineRule="auto"/>
        <w:ind w:firstLine="588" w:firstLineChars="245"/>
        <w:rPr>
          <w:rFonts w:ascii="宋体"/>
          <w:kern w:val="0"/>
          <w:sz w:val="24"/>
        </w:rPr>
      </w:pPr>
      <w:r>
        <w:rPr>
          <w:rFonts w:hint="eastAsia" w:ascii="宋体"/>
          <w:kern w:val="0"/>
          <w:sz w:val="24"/>
        </w:rPr>
        <w:t>2、合格的供应商</w:t>
      </w:r>
    </w:p>
    <w:p w14:paraId="3630BE45">
      <w:pPr>
        <w:adjustRightInd w:val="0"/>
        <w:snapToGrid w:val="0"/>
        <w:spacing w:line="300" w:lineRule="auto"/>
        <w:ind w:firstLine="588" w:firstLineChars="245"/>
        <w:rPr>
          <w:rFonts w:ascii="宋体"/>
          <w:kern w:val="0"/>
          <w:sz w:val="24"/>
        </w:rPr>
      </w:pPr>
      <w:r>
        <w:rPr>
          <w:rFonts w:hint="eastAsia" w:ascii="宋体"/>
          <w:kern w:val="0"/>
          <w:sz w:val="24"/>
        </w:rPr>
        <w:t>2.1是响应磋商文件，参加竞争性磋商竞争，具备竞争性磋商条件的中华人民共和国独立法人或其他组织，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且有能力提供竞争性磋商货物及服务，并通过评审委员会审核的制造厂商、供货商或代理商，均为合格的供应商。</w:t>
      </w:r>
    </w:p>
    <w:p w14:paraId="62D18359">
      <w:pPr>
        <w:adjustRightInd w:val="0"/>
        <w:snapToGrid w:val="0"/>
        <w:spacing w:line="300" w:lineRule="auto"/>
        <w:ind w:firstLine="588" w:firstLineChars="245"/>
        <w:rPr>
          <w:rFonts w:ascii="宋体"/>
          <w:kern w:val="0"/>
          <w:sz w:val="24"/>
        </w:rPr>
      </w:pPr>
      <w:r>
        <w:rPr>
          <w:rFonts w:hint="eastAsia" w:ascii="宋体" w:hAnsi="宋体" w:cs="仿宋"/>
          <w:sz w:val="24"/>
        </w:rPr>
        <w:t>补充说明：根据《政府采购法实施条例》及有关释义,</w:t>
      </w:r>
      <w:r>
        <w:rPr>
          <w:rFonts w:hint="eastAsia" w:ascii="宋体"/>
          <w:kern w:val="0"/>
          <w:sz w:val="24"/>
          <w:lang w:val="zh-TW"/>
        </w:rPr>
        <w:t>如企业为银行、保险、石油石化、电力、电信运营商等有行业特殊情况的，其分支机构可参与投标。</w:t>
      </w:r>
    </w:p>
    <w:p w14:paraId="1CD49C72">
      <w:pPr>
        <w:spacing w:line="360" w:lineRule="exact"/>
        <w:ind w:firstLine="480" w:firstLineChars="200"/>
        <w:rPr>
          <w:rFonts w:ascii="宋体" w:hAnsi="宋体"/>
          <w:sz w:val="24"/>
        </w:rPr>
      </w:pPr>
      <w:r>
        <w:rPr>
          <w:rFonts w:hint="eastAsia" w:ascii="宋体"/>
          <w:kern w:val="0"/>
          <w:sz w:val="24"/>
        </w:rPr>
        <w:t>2.2</w:t>
      </w:r>
      <w:r>
        <w:rPr>
          <w:rFonts w:hint="eastAsia" w:ascii="宋体" w:hAnsi="宋体"/>
          <w:sz w:val="24"/>
        </w:rPr>
        <w:t>如项目允许，</w:t>
      </w:r>
      <w:r>
        <w:rPr>
          <w:rFonts w:ascii="宋体" w:hAnsi="宋体"/>
          <w:sz w:val="24"/>
        </w:rPr>
        <w:t>两个以上的自然人、法人或者其他组织可以组成一个联合体，以一个供应商的身份共同参加政府采购。以联合体形式进行政府采购的，参加联合体的供应商均应当具备</w:t>
      </w:r>
      <w:r>
        <w:rPr>
          <w:rFonts w:hint="eastAsia" w:ascii="宋体" w:hAnsi="宋体"/>
          <w:sz w:val="24"/>
        </w:rPr>
        <w:t>《</w:t>
      </w:r>
      <w:r>
        <w:rPr>
          <w:rFonts w:ascii="宋体" w:hAnsi="宋体"/>
          <w:bCs/>
          <w:sz w:val="24"/>
        </w:rPr>
        <w:t>中华人民共和国政府采购法</w:t>
      </w:r>
      <w:r>
        <w:rPr>
          <w:rFonts w:hint="eastAsia" w:ascii="宋体" w:hAnsi="宋体"/>
          <w:bCs/>
          <w:sz w:val="24"/>
        </w:rPr>
        <w:t>》</w:t>
      </w:r>
      <w:r>
        <w:rPr>
          <w:rFonts w:ascii="宋体" w:hAnsi="宋体"/>
          <w:sz w:val="24"/>
        </w:rPr>
        <w:t>第二十二条规定的条件，</w:t>
      </w:r>
      <w:r>
        <w:rPr>
          <w:rFonts w:hint="eastAsia" w:ascii="宋体" w:hAnsi="宋体"/>
          <w:sz w:val="24"/>
        </w:rPr>
        <w:t>联合体各方之间应当签订共同参与</w:t>
      </w:r>
      <w:r>
        <w:rPr>
          <w:rFonts w:hint="eastAsia" w:ascii="宋体"/>
          <w:kern w:val="0"/>
          <w:sz w:val="24"/>
        </w:rPr>
        <w:t>竞争性磋商</w:t>
      </w:r>
      <w:r>
        <w:rPr>
          <w:rFonts w:hint="eastAsia" w:ascii="宋体" w:hAnsi="宋体"/>
          <w:sz w:val="24"/>
        </w:rPr>
        <w:t>协议，明确约定联合体各方承担的工作和相应的责任，并将共同参与</w:t>
      </w:r>
      <w:r>
        <w:rPr>
          <w:rFonts w:hint="eastAsia" w:ascii="宋体"/>
          <w:kern w:val="0"/>
          <w:sz w:val="24"/>
        </w:rPr>
        <w:t>竞争性磋商</w:t>
      </w:r>
      <w:r>
        <w:rPr>
          <w:rFonts w:hint="eastAsia" w:ascii="宋体" w:hAnsi="宋体"/>
          <w:sz w:val="24"/>
        </w:rPr>
        <w:t>协议连同</w:t>
      </w:r>
      <w:r>
        <w:rPr>
          <w:rFonts w:hint="eastAsia" w:ascii="宋体"/>
          <w:kern w:val="0"/>
          <w:sz w:val="24"/>
        </w:rPr>
        <w:t>响应文件</w:t>
      </w:r>
      <w:r>
        <w:rPr>
          <w:rFonts w:hint="eastAsia" w:ascii="宋体" w:hAnsi="宋体"/>
          <w:sz w:val="24"/>
        </w:rPr>
        <w:t>一并提交采购单位。联合体各方签订共同参与</w:t>
      </w:r>
      <w:r>
        <w:rPr>
          <w:rFonts w:hint="eastAsia" w:ascii="宋体"/>
          <w:kern w:val="0"/>
          <w:sz w:val="24"/>
        </w:rPr>
        <w:t>竞争性磋商</w:t>
      </w:r>
      <w:r>
        <w:rPr>
          <w:rFonts w:hint="eastAsia" w:ascii="宋体" w:hAnsi="宋体"/>
          <w:sz w:val="24"/>
        </w:rPr>
        <w:t>协议后，不得再以自己名义单独在同一合同项下参与采购活动，也不得组成新的联合体参加同一合同项下参与采购活动。</w:t>
      </w:r>
      <w:r>
        <w:rPr>
          <w:rFonts w:ascii="宋体" w:hAnsi="宋体"/>
          <w:sz w:val="24"/>
        </w:rPr>
        <w:t>联合体各方应当共同与采购人签订采购合同，就采购合同约定的事项对采购人承担连带责任。</w:t>
      </w:r>
    </w:p>
    <w:p w14:paraId="00D66414">
      <w:pPr>
        <w:adjustRightInd w:val="0"/>
        <w:snapToGrid w:val="0"/>
        <w:spacing w:line="300" w:lineRule="auto"/>
        <w:ind w:firstLine="588" w:firstLineChars="245"/>
        <w:jc w:val="left"/>
        <w:rPr>
          <w:rFonts w:ascii="宋体"/>
          <w:kern w:val="0"/>
          <w:sz w:val="24"/>
        </w:rPr>
      </w:pPr>
      <w:r>
        <w:rPr>
          <w:rFonts w:ascii="宋体" w:hAnsi="宋体"/>
          <w:sz w:val="24"/>
        </w:rPr>
        <w:t>联合体中有同类资质的供应商按照联合体分工承担相同工作的，应当按照资质等级较低的供应商确定资质等级。以联合体形式参加政府采购活动的，联合体各方不得再单独参加或者与其他供应商另外组成联合体参加同一合同项下的政府采购活动。</w:t>
      </w:r>
    </w:p>
    <w:p w14:paraId="17429A4E">
      <w:pPr>
        <w:adjustRightInd w:val="0"/>
        <w:snapToGrid w:val="0"/>
        <w:spacing w:line="300" w:lineRule="auto"/>
        <w:ind w:firstLine="588" w:firstLineChars="245"/>
        <w:rPr>
          <w:rFonts w:ascii="宋体"/>
          <w:kern w:val="0"/>
          <w:sz w:val="24"/>
        </w:rPr>
      </w:pPr>
      <w:r>
        <w:rPr>
          <w:rFonts w:hint="eastAsia" w:ascii="宋体"/>
          <w:kern w:val="0"/>
          <w:sz w:val="24"/>
        </w:rPr>
        <w:t>2.3竞争性磋商供应商应遵守《中华人民共和国政府采购法》和《政府采购竞争性磋商采购方式管理暂行办法》有关的法律。</w:t>
      </w:r>
    </w:p>
    <w:p w14:paraId="2D28C073">
      <w:pPr>
        <w:adjustRightInd w:val="0"/>
        <w:snapToGrid w:val="0"/>
        <w:spacing w:line="300" w:lineRule="auto"/>
        <w:ind w:firstLine="588" w:firstLineChars="245"/>
        <w:rPr>
          <w:rFonts w:ascii="宋体"/>
          <w:kern w:val="0"/>
          <w:sz w:val="24"/>
        </w:rPr>
      </w:pPr>
      <w:r>
        <w:rPr>
          <w:rFonts w:hint="eastAsia" w:ascii="宋体"/>
          <w:kern w:val="0"/>
          <w:sz w:val="24"/>
        </w:rPr>
        <w:t>2.4合同中提供的所有货物及其辅助服务，其来源均应符合响应文件要求而提供的设备、仪表、工具、备件、图纸和其他材料，本合同的支付也仅限于这些货物和服务。</w:t>
      </w:r>
    </w:p>
    <w:p w14:paraId="49A03CA7">
      <w:pPr>
        <w:spacing w:line="360" w:lineRule="exact"/>
        <w:ind w:firstLine="480" w:firstLineChars="200"/>
        <w:rPr>
          <w:rFonts w:ascii="宋体"/>
          <w:kern w:val="0"/>
          <w:sz w:val="24"/>
        </w:rPr>
      </w:pPr>
      <w:r>
        <w:rPr>
          <w:rFonts w:hint="eastAsia" w:ascii="宋体"/>
          <w:kern w:val="0"/>
          <w:sz w:val="24"/>
        </w:rPr>
        <w:t>2.5关于小微企业、监狱企业、残疾人福利性单位、强制采购节能产品、信息安全产品和优先采购环境标志产品、绿色产品的要求参与政府采购项目的政策优惠条件及要求如下：</w:t>
      </w:r>
    </w:p>
    <w:p w14:paraId="59AB7F2D">
      <w:pPr>
        <w:spacing w:line="360" w:lineRule="exact"/>
        <w:ind w:firstLine="480" w:firstLineChars="200"/>
        <w:rPr>
          <w:rFonts w:ascii="宋体"/>
          <w:kern w:val="0"/>
          <w:sz w:val="24"/>
        </w:rPr>
      </w:pPr>
      <w:r>
        <w:rPr>
          <w:rFonts w:hint="eastAsia" w:ascii="宋体"/>
          <w:kern w:val="0"/>
          <w:sz w:val="24"/>
        </w:rPr>
        <w:t>2.5.1、政策优惠条件及要求:根据财政部、工业和信息化部关于《政府采购促进中小企业发展管理办法》（财库【2020】46号）和《进一步加大政府采购支持中小企业力度》财库〔2022〕19号的要求，政府采购项目的政策优惠条件及要求如下。</w:t>
      </w:r>
    </w:p>
    <w:p w14:paraId="4E7BF912">
      <w:pPr>
        <w:spacing w:line="360" w:lineRule="exact"/>
        <w:ind w:firstLine="480" w:firstLineChars="200"/>
        <w:rPr>
          <w:rFonts w:ascii="宋体"/>
          <w:kern w:val="0"/>
          <w:sz w:val="24"/>
        </w:rPr>
      </w:pPr>
      <w:r>
        <w:rPr>
          <w:rFonts w:hint="eastAsia" w:ascii="宋体"/>
          <w:kern w:val="0"/>
          <w:sz w:val="24"/>
        </w:rPr>
        <w:t>2.5.1.1、该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3D1E1141">
      <w:pPr>
        <w:spacing w:line="360" w:lineRule="exact"/>
        <w:ind w:firstLine="480" w:firstLineChars="200"/>
        <w:rPr>
          <w:rFonts w:ascii="宋体"/>
          <w:kern w:val="0"/>
          <w:sz w:val="24"/>
        </w:rPr>
      </w:pPr>
      <w:r>
        <w:rPr>
          <w:rFonts w:hint="eastAsia" w:ascii="宋体"/>
          <w:kern w:val="0"/>
          <w:sz w:val="24"/>
        </w:rPr>
        <w:t>符合中小企业划分标准的个体工商户，在政府采购活动中视同中小企业。</w:t>
      </w:r>
    </w:p>
    <w:p w14:paraId="58401A82">
      <w:pPr>
        <w:spacing w:line="360" w:lineRule="exact"/>
        <w:ind w:firstLine="480" w:firstLineChars="200"/>
        <w:rPr>
          <w:rFonts w:ascii="宋体"/>
          <w:kern w:val="0"/>
          <w:sz w:val="24"/>
        </w:rPr>
      </w:pPr>
      <w:r>
        <w:rPr>
          <w:rFonts w:hint="eastAsia" w:ascii="宋体"/>
          <w:kern w:val="0"/>
          <w:sz w:val="24"/>
        </w:rPr>
        <w:t>2.5.1.2、在政府采购活动中，供应商提供的货物、工程或者服务符合下列情形的，享受办法规定的中小企业扶持政策：</w:t>
      </w:r>
    </w:p>
    <w:p w14:paraId="35E416C3">
      <w:pPr>
        <w:spacing w:line="360" w:lineRule="exact"/>
        <w:ind w:firstLine="480" w:firstLineChars="200"/>
        <w:rPr>
          <w:rFonts w:ascii="宋体"/>
          <w:kern w:val="0"/>
          <w:sz w:val="24"/>
        </w:rPr>
      </w:pPr>
      <w:r>
        <w:rPr>
          <w:rFonts w:hint="eastAsia" w:ascii="宋体"/>
          <w:kern w:val="0"/>
          <w:sz w:val="24"/>
        </w:rPr>
        <w:t>2.5.1.2.1在货物采购项目中，货物由中小企业制造，即货物由中小企业生产且使用该中小企业商号或者注册商标；</w:t>
      </w:r>
    </w:p>
    <w:p w14:paraId="263B2E98">
      <w:pPr>
        <w:spacing w:line="360" w:lineRule="exact"/>
        <w:ind w:firstLine="480" w:firstLineChars="200"/>
        <w:rPr>
          <w:rFonts w:ascii="宋体"/>
          <w:kern w:val="0"/>
          <w:sz w:val="24"/>
        </w:rPr>
      </w:pPr>
      <w:r>
        <w:rPr>
          <w:rFonts w:hint="eastAsia" w:ascii="宋体"/>
          <w:kern w:val="0"/>
          <w:sz w:val="24"/>
        </w:rPr>
        <w:t>2.5.1.2.2在工程采购项目中，工程由中小企业承建，即工程施工单位为中小企业；</w:t>
      </w:r>
    </w:p>
    <w:p w14:paraId="4BA07E08">
      <w:pPr>
        <w:spacing w:line="360" w:lineRule="exact"/>
        <w:ind w:firstLine="480" w:firstLineChars="200"/>
        <w:rPr>
          <w:rFonts w:ascii="宋体"/>
          <w:kern w:val="0"/>
          <w:sz w:val="24"/>
        </w:rPr>
      </w:pPr>
      <w:r>
        <w:rPr>
          <w:rFonts w:hint="eastAsia" w:ascii="宋体"/>
          <w:kern w:val="0"/>
          <w:sz w:val="24"/>
        </w:rPr>
        <w:t>2.5.1.2.3在服务采购项目中，服务由中小企业承接，即提供服务的人员为中小企业依照《中华人民共和国劳动合同法》订立劳动合同的从业人员。</w:t>
      </w:r>
    </w:p>
    <w:p w14:paraId="3B1BFC06">
      <w:pPr>
        <w:spacing w:line="360" w:lineRule="exact"/>
        <w:ind w:firstLine="480" w:firstLineChars="200"/>
        <w:rPr>
          <w:rFonts w:ascii="宋体"/>
          <w:kern w:val="0"/>
          <w:sz w:val="24"/>
        </w:rPr>
      </w:pPr>
      <w:r>
        <w:rPr>
          <w:rFonts w:hint="eastAsia" w:ascii="宋体"/>
          <w:kern w:val="0"/>
          <w:sz w:val="24"/>
        </w:rPr>
        <w:t>在货物采购项目中，供应商提供的货物既有中小企业制造货物，也有大型企业制造货物的，不享受本办法规定的中小企业扶持政策。</w:t>
      </w:r>
    </w:p>
    <w:p w14:paraId="5B3AF5DD">
      <w:pPr>
        <w:spacing w:line="360" w:lineRule="exact"/>
        <w:ind w:firstLine="480" w:firstLineChars="200"/>
        <w:rPr>
          <w:rFonts w:ascii="宋体"/>
          <w:kern w:val="0"/>
          <w:sz w:val="24"/>
        </w:rPr>
      </w:pPr>
      <w:r>
        <w:rPr>
          <w:rFonts w:hint="eastAsia" w:ascii="宋体"/>
          <w:kern w:val="0"/>
          <w:sz w:val="24"/>
        </w:rPr>
        <w:t>以联合体形式参加政府采购活动，联合体各方均为中小企业的，联合体视同中小企业。其中，联合体各方均为小微企业的，联合体视同小微企业。</w:t>
      </w:r>
    </w:p>
    <w:p w14:paraId="1E3044B6">
      <w:pPr>
        <w:spacing w:line="360" w:lineRule="exact"/>
        <w:ind w:firstLine="480" w:firstLineChars="200"/>
        <w:rPr>
          <w:rFonts w:ascii="宋体"/>
          <w:kern w:val="0"/>
          <w:sz w:val="24"/>
        </w:rPr>
      </w:pPr>
      <w:r>
        <w:rPr>
          <w:rFonts w:hint="eastAsia" w:ascii="宋体"/>
          <w:kern w:val="0"/>
          <w:sz w:val="24"/>
        </w:rPr>
        <w:t>2.5.1.3、对于经主管预算单位统筹后未预留份额专门面向中小企业采购的采购项目，以及预留份额项目中的非预留部分采购包，对符合本办法规定的小微企业报价给予10%的扣除，用扣除后的价格参加评审。</w:t>
      </w:r>
    </w:p>
    <w:p w14:paraId="67562D15">
      <w:pPr>
        <w:spacing w:line="360" w:lineRule="exact"/>
        <w:ind w:firstLine="480" w:firstLineChars="200"/>
        <w:rPr>
          <w:rFonts w:ascii="宋体"/>
          <w:kern w:val="0"/>
          <w:sz w:val="24"/>
        </w:rPr>
      </w:pPr>
      <w:r>
        <w:rPr>
          <w:rFonts w:hint="eastAsia" w:ascii="宋体"/>
          <w:kern w:val="0"/>
          <w:sz w:val="24"/>
        </w:rPr>
        <w:t>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4%的扣除，用扣除后的价格参加评审。</w:t>
      </w:r>
    </w:p>
    <w:p w14:paraId="58C34BD4">
      <w:pPr>
        <w:spacing w:line="360" w:lineRule="exact"/>
        <w:ind w:firstLine="480" w:firstLineChars="200"/>
        <w:rPr>
          <w:rFonts w:ascii="宋体"/>
          <w:kern w:val="0"/>
          <w:sz w:val="24"/>
        </w:rPr>
      </w:pPr>
      <w:r>
        <w:rPr>
          <w:rFonts w:hint="eastAsia" w:ascii="宋体"/>
          <w:kern w:val="0"/>
          <w:sz w:val="24"/>
        </w:rPr>
        <w:t>组成联合体或者接受分包的小微企业与联合体内其他企业、分包企业之间存在直接控股、管理关系的，不享受价格扣除优惠政策。</w:t>
      </w:r>
    </w:p>
    <w:p w14:paraId="297B56AA">
      <w:pPr>
        <w:spacing w:line="360" w:lineRule="exact"/>
        <w:ind w:firstLine="480" w:firstLineChars="200"/>
        <w:rPr>
          <w:rFonts w:ascii="宋体"/>
          <w:kern w:val="0"/>
          <w:sz w:val="24"/>
        </w:rPr>
      </w:pPr>
      <w:r>
        <w:rPr>
          <w:rFonts w:hint="eastAsia" w:ascii="宋体"/>
          <w:kern w:val="0"/>
          <w:sz w:val="24"/>
        </w:rPr>
        <w:t>2.5.1.4、中小企业参加政府采购活动，应当出具《中小企业声明函》（附件），否则不得享受相关中小企业扶持政策。</w:t>
      </w:r>
    </w:p>
    <w:p w14:paraId="50EFA35C">
      <w:pPr>
        <w:spacing w:line="360" w:lineRule="exact"/>
        <w:ind w:firstLine="480" w:firstLineChars="200"/>
        <w:rPr>
          <w:rFonts w:ascii="宋体"/>
          <w:kern w:val="0"/>
          <w:sz w:val="24"/>
        </w:rPr>
      </w:pPr>
      <w:r>
        <w:rPr>
          <w:rFonts w:hint="eastAsia" w:ascii="宋体"/>
          <w:kern w:val="0"/>
          <w:sz w:val="24"/>
        </w:rPr>
        <w:t>2.5.2、关于监狱企业参与政府采购优惠政策 （对监狱企业视同小型、微型企业）</w:t>
      </w:r>
    </w:p>
    <w:p w14:paraId="66D240BD">
      <w:pPr>
        <w:spacing w:line="360" w:lineRule="exact"/>
        <w:ind w:firstLine="480" w:firstLineChars="200"/>
        <w:rPr>
          <w:rFonts w:ascii="宋体"/>
          <w:kern w:val="0"/>
          <w:sz w:val="24"/>
        </w:rPr>
      </w:pPr>
      <w:r>
        <w:rPr>
          <w:rFonts w:hint="eastAsia" w:ascii="宋体"/>
          <w:kern w:val="0"/>
          <w:sz w:val="24"/>
        </w:rPr>
        <w:t>对监狱企业产品的价格给予10%的扣除，用扣除后的价格参与评审。</w:t>
      </w:r>
    </w:p>
    <w:p w14:paraId="0555862F">
      <w:pPr>
        <w:spacing w:line="360" w:lineRule="exact"/>
        <w:ind w:firstLine="480" w:firstLineChars="200"/>
        <w:rPr>
          <w:rFonts w:ascii="宋体"/>
          <w:kern w:val="0"/>
          <w:sz w:val="24"/>
        </w:rPr>
      </w:pPr>
      <w:r>
        <w:rPr>
          <w:rFonts w:hint="eastAsia" w:ascii="宋体"/>
          <w:kern w:val="0"/>
          <w:sz w:val="24"/>
        </w:rPr>
        <w:t>根据关于政府采购支持监狱企业发展有关问题的通知财库[2014]68号的要求：</w:t>
      </w:r>
    </w:p>
    <w:p w14:paraId="2A5816CF">
      <w:pPr>
        <w:spacing w:line="360" w:lineRule="exact"/>
        <w:ind w:firstLine="480" w:firstLineChars="200"/>
        <w:rPr>
          <w:rFonts w:ascii="宋体"/>
          <w:kern w:val="0"/>
          <w:sz w:val="24"/>
        </w:rPr>
      </w:pPr>
      <w:r>
        <w:rPr>
          <w:rFonts w:hint="eastAsia" w:ascii="宋体"/>
          <w:kern w:val="0"/>
          <w:sz w:val="24"/>
        </w:rPr>
        <w:t>2.5.2.1、监狱企业参加政府采购活动时，应当提供由省级以上监狱管理局、戒毒管理局（含新疆生产建设兵团）出具的属于监狱企业的证明文件。</w:t>
      </w:r>
    </w:p>
    <w:p w14:paraId="228B4570">
      <w:pPr>
        <w:spacing w:line="360" w:lineRule="exact"/>
        <w:ind w:firstLine="480" w:firstLineChars="200"/>
        <w:rPr>
          <w:rFonts w:ascii="宋体"/>
          <w:kern w:val="0"/>
          <w:sz w:val="24"/>
        </w:rPr>
      </w:pPr>
      <w:r>
        <w:rPr>
          <w:rFonts w:hint="eastAsia" w:ascii="宋体"/>
          <w:kern w:val="0"/>
          <w:sz w:val="24"/>
        </w:rPr>
        <w:t>（监狱企业的证明文件格式自行拟定、响应文件递交时装订在响应文件中）</w:t>
      </w:r>
    </w:p>
    <w:p w14:paraId="2CC1E5CC">
      <w:pPr>
        <w:spacing w:line="360" w:lineRule="exact"/>
        <w:ind w:firstLine="480" w:firstLineChars="200"/>
        <w:rPr>
          <w:rFonts w:ascii="宋体"/>
          <w:kern w:val="0"/>
          <w:sz w:val="24"/>
        </w:rPr>
      </w:pPr>
      <w:r>
        <w:rPr>
          <w:rFonts w:hint="eastAsia" w:ascii="宋体"/>
          <w:kern w:val="0"/>
          <w:sz w:val="24"/>
        </w:rPr>
        <w:t>2.5.2.2、在政府采购活动中，监狱企业视同小型、微型企业，享受预留份额、评审中价格扣除等政府采购促进中小企业发展的政府采购政策。</w:t>
      </w:r>
    </w:p>
    <w:p w14:paraId="29FF447C">
      <w:pPr>
        <w:spacing w:line="360" w:lineRule="exact"/>
        <w:ind w:firstLine="480" w:firstLineChars="200"/>
        <w:rPr>
          <w:rFonts w:ascii="宋体"/>
          <w:kern w:val="0"/>
          <w:sz w:val="24"/>
        </w:rPr>
      </w:pPr>
      <w:r>
        <w:rPr>
          <w:rFonts w:hint="eastAsia" w:ascii="宋体"/>
          <w:kern w:val="0"/>
          <w:sz w:val="24"/>
        </w:rPr>
        <w:t>2.5.3、残疾人就业政府采购优惠政策（残疾人福利性单位视同小型、微型企业）</w:t>
      </w:r>
    </w:p>
    <w:p w14:paraId="2C0C050B">
      <w:pPr>
        <w:spacing w:line="360" w:lineRule="exact"/>
        <w:ind w:firstLine="480" w:firstLineChars="200"/>
        <w:rPr>
          <w:rFonts w:ascii="宋体"/>
          <w:kern w:val="0"/>
          <w:sz w:val="24"/>
        </w:rPr>
      </w:pPr>
      <w:r>
        <w:rPr>
          <w:rFonts w:hint="eastAsia" w:ascii="宋体"/>
          <w:kern w:val="0"/>
          <w:sz w:val="24"/>
        </w:rPr>
        <w:t>对残疾人福利性单位产品的价格给予10%的扣除，用扣除后的价格参与评审。</w:t>
      </w:r>
    </w:p>
    <w:p w14:paraId="437A8063">
      <w:pPr>
        <w:spacing w:line="360" w:lineRule="exact"/>
        <w:ind w:firstLine="480" w:firstLineChars="200"/>
        <w:rPr>
          <w:rFonts w:ascii="宋体"/>
          <w:kern w:val="0"/>
          <w:sz w:val="24"/>
        </w:rPr>
      </w:pPr>
      <w:r>
        <w:rPr>
          <w:rFonts w:hint="eastAsia" w:ascii="宋体"/>
          <w:kern w:val="0"/>
          <w:sz w:val="24"/>
        </w:rPr>
        <w:t>根据财政部 民政部 中国残疾人联合会关于促进残疾人就业政府采购政策的通知财库[2017]141号要求：</w:t>
      </w:r>
    </w:p>
    <w:p w14:paraId="5A532388">
      <w:pPr>
        <w:spacing w:line="360" w:lineRule="exact"/>
        <w:ind w:firstLine="480" w:firstLineChars="200"/>
        <w:rPr>
          <w:rFonts w:ascii="宋体"/>
          <w:kern w:val="0"/>
          <w:sz w:val="24"/>
        </w:rPr>
      </w:pPr>
      <w:r>
        <w:rPr>
          <w:rFonts w:hint="eastAsia" w:ascii="宋体"/>
          <w:kern w:val="0"/>
          <w:sz w:val="24"/>
        </w:rPr>
        <w:t>2.5.3.1、符合条件的残疾人福利性单位在参加政府采购活动时，应当提供本通知规定的《残疾人福利性单位声明函》（见附件），并对声明的真实性负责。</w:t>
      </w:r>
    </w:p>
    <w:p w14:paraId="61024B9F">
      <w:pPr>
        <w:spacing w:line="360" w:lineRule="exact"/>
        <w:ind w:firstLine="480" w:firstLineChars="200"/>
        <w:rPr>
          <w:rFonts w:ascii="宋体"/>
          <w:kern w:val="0"/>
          <w:sz w:val="24"/>
        </w:rPr>
      </w:pPr>
      <w:r>
        <w:rPr>
          <w:rFonts w:hint="eastAsia" w:ascii="宋体"/>
          <w:kern w:val="0"/>
          <w:sz w:val="24"/>
        </w:rPr>
        <w:t>2.5.3.2、</w:t>
      </w:r>
      <w:r>
        <w:rPr>
          <w:rFonts w:hint="eastAsia" w:ascii="宋体"/>
          <w:kern w:val="0"/>
          <w:sz w:val="24"/>
          <w:lang w:eastAsia="zh-CN"/>
        </w:rPr>
        <w:t>成交</w:t>
      </w:r>
      <w:r>
        <w:rPr>
          <w:rFonts w:hint="eastAsia" w:ascii="宋体"/>
          <w:kern w:val="0"/>
          <w:sz w:val="24"/>
        </w:rPr>
        <w:t>、成交供应商为残疾人福利性单位的，采购人或者其委托的采购代理机构应当随</w:t>
      </w:r>
      <w:r>
        <w:rPr>
          <w:rFonts w:hint="eastAsia" w:ascii="宋体"/>
          <w:kern w:val="0"/>
          <w:sz w:val="24"/>
          <w:lang w:eastAsia="zh-CN"/>
        </w:rPr>
        <w:t>成交</w:t>
      </w:r>
      <w:r>
        <w:rPr>
          <w:rFonts w:hint="eastAsia" w:ascii="宋体"/>
          <w:kern w:val="0"/>
          <w:sz w:val="24"/>
        </w:rPr>
        <w:t>、成交结果同时公告其《残疾人福利性单位声明函》，接受社会监督。</w:t>
      </w:r>
    </w:p>
    <w:p w14:paraId="28686BD9">
      <w:pPr>
        <w:spacing w:line="360" w:lineRule="exact"/>
        <w:ind w:firstLine="480" w:firstLineChars="200"/>
        <w:rPr>
          <w:rFonts w:ascii="宋体"/>
          <w:kern w:val="0"/>
          <w:sz w:val="24"/>
        </w:rPr>
      </w:pPr>
      <w:r>
        <w:rPr>
          <w:rFonts w:hint="eastAsia" w:ascii="宋体"/>
          <w:kern w:val="0"/>
          <w:sz w:val="24"/>
        </w:rPr>
        <w:t>2.5.3.3、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86E92C9">
      <w:pPr>
        <w:spacing w:line="360" w:lineRule="exact"/>
        <w:ind w:firstLine="480" w:firstLineChars="200"/>
        <w:rPr>
          <w:rFonts w:ascii="宋体"/>
          <w:kern w:val="0"/>
          <w:sz w:val="24"/>
        </w:rPr>
      </w:pPr>
      <w:r>
        <w:rPr>
          <w:rFonts w:hint="eastAsia" w:ascii="宋体"/>
          <w:kern w:val="0"/>
          <w:sz w:val="24"/>
        </w:rPr>
        <w:t>2.5.4、关于强制采购节能产品、信息安全产品和优先采购环境标志产品、绿色产品优惠政策：</w:t>
      </w:r>
    </w:p>
    <w:p w14:paraId="14D8D4AF">
      <w:pPr>
        <w:spacing w:line="360" w:lineRule="exact"/>
        <w:ind w:firstLine="480" w:firstLineChars="200"/>
        <w:rPr>
          <w:rFonts w:ascii="宋体"/>
          <w:kern w:val="0"/>
          <w:sz w:val="24"/>
        </w:rPr>
      </w:pPr>
      <w:r>
        <w:rPr>
          <w:rFonts w:hint="eastAsia" w:ascii="宋体"/>
          <w:kern w:val="0"/>
          <w:sz w:val="24"/>
        </w:rPr>
        <w:t>供应商所投产品属于节能产品、信息安全产品、环境标志产品、绿色产品对提供产品的价格给予2%的扣除，用扣除后的价格参与评审。</w:t>
      </w:r>
    </w:p>
    <w:p w14:paraId="44D4C81E">
      <w:pPr>
        <w:spacing w:line="360" w:lineRule="exact"/>
        <w:ind w:firstLine="480" w:firstLineChars="200"/>
        <w:rPr>
          <w:rFonts w:ascii="宋体"/>
          <w:kern w:val="0"/>
          <w:sz w:val="24"/>
        </w:rPr>
      </w:pPr>
      <w:r>
        <w:rPr>
          <w:rFonts w:hint="eastAsia" w:ascii="宋体"/>
          <w:kern w:val="0"/>
          <w:sz w:val="24"/>
        </w:rPr>
        <w:t>根据财政部国家发展改革委关于印发《节能产品政府采购实施意见》的通知 财库【2004】185号的要求：</w:t>
      </w:r>
    </w:p>
    <w:p w14:paraId="0481DE6C">
      <w:pPr>
        <w:spacing w:line="360" w:lineRule="exact"/>
        <w:ind w:firstLine="480" w:firstLineChars="200"/>
        <w:rPr>
          <w:rFonts w:ascii="宋体"/>
          <w:kern w:val="0"/>
          <w:sz w:val="24"/>
        </w:rPr>
      </w:pPr>
      <w:r>
        <w:rPr>
          <w:rFonts w:hint="eastAsia" w:ascii="宋体"/>
          <w:kern w:val="0"/>
          <w:sz w:val="24"/>
        </w:rPr>
        <w:t>2.5.4.1、节能产品是指列入财政部、国家发展和改革委员会制定的《节能产品政府采购清单》(中国政府采购网（http://www.ccgp.gov.cn）等网站发布)，且经过认定的节能产品；信息安全产品是指列入国家质检总局、财政部、认监委《信息安全产品强制性认证目录》，并获得中国国家信息安全产品认证证书的产品；环境标志产品是指列入财政部、国家环保总局制定的《环境标志产品政府采购清单》(中国政府采购网（http://www.ccgp.gov.cn）等网站发布)，且经过认证的环境标志产品。</w:t>
      </w:r>
    </w:p>
    <w:p w14:paraId="1C30E311">
      <w:pPr>
        <w:spacing w:line="360" w:lineRule="exact"/>
        <w:ind w:firstLine="480" w:firstLineChars="200"/>
        <w:rPr>
          <w:rFonts w:ascii="宋体"/>
          <w:kern w:val="0"/>
          <w:sz w:val="24"/>
        </w:rPr>
      </w:pPr>
      <w:r>
        <w:rPr>
          <w:rFonts w:hint="eastAsia" w:ascii="宋体"/>
          <w:kern w:val="0"/>
          <w:sz w:val="24"/>
        </w:rPr>
        <w:t>2.5.4.2、提供的产品属于信息安全产品的，供应商应当选择经国家认证的信息安全产品参与竞争性磋商，并提供有效的中国国家信息安全产品认证证书复印件。</w:t>
      </w:r>
    </w:p>
    <w:p w14:paraId="5B95FDC6">
      <w:pPr>
        <w:spacing w:line="360" w:lineRule="exact"/>
        <w:ind w:firstLine="480" w:firstLineChars="200"/>
        <w:rPr>
          <w:rFonts w:ascii="宋体"/>
          <w:kern w:val="0"/>
          <w:sz w:val="24"/>
        </w:rPr>
      </w:pPr>
      <w:r>
        <w:rPr>
          <w:rFonts w:hint="eastAsia" w:ascii="宋体"/>
          <w:kern w:val="0"/>
          <w:sz w:val="24"/>
        </w:rPr>
        <w:t>2.5.4.3、提供的产品属于政府强制采购节能产品的，供应商应当选择《节能产品政府采购清单》中的产品参与竞争性磋商，并提供有效的节能产品认证证书复印件。</w:t>
      </w:r>
    </w:p>
    <w:p w14:paraId="0007E8E0">
      <w:pPr>
        <w:spacing w:line="360" w:lineRule="exact"/>
        <w:ind w:firstLine="480" w:firstLineChars="200"/>
        <w:rPr>
          <w:rFonts w:ascii="宋体"/>
          <w:kern w:val="0"/>
          <w:sz w:val="24"/>
        </w:rPr>
      </w:pPr>
      <w:r>
        <w:rPr>
          <w:rFonts w:hint="eastAsia" w:ascii="宋体"/>
          <w:kern w:val="0"/>
          <w:sz w:val="24"/>
        </w:rPr>
        <w:t>2.5.4.4、提供的产品属于优先采购环境标志产品的，供应商应当选择《环境标志产品政府采购清单》中的产品参与竞争性磋商，并提供有效的环境标志产品认证证书复印件。</w:t>
      </w:r>
    </w:p>
    <w:p w14:paraId="125376FA">
      <w:pPr>
        <w:spacing w:line="360" w:lineRule="exact"/>
        <w:ind w:firstLine="480" w:firstLineChars="200"/>
        <w:rPr>
          <w:rFonts w:ascii="宋体"/>
          <w:kern w:val="0"/>
          <w:sz w:val="24"/>
        </w:rPr>
      </w:pPr>
      <w:r>
        <w:rPr>
          <w:rFonts w:hint="eastAsia" w:ascii="宋体"/>
          <w:kern w:val="0"/>
          <w:sz w:val="24"/>
        </w:rPr>
        <w:t>2.5.4.5、提供的产品属于绿色产品的，供应商应当选择海南省政府采购网上商城建立绿色产品库中的产品参与竞争性磋商，并提供证明文件复印件。</w:t>
      </w:r>
    </w:p>
    <w:p w14:paraId="393452A5">
      <w:pPr>
        <w:spacing w:line="360" w:lineRule="exact"/>
        <w:ind w:firstLine="480" w:firstLineChars="200"/>
        <w:rPr>
          <w:rFonts w:ascii="宋体"/>
          <w:kern w:val="0"/>
          <w:sz w:val="24"/>
        </w:rPr>
      </w:pPr>
      <w:r>
        <w:rPr>
          <w:rFonts w:hint="eastAsia" w:ascii="宋体"/>
          <w:kern w:val="0"/>
          <w:sz w:val="24"/>
        </w:rPr>
        <w:t>供应商所投产品属于节能产品、信息安全产品、环境标志产品、绿色产品按照格式填写并提供目录截图及货物产品相关的认证证书复印件。</w:t>
      </w:r>
    </w:p>
    <w:p w14:paraId="4EC4FB94">
      <w:pPr>
        <w:spacing w:line="360" w:lineRule="exact"/>
        <w:ind w:firstLine="480" w:firstLineChars="200"/>
        <w:rPr>
          <w:rFonts w:ascii="宋体"/>
          <w:kern w:val="0"/>
          <w:sz w:val="24"/>
        </w:rPr>
      </w:pPr>
      <w:r>
        <w:rPr>
          <w:rFonts w:hint="eastAsia" w:ascii="宋体"/>
          <w:kern w:val="0"/>
          <w:sz w:val="24"/>
        </w:rPr>
        <w:t>特别声明:对于未能按照要求填写及未能提供证明资料或提供资料不完整的视同未提供）</w:t>
      </w:r>
    </w:p>
    <w:p w14:paraId="4CAE3036">
      <w:pPr>
        <w:adjustRightInd w:val="0"/>
        <w:snapToGrid w:val="0"/>
        <w:spacing w:line="300" w:lineRule="auto"/>
        <w:ind w:firstLine="588" w:firstLineChars="245"/>
        <w:rPr>
          <w:rFonts w:ascii="宋体"/>
          <w:kern w:val="0"/>
          <w:sz w:val="24"/>
        </w:rPr>
      </w:pPr>
      <w:r>
        <w:rPr>
          <w:rFonts w:hint="eastAsia" w:ascii="宋体"/>
          <w:kern w:val="0"/>
          <w:sz w:val="24"/>
        </w:rPr>
        <w:t>二、磋商文件</w:t>
      </w:r>
    </w:p>
    <w:p w14:paraId="29A36562">
      <w:pPr>
        <w:adjustRightInd w:val="0"/>
        <w:snapToGrid w:val="0"/>
        <w:spacing w:line="300" w:lineRule="auto"/>
        <w:ind w:firstLine="588" w:firstLineChars="245"/>
        <w:rPr>
          <w:rFonts w:ascii="宋体"/>
          <w:kern w:val="0"/>
          <w:sz w:val="24"/>
        </w:rPr>
      </w:pPr>
      <w:r>
        <w:rPr>
          <w:rFonts w:hint="eastAsia" w:ascii="宋体"/>
          <w:kern w:val="0"/>
          <w:sz w:val="24"/>
        </w:rPr>
        <w:t>（一）磋商文件：由磋商文件总目录所列内容组成。</w:t>
      </w:r>
    </w:p>
    <w:p w14:paraId="1E91F7BC">
      <w:pPr>
        <w:adjustRightInd w:val="0"/>
        <w:snapToGrid w:val="0"/>
        <w:spacing w:line="300" w:lineRule="auto"/>
        <w:ind w:firstLine="480" w:firstLineChars="200"/>
        <w:rPr>
          <w:rFonts w:ascii="宋体"/>
          <w:kern w:val="0"/>
          <w:sz w:val="24"/>
        </w:rPr>
      </w:pPr>
      <w:r>
        <w:rPr>
          <w:rFonts w:hint="eastAsia" w:ascii="宋体"/>
          <w:kern w:val="0"/>
          <w:sz w:val="24"/>
        </w:rPr>
        <w:t>1.2磋商文件采购需求中列明标的物的技术要求是采购人基于实际工作需要而提出的基本需求，如果有专利、商标、品牌、型号等信息的，仅起技术说明、参考作用，不具有任何限制型，</w:t>
      </w:r>
      <w:r>
        <w:rPr>
          <w:rFonts w:hint="eastAsia" w:ascii="宋体" w:hAnsi="宋体"/>
          <w:sz w:val="24"/>
          <w:shd w:val="clear" w:color="auto" w:fill="FFFFFF"/>
        </w:rPr>
        <w:t>参与竞争性磋商</w:t>
      </w:r>
      <w:r>
        <w:rPr>
          <w:rFonts w:hint="eastAsia" w:ascii="宋体"/>
          <w:kern w:val="0"/>
          <w:sz w:val="24"/>
        </w:rPr>
        <w:t>产品响应其指标性能要求即可。</w:t>
      </w:r>
    </w:p>
    <w:p w14:paraId="7321081B">
      <w:pPr>
        <w:adjustRightInd w:val="0"/>
        <w:snapToGrid w:val="0"/>
        <w:spacing w:line="300" w:lineRule="auto"/>
        <w:ind w:firstLine="480" w:firstLineChars="200"/>
        <w:rPr>
          <w:rFonts w:ascii="宋体"/>
          <w:kern w:val="0"/>
          <w:sz w:val="24"/>
        </w:rPr>
      </w:pPr>
      <w:r>
        <w:rPr>
          <w:rFonts w:hint="eastAsia" w:ascii="宋体"/>
          <w:kern w:val="0"/>
          <w:sz w:val="24"/>
        </w:rPr>
        <w:t>1.2所谓进口产品是指:通过中国海关报关验放进入中国境内且产自关外的产品。</w:t>
      </w:r>
    </w:p>
    <w:p w14:paraId="50B16ACD">
      <w:pPr>
        <w:adjustRightInd w:val="0"/>
        <w:snapToGrid w:val="0"/>
        <w:spacing w:line="300" w:lineRule="auto"/>
        <w:ind w:firstLine="480" w:firstLineChars="200"/>
        <w:rPr>
          <w:rFonts w:ascii="宋体"/>
          <w:kern w:val="0"/>
          <w:sz w:val="24"/>
        </w:rPr>
      </w:pPr>
      <w:r>
        <w:rPr>
          <w:rFonts w:hint="eastAsia" w:ascii="宋体"/>
          <w:kern w:val="0"/>
          <w:sz w:val="24"/>
        </w:rPr>
        <w:t>1.3如果没有特别声明或要求，</w:t>
      </w:r>
      <w:r>
        <w:rPr>
          <w:rFonts w:hint="eastAsia" w:ascii="宋体" w:hAnsi="宋体"/>
          <w:sz w:val="24"/>
          <w:shd w:val="clear" w:color="auto" w:fill="FFFFFF"/>
        </w:rPr>
        <w:t>竞争性磋商</w:t>
      </w:r>
      <w:r>
        <w:rPr>
          <w:rFonts w:hint="eastAsia" w:ascii="宋体"/>
          <w:kern w:val="0"/>
          <w:sz w:val="24"/>
        </w:rPr>
        <w:t>供应商被视为充分熟悉本竞争性磋商项目所在地与履行合同有关的各种情况，包括自然环境、气候条件、劳动力及公用设施等，本采购文件不再对上述情况进行描述。</w:t>
      </w:r>
    </w:p>
    <w:p w14:paraId="331FA48C">
      <w:pPr>
        <w:adjustRightInd w:val="0"/>
        <w:snapToGrid w:val="0"/>
        <w:spacing w:line="300" w:lineRule="auto"/>
        <w:ind w:firstLine="480" w:firstLineChars="200"/>
        <w:rPr>
          <w:rFonts w:ascii="宋体"/>
          <w:kern w:val="0"/>
          <w:sz w:val="24"/>
        </w:rPr>
      </w:pPr>
      <w:r>
        <w:rPr>
          <w:rFonts w:hint="eastAsia" w:ascii="宋体"/>
          <w:kern w:val="0"/>
          <w:sz w:val="24"/>
        </w:rPr>
        <w:t>（二）磋商文件的质疑</w:t>
      </w:r>
    </w:p>
    <w:p w14:paraId="64E7A2AF">
      <w:pPr>
        <w:adjustRightInd w:val="0"/>
        <w:snapToGrid w:val="0"/>
        <w:spacing w:line="300" w:lineRule="auto"/>
        <w:ind w:firstLine="480" w:firstLineChars="200"/>
        <w:rPr>
          <w:rFonts w:ascii="宋体"/>
          <w:kern w:val="0"/>
          <w:sz w:val="24"/>
        </w:rPr>
      </w:pPr>
      <w:r>
        <w:rPr>
          <w:rFonts w:ascii="宋体" w:hAnsi="宋体"/>
          <w:sz w:val="24"/>
          <w:shd w:val="clear" w:color="auto" w:fill="FFFFFF"/>
        </w:rPr>
        <w:t>1</w:t>
      </w:r>
      <w:r>
        <w:rPr>
          <w:rFonts w:hint="eastAsia" w:ascii="宋体" w:hAnsi="宋体"/>
          <w:sz w:val="24"/>
          <w:shd w:val="clear" w:color="auto" w:fill="FFFFFF"/>
        </w:rPr>
        <w:t>、</w:t>
      </w:r>
      <w:r>
        <w:rPr>
          <w:rFonts w:hint="eastAsia" w:ascii="宋体" w:hAnsi="宋体"/>
          <w:sz w:val="24"/>
        </w:rPr>
        <w:t>凡参加本次竞争性磋商的</w:t>
      </w:r>
      <w:r>
        <w:rPr>
          <w:rFonts w:hint="eastAsia" w:ascii="宋体"/>
          <w:kern w:val="0"/>
          <w:sz w:val="24"/>
        </w:rPr>
        <w:t>供应商</w:t>
      </w:r>
      <w:r>
        <w:rPr>
          <w:rFonts w:hint="eastAsia" w:ascii="宋体" w:hAnsi="宋体"/>
          <w:sz w:val="24"/>
        </w:rPr>
        <w:t>被视为已充分认识和理解了任何与本项目有关的影响事项和困难、风险等情况。</w:t>
      </w:r>
    </w:p>
    <w:p w14:paraId="2F74ED29">
      <w:pPr>
        <w:adjustRightInd w:val="0"/>
        <w:snapToGrid w:val="0"/>
        <w:spacing w:line="300" w:lineRule="auto"/>
        <w:ind w:firstLine="480" w:firstLineChars="200"/>
        <w:rPr>
          <w:rFonts w:ascii="宋体" w:hAnsi="宋体"/>
          <w:color w:val="000000" w:themeColor="text1"/>
          <w:sz w:val="24"/>
          <w14:textFill>
            <w14:solidFill>
              <w14:schemeClr w14:val="tx1"/>
            </w14:solidFill>
          </w14:textFill>
        </w:rPr>
      </w:pPr>
      <w:r>
        <w:rPr>
          <w:rFonts w:hint="eastAsia" w:ascii="宋体" w:hAnsi="宋体"/>
          <w:sz w:val="24"/>
        </w:rPr>
        <w:t>2、</w:t>
      </w:r>
      <w:r>
        <w:rPr>
          <w:rFonts w:hint="eastAsia" w:ascii="宋体" w:hAnsi="宋体"/>
          <w:color w:val="000000" w:themeColor="text1"/>
          <w:sz w:val="24"/>
          <w14:textFill>
            <w14:solidFill>
              <w14:schemeClr w14:val="tx1"/>
            </w14:solidFill>
          </w14:textFill>
        </w:rPr>
        <w:t>潜在供应商如对磋商文件，</w:t>
      </w:r>
      <w:r>
        <w:rPr>
          <w:rFonts w:hint="eastAsia" w:ascii="宋体" w:hAnsi="宋体" w:cs="仿宋"/>
          <w:color w:val="000000" w:themeColor="text1"/>
          <w:sz w:val="24"/>
          <w14:textFill>
            <w14:solidFill>
              <w14:schemeClr w14:val="tx1"/>
            </w14:solidFill>
          </w14:textFill>
        </w:rPr>
        <w:t>磋商过程和成交结果使自己的权益受到损害的，应在知道或应知道其权益受到损害之日起七个工作日内</w:t>
      </w:r>
      <w:r>
        <w:rPr>
          <w:rFonts w:hint="eastAsia" w:ascii="宋体" w:hAnsi="宋体"/>
          <w:color w:val="000000" w:themeColor="text1"/>
          <w:sz w:val="24"/>
          <w14:textFill>
            <w14:solidFill>
              <w14:schemeClr w14:val="tx1"/>
            </w14:solidFill>
          </w14:textFill>
        </w:rPr>
        <w:t>按</w:t>
      </w:r>
      <w:r>
        <w:rPr>
          <w:rFonts w:hint="eastAsia" w:ascii="宋体" w:hAnsi="宋体"/>
          <w:color w:val="000000" w:themeColor="text1"/>
          <w:sz w:val="24"/>
          <w:shd w:val="clear" w:color="auto" w:fill="FFFFFF"/>
          <w14:textFill>
            <w14:solidFill>
              <w14:schemeClr w14:val="tx1"/>
            </w14:solidFill>
          </w14:textFill>
        </w:rPr>
        <w:t>竞争性磋商文件</w:t>
      </w:r>
      <w:r>
        <w:rPr>
          <w:rFonts w:hint="eastAsia" w:ascii="宋体" w:hAnsi="宋体"/>
          <w:color w:val="000000" w:themeColor="text1"/>
          <w:sz w:val="24"/>
          <w14:textFill>
            <w14:solidFill>
              <w14:schemeClr w14:val="tx1"/>
            </w14:solidFill>
          </w14:textFill>
        </w:rPr>
        <w:t>邀请函中载明的地址,以书面形式，通知到采购代理机构，</w:t>
      </w:r>
      <w:r>
        <w:rPr>
          <w:rFonts w:ascii="宋体" w:hAnsi="宋体"/>
          <w:color w:val="000000" w:themeColor="text1"/>
          <w:sz w:val="24"/>
          <w14:textFill>
            <w14:solidFill>
              <w14:schemeClr w14:val="tx1"/>
            </w14:solidFill>
          </w14:textFill>
        </w:rPr>
        <w:t>非书面形式以及匿名的质疑将不予受理。</w:t>
      </w:r>
      <w:r>
        <w:rPr>
          <w:rFonts w:hint="eastAsia" w:ascii="宋体" w:hAnsi="宋体"/>
          <w:color w:val="000000" w:themeColor="text1"/>
          <w:sz w:val="24"/>
          <w14:textFill>
            <w14:solidFill>
              <w14:schemeClr w14:val="tx1"/>
            </w14:solidFill>
          </w14:textFill>
        </w:rPr>
        <w:t>采购代理机构将按财政部第94号令进行答复。</w:t>
      </w:r>
    </w:p>
    <w:p w14:paraId="3B0DD550">
      <w:pPr>
        <w:spacing w:line="360" w:lineRule="exact"/>
        <w:ind w:firstLine="480" w:firstLineChars="200"/>
        <w:rPr>
          <w:rFonts w:ascii="宋体" w:hAnsi="宋体"/>
          <w:sz w:val="24"/>
        </w:rPr>
      </w:pPr>
      <w:r>
        <w:rPr>
          <w:rFonts w:hint="eastAsia" w:ascii="宋体" w:hAnsi="宋体"/>
          <w:sz w:val="24"/>
        </w:rPr>
        <w:t>3</w:t>
      </w:r>
      <w:r>
        <w:rPr>
          <w:rFonts w:hint="eastAsia" w:ascii="宋体" w:hAnsi="宋体"/>
          <w:sz w:val="24"/>
          <w:lang w:eastAsia="zh-CN"/>
        </w:rPr>
        <w:t>、</w:t>
      </w:r>
      <w:r>
        <w:rPr>
          <w:rFonts w:hint="eastAsia" w:ascii="宋体" w:hAnsi="宋体"/>
          <w:sz w:val="24"/>
        </w:rPr>
        <w:t>供应商提出质疑应当提交质疑函和必要的证明材料。质疑函应当包括下列内容：</w:t>
      </w:r>
    </w:p>
    <w:p w14:paraId="368D7019">
      <w:pPr>
        <w:spacing w:line="360" w:lineRule="exact"/>
        <w:ind w:firstLine="480" w:firstLineChars="200"/>
        <w:rPr>
          <w:rFonts w:ascii="宋体" w:hAnsi="宋体"/>
          <w:sz w:val="24"/>
        </w:rPr>
      </w:pPr>
      <w:r>
        <w:rPr>
          <w:rFonts w:hint="eastAsia" w:ascii="宋体" w:hAnsi="宋体"/>
          <w:sz w:val="24"/>
        </w:rPr>
        <w:t>　　3.1供应商的姓名或者名称、地址、邮编、联系人及联系电话；</w:t>
      </w:r>
    </w:p>
    <w:p w14:paraId="052C0602">
      <w:pPr>
        <w:spacing w:line="360" w:lineRule="exact"/>
        <w:ind w:firstLine="480" w:firstLineChars="200"/>
        <w:rPr>
          <w:rFonts w:ascii="宋体" w:hAnsi="宋体"/>
          <w:sz w:val="24"/>
        </w:rPr>
      </w:pPr>
      <w:r>
        <w:rPr>
          <w:rFonts w:hint="eastAsia" w:ascii="宋体" w:hAnsi="宋体"/>
          <w:sz w:val="24"/>
        </w:rPr>
        <w:t>　　3.2质疑项目的名称、编号；</w:t>
      </w:r>
    </w:p>
    <w:p w14:paraId="7056D20C">
      <w:pPr>
        <w:spacing w:line="360" w:lineRule="exact"/>
        <w:ind w:firstLine="480" w:firstLineChars="200"/>
        <w:rPr>
          <w:rFonts w:ascii="宋体" w:hAnsi="宋体"/>
          <w:sz w:val="24"/>
        </w:rPr>
      </w:pPr>
      <w:r>
        <w:rPr>
          <w:rFonts w:hint="eastAsia" w:ascii="宋体" w:hAnsi="宋体"/>
          <w:sz w:val="24"/>
        </w:rPr>
        <w:t>　　3.3具体、明确的质疑事项和与质疑事项相关的请求；</w:t>
      </w:r>
    </w:p>
    <w:p w14:paraId="077229BA">
      <w:pPr>
        <w:spacing w:line="360" w:lineRule="exact"/>
        <w:ind w:firstLine="480" w:firstLineChars="200"/>
        <w:rPr>
          <w:rFonts w:ascii="宋体" w:hAnsi="宋体"/>
          <w:sz w:val="24"/>
        </w:rPr>
      </w:pPr>
      <w:r>
        <w:rPr>
          <w:rFonts w:hint="eastAsia" w:ascii="宋体" w:hAnsi="宋体"/>
          <w:sz w:val="24"/>
        </w:rPr>
        <w:t>　　3.4事实依据；</w:t>
      </w:r>
    </w:p>
    <w:p w14:paraId="25858E4A">
      <w:pPr>
        <w:spacing w:line="360" w:lineRule="exact"/>
        <w:ind w:firstLine="480" w:firstLineChars="200"/>
        <w:rPr>
          <w:rFonts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3.5必要的法律依据；</w:t>
      </w:r>
    </w:p>
    <w:p w14:paraId="3F2C517F">
      <w:pPr>
        <w:spacing w:line="360" w:lineRule="exact"/>
        <w:ind w:firstLine="480" w:firstLineChars="200"/>
        <w:rPr>
          <w:rFonts w:ascii="宋体" w:hAnsi="宋体"/>
          <w:sz w:val="24"/>
        </w:rPr>
      </w:pPr>
      <w:r>
        <w:rPr>
          <w:rFonts w:hint="eastAsia" w:ascii="宋体" w:hAnsi="宋体"/>
          <w:sz w:val="24"/>
        </w:rPr>
        <w:t>　</w:t>
      </w:r>
      <w:r>
        <w:rPr>
          <w:rFonts w:hint="eastAsia" w:ascii="宋体" w:hAnsi="宋体"/>
          <w:sz w:val="24"/>
          <w:lang w:val="en-US" w:eastAsia="zh-CN"/>
        </w:rPr>
        <w:t xml:space="preserve"> </w:t>
      </w:r>
      <w:r>
        <w:rPr>
          <w:rFonts w:hint="eastAsia" w:ascii="宋体" w:hAnsi="宋体"/>
          <w:sz w:val="24"/>
        </w:rPr>
        <w:t xml:space="preserve"> 3.6提出质疑的日期。</w:t>
      </w:r>
    </w:p>
    <w:p w14:paraId="18E0ED89">
      <w:pPr>
        <w:spacing w:line="360" w:lineRule="exact"/>
        <w:ind w:firstLine="480" w:firstLineChars="200"/>
        <w:rPr>
          <w:rFonts w:ascii="宋体" w:hAnsi="宋体"/>
          <w:sz w:val="24"/>
        </w:rPr>
      </w:pPr>
      <w:r>
        <w:rPr>
          <w:rFonts w:hint="eastAsia" w:ascii="宋体" w:hAnsi="宋体"/>
          <w:sz w:val="24"/>
        </w:rPr>
        <w:t>　　供应商为自然人的，应当由本人签字；供应商为法人或者其他组织的，应当由法定代表人、主要负责人，或者其授权代表签字或者盖章，并加盖公章。</w:t>
      </w:r>
    </w:p>
    <w:p w14:paraId="778BE192">
      <w:pPr>
        <w:spacing w:line="360" w:lineRule="exact"/>
        <w:ind w:firstLine="480" w:firstLineChars="200"/>
        <w:rPr>
          <w:rFonts w:ascii="宋体" w:hAnsi="宋体"/>
          <w:sz w:val="24"/>
        </w:rPr>
      </w:pPr>
      <w:r>
        <w:rPr>
          <w:rFonts w:hint="eastAsia" w:ascii="宋体" w:hAnsi="宋体"/>
          <w:sz w:val="24"/>
        </w:rPr>
        <w:t>4、</w:t>
      </w:r>
      <w:r>
        <w:rPr>
          <w:rFonts w:ascii="宋体" w:hAnsi="宋体"/>
          <w:sz w:val="24"/>
        </w:rPr>
        <w:t>供应商</w:t>
      </w:r>
      <w:r>
        <w:rPr>
          <w:rFonts w:hint="eastAsia" w:ascii="宋体" w:hAnsi="宋体"/>
          <w:sz w:val="24"/>
        </w:rPr>
        <w:t>应</w:t>
      </w:r>
      <w:r>
        <w:rPr>
          <w:rFonts w:ascii="宋体" w:hAnsi="宋体"/>
          <w:sz w:val="24"/>
        </w:rPr>
        <w:t>在法定质疑期内一次性提出针对同一采购程序环节的质疑。</w:t>
      </w:r>
    </w:p>
    <w:p w14:paraId="749E040E">
      <w:pPr>
        <w:adjustRightInd w:val="0"/>
        <w:snapToGrid w:val="0"/>
        <w:spacing w:line="300" w:lineRule="auto"/>
        <w:ind w:firstLine="480" w:firstLineChars="200"/>
        <w:rPr>
          <w:rFonts w:ascii="宋体" w:hAnsi="宋体"/>
          <w:sz w:val="24"/>
        </w:rPr>
      </w:pPr>
      <w:r>
        <w:rPr>
          <w:rFonts w:hint="eastAsia" w:ascii="宋体" w:hAnsi="宋体"/>
          <w:sz w:val="24"/>
        </w:rPr>
        <w:t>5、</w:t>
      </w:r>
      <w:r>
        <w:rPr>
          <w:rFonts w:ascii="宋体" w:hAnsi="宋体"/>
          <w:sz w:val="24"/>
        </w:rPr>
        <w:t>质疑内容不得含有虚假、恶意成份。依照谁主张谁举证的原则，提出质疑者必须同时提交相关确凿的证据材料和注明事实的确切来源，对捏造事实、滥用维权扰乱采购秩序的恶意质疑者或举证不全查无实据被驳回次数在</w:t>
      </w:r>
      <w:r>
        <w:rPr>
          <w:rFonts w:hint="eastAsia" w:ascii="宋体" w:hAnsi="宋体"/>
          <w:sz w:val="24"/>
        </w:rPr>
        <w:t>全国范围内12个月</w:t>
      </w:r>
      <w:r>
        <w:rPr>
          <w:rFonts w:ascii="宋体" w:hAnsi="宋体"/>
          <w:sz w:val="24"/>
        </w:rPr>
        <w:t>内达三次以上，将</w:t>
      </w:r>
      <w:r>
        <w:rPr>
          <w:rFonts w:hint="eastAsia" w:ascii="宋体" w:hAnsi="宋体"/>
          <w:sz w:val="24"/>
        </w:rPr>
        <w:t>由财政部门</w:t>
      </w:r>
      <w:r>
        <w:rPr>
          <w:rFonts w:ascii="宋体" w:hAnsi="宋体"/>
          <w:sz w:val="24"/>
        </w:rPr>
        <w:t>纳入不良行为记录名单并承担相应的法律责任。</w:t>
      </w:r>
    </w:p>
    <w:p w14:paraId="50EB75A3">
      <w:pPr>
        <w:adjustRightInd w:val="0"/>
        <w:snapToGrid w:val="0"/>
        <w:spacing w:line="300" w:lineRule="auto"/>
        <w:ind w:firstLine="480" w:firstLineChars="200"/>
        <w:rPr>
          <w:rFonts w:ascii="宋体"/>
          <w:kern w:val="0"/>
          <w:sz w:val="24"/>
        </w:rPr>
      </w:pPr>
      <w:r>
        <w:rPr>
          <w:rFonts w:hint="eastAsia" w:ascii="宋体"/>
          <w:kern w:val="0"/>
          <w:sz w:val="24"/>
        </w:rPr>
        <w:t>（三）磋商文件的</w:t>
      </w:r>
      <w:r>
        <w:rPr>
          <w:rFonts w:ascii="宋体"/>
          <w:kern w:val="0"/>
          <w:sz w:val="24"/>
        </w:rPr>
        <w:t>澄清或者修改</w:t>
      </w:r>
    </w:p>
    <w:p w14:paraId="27E956B4">
      <w:pPr>
        <w:adjustRightInd w:val="0"/>
        <w:snapToGrid w:val="0"/>
        <w:spacing w:line="300" w:lineRule="auto"/>
        <w:ind w:firstLine="480" w:firstLineChars="200"/>
        <w:rPr>
          <w:rFonts w:ascii="宋体"/>
          <w:kern w:val="0"/>
          <w:sz w:val="24"/>
        </w:rPr>
      </w:pPr>
      <w:r>
        <w:rPr>
          <w:rFonts w:hint="eastAsia" w:ascii="宋体" w:hAnsi="宋体"/>
          <w:kern w:val="0"/>
          <w:sz w:val="24"/>
        </w:rPr>
        <w:t>1、</w:t>
      </w:r>
      <w:r>
        <w:rPr>
          <w:rFonts w:ascii="宋体"/>
          <w:kern w:val="0"/>
          <w:sz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72E8E5A6">
      <w:pPr>
        <w:adjustRightInd w:val="0"/>
        <w:snapToGrid w:val="0"/>
        <w:spacing w:line="300" w:lineRule="auto"/>
        <w:ind w:firstLine="480" w:firstLineChars="200"/>
        <w:rPr>
          <w:rFonts w:ascii="宋体"/>
          <w:kern w:val="0"/>
          <w:sz w:val="24"/>
        </w:rPr>
      </w:pPr>
      <w:r>
        <w:rPr>
          <w:rFonts w:hint="eastAsia" w:ascii="宋体"/>
          <w:kern w:val="0"/>
          <w:sz w:val="24"/>
        </w:rPr>
        <w:t>2、磋商文件的修改书将构成磋商文件的一部分，对</w:t>
      </w:r>
      <w:r>
        <w:rPr>
          <w:rFonts w:hint="eastAsia" w:ascii="宋体" w:hAnsi="宋体"/>
          <w:sz w:val="24"/>
          <w:shd w:val="clear" w:color="auto" w:fill="FFFFFF"/>
        </w:rPr>
        <w:t>竞争性磋商</w:t>
      </w:r>
      <w:r>
        <w:rPr>
          <w:rFonts w:hint="eastAsia" w:ascii="宋体"/>
          <w:kern w:val="0"/>
          <w:sz w:val="24"/>
        </w:rPr>
        <w:t>供应商有约束力。</w:t>
      </w:r>
    </w:p>
    <w:p w14:paraId="43FD64D1">
      <w:pPr>
        <w:adjustRightInd w:val="0"/>
        <w:snapToGrid w:val="0"/>
        <w:spacing w:line="300" w:lineRule="auto"/>
        <w:ind w:firstLine="482" w:firstLineChars="200"/>
        <w:rPr>
          <w:rFonts w:ascii="宋体"/>
          <w:b/>
          <w:kern w:val="0"/>
          <w:sz w:val="24"/>
        </w:rPr>
      </w:pPr>
      <w:r>
        <w:rPr>
          <w:rFonts w:hint="eastAsia" w:ascii="宋体"/>
          <w:b/>
          <w:kern w:val="0"/>
          <w:sz w:val="24"/>
        </w:rPr>
        <w:t>三、响应文件</w:t>
      </w:r>
    </w:p>
    <w:p w14:paraId="6B32CF1B">
      <w:pPr>
        <w:adjustRightInd w:val="0"/>
        <w:snapToGrid w:val="0"/>
        <w:spacing w:line="300" w:lineRule="auto"/>
        <w:ind w:firstLine="480" w:firstLineChars="200"/>
        <w:rPr>
          <w:rFonts w:ascii="宋体"/>
          <w:kern w:val="0"/>
          <w:sz w:val="24"/>
        </w:rPr>
      </w:pPr>
      <w:r>
        <w:rPr>
          <w:rFonts w:hint="eastAsia" w:ascii="宋体"/>
          <w:kern w:val="0"/>
          <w:sz w:val="24"/>
        </w:rPr>
        <w:t>（一）</w:t>
      </w:r>
      <w:r>
        <w:rPr>
          <w:rFonts w:hint="eastAsia" w:ascii="宋体" w:hAnsi="宋体"/>
          <w:sz w:val="24"/>
          <w:shd w:val="clear" w:color="auto" w:fill="FFFFFF"/>
        </w:rPr>
        <w:t>响应文件</w:t>
      </w:r>
      <w:r>
        <w:rPr>
          <w:rFonts w:hint="eastAsia" w:ascii="宋体"/>
          <w:kern w:val="0"/>
          <w:sz w:val="24"/>
        </w:rPr>
        <w:t>的要求</w:t>
      </w:r>
    </w:p>
    <w:p w14:paraId="239ABEA5">
      <w:pPr>
        <w:adjustRightInd w:val="0"/>
        <w:snapToGrid w:val="0"/>
        <w:spacing w:line="300" w:lineRule="auto"/>
        <w:ind w:firstLine="480" w:firstLineChars="200"/>
        <w:rPr>
          <w:rFonts w:ascii="宋体"/>
          <w:kern w:val="0"/>
          <w:sz w:val="24"/>
        </w:rPr>
      </w:pPr>
      <w:r>
        <w:rPr>
          <w:rFonts w:ascii="宋体"/>
          <w:kern w:val="0"/>
          <w:sz w:val="24"/>
        </w:rPr>
        <w:t>1</w:t>
      </w:r>
      <w:r>
        <w:rPr>
          <w:rFonts w:hint="eastAsia" w:ascii="宋体"/>
          <w:kern w:val="0"/>
          <w:sz w:val="24"/>
        </w:rPr>
        <w:t>、</w:t>
      </w:r>
      <w:r>
        <w:rPr>
          <w:rFonts w:hint="eastAsia" w:ascii="宋体" w:hAnsi="宋体"/>
          <w:sz w:val="24"/>
          <w:shd w:val="clear" w:color="auto" w:fill="FFFFFF"/>
        </w:rPr>
        <w:t>竞争性磋商</w:t>
      </w:r>
      <w:r>
        <w:rPr>
          <w:rFonts w:hint="eastAsia" w:ascii="宋体"/>
          <w:kern w:val="0"/>
          <w:sz w:val="24"/>
        </w:rPr>
        <w:t>供应商应仔细阅读磋商文件的所有内容，按磋商文件的要求及采购设备技术规格要求，详细编制响应文件，并保证响应文件的正确性和真实性。</w:t>
      </w:r>
    </w:p>
    <w:p w14:paraId="2C05A031">
      <w:pPr>
        <w:adjustRightInd w:val="0"/>
        <w:snapToGrid w:val="0"/>
        <w:spacing w:line="300" w:lineRule="auto"/>
        <w:ind w:firstLine="480" w:firstLineChars="200"/>
        <w:rPr>
          <w:rFonts w:ascii="宋体"/>
          <w:kern w:val="0"/>
          <w:sz w:val="24"/>
        </w:rPr>
      </w:pPr>
      <w:r>
        <w:rPr>
          <w:rFonts w:ascii="宋体"/>
          <w:kern w:val="0"/>
          <w:sz w:val="24"/>
        </w:rPr>
        <w:t>2</w:t>
      </w:r>
      <w:r>
        <w:rPr>
          <w:rFonts w:hint="eastAsia" w:ascii="宋体"/>
          <w:kern w:val="0"/>
          <w:sz w:val="24"/>
        </w:rPr>
        <w:t>、不按磋商文件的资格要求提供的</w:t>
      </w:r>
      <w:r>
        <w:rPr>
          <w:rFonts w:hint="eastAsia" w:ascii="宋体" w:hAnsi="宋体"/>
          <w:sz w:val="24"/>
          <w:shd w:val="clear" w:color="auto" w:fill="FFFFFF"/>
        </w:rPr>
        <w:t>响应</w:t>
      </w:r>
      <w:r>
        <w:rPr>
          <w:rFonts w:hint="eastAsia" w:ascii="宋体"/>
          <w:kern w:val="0"/>
          <w:sz w:val="24"/>
        </w:rPr>
        <w:t>文件将被拒绝。</w:t>
      </w:r>
    </w:p>
    <w:p w14:paraId="45C908DD">
      <w:pPr>
        <w:adjustRightInd w:val="0"/>
        <w:snapToGrid w:val="0"/>
        <w:spacing w:line="300" w:lineRule="auto"/>
        <w:ind w:firstLine="480" w:firstLineChars="200"/>
        <w:rPr>
          <w:rFonts w:ascii="宋体"/>
          <w:kern w:val="0"/>
          <w:sz w:val="24"/>
        </w:rPr>
      </w:pPr>
      <w:r>
        <w:rPr>
          <w:rFonts w:hint="eastAsia" w:ascii="宋体"/>
          <w:kern w:val="0"/>
          <w:sz w:val="24"/>
        </w:rPr>
        <w:t>（二）</w:t>
      </w:r>
      <w:r>
        <w:rPr>
          <w:rFonts w:hint="eastAsia" w:ascii="宋体" w:hAnsi="宋体"/>
          <w:sz w:val="24"/>
          <w:shd w:val="clear" w:color="auto" w:fill="FFFFFF"/>
        </w:rPr>
        <w:t>响应文件</w:t>
      </w:r>
      <w:r>
        <w:rPr>
          <w:rFonts w:hint="eastAsia" w:ascii="宋体"/>
          <w:kern w:val="0"/>
          <w:sz w:val="24"/>
        </w:rPr>
        <w:t>的组成</w:t>
      </w:r>
    </w:p>
    <w:p w14:paraId="20D31290">
      <w:pPr>
        <w:adjustRightInd w:val="0"/>
        <w:snapToGrid w:val="0"/>
        <w:spacing w:line="300" w:lineRule="auto"/>
        <w:ind w:firstLine="480" w:firstLineChars="200"/>
        <w:rPr>
          <w:rFonts w:ascii="宋体"/>
          <w:kern w:val="0"/>
          <w:sz w:val="24"/>
        </w:rPr>
      </w:pPr>
      <w:r>
        <w:rPr>
          <w:rFonts w:hint="eastAsia" w:ascii="宋体" w:hAnsi="宋体"/>
          <w:sz w:val="24"/>
          <w:shd w:val="clear" w:color="auto" w:fill="FFFFFF"/>
        </w:rPr>
        <w:t>竞争性磋商</w:t>
      </w:r>
      <w:r>
        <w:rPr>
          <w:rFonts w:hint="eastAsia" w:ascii="宋体"/>
          <w:kern w:val="0"/>
          <w:sz w:val="24"/>
        </w:rPr>
        <w:t>供应商接到磋商文件后，按照采购人和响应文件的要求提供</w:t>
      </w:r>
      <w:r>
        <w:rPr>
          <w:rFonts w:hint="eastAsia" w:ascii="宋体" w:hAnsi="宋体"/>
          <w:sz w:val="24"/>
          <w:shd w:val="clear" w:color="auto" w:fill="FFFFFF"/>
        </w:rPr>
        <w:t>竞争性磋商</w:t>
      </w:r>
      <w:r>
        <w:rPr>
          <w:rFonts w:hint="eastAsia" w:ascii="宋体"/>
          <w:kern w:val="0"/>
          <w:sz w:val="24"/>
        </w:rPr>
        <w:t>响应文件，</w:t>
      </w:r>
    </w:p>
    <w:p w14:paraId="7B58575C">
      <w:pPr>
        <w:adjustRightInd w:val="0"/>
        <w:snapToGrid w:val="0"/>
        <w:spacing w:line="300" w:lineRule="auto"/>
        <w:ind w:firstLine="480" w:firstLineChars="200"/>
        <w:rPr>
          <w:rFonts w:ascii="宋体"/>
          <w:kern w:val="0"/>
          <w:sz w:val="24"/>
        </w:rPr>
      </w:pPr>
      <w:r>
        <w:rPr>
          <w:rFonts w:ascii="宋体"/>
          <w:kern w:val="0"/>
          <w:sz w:val="24"/>
        </w:rPr>
        <w:t>1</w:t>
      </w:r>
      <w:r>
        <w:rPr>
          <w:rFonts w:hint="eastAsia" w:ascii="宋体"/>
          <w:kern w:val="0"/>
          <w:sz w:val="24"/>
        </w:rPr>
        <w:t>、商务标书</w:t>
      </w:r>
    </w:p>
    <w:p w14:paraId="4588E107">
      <w:pPr>
        <w:adjustRightInd w:val="0"/>
        <w:snapToGrid w:val="0"/>
        <w:spacing w:line="300" w:lineRule="auto"/>
        <w:ind w:firstLine="480" w:firstLineChars="200"/>
        <w:rPr>
          <w:rFonts w:ascii="宋体"/>
          <w:kern w:val="0"/>
          <w:sz w:val="24"/>
        </w:rPr>
      </w:pPr>
      <w:r>
        <w:rPr>
          <w:rFonts w:hint="eastAsia" w:ascii="宋体"/>
          <w:kern w:val="0"/>
          <w:sz w:val="24"/>
        </w:rPr>
        <w:t>（</w:t>
      </w:r>
      <w:r>
        <w:rPr>
          <w:rFonts w:ascii="宋体"/>
          <w:kern w:val="0"/>
          <w:sz w:val="24"/>
        </w:rPr>
        <w:t>1</w:t>
      </w:r>
      <w:r>
        <w:rPr>
          <w:rFonts w:hint="eastAsia" w:ascii="宋体"/>
          <w:kern w:val="0"/>
          <w:sz w:val="24"/>
        </w:rPr>
        <w:t>）相关资料</w:t>
      </w:r>
    </w:p>
    <w:p w14:paraId="2B4E41F6">
      <w:pPr>
        <w:adjustRightInd w:val="0"/>
        <w:snapToGrid w:val="0"/>
        <w:spacing w:line="300" w:lineRule="auto"/>
        <w:ind w:firstLine="480" w:firstLineChars="200"/>
        <w:rPr>
          <w:rFonts w:ascii="宋体"/>
          <w:kern w:val="0"/>
          <w:sz w:val="24"/>
        </w:rPr>
      </w:pPr>
      <w:r>
        <w:rPr>
          <w:rFonts w:ascii="宋体"/>
          <w:kern w:val="0"/>
          <w:sz w:val="24"/>
        </w:rPr>
        <w:t>A</w:t>
      </w:r>
      <w:r>
        <w:rPr>
          <w:rFonts w:hint="eastAsia" w:ascii="宋体"/>
          <w:kern w:val="0"/>
          <w:sz w:val="24"/>
        </w:rPr>
        <w:t>、营业执照；</w:t>
      </w:r>
    </w:p>
    <w:p w14:paraId="24EE081D">
      <w:pPr>
        <w:adjustRightInd w:val="0"/>
        <w:snapToGrid w:val="0"/>
        <w:spacing w:line="300" w:lineRule="auto"/>
        <w:ind w:firstLine="480" w:firstLineChars="200"/>
        <w:rPr>
          <w:rFonts w:ascii="宋体"/>
          <w:kern w:val="0"/>
          <w:sz w:val="24"/>
        </w:rPr>
      </w:pPr>
      <w:r>
        <w:rPr>
          <w:rFonts w:ascii="宋体"/>
          <w:kern w:val="0"/>
          <w:sz w:val="24"/>
        </w:rPr>
        <w:t>B</w:t>
      </w:r>
      <w:r>
        <w:rPr>
          <w:rFonts w:hint="eastAsia" w:ascii="宋体"/>
          <w:kern w:val="0"/>
          <w:sz w:val="24"/>
        </w:rPr>
        <w:t>、磋商文件要求提供的证书；</w:t>
      </w:r>
    </w:p>
    <w:p w14:paraId="24A86B5A">
      <w:pPr>
        <w:adjustRightInd w:val="0"/>
        <w:snapToGrid w:val="0"/>
        <w:spacing w:line="300" w:lineRule="auto"/>
        <w:ind w:firstLine="480" w:firstLineChars="200"/>
        <w:rPr>
          <w:rFonts w:ascii="宋体"/>
          <w:kern w:val="0"/>
          <w:sz w:val="24"/>
        </w:rPr>
      </w:pPr>
      <w:r>
        <w:rPr>
          <w:rFonts w:hint="eastAsia" w:ascii="宋体"/>
          <w:kern w:val="0"/>
          <w:sz w:val="24"/>
        </w:rPr>
        <w:t>C、磋商文件要求提供的产品代理资格证明或制造商授权证书（按要求提供）；</w:t>
      </w:r>
    </w:p>
    <w:p w14:paraId="78DFA82A">
      <w:pPr>
        <w:adjustRightInd w:val="0"/>
        <w:snapToGrid w:val="0"/>
        <w:spacing w:line="300" w:lineRule="auto"/>
        <w:ind w:firstLine="480" w:firstLineChars="200"/>
        <w:rPr>
          <w:rFonts w:ascii="宋体"/>
          <w:kern w:val="0"/>
          <w:sz w:val="24"/>
        </w:rPr>
      </w:pPr>
      <w:r>
        <w:rPr>
          <w:rFonts w:hint="eastAsia" w:ascii="宋体"/>
          <w:kern w:val="0"/>
          <w:sz w:val="24"/>
        </w:rPr>
        <w:t>D、法定代表人授权；</w:t>
      </w:r>
    </w:p>
    <w:p w14:paraId="4D95B430">
      <w:pPr>
        <w:adjustRightInd w:val="0"/>
        <w:snapToGrid w:val="0"/>
        <w:spacing w:line="300" w:lineRule="auto"/>
        <w:ind w:firstLine="480" w:firstLineChars="200"/>
        <w:rPr>
          <w:rFonts w:ascii="宋体"/>
          <w:kern w:val="0"/>
          <w:sz w:val="24"/>
        </w:rPr>
      </w:pPr>
      <w:r>
        <w:rPr>
          <w:rFonts w:hint="eastAsia" w:ascii="宋体"/>
          <w:kern w:val="0"/>
          <w:sz w:val="24"/>
        </w:rPr>
        <w:t>E、</w:t>
      </w:r>
      <w:r>
        <w:rPr>
          <w:rFonts w:hint="eastAsia" w:ascii="宋体" w:hAnsi="宋体"/>
          <w:sz w:val="24"/>
        </w:rPr>
        <w:t>竞争性磋商项目服务要求。</w:t>
      </w:r>
    </w:p>
    <w:p w14:paraId="5890CC72">
      <w:pPr>
        <w:adjustRightInd w:val="0"/>
        <w:snapToGrid w:val="0"/>
        <w:spacing w:line="300" w:lineRule="auto"/>
        <w:ind w:firstLine="480" w:firstLineChars="200"/>
        <w:rPr>
          <w:rFonts w:ascii="宋体"/>
          <w:kern w:val="0"/>
          <w:sz w:val="24"/>
        </w:rPr>
      </w:pPr>
      <w:r>
        <w:rPr>
          <w:rFonts w:hint="eastAsia" w:ascii="宋体"/>
          <w:kern w:val="0"/>
          <w:sz w:val="24"/>
        </w:rPr>
        <w:t>（</w:t>
      </w:r>
      <w:r>
        <w:rPr>
          <w:rFonts w:ascii="宋体"/>
          <w:kern w:val="0"/>
          <w:sz w:val="24"/>
        </w:rPr>
        <w:t>2</w:t>
      </w:r>
      <w:r>
        <w:rPr>
          <w:rFonts w:hint="eastAsia" w:ascii="宋体"/>
          <w:kern w:val="0"/>
          <w:sz w:val="24"/>
        </w:rPr>
        <w:t>）报价一览表</w:t>
      </w:r>
      <w:r>
        <w:rPr>
          <w:rFonts w:hint="eastAsia" w:ascii="宋体" w:hAnsi="宋体"/>
          <w:sz w:val="24"/>
          <w:shd w:val="clear" w:color="auto" w:fill="FFFFFF"/>
        </w:rPr>
        <w:t>竞争性磋商</w:t>
      </w:r>
      <w:r>
        <w:rPr>
          <w:rFonts w:hint="eastAsia" w:ascii="宋体"/>
          <w:kern w:val="0"/>
          <w:sz w:val="24"/>
        </w:rPr>
        <w:t>供应商应按磋商文件附件中要求填写报价单，</w:t>
      </w:r>
      <w:r>
        <w:rPr>
          <w:rFonts w:hint="eastAsia" w:ascii="宋体" w:hAnsi="宋体"/>
          <w:sz w:val="24"/>
          <w:shd w:val="clear" w:color="auto" w:fill="FFFFFF"/>
        </w:rPr>
        <w:t>竞争性磋商</w:t>
      </w:r>
      <w:r>
        <w:rPr>
          <w:rFonts w:hint="eastAsia" w:ascii="宋体"/>
          <w:kern w:val="0"/>
          <w:sz w:val="24"/>
        </w:rPr>
        <w:t>供应商报价应按不同费用类别分开填写。</w:t>
      </w:r>
    </w:p>
    <w:p w14:paraId="66202E9C">
      <w:pPr>
        <w:adjustRightInd w:val="0"/>
        <w:snapToGrid w:val="0"/>
        <w:spacing w:line="300" w:lineRule="auto"/>
        <w:ind w:firstLine="480" w:firstLineChars="200"/>
        <w:rPr>
          <w:rFonts w:ascii="宋体"/>
          <w:kern w:val="0"/>
          <w:sz w:val="24"/>
        </w:rPr>
      </w:pPr>
      <w:r>
        <w:rPr>
          <w:rFonts w:hint="eastAsia" w:ascii="宋体"/>
          <w:kern w:val="0"/>
          <w:sz w:val="24"/>
        </w:rPr>
        <w:t>优惠条件：供应商承诺给予买方的各种优惠条件，包括设备价格、运输、保险、安装调试、付款条件、技术服务、售后服务、质量保证等方面的优惠可在附件写明，如无则写无（当优惠条件涉及“报价表”中的各项费用时，必须与报价表相统一）。</w:t>
      </w:r>
    </w:p>
    <w:p w14:paraId="7C46595B">
      <w:pPr>
        <w:adjustRightInd w:val="0"/>
        <w:snapToGrid w:val="0"/>
        <w:spacing w:line="300" w:lineRule="auto"/>
        <w:ind w:firstLine="480" w:firstLineChars="200"/>
        <w:rPr>
          <w:rFonts w:ascii="宋体"/>
          <w:kern w:val="0"/>
          <w:sz w:val="24"/>
        </w:rPr>
      </w:pPr>
      <w:r>
        <w:rPr>
          <w:rFonts w:ascii="宋体"/>
          <w:kern w:val="0"/>
          <w:sz w:val="24"/>
        </w:rPr>
        <w:t>2</w:t>
      </w:r>
      <w:r>
        <w:rPr>
          <w:rFonts w:hint="eastAsia" w:ascii="宋体"/>
          <w:kern w:val="0"/>
          <w:sz w:val="24"/>
        </w:rPr>
        <w:t>、技术标书</w:t>
      </w:r>
    </w:p>
    <w:p w14:paraId="62A7CD2A">
      <w:pPr>
        <w:adjustRightInd w:val="0"/>
        <w:snapToGrid w:val="0"/>
        <w:spacing w:line="300" w:lineRule="auto"/>
        <w:ind w:firstLine="480" w:firstLineChars="200"/>
        <w:rPr>
          <w:rFonts w:ascii="宋体"/>
          <w:kern w:val="0"/>
          <w:sz w:val="24"/>
        </w:rPr>
      </w:pPr>
      <w:r>
        <w:rPr>
          <w:rFonts w:hint="eastAsia" w:ascii="宋体"/>
          <w:kern w:val="0"/>
          <w:sz w:val="24"/>
        </w:rPr>
        <w:t>（1）供应商推荐的供选择的选配；但所提出的意见应优于磋商文件中提出的相应要求；</w:t>
      </w:r>
    </w:p>
    <w:p w14:paraId="666531AF">
      <w:pPr>
        <w:adjustRightInd w:val="0"/>
        <w:snapToGrid w:val="0"/>
        <w:spacing w:line="300" w:lineRule="auto"/>
        <w:ind w:firstLine="480" w:firstLineChars="200"/>
        <w:rPr>
          <w:rFonts w:ascii="宋体"/>
          <w:kern w:val="0"/>
          <w:sz w:val="24"/>
        </w:rPr>
      </w:pPr>
      <w:r>
        <w:rPr>
          <w:rFonts w:hint="eastAsia" w:ascii="宋体"/>
          <w:kern w:val="0"/>
          <w:sz w:val="24"/>
        </w:rPr>
        <w:t>（</w:t>
      </w:r>
      <w:r>
        <w:rPr>
          <w:rFonts w:ascii="宋体"/>
          <w:kern w:val="0"/>
          <w:sz w:val="24"/>
        </w:rPr>
        <w:t>2</w:t>
      </w:r>
      <w:r>
        <w:rPr>
          <w:rFonts w:hint="eastAsia" w:ascii="宋体"/>
          <w:kern w:val="0"/>
          <w:sz w:val="24"/>
        </w:rPr>
        <w:t>）本项目的技术服务和售后服务的内容和措施及承诺（保修期限、保修期限内的服务响应时间和服务内容；保修期满后的服务响应时间，能否提供及时可靠的维修服务）；</w:t>
      </w:r>
    </w:p>
    <w:p w14:paraId="6306AF67">
      <w:pPr>
        <w:adjustRightInd w:val="0"/>
        <w:snapToGrid w:val="0"/>
        <w:spacing w:line="300" w:lineRule="auto"/>
        <w:ind w:firstLine="480" w:firstLineChars="200"/>
        <w:rPr>
          <w:rFonts w:ascii="宋体"/>
          <w:kern w:val="0"/>
          <w:sz w:val="24"/>
        </w:rPr>
      </w:pPr>
      <w:r>
        <w:rPr>
          <w:rFonts w:hint="eastAsia" w:ascii="宋体"/>
          <w:kern w:val="0"/>
          <w:sz w:val="24"/>
        </w:rPr>
        <w:t>（3）其他（</w:t>
      </w:r>
      <w:r>
        <w:rPr>
          <w:rFonts w:hint="eastAsia" w:ascii="宋体" w:hAnsi="宋体"/>
          <w:sz w:val="24"/>
          <w:shd w:val="clear" w:color="auto" w:fill="FFFFFF"/>
        </w:rPr>
        <w:t>竞争性磋商</w:t>
      </w:r>
      <w:r>
        <w:rPr>
          <w:rFonts w:hint="eastAsia" w:ascii="宋体"/>
          <w:kern w:val="0"/>
          <w:sz w:val="24"/>
        </w:rPr>
        <w:t>供应商单位应说明的事项）。</w:t>
      </w:r>
    </w:p>
    <w:p w14:paraId="285C8588">
      <w:pPr>
        <w:adjustRightInd w:val="0"/>
        <w:snapToGrid w:val="0"/>
        <w:spacing w:line="300" w:lineRule="auto"/>
        <w:ind w:firstLine="480" w:firstLineChars="200"/>
        <w:rPr>
          <w:rFonts w:hint="eastAsia" w:ascii="宋体" w:eastAsia="宋体"/>
          <w:color w:val="FF0000"/>
          <w:kern w:val="0"/>
          <w:sz w:val="24"/>
          <w:lang w:eastAsia="zh-CN"/>
        </w:rPr>
      </w:pPr>
      <w:r>
        <w:rPr>
          <w:rFonts w:hint="eastAsia" w:ascii="宋体"/>
          <w:kern w:val="0"/>
          <w:sz w:val="24"/>
        </w:rPr>
        <w:t>（三）</w:t>
      </w:r>
      <w:r>
        <w:rPr>
          <w:rFonts w:hint="eastAsia" w:ascii="宋体" w:hAnsi="宋体"/>
          <w:color w:val="000000" w:themeColor="text1"/>
          <w:sz w:val="24"/>
          <w:shd w:val="clear" w:color="auto" w:fill="FFFFFF"/>
          <w14:textFill>
            <w14:solidFill>
              <w14:schemeClr w14:val="tx1"/>
            </w14:solidFill>
          </w14:textFill>
        </w:rPr>
        <w:t>竞争性磋商</w:t>
      </w:r>
      <w:r>
        <w:rPr>
          <w:rFonts w:hint="eastAsia" w:ascii="宋体"/>
          <w:color w:val="000000" w:themeColor="text1"/>
          <w:kern w:val="0"/>
          <w:sz w:val="24"/>
          <w14:textFill>
            <w14:solidFill>
              <w14:schemeClr w14:val="tx1"/>
            </w14:solidFill>
          </w14:textFill>
        </w:rPr>
        <w:t>成交服务费</w:t>
      </w:r>
      <w:r>
        <w:rPr>
          <w:rFonts w:hint="eastAsia" w:ascii="宋体"/>
          <w:color w:val="000000" w:themeColor="text1"/>
          <w:kern w:val="0"/>
          <w:sz w:val="24"/>
          <w:lang w:eastAsia="zh-CN"/>
          <w14:textFill>
            <w14:solidFill>
              <w14:schemeClr w14:val="tx1"/>
            </w14:solidFill>
          </w14:textFill>
        </w:rPr>
        <w:t>（</w:t>
      </w:r>
      <w:r>
        <w:rPr>
          <w:rFonts w:hint="eastAsia" w:ascii="宋体"/>
          <w:color w:val="000000" w:themeColor="text1"/>
          <w:kern w:val="0"/>
          <w:sz w:val="24"/>
          <w:lang w:val="en-US" w:eastAsia="zh-CN"/>
          <w14:textFill>
            <w14:solidFill>
              <w14:schemeClr w14:val="tx1"/>
            </w14:solidFill>
          </w14:textFill>
        </w:rPr>
        <w:t>本项目不收取</w:t>
      </w:r>
      <w:r>
        <w:rPr>
          <w:rFonts w:hint="eastAsia" w:ascii="宋体" w:hAnsi="宋体"/>
          <w:color w:val="000000" w:themeColor="text1"/>
          <w:sz w:val="24"/>
          <w:shd w:val="clear" w:color="auto" w:fill="FFFFFF"/>
          <w14:textFill>
            <w14:solidFill>
              <w14:schemeClr w14:val="tx1"/>
            </w14:solidFill>
          </w14:textFill>
        </w:rPr>
        <w:t>竞争性磋商</w:t>
      </w:r>
      <w:r>
        <w:rPr>
          <w:rFonts w:hint="eastAsia" w:ascii="宋体"/>
          <w:color w:val="000000" w:themeColor="text1"/>
          <w:kern w:val="0"/>
          <w:sz w:val="24"/>
          <w14:textFill>
            <w14:solidFill>
              <w14:schemeClr w14:val="tx1"/>
            </w14:solidFill>
          </w14:textFill>
        </w:rPr>
        <w:t>保证金</w:t>
      </w:r>
      <w:r>
        <w:rPr>
          <w:rFonts w:hint="eastAsia" w:ascii="宋体"/>
          <w:color w:val="000000" w:themeColor="text1"/>
          <w:kern w:val="0"/>
          <w:sz w:val="24"/>
          <w:lang w:eastAsia="zh-CN"/>
          <w14:textFill>
            <w14:solidFill>
              <w14:schemeClr w14:val="tx1"/>
            </w14:solidFill>
          </w14:textFill>
        </w:rPr>
        <w:t>）</w:t>
      </w:r>
    </w:p>
    <w:p w14:paraId="75A71D8D">
      <w:pPr>
        <w:adjustRightInd w:val="0"/>
        <w:snapToGrid w:val="0"/>
        <w:spacing w:line="300" w:lineRule="auto"/>
        <w:ind w:firstLine="482" w:firstLineChars="200"/>
        <w:rPr>
          <w:rFonts w:ascii="宋体"/>
          <w:kern w:val="0"/>
          <w:sz w:val="24"/>
        </w:rPr>
      </w:pPr>
      <w:r>
        <w:rPr>
          <w:rFonts w:hint="eastAsia" w:ascii="宋体"/>
          <w:b/>
          <w:bCs/>
          <w:color w:val="000000"/>
          <w:kern w:val="0"/>
          <w:sz w:val="24"/>
          <w:lang w:eastAsia="zh-CN"/>
        </w:rPr>
        <w:t>成交方</w:t>
      </w:r>
      <w:r>
        <w:rPr>
          <w:rFonts w:hint="eastAsia" w:ascii="宋体"/>
          <w:b/>
          <w:bCs/>
          <w:color w:val="000000"/>
          <w:kern w:val="0"/>
          <w:sz w:val="24"/>
        </w:rPr>
        <w:t>应向海南省教学仪器设备招标中心支付</w:t>
      </w:r>
      <w:r>
        <w:rPr>
          <w:rFonts w:hint="eastAsia" w:ascii="宋体"/>
          <w:b/>
          <w:bCs/>
          <w:color w:val="000000"/>
          <w:kern w:val="0"/>
          <w:sz w:val="24"/>
          <w:lang w:eastAsia="zh-CN"/>
        </w:rPr>
        <w:t>成交</w:t>
      </w:r>
      <w:r>
        <w:rPr>
          <w:rFonts w:hint="eastAsia" w:ascii="宋体"/>
          <w:b/>
          <w:bCs/>
          <w:color w:val="000000"/>
          <w:kern w:val="0"/>
          <w:sz w:val="24"/>
        </w:rPr>
        <w:t>服务费</w:t>
      </w:r>
      <w:r>
        <w:rPr>
          <w:rFonts w:hint="eastAsia" w:ascii="宋体"/>
          <w:b/>
          <w:bCs/>
          <w:color w:val="000000"/>
          <w:kern w:val="0"/>
          <w:sz w:val="24"/>
          <w:lang w:eastAsia="zh-CN"/>
        </w:rPr>
        <w:t>，成交服务费参照“计价格【2002】1980 号”规定收取</w:t>
      </w:r>
      <w:r>
        <w:rPr>
          <w:rFonts w:hint="eastAsia" w:ascii="宋体" w:hAnsi="宋体"/>
          <w:b/>
          <w:sz w:val="24"/>
          <w:shd w:val="clear" w:color="auto" w:fill="FFFFFF"/>
        </w:rPr>
        <w:t>。</w:t>
      </w:r>
    </w:p>
    <w:p w14:paraId="0EF151E8">
      <w:pPr>
        <w:adjustRightInd w:val="0"/>
        <w:snapToGrid w:val="0"/>
        <w:spacing w:line="300" w:lineRule="auto"/>
        <w:ind w:firstLine="480" w:firstLineChars="200"/>
        <w:rPr>
          <w:rFonts w:ascii="宋体"/>
          <w:kern w:val="0"/>
          <w:sz w:val="24"/>
        </w:rPr>
      </w:pPr>
      <w:r>
        <w:rPr>
          <w:rFonts w:hint="eastAsia" w:ascii="宋体"/>
          <w:kern w:val="0"/>
          <w:sz w:val="24"/>
        </w:rPr>
        <w:t>（四）</w:t>
      </w:r>
      <w:r>
        <w:rPr>
          <w:rFonts w:hint="eastAsia" w:ascii="宋体" w:hAnsi="宋体"/>
          <w:sz w:val="24"/>
          <w:shd w:val="clear" w:color="auto" w:fill="FFFFFF"/>
        </w:rPr>
        <w:t>响应文件</w:t>
      </w:r>
      <w:r>
        <w:rPr>
          <w:rFonts w:hint="eastAsia" w:ascii="宋体"/>
          <w:kern w:val="0"/>
          <w:sz w:val="24"/>
        </w:rPr>
        <w:t>的有效期</w:t>
      </w:r>
    </w:p>
    <w:p w14:paraId="1C6956F8">
      <w:pPr>
        <w:adjustRightInd w:val="0"/>
        <w:snapToGrid w:val="0"/>
        <w:spacing w:line="300" w:lineRule="auto"/>
        <w:ind w:firstLine="480" w:firstLineChars="200"/>
        <w:rPr>
          <w:rFonts w:ascii="宋体"/>
          <w:kern w:val="0"/>
          <w:sz w:val="24"/>
        </w:rPr>
      </w:pPr>
      <w:r>
        <w:rPr>
          <w:rFonts w:ascii="宋体"/>
          <w:kern w:val="0"/>
          <w:sz w:val="24"/>
        </w:rPr>
        <w:t xml:space="preserve"> 1</w:t>
      </w:r>
      <w:r>
        <w:rPr>
          <w:rFonts w:hint="eastAsia" w:ascii="宋体"/>
          <w:kern w:val="0"/>
          <w:sz w:val="24"/>
        </w:rPr>
        <w:t>、自磋商之日起90天内，</w:t>
      </w:r>
      <w:r>
        <w:rPr>
          <w:rFonts w:hint="eastAsia" w:ascii="宋体" w:hAnsi="宋体"/>
          <w:sz w:val="24"/>
          <w:shd w:val="clear" w:color="auto" w:fill="FFFFFF"/>
        </w:rPr>
        <w:t>响应文件</w:t>
      </w:r>
      <w:r>
        <w:rPr>
          <w:rFonts w:hint="eastAsia" w:ascii="宋体"/>
          <w:kern w:val="0"/>
          <w:sz w:val="24"/>
        </w:rPr>
        <w:t>应保持有效。有效期短于这个规定期限的</w:t>
      </w:r>
      <w:r>
        <w:rPr>
          <w:rFonts w:hint="eastAsia" w:ascii="宋体" w:hAnsi="宋体"/>
          <w:sz w:val="24"/>
          <w:shd w:val="clear" w:color="auto" w:fill="FFFFFF"/>
        </w:rPr>
        <w:t>竞争性磋商</w:t>
      </w:r>
      <w:r>
        <w:rPr>
          <w:rFonts w:hint="eastAsia" w:ascii="宋体"/>
          <w:kern w:val="0"/>
          <w:sz w:val="24"/>
        </w:rPr>
        <w:t>供应商将被拒绝。</w:t>
      </w:r>
    </w:p>
    <w:p w14:paraId="0BD64C91">
      <w:pPr>
        <w:adjustRightInd w:val="0"/>
        <w:snapToGrid w:val="0"/>
        <w:spacing w:line="300" w:lineRule="auto"/>
        <w:ind w:firstLine="480" w:firstLineChars="200"/>
        <w:rPr>
          <w:rFonts w:ascii="宋体"/>
          <w:kern w:val="0"/>
          <w:sz w:val="24"/>
        </w:rPr>
      </w:pPr>
      <w:r>
        <w:rPr>
          <w:rFonts w:ascii="宋体"/>
          <w:kern w:val="0"/>
          <w:sz w:val="24"/>
        </w:rPr>
        <w:t>2</w:t>
      </w:r>
      <w:r>
        <w:rPr>
          <w:rFonts w:hint="eastAsia" w:ascii="宋体"/>
          <w:kern w:val="0"/>
          <w:sz w:val="24"/>
        </w:rPr>
        <w:t>、在特殊情况下，采购人可与</w:t>
      </w:r>
      <w:r>
        <w:rPr>
          <w:rFonts w:hint="eastAsia" w:ascii="宋体" w:hAnsi="宋体"/>
          <w:sz w:val="24"/>
          <w:shd w:val="clear" w:color="auto" w:fill="FFFFFF"/>
        </w:rPr>
        <w:t>竞争性磋商</w:t>
      </w:r>
      <w:r>
        <w:rPr>
          <w:rFonts w:hint="eastAsia" w:ascii="宋体"/>
          <w:kern w:val="0"/>
          <w:sz w:val="24"/>
        </w:rPr>
        <w:t>供应商协商延长投标书的有效期，这种要求和答复均应书面形式进行。</w:t>
      </w:r>
    </w:p>
    <w:p w14:paraId="0CAC889A">
      <w:pPr>
        <w:adjustRightInd w:val="0"/>
        <w:snapToGrid w:val="0"/>
        <w:spacing w:line="300" w:lineRule="auto"/>
        <w:ind w:firstLine="480" w:firstLineChars="200"/>
        <w:rPr>
          <w:rFonts w:ascii="宋体"/>
          <w:kern w:val="0"/>
          <w:sz w:val="24"/>
        </w:rPr>
      </w:pPr>
      <w:r>
        <w:rPr>
          <w:rFonts w:ascii="宋体"/>
          <w:kern w:val="0"/>
          <w:sz w:val="24"/>
        </w:rPr>
        <w:t>3</w:t>
      </w:r>
      <w:r>
        <w:rPr>
          <w:rFonts w:hint="eastAsia" w:ascii="宋体"/>
          <w:kern w:val="0"/>
          <w:sz w:val="24"/>
        </w:rPr>
        <w:t>、</w:t>
      </w:r>
      <w:r>
        <w:rPr>
          <w:rFonts w:hint="eastAsia" w:ascii="宋体" w:hAnsi="宋体"/>
          <w:sz w:val="24"/>
          <w:shd w:val="clear" w:color="auto" w:fill="FFFFFF"/>
        </w:rPr>
        <w:t>竞争性磋商</w:t>
      </w:r>
      <w:r>
        <w:rPr>
          <w:rFonts w:hint="eastAsia" w:ascii="宋体"/>
          <w:kern w:val="0"/>
          <w:sz w:val="24"/>
        </w:rPr>
        <w:t>供应商可拒绝接受延期要求而不会导致</w:t>
      </w:r>
      <w:r>
        <w:rPr>
          <w:rFonts w:hint="eastAsia" w:ascii="宋体" w:hAnsi="宋体"/>
          <w:sz w:val="24"/>
          <w:shd w:val="clear" w:color="auto" w:fill="FFFFFF"/>
        </w:rPr>
        <w:t>竞争性磋商</w:t>
      </w:r>
      <w:r>
        <w:rPr>
          <w:rFonts w:hint="eastAsia" w:ascii="宋体"/>
          <w:kern w:val="0"/>
          <w:sz w:val="24"/>
        </w:rPr>
        <w:t>供应商保证金被没收。同意延长有效期的</w:t>
      </w:r>
      <w:r>
        <w:rPr>
          <w:rFonts w:hint="eastAsia" w:ascii="宋体" w:hAnsi="宋体"/>
          <w:sz w:val="24"/>
          <w:shd w:val="clear" w:color="auto" w:fill="FFFFFF"/>
        </w:rPr>
        <w:t>竞争性磋商</w:t>
      </w:r>
      <w:r>
        <w:rPr>
          <w:rFonts w:hint="eastAsia" w:ascii="宋体"/>
          <w:kern w:val="0"/>
          <w:sz w:val="24"/>
        </w:rPr>
        <w:t>供应商不能修改响应文件。</w:t>
      </w:r>
    </w:p>
    <w:p w14:paraId="47C29690">
      <w:pPr>
        <w:adjustRightInd w:val="0"/>
        <w:snapToGrid w:val="0"/>
        <w:spacing w:line="300" w:lineRule="auto"/>
        <w:ind w:firstLine="482" w:firstLineChars="200"/>
        <w:rPr>
          <w:rFonts w:ascii="宋体"/>
          <w:b/>
          <w:kern w:val="0"/>
          <w:sz w:val="24"/>
        </w:rPr>
      </w:pPr>
      <w:r>
        <w:rPr>
          <w:rFonts w:hint="eastAsia" w:ascii="宋体"/>
          <w:b/>
          <w:kern w:val="0"/>
          <w:sz w:val="24"/>
        </w:rPr>
        <w:t>四、</w:t>
      </w:r>
      <w:r>
        <w:rPr>
          <w:rFonts w:hint="eastAsia" w:ascii="宋体" w:hAnsi="宋体"/>
          <w:b/>
          <w:sz w:val="24"/>
          <w:shd w:val="clear" w:color="auto" w:fill="FFFFFF"/>
        </w:rPr>
        <w:t>响应文件</w:t>
      </w:r>
      <w:r>
        <w:rPr>
          <w:rFonts w:hint="eastAsia" w:ascii="宋体"/>
          <w:b/>
          <w:kern w:val="0"/>
          <w:sz w:val="24"/>
        </w:rPr>
        <w:t>的递交</w:t>
      </w:r>
    </w:p>
    <w:p w14:paraId="227F7D8D">
      <w:pPr>
        <w:adjustRightInd w:val="0"/>
        <w:snapToGrid w:val="0"/>
        <w:spacing w:line="300" w:lineRule="auto"/>
        <w:ind w:firstLine="480" w:firstLineChars="200"/>
        <w:rPr>
          <w:rFonts w:ascii="宋体"/>
          <w:kern w:val="0"/>
          <w:sz w:val="24"/>
        </w:rPr>
      </w:pPr>
      <w:r>
        <w:rPr>
          <w:rFonts w:hint="eastAsia" w:ascii="宋体" w:hAnsi="宋体"/>
          <w:sz w:val="24"/>
          <w:shd w:val="clear" w:color="auto" w:fill="FFFFFF"/>
        </w:rPr>
        <w:t>响应文件</w:t>
      </w:r>
      <w:r>
        <w:rPr>
          <w:rFonts w:hint="eastAsia" w:ascii="宋体"/>
          <w:kern w:val="0"/>
          <w:sz w:val="24"/>
        </w:rPr>
        <w:t>应按以下方法分别装袋密封</w:t>
      </w:r>
      <w:r>
        <w:rPr>
          <w:rFonts w:hint="eastAsia" w:ascii="宋体" w:hAnsi="宋体"/>
          <w:sz w:val="24"/>
        </w:rPr>
        <w:t>（不作为实质性要求）</w:t>
      </w:r>
    </w:p>
    <w:p w14:paraId="01466A64">
      <w:pPr>
        <w:snapToGrid w:val="0"/>
        <w:spacing w:line="360" w:lineRule="auto"/>
        <w:ind w:firstLine="480" w:firstLineChars="200"/>
        <w:rPr>
          <w:rFonts w:ascii="宋体" w:hAnsi="宋体" w:cs="宋体"/>
          <w:sz w:val="24"/>
        </w:rPr>
      </w:pPr>
      <w:r>
        <w:rPr>
          <w:rFonts w:hint="eastAsia" w:ascii="宋体"/>
          <w:kern w:val="0"/>
          <w:sz w:val="24"/>
        </w:rPr>
        <w:t>（1）所有“正本”“副本”响应文件资料按以上所列内容装订成册，并在封面上标明“正本”和 “副本”字样。</w:t>
      </w:r>
      <w:r>
        <w:rPr>
          <w:rFonts w:hint="eastAsia" w:ascii="宋体" w:hAnsi="宋体" w:cs="宋体"/>
          <w:sz w:val="24"/>
        </w:rPr>
        <w:t>“正本”和“副本”具有同等的法律效力；“正本”和“副本”之间如有差异，以正本为准。</w:t>
      </w:r>
    </w:p>
    <w:p w14:paraId="0894927B">
      <w:pPr>
        <w:ind w:firstLine="480"/>
        <w:rPr>
          <w:rFonts w:ascii="宋体"/>
          <w:kern w:val="0"/>
          <w:sz w:val="24"/>
        </w:rPr>
      </w:pPr>
      <w:r>
        <w:rPr>
          <w:rFonts w:hint="eastAsia" w:ascii="宋体"/>
          <w:kern w:val="0"/>
          <w:sz w:val="24"/>
        </w:rPr>
        <w:t>（</w:t>
      </w:r>
      <w:r>
        <w:rPr>
          <w:rFonts w:ascii="宋体"/>
          <w:kern w:val="0"/>
          <w:sz w:val="24"/>
        </w:rPr>
        <w:t>2</w:t>
      </w:r>
      <w:r>
        <w:rPr>
          <w:rFonts w:hint="eastAsia" w:ascii="宋体"/>
          <w:kern w:val="0"/>
          <w:sz w:val="24"/>
        </w:rPr>
        <w:t>）响应文件的正本须经法定代表人或授权代表签署和加盖公司公章，并逐页加盖公司公章。响应文件的副本可以按正本要求签署盖章或正本签署盖章后的复印件封面加盖公司公章和骑缝章。</w:t>
      </w:r>
    </w:p>
    <w:p w14:paraId="0B5E2B15">
      <w:pPr>
        <w:adjustRightInd w:val="0"/>
        <w:snapToGrid w:val="0"/>
        <w:spacing w:line="300" w:lineRule="auto"/>
        <w:ind w:firstLine="480" w:firstLineChars="200"/>
        <w:rPr>
          <w:rFonts w:ascii="宋体"/>
          <w:kern w:val="0"/>
          <w:sz w:val="24"/>
        </w:rPr>
      </w:pPr>
      <w:r>
        <w:rPr>
          <w:rFonts w:hint="eastAsia" w:ascii="宋体"/>
          <w:kern w:val="0"/>
          <w:sz w:val="24"/>
        </w:rPr>
        <w:t>（3）竞争性磋商响应文件密封袋内正本一份、副本</w:t>
      </w:r>
      <w:r>
        <w:rPr>
          <w:rFonts w:hint="eastAsia" w:ascii="宋体"/>
          <w:kern w:val="0"/>
          <w:sz w:val="24"/>
          <w:lang w:val="en-US" w:eastAsia="zh-CN"/>
        </w:rPr>
        <w:t>两</w:t>
      </w:r>
      <w:r>
        <w:rPr>
          <w:rFonts w:hint="eastAsia" w:ascii="宋体"/>
          <w:kern w:val="0"/>
          <w:sz w:val="24"/>
        </w:rPr>
        <w:t>份。封口处有供应商公章。封面上写明项目编号、项目名称、供应商名称，并注明“响应文件”、“开启截止时间前请勿启封”字样。</w:t>
      </w:r>
    </w:p>
    <w:p w14:paraId="192CD0C1">
      <w:pPr>
        <w:adjustRightInd w:val="0"/>
        <w:snapToGrid w:val="0"/>
        <w:spacing w:line="300" w:lineRule="auto"/>
        <w:ind w:firstLine="480" w:firstLineChars="200"/>
        <w:rPr>
          <w:rFonts w:ascii="宋体"/>
          <w:kern w:val="0"/>
          <w:sz w:val="24"/>
        </w:rPr>
      </w:pPr>
      <w:r>
        <w:rPr>
          <w:rFonts w:hint="eastAsia" w:ascii="宋体"/>
          <w:kern w:val="0"/>
          <w:sz w:val="24"/>
        </w:rPr>
        <w:t>（4）</w:t>
      </w:r>
      <w:r>
        <w:rPr>
          <w:rFonts w:hint="eastAsia" w:ascii="宋体" w:hAnsi="宋体"/>
          <w:sz w:val="24"/>
          <w:shd w:val="clear" w:color="auto" w:fill="FFFFFF"/>
        </w:rPr>
        <w:t>响应文件</w:t>
      </w:r>
      <w:r>
        <w:rPr>
          <w:rFonts w:hint="eastAsia" w:ascii="宋体"/>
          <w:kern w:val="0"/>
          <w:sz w:val="24"/>
        </w:rPr>
        <w:t>自制部分必须打印，每页按顺序加注页码，装订牢固且不会轻易脱落</w:t>
      </w:r>
      <w:r>
        <w:rPr>
          <w:rFonts w:hint="eastAsia" w:ascii="宋体"/>
          <w:b/>
          <w:bCs/>
          <w:kern w:val="0"/>
          <w:sz w:val="24"/>
        </w:rPr>
        <w:t>（注：胶装）</w:t>
      </w:r>
      <w:r>
        <w:rPr>
          <w:rFonts w:hint="eastAsia" w:ascii="宋体"/>
          <w:kern w:val="0"/>
          <w:sz w:val="24"/>
        </w:rPr>
        <w:t>。如因装订问题而出现漏页或缺页，由此产生的一切后果由供应商自行承担。</w:t>
      </w:r>
    </w:p>
    <w:p w14:paraId="63507955">
      <w:pPr>
        <w:adjustRightInd w:val="0"/>
        <w:snapToGrid w:val="0"/>
        <w:spacing w:line="300" w:lineRule="auto"/>
        <w:ind w:firstLine="480" w:firstLineChars="200"/>
        <w:rPr>
          <w:rFonts w:ascii="宋体"/>
          <w:kern w:val="0"/>
          <w:sz w:val="24"/>
        </w:rPr>
      </w:pPr>
      <w:r>
        <w:rPr>
          <w:rFonts w:hint="eastAsia" w:ascii="宋体"/>
          <w:kern w:val="0"/>
          <w:sz w:val="24"/>
        </w:rPr>
        <w:t>（</w:t>
      </w:r>
      <w:r>
        <w:rPr>
          <w:rFonts w:hint="eastAsia" w:ascii="宋体"/>
          <w:kern w:val="0"/>
          <w:sz w:val="24"/>
          <w:lang w:val="en-US" w:eastAsia="zh-CN"/>
        </w:rPr>
        <w:t>5</w:t>
      </w:r>
      <w:r>
        <w:rPr>
          <w:rFonts w:hint="eastAsia" w:ascii="宋体"/>
          <w:kern w:val="0"/>
          <w:sz w:val="24"/>
        </w:rPr>
        <w:t>）供应商的授权代表须携带《法定代表人授权书》及个人身份证原件亲临开标会现场以备查验。其现场所签署确认的文件均代表供应商单位的决定，并作为</w:t>
      </w:r>
      <w:r>
        <w:rPr>
          <w:rFonts w:hint="eastAsia" w:ascii="宋体" w:hAnsi="宋体"/>
          <w:sz w:val="24"/>
          <w:shd w:val="clear" w:color="auto" w:fill="FFFFFF"/>
        </w:rPr>
        <w:t>响应文件</w:t>
      </w:r>
      <w:r>
        <w:rPr>
          <w:rFonts w:hint="eastAsia" w:ascii="宋体"/>
          <w:kern w:val="0"/>
          <w:sz w:val="24"/>
        </w:rPr>
        <w:t>的补充内容，具有同等法律效力。</w:t>
      </w:r>
    </w:p>
    <w:p w14:paraId="2E81A833">
      <w:pPr>
        <w:pStyle w:val="30"/>
        <w:adjustRightInd w:val="0"/>
        <w:snapToGrid w:val="0"/>
        <w:spacing w:line="300" w:lineRule="auto"/>
        <w:ind w:firstLine="480" w:firstLineChars="200"/>
        <w:rPr>
          <w:sz w:val="24"/>
          <w:szCs w:val="24"/>
        </w:rPr>
      </w:pPr>
      <w:r>
        <w:rPr>
          <w:rFonts w:hint="eastAsia" w:ascii="宋体"/>
          <w:kern w:val="0"/>
          <w:sz w:val="24"/>
          <w:szCs w:val="24"/>
        </w:rPr>
        <w:t>（</w:t>
      </w:r>
      <w:r>
        <w:rPr>
          <w:rFonts w:hint="eastAsia" w:ascii="宋体"/>
          <w:b/>
          <w:kern w:val="0"/>
          <w:sz w:val="24"/>
          <w:szCs w:val="24"/>
          <w:lang w:val="en-US" w:eastAsia="zh-CN"/>
        </w:rPr>
        <w:t>6</w:t>
      </w:r>
      <w:r>
        <w:rPr>
          <w:rFonts w:hint="eastAsia" w:ascii="宋体"/>
          <w:b/>
          <w:kern w:val="0"/>
          <w:sz w:val="24"/>
          <w:szCs w:val="24"/>
        </w:rPr>
        <w:t>）</w:t>
      </w:r>
      <w:r>
        <w:rPr>
          <w:rFonts w:hint="eastAsia"/>
          <w:b/>
          <w:sz w:val="24"/>
          <w:szCs w:val="24"/>
        </w:rPr>
        <w:t>供应商应当在磋商文件要求的截止时间前，将响应文件密封送达指定地点。在截止时间后送达的响应文件为无效文件，采购人、采购代理机构或者磋商小组将被拒收。</w:t>
      </w:r>
    </w:p>
    <w:p w14:paraId="46A3E60E">
      <w:pPr>
        <w:pStyle w:val="30"/>
        <w:adjustRightInd w:val="0"/>
        <w:snapToGrid w:val="0"/>
        <w:spacing w:line="300" w:lineRule="auto"/>
        <w:ind w:firstLine="480" w:firstLineChars="200"/>
        <w:rPr>
          <w:rFonts w:ascii="宋体"/>
          <w:kern w:val="0"/>
          <w:sz w:val="24"/>
        </w:rPr>
      </w:pPr>
      <w:r>
        <w:rPr>
          <w:rFonts w:hint="eastAsia" w:ascii="宋体"/>
          <w:kern w:val="0"/>
          <w:sz w:val="24"/>
        </w:rPr>
        <w:t>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1D7D68EE">
      <w:pPr>
        <w:adjustRightInd w:val="0"/>
        <w:snapToGrid w:val="0"/>
        <w:spacing w:line="300" w:lineRule="auto"/>
        <w:ind w:firstLine="482" w:firstLineChars="200"/>
        <w:rPr>
          <w:rFonts w:ascii="宋体"/>
          <w:b/>
          <w:kern w:val="0"/>
          <w:sz w:val="24"/>
        </w:rPr>
      </w:pPr>
      <w:r>
        <w:rPr>
          <w:rFonts w:hint="eastAsia" w:ascii="宋体"/>
          <w:b/>
          <w:kern w:val="0"/>
          <w:sz w:val="24"/>
        </w:rPr>
        <w:t>五、磋商和评审</w:t>
      </w:r>
    </w:p>
    <w:p w14:paraId="5427D69C">
      <w:pPr>
        <w:adjustRightInd w:val="0"/>
        <w:snapToGrid w:val="0"/>
        <w:spacing w:line="300" w:lineRule="auto"/>
        <w:ind w:firstLine="480" w:firstLineChars="200"/>
        <w:rPr>
          <w:rFonts w:ascii="宋体"/>
          <w:kern w:val="0"/>
          <w:sz w:val="24"/>
        </w:rPr>
      </w:pPr>
      <w:r>
        <w:rPr>
          <w:rFonts w:hint="eastAsia" w:ascii="宋体"/>
          <w:kern w:val="0"/>
          <w:sz w:val="24"/>
        </w:rPr>
        <w:t>（一）磋商小组</w:t>
      </w:r>
    </w:p>
    <w:p w14:paraId="30FB9492">
      <w:pPr>
        <w:adjustRightInd w:val="0"/>
        <w:snapToGrid w:val="0"/>
        <w:spacing w:line="300" w:lineRule="auto"/>
        <w:ind w:firstLine="480" w:firstLineChars="200"/>
        <w:rPr>
          <w:rFonts w:ascii="宋体"/>
          <w:kern w:val="0"/>
          <w:sz w:val="24"/>
        </w:rPr>
      </w:pPr>
      <w:r>
        <w:rPr>
          <w:rFonts w:hint="eastAsia" w:ascii="宋体"/>
          <w:kern w:val="0"/>
          <w:sz w:val="24"/>
        </w:rPr>
        <w:t>采购人将根据本次竞争性磋商采购的特点，按照《中华人民共和国政府采购法》、《政府采购竞争性磋商采购方式管理暂行办法》和其他相关法律法规规定成立磋商小组。磋商小组对响应文件进行审查、质疑、评估和比较，并进行磋商。</w:t>
      </w:r>
      <w:r>
        <w:rPr>
          <w:rFonts w:hint="eastAsia" w:ascii="宋体" w:hAnsi="宋体"/>
          <w:sz w:val="24"/>
        </w:rPr>
        <w:t>磋商小组判断“响应文件”的响应性，仅基于“响应文件”本身而不靠外部证据。</w:t>
      </w:r>
    </w:p>
    <w:p w14:paraId="43D336DB">
      <w:pPr>
        <w:adjustRightInd w:val="0"/>
        <w:snapToGrid w:val="0"/>
        <w:spacing w:line="300" w:lineRule="auto"/>
        <w:ind w:firstLine="480" w:firstLineChars="200"/>
        <w:rPr>
          <w:rFonts w:ascii="宋体"/>
          <w:kern w:val="0"/>
          <w:sz w:val="24"/>
        </w:rPr>
      </w:pPr>
      <w:r>
        <w:rPr>
          <w:rFonts w:hint="eastAsia" w:ascii="宋体"/>
          <w:kern w:val="0"/>
          <w:sz w:val="24"/>
        </w:rPr>
        <w:t>（二）磋商</w:t>
      </w:r>
    </w:p>
    <w:p w14:paraId="57462808">
      <w:pPr>
        <w:adjustRightInd w:val="0"/>
        <w:snapToGrid w:val="0"/>
        <w:spacing w:line="300" w:lineRule="auto"/>
        <w:ind w:firstLine="480" w:firstLineChars="200"/>
        <w:rPr>
          <w:rFonts w:ascii="宋体"/>
          <w:kern w:val="0"/>
          <w:sz w:val="24"/>
        </w:rPr>
      </w:pPr>
      <w:r>
        <w:rPr>
          <w:rFonts w:hint="eastAsia" w:ascii="宋体"/>
          <w:kern w:val="0"/>
          <w:sz w:val="24"/>
        </w:rPr>
        <w:t>1、磋商小组成员按照客观、公正、审慎的原则，根据磋商文件规定的评审程序、评审方法和评审标准进行独立评审。未实质性响应磋商文件的响应文件按无效响应处理，磋商小组应当告知提交响应文件的供应商。</w:t>
      </w:r>
      <w:r>
        <w:rPr>
          <w:rFonts w:hint="eastAsia" w:ascii="MS Mincho" w:hAnsi="MS Mincho" w:eastAsia="MS Mincho" w:cs="MS Mincho"/>
          <w:kern w:val="0"/>
          <w:sz w:val="24"/>
        </w:rPr>
        <w:t> </w:t>
      </w:r>
      <w:r>
        <w:rPr>
          <w:rFonts w:hint="eastAsia" w:ascii="宋体"/>
          <w:kern w:val="0"/>
          <w:sz w:val="24"/>
        </w:rPr>
        <w:t>磋商文件内容违反国家有关强制性规定的，磋商小组应当停止评审并向采购人或者采购代理机构说明情况</w:t>
      </w:r>
    </w:p>
    <w:p w14:paraId="3FAA0EAC">
      <w:pPr>
        <w:adjustRightInd w:val="0"/>
        <w:snapToGrid w:val="0"/>
        <w:spacing w:line="300" w:lineRule="auto"/>
        <w:ind w:firstLine="480" w:firstLineChars="200"/>
        <w:rPr>
          <w:rFonts w:ascii="宋体"/>
          <w:kern w:val="0"/>
          <w:sz w:val="24"/>
        </w:rPr>
      </w:pPr>
      <w:r>
        <w:rPr>
          <w:rFonts w:hint="eastAsia" w:ascii="宋体"/>
          <w:kern w:val="0"/>
          <w:sz w:val="24"/>
        </w:rPr>
        <w:t>2、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71740A8">
      <w:pPr>
        <w:adjustRightInd w:val="0"/>
        <w:snapToGrid w:val="0"/>
        <w:spacing w:line="300" w:lineRule="auto"/>
        <w:ind w:firstLine="480" w:firstLineChars="200"/>
        <w:rPr>
          <w:rFonts w:ascii="宋体"/>
          <w:kern w:val="0"/>
          <w:sz w:val="24"/>
        </w:rPr>
      </w:pPr>
      <w:r>
        <w:rPr>
          <w:rFonts w:hint="eastAsia" w:ascii="宋体"/>
          <w:kern w:val="0"/>
          <w:sz w:val="24"/>
        </w:rPr>
        <w:t>3、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9070366">
      <w:pPr>
        <w:adjustRightInd w:val="0"/>
        <w:snapToGrid w:val="0"/>
        <w:spacing w:line="300" w:lineRule="auto"/>
        <w:ind w:firstLine="120" w:firstLineChars="50"/>
        <w:rPr>
          <w:rFonts w:ascii="宋体"/>
          <w:kern w:val="0"/>
          <w:sz w:val="24"/>
        </w:rPr>
      </w:pPr>
      <w:r>
        <w:rPr>
          <w:rFonts w:hint="eastAsia" w:ascii="宋体"/>
          <w:kern w:val="0"/>
          <w:sz w:val="24"/>
        </w:rPr>
        <w:t>　</w:t>
      </w:r>
      <w:r>
        <w:rPr>
          <w:rFonts w:hint="eastAsia" w:ascii="宋体"/>
          <w:kern w:val="0"/>
          <w:sz w:val="24"/>
          <w:lang w:val="en-US" w:eastAsia="zh-CN"/>
        </w:rPr>
        <w:t xml:space="preserve"> </w:t>
      </w:r>
      <w:r>
        <w:rPr>
          <w:rFonts w:hint="eastAsia" w:ascii="宋体"/>
          <w:kern w:val="0"/>
          <w:sz w:val="24"/>
        </w:rPr>
        <w:t>4、磋商小组所有成员应当集中与单一供应商分别进行磋商，并给予所有参加磋商的供应商平等的磋商机会。</w:t>
      </w:r>
    </w:p>
    <w:p w14:paraId="6A152836">
      <w:pPr>
        <w:adjustRightInd w:val="0"/>
        <w:snapToGrid w:val="0"/>
        <w:spacing w:line="300" w:lineRule="auto"/>
        <w:ind w:firstLine="480" w:firstLineChars="200"/>
        <w:rPr>
          <w:rFonts w:ascii="宋体"/>
          <w:kern w:val="0"/>
          <w:sz w:val="24"/>
        </w:rPr>
      </w:pPr>
      <w:r>
        <w:rPr>
          <w:rFonts w:hint="eastAsia" w:ascii="宋体"/>
          <w:kern w:val="0"/>
          <w:sz w:val="24"/>
        </w:rPr>
        <w:t>5、在磋商过程中，磋商小组可以根据磋商文件和磋商情况实质性变动采购需求中的技术、服务要求以及合同草案条款，但不得变动磋商文件中的其他内容。实质性变动的内容，须经采购人代表确认。</w:t>
      </w:r>
    </w:p>
    <w:p w14:paraId="3403223A">
      <w:pPr>
        <w:adjustRightInd w:val="0"/>
        <w:snapToGrid w:val="0"/>
        <w:spacing w:line="300" w:lineRule="auto"/>
        <w:ind w:firstLine="480" w:firstLineChars="200"/>
        <w:rPr>
          <w:rFonts w:ascii="宋体"/>
          <w:kern w:val="0"/>
          <w:sz w:val="24"/>
        </w:rPr>
      </w:pPr>
      <w:r>
        <w:rPr>
          <w:rFonts w:hint="eastAsia" w:ascii="宋体"/>
          <w:kern w:val="0"/>
          <w:sz w:val="24"/>
        </w:rPr>
        <w:t>对磋商文件作出的实质性变动是磋商文件的有效组成部分，磋商小组应当及时以书面形式同时通知所有参加磋商的供应商。</w:t>
      </w:r>
    </w:p>
    <w:p w14:paraId="267ACF19">
      <w:pPr>
        <w:adjustRightInd w:val="0"/>
        <w:snapToGrid w:val="0"/>
        <w:spacing w:line="300" w:lineRule="auto"/>
        <w:ind w:firstLine="480" w:firstLineChars="200"/>
        <w:rPr>
          <w:rFonts w:ascii="宋体"/>
          <w:kern w:val="0"/>
          <w:sz w:val="24"/>
        </w:rPr>
      </w:pPr>
      <w:r>
        <w:rPr>
          <w:rFonts w:hint="eastAsia" w:ascii="宋体"/>
          <w:kern w:val="0"/>
          <w:sz w:val="24"/>
        </w:rPr>
        <w:t>6、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6827C26F">
      <w:pPr>
        <w:adjustRightInd w:val="0"/>
        <w:snapToGrid w:val="0"/>
        <w:spacing w:line="300" w:lineRule="auto"/>
        <w:ind w:firstLine="480" w:firstLineChars="200"/>
        <w:rPr>
          <w:rFonts w:ascii="宋体"/>
          <w:kern w:val="0"/>
          <w:sz w:val="24"/>
        </w:rPr>
      </w:pPr>
      <w:r>
        <w:rPr>
          <w:rFonts w:hint="eastAsia" w:ascii="宋体"/>
          <w:kern w:val="0"/>
          <w:sz w:val="24"/>
        </w:rPr>
        <w:t>7、磋商文件能够详细列明采购标的的技术、服务要求的，磋商结束后，磋商小组应当要求所有实质性响应的供应商在规定时间内提交最后报价，提交最后报价的供应商不得少于3家。</w:t>
      </w:r>
    </w:p>
    <w:p w14:paraId="3F0CF39E">
      <w:pPr>
        <w:adjustRightInd w:val="0"/>
        <w:snapToGrid w:val="0"/>
        <w:spacing w:line="300" w:lineRule="auto"/>
        <w:ind w:firstLine="480" w:firstLineChars="200"/>
        <w:rPr>
          <w:rFonts w:ascii="宋体"/>
          <w:kern w:val="0"/>
          <w:sz w:val="24"/>
        </w:rPr>
      </w:pPr>
      <w:r>
        <w:rPr>
          <w:rFonts w:hint="eastAsia" w:ascii="宋体"/>
          <w:kern w:val="0"/>
          <w:sz w:val="24"/>
        </w:rPr>
        <w:t>8、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8EE49E8">
      <w:pPr>
        <w:adjustRightInd w:val="0"/>
        <w:snapToGrid w:val="0"/>
        <w:spacing w:line="300" w:lineRule="auto"/>
        <w:rPr>
          <w:rFonts w:ascii="宋体"/>
          <w:kern w:val="0"/>
          <w:sz w:val="24"/>
        </w:rPr>
      </w:pPr>
      <w:r>
        <w:rPr>
          <w:rFonts w:hint="eastAsia" w:ascii="宋体"/>
          <w:kern w:val="0"/>
          <w:sz w:val="24"/>
        </w:rPr>
        <w:t>　最后报价是供应商响应文件的有效组成部分。</w:t>
      </w:r>
      <w:r>
        <w:rPr>
          <w:rFonts w:ascii="宋体"/>
          <w:kern w:val="0"/>
          <w:sz w:val="24"/>
        </w:rPr>
        <w:t>采用竞争性磋商采购方式采购的政府购买服务项目（含政府和社会资本合作项目），在采购过程中符合要求的供应商（社会资本）只有2家的，竞争性磋商采购活动可以继续进行。</w:t>
      </w:r>
    </w:p>
    <w:p w14:paraId="203C0324">
      <w:pPr>
        <w:adjustRightInd w:val="0"/>
        <w:snapToGrid w:val="0"/>
        <w:spacing w:line="300" w:lineRule="auto"/>
        <w:ind w:firstLine="120" w:firstLineChars="50"/>
        <w:rPr>
          <w:rFonts w:ascii="宋体"/>
          <w:kern w:val="0"/>
          <w:sz w:val="24"/>
        </w:rPr>
      </w:pPr>
      <w:r>
        <w:rPr>
          <w:rFonts w:hint="eastAsia" w:ascii="宋体"/>
          <w:kern w:val="0"/>
          <w:sz w:val="24"/>
        </w:rPr>
        <w:t>　</w:t>
      </w:r>
      <w:r>
        <w:rPr>
          <w:rFonts w:hint="eastAsia" w:ascii="宋体"/>
          <w:kern w:val="0"/>
          <w:sz w:val="24"/>
          <w:lang w:val="en-US" w:eastAsia="zh-CN"/>
        </w:rPr>
        <w:t xml:space="preserve"> </w:t>
      </w:r>
      <w:r>
        <w:rPr>
          <w:rFonts w:hint="eastAsia" w:ascii="宋体"/>
          <w:kern w:val="0"/>
          <w:sz w:val="24"/>
        </w:rPr>
        <w:t>9、已提交响应文件的供应商，在提交最后报价之前，可以根据磋商情况退出磋商。采购人、采购代理机构应当退还退出磋商的供应商的磋商保证金。</w:t>
      </w:r>
    </w:p>
    <w:p w14:paraId="1EDC024C">
      <w:pPr>
        <w:adjustRightInd w:val="0"/>
        <w:snapToGrid w:val="0"/>
        <w:spacing w:line="300" w:lineRule="auto"/>
        <w:ind w:firstLine="480" w:firstLineChars="200"/>
        <w:rPr>
          <w:rFonts w:ascii="宋体"/>
          <w:kern w:val="0"/>
          <w:sz w:val="24"/>
        </w:rPr>
      </w:pPr>
      <w:r>
        <w:rPr>
          <w:rFonts w:hint="eastAsia" w:ascii="宋体"/>
          <w:kern w:val="0"/>
          <w:sz w:val="24"/>
        </w:rPr>
        <w:t>10、经磋商确定最终采购需求和提交最后报价的供应商后，由磋商小组采用综合评分法对提交最后报价的供应商的响应文件和最后报价进行综合评分。</w:t>
      </w:r>
    </w:p>
    <w:p w14:paraId="750F95ED">
      <w:pPr>
        <w:adjustRightInd w:val="0"/>
        <w:snapToGrid w:val="0"/>
        <w:spacing w:line="300" w:lineRule="auto"/>
        <w:ind w:firstLine="480" w:firstLineChars="200"/>
        <w:rPr>
          <w:rFonts w:ascii="宋体"/>
          <w:kern w:val="0"/>
          <w:sz w:val="24"/>
        </w:rPr>
      </w:pPr>
      <w:r>
        <w:rPr>
          <w:rFonts w:hint="eastAsia" w:ascii="宋体"/>
          <w:kern w:val="0"/>
          <w:sz w:val="24"/>
        </w:rPr>
        <w:t>11、评审时，磋商小组各成员应当独立对每个有效响应的文件进行评价、打分，然后汇总每个供应商每项评分因素的得分。</w:t>
      </w:r>
    </w:p>
    <w:p w14:paraId="2DE71F88">
      <w:pPr>
        <w:adjustRightInd w:val="0"/>
        <w:snapToGrid w:val="0"/>
        <w:spacing w:line="300" w:lineRule="auto"/>
        <w:ind w:firstLine="480" w:firstLineChars="200"/>
        <w:rPr>
          <w:rFonts w:ascii="MS Mincho" w:hAnsi="MS Mincho" w:cs="MS Mincho" w:eastAsiaTheme="minorEastAsia"/>
          <w:kern w:val="0"/>
          <w:sz w:val="24"/>
        </w:rPr>
      </w:pPr>
      <w:r>
        <w:rPr>
          <w:rFonts w:hint="eastAsia" w:ascii="宋体"/>
          <w:kern w:val="0"/>
          <w:sz w:val="24"/>
        </w:rPr>
        <w:t>12、综合评分法中的价格分统一采用低价优先法计算，即满足磋商文件要求且最后报价最低的供应商的价格为磋商基准价，其价格分为满分。</w:t>
      </w:r>
      <w:r>
        <w:rPr>
          <w:rFonts w:hint="eastAsia" w:ascii="MS Mincho" w:hAnsi="MS Mincho" w:eastAsia="MS Mincho" w:cs="MS Mincho"/>
          <w:kern w:val="0"/>
          <w:sz w:val="24"/>
        </w:rPr>
        <w:t> </w:t>
      </w:r>
    </w:p>
    <w:p w14:paraId="4CCBE8F8">
      <w:pPr>
        <w:adjustRightInd w:val="0"/>
        <w:snapToGrid w:val="0"/>
        <w:spacing w:line="300" w:lineRule="auto"/>
        <w:ind w:firstLine="480" w:firstLineChars="200"/>
        <w:rPr>
          <w:rFonts w:ascii="宋体"/>
          <w:kern w:val="0"/>
          <w:sz w:val="24"/>
        </w:rPr>
      </w:pPr>
      <w:r>
        <w:rPr>
          <w:rFonts w:hint="eastAsia" w:ascii="宋体"/>
          <w:kern w:val="0"/>
          <w:sz w:val="24"/>
        </w:rPr>
        <w:t>磋商报价得分＝（磋商基准价/最后磋商报价）×价格权值×100</w:t>
      </w:r>
      <w:r>
        <w:rPr>
          <w:rFonts w:hint="eastAsia" w:ascii="MS Mincho" w:hAnsi="MS Mincho" w:eastAsia="MS Mincho" w:cs="MS Mincho"/>
          <w:kern w:val="0"/>
          <w:sz w:val="24"/>
        </w:rPr>
        <w:t> </w:t>
      </w:r>
    </w:p>
    <w:p w14:paraId="2068CB9F">
      <w:pPr>
        <w:adjustRightInd w:val="0"/>
        <w:snapToGrid w:val="0"/>
        <w:spacing w:line="300" w:lineRule="auto"/>
        <w:ind w:firstLine="480" w:firstLineChars="200"/>
        <w:rPr>
          <w:rFonts w:ascii="宋体"/>
          <w:kern w:val="0"/>
          <w:sz w:val="24"/>
        </w:rPr>
      </w:pPr>
      <w:r>
        <w:rPr>
          <w:rFonts w:hint="eastAsia" w:ascii="宋体"/>
          <w:kern w:val="0"/>
          <w:sz w:val="24"/>
        </w:rPr>
        <w:t>13、磋商小组根据综合评分情况，按照评审得分由高到低顺序推荐成交候选供应商</w:t>
      </w:r>
    </w:p>
    <w:p w14:paraId="359DADEC">
      <w:pPr>
        <w:adjustRightInd w:val="0"/>
        <w:snapToGrid w:val="0"/>
        <w:spacing w:line="300" w:lineRule="auto"/>
        <w:ind w:firstLine="482" w:firstLineChars="200"/>
        <w:rPr>
          <w:rFonts w:ascii="宋体"/>
          <w:b/>
          <w:kern w:val="0"/>
          <w:sz w:val="24"/>
        </w:rPr>
      </w:pPr>
      <w:r>
        <w:rPr>
          <w:rFonts w:hint="eastAsia" w:ascii="宋体"/>
          <w:b/>
          <w:kern w:val="0"/>
          <w:sz w:val="24"/>
        </w:rPr>
        <w:t>六、成交通知书授予合同</w:t>
      </w:r>
    </w:p>
    <w:p w14:paraId="575390B0">
      <w:pPr>
        <w:adjustRightInd w:val="0"/>
        <w:snapToGrid w:val="0"/>
        <w:spacing w:line="380" w:lineRule="exact"/>
        <w:ind w:firstLine="480" w:firstLineChars="200"/>
        <w:rPr>
          <w:rFonts w:ascii="宋体"/>
          <w:kern w:val="0"/>
          <w:sz w:val="24"/>
        </w:rPr>
      </w:pPr>
      <w:r>
        <w:rPr>
          <w:rFonts w:hint="eastAsia" w:ascii="宋体"/>
          <w:kern w:val="0"/>
          <w:sz w:val="24"/>
        </w:rPr>
        <w:t>（二）成交通知书</w:t>
      </w:r>
    </w:p>
    <w:p w14:paraId="52AB08D8">
      <w:pPr>
        <w:adjustRightInd w:val="0"/>
        <w:snapToGrid w:val="0"/>
        <w:spacing w:line="380" w:lineRule="exact"/>
        <w:ind w:firstLine="480" w:firstLineChars="200"/>
        <w:rPr>
          <w:rFonts w:ascii="宋体"/>
          <w:kern w:val="0"/>
          <w:sz w:val="24"/>
        </w:rPr>
      </w:pPr>
      <w:r>
        <w:rPr>
          <w:rFonts w:hint="eastAsia" w:ascii="宋体"/>
          <w:kern w:val="0"/>
          <w:sz w:val="24"/>
        </w:rPr>
        <w:t>采购人或者采购代理机构应当在成交供应商确定后1个工作日内，采购信息发布媒体上公告成交结果，同时向成交供应商发出成交通知书。</w:t>
      </w:r>
    </w:p>
    <w:p w14:paraId="06DE7824">
      <w:pPr>
        <w:adjustRightInd w:val="0"/>
        <w:snapToGrid w:val="0"/>
        <w:spacing w:line="300" w:lineRule="auto"/>
        <w:ind w:firstLine="480" w:firstLineChars="200"/>
        <w:rPr>
          <w:rFonts w:ascii="宋体"/>
          <w:kern w:val="0"/>
          <w:sz w:val="24"/>
        </w:rPr>
      </w:pPr>
      <w:r>
        <w:rPr>
          <w:rFonts w:hint="eastAsia" w:ascii="宋体"/>
          <w:kern w:val="0"/>
          <w:sz w:val="24"/>
        </w:rPr>
        <w:t>（四）签订合同</w:t>
      </w:r>
    </w:p>
    <w:p w14:paraId="5543F37A">
      <w:pPr>
        <w:adjustRightInd w:val="0"/>
        <w:snapToGrid w:val="0"/>
        <w:spacing w:line="380" w:lineRule="exact"/>
        <w:ind w:firstLine="480" w:firstLineChars="200"/>
        <w:rPr>
          <w:rFonts w:ascii="宋体"/>
          <w:kern w:val="0"/>
          <w:sz w:val="24"/>
        </w:rPr>
      </w:pPr>
      <w:r>
        <w:rPr>
          <w:rFonts w:ascii="宋体"/>
          <w:kern w:val="0"/>
          <w:sz w:val="24"/>
        </w:rPr>
        <w:t>1</w:t>
      </w:r>
      <w:r>
        <w:rPr>
          <w:rFonts w:hint="eastAsia" w:ascii="宋体"/>
          <w:kern w:val="0"/>
          <w:sz w:val="24"/>
        </w:rPr>
        <w:t>、成交方应按规定签订合同。</w:t>
      </w:r>
    </w:p>
    <w:p w14:paraId="1DB7ED1C">
      <w:pPr>
        <w:adjustRightInd w:val="0"/>
        <w:snapToGrid w:val="0"/>
        <w:spacing w:line="380" w:lineRule="exact"/>
        <w:ind w:firstLine="480" w:firstLineChars="200"/>
        <w:rPr>
          <w:rFonts w:ascii="宋体"/>
          <w:kern w:val="0"/>
          <w:sz w:val="24"/>
        </w:rPr>
      </w:pPr>
      <w:r>
        <w:rPr>
          <w:rFonts w:ascii="宋体"/>
          <w:kern w:val="0"/>
          <w:sz w:val="24"/>
        </w:rPr>
        <w:t>2</w:t>
      </w:r>
      <w:r>
        <w:rPr>
          <w:rFonts w:hint="eastAsia" w:ascii="宋体"/>
          <w:kern w:val="0"/>
          <w:sz w:val="24"/>
        </w:rPr>
        <w:t>、磋商文件、成交方的响应文件及修改文件、磋商过程中有关澄清文件及经双方签字的询标纪要和成交通知书均作为合同附件。</w:t>
      </w:r>
    </w:p>
    <w:p w14:paraId="75F32807">
      <w:pPr>
        <w:adjustRightInd w:val="0"/>
        <w:snapToGrid w:val="0"/>
        <w:spacing w:line="380" w:lineRule="exact"/>
        <w:ind w:firstLine="480" w:firstLineChars="200"/>
        <w:rPr>
          <w:rFonts w:ascii="宋体"/>
          <w:kern w:val="0"/>
          <w:sz w:val="24"/>
        </w:rPr>
      </w:pPr>
      <w:r>
        <w:rPr>
          <w:rFonts w:ascii="宋体"/>
          <w:kern w:val="0"/>
          <w:sz w:val="24"/>
        </w:rPr>
        <w:t>3</w:t>
      </w:r>
      <w:r>
        <w:rPr>
          <w:rFonts w:hint="eastAsia" w:ascii="宋体"/>
          <w:kern w:val="0"/>
          <w:sz w:val="24"/>
        </w:rPr>
        <w:t>、拒签合同的责任，成交方拒收成交通知书或接到成交通知书后，在规定时间内借故否认已经承诺的条件而拒签合同，以违约处理，其保证金不予退回，并赔偿由此造成的经济损失。</w:t>
      </w:r>
    </w:p>
    <w:p w14:paraId="76332998">
      <w:pPr>
        <w:adjustRightInd w:val="0"/>
        <w:snapToGrid w:val="0"/>
        <w:spacing w:line="300" w:lineRule="auto"/>
        <w:ind w:firstLine="480" w:firstLineChars="200"/>
        <w:rPr>
          <w:rFonts w:ascii="宋体"/>
          <w:b/>
          <w:bCs/>
          <w:kern w:val="0"/>
          <w:sz w:val="30"/>
          <w:szCs w:val="20"/>
        </w:rPr>
      </w:pPr>
      <w:r>
        <w:rPr>
          <w:rFonts w:hint="eastAsia" w:ascii="宋体"/>
          <w:kern w:val="0"/>
          <w:sz w:val="24"/>
        </w:rPr>
        <w:t>4、 成交供应商拒绝签订政府采购合同的，采购人可以按照</w:t>
      </w:r>
      <w:r>
        <w:rPr>
          <w:rFonts w:hint="eastAsia"/>
          <w:kern w:val="0"/>
          <w:sz w:val="24"/>
        </w:rPr>
        <w:t>《政府采购竞争性磋商采购方式管理暂行办法》</w:t>
      </w:r>
      <w:r>
        <w:rPr>
          <w:rFonts w:hint="eastAsia" w:ascii="宋体"/>
          <w:kern w:val="0"/>
          <w:sz w:val="24"/>
        </w:rPr>
        <w:t>第二十八条第二款规定的原则确定其他供应商作为成交供应商并签订政府采购合同，也可以重新开展采购活动。拒绝签订政府采购合同的成交供应商不得参加对该项目重新开展的采购活动。</w:t>
      </w:r>
    </w:p>
    <w:p w14:paraId="63D363A8">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258" w:rightChars="123" w:firstLine="3213" w:firstLineChars="1000"/>
        <w:rPr>
          <w:rFonts w:ascii="宋体"/>
          <w:b/>
          <w:bCs/>
          <w:kern w:val="0"/>
          <w:sz w:val="32"/>
          <w:szCs w:val="32"/>
        </w:rPr>
      </w:pPr>
      <w:r>
        <w:rPr>
          <w:rFonts w:ascii="宋体"/>
          <w:b/>
          <w:bCs/>
          <w:kern w:val="0"/>
          <w:sz w:val="32"/>
          <w:szCs w:val="32"/>
        </w:rPr>
        <w:br w:type="page"/>
      </w:r>
      <w:r>
        <w:rPr>
          <w:rFonts w:hint="eastAsia" w:ascii="宋体"/>
          <w:b/>
          <w:bCs/>
          <w:kern w:val="0"/>
          <w:sz w:val="32"/>
          <w:szCs w:val="32"/>
        </w:rPr>
        <w:t>第四部分   评审办法</w:t>
      </w:r>
    </w:p>
    <w:p w14:paraId="0B097732">
      <w:pPr>
        <w:spacing w:line="520" w:lineRule="exact"/>
        <w:ind w:firstLine="480" w:firstLineChars="200"/>
        <w:rPr>
          <w:rFonts w:ascii="宋体"/>
          <w:kern w:val="0"/>
          <w:sz w:val="24"/>
        </w:rPr>
      </w:pPr>
      <w:r>
        <w:rPr>
          <w:rFonts w:hint="eastAsia" w:ascii="宋体"/>
          <w:kern w:val="0"/>
          <w:sz w:val="24"/>
        </w:rPr>
        <w:t>一、采购人将组织磋商小组，对响应供应商提供价格的合理性、方案的先进性、服务的可靠性及售后服务进行评审。</w:t>
      </w:r>
    </w:p>
    <w:p w14:paraId="244CEB7A">
      <w:pPr>
        <w:spacing w:line="520" w:lineRule="exact"/>
        <w:ind w:firstLine="480" w:firstLineChars="200"/>
        <w:rPr>
          <w:rFonts w:ascii="宋体"/>
          <w:kern w:val="0"/>
          <w:sz w:val="24"/>
        </w:rPr>
      </w:pPr>
      <w:r>
        <w:rPr>
          <w:rFonts w:hint="eastAsia" w:ascii="宋体"/>
          <w:kern w:val="0"/>
          <w:sz w:val="24"/>
        </w:rPr>
        <w:t>二、决标办法</w:t>
      </w:r>
    </w:p>
    <w:p w14:paraId="58DAF609">
      <w:pPr>
        <w:spacing w:line="520" w:lineRule="exact"/>
        <w:ind w:firstLine="720" w:firstLineChars="300"/>
        <w:rPr>
          <w:rFonts w:ascii="宋体"/>
          <w:bCs/>
          <w:kern w:val="0"/>
          <w:sz w:val="24"/>
        </w:rPr>
      </w:pPr>
      <w:r>
        <w:rPr>
          <w:rFonts w:hint="eastAsia" w:ascii="宋体"/>
          <w:kern w:val="0"/>
          <w:sz w:val="24"/>
        </w:rPr>
        <w:t>本项目为竞争性磋商，故有</w:t>
      </w:r>
      <w:r>
        <w:rPr>
          <w:rFonts w:hint="eastAsia" w:ascii="宋体"/>
          <w:kern w:val="0"/>
          <w:sz w:val="24"/>
          <w:lang w:val="en-US" w:eastAsia="zh-CN"/>
        </w:rPr>
        <w:t>磋商和</w:t>
      </w:r>
      <w:r>
        <w:rPr>
          <w:rFonts w:hint="eastAsia" w:ascii="宋体"/>
          <w:kern w:val="0"/>
          <w:sz w:val="24"/>
        </w:rPr>
        <w:t>二次报价</w:t>
      </w:r>
      <w:r>
        <w:rPr>
          <w:rFonts w:hint="eastAsia" w:ascii="宋体"/>
          <w:kern w:val="0"/>
          <w:sz w:val="24"/>
          <w:lang w:val="en-US" w:eastAsia="zh-CN"/>
        </w:rPr>
        <w:t>环节</w:t>
      </w:r>
      <w:r>
        <w:rPr>
          <w:rFonts w:hint="eastAsia" w:ascii="宋体"/>
          <w:kern w:val="0"/>
          <w:sz w:val="24"/>
        </w:rPr>
        <w:t>，第二次报价后，</w:t>
      </w:r>
      <w:r>
        <w:rPr>
          <w:rFonts w:hint="eastAsia" w:ascii="宋体"/>
          <w:bCs/>
          <w:kern w:val="0"/>
          <w:sz w:val="24"/>
        </w:rPr>
        <w:t>经磋商确定最终采购需求和提交最后报价的供应商后，由磋商小组采用综合评分法对提交最后报价的供应商的响应文件和最后报价进行综合评分。综合得分最高的投标人为第一</w:t>
      </w:r>
      <w:r>
        <w:rPr>
          <w:rFonts w:hint="eastAsia" w:ascii="宋体"/>
          <w:bCs/>
          <w:kern w:val="0"/>
          <w:sz w:val="24"/>
          <w:lang w:eastAsia="zh-CN"/>
        </w:rPr>
        <w:t>成交</w:t>
      </w:r>
      <w:r>
        <w:rPr>
          <w:rFonts w:hint="eastAsia" w:ascii="宋体"/>
          <w:bCs/>
          <w:kern w:val="0"/>
          <w:sz w:val="24"/>
        </w:rPr>
        <w:t>候选供应商，综合得分次高的投标人为第二</w:t>
      </w:r>
      <w:r>
        <w:rPr>
          <w:rFonts w:hint="eastAsia" w:ascii="宋体"/>
          <w:bCs/>
          <w:kern w:val="0"/>
          <w:sz w:val="24"/>
          <w:lang w:eastAsia="zh-CN"/>
        </w:rPr>
        <w:t>成交</w:t>
      </w:r>
      <w:r>
        <w:rPr>
          <w:rFonts w:hint="eastAsia" w:ascii="宋体"/>
          <w:bCs/>
          <w:kern w:val="0"/>
          <w:sz w:val="24"/>
        </w:rPr>
        <w:t>候选供应商。</w:t>
      </w:r>
    </w:p>
    <w:p w14:paraId="6E112841">
      <w:pPr>
        <w:spacing w:line="360" w:lineRule="exact"/>
        <w:jc w:val="center"/>
        <w:rPr>
          <w:rFonts w:ascii="宋体"/>
          <w:b/>
          <w:bCs/>
          <w:kern w:val="0"/>
          <w:sz w:val="30"/>
          <w:szCs w:val="30"/>
        </w:rPr>
      </w:pPr>
      <w:r>
        <w:rPr>
          <w:rFonts w:hint="eastAsia" w:ascii="宋体"/>
          <w:b/>
          <w:bCs/>
          <w:kern w:val="0"/>
          <w:sz w:val="30"/>
          <w:szCs w:val="30"/>
        </w:rPr>
        <w:t>初步审查表</w:t>
      </w:r>
    </w:p>
    <w:p w14:paraId="06758C76">
      <w:pPr>
        <w:spacing w:line="360" w:lineRule="exact"/>
        <w:rPr>
          <w:rFonts w:hint="eastAsia" w:ascii="宋体" w:eastAsia="宋体"/>
          <w:bCs/>
          <w:kern w:val="0"/>
          <w:sz w:val="24"/>
          <w:lang w:eastAsia="zh-CN"/>
        </w:rPr>
      </w:pPr>
      <w:r>
        <w:rPr>
          <w:rFonts w:hint="eastAsia" w:ascii="宋体"/>
          <w:bCs/>
          <w:kern w:val="0"/>
          <w:sz w:val="24"/>
        </w:rPr>
        <w:t>项目名称：</w:t>
      </w:r>
      <w:r>
        <w:rPr>
          <w:rFonts w:hint="eastAsia" w:ascii="宋体"/>
          <w:bCs/>
          <w:kern w:val="0"/>
          <w:sz w:val="24"/>
          <w:lang w:eastAsia="zh-CN"/>
        </w:rPr>
        <w:t>海南政法职业学院教务管理系统项目</w:t>
      </w:r>
    </w:p>
    <w:p w14:paraId="3F0BA84A">
      <w:pPr>
        <w:spacing w:line="360" w:lineRule="exact"/>
        <w:rPr>
          <w:rFonts w:hint="eastAsia" w:ascii="宋体" w:eastAsia="宋体"/>
          <w:bCs/>
          <w:kern w:val="0"/>
          <w:sz w:val="24"/>
          <w:lang w:eastAsia="zh-CN"/>
        </w:rPr>
      </w:pPr>
      <w:r>
        <w:rPr>
          <w:rFonts w:hint="eastAsia" w:ascii="宋体"/>
          <w:bCs/>
          <w:kern w:val="0"/>
          <w:sz w:val="24"/>
        </w:rPr>
        <w:t>项目编号：</w:t>
      </w:r>
      <w:r>
        <w:rPr>
          <w:rFonts w:hint="eastAsia" w:ascii="宋体"/>
          <w:bCs/>
          <w:kern w:val="0"/>
          <w:sz w:val="24"/>
          <w:lang w:eastAsia="zh-CN"/>
        </w:rPr>
        <w:t>HNJY2025-14-4</w:t>
      </w:r>
    </w:p>
    <w:tbl>
      <w:tblPr>
        <w:tblStyle w:val="37"/>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547"/>
        <w:gridCol w:w="3476"/>
        <w:gridCol w:w="1134"/>
        <w:gridCol w:w="992"/>
        <w:gridCol w:w="993"/>
        <w:gridCol w:w="1069"/>
      </w:tblGrid>
      <w:tr w14:paraId="0C9B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59" w:type="dxa"/>
            <w:tcBorders>
              <w:top w:val="single" w:color="auto" w:sz="4" w:space="0"/>
              <w:left w:val="single" w:color="auto" w:sz="4" w:space="0"/>
              <w:bottom w:val="single" w:color="auto" w:sz="4" w:space="0"/>
              <w:right w:val="single" w:color="auto" w:sz="4" w:space="0"/>
            </w:tcBorders>
            <w:noWrap/>
            <w:vAlign w:val="center"/>
          </w:tcPr>
          <w:p w14:paraId="20A2A973">
            <w:pPr>
              <w:spacing w:line="360" w:lineRule="exact"/>
              <w:jc w:val="center"/>
              <w:rPr>
                <w:rFonts w:ascii="宋体" w:hAnsi="宋体"/>
                <w:sz w:val="24"/>
              </w:rPr>
            </w:pPr>
            <w:r>
              <w:rPr>
                <w:rFonts w:hint="eastAsia" w:ascii="宋体" w:hAnsi="宋体"/>
                <w:sz w:val="24"/>
              </w:rPr>
              <w:t>序号</w:t>
            </w:r>
          </w:p>
        </w:tc>
        <w:tc>
          <w:tcPr>
            <w:tcW w:w="1547" w:type="dxa"/>
            <w:tcBorders>
              <w:top w:val="single" w:color="auto" w:sz="4" w:space="0"/>
              <w:left w:val="single" w:color="auto" w:sz="4" w:space="0"/>
              <w:bottom w:val="single" w:color="auto" w:sz="4" w:space="0"/>
              <w:right w:val="single" w:color="auto" w:sz="4" w:space="0"/>
            </w:tcBorders>
            <w:noWrap/>
            <w:vAlign w:val="center"/>
          </w:tcPr>
          <w:p w14:paraId="1A99DCBC">
            <w:pPr>
              <w:spacing w:line="360" w:lineRule="exact"/>
              <w:jc w:val="center"/>
              <w:rPr>
                <w:rFonts w:ascii="宋体" w:hAnsi="宋体"/>
                <w:sz w:val="24"/>
              </w:rPr>
            </w:pPr>
            <w:r>
              <w:rPr>
                <w:rFonts w:hint="eastAsia" w:ascii="宋体" w:hAnsi="宋体"/>
                <w:sz w:val="24"/>
              </w:rPr>
              <w:t>审查项目</w:t>
            </w:r>
          </w:p>
        </w:tc>
        <w:tc>
          <w:tcPr>
            <w:tcW w:w="3476" w:type="dxa"/>
            <w:tcBorders>
              <w:top w:val="single" w:color="auto" w:sz="4" w:space="0"/>
              <w:left w:val="single" w:color="auto" w:sz="4" w:space="0"/>
              <w:bottom w:val="single" w:color="auto" w:sz="4" w:space="0"/>
              <w:right w:val="single" w:color="auto" w:sz="4" w:space="0"/>
            </w:tcBorders>
            <w:noWrap/>
            <w:vAlign w:val="center"/>
          </w:tcPr>
          <w:p w14:paraId="7F77888B">
            <w:pPr>
              <w:spacing w:line="360" w:lineRule="exact"/>
              <w:jc w:val="center"/>
              <w:rPr>
                <w:rFonts w:ascii="宋体" w:hAnsi="宋体"/>
                <w:sz w:val="24"/>
              </w:rPr>
            </w:pPr>
            <w:r>
              <w:rPr>
                <w:rFonts w:hint="eastAsia" w:ascii="宋体" w:hAnsi="宋体"/>
                <w:sz w:val="24"/>
              </w:rPr>
              <w:t>评议内容（投标认定条件）</w:t>
            </w:r>
          </w:p>
        </w:tc>
        <w:tc>
          <w:tcPr>
            <w:tcW w:w="1134" w:type="dxa"/>
            <w:tcBorders>
              <w:top w:val="single" w:color="auto" w:sz="4" w:space="0"/>
              <w:left w:val="single" w:color="auto" w:sz="4" w:space="0"/>
              <w:bottom w:val="single" w:color="auto" w:sz="4" w:space="0"/>
              <w:right w:val="single" w:color="auto" w:sz="4" w:space="0"/>
            </w:tcBorders>
            <w:noWrap/>
            <w:vAlign w:val="center"/>
          </w:tcPr>
          <w:p w14:paraId="7694175A">
            <w:pPr>
              <w:spacing w:line="360" w:lineRule="exact"/>
              <w:jc w:val="center"/>
              <w:rPr>
                <w:rFonts w:ascii="宋体" w:hAnsi="宋体"/>
                <w:b/>
              </w:rPr>
            </w:pPr>
            <w:r>
              <w:rPr>
                <w:rFonts w:hint="eastAsia" w:ascii="宋体" w:hAnsi="宋体"/>
                <w:b/>
              </w:rPr>
              <w:t>供应商1</w:t>
            </w:r>
          </w:p>
        </w:tc>
        <w:tc>
          <w:tcPr>
            <w:tcW w:w="992" w:type="dxa"/>
            <w:tcBorders>
              <w:top w:val="single" w:color="auto" w:sz="4" w:space="0"/>
              <w:left w:val="single" w:color="auto" w:sz="4" w:space="0"/>
              <w:bottom w:val="single" w:color="auto" w:sz="4" w:space="0"/>
              <w:right w:val="single" w:color="auto" w:sz="4" w:space="0"/>
            </w:tcBorders>
            <w:noWrap/>
            <w:vAlign w:val="center"/>
          </w:tcPr>
          <w:p w14:paraId="2E5F8943">
            <w:pPr>
              <w:spacing w:line="360" w:lineRule="exact"/>
              <w:jc w:val="center"/>
              <w:rPr>
                <w:rFonts w:ascii="宋体" w:hAnsi="宋体"/>
                <w:b/>
              </w:rPr>
            </w:pPr>
            <w:r>
              <w:rPr>
                <w:rFonts w:hint="eastAsia" w:ascii="宋体" w:hAnsi="宋体"/>
                <w:b/>
              </w:rPr>
              <w:t>供应商2</w:t>
            </w:r>
          </w:p>
        </w:tc>
        <w:tc>
          <w:tcPr>
            <w:tcW w:w="993" w:type="dxa"/>
            <w:tcBorders>
              <w:top w:val="single" w:color="auto" w:sz="4" w:space="0"/>
              <w:left w:val="single" w:color="auto" w:sz="4" w:space="0"/>
              <w:bottom w:val="single" w:color="auto" w:sz="4" w:space="0"/>
              <w:right w:val="single" w:color="auto" w:sz="4" w:space="0"/>
            </w:tcBorders>
            <w:noWrap/>
            <w:vAlign w:val="center"/>
          </w:tcPr>
          <w:p w14:paraId="27A46EB9">
            <w:pPr>
              <w:spacing w:line="360" w:lineRule="exact"/>
              <w:jc w:val="center"/>
              <w:rPr>
                <w:rFonts w:ascii="宋体" w:hAnsi="宋体"/>
                <w:b/>
              </w:rPr>
            </w:pPr>
            <w:r>
              <w:rPr>
                <w:rFonts w:hint="eastAsia" w:ascii="宋体" w:hAnsi="宋体"/>
                <w:b/>
              </w:rPr>
              <w:t>供应商3</w:t>
            </w:r>
          </w:p>
        </w:tc>
        <w:tc>
          <w:tcPr>
            <w:tcW w:w="1069" w:type="dxa"/>
            <w:tcBorders>
              <w:top w:val="single" w:color="auto" w:sz="4" w:space="0"/>
              <w:left w:val="single" w:color="auto" w:sz="4" w:space="0"/>
              <w:bottom w:val="single" w:color="auto" w:sz="4" w:space="0"/>
              <w:right w:val="single" w:color="auto" w:sz="4" w:space="0"/>
            </w:tcBorders>
            <w:noWrap/>
            <w:vAlign w:val="center"/>
          </w:tcPr>
          <w:p w14:paraId="32A55988">
            <w:pPr>
              <w:spacing w:line="360" w:lineRule="exact"/>
              <w:jc w:val="center"/>
              <w:rPr>
                <w:rFonts w:ascii="宋体" w:hAnsi="宋体"/>
                <w:b/>
              </w:rPr>
            </w:pPr>
            <w:r>
              <w:rPr>
                <w:rFonts w:hint="eastAsia" w:ascii="宋体" w:hAnsi="宋体"/>
                <w:b/>
              </w:rPr>
              <w:t>供应商4</w:t>
            </w:r>
          </w:p>
        </w:tc>
      </w:tr>
      <w:tr w14:paraId="0DEB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59" w:type="dxa"/>
            <w:tcBorders>
              <w:top w:val="single" w:color="auto" w:sz="4" w:space="0"/>
              <w:left w:val="single" w:color="auto" w:sz="4" w:space="0"/>
              <w:bottom w:val="single" w:color="auto" w:sz="4" w:space="0"/>
              <w:right w:val="single" w:color="auto" w:sz="4" w:space="0"/>
            </w:tcBorders>
            <w:noWrap/>
            <w:vAlign w:val="center"/>
          </w:tcPr>
          <w:p w14:paraId="668F79E7">
            <w:pPr>
              <w:spacing w:line="360" w:lineRule="exact"/>
              <w:jc w:val="center"/>
              <w:rPr>
                <w:rFonts w:ascii="宋体" w:hAnsi="宋体"/>
                <w:sz w:val="24"/>
              </w:rPr>
            </w:pPr>
            <w:r>
              <w:rPr>
                <w:rFonts w:hint="eastAsia" w:ascii="宋体" w:hAnsi="宋体"/>
                <w:sz w:val="24"/>
              </w:rPr>
              <w:t>1</w:t>
            </w:r>
          </w:p>
        </w:tc>
        <w:tc>
          <w:tcPr>
            <w:tcW w:w="1547" w:type="dxa"/>
            <w:tcBorders>
              <w:top w:val="single" w:color="auto" w:sz="4" w:space="0"/>
              <w:left w:val="single" w:color="auto" w:sz="4" w:space="0"/>
              <w:bottom w:val="single" w:color="auto" w:sz="4" w:space="0"/>
              <w:right w:val="single" w:color="auto" w:sz="4" w:space="0"/>
            </w:tcBorders>
            <w:noWrap/>
            <w:vAlign w:val="center"/>
          </w:tcPr>
          <w:p w14:paraId="6DF05860">
            <w:pPr>
              <w:spacing w:line="360" w:lineRule="exact"/>
              <w:jc w:val="center"/>
              <w:rPr>
                <w:rFonts w:ascii="宋体" w:hAnsi="宋体"/>
                <w:sz w:val="24"/>
              </w:rPr>
            </w:pPr>
            <w:r>
              <w:rPr>
                <w:rFonts w:hint="eastAsia" w:ascii="宋体" w:hAnsi="宋体"/>
                <w:sz w:val="24"/>
              </w:rPr>
              <w:t>供应商资格</w:t>
            </w:r>
          </w:p>
        </w:tc>
        <w:tc>
          <w:tcPr>
            <w:tcW w:w="3476" w:type="dxa"/>
            <w:tcBorders>
              <w:top w:val="single" w:color="auto" w:sz="4" w:space="0"/>
              <w:left w:val="single" w:color="auto" w:sz="4" w:space="0"/>
              <w:bottom w:val="single" w:color="auto" w:sz="4" w:space="0"/>
              <w:right w:val="single" w:color="auto" w:sz="4" w:space="0"/>
            </w:tcBorders>
            <w:noWrap/>
            <w:vAlign w:val="center"/>
          </w:tcPr>
          <w:p w14:paraId="09F023AE">
            <w:pPr>
              <w:spacing w:line="360" w:lineRule="exact"/>
              <w:rPr>
                <w:rFonts w:ascii="宋体" w:hAnsi="宋体"/>
                <w:sz w:val="24"/>
              </w:rPr>
            </w:pPr>
            <w:r>
              <w:rPr>
                <w:rFonts w:hint="eastAsia" w:ascii="宋体" w:hAnsi="宋体"/>
                <w:sz w:val="24"/>
              </w:rPr>
              <w:t>是否按供应商资格要求提供合格的证件</w:t>
            </w:r>
          </w:p>
        </w:tc>
        <w:tc>
          <w:tcPr>
            <w:tcW w:w="1134" w:type="dxa"/>
            <w:tcBorders>
              <w:top w:val="single" w:color="auto" w:sz="4" w:space="0"/>
              <w:left w:val="single" w:color="auto" w:sz="4" w:space="0"/>
              <w:bottom w:val="single" w:color="auto" w:sz="4" w:space="0"/>
              <w:right w:val="single" w:color="auto" w:sz="4" w:space="0"/>
            </w:tcBorders>
            <w:noWrap/>
            <w:vAlign w:val="center"/>
          </w:tcPr>
          <w:p w14:paraId="1DDFA7AE">
            <w:pPr>
              <w:spacing w:line="360" w:lineRule="exact"/>
              <w:jc w:val="cente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FB44FD6">
            <w:pPr>
              <w:spacing w:line="360" w:lineRule="exact"/>
              <w:jc w:val="cente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202E31AB">
            <w:pPr>
              <w:spacing w:line="360" w:lineRule="exact"/>
              <w:jc w:val="center"/>
              <w:rPr>
                <w:rFonts w:ascii="宋体" w:hAnsi="宋体"/>
                <w:sz w:val="24"/>
              </w:rPr>
            </w:pPr>
          </w:p>
        </w:tc>
        <w:tc>
          <w:tcPr>
            <w:tcW w:w="1069" w:type="dxa"/>
            <w:tcBorders>
              <w:top w:val="single" w:color="auto" w:sz="4" w:space="0"/>
              <w:left w:val="single" w:color="auto" w:sz="4" w:space="0"/>
              <w:bottom w:val="single" w:color="auto" w:sz="4" w:space="0"/>
              <w:right w:val="single" w:color="auto" w:sz="4" w:space="0"/>
            </w:tcBorders>
            <w:noWrap/>
            <w:vAlign w:val="center"/>
          </w:tcPr>
          <w:p w14:paraId="06E3C3BA">
            <w:pPr>
              <w:spacing w:line="360" w:lineRule="exact"/>
              <w:jc w:val="center"/>
              <w:rPr>
                <w:rFonts w:ascii="宋体" w:hAnsi="宋体"/>
                <w:sz w:val="24"/>
              </w:rPr>
            </w:pPr>
          </w:p>
        </w:tc>
      </w:tr>
      <w:tr w14:paraId="3C69D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59" w:type="dxa"/>
            <w:tcBorders>
              <w:top w:val="single" w:color="auto" w:sz="4" w:space="0"/>
              <w:left w:val="single" w:color="auto" w:sz="4" w:space="0"/>
              <w:bottom w:val="single" w:color="auto" w:sz="4" w:space="0"/>
              <w:right w:val="single" w:color="auto" w:sz="4" w:space="0"/>
            </w:tcBorders>
            <w:noWrap/>
            <w:vAlign w:val="center"/>
          </w:tcPr>
          <w:p w14:paraId="412FF58D">
            <w:pPr>
              <w:spacing w:line="360" w:lineRule="exact"/>
              <w:jc w:val="center"/>
              <w:rPr>
                <w:rFonts w:ascii="宋体" w:hAnsi="宋体"/>
                <w:sz w:val="24"/>
              </w:rPr>
            </w:pPr>
            <w:r>
              <w:rPr>
                <w:rFonts w:hint="eastAsia" w:ascii="宋体" w:hAnsi="宋体"/>
                <w:sz w:val="24"/>
              </w:rPr>
              <w:t>2</w:t>
            </w:r>
          </w:p>
        </w:tc>
        <w:tc>
          <w:tcPr>
            <w:tcW w:w="1547" w:type="dxa"/>
            <w:tcBorders>
              <w:top w:val="single" w:color="auto" w:sz="4" w:space="0"/>
              <w:left w:val="single" w:color="auto" w:sz="4" w:space="0"/>
              <w:bottom w:val="single" w:color="auto" w:sz="4" w:space="0"/>
              <w:right w:val="single" w:color="auto" w:sz="4" w:space="0"/>
            </w:tcBorders>
            <w:noWrap/>
            <w:vAlign w:val="center"/>
          </w:tcPr>
          <w:p w14:paraId="54168877">
            <w:pPr>
              <w:spacing w:line="360" w:lineRule="exact"/>
              <w:jc w:val="center"/>
              <w:rPr>
                <w:rFonts w:ascii="宋体" w:hAnsi="宋体"/>
                <w:sz w:val="24"/>
              </w:rPr>
            </w:pPr>
            <w:r>
              <w:rPr>
                <w:rFonts w:hint="eastAsia" w:ascii="宋体" w:hAnsi="宋体"/>
                <w:sz w:val="24"/>
              </w:rPr>
              <w:t>响应文件的有效性</w:t>
            </w:r>
          </w:p>
        </w:tc>
        <w:tc>
          <w:tcPr>
            <w:tcW w:w="3476" w:type="dxa"/>
            <w:tcBorders>
              <w:top w:val="single" w:color="auto" w:sz="4" w:space="0"/>
              <w:left w:val="single" w:color="auto" w:sz="4" w:space="0"/>
              <w:bottom w:val="single" w:color="auto" w:sz="4" w:space="0"/>
              <w:right w:val="single" w:color="auto" w:sz="4" w:space="0"/>
            </w:tcBorders>
            <w:noWrap/>
            <w:vAlign w:val="center"/>
          </w:tcPr>
          <w:p w14:paraId="3865EB63">
            <w:pPr>
              <w:spacing w:line="360" w:lineRule="exact"/>
              <w:rPr>
                <w:rFonts w:ascii="宋体" w:hAnsi="宋体"/>
                <w:sz w:val="24"/>
              </w:rPr>
            </w:pPr>
            <w:r>
              <w:rPr>
                <w:rFonts w:hint="eastAsia" w:ascii="宋体" w:hAnsi="宋体"/>
                <w:sz w:val="24"/>
              </w:rPr>
              <w:t>是否符合响应文件的式样和签署要求且内容完整无缺漏、无错误</w:t>
            </w:r>
          </w:p>
        </w:tc>
        <w:tc>
          <w:tcPr>
            <w:tcW w:w="1134" w:type="dxa"/>
            <w:tcBorders>
              <w:top w:val="single" w:color="auto" w:sz="4" w:space="0"/>
              <w:left w:val="single" w:color="auto" w:sz="4" w:space="0"/>
              <w:bottom w:val="single" w:color="auto" w:sz="4" w:space="0"/>
              <w:right w:val="single" w:color="auto" w:sz="4" w:space="0"/>
            </w:tcBorders>
            <w:noWrap/>
            <w:vAlign w:val="center"/>
          </w:tcPr>
          <w:p w14:paraId="0F44CA2A">
            <w:pPr>
              <w:spacing w:line="360" w:lineRule="exact"/>
              <w:jc w:val="cente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7F48A92">
            <w:pPr>
              <w:spacing w:line="360" w:lineRule="exact"/>
              <w:jc w:val="cente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0FD225A4">
            <w:pPr>
              <w:spacing w:line="360" w:lineRule="exact"/>
              <w:jc w:val="center"/>
              <w:rPr>
                <w:rFonts w:ascii="宋体" w:hAnsi="宋体"/>
                <w:sz w:val="24"/>
              </w:rPr>
            </w:pPr>
          </w:p>
        </w:tc>
        <w:tc>
          <w:tcPr>
            <w:tcW w:w="1069" w:type="dxa"/>
            <w:tcBorders>
              <w:top w:val="single" w:color="auto" w:sz="4" w:space="0"/>
              <w:left w:val="single" w:color="auto" w:sz="4" w:space="0"/>
              <w:bottom w:val="single" w:color="auto" w:sz="4" w:space="0"/>
              <w:right w:val="single" w:color="auto" w:sz="4" w:space="0"/>
            </w:tcBorders>
            <w:noWrap/>
            <w:vAlign w:val="center"/>
          </w:tcPr>
          <w:p w14:paraId="42FA10E4">
            <w:pPr>
              <w:spacing w:line="360" w:lineRule="exact"/>
              <w:jc w:val="center"/>
              <w:rPr>
                <w:rFonts w:ascii="宋体" w:hAnsi="宋体"/>
                <w:sz w:val="24"/>
              </w:rPr>
            </w:pPr>
          </w:p>
        </w:tc>
      </w:tr>
      <w:tr w14:paraId="4D8E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59" w:type="dxa"/>
            <w:tcBorders>
              <w:top w:val="single" w:color="auto" w:sz="4" w:space="0"/>
              <w:left w:val="single" w:color="auto" w:sz="4" w:space="0"/>
              <w:bottom w:val="single" w:color="auto" w:sz="4" w:space="0"/>
              <w:right w:val="single" w:color="auto" w:sz="4" w:space="0"/>
            </w:tcBorders>
            <w:noWrap/>
            <w:vAlign w:val="center"/>
          </w:tcPr>
          <w:p w14:paraId="1505D81C">
            <w:pPr>
              <w:spacing w:line="360" w:lineRule="exact"/>
              <w:jc w:val="center"/>
              <w:rPr>
                <w:rFonts w:hint="eastAsia" w:ascii="宋体" w:hAnsi="宋体" w:eastAsia="宋体"/>
                <w:sz w:val="24"/>
                <w:lang w:eastAsia="zh-CN"/>
              </w:rPr>
            </w:pPr>
            <w:r>
              <w:rPr>
                <w:rFonts w:hint="eastAsia" w:ascii="宋体" w:hAnsi="宋体"/>
                <w:sz w:val="24"/>
                <w:lang w:val="en-US" w:eastAsia="zh-CN"/>
              </w:rPr>
              <w:t>3</w:t>
            </w:r>
          </w:p>
        </w:tc>
        <w:tc>
          <w:tcPr>
            <w:tcW w:w="1547" w:type="dxa"/>
            <w:tcBorders>
              <w:top w:val="single" w:color="auto" w:sz="4" w:space="0"/>
              <w:left w:val="single" w:color="auto" w:sz="4" w:space="0"/>
              <w:bottom w:val="single" w:color="auto" w:sz="4" w:space="0"/>
              <w:right w:val="single" w:color="auto" w:sz="4" w:space="0"/>
            </w:tcBorders>
            <w:noWrap/>
            <w:vAlign w:val="center"/>
          </w:tcPr>
          <w:p w14:paraId="096A7649">
            <w:pPr>
              <w:spacing w:line="360" w:lineRule="exact"/>
              <w:jc w:val="center"/>
              <w:rPr>
                <w:rFonts w:ascii="宋体" w:hAnsi="宋体"/>
                <w:sz w:val="24"/>
              </w:rPr>
            </w:pPr>
            <w:r>
              <w:rPr>
                <w:rFonts w:hint="eastAsia" w:ascii="宋体" w:hAnsi="宋体"/>
                <w:sz w:val="24"/>
              </w:rPr>
              <w:t>响应有效期</w:t>
            </w:r>
          </w:p>
        </w:tc>
        <w:tc>
          <w:tcPr>
            <w:tcW w:w="3476" w:type="dxa"/>
            <w:tcBorders>
              <w:top w:val="single" w:color="auto" w:sz="4" w:space="0"/>
              <w:left w:val="single" w:color="auto" w:sz="4" w:space="0"/>
              <w:bottom w:val="single" w:color="auto" w:sz="4" w:space="0"/>
              <w:right w:val="single" w:color="auto" w:sz="4" w:space="0"/>
            </w:tcBorders>
            <w:noWrap/>
            <w:vAlign w:val="center"/>
          </w:tcPr>
          <w:p w14:paraId="7F49112E">
            <w:pPr>
              <w:spacing w:line="360" w:lineRule="exact"/>
              <w:rPr>
                <w:rFonts w:ascii="宋体" w:hAnsi="宋体"/>
                <w:sz w:val="24"/>
              </w:rPr>
            </w:pPr>
            <w:r>
              <w:rPr>
                <w:rFonts w:hint="eastAsia" w:ascii="宋体" w:hAnsi="宋体"/>
                <w:sz w:val="24"/>
              </w:rPr>
              <w:t>响应有效期是否满足90天</w:t>
            </w:r>
          </w:p>
        </w:tc>
        <w:tc>
          <w:tcPr>
            <w:tcW w:w="1134" w:type="dxa"/>
            <w:tcBorders>
              <w:top w:val="single" w:color="auto" w:sz="4" w:space="0"/>
              <w:left w:val="single" w:color="auto" w:sz="4" w:space="0"/>
              <w:bottom w:val="single" w:color="auto" w:sz="4" w:space="0"/>
              <w:right w:val="single" w:color="auto" w:sz="4" w:space="0"/>
            </w:tcBorders>
            <w:noWrap/>
            <w:vAlign w:val="center"/>
          </w:tcPr>
          <w:p w14:paraId="4F0E51C3">
            <w:pPr>
              <w:spacing w:line="360" w:lineRule="exact"/>
              <w:jc w:val="cente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003B3FF">
            <w:pPr>
              <w:spacing w:line="360" w:lineRule="exact"/>
              <w:jc w:val="cente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5FC1B5FA">
            <w:pPr>
              <w:spacing w:line="360" w:lineRule="exact"/>
              <w:jc w:val="center"/>
              <w:rPr>
                <w:rFonts w:ascii="宋体" w:hAnsi="宋体"/>
                <w:sz w:val="24"/>
              </w:rPr>
            </w:pPr>
          </w:p>
        </w:tc>
        <w:tc>
          <w:tcPr>
            <w:tcW w:w="1069" w:type="dxa"/>
            <w:tcBorders>
              <w:top w:val="single" w:color="auto" w:sz="4" w:space="0"/>
              <w:left w:val="single" w:color="auto" w:sz="4" w:space="0"/>
              <w:bottom w:val="single" w:color="auto" w:sz="4" w:space="0"/>
              <w:right w:val="single" w:color="auto" w:sz="4" w:space="0"/>
            </w:tcBorders>
            <w:noWrap/>
            <w:vAlign w:val="center"/>
          </w:tcPr>
          <w:p w14:paraId="5B1A9445">
            <w:pPr>
              <w:spacing w:line="360" w:lineRule="exact"/>
              <w:jc w:val="center"/>
              <w:rPr>
                <w:rFonts w:ascii="宋体" w:hAnsi="宋体"/>
                <w:sz w:val="24"/>
              </w:rPr>
            </w:pPr>
          </w:p>
        </w:tc>
      </w:tr>
      <w:tr w14:paraId="0FC18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59" w:type="dxa"/>
            <w:tcBorders>
              <w:top w:val="single" w:color="auto" w:sz="4" w:space="0"/>
              <w:left w:val="single" w:color="auto" w:sz="4" w:space="0"/>
              <w:bottom w:val="single" w:color="auto" w:sz="4" w:space="0"/>
              <w:right w:val="single" w:color="auto" w:sz="4" w:space="0"/>
            </w:tcBorders>
            <w:noWrap/>
            <w:vAlign w:val="center"/>
          </w:tcPr>
          <w:p w14:paraId="6AD4C1C7">
            <w:pPr>
              <w:spacing w:line="360" w:lineRule="exact"/>
              <w:jc w:val="center"/>
              <w:rPr>
                <w:rFonts w:hint="eastAsia" w:ascii="宋体" w:hAnsi="宋体" w:eastAsia="宋体"/>
                <w:sz w:val="24"/>
                <w:lang w:eastAsia="zh-CN"/>
              </w:rPr>
            </w:pPr>
            <w:r>
              <w:rPr>
                <w:rFonts w:hint="eastAsia" w:ascii="宋体" w:hAnsi="宋体"/>
                <w:sz w:val="24"/>
                <w:lang w:val="en-US" w:eastAsia="zh-CN"/>
              </w:rPr>
              <w:t>4</w:t>
            </w:r>
          </w:p>
        </w:tc>
        <w:tc>
          <w:tcPr>
            <w:tcW w:w="1547" w:type="dxa"/>
            <w:tcBorders>
              <w:top w:val="single" w:color="auto" w:sz="4" w:space="0"/>
              <w:left w:val="single" w:color="auto" w:sz="4" w:space="0"/>
              <w:bottom w:val="single" w:color="auto" w:sz="4" w:space="0"/>
              <w:right w:val="single" w:color="auto" w:sz="4" w:space="0"/>
            </w:tcBorders>
            <w:noWrap/>
            <w:vAlign w:val="center"/>
          </w:tcPr>
          <w:p w14:paraId="0B7B9A7C">
            <w:pPr>
              <w:spacing w:line="360" w:lineRule="exact"/>
              <w:jc w:val="center"/>
              <w:rPr>
                <w:rFonts w:ascii="宋体" w:hAnsi="宋体"/>
                <w:sz w:val="24"/>
              </w:rPr>
            </w:pPr>
            <w:r>
              <w:rPr>
                <w:rFonts w:hint="eastAsia" w:ascii="宋体" w:hAnsi="宋体"/>
                <w:sz w:val="24"/>
                <w:lang w:val="en-US" w:eastAsia="zh-CN"/>
              </w:rPr>
              <w:t>交付</w:t>
            </w:r>
            <w:r>
              <w:rPr>
                <w:rFonts w:hint="eastAsia" w:ascii="宋体" w:hAnsi="宋体"/>
                <w:sz w:val="24"/>
              </w:rPr>
              <w:t>期</w:t>
            </w:r>
          </w:p>
        </w:tc>
        <w:tc>
          <w:tcPr>
            <w:tcW w:w="3476" w:type="dxa"/>
            <w:tcBorders>
              <w:top w:val="single" w:color="auto" w:sz="4" w:space="0"/>
              <w:left w:val="single" w:color="auto" w:sz="4" w:space="0"/>
              <w:bottom w:val="single" w:color="auto" w:sz="4" w:space="0"/>
              <w:right w:val="single" w:color="auto" w:sz="4" w:space="0"/>
            </w:tcBorders>
            <w:noWrap/>
            <w:vAlign w:val="center"/>
          </w:tcPr>
          <w:p w14:paraId="679BCC5C">
            <w:pPr>
              <w:spacing w:line="360" w:lineRule="exact"/>
              <w:rPr>
                <w:rFonts w:ascii="宋体" w:hAnsi="宋体"/>
                <w:sz w:val="24"/>
              </w:rPr>
            </w:pPr>
            <w:r>
              <w:rPr>
                <w:rFonts w:hint="eastAsia" w:ascii="宋体" w:hAnsi="宋体"/>
                <w:sz w:val="24"/>
              </w:rPr>
              <w:t>是否按照招标文件规定时间</w:t>
            </w:r>
          </w:p>
        </w:tc>
        <w:tc>
          <w:tcPr>
            <w:tcW w:w="1134" w:type="dxa"/>
            <w:tcBorders>
              <w:top w:val="single" w:color="auto" w:sz="4" w:space="0"/>
              <w:left w:val="single" w:color="auto" w:sz="4" w:space="0"/>
              <w:bottom w:val="single" w:color="auto" w:sz="4" w:space="0"/>
              <w:right w:val="single" w:color="auto" w:sz="4" w:space="0"/>
            </w:tcBorders>
            <w:noWrap/>
            <w:vAlign w:val="center"/>
          </w:tcPr>
          <w:p w14:paraId="7DCF8A9B">
            <w:pPr>
              <w:spacing w:line="360" w:lineRule="exact"/>
              <w:jc w:val="cente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675275C">
            <w:pPr>
              <w:spacing w:line="360" w:lineRule="exact"/>
              <w:jc w:val="cente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658E21C2">
            <w:pPr>
              <w:spacing w:line="360" w:lineRule="exact"/>
              <w:jc w:val="center"/>
              <w:rPr>
                <w:rFonts w:ascii="宋体" w:hAnsi="宋体"/>
                <w:sz w:val="24"/>
              </w:rPr>
            </w:pPr>
          </w:p>
        </w:tc>
        <w:tc>
          <w:tcPr>
            <w:tcW w:w="1069" w:type="dxa"/>
            <w:tcBorders>
              <w:top w:val="single" w:color="auto" w:sz="4" w:space="0"/>
              <w:left w:val="single" w:color="auto" w:sz="4" w:space="0"/>
              <w:bottom w:val="single" w:color="auto" w:sz="4" w:space="0"/>
              <w:right w:val="single" w:color="auto" w:sz="4" w:space="0"/>
            </w:tcBorders>
            <w:noWrap/>
            <w:vAlign w:val="center"/>
          </w:tcPr>
          <w:p w14:paraId="600C0EFF">
            <w:pPr>
              <w:spacing w:line="360" w:lineRule="exact"/>
              <w:jc w:val="center"/>
              <w:rPr>
                <w:rFonts w:ascii="宋体" w:hAnsi="宋体"/>
                <w:sz w:val="24"/>
              </w:rPr>
            </w:pPr>
          </w:p>
        </w:tc>
      </w:tr>
      <w:tr w14:paraId="7B8D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59" w:type="dxa"/>
            <w:tcBorders>
              <w:top w:val="single" w:color="auto" w:sz="4" w:space="0"/>
              <w:left w:val="single" w:color="auto" w:sz="4" w:space="0"/>
              <w:bottom w:val="single" w:color="auto" w:sz="4" w:space="0"/>
              <w:right w:val="single" w:color="auto" w:sz="4" w:space="0"/>
            </w:tcBorders>
            <w:noWrap/>
            <w:vAlign w:val="center"/>
          </w:tcPr>
          <w:p w14:paraId="1AD1BB2D">
            <w:pPr>
              <w:spacing w:line="360" w:lineRule="exact"/>
              <w:jc w:val="center"/>
              <w:rPr>
                <w:rFonts w:hint="eastAsia" w:ascii="宋体" w:hAnsi="宋体" w:eastAsia="宋体"/>
                <w:sz w:val="24"/>
                <w:lang w:eastAsia="zh-CN"/>
              </w:rPr>
            </w:pPr>
            <w:r>
              <w:rPr>
                <w:rFonts w:hint="eastAsia" w:ascii="宋体" w:hAnsi="宋体"/>
                <w:sz w:val="24"/>
                <w:lang w:val="en-US" w:eastAsia="zh-CN"/>
              </w:rPr>
              <w:t>5</w:t>
            </w:r>
          </w:p>
        </w:tc>
        <w:tc>
          <w:tcPr>
            <w:tcW w:w="1547" w:type="dxa"/>
            <w:tcBorders>
              <w:top w:val="single" w:color="auto" w:sz="4" w:space="0"/>
              <w:left w:val="single" w:color="auto" w:sz="4" w:space="0"/>
              <w:bottom w:val="single" w:color="auto" w:sz="4" w:space="0"/>
              <w:right w:val="single" w:color="auto" w:sz="4" w:space="0"/>
            </w:tcBorders>
            <w:noWrap/>
            <w:vAlign w:val="center"/>
          </w:tcPr>
          <w:p w14:paraId="729D664D">
            <w:pPr>
              <w:spacing w:line="360" w:lineRule="exact"/>
              <w:jc w:val="center"/>
              <w:rPr>
                <w:rFonts w:ascii="宋体" w:hAnsi="宋体"/>
                <w:sz w:val="24"/>
              </w:rPr>
            </w:pPr>
            <w:r>
              <w:rPr>
                <w:rFonts w:hint="eastAsia" w:ascii="宋体" w:hAnsi="宋体"/>
                <w:sz w:val="24"/>
              </w:rPr>
              <w:t>其它</w:t>
            </w:r>
          </w:p>
        </w:tc>
        <w:tc>
          <w:tcPr>
            <w:tcW w:w="3476" w:type="dxa"/>
            <w:tcBorders>
              <w:top w:val="single" w:color="auto" w:sz="4" w:space="0"/>
              <w:left w:val="single" w:color="auto" w:sz="4" w:space="0"/>
              <w:bottom w:val="single" w:color="auto" w:sz="4" w:space="0"/>
              <w:right w:val="single" w:color="auto" w:sz="4" w:space="0"/>
            </w:tcBorders>
            <w:noWrap/>
            <w:vAlign w:val="center"/>
          </w:tcPr>
          <w:p w14:paraId="1C579130">
            <w:pPr>
              <w:spacing w:line="360" w:lineRule="exact"/>
              <w:rPr>
                <w:rFonts w:ascii="宋体" w:hAnsi="宋体"/>
                <w:sz w:val="24"/>
              </w:rPr>
            </w:pPr>
            <w:r>
              <w:rPr>
                <w:rFonts w:hint="eastAsia" w:ascii="宋体" w:hAnsi="宋体"/>
                <w:sz w:val="24"/>
              </w:rPr>
              <w:t>无其它符合招标文件中无效投标认定条件</w:t>
            </w:r>
          </w:p>
        </w:tc>
        <w:tc>
          <w:tcPr>
            <w:tcW w:w="1134" w:type="dxa"/>
            <w:tcBorders>
              <w:top w:val="single" w:color="auto" w:sz="4" w:space="0"/>
              <w:left w:val="single" w:color="auto" w:sz="4" w:space="0"/>
              <w:bottom w:val="single" w:color="auto" w:sz="4" w:space="0"/>
              <w:right w:val="single" w:color="auto" w:sz="4" w:space="0"/>
            </w:tcBorders>
            <w:noWrap/>
            <w:vAlign w:val="center"/>
          </w:tcPr>
          <w:p w14:paraId="2E1E581F">
            <w:pPr>
              <w:spacing w:line="360" w:lineRule="exact"/>
              <w:jc w:val="cente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54E01D8">
            <w:pPr>
              <w:spacing w:line="360" w:lineRule="exact"/>
              <w:jc w:val="cente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6DE8E27A">
            <w:pPr>
              <w:spacing w:line="360" w:lineRule="exact"/>
              <w:jc w:val="center"/>
              <w:rPr>
                <w:rFonts w:ascii="宋体" w:hAnsi="宋体"/>
                <w:sz w:val="24"/>
              </w:rPr>
            </w:pPr>
          </w:p>
        </w:tc>
        <w:tc>
          <w:tcPr>
            <w:tcW w:w="1069" w:type="dxa"/>
            <w:tcBorders>
              <w:top w:val="single" w:color="auto" w:sz="4" w:space="0"/>
              <w:left w:val="single" w:color="auto" w:sz="4" w:space="0"/>
              <w:bottom w:val="single" w:color="auto" w:sz="4" w:space="0"/>
              <w:right w:val="single" w:color="auto" w:sz="4" w:space="0"/>
            </w:tcBorders>
            <w:noWrap/>
            <w:vAlign w:val="center"/>
          </w:tcPr>
          <w:p w14:paraId="66D0FAD4">
            <w:pPr>
              <w:spacing w:line="360" w:lineRule="exact"/>
              <w:jc w:val="center"/>
              <w:rPr>
                <w:rFonts w:ascii="宋体" w:hAnsi="宋体"/>
                <w:sz w:val="24"/>
              </w:rPr>
            </w:pPr>
          </w:p>
        </w:tc>
      </w:tr>
      <w:tr w14:paraId="70C11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59" w:type="dxa"/>
            <w:tcBorders>
              <w:top w:val="single" w:color="auto" w:sz="4" w:space="0"/>
              <w:left w:val="single" w:color="auto" w:sz="4" w:space="0"/>
              <w:bottom w:val="single" w:color="auto" w:sz="4" w:space="0"/>
              <w:right w:val="single" w:color="auto" w:sz="4" w:space="0"/>
            </w:tcBorders>
            <w:noWrap/>
            <w:vAlign w:val="center"/>
          </w:tcPr>
          <w:p w14:paraId="3E6401B2">
            <w:pPr>
              <w:spacing w:line="360" w:lineRule="exact"/>
              <w:jc w:val="center"/>
              <w:rPr>
                <w:rFonts w:hint="eastAsia" w:ascii="宋体" w:hAnsi="宋体" w:eastAsia="宋体"/>
                <w:sz w:val="24"/>
                <w:lang w:eastAsia="zh-CN"/>
              </w:rPr>
            </w:pPr>
            <w:r>
              <w:rPr>
                <w:rFonts w:hint="eastAsia" w:ascii="宋体" w:hAnsi="宋体"/>
                <w:sz w:val="24"/>
                <w:lang w:val="en-US" w:eastAsia="zh-CN"/>
              </w:rPr>
              <w:t>6</w:t>
            </w:r>
          </w:p>
        </w:tc>
        <w:tc>
          <w:tcPr>
            <w:tcW w:w="1547" w:type="dxa"/>
            <w:tcBorders>
              <w:top w:val="single" w:color="auto" w:sz="4" w:space="0"/>
              <w:left w:val="single" w:color="auto" w:sz="4" w:space="0"/>
              <w:bottom w:val="single" w:color="auto" w:sz="4" w:space="0"/>
              <w:right w:val="single" w:color="auto" w:sz="4" w:space="0"/>
            </w:tcBorders>
            <w:noWrap/>
            <w:vAlign w:val="center"/>
          </w:tcPr>
          <w:p w14:paraId="34D084A4">
            <w:pPr>
              <w:spacing w:line="360" w:lineRule="exact"/>
              <w:jc w:val="center"/>
              <w:rPr>
                <w:rFonts w:ascii="宋体" w:hAnsi="宋体"/>
                <w:sz w:val="24"/>
              </w:rPr>
            </w:pPr>
          </w:p>
        </w:tc>
        <w:tc>
          <w:tcPr>
            <w:tcW w:w="3476" w:type="dxa"/>
            <w:tcBorders>
              <w:top w:val="single" w:color="auto" w:sz="4" w:space="0"/>
              <w:left w:val="single" w:color="auto" w:sz="4" w:space="0"/>
              <w:bottom w:val="single" w:color="auto" w:sz="4" w:space="0"/>
              <w:right w:val="single" w:color="auto" w:sz="4" w:space="0"/>
            </w:tcBorders>
            <w:noWrap/>
            <w:vAlign w:val="center"/>
          </w:tcPr>
          <w:p w14:paraId="0F5FB3F8">
            <w:pPr>
              <w:spacing w:line="360" w:lineRule="exact"/>
              <w:rPr>
                <w:rFonts w:ascii="宋体" w:hAnsi="宋体"/>
                <w:sz w:val="24"/>
              </w:rPr>
            </w:pPr>
            <w:r>
              <w:rPr>
                <w:rFonts w:hint="eastAsia" w:ascii="宋体" w:hAnsi="宋体"/>
                <w:sz w:val="24"/>
              </w:rPr>
              <w:t>结论</w:t>
            </w:r>
          </w:p>
        </w:tc>
        <w:tc>
          <w:tcPr>
            <w:tcW w:w="1134" w:type="dxa"/>
            <w:tcBorders>
              <w:top w:val="single" w:color="auto" w:sz="4" w:space="0"/>
              <w:left w:val="single" w:color="auto" w:sz="4" w:space="0"/>
              <w:bottom w:val="single" w:color="auto" w:sz="4" w:space="0"/>
              <w:right w:val="single" w:color="auto" w:sz="4" w:space="0"/>
            </w:tcBorders>
            <w:noWrap/>
            <w:vAlign w:val="center"/>
          </w:tcPr>
          <w:p w14:paraId="6FE9CC0C">
            <w:pPr>
              <w:spacing w:line="360" w:lineRule="exact"/>
              <w:jc w:val="cente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1F18D4D">
            <w:pPr>
              <w:spacing w:line="360" w:lineRule="exact"/>
              <w:jc w:val="cente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0D9FD22A">
            <w:pPr>
              <w:spacing w:line="360" w:lineRule="exact"/>
              <w:jc w:val="center"/>
              <w:rPr>
                <w:rFonts w:ascii="宋体" w:hAnsi="宋体"/>
                <w:sz w:val="24"/>
              </w:rPr>
            </w:pPr>
          </w:p>
        </w:tc>
        <w:tc>
          <w:tcPr>
            <w:tcW w:w="1069" w:type="dxa"/>
            <w:tcBorders>
              <w:top w:val="single" w:color="auto" w:sz="4" w:space="0"/>
              <w:left w:val="single" w:color="auto" w:sz="4" w:space="0"/>
              <w:bottom w:val="single" w:color="auto" w:sz="4" w:space="0"/>
              <w:right w:val="single" w:color="auto" w:sz="4" w:space="0"/>
            </w:tcBorders>
            <w:noWrap/>
            <w:vAlign w:val="center"/>
          </w:tcPr>
          <w:p w14:paraId="39AC2805">
            <w:pPr>
              <w:spacing w:line="360" w:lineRule="exact"/>
              <w:jc w:val="center"/>
              <w:rPr>
                <w:rFonts w:ascii="宋体" w:hAnsi="宋体"/>
                <w:sz w:val="24"/>
              </w:rPr>
            </w:pPr>
          </w:p>
        </w:tc>
      </w:tr>
      <w:tr w14:paraId="0CEA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801" w:type="dxa"/>
            <w:gridSpan w:val="6"/>
            <w:tcBorders>
              <w:top w:val="single" w:color="auto" w:sz="4" w:space="0"/>
              <w:left w:val="single" w:color="auto" w:sz="4" w:space="0"/>
              <w:bottom w:val="single" w:color="auto" w:sz="4" w:space="0"/>
              <w:right w:val="single" w:color="auto" w:sz="4" w:space="0"/>
            </w:tcBorders>
            <w:noWrap/>
            <w:vAlign w:val="center"/>
          </w:tcPr>
          <w:p w14:paraId="37AF1E3C">
            <w:pPr>
              <w:spacing w:line="360" w:lineRule="exact"/>
              <w:jc w:val="left"/>
              <w:rPr>
                <w:rFonts w:ascii="宋体" w:hAnsi="宋体"/>
                <w:sz w:val="24"/>
              </w:rPr>
            </w:pPr>
            <w:r>
              <w:rPr>
                <w:rFonts w:hint="eastAsia" w:ascii="宋体" w:hAnsi="宋体"/>
                <w:sz w:val="24"/>
              </w:rPr>
              <w:t>备注：</w:t>
            </w:r>
          </w:p>
        </w:tc>
        <w:tc>
          <w:tcPr>
            <w:tcW w:w="1069" w:type="dxa"/>
            <w:tcBorders>
              <w:top w:val="single" w:color="auto" w:sz="4" w:space="0"/>
              <w:left w:val="single" w:color="auto" w:sz="4" w:space="0"/>
              <w:bottom w:val="single" w:color="auto" w:sz="4" w:space="0"/>
              <w:right w:val="single" w:color="auto" w:sz="4" w:space="0"/>
            </w:tcBorders>
            <w:noWrap/>
            <w:vAlign w:val="center"/>
          </w:tcPr>
          <w:p w14:paraId="6FF06B07">
            <w:pPr>
              <w:spacing w:line="360" w:lineRule="exact"/>
              <w:jc w:val="left"/>
              <w:rPr>
                <w:rFonts w:ascii="宋体" w:hAnsi="宋体"/>
                <w:sz w:val="24"/>
              </w:rPr>
            </w:pPr>
          </w:p>
        </w:tc>
      </w:tr>
    </w:tbl>
    <w:p w14:paraId="6A89AF41">
      <w:pPr>
        <w:spacing w:line="360" w:lineRule="exact"/>
        <w:rPr>
          <w:rFonts w:ascii="宋体"/>
          <w:kern w:val="0"/>
          <w:sz w:val="24"/>
        </w:rPr>
      </w:pPr>
    </w:p>
    <w:p w14:paraId="5D4A0D2B">
      <w:pPr>
        <w:spacing w:line="240" w:lineRule="atLeast"/>
        <w:rPr>
          <w:rFonts w:ascii="宋体"/>
          <w:kern w:val="0"/>
          <w:sz w:val="24"/>
        </w:rPr>
      </w:pPr>
      <w:r>
        <w:rPr>
          <w:rFonts w:hint="eastAsia" w:ascii="宋体"/>
          <w:kern w:val="0"/>
          <w:sz w:val="24"/>
        </w:rPr>
        <w:t>1、表中只需填写“√/通过”或“×/不通过”。</w:t>
      </w:r>
    </w:p>
    <w:p w14:paraId="5304D0DA">
      <w:pPr>
        <w:spacing w:line="240" w:lineRule="atLeast"/>
        <w:rPr>
          <w:rFonts w:ascii="宋体"/>
          <w:kern w:val="0"/>
          <w:sz w:val="24"/>
        </w:rPr>
      </w:pPr>
      <w:r>
        <w:rPr>
          <w:rFonts w:hint="eastAsia" w:ascii="宋体"/>
          <w:kern w:val="0"/>
          <w:sz w:val="24"/>
        </w:rPr>
        <w:t>2、在结论中按“一项否决”的原则，只有全部是√/通过的，填写“合格”；只要其中有一项是×/不通过的，填写“不合格”。</w:t>
      </w:r>
    </w:p>
    <w:p w14:paraId="75469987">
      <w:pPr>
        <w:spacing w:line="240" w:lineRule="atLeast"/>
        <w:rPr>
          <w:rFonts w:ascii="宋体"/>
          <w:kern w:val="0"/>
          <w:sz w:val="24"/>
        </w:rPr>
      </w:pPr>
      <w:r>
        <w:rPr>
          <w:rFonts w:hint="eastAsia" w:ascii="宋体"/>
          <w:kern w:val="0"/>
          <w:sz w:val="24"/>
        </w:rPr>
        <w:t>3、结论是合格的，才能进入下一轮；不合格的被淘汰。</w:t>
      </w:r>
    </w:p>
    <w:p w14:paraId="0F5D99B4">
      <w:pPr>
        <w:spacing w:line="240" w:lineRule="atLeast"/>
        <w:rPr>
          <w:rFonts w:ascii="宋体"/>
          <w:kern w:val="0"/>
          <w:sz w:val="24"/>
        </w:rPr>
      </w:pPr>
      <w:r>
        <w:rPr>
          <w:rFonts w:hint="eastAsia" w:ascii="宋体"/>
          <w:kern w:val="0"/>
          <w:sz w:val="24"/>
        </w:rPr>
        <w:t>评委：                                                  日期：</w:t>
      </w:r>
    </w:p>
    <w:p w14:paraId="2CE79F7F">
      <w:pPr>
        <w:spacing w:beforeLines="50" w:afterLines="50" w:line="440" w:lineRule="exact"/>
        <w:jc w:val="center"/>
        <w:rPr>
          <w:rFonts w:ascii="宋体" w:hAnsi="宋体" w:cs="宋体"/>
          <w:b/>
          <w:bCs/>
          <w:color w:val="auto"/>
          <w:sz w:val="32"/>
          <w:szCs w:val="32"/>
          <w:highlight w:val="none"/>
          <w:lang w:val="en-GB"/>
        </w:rPr>
      </w:pPr>
      <w:r>
        <w:rPr>
          <w:rFonts w:ascii="宋体" w:hAnsi="宋体" w:cs="宋体"/>
          <w:b/>
          <w:bCs/>
          <w:sz w:val="32"/>
          <w:szCs w:val="32"/>
          <w:lang w:val="en-GB"/>
        </w:rPr>
        <w:br w:type="page"/>
      </w:r>
      <w:r>
        <w:rPr>
          <w:rFonts w:hint="eastAsia" w:ascii="宋体" w:hAnsi="宋体" w:cs="宋体"/>
          <w:b/>
          <w:bCs/>
          <w:color w:val="auto"/>
          <w:sz w:val="32"/>
          <w:szCs w:val="32"/>
          <w:highlight w:val="none"/>
          <w:lang w:val="en-GB"/>
        </w:rPr>
        <w:t>评分细则表</w:t>
      </w:r>
    </w:p>
    <w:p w14:paraId="5589ED87"/>
    <w:p w14:paraId="594E8C47"/>
    <w:tbl>
      <w:tblPr>
        <w:tblStyle w:val="37"/>
        <w:tblW w:w="498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35"/>
        <w:gridCol w:w="906"/>
        <w:gridCol w:w="7103"/>
        <w:gridCol w:w="1087"/>
      </w:tblGrid>
      <w:tr w14:paraId="759E6B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791" w:type="pct"/>
            <w:gridSpan w:val="2"/>
            <w:tcBorders>
              <w:tl2br w:val="nil"/>
              <w:tr2bl w:val="nil"/>
            </w:tcBorders>
            <w:shd w:val="clear" w:color="auto" w:fill="auto"/>
            <w:vAlign w:val="bottom"/>
          </w:tcPr>
          <w:p w14:paraId="5FF2D071">
            <w:pPr>
              <w:widowControl/>
              <w:jc w:val="center"/>
              <w:textAlignment w:val="bottom"/>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评审项目</w:t>
            </w:r>
          </w:p>
        </w:tc>
        <w:tc>
          <w:tcPr>
            <w:tcW w:w="3649" w:type="pct"/>
            <w:tcBorders>
              <w:tl2br w:val="nil"/>
              <w:tr2bl w:val="nil"/>
            </w:tcBorders>
            <w:shd w:val="clear" w:color="auto" w:fill="auto"/>
            <w:vAlign w:val="bottom"/>
          </w:tcPr>
          <w:p w14:paraId="709F7447">
            <w:pPr>
              <w:widowControl/>
              <w:jc w:val="center"/>
              <w:textAlignment w:val="bottom"/>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评分标准</w:t>
            </w:r>
          </w:p>
        </w:tc>
        <w:tc>
          <w:tcPr>
            <w:tcW w:w="558" w:type="pct"/>
            <w:tcBorders>
              <w:tl2br w:val="nil"/>
              <w:tr2bl w:val="nil"/>
            </w:tcBorders>
            <w:shd w:val="clear" w:color="auto" w:fill="auto"/>
            <w:vAlign w:val="bottom"/>
          </w:tcPr>
          <w:p w14:paraId="65DF83CA">
            <w:pPr>
              <w:widowControl/>
              <w:jc w:val="center"/>
              <w:textAlignment w:val="bottom"/>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分值</w:t>
            </w:r>
          </w:p>
        </w:tc>
      </w:tr>
      <w:tr w14:paraId="04D17C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326" w:type="pct"/>
            <w:tcBorders>
              <w:tl2br w:val="nil"/>
              <w:tr2bl w:val="nil"/>
            </w:tcBorders>
            <w:shd w:val="clear" w:color="auto" w:fill="auto"/>
            <w:vAlign w:val="center"/>
          </w:tcPr>
          <w:p w14:paraId="594C66F8">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65" w:type="pct"/>
            <w:tcBorders>
              <w:tl2br w:val="nil"/>
              <w:tr2bl w:val="nil"/>
            </w:tcBorders>
            <w:shd w:val="clear" w:color="auto" w:fill="auto"/>
            <w:vAlign w:val="center"/>
          </w:tcPr>
          <w:p w14:paraId="67B3F541">
            <w:pPr>
              <w:widowControl/>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技术参数</w:t>
            </w:r>
            <w:r>
              <w:rPr>
                <w:rFonts w:hint="eastAsia" w:ascii="宋体" w:hAnsi="宋体" w:cs="宋体"/>
                <w:color w:val="000000"/>
                <w:kern w:val="0"/>
                <w:sz w:val="24"/>
                <w:szCs w:val="24"/>
                <w:lang w:val="en-US" w:eastAsia="zh-CN"/>
              </w:rPr>
              <w:t>响应情况</w:t>
            </w:r>
          </w:p>
        </w:tc>
        <w:tc>
          <w:tcPr>
            <w:tcW w:w="3649" w:type="pct"/>
            <w:tcBorders>
              <w:tl2br w:val="nil"/>
              <w:tr2bl w:val="nil"/>
            </w:tcBorders>
            <w:shd w:val="clear" w:color="auto" w:fill="auto"/>
            <w:vAlign w:val="center"/>
          </w:tcPr>
          <w:p w14:paraId="12FE04E3">
            <w:pPr>
              <w:widowControl/>
              <w:jc w:val="left"/>
              <w:textAlignment w:val="center"/>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评审</w:t>
            </w:r>
            <w:r>
              <w:rPr>
                <w:rFonts w:hint="eastAsia" w:ascii="宋体" w:hAnsi="宋体" w:eastAsia="宋体" w:cs="宋体"/>
                <w:color w:val="000000"/>
                <w:kern w:val="0"/>
                <w:sz w:val="24"/>
                <w:szCs w:val="24"/>
              </w:rPr>
              <w:t>小组根据供应商对</w:t>
            </w:r>
            <w:r>
              <w:rPr>
                <w:rFonts w:hint="eastAsia" w:ascii="宋体" w:hAnsi="宋体" w:cs="宋体"/>
                <w:color w:val="000000"/>
                <w:kern w:val="0"/>
                <w:sz w:val="24"/>
                <w:szCs w:val="24"/>
                <w:lang w:val="en-US" w:eastAsia="zh-CN"/>
              </w:rPr>
              <w:t>招标</w:t>
            </w:r>
            <w:r>
              <w:rPr>
                <w:rFonts w:hint="eastAsia" w:ascii="宋体" w:hAnsi="宋体" w:eastAsia="宋体" w:cs="宋体"/>
                <w:color w:val="000000"/>
                <w:kern w:val="0"/>
                <w:sz w:val="24"/>
                <w:szCs w:val="24"/>
              </w:rPr>
              <w:t>文件中的每条技术参数的响应情况进行评分，具体条款详见“</w:t>
            </w:r>
            <w:r>
              <w:rPr>
                <w:rFonts w:hint="eastAsia" w:ascii="宋体" w:hAnsi="宋体" w:cs="宋体"/>
                <w:color w:val="000000"/>
                <w:kern w:val="0"/>
                <w:sz w:val="24"/>
                <w:szCs w:val="24"/>
                <w:lang w:val="en-US" w:eastAsia="zh-CN"/>
              </w:rPr>
              <w:t>采购需求清单</w:t>
            </w:r>
            <w:r>
              <w:rPr>
                <w:rFonts w:hint="eastAsia" w:ascii="宋体" w:hAnsi="宋体" w:eastAsia="宋体" w:cs="宋体"/>
                <w:color w:val="000000"/>
                <w:kern w:val="0"/>
                <w:sz w:val="24"/>
                <w:szCs w:val="24"/>
              </w:rPr>
              <w:t>”。本项分值为</w:t>
            </w:r>
            <w:r>
              <w:rPr>
                <w:rFonts w:hint="eastAsia" w:ascii="宋体" w:hAnsi="宋体" w:cs="宋体"/>
                <w:color w:val="000000"/>
                <w:kern w:val="0"/>
                <w:sz w:val="24"/>
                <w:szCs w:val="24"/>
                <w:lang w:val="en-US" w:eastAsia="zh-CN"/>
              </w:rPr>
              <w:t>75</w:t>
            </w:r>
            <w:r>
              <w:rPr>
                <w:rFonts w:hint="eastAsia" w:ascii="宋体" w:hAnsi="宋体" w:eastAsia="宋体" w:cs="宋体"/>
                <w:color w:val="000000"/>
                <w:kern w:val="0"/>
                <w:sz w:val="24"/>
                <w:szCs w:val="24"/>
              </w:rPr>
              <w:t>分，其</w:t>
            </w:r>
            <w:r>
              <w:rPr>
                <w:rFonts w:hint="eastAsia" w:ascii="宋体" w:hAnsi="宋体" w:cs="宋体"/>
                <w:color w:val="000000"/>
                <w:kern w:val="0"/>
                <w:sz w:val="24"/>
                <w:szCs w:val="24"/>
                <w:lang w:eastAsia="zh-CN"/>
              </w:rPr>
              <w:t>中标</w:t>
            </w:r>
            <w:r>
              <w:rPr>
                <w:rFonts w:hint="eastAsia" w:ascii="宋体" w:hAnsi="宋体" w:eastAsia="宋体" w:cs="宋体"/>
                <w:color w:val="000000"/>
                <w:kern w:val="0"/>
                <w:sz w:val="24"/>
                <w:szCs w:val="24"/>
              </w:rPr>
              <w:t>注▲的</w:t>
            </w:r>
            <w:r>
              <w:rPr>
                <w:rFonts w:hint="eastAsia" w:ascii="宋体" w:hAnsi="宋体" w:cs="宋体"/>
                <w:color w:val="000000"/>
                <w:kern w:val="0"/>
                <w:sz w:val="24"/>
                <w:szCs w:val="24"/>
                <w:lang w:val="en-US" w:eastAsia="zh-CN"/>
              </w:rPr>
              <w:t>30</w:t>
            </w:r>
            <w:r>
              <w:rPr>
                <w:rFonts w:hint="eastAsia" w:ascii="宋体" w:hAnsi="宋体" w:eastAsia="宋体" w:cs="宋体"/>
                <w:color w:val="000000"/>
                <w:kern w:val="0"/>
                <w:sz w:val="24"/>
                <w:szCs w:val="24"/>
              </w:rPr>
              <w:t>分，未标注▲的</w:t>
            </w:r>
            <w:r>
              <w:rPr>
                <w:rFonts w:hint="eastAsia" w:ascii="宋体" w:hAnsi="宋体" w:cs="宋体"/>
                <w:color w:val="000000"/>
                <w:kern w:val="0"/>
                <w:sz w:val="24"/>
                <w:szCs w:val="24"/>
                <w:lang w:val="en-US" w:eastAsia="zh-CN"/>
              </w:rPr>
              <w:t>45</w:t>
            </w:r>
            <w:r>
              <w:rPr>
                <w:rFonts w:hint="eastAsia" w:ascii="宋体" w:hAnsi="宋体" w:eastAsia="宋体" w:cs="宋体"/>
                <w:color w:val="000000"/>
                <w:kern w:val="0"/>
                <w:sz w:val="24"/>
                <w:szCs w:val="24"/>
              </w:rPr>
              <w:t>分。投标人提供的设备技术参数与招标文件中的参照参数进行点对点比较：（1）完全满足招标文件</w:t>
            </w:r>
            <w:r>
              <w:rPr>
                <w:rFonts w:hint="eastAsia" w:ascii="宋体" w:hAnsi="宋体" w:cs="宋体"/>
                <w:color w:val="000000"/>
                <w:kern w:val="0"/>
                <w:sz w:val="24"/>
                <w:szCs w:val="24"/>
                <w:lang w:val="en-US" w:eastAsia="zh-CN"/>
              </w:rPr>
              <w:t>参数</w:t>
            </w:r>
            <w:r>
              <w:rPr>
                <w:rFonts w:hint="eastAsia" w:ascii="宋体" w:hAnsi="宋体" w:eastAsia="宋体" w:cs="宋体"/>
                <w:color w:val="000000"/>
                <w:kern w:val="0"/>
                <w:sz w:val="24"/>
                <w:szCs w:val="24"/>
              </w:rPr>
              <w:t>要求，得</w:t>
            </w:r>
            <w:r>
              <w:rPr>
                <w:rFonts w:hint="eastAsia" w:ascii="宋体" w:hAnsi="宋体" w:cs="宋体"/>
                <w:color w:val="000000"/>
                <w:kern w:val="0"/>
                <w:sz w:val="24"/>
                <w:szCs w:val="24"/>
                <w:lang w:val="en-US" w:eastAsia="zh-CN"/>
              </w:rPr>
              <w:t>75</w:t>
            </w:r>
            <w:r>
              <w:rPr>
                <w:rFonts w:hint="eastAsia" w:ascii="宋体" w:hAnsi="宋体" w:eastAsia="宋体" w:cs="宋体"/>
                <w:color w:val="000000"/>
                <w:kern w:val="0"/>
                <w:sz w:val="24"/>
                <w:szCs w:val="24"/>
              </w:rPr>
              <w:t>分；（2)不能满足带▲</w:t>
            </w:r>
            <w:r>
              <w:rPr>
                <w:rFonts w:hint="eastAsia" w:ascii="宋体" w:hAnsi="宋体" w:cs="宋体"/>
                <w:color w:val="000000"/>
                <w:kern w:val="0"/>
                <w:sz w:val="24"/>
                <w:szCs w:val="24"/>
                <w:lang w:val="en-US" w:eastAsia="zh-CN"/>
              </w:rPr>
              <w:t>参数</w:t>
            </w:r>
            <w:r>
              <w:rPr>
                <w:rFonts w:hint="eastAsia" w:ascii="宋体" w:hAnsi="宋体" w:eastAsia="宋体" w:cs="宋体"/>
                <w:color w:val="000000"/>
                <w:kern w:val="0"/>
                <w:sz w:val="24"/>
                <w:szCs w:val="24"/>
              </w:rPr>
              <w:t>要求的每项扣</w:t>
            </w: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rPr>
              <w:t>分，扣完为止；（3)不能满足未带▲参数要求的每项扣</w:t>
            </w:r>
            <w:r>
              <w:rPr>
                <w:rFonts w:hint="eastAsia" w:ascii="宋体" w:hAnsi="宋体" w:cs="宋体"/>
                <w:color w:val="000000"/>
                <w:kern w:val="0"/>
                <w:sz w:val="24"/>
                <w:szCs w:val="24"/>
                <w:lang w:val="en-US" w:eastAsia="zh-CN"/>
              </w:rPr>
              <w:t>0.18</w:t>
            </w:r>
            <w:r>
              <w:rPr>
                <w:rFonts w:hint="eastAsia" w:ascii="宋体" w:hAnsi="宋体" w:eastAsia="宋体" w:cs="宋体"/>
                <w:color w:val="000000"/>
                <w:kern w:val="0"/>
                <w:sz w:val="24"/>
                <w:szCs w:val="24"/>
              </w:rPr>
              <w:t>分，扣完为止。</w:t>
            </w:r>
          </w:p>
          <w:p w14:paraId="7626A2C3">
            <w:pPr>
              <w:widowControl/>
              <w:jc w:val="left"/>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采购需求中要求软件演示的参数，在投标现场不演示或者演示不符合参数要求，扣相对应分数。</w:t>
            </w:r>
          </w:p>
        </w:tc>
        <w:tc>
          <w:tcPr>
            <w:tcW w:w="558" w:type="pct"/>
            <w:tcBorders>
              <w:tl2br w:val="nil"/>
              <w:tr2bl w:val="nil"/>
            </w:tcBorders>
            <w:shd w:val="clear" w:color="auto" w:fill="auto"/>
            <w:vAlign w:val="center"/>
          </w:tcPr>
          <w:p w14:paraId="16E4EFD2">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75</w:t>
            </w:r>
            <w:r>
              <w:rPr>
                <w:rFonts w:hint="eastAsia" w:ascii="宋体" w:hAnsi="宋体" w:eastAsia="宋体" w:cs="宋体"/>
                <w:color w:val="000000"/>
                <w:kern w:val="0"/>
                <w:sz w:val="24"/>
                <w:szCs w:val="24"/>
              </w:rPr>
              <w:t>分</w:t>
            </w:r>
          </w:p>
        </w:tc>
      </w:tr>
      <w:tr w14:paraId="28626B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326" w:type="pct"/>
            <w:tcBorders>
              <w:tl2br w:val="nil"/>
              <w:tr2bl w:val="nil"/>
            </w:tcBorders>
            <w:shd w:val="clear" w:color="auto" w:fill="auto"/>
            <w:vAlign w:val="center"/>
          </w:tcPr>
          <w:p w14:paraId="3E47F7D2">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65" w:type="pct"/>
            <w:tcBorders>
              <w:tl2br w:val="nil"/>
              <w:tr2bl w:val="nil"/>
            </w:tcBorders>
            <w:shd w:val="clear" w:color="auto" w:fill="auto"/>
            <w:vAlign w:val="center"/>
          </w:tcPr>
          <w:p w14:paraId="34F00533">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业绩</w:t>
            </w:r>
          </w:p>
        </w:tc>
        <w:tc>
          <w:tcPr>
            <w:tcW w:w="3649" w:type="pct"/>
            <w:tcBorders>
              <w:tl2br w:val="nil"/>
              <w:tr2bl w:val="nil"/>
            </w:tcBorders>
            <w:shd w:val="clear" w:color="auto" w:fill="auto"/>
            <w:vAlign w:val="center"/>
          </w:tcPr>
          <w:p w14:paraId="29747FBA">
            <w:pPr>
              <w:widowControl/>
              <w:jc w:val="left"/>
              <w:textAlignment w:val="center"/>
              <w:rPr>
                <w:rFonts w:hint="eastAsia" w:ascii="宋体" w:hAnsi="宋体" w:eastAsia="宋体" w:cs="宋体"/>
                <w:color w:val="000000"/>
                <w:kern w:val="0"/>
                <w:sz w:val="24"/>
                <w:szCs w:val="24"/>
              </w:rPr>
            </w:pPr>
            <w:r>
              <w:rPr>
                <w:rFonts w:hint="eastAsia" w:ascii="宋体" w:hAnsi="宋体" w:cs="宋体"/>
                <w:color w:val="000000"/>
                <w:kern w:val="0"/>
                <w:sz w:val="24"/>
              </w:rPr>
              <w:t>提供202</w:t>
            </w:r>
            <w:r>
              <w:rPr>
                <w:rFonts w:hint="eastAsia" w:ascii="宋体" w:hAnsi="宋体" w:cs="宋体"/>
                <w:color w:val="000000"/>
                <w:kern w:val="0"/>
                <w:sz w:val="24"/>
                <w:lang w:val="en-US" w:eastAsia="zh-CN"/>
              </w:rPr>
              <w:t>2</w:t>
            </w:r>
            <w:r>
              <w:rPr>
                <w:rFonts w:hint="eastAsia" w:ascii="宋体" w:hAnsi="宋体" w:cs="宋体"/>
                <w:color w:val="000000"/>
                <w:kern w:val="0"/>
                <w:sz w:val="24"/>
              </w:rPr>
              <w:t>年（含）以后（以合同签订日期为准）投标人承担过类似项目的业绩。证明材料：提供项目合同复印件、</w:t>
            </w:r>
            <w:r>
              <w:rPr>
                <w:rFonts w:hint="eastAsia" w:ascii="宋体" w:hAnsi="宋体" w:cs="宋体"/>
                <w:color w:val="000000"/>
                <w:kern w:val="0"/>
                <w:sz w:val="24"/>
                <w:lang w:eastAsia="zh-CN"/>
              </w:rPr>
              <w:t>成交</w:t>
            </w:r>
            <w:r>
              <w:rPr>
                <w:rFonts w:hint="eastAsia" w:ascii="宋体" w:hAnsi="宋体" w:cs="宋体"/>
                <w:color w:val="000000"/>
                <w:kern w:val="0"/>
                <w:sz w:val="24"/>
              </w:rPr>
              <w:t>通知书复印件（加盖公章），每提供一个业绩证明得</w:t>
            </w:r>
            <w:r>
              <w:rPr>
                <w:rFonts w:ascii="宋体" w:hAnsi="宋体" w:cs="宋体"/>
                <w:color w:val="000000"/>
                <w:kern w:val="0"/>
                <w:sz w:val="24"/>
              </w:rPr>
              <w:t>1</w:t>
            </w:r>
            <w:r>
              <w:rPr>
                <w:rFonts w:hint="eastAsia" w:ascii="宋体" w:hAnsi="宋体" w:cs="宋体"/>
                <w:color w:val="000000"/>
                <w:kern w:val="0"/>
                <w:sz w:val="24"/>
              </w:rPr>
              <w:t>分，满分</w:t>
            </w:r>
            <w:r>
              <w:rPr>
                <w:rFonts w:hint="eastAsia" w:ascii="宋体" w:hAnsi="宋体" w:cs="宋体"/>
                <w:color w:val="000000"/>
                <w:kern w:val="0"/>
                <w:sz w:val="24"/>
                <w:lang w:val="en-US" w:eastAsia="zh-CN"/>
              </w:rPr>
              <w:t>3</w:t>
            </w:r>
            <w:r>
              <w:rPr>
                <w:rFonts w:hint="eastAsia" w:ascii="宋体" w:hAnsi="宋体" w:cs="宋体"/>
                <w:color w:val="000000"/>
                <w:kern w:val="0"/>
                <w:sz w:val="24"/>
              </w:rPr>
              <w:t>分。</w:t>
            </w:r>
          </w:p>
        </w:tc>
        <w:tc>
          <w:tcPr>
            <w:tcW w:w="558" w:type="pct"/>
            <w:tcBorders>
              <w:tl2br w:val="nil"/>
              <w:tr2bl w:val="nil"/>
            </w:tcBorders>
            <w:shd w:val="clear" w:color="auto" w:fill="auto"/>
            <w:vAlign w:val="center"/>
          </w:tcPr>
          <w:p w14:paraId="69EADBE4">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rPr>
              <w:t>分</w:t>
            </w:r>
          </w:p>
        </w:tc>
      </w:tr>
      <w:tr w14:paraId="05B085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restart"/>
            <w:tcBorders>
              <w:tl2br w:val="nil"/>
              <w:tr2bl w:val="nil"/>
            </w:tcBorders>
            <w:shd w:val="clear" w:color="auto" w:fill="auto"/>
            <w:vAlign w:val="center"/>
          </w:tcPr>
          <w:p w14:paraId="49CB16F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w:t>
            </w:r>
          </w:p>
        </w:tc>
        <w:tc>
          <w:tcPr>
            <w:tcW w:w="465" w:type="pct"/>
            <w:vMerge w:val="restart"/>
            <w:tcBorders>
              <w:tl2br w:val="nil"/>
              <w:tr2bl w:val="nil"/>
            </w:tcBorders>
            <w:shd w:val="clear" w:color="auto" w:fill="auto"/>
            <w:vAlign w:val="center"/>
          </w:tcPr>
          <w:p w14:paraId="2FA998D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项目实施方案</w:t>
            </w:r>
          </w:p>
        </w:tc>
        <w:tc>
          <w:tcPr>
            <w:tcW w:w="3649" w:type="pct"/>
            <w:vMerge w:val="restart"/>
            <w:tcBorders>
              <w:tl2br w:val="nil"/>
              <w:tr2bl w:val="nil"/>
            </w:tcBorders>
            <w:shd w:val="clear" w:color="auto" w:fill="auto"/>
            <w:vAlign w:val="center"/>
          </w:tcPr>
          <w:p w14:paraId="7D5E8CF4">
            <w:pPr>
              <w:widowControl/>
              <w:jc w:val="left"/>
              <w:textAlignment w:val="center"/>
              <w:rPr>
                <w:rFonts w:hint="eastAsia" w:ascii="宋体" w:hAnsi="宋体" w:eastAsia="宋体" w:cs="宋体"/>
                <w:color w:val="000000"/>
                <w:sz w:val="24"/>
                <w:szCs w:val="24"/>
              </w:rPr>
            </w:pPr>
            <w:r>
              <w:rPr>
                <w:rFonts w:hint="eastAsia" w:ascii="宋体" w:hAnsi="宋体" w:cs="宋体"/>
                <w:color w:val="000000"/>
                <w:kern w:val="0"/>
                <w:sz w:val="24"/>
                <w:szCs w:val="24"/>
                <w:lang w:eastAsia="zh-CN"/>
              </w:rPr>
              <w:t>评审小组</w:t>
            </w:r>
            <w:r>
              <w:rPr>
                <w:rFonts w:hint="eastAsia" w:ascii="宋体" w:hAnsi="宋体" w:eastAsia="宋体" w:cs="宋体"/>
                <w:color w:val="000000"/>
                <w:kern w:val="0"/>
                <w:sz w:val="24"/>
                <w:szCs w:val="24"/>
              </w:rPr>
              <w:t>根据供应商提供的实施方案进行评比赋分，供应商必须制定科学、完整的项目整体执行方案，方案应包含但不限于：</w:t>
            </w:r>
            <w:r>
              <w:rPr>
                <w:rFonts w:hint="eastAsia" w:ascii="宋体" w:hAnsi="宋体" w:eastAsia="宋体" w:cs="宋体"/>
                <w:sz w:val="24"/>
                <w:szCs w:val="24"/>
              </w:rPr>
              <w:t>①项目管理</w:t>
            </w:r>
            <w:r>
              <w:rPr>
                <w:rFonts w:hint="eastAsia" w:ascii="宋体" w:hAnsi="宋体" w:eastAsia="宋体" w:cs="宋体"/>
                <w:sz w:val="24"/>
                <w:szCs w:val="24"/>
                <w:lang w:val="en-US" w:eastAsia="zh-CN"/>
              </w:rPr>
              <w:t>机制；②实施进度</w:t>
            </w:r>
            <w:r>
              <w:rPr>
                <w:rFonts w:hint="eastAsia" w:ascii="宋体" w:hAnsi="宋体" w:eastAsia="宋体" w:cs="宋体"/>
                <w:sz w:val="24"/>
                <w:szCs w:val="24"/>
              </w:rPr>
              <w:t>方案；</w:t>
            </w:r>
            <w:r>
              <w:rPr>
                <w:rFonts w:hint="eastAsia" w:ascii="宋体" w:hAnsi="宋体" w:eastAsia="宋体" w:cs="宋体"/>
                <w:sz w:val="24"/>
                <w:szCs w:val="24"/>
                <w:lang w:val="en-US" w:eastAsia="zh-CN"/>
              </w:rPr>
              <w:t>③</w:t>
            </w:r>
            <w:r>
              <w:rPr>
                <w:rFonts w:hint="eastAsia" w:ascii="宋体" w:hAnsi="宋体" w:eastAsia="宋体" w:cs="宋体"/>
                <w:sz w:val="24"/>
                <w:szCs w:val="24"/>
              </w:rPr>
              <w:t>质量保障方案</w:t>
            </w:r>
            <w:r>
              <w:rPr>
                <w:rFonts w:hint="eastAsia" w:ascii="宋体" w:hAnsi="宋体" w:eastAsia="宋体" w:cs="宋体"/>
                <w:sz w:val="24"/>
                <w:szCs w:val="24"/>
                <w:lang w:val="en-US" w:eastAsia="zh-CN"/>
              </w:rPr>
              <w:t>与</w:t>
            </w:r>
            <w:r>
              <w:rPr>
                <w:rFonts w:hint="eastAsia" w:ascii="宋体" w:hAnsi="宋体" w:eastAsia="宋体" w:cs="宋体"/>
                <w:sz w:val="24"/>
                <w:szCs w:val="24"/>
              </w:rPr>
              <w:t>项目应急方案；</w:t>
            </w:r>
            <w:r>
              <w:rPr>
                <w:rFonts w:hint="eastAsia" w:ascii="宋体" w:hAnsi="宋体" w:eastAsia="宋体" w:cs="宋体"/>
                <w:sz w:val="24"/>
                <w:szCs w:val="24"/>
                <w:lang w:val="en-US" w:eastAsia="zh-CN"/>
              </w:rPr>
              <w:t>④</w:t>
            </w:r>
            <w:r>
              <w:rPr>
                <w:rFonts w:hint="eastAsia" w:ascii="宋体" w:hAnsi="宋体" w:eastAsia="宋体" w:cs="宋体"/>
                <w:sz w:val="24"/>
                <w:szCs w:val="24"/>
              </w:rPr>
              <w:t>培训方案。</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（1）以上每项内容</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分，满分</w:t>
            </w:r>
            <w:r>
              <w:rPr>
                <w:rFonts w:hint="eastAsia" w:ascii="宋体" w:hAnsi="宋体" w:cs="宋体"/>
                <w:color w:val="000000"/>
                <w:kern w:val="0"/>
                <w:sz w:val="24"/>
                <w:szCs w:val="24"/>
                <w:lang w:val="en-US" w:eastAsia="zh-CN"/>
              </w:rPr>
              <w:t>4</w:t>
            </w:r>
            <w:r>
              <w:rPr>
                <w:rFonts w:hint="eastAsia" w:ascii="宋体" w:hAnsi="宋体" w:eastAsia="宋体" w:cs="宋体"/>
                <w:color w:val="000000"/>
                <w:kern w:val="0"/>
                <w:sz w:val="24"/>
                <w:szCs w:val="24"/>
              </w:rPr>
              <w:t>分，方案涵盖上述所有内容且方案内容符合或优于采购需求条件的得4分； （2）以上内容存在一处缺陷（内容缺陷是指：内容不符合采购需求或不适用项目特性的情形、内容不完整或缺少关键节点、套用其他项目方案、内容前 后矛盾、涉及的规范及标准错误、不利于项目实施、不可能实现的情形等任意一种情形）相应项扣</w:t>
            </w:r>
            <w:r>
              <w:rPr>
                <w:rFonts w:hint="eastAsia" w:ascii="宋体" w:hAnsi="宋体" w:cs="宋体"/>
                <w:color w:val="000000"/>
                <w:kern w:val="0"/>
                <w:sz w:val="24"/>
                <w:szCs w:val="24"/>
                <w:lang w:val="en-US" w:eastAsia="zh-CN"/>
              </w:rPr>
              <w:t>0.5</w:t>
            </w:r>
            <w:r>
              <w:rPr>
                <w:rFonts w:hint="eastAsia" w:ascii="宋体" w:hAnsi="宋体" w:eastAsia="宋体" w:cs="宋体"/>
                <w:color w:val="000000"/>
                <w:kern w:val="0"/>
                <w:sz w:val="24"/>
                <w:szCs w:val="24"/>
              </w:rPr>
              <w:t>分，扣完为止。（3）不提供方案的，不得分。</w:t>
            </w:r>
          </w:p>
        </w:tc>
        <w:tc>
          <w:tcPr>
            <w:tcW w:w="558" w:type="pct"/>
            <w:vMerge w:val="restart"/>
            <w:tcBorders>
              <w:tl2br w:val="nil"/>
              <w:tr2bl w:val="nil"/>
            </w:tcBorders>
            <w:shd w:val="clear" w:color="auto" w:fill="auto"/>
            <w:vAlign w:val="center"/>
          </w:tcPr>
          <w:p w14:paraId="7932BECB">
            <w:pPr>
              <w:widowControl/>
              <w:jc w:val="center"/>
              <w:textAlignment w:val="center"/>
              <w:rPr>
                <w:rFonts w:hint="eastAsia" w:ascii="宋体" w:hAnsi="宋体" w:eastAsia="宋体" w:cs="宋体"/>
                <w:color w:val="000000"/>
                <w:sz w:val="24"/>
                <w:szCs w:val="24"/>
              </w:rPr>
            </w:pPr>
            <w:r>
              <w:rPr>
                <w:rFonts w:hint="eastAsia" w:ascii="宋体" w:hAnsi="宋体" w:cs="宋体"/>
                <w:color w:val="000000"/>
                <w:kern w:val="0"/>
                <w:sz w:val="24"/>
                <w:szCs w:val="24"/>
                <w:lang w:val="en-US" w:eastAsia="zh-CN"/>
              </w:rPr>
              <w:t>4</w:t>
            </w:r>
            <w:r>
              <w:rPr>
                <w:rFonts w:hint="eastAsia" w:ascii="宋体" w:hAnsi="宋体" w:eastAsia="宋体" w:cs="宋体"/>
                <w:color w:val="000000"/>
                <w:kern w:val="0"/>
                <w:sz w:val="24"/>
                <w:szCs w:val="24"/>
              </w:rPr>
              <w:t>分</w:t>
            </w:r>
          </w:p>
        </w:tc>
      </w:tr>
      <w:tr w14:paraId="727170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continue"/>
            <w:tcBorders>
              <w:tl2br w:val="nil"/>
              <w:tr2bl w:val="nil"/>
            </w:tcBorders>
            <w:shd w:val="clear" w:color="auto" w:fill="auto"/>
            <w:vAlign w:val="center"/>
          </w:tcPr>
          <w:p w14:paraId="06255035">
            <w:pPr>
              <w:jc w:val="center"/>
              <w:rPr>
                <w:rFonts w:hint="eastAsia" w:ascii="宋体" w:hAnsi="宋体" w:eastAsia="宋体" w:cs="宋体"/>
                <w:color w:val="000000"/>
                <w:sz w:val="24"/>
                <w:szCs w:val="24"/>
              </w:rPr>
            </w:pPr>
          </w:p>
        </w:tc>
        <w:tc>
          <w:tcPr>
            <w:tcW w:w="465" w:type="pct"/>
            <w:vMerge w:val="continue"/>
            <w:tcBorders>
              <w:tl2br w:val="nil"/>
              <w:tr2bl w:val="nil"/>
            </w:tcBorders>
            <w:shd w:val="clear" w:color="auto" w:fill="auto"/>
            <w:vAlign w:val="center"/>
          </w:tcPr>
          <w:p w14:paraId="52BEC93B">
            <w:pPr>
              <w:jc w:val="center"/>
              <w:rPr>
                <w:rFonts w:hint="eastAsia" w:ascii="宋体" w:hAnsi="宋体" w:eastAsia="宋体" w:cs="宋体"/>
                <w:color w:val="000000"/>
                <w:sz w:val="24"/>
                <w:szCs w:val="24"/>
              </w:rPr>
            </w:pPr>
          </w:p>
        </w:tc>
        <w:tc>
          <w:tcPr>
            <w:tcW w:w="3649" w:type="pct"/>
            <w:vMerge w:val="continue"/>
            <w:tcBorders>
              <w:tl2br w:val="nil"/>
              <w:tr2bl w:val="nil"/>
            </w:tcBorders>
            <w:shd w:val="clear" w:color="auto" w:fill="auto"/>
            <w:vAlign w:val="center"/>
          </w:tcPr>
          <w:p w14:paraId="286E84C6">
            <w:pPr>
              <w:jc w:val="left"/>
              <w:rPr>
                <w:rFonts w:hint="eastAsia" w:ascii="宋体" w:hAnsi="宋体" w:eastAsia="宋体" w:cs="宋体"/>
                <w:color w:val="000000"/>
                <w:sz w:val="24"/>
                <w:szCs w:val="24"/>
              </w:rPr>
            </w:pPr>
          </w:p>
        </w:tc>
        <w:tc>
          <w:tcPr>
            <w:tcW w:w="558" w:type="pct"/>
            <w:vMerge w:val="continue"/>
            <w:tcBorders>
              <w:tl2br w:val="nil"/>
              <w:tr2bl w:val="nil"/>
            </w:tcBorders>
            <w:shd w:val="clear" w:color="auto" w:fill="auto"/>
            <w:vAlign w:val="center"/>
          </w:tcPr>
          <w:p w14:paraId="6CA5CCCF">
            <w:pPr>
              <w:jc w:val="center"/>
              <w:rPr>
                <w:rFonts w:hint="eastAsia" w:ascii="宋体" w:hAnsi="宋体" w:eastAsia="宋体" w:cs="宋体"/>
                <w:color w:val="000000"/>
                <w:sz w:val="24"/>
                <w:szCs w:val="24"/>
              </w:rPr>
            </w:pPr>
          </w:p>
        </w:tc>
      </w:tr>
      <w:tr w14:paraId="74D567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continue"/>
            <w:tcBorders>
              <w:tl2br w:val="nil"/>
              <w:tr2bl w:val="nil"/>
            </w:tcBorders>
            <w:shd w:val="clear" w:color="auto" w:fill="auto"/>
            <w:vAlign w:val="center"/>
          </w:tcPr>
          <w:p w14:paraId="64F42334">
            <w:pPr>
              <w:jc w:val="center"/>
              <w:rPr>
                <w:rFonts w:hint="eastAsia" w:ascii="宋体" w:hAnsi="宋体" w:eastAsia="宋体" w:cs="宋体"/>
                <w:color w:val="000000"/>
                <w:sz w:val="24"/>
                <w:szCs w:val="24"/>
              </w:rPr>
            </w:pPr>
          </w:p>
        </w:tc>
        <w:tc>
          <w:tcPr>
            <w:tcW w:w="465" w:type="pct"/>
            <w:vMerge w:val="continue"/>
            <w:tcBorders>
              <w:tl2br w:val="nil"/>
              <w:tr2bl w:val="nil"/>
            </w:tcBorders>
            <w:shd w:val="clear" w:color="auto" w:fill="auto"/>
            <w:vAlign w:val="center"/>
          </w:tcPr>
          <w:p w14:paraId="7CE6B9AF">
            <w:pPr>
              <w:jc w:val="center"/>
              <w:rPr>
                <w:rFonts w:hint="eastAsia" w:ascii="宋体" w:hAnsi="宋体" w:eastAsia="宋体" w:cs="宋体"/>
                <w:color w:val="000000"/>
                <w:sz w:val="24"/>
                <w:szCs w:val="24"/>
              </w:rPr>
            </w:pPr>
          </w:p>
        </w:tc>
        <w:tc>
          <w:tcPr>
            <w:tcW w:w="3649" w:type="pct"/>
            <w:vMerge w:val="continue"/>
            <w:tcBorders>
              <w:tl2br w:val="nil"/>
              <w:tr2bl w:val="nil"/>
            </w:tcBorders>
            <w:shd w:val="clear" w:color="auto" w:fill="auto"/>
            <w:vAlign w:val="center"/>
          </w:tcPr>
          <w:p w14:paraId="0E46DB25">
            <w:pPr>
              <w:jc w:val="left"/>
              <w:rPr>
                <w:rFonts w:hint="eastAsia" w:ascii="宋体" w:hAnsi="宋体" w:eastAsia="宋体" w:cs="宋体"/>
                <w:color w:val="000000"/>
                <w:sz w:val="24"/>
                <w:szCs w:val="24"/>
              </w:rPr>
            </w:pPr>
          </w:p>
        </w:tc>
        <w:tc>
          <w:tcPr>
            <w:tcW w:w="558" w:type="pct"/>
            <w:vMerge w:val="continue"/>
            <w:tcBorders>
              <w:tl2br w:val="nil"/>
              <w:tr2bl w:val="nil"/>
            </w:tcBorders>
            <w:shd w:val="clear" w:color="auto" w:fill="auto"/>
            <w:vAlign w:val="center"/>
          </w:tcPr>
          <w:p w14:paraId="3EA69956">
            <w:pPr>
              <w:jc w:val="center"/>
              <w:rPr>
                <w:rFonts w:hint="eastAsia" w:ascii="宋体" w:hAnsi="宋体" w:eastAsia="宋体" w:cs="宋体"/>
                <w:color w:val="000000"/>
                <w:sz w:val="24"/>
                <w:szCs w:val="24"/>
              </w:rPr>
            </w:pPr>
          </w:p>
        </w:tc>
      </w:tr>
      <w:tr w14:paraId="5F82A5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continue"/>
            <w:tcBorders>
              <w:tl2br w:val="nil"/>
              <w:tr2bl w:val="nil"/>
            </w:tcBorders>
            <w:shd w:val="clear" w:color="auto" w:fill="auto"/>
            <w:vAlign w:val="center"/>
          </w:tcPr>
          <w:p w14:paraId="0AFF2911">
            <w:pPr>
              <w:jc w:val="center"/>
              <w:rPr>
                <w:rFonts w:hint="eastAsia" w:ascii="宋体" w:hAnsi="宋体" w:eastAsia="宋体" w:cs="宋体"/>
                <w:color w:val="000000"/>
                <w:sz w:val="24"/>
                <w:szCs w:val="24"/>
              </w:rPr>
            </w:pPr>
          </w:p>
        </w:tc>
        <w:tc>
          <w:tcPr>
            <w:tcW w:w="465" w:type="pct"/>
            <w:vMerge w:val="continue"/>
            <w:tcBorders>
              <w:tl2br w:val="nil"/>
              <w:tr2bl w:val="nil"/>
            </w:tcBorders>
            <w:shd w:val="clear" w:color="auto" w:fill="auto"/>
            <w:vAlign w:val="center"/>
          </w:tcPr>
          <w:p w14:paraId="4BAD792B">
            <w:pPr>
              <w:jc w:val="center"/>
              <w:rPr>
                <w:rFonts w:hint="eastAsia" w:ascii="宋体" w:hAnsi="宋体" w:eastAsia="宋体" w:cs="宋体"/>
                <w:color w:val="000000"/>
                <w:sz w:val="24"/>
                <w:szCs w:val="24"/>
              </w:rPr>
            </w:pPr>
          </w:p>
        </w:tc>
        <w:tc>
          <w:tcPr>
            <w:tcW w:w="3649" w:type="pct"/>
            <w:vMerge w:val="continue"/>
            <w:tcBorders>
              <w:tl2br w:val="nil"/>
              <w:tr2bl w:val="nil"/>
            </w:tcBorders>
            <w:shd w:val="clear" w:color="auto" w:fill="auto"/>
            <w:vAlign w:val="center"/>
          </w:tcPr>
          <w:p w14:paraId="3AE63734">
            <w:pPr>
              <w:jc w:val="left"/>
              <w:rPr>
                <w:rFonts w:hint="eastAsia" w:ascii="宋体" w:hAnsi="宋体" w:eastAsia="宋体" w:cs="宋体"/>
                <w:color w:val="000000"/>
                <w:sz w:val="24"/>
                <w:szCs w:val="24"/>
              </w:rPr>
            </w:pPr>
          </w:p>
        </w:tc>
        <w:tc>
          <w:tcPr>
            <w:tcW w:w="558" w:type="pct"/>
            <w:vMerge w:val="continue"/>
            <w:tcBorders>
              <w:tl2br w:val="nil"/>
              <w:tr2bl w:val="nil"/>
            </w:tcBorders>
            <w:shd w:val="clear" w:color="auto" w:fill="auto"/>
            <w:vAlign w:val="center"/>
          </w:tcPr>
          <w:p w14:paraId="0B1E3F67">
            <w:pPr>
              <w:jc w:val="center"/>
              <w:rPr>
                <w:rFonts w:hint="eastAsia" w:ascii="宋体" w:hAnsi="宋体" w:eastAsia="宋体" w:cs="宋体"/>
                <w:color w:val="000000"/>
                <w:sz w:val="24"/>
                <w:szCs w:val="24"/>
              </w:rPr>
            </w:pPr>
          </w:p>
        </w:tc>
      </w:tr>
      <w:tr w14:paraId="6932AF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continue"/>
            <w:tcBorders>
              <w:tl2br w:val="nil"/>
              <w:tr2bl w:val="nil"/>
            </w:tcBorders>
            <w:shd w:val="clear" w:color="auto" w:fill="auto"/>
            <w:vAlign w:val="center"/>
          </w:tcPr>
          <w:p w14:paraId="1AD70869">
            <w:pPr>
              <w:jc w:val="center"/>
              <w:rPr>
                <w:rFonts w:hint="eastAsia" w:ascii="宋体" w:hAnsi="宋体" w:eastAsia="宋体" w:cs="宋体"/>
                <w:color w:val="000000"/>
                <w:sz w:val="24"/>
                <w:szCs w:val="24"/>
              </w:rPr>
            </w:pPr>
          </w:p>
        </w:tc>
        <w:tc>
          <w:tcPr>
            <w:tcW w:w="465" w:type="pct"/>
            <w:vMerge w:val="continue"/>
            <w:tcBorders>
              <w:tl2br w:val="nil"/>
              <w:tr2bl w:val="nil"/>
            </w:tcBorders>
            <w:shd w:val="clear" w:color="auto" w:fill="auto"/>
            <w:vAlign w:val="center"/>
          </w:tcPr>
          <w:p w14:paraId="3EBB047D">
            <w:pPr>
              <w:jc w:val="center"/>
              <w:rPr>
                <w:rFonts w:hint="eastAsia" w:ascii="宋体" w:hAnsi="宋体" w:eastAsia="宋体" w:cs="宋体"/>
                <w:color w:val="000000"/>
                <w:sz w:val="24"/>
                <w:szCs w:val="24"/>
              </w:rPr>
            </w:pPr>
          </w:p>
        </w:tc>
        <w:tc>
          <w:tcPr>
            <w:tcW w:w="3649" w:type="pct"/>
            <w:vMerge w:val="continue"/>
            <w:tcBorders>
              <w:tl2br w:val="nil"/>
              <w:tr2bl w:val="nil"/>
            </w:tcBorders>
            <w:shd w:val="clear" w:color="auto" w:fill="auto"/>
            <w:vAlign w:val="center"/>
          </w:tcPr>
          <w:p w14:paraId="396ACE38">
            <w:pPr>
              <w:jc w:val="left"/>
              <w:rPr>
                <w:rFonts w:hint="eastAsia" w:ascii="宋体" w:hAnsi="宋体" w:eastAsia="宋体" w:cs="宋体"/>
                <w:color w:val="000000"/>
                <w:sz w:val="24"/>
                <w:szCs w:val="24"/>
              </w:rPr>
            </w:pPr>
          </w:p>
        </w:tc>
        <w:tc>
          <w:tcPr>
            <w:tcW w:w="558" w:type="pct"/>
            <w:vMerge w:val="continue"/>
            <w:tcBorders>
              <w:tl2br w:val="nil"/>
              <w:tr2bl w:val="nil"/>
            </w:tcBorders>
            <w:shd w:val="clear" w:color="auto" w:fill="auto"/>
            <w:vAlign w:val="center"/>
          </w:tcPr>
          <w:p w14:paraId="1CFE2DA3">
            <w:pPr>
              <w:jc w:val="center"/>
              <w:rPr>
                <w:rFonts w:hint="eastAsia" w:ascii="宋体" w:hAnsi="宋体" w:eastAsia="宋体" w:cs="宋体"/>
                <w:color w:val="000000"/>
                <w:sz w:val="24"/>
                <w:szCs w:val="24"/>
              </w:rPr>
            </w:pPr>
          </w:p>
        </w:tc>
      </w:tr>
      <w:tr w14:paraId="53FB85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continue"/>
            <w:tcBorders>
              <w:tl2br w:val="nil"/>
              <w:tr2bl w:val="nil"/>
            </w:tcBorders>
            <w:shd w:val="clear" w:color="auto" w:fill="auto"/>
            <w:vAlign w:val="center"/>
          </w:tcPr>
          <w:p w14:paraId="378BA67A">
            <w:pPr>
              <w:jc w:val="center"/>
              <w:rPr>
                <w:rFonts w:hint="eastAsia" w:ascii="宋体" w:hAnsi="宋体" w:eastAsia="宋体" w:cs="宋体"/>
                <w:color w:val="000000"/>
                <w:sz w:val="24"/>
                <w:szCs w:val="24"/>
              </w:rPr>
            </w:pPr>
          </w:p>
        </w:tc>
        <w:tc>
          <w:tcPr>
            <w:tcW w:w="465" w:type="pct"/>
            <w:vMerge w:val="continue"/>
            <w:tcBorders>
              <w:tl2br w:val="nil"/>
              <w:tr2bl w:val="nil"/>
            </w:tcBorders>
            <w:shd w:val="clear" w:color="auto" w:fill="auto"/>
            <w:vAlign w:val="center"/>
          </w:tcPr>
          <w:p w14:paraId="7182F89F">
            <w:pPr>
              <w:jc w:val="center"/>
              <w:rPr>
                <w:rFonts w:hint="eastAsia" w:ascii="宋体" w:hAnsi="宋体" w:eastAsia="宋体" w:cs="宋体"/>
                <w:color w:val="000000"/>
                <w:sz w:val="24"/>
                <w:szCs w:val="24"/>
              </w:rPr>
            </w:pPr>
          </w:p>
        </w:tc>
        <w:tc>
          <w:tcPr>
            <w:tcW w:w="3649" w:type="pct"/>
            <w:vMerge w:val="continue"/>
            <w:tcBorders>
              <w:tl2br w:val="nil"/>
              <w:tr2bl w:val="nil"/>
            </w:tcBorders>
            <w:shd w:val="clear" w:color="auto" w:fill="auto"/>
            <w:vAlign w:val="center"/>
          </w:tcPr>
          <w:p w14:paraId="6F013DF6">
            <w:pPr>
              <w:jc w:val="left"/>
              <w:rPr>
                <w:rFonts w:hint="eastAsia" w:ascii="宋体" w:hAnsi="宋体" w:eastAsia="宋体" w:cs="宋体"/>
                <w:color w:val="000000"/>
                <w:sz w:val="24"/>
                <w:szCs w:val="24"/>
              </w:rPr>
            </w:pPr>
          </w:p>
        </w:tc>
        <w:tc>
          <w:tcPr>
            <w:tcW w:w="558" w:type="pct"/>
            <w:vMerge w:val="continue"/>
            <w:tcBorders>
              <w:tl2br w:val="nil"/>
              <w:tr2bl w:val="nil"/>
            </w:tcBorders>
            <w:shd w:val="clear" w:color="auto" w:fill="auto"/>
            <w:vAlign w:val="center"/>
          </w:tcPr>
          <w:p w14:paraId="4CBEC2BA">
            <w:pPr>
              <w:jc w:val="center"/>
              <w:rPr>
                <w:rFonts w:hint="eastAsia" w:ascii="宋体" w:hAnsi="宋体" w:eastAsia="宋体" w:cs="宋体"/>
                <w:color w:val="000000"/>
                <w:sz w:val="24"/>
                <w:szCs w:val="24"/>
              </w:rPr>
            </w:pPr>
          </w:p>
        </w:tc>
      </w:tr>
      <w:tr w14:paraId="7228B7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continue"/>
            <w:tcBorders>
              <w:tl2br w:val="nil"/>
              <w:tr2bl w:val="nil"/>
            </w:tcBorders>
            <w:shd w:val="clear" w:color="auto" w:fill="auto"/>
            <w:vAlign w:val="center"/>
          </w:tcPr>
          <w:p w14:paraId="5B33B2EB">
            <w:pPr>
              <w:jc w:val="center"/>
              <w:rPr>
                <w:rFonts w:hint="eastAsia" w:ascii="宋体" w:hAnsi="宋体" w:eastAsia="宋体" w:cs="宋体"/>
                <w:color w:val="000000"/>
                <w:sz w:val="24"/>
                <w:szCs w:val="24"/>
              </w:rPr>
            </w:pPr>
          </w:p>
        </w:tc>
        <w:tc>
          <w:tcPr>
            <w:tcW w:w="465" w:type="pct"/>
            <w:vMerge w:val="continue"/>
            <w:tcBorders>
              <w:tl2br w:val="nil"/>
              <w:tr2bl w:val="nil"/>
            </w:tcBorders>
            <w:shd w:val="clear" w:color="auto" w:fill="auto"/>
            <w:vAlign w:val="center"/>
          </w:tcPr>
          <w:p w14:paraId="3F7BA156">
            <w:pPr>
              <w:jc w:val="center"/>
              <w:rPr>
                <w:rFonts w:hint="eastAsia" w:ascii="宋体" w:hAnsi="宋体" w:eastAsia="宋体" w:cs="宋体"/>
                <w:color w:val="000000"/>
                <w:sz w:val="24"/>
                <w:szCs w:val="24"/>
              </w:rPr>
            </w:pPr>
          </w:p>
        </w:tc>
        <w:tc>
          <w:tcPr>
            <w:tcW w:w="3649" w:type="pct"/>
            <w:vMerge w:val="continue"/>
            <w:tcBorders>
              <w:tl2br w:val="nil"/>
              <w:tr2bl w:val="nil"/>
            </w:tcBorders>
            <w:shd w:val="clear" w:color="auto" w:fill="auto"/>
            <w:vAlign w:val="center"/>
          </w:tcPr>
          <w:p w14:paraId="0E39EDA8">
            <w:pPr>
              <w:jc w:val="left"/>
              <w:rPr>
                <w:rFonts w:hint="eastAsia" w:ascii="宋体" w:hAnsi="宋体" w:eastAsia="宋体" w:cs="宋体"/>
                <w:color w:val="000000"/>
                <w:sz w:val="24"/>
                <w:szCs w:val="24"/>
              </w:rPr>
            </w:pPr>
          </w:p>
        </w:tc>
        <w:tc>
          <w:tcPr>
            <w:tcW w:w="558" w:type="pct"/>
            <w:vMerge w:val="continue"/>
            <w:tcBorders>
              <w:tl2br w:val="nil"/>
              <w:tr2bl w:val="nil"/>
            </w:tcBorders>
            <w:shd w:val="clear" w:color="auto" w:fill="auto"/>
            <w:vAlign w:val="center"/>
          </w:tcPr>
          <w:p w14:paraId="631D265F">
            <w:pPr>
              <w:jc w:val="center"/>
              <w:rPr>
                <w:rFonts w:hint="eastAsia" w:ascii="宋体" w:hAnsi="宋体" w:eastAsia="宋体" w:cs="宋体"/>
                <w:color w:val="000000"/>
                <w:sz w:val="24"/>
                <w:szCs w:val="24"/>
              </w:rPr>
            </w:pPr>
          </w:p>
        </w:tc>
      </w:tr>
      <w:tr w14:paraId="306995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continue"/>
            <w:tcBorders>
              <w:tl2br w:val="nil"/>
              <w:tr2bl w:val="nil"/>
            </w:tcBorders>
            <w:shd w:val="clear" w:color="auto" w:fill="auto"/>
            <w:vAlign w:val="center"/>
          </w:tcPr>
          <w:p w14:paraId="2CA953B2">
            <w:pPr>
              <w:jc w:val="center"/>
              <w:rPr>
                <w:rFonts w:hint="eastAsia" w:ascii="宋体" w:hAnsi="宋体" w:eastAsia="宋体" w:cs="宋体"/>
                <w:color w:val="000000"/>
                <w:sz w:val="24"/>
                <w:szCs w:val="24"/>
              </w:rPr>
            </w:pPr>
          </w:p>
        </w:tc>
        <w:tc>
          <w:tcPr>
            <w:tcW w:w="465" w:type="pct"/>
            <w:vMerge w:val="continue"/>
            <w:tcBorders>
              <w:tl2br w:val="nil"/>
              <w:tr2bl w:val="nil"/>
            </w:tcBorders>
            <w:shd w:val="clear" w:color="auto" w:fill="auto"/>
            <w:vAlign w:val="center"/>
          </w:tcPr>
          <w:p w14:paraId="3BFDF4FA">
            <w:pPr>
              <w:jc w:val="center"/>
              <w:rPr>
                <w:rFonts w:hint="eastAsia" w:ascii="宋体" w:hAnsi="宋体" w:eastAsia="宋体" w:cs="宋体"/>
                <w:color w:val="000000"/>
                <w:sz w:val="24"/>
                <w:szCs w:val="24"/>
              </w:rPr>
            </w:pPr>
          </w:p>
        </w:tc>
        <w:tc>
          <w:tcPr>
            <w:tcW w:w="3649" w:type="pct"/>
            <w:vMerge w:val="continue"/>
            <w:tcBorders>
              <w:tl2br w:val="nil"/>
              <w:tr2bl w:val="nil"/>
            </w:tcBorders>
            <w:shd w:val="clear" w:color="auto" w:fill="auto"/>
            <w:vAlign w:val="center"/>
          </w:tcPr>
          <w:p w14:paraId="0779CDD5">
            <w:pPr>
              <w:jc w:val="left"/>
              <w:rPr>
                <w:rFonts w:hint="eastAsia" w:ascii="宋体" w:hAnsi="宋体" w:eastAsia="宋体" w:cs="宋体"/>
                <w:color w:val="000000"/>
                <w:sz w:val="24"/>
                <w:szCs w:val="24"/>
              </w:rPr>
            </w:pPr>
          </w:p>
        </w:tc>
        <w:tc>
          <w:tcPr>
            <w:tcW w:w="558" w:type="pct"/>
            <w:vMerge w:val="continue"/>
            <w:tcBorders>
              <w:tl2br w:val="nil"/>
              <w:tr2bl w:val="nil"/>
            </w:tcBorders>
            <w:shd w:val="clear" w:color="auto" w:fill="auto"/>
            <w:vAlign w:val="center"/>
          </w:tcPr>
          <w:p w14:paraId="46D697C4">
            <w:pPr>
              <w:jc w:val="center"/>
              <w:rPr>
                <w:rFonts w:hint="eastAsia" w:ascii="宋体" w:hAnsi="宋体" w:eastAsia="宋体" w:cs="宋体"/>
                <w:color w:val="000000"/>
                <w:sz w:val="24"/>
                <w:szCs w:val="24"/>
              </w:rPr>
            </w:pPr>
          </w:p>
        </w:tc>
      </w:tr>
      <w:tr w14:paraId="725B2F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continue"/>
            <w:tcBorders>
              <w:tl2br w:val="nil"/>
              <w:tr2bl w:val="nil"/>
            </w:tcBorders>
            <w:shd w:val="clear" w:color="auto" w:fill="auto"/>
            <w:vAlign w:val="center"/>
          </w:tcPr>
          <w:p w14:paraId="672FC42F">
            <w:pPr>
              <w:jc w:val="center"/>
              <w:rPr>
                <w:rFonts w:hint="eastAsia" w:ascii="宋体" w:hAnsi="宋体" w:eastAsia="宋体" w:cs="宋体"/>
                <w:color w:val="000000"/>
                <w:sz w:val="24"/>
                <w:szCs w:val="24"/>
              </w:rPr>
            </w:pPr>
          </w:p>
        </w:tc>
        <w:tc>
          <w:tcPr>
            <w:tcW w:w="465" w:type="pct"/>
            <w:vMerge w:val="continue"/>
            <w:tcBorders>
              <w:tl2br w:val="nil"/>
              <w:tr2bl w:val="nil"/>
            </w:tcBorders>
            <w:shd w:val="clear" w:color="auto" w:fill="auto"/>
            <w:vAlign w:val="center"/>
          </w:tcPr>
          <w:p w14:paraId="626D0E24">
            <w:pPr>
              <w:jc w:val="center"/>
              <w:rPr>
                <w:rFonts w:hint="eastAsia" w:ascii="宋体" w:hAnsi="宋体" w:eastAsia="宋体" w:cs="宋体"/>
                <w:color w:val="000000"/>
                <w:sz w:val="24"/>
                <w:szCs w:val="24"/>
              </w:rPr>
            </w:pPr>
          </w:p>
        </w:tc>
        <w:tc>
          <w:tcPr>
            <w:tcW w:w="3649" w:type="pct"/>
            <w:vMerge w:val="continue"/>
            <w:tcBorders>
              <w:tl2br w:val="nil"/>
              <w:tr2bl w:val="nil"/>
            </w:tcBorders>
            <w:shd w:val="clear" w:color="auto" w:fill="auto"/>
            <w:vAlign w:val="center"/>
          </w:tcPr>
          <w:p w14:paraId="7F15D202">
            <w:pPr>
              <w:jc w:val="left"/>
              <w:rPr>
                <w:rFonts w:hint="eastAsia" w:ascii="宋体" w:hAnsi="宋体" w:eastAsia="宋体" w:cs="宋体"/>
                <w:color w:val="000000"/>
                <w:sz w:val="24"/>
                <w:szCs w:val="24"/>
              </w:rPr>
            </w:pPr>
          </w:p>
        </w:tc>
        <w:tc>
          <w:tcPr>
            <w:tcW w:w="558" w:type="pct"/>
            <w:vMerge w:val="continue"/>
            <w:tcBorders>
              <w:tl2br w:val="nil"/>
              <w:tr2bl w:val="nil"/>
            </w:tcBorders>
            <w:shd w:val="clear" w:color="auto" w:fill="auto"/>
            <w:vAlign w:val="center"/>
          </w:tcPr>
          <w:p w14:paraId="0DD4ACF2">
            <w:pPr>
              <w:jc w:val="center"/>
              <w:rPr>
                <w:rFonts w:hint="eastAsia" w:ascii="宋体" w:hAnsi="宋体" w:eastAsia="宋体" w:cs="宋体"/>
                <w:color w:val="000000"/>
                <w:sz w:val="24"/>
                <w:szCs w:val="24"/>
              </w:rPr>
            </w:pPr>
          </w:p>
        </w:tc>
      </w:tr>
      <w:tr w14:paraId="573D5E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continue"/>
            <w:tcBorders>
              <w:tl2br w:val="nil"/>
              <w:tr2bl w:val="nil"/>
            </w:tcBorders>
            <w:shd w:val="clear" w:color="auto" w:fill="auto"/>
            <w:vAlign w:val="center"/>
          </w:tcPr>
          <w:p w14:paraId="66F0E1B4">
            <w:pPr>
              <w:jc w:val="center"/>
              <w:rPr>
                <w:rFonts w:hint="eastAsia" w:ascii="宋体" w:hAnsi="宋体" w:eastAsia="宋体" w:cs="宋体"/>
                <w:color w:val="000000"/>
                <w:sz w:val="24"/>
                <w:szCs w:val="24"/>
              </w:rPr>
            </w:pPr>
          </w:p>
        </w:tc>
        <w:tc>
          <w:tcPr>
            <w:tcW w:w="465" w:type="pct"/>
            <w:vMerge w:val="continue"/>
            <w:tcBorders>
              <w:tl2br w:val="nil"/>
              <w:tr2bl w:val="nil"/>
            </w:tcBorders>
            <w:shd w:val="clear" w:color="auto" w:fill="auto"/>
            <w:vAlign w:val="center"/>
          </w:tcPr>
          <w:p w14:paraId="0B204A08">
            <w:pPr>
              <w:jc w:val="center"/>
              <w:rPr>
                <w:rFonts w:hint="eastAsia" w:ascii="宋体" w:hAnsi="宋体" w:eastAsia="宋体" w:cs="宋体"/>
                <w:color w:val="000000"/>
                <w:sz w:val="24"/>
                <w:szCs w:val="24"/>
              </w:rPr>
            </w:pPr>
          </w:p>
        </w:tc>
        <w:tc>
          <w:tcPr>
            <w:tcW w:w="3649" w:type="pct"/>
            <w:vMerge w:val="continue"/>
            <w:tcBorders>
              <w:tl2br w:val="nil"/>
              <w:tr2bl w:val="nil"/>
            </w:tcBorders>
            <w:shd w:val="clear" w:color="auto" w:fill="auto"/>
            <w:vAlign w:val="center"/>
          </w:tcPr>
          <w:p w14:paraId="36A4F109">
            <w:pPr>
              <w:jc w:val="left"/>
              <w:rPr>
                <w:rFonts w:hint="eastAsia" w:ascii="宋体" w:hAnsi="宋体" w:eastAsia="宋体" w:cs="宋体"/>
                <w:color w:val="000000"/>
                <w:sz w:val="24"/>
                <w:szCs w:val="24"/>
              </w:rPr>
            </w:pPr>
          </w:p>
        </w:tc>
        <w:tc>
          <w:tcPr>
            <w:tcW w:w="558" w:type="pct"/>
            <w:vMerge w:val="continue"/>
            <w:tcBorders>
              <w:tl2br w:val="nil"/>
              <w:tr2bl w:val="nil"/>
            </w:tcBorders>
            <w:shd w:val="clear" w:color="auto" w:fill="auto"/>
            <w:vAlign w:val="center"/>
          </w:tcPr>
          <w:p w14:paraId="0E214C5F">
            <w:pPr>
              <w:jc w:val="center"/>
              <w:rPr>
                <w:rFonts w:hint="eastAsia" w:ascii="宋体" w:hAnsi="宋体" w:eastAsia="宋体" w:cs="宋体"/>
                <w:color w:val="000000"/>
                <w:sz w:val="24"/>
                <w:szCs w:val="24"/>
              </w:rPr>
            </w:pPr>
          </w:p>
        </w:tc>
      </w:tr>
      <w:tr w14:paraId="55C70A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restart"/>
            <w:tcBorders>
              <w:tl2br w:val="nil"/>
              <w:tr2bl w:val="nil"/>
            </w:tcBorders>
            <w:shd w:val="clear" w:color="auto" w:fill="auto"/>
            <w:vAlign w:val="center"/>
          </w:tcPr>
          <w:p w14:paraId="5BB7D3A4">
            <w:pPr>
              <w:widowControl/>
              <w:jc w:val="center"/>
              <w:textAlignment w:val="center"/>
              <w:rPr>
                <w:rFonts w:hint="eastAsia" w:ascii="宋体" w:hAnsi="宋体" w:eastAsia="宋体" w:cs="宋体"/>
                <w:color w:val="000000"/>
                <w:sz w:val="24"/>
                <w:szCs w:val="24"/>
                <w:lang w:eastAsia="zh-CN"/>
              </w:rPr>
            </w:pPr>
            <w:r>
              <w:rPr>
                <w:rFonts w:hint="eastAsia" w:ascii="宋体" w:hAnsi="宋体" w:cs="宋体"/>
                <w:color w:val="000000"/>
                <w:kern w:val="0"/>
                <w:sz w:val="24"/>
                <w:szCs w:val="24"/>
                <w:lang w:val="en-US" w:eastAsia="zh-CN"/>
              </w:rPr>
              <w:t>4</w:t>
            </w:r>
          </w:p>
        </w:tc>
        <w:tc>
          <w:tcPr>
            <w:tcW w:w="465" w:type="pct"/>
            <w:vMerge w:val="restart"/>
            <w:tcBorders>
              <w:tl2br w:val="nil"/>
              <w:tr2bl w:val="nil"/>
            </w:tcBorders>
            <w:shd w:val="clear" w:color="auto" w:fill="auto"/>
            <w:vAlign w:val="center"/>
          </w:tcPr>
          <w:p w14:paraId="17727E2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售后服务方案</w:t>
            </w:r>
          </w:p>
        </w:tc>
        <w:tc>
          <w:tcPr>
            <w:tcW w:w="3649" w:type="pct"/>
            <w:vMerge w:val="restart"/>
            <w:tcBorders>
              <w:tl2br w:val="nil"/>
              <w:tr2bl w:val="nil"/>
            </w:tcBorders>
            <w:shd w:val="clear" w:color="auto" w:fill="auto"/>
            <w:vAlign w:val="center"/>
          </w:tcPr>
          <w:p w14:paraId="31C7BE7D">
            <w:pPr>
              <w:widowControl/>
              <w:jc w:val="left"/>
              <w:textAlignment w:val="center"/>
              <w:rPr>
                <w:rFonts w:hint="eastAsia" w:ascii="宋体" w:hAnsi="宋体" w:eastAsia="宋体" w:cs="宋体"/>
                <w:color w:val="000000"/>
                <w:sz w:val="24"/>
                <w:szCs w:val="24"/>
              </w:rPr>
            </w:pPr>
            <w:r>
              <w:rPr>
                <w:rFonts w:hint="eastAsia" w:ascii="宋体" w:hAnsi="宋体" w:cs="宋体"/>
                <w:color w:val="000000"/>
                <w:kern w:val="0"/>
                <w:sz w:val="24"/>
                <w:szCs w:val="24"/>
                <w:lang w:eastAsia="zh-CN"/>
              </w:rPr>
              <w:t>评审小组</w:t>
            </w:r>
            <w:r>
              <w:rPr>
                <w:rFonts w:hint="eastAsia" w:ascii="宋体" w:hAnsi="宋体" w:eastAsia="宋体" w:cs="宋体"/>
                <w:color w:val="000000"/>
                <w:kern w:val="0"/>
                <w:sz w:val="24"/>
                <w:szCs w:val="24"/>
              </w:rPr>
              <w:t>根据供应商提供的售后服务方案进行评比赋分，供应商必须制定科学、完整的售后服务方案，方案应包含不限于：①售后服务体系、②售后服务承诺、③售后工作流程、④售后服务团队配备、⑤售后故障处理、⑥售后业务恢复响应承诺、⑦应急预案处理方式、⑧售后运维管理体系等方案。</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1）以上每项内容</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分，满分</w:t>
            </w:r>
            <w:r>
              <w:rPr>
                <w:rFonts w:hint="eastAsia" w:ascii="宋体" w:hAnsi="宋体" w:cs="宋体"/>
                <w:color w:val="000000"/>
                <w:kern w:val="0"/>
                <w:sz w:val="24"/>
                <w:szCs w:val="24"/>
                <w:lang w:val="en-US" w:eastAsia="zh-CN"/>
              </w:rPr>
              <w:t>8</w:t>
            </w:r>
            <w:r>
              <w:rPr>
                <w:rFonts w:hint="eastAsia" w:ascii="宋体" w:hAnsi="宋体" w:eastAsia="宋体" w:cs="宋体"/>
                <w:color w:val="000000"/>
                <w:kern w:val="0"/>
                <w:sz w:val="24"/>
                <w:szCs w:val="24"/>
              </w:rPr>
              <w:t>分，方案涵盖上述所有内容且方案内容符合或优于采购需求条件的得</w:t>
            </w:r>
            <w:r>
              <w:rPr>
                <w:rFonts w:hint="eastAsia" w:ascii="宋体" w:hAnsi="宋体" w:cs="宋体"/>
                <w:color w:val="000000"/>
                <w:kern w:val="0"/>
                <w:sz w:val="24"/>
                <w:szCs w:val="24"/>
                <w:lang w:val="en-US" w:eastAsia="zh-CN"/>
              </w:rPr>
              <w:t>8</w:t>
            </w:r>
            <w:r>
              <w:rPr>
                <w:rFonts w:hint="eastAsia" w:ascii="宋体" w:hAnsi="宋体" w:eastAsia="宋体" w:cs="宋体"/>
                <w:color w:val="000000"/>
                <w:kern w:val="0"/>
                <w:sz w:val="24"/>
                <w:szCs w:val="24"/>
              </w:rPr>
              <w:t>分； （2）以上内容存在一处缺陷（内容缺陷是指：内容不符合采购需求或不适用项目特性的情形、内容不完整或缺少关键节点、套用其他项目方案、内容前 后矛盾、涉及的规范及标准错误、不利于项目实施、不可能实现的情形等任意一种情形）相应项扣</w:t>
            </w:r>
            <w:r>
              <w:rPr>
                <w:rFonts w:hint="eastAsia" w:ascii="宋体" w:hAnsi="宋体" w:cs="宋体"/>
                <w:color w:val="000000"/>
                <w:kern w:val="0"/>
                <w:sz w:val="24"/>
                <w:szCs w:val="24"/>
                <w:lang w:val="en-US" w:eastAsia="zh-CN"/>
              </w:rPr>
              <w:t>0.5</w:t>
            </w:r>
            <w:r>
              <w:rPr>
                <w:rFonts w:hint="eastAsia" w:ascii="宋体" w:hAnsi="宋体" w:eastAsia="宋体" w:cs="宋体"/>
                <w:color w:val="000000"/>
                <w:kern w:val="0"/>
                <w:sz w:val="24"/>
                <w:szCs w:val="24"/>
              </w:rPr>
              <w:t>分，扣完为止。（3）不提供方案的，不得分。</w:t>
            </w:r>
          </w:p>
        </w:tc>
        <w:tc>
          <w:tcPr>
            <w:tcW w:w="558" w:type="pct"/>
            <w:vMerge w:val="restart"/>
            <w:tcBorders>
              <w:tl2br w:val="nil"/>
              <w:tr2bl w:val="nil"/>
            </w:tcBorders>
            <w:shd w:val="clear" w:color="auto" w:fill="auto"/>
            <w:vAlign w:val="center"/>
          </w:tcPr>
          <w:p w14:paraId="13941596">
            <w:pPr>
              <w:widowControl/>
              <w:jc w:val="center"/>
              <w:textAlignment w:val="center"/>
              <w:rPr>
                <w:rFonts w:hint="eastAsia" w:ascii="宋体" w:hAnsi="宋体" w:eastAsia="宋体" w:cs="宋体"/>
                <w:color w:val="000000"/>
                <w:sz w:val="24"/>
                <w:szCs w:val="24"/>
              </w:rPr>
            </w:pPr>
            <w:r>
              <w:rPr>
                <w:rFonts w:hint="eastAsia" w:ascii="宋体" w:hAnsi="宋体" w:cs="宋体"/>
                <w:color w:val="000000"/>
                <w:kern w:val="0"/>
                <w:sz w:val="24"/>
                <w:szCs w:val="24"/>
                <w:lang w:val="en-US" w:eastAsia="zh-CN"/>
              </w:rPr>
              <w:t>8</w:t>
            </w:r>
            <w:r>
              <w:rPr>
                <w:rFonts w:hint="eastAsia" w:ascii="宋体" w:hAnsi="宋体" w:eastAsia="宋体" w:cs="宋体"/>
                <w:color w:val="000000"/>
                <w:kern w:val="0"/>
                <w:sz w:val="24"/>
                <w:szCs w:val="24"/>
              </w:rPr>
              <w:t>分</w:t>
            </w:r>
          </w:p>
        </w:tc>
      </w:tr>
      <w:tr w14:paraId="656593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continue"/>
            <w:tcBorders>
              <w:tl2br w:val="nil"/>
              <w:tr2bl w:val="nil"/>
            </w:tcBorders>
            <w:shd w:val="clear" w:color="auto" w:fill="auto"/>
            <w:vAlign w:val="center"/>
          </w:tcPr>
          <w:p w14:paraId="081919B7">
            <w:pPr>
              <w:jc w:val="center"/>
              <w:rPr>
                <w:rFonts w:hint="eastAsia" w:ascii="宋体" w:hAnsi="宋体" w:eastAsia="宋体" w:cs="宋体"/>
                <w:color w:val="000000"/>
                <w:sz w:val="24"/>
                <w:szCs w:val="24"/>
              </w:rPr>
            </w:pPr>
          </w:p>
        </w:tc>
        <w:tc>
          <w:tcPr>
            <w:tcW w:w="465" w:type="pct"/>
            <w:vMerge w:val="continue"/>
            <w:tcBorders>
              <w:tl2br w:val="nil"/>
              <w:tr2bl w:val="nil"/>
            </w:tcBorders>
            <w:shd w:val="clear" w:color="auto" w:fill="auto"/>
            <w:vAlign w:val="center"/>
          </w:tcPr>
          <w:p w14:paraId="1C63ACC8">
            <w:pPr>
              <w:jc w:val="center"/>
              <w:rPr>
                <w:rFonts w:hint="eastAsia" w:ascii="宋体" w:hAnsi="宋体" w:eastAsia="宋体" w:cs="宋体"/>
                <w:color w:val="000000"/>
                <w:sz w:val="24"/>
                <w:szCs w:val="24"/>
              </w:rPr>
            </w:pPr>
          </w:p>
        </w:tc>
        <w:tc>
          <w:tcPr>
            <w:tcW w:w="3649" w:type="pct"/>
            <w:vMerge w:val="continue"/>
            <w:tcBorders>
              <w:tl2br w:val="nil"/>
              <w:tr2bl w:val="nil"/>
            </w:tcBorders>
            <w:shd w:val="clear" w:color="auto" w:fill="auto"/>
            <w:vAlign w:val="center"/>
          </w:tcPr>
          <w:p w14:paraId="77BE01DD">
            <w:pPr>
              <w:jc w:val="left"/>
              <w:rPr>
                <w:rFonts w:hint="eastAsia" w:ascii="宋体" w:hAnsi="宋体" w:eastAsia="宋体" w:cs="宋体"/>
                <w:color w:val="000000"/>
                <w:sz w:val="24"/>
                <w:szCs w:val="24"/>
              </w:rPr>
            </w:pPr>
          </w:p>
        </w:tc>
        <w:tc>
          <w:tcPr>
            <w:tcW w:w="558" w:type="pct"/>
            <w:vMerge w:val="continue"/>
            <w:tcBorders>
              <w:tl2br w:val="nil"/>
              <w:tr2bl w:val="nil"/>
            </w:tcBorders>
            <w:shd w:val="clear" w:color="auto" w:fill="auto"/>
            <w:vAlign w:val="center"/>
          </w:tcPr>
          <w:p w14:paraId="1B539531">
            <w:pPr>
              <w:jc w:val="center"/>
              <w:rPr>
                <w:rFonts w:hint="eastAsia" w:ascii="宋体" w:hAnsi="宋体" w:eastAsia="宋体" w:cs="宋体"/>
                <w:color w:val="000000"/>
                <w:sz w:val="24"/>
                <w:szCs w:val="24"/>
              </w:rPr>
            </w:pPr>
          </w:p>
        </w:tc>
      </w:tr>
      <w:tr w14:paraId="317A9E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continue"/>
            <w:tcBorders>
              <w:tl2br w:val="nil"/>
              <w:tr2bl w:val="nil"/>
            </w:tcBorders>
            <w:shd w:val="clear" w:color="auto" w:fill="auto"/>
            <w:vAlign w:val="center"/>
          </w:tcPr>
          <w:p w14:paraId="76DF45E7">
            <w:pPr>
              <w:jc w:val="center"/>
              <w:rPr>
                <w:rFonts w:hint="eastAsia" w:ascii="宋体" w:hAnsi="宋体" w:eastAsia="宋体" w:cs="宋体"/>
                <w:color w:val="000000"/>
                <w:sz w:val="24"/>
                <w:szCs w:val="24"/>
              </w:rPr>
            </w:pPr>
          </w:p>
        </w:tc>
        <w:tc>
          <w:tcPr>
            <w:tcW w:w="465" w:type="pct"/>
            <w:vMerge w:val="continue"/>
            <w:tcBorders>
              <w:tl2br w:val="nil"/>
              <w:tr2bl w:val="nil"/>
            </w:tcBorders>
            <w:shd w:val="clear" w:color="auto" w:fill="auto"/>
            <w:vAlign w:val="center"/>
          </w:tcPr>
          <w:p w14:paraId="3BEFEDCD">
            <w:pPr>
              <w:jc w:val="center"/>
              <w:rPr>
                <w:rFonts w:hint="eastAsia" w:ascii="宋体" w:hAnsi="宋体" w:eastAsia="宋体" w:cs="宋体"/>
                <w:color w:val="000000"/>
                <w:sz w:val="24"/>
                <w:szCs w:val="24"/>
              </w:rPr>
            </w:pPr>
          </w:p>
        </w:tc>
        <w:tc>
          <w:tcPr>
            <w:tcW w:w="3649" w:type="pct"/>
            <w:vMerge w:val="continue"/>
            <w:tcBorders>
              <w:tl2br w:val="nil"/>
              <w:tr2bl w:val="nil"/>
            </w:tcBorders>
            <w:shd w:val="clear" w:color="auto" w:fill="auto"/>
            <w:vAlign w:val="center"/>
          </w:tcPr>
          <w:p w14:paraId="09ADD3BF">
            <w:pPr>
              <w:jc w:val="left"/>
              <w:rPr>
                <w:rFonts w:hint="eastAsia" w:ascii="宋体" w:hAnsi="宋体" w:eastAsia="宋体" w:cs="宋体"/>
                <w:color w:val="000000"/>
                <w:sz w:val="24"/>
                <w:szCs w:val="24"/>
              </w:rPr>
            </w:pPr>
          </w:p>
        </w:tc>
        <w:tc>
          <w:tcPr>
            <w:tcW w:w="558" w:type="pct"/>
            <w:vMerge w:val="continue"/>
            <w:tcBorders>
              <w:tl2br w:val="nil"/>
              <w:tr2bl w:val="nil"/>
            </w:tcBorders>
            <w:shd w:val="clear" w:color="auto" w:fill="auto"/>
            <w:vAlign w:val="center"/>
          </w:tcPr>
          <w:p w14:paraId="4335F6D8">
            <w:pPr>
              <w:jc w:val="center"/>
              <w:rPr>
                <w:rFonts w:hint="eastAsia" w:ascii="宋体" w:hAnsi="宋体" w:eastAsia="宋体" w:cs="宋体"/>
                <w:color w:val="000000"/>
                <w:sz w:val="24"/>
                <w:szCs w:val="24"/>
              </w:rPr>
            </w:pPr>
          </w:p>
        </w:tc>
      </w:tr>
      <w:tr w14:paraId="1F9343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continue"/>
            <w:tcBorders>
              <w:tl2br w:val="nil"/>
              <w:tr2bl w:val="nil"/>
            </w:tcBorders>
            <w:shd w:val="clear" w:color="auto" w:fill="auto"/>
            <w:vAlign w:val="center"/>
          </w:tcPr>
          <w:p w14:paraId="2E34CF2B">
            <w:pPr>
              <w:jc w:val="center"/>
              <w:rPr>
                <w:rFonts w:hint="eastAsia" w:ascii="宋体" w:hAnsi="宋体" w:eastAsia="宋体" w:cs="宋体"/>
                <w:color w:val="000000"/>
                <w:sz w:val="24"/>
                <w:szCs w:val="24"/>
              </w:rPr>
            </w:pPr>
          </w:p>
        </w:tc>
        <w:tc>
          <w:tcPr>
            <w:tcW w:w="465" w:type="pct"/>
            <w:vMerge w:val="continue"/>
            <w:tcBorders>
              <w:tl2br w:val="nil"/>
              <w:tr2bl w:val="nil"/>
            </w:tcBorders>
            <w:shd w:val="clear" w:color="auto" w:fill="auto"/>
            <w:vAlign w:val="center"/>
          </w:tcPr>
          <w:p w14:paraId="4ED0CA99">
            <w:pPr>
              <w:jc w:val="center"/>
              <w:rPr>
                <w:rFonts w:hint="eastAsia" w:ascii="宋体" w:hAnsi="宋体" w:eastAsia="宋体" w:cs="宋体"/>
                <w:color w:val="000000"/>
                <w:sz w:val="24"/>
                <w:szCs w:val="24"/>
              </w:rPr>
            </w:pPr>
          </w:p>
        </w:tc>
        <w:tc>
          <w:tcPr>
            <w:tcW w:w="3649" w:type="pct"/>
            <w:vMerge w:val="continue"/>
            <w:tcBorders>
              <w:tl2br w:val="nil"/>
              <w:tr2bl w:val="nil"/>
            </w:tcBorders>
            <w:shd w:val="clear" w:color="auto" w:fill="auto"/>
            <w:vAlign w:val="center"/>
          </w:tcPr>
          <w:p w14:paraId="5CC0207F">
            <w:pPr>
              <w:jc w:val="left"/>
              <w:rPr>
                <w:rFonts w:hint="eastAsia" w:ascii="宋体" w:hAnsi="宋体" w:eastAsia="宋体" w:cs="宋体"/>
                <w:color w:val="000000"/>
                <w:sz w:val="24"/>
                <w:szCs w:val="24"/>
              </w:rPr>
            </w:pPr>
          </w:p>
        </w:tc>
        <w:tc>
          <w:tcPr>
            <w:tcW w:w="558" w:type="pct"/>
            <w:vMerge w:val="continue"/>
            <w:tcBorders>
              <w:tl2br w:val="nil"/>
              <w:tr2bl w:val="nil"/>
            </w:tcBorders>
            <w:shd w:val="clear" w:color="auto" w:fill="auto"/>
            <w:vAlign w:val="center"/>
          </w:tcPr>
          <w:p w14:paraId="5F299346">
            <w:pPr>
              <w:jc w:val="center"/>
              <w:rPr>
                <w:rFonts w:hint="eastAsia" w:ascii="宋体" w:hAnsi="宋体" w:eastAsia="宋体" w:cs="宋体"/>
                <w:color w:val="000000"/>
                <w:sz w:val="24"/>
                <w:szCs w:val="24"/>
              </w:rPr>
            </w:pPr>
          </w:p>
        </w:tc>
      </w:tr>
      <w:tr w14:paraId="7C0B99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continue"/>
            <w:tcBorders>
              <w:tl2br w:val="nil"/>
              <w:tr2bl w:val="nil"/>
            </w:tcBorders>
            <w:shd w:val="clear" w:color="auto" w:fill="auto"/>
            <w:vAlign w:val="center"/>
          </w:tcPr>
          <w:p w14:paraId="2FA631C4">
            <w:pPr>
              <w:jc w:val="center"/>
              <w:rPr>
                <w:rFonts w:hint="eastAsia" w:ascii="宋体" w:hAnsi="宋体" w:eastAsia="宋体" w:cs="宋体"/>
                <w:color w:val="000000"/>
                <w:sz w:val="24"/>
                <w:szCs w:val="24"/>
              </w:rPr>
            </w:pPr>
          </w:p>
        </w:tc>
        <w:tc>
          <w:tcPr>
            <w:tcW w:w="465" w:type="pct"/>
            <w:vMerge w:val="continue"/>
            <w:tcBorders>
              <w:tl2br w:val="nil"/>
              <w:tr2bl w:val="nil"/>
            </w:tcBorders>
            <w:shd w:val="clear" w:color="auto" w:fill="auto"/>
            <w:vAlign w:val="center"/>
          </w:tcPr>
          <w:p w14:paraId="12C10B6C">
            <w:pPr>
              <w:jc w:val="center"/>
              <w:rPr>
                <w:rFonts w:hint="eastAsia" w:ascii="宋体" w:hAnsi="宋体" w:eastAsia="宋体" w:cs="宋体"/>
                <w:color w:val="000000"/>
                <w:sz w:val="24"/>
                <w:szCs w:val="24"/>
              </w:rPr>
            </w:pPr>
          </w:p>
        </w:tc>
        <w:tc>
          <w:tcPr>
            <w:tcW w:w="3649" w:type="pct"/>
            <w:vMerge w:val="continue"/>
            <w:tcBorders>
              <w:tl2br w:val="nil"/>
              <w:tr2bl w:val="nil"/>
            </w:tcBorders>
            <w:shd w:val="clear" w:color="auto" w:fill="auto"/>
            <w:vAlign w:val="center"/>
          </w:tcPr>
          <w:p w14:paraId="415F87BB">
            <w:pPr>
              <w:jc w:val="left"/>
              <w:rPr>
                <w:rFonts w:hint="eastAsia" w:ascii="宋体" w:hAnsi="宋体" w:eastAsia="宋体" w:cs="宋体"/>
                <w:color w:val="000000"/>
                <w:sz w:val="24"/>
                <w:szCs w:val="24"/>
              </w:rPr>
            </w:pPr>
          </w:p>
        </w:tc>
        <w:tc>
          <w:tcPr>
            <w:tcW w:w="558" w:type="pct"/>
            <w:vMerge w:val="continue"/>
            <w:tcBorders>
              <w:tl2br w:val="nil"/>
              <w:tr2bl w:val="nil"/>
            </w:tcBorders>
            <w:shd w:val="clear" w:color="auto" w:fill="auto"/>
            <w:vAlign w:val="center"/>
          </w:tcPr>
          <w:p w14:paraId="45344820">
            <w:pPr>
              <w:jc w:val="center"/>
              <w:rPr>
                <w:rFonts w:hint="eastAsia" w:ascii="宋体" w:hAnsi="宋体" w:eastAsia="宋体" w:cs="宋体"/>
                <w:color w:val="000000"/>
                <w:sz w:val="24"/>
                <w:szCs w:val="24"/>
              </w:rPr>
            </w:pPr>
          </w:p>
        </w:tc>
      </w:tr>
      <w:tr w14:paraId="146831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continue"/>
            <w:tcBorders>
              <w:tl2br w:val="nil"/>
              <w:tr2bl w:val="nil"/>
            </w:tcBorders>
            <w:shd w:val="clear" w:color="auto" w:fill="auto"/>
            <w:vAlign w:val="center"/>
          </w:tcPr>
          <w:p w14:paraId="6287F764">
            <w:pPr>
              <w:jc w:val="center"/>
              <w:rPr>
                <w:rFonts w:hint="eastAsia" w:ascii="宋体" w:hAnsi="宋体" w:eastAsia="宋体" w:cs="宋体"/>
                <w:color w:val="000000"/>
                <w:sz w:val="24"/>
                <w:szCs w:val="24"/>
              </w:rPr>
            </w:pPr>
          </w:p>
        </w:tc>
        <w:tc>
          <w:tcPr>
            <w:tcW w:w="465" w:type="pct"/>
            <w:vMerge w:val="continue"/>
            <w:tcBorders>
              <w:tl2br w:val="nil"/>
              <w:tr2bl w:val="nil"/>
            </w:tcBorders>
            <w:shd w:val="clear" w:color="auto" w:fill="auto"/>
            <w:vAlign w:val="center"/>
          </w:tcPr>
          <w:p w14:paraId="37A37E55">
            <w:pPr>
              <w:jc w:val="center"/>
              <w:rPr>
                <w:rFonts w:hint="eastAsia" w:ascii="宋体" w:hAnsi="宋体" w:eastAsia="宋体" w:cs="宋体"/>
                <w:color w:val="000000"/>
                <w:sz w:val="24"/>
                <w:szCs w:val="24"/>
              </w:rPr>
            </w:pPr>
          </w:p>
        </w:tc>
        <w:tc>
          <w:tcPr>
            <w:tcW w:w="3649" w:type="pct"/>
            <w:vMerge w:val="continue"/>
            <w:tcBorders>
              <w:tl2br w:val="nil"/>
              <w:tr2bl w:val="nil"/>
            </w:tcBorders>
            <w:shd w:val="clear" w:color="auto" w:fill="auto"/>
            <w:vAlign w:val="center"/>
          </w:tcPr>
          <w:p w14:paraId="4FDDC8ED">
            <w:pPr>
              <w:jc w:val="center"/>
              <w:rPr>
                <w:rFonts w:hint="eastAsia" w:ascii="宋体" w:hAnsi="宋体" w:eastAsia="宋体" w:cs="宋体"/>
                <w:color w:val="000000"/>
                <w:sz w:val="24"/>
                <w:szCs w:val="24"/>
              </w:rPr>
            </w:pPr>
          </w:p>
        </w:tc>
        <w:tc>
          <w:tcPr>
            <w:tcW w:w="558" w:type="pct"/>
            <w:vMerge w:val="continue"/>
            <w:tcBorders>
              <w:tl2br w:val="nil"/>
              <w:tr2bl w:val="nil"/>
            </w:tcBorders>
            <w:shd w:val="clear" w:color="auto" w:fill="auto"/>
            <w:vAlign w:val="center"/>
          </w:tcPr>
          <w:p w14:paraId="7C42DEE6">
            <w:pPr>
              <w:jc w:val="center"/>
              <w:rPr>
                <w:rFonts w:hint="eastAsia" w:ascii="宋体" w:hAnsi="宋体" w:eastAsia="宋体" w:cs="宋体"/>
                <w:color w:val="000000"/>
                <w:sz w:val="24"/>
                <w:szCs w:val="24"/>
              </w:rPr>
            </w:pPr>
          </w:p>
        </w:tc>
      </w:tr>
      <w:tr w14:paraId="031AC6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tcBorders>
              <w:tl2br w:val="nil"/>
              <w:tr2bl w:val="nil"/>
            </w:tcBorders>
            <w:shd w:val="clear" w:color="auto" w:fill="auto"/>
            <w:vAlign w:val="center"/>
          </w:tcPr>
          <w:p w14:paraId="51A845AF">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val="en-US" w:eastAsia="zh-CN"/>
              </w:rPr>
              <w:t>5</w:t>
            </w:r>
          </w:p>
        </w:tc>
        <w:tc>
          <w:tcPr>
            <w:tcW w:w="465" w:type="pct"/>
            <w:tcBorders>
              <w:tl2br w:val="nil"/>
              <w:tr2bl w:val="nil"/>
            </w:tcBorders>
            <w:shd w:val="clear" w:color="auto" w:fill="auto"/>
            <w:vAlign w:val="center"/>
          </w:tcPr>
          <w:p w14:paraId="62A79528">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报价</w:t>
            </w:r>
          </w:p>
        </w:tc>
        <w:tc>
          <w:tcPr>
            <w:tcW w:w="3649" w:type="pct"/>
            <w:tcBorders>
              <w:tl2br w:val="nil"/>
              <w:tr2bl w:val="nil"/>
            </w:tcBorders>
            <w:shd w:val="clear" w:color="auto" w:fill="auto"/>
            <w:vAlign w:val="center"/>
          </w:tcPr>
          <w:p w14:paraId="07E32DE4">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满足</w:t>
            </w:r>
            <w:r>
              <w:rPr>
                <w:rFonts w:hint="eastAsia" w:ascii="宋体" w:hAnsi="宋体" w:cs="宋体"/>
                <w:color w:val="000000"/>
                <w:kern w:val="0"/>
                <w:sz w:val="24"/>
                <w:szCs w:val="24"/>
                <w:lang w:eastAsia="zh-CN"/>
              </w:rPr>
              <w:t>招标文件</w:t>
            </w:r>
            <w:r>
              <w:rPr>
                <w:rFonts w:hint="eastAsia" w:ascii="宋体" w:hAnsi="宋体" w:eastAsia="宋体" w:cs="宋体"/>
                <w:color w:val="000000"/>
                <w:kern w:val="0"/>
                <w:sz w:val="24"/>
                <w:szCs w:val="24"/>
              </w:rPr>
              <w:t>要求且最后报价最低的供应商的价格为磋商基准价，其价格分为满分。其他供应商的价格分统一按照下列公式计算：</w:t>
            </w:r>
            <w:r>
              <w:rPr>
                <w:rFonts w:hint="eastAsia" w:ascii="宋体" w:hAnsi="宋体" w:eastAsia="宋体" w:cs="宋体"/>
                <w:color w:val="000000"/>
                <w:kern w:val="0"/>
                <w:sz w:val="24"/>
                <w:szCs w:val="24"/>
              </w:rPr>
              <w:br w:type="textWrapping"/>
            </w:r>
            <w:r>
              <w:rPr>
                <w:rFonts w:hint="eastAsia" w:ascii="宋体" w:hAnsi="宋体" w:cs="宋体"/>
                <w:color w:val="000000"/>
                <w:kern w:val="0"/>
                <w:sz w:val="24"/>
                <w:szCs w:val="24"/>
                <w:lang w:val="en-US" w:eastAsia="zh-CN"/>
              </w:rPr>
              <w:t>投标</w:t>
            </w:r>
            <w:r>
              <w:rPr>
                <w:rFonts w:hint="eastAsia" w:ascii="宋体" w:hAnsi="宋体" w:eastAsia="宋体" w:cs="宋体"/>
                <w:color w:val="000000"/>
                <w:kern w:val="0"/>
                <w:sz w:val="24"/>
                <w:szCs w:val="24"/>
              </w:rPr>
              <w:t>报价得分=（</w:t>
            </w:r>
            <w:r>
              <w:rPr>
                <w:rFonts w:hint="eastAsia" w:ascii="宋体" w:hAnsi="宋体" w:cs="宋体"/>
                <w:color w:val="000000"/>
                <w:kern w:val="0"/>
                <w:sz w:val="24"/>
                <w:szCs w:val="24"/>
                <w:lang w:val="en-US" w:eastAsia="zh-CN"/>
              </w:rPr>
              <w:t>投标</w:t>
            </w:r>
            <w:r>
              <w:rPr>
                <w:rFonts w:hint="eastAsia" w:ascii="宋体" w:hAnsi="宋体" w:eastAsia="宋体" w:cs="宋体"/>
                <w:color w:val="000000"/>
                <w:kern w:val="0"/>
                <w:sz w:val="24"/>
                <w:szCs w:val="24"/>
              </w:rPr>
              <w:t>基准价/投标报价）×价格权值×100</w:t>
            </w:r>
          </w:p>
        </w:tc>
        <w:tc>
          <w:tcPr>
            <w:tcW w:w="558" w:type="pct"/>
            <w:tcBorders>
              <w:tl2br w:val="nil"/>
              <w:tr2bl w:val="nil"/>
            </w:tcBorders>
            <w:shd w:val="clear" w:color="auto" w:fill="auto"/>
            <w:vAlign w:val="center"/>
          </w:tcPr>
          <w:p w14:paraId="14DA8D86">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val="en-US" w:eastAsia="zh-CN"/>
              </w:rPr>
              <w:t>10</w:t>
            </w:r>
            <w:r>
              <w:rPr>
                <w:rFonts w:hint="eastAsia" w:ascii="宋体" w:hAnsi="宋体" w:eastAsia="宋体" w:cs="宋体"/>
                <w:color w:val="000000"/>
                <w:kern w:val="0"/>
                <w:sz w:val="24"/>
                <w:szCs w:val="24"/>
              </w:rPr>
              <w:t>分</w:t>
            </w:r>
          </w:p>
        </w:tc>
      </w:tr>
    </w:tbl>
    <w:p w14:paraId="7D3B4160">
      <w:pPr>
        <w:ind w:firstLine="4498" w:firstLineChars="1400"/>
        <w:rPr>
          <w:rFonts w:hint="eastAsia"/>
          <w:b/>
          <w:sz w:val="32"/>
          <w:szCs w:val="32"/>
        </w:rPr>
      </w:pPr>
    </w:p>
    <w:p w14:paraId="78A0BFA5">
      <w:pPr>
        <w:ind w:firstLine="4498" w:firstLineChars="1400"/>
        <w:rPr>
          <w:b/>
          <w:sz w:val="32"/>
          <w:szCs w:val="32"/>
        </w:rPr>
      </w:pPr>
      <w:r>
        <w:rPr>
          <w:rFonts w:hint="eastAsia"/>
          <w:b/>
          <w:sz w:val="32"/>
          <w:szCs w:val="32"/>
        </w:rPr>
        <w:t>正文部分</w:t>
      </w:r>
    </w:p>
    <w:p w14:paraId="721DEE00">
      <w:pPr>
        <w:spacing w:line="360" w:lineRule="exact"/>
        <w:ind w:firstLine="480" w:firstLineChars="200"/>
        <w:rPr>
          <w:rFonts w:ascii="宋体" w:hAnsi="宋体"/>
          <w:sz w:val="24"/>
        </w:rPr>
      </w:pPr>
      <w:r>
        <w:rPr>
          <w:rFonts w:hint="eastAsia" w:ascii="宋体" w:hAnsi="宋体"/>
          <w:sz w:val="24"/>
          <w:lang w:val="en-US" w:eastAsia="zh-CN"/>
        </w:rPr>
        <w:t>1</w:t>
      </w:r>
      <w:r>
        <w:rPr>
          <w:rFonts w:hint="eastAsia" w:ascii="宋体" w:hAnsi="宋体"/>
          <w:sz w:val="24"/>
        </w:rPr>
        <w:t>、评标原则和方法</w:t>
      </w:r>
    </w:p>
    <w:p w14:paraId="07B4211C">
      <w:pPr>
        <w:spacing w:line="360" w:lineRule="exact"/>
        <w:ind w:firstLine="480" w:firstLineChars="200"/>
        <w:rPr>
          <w:rFonts w:ascii="宋体" w:hAnsi="宋体"/>
          <w:sz w:val="24"/>
        </w:rPr>
      </w:pPr>
      <w:r>
        <w:rPr>
          <w:rFonts w:hint="eastAsia" w:ascii="宋体" w:hAnsi="宋体"/>
          <w:sz w:val="24"/>
        </w:rPr>
        <w:t xml:space="preserve">    1.1 评标基本原则：评标工作应依据《中华人民共和国政府采购法》以及国家及地方政府有关政府采购的有关规定，按照客观、公正、审慎的原则进行，评委会对所有投标人的投标评估，都采用相同的程序和标准。本次综合评分的主要因素是：价格、技术、信誉、服务、对招标文件的响应程度以及环保、节能等。</w:t>
      </w:r>
    </w:p>
    <w:p w14:paraId="3316AF49">
      <w:pPr>
        <w:spacing w:line="360" w:lineRule="exact"/>
        <w:ind w:firstLine="480" w:firstLineChars="200"/>
        <w:rPr>
          <w:rFonts w:ascii="宋体" w:hAnsi="宋体"/>
          <w:sz w:val="24"/>
        </w:rPr>
      </w:pPr>
      <w:r>
        <w:rPr>
          <w:rFonts w:hint="eastAsia" w:ascii="宋体" w:hAnsi="宋体"/>
          <w:sz w:val="24"/>
        </w:rPr>
        <w:t>1</w:t>
      </w:r>
      <w:r>
        <w:rPr>
          <w:rFonts w:ascii="宋体" w:hAnsi="宋体"/>
          <w:sz w:val="24"/>
        </w:rPr>
        <w:t>.2</w:t>
      </w:r>
      <w:r>
        <w:rPr>
          <w:rFonts w:hint="eastAsia" w:ascii="宋体" w:hAnsi="宋体"/>
          <w:sz w:val="24"/>
        </w:rPr>
        <w:t>评委会对每个“投标文件”的投标报价进行比较。</w:t>
      </w:r>
    </w:p>
    <w:p w14:paraId="3FA6FAA0">
      <w:pPr>
        <w:spacing w:line="360" w:lineRule="exact"/>
        <w:ind w:firstLine="480" w:firstLineChars="200"/>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对各投标者所报技术性能进行比较。</w:t>
      </w:r>
    </w:p>
    <w:p w14:paraId="2539E189">
      <w:pPr>
        <w:spacing w:line="360" w:lineRule="exact"/>
        <w:ind w:firstLine="480" w:firstLineChars="200"/>
        <w:rPr>
          <w:rFonts w:ascii="宋体" w:hAnsi="宋体"/>
          <w:sz w:val="24"/>
        </w:rPr>
      </w:pPr>
      <w:r>
        <w:rPr>
          <w:rFonts w:hint="eastAsia" w:ascii="宋体" w:hAnsi="宋体"/>
          <w:sz w:val="24"/>
        </w:rPr>
        <w:t>1.4对其他内容进行分析比较</w:t>
      </w:r>
    </w:p>
    <w:p w14:paraId="2467E143">
      <w:pPr>
        <w:spacing w:line="360" w:lineRule="exact"/>
        <w:ind w:firstLine="480" w:firstLineChars="200"/>
        <w:rPr>
          <w:rFonts w:ascii="宋体" w:hAnsi="宋体"/>
          <w:sz w:val="24"/>
        </w:rPr>
      </w:pPr>
      <w:r>
        <w:rPr>
          <w:rFonts w:hint="eastAsia" w:ascii="宋体" w:hAnsi="宋体"/>
          <w:sz w:val="24"/>
        </w:rPr>
        <w:t>1</w:t>
      </w:r>
      <w:r>
        <w:rPr>
          <w:rFonts w:ascii="宋体" w:hAnsi="宋体"/>
          <w:sz w:val="24"/>
        </w:rPr>
        <w:t>.5</w:t>
      </w:r>
      <w:r>
        <w:rPr>
          <w:rFonts w:hint="eastAsia" w:ascii="宋体" w:hAnsi="宋体"/>
          <w:sz w:val="24"/>
        </w:rPr>
        <w:t>采用综合评分法，以不公开方式进行评标。评委会成员应依据投标文件规定的评分标准和方法独立对其他因素进行比较打分。评标过程中不允许投标人与评委之间有可能影响到评标结果公正性的会面和谈话，以体现公平、公正的基本原则。</w:t>
      </w:r>
    </w:p>
    <w:p w14:paraId="41F5861D">
      <w:pPr>
        <w:spacing w:line="360" w:lineRule="exact"/>
        <w:ind w:firstLine="480" w:firstLineChars="200"/>
        <w:rPr>
          <w:rFonts w:ascii="宋体" w:hAnsi="宋体"/>
          <w:sz w:val="24"/>
        </w:rPr>
      </w:pPr>
      <w:r>
        <w:rPr>
          <w:rFonts w:hint="eastAsia" w:ascii="宋体" w:hAnsi="宋体"/>
          <w:sz w:val="24"/>
        </w:rPr>
        <w:t>1.6分值权重分配（具体见评分细则）评标委员会按得分高低顺序确定候</w:t>
      </w:r>
      <w:r>
        <w:rPr>
          <w:rFonts w:hint="eastAsia" w:ascii="宋体" w:hAnsi="宋体"/>
          <w:sz w:val="24"/>
          <w:lang w:eastAsia="zh-CN"/>
        </w:rPr>
        <w:t>成交</w:t>
      </w:r>
      <w:r>
        <w:rPr>
          <w:rFonts w:hint="eastAsia" w:ascii="宋体" w:hAnsi="宋体"/>
          <w:sz w:val="24"/>
        </w:rPr>
        <w:t>人。</w:t>
      </w:r>
    </w:p>
    <w:p w14:paraId="6E72F804">
      <w:pPr>
        <w:spacing w:line="360" w:lineRule="exact"/>
        <w:ind w:firstLine="480" w:firstLineChars="200"/>
        <w:rPr>
          <w:rFonts w:ascii="宋体" w:hAnsi="宋体"/>
          <w:sz w:val="24"/>
        </w:rPr>
      </w:pPr>
      <w:r>
        <w:rPr>
          <w:rFonts w:hint="eastAsia" w:ascii="宋体" w:hAnsi="宋体"/>
          <w:sz w:val="24"/>
        </w:rPr>
        <w:t>1.7综合以上分析比较最后做出评标结论。</w:t>
      </w:r>
    </w:p>
    <w:p w14:paraId="6056C3C6">
      <w:pPr>
        <w:spacing w:line="360" w:lineRule="exact"/>
        <w:ind w:firstLine="480" w:firstLineChars="200"/>
        <w:rPr>
          <w:rFonts w:ascii="宋体" w:hAnsi="宋体"/>
          <w:sz w:val="24"/>
        </w:rPr>
      </w:pPr>
      <w:r>
        <w:rPr>
          <w:rFonts w:hint="eastAsia" w:ascii="宋体" w:hAnsi="宋体"/>
          <w:sz w:val="24"/>
        </w:rPr>
        <w:t>2、保密及其它注意事项</w:t>
      </w:r>
    </w:p>
    <w:p w14:paraId="62C030DD">
      <w:pPr>
        <w:spacing w:line="360" w:lineRule="exact"/>
        <w:ind w:firstLine="480" w:firstLineChars="200"/>
        <w:rPr>
          <w:rFonts w:ascii="宋体" w:hAnsi="宋体"/>
          <w:sz w:val="24"/>
        </w:rPr>
      </w:pPr>
      <w:r>
        <w:rPr>
          <w:rFonts w:hint="eastAsia" w:ascii="宋体" w:hAnsi="宋体"/>
          <w:sz w:val="24"/>
        </w:rPr>
        <w:t>2.1评标是招标工作的重要环节，评标工作在评委会内独立进行。评委会将遵照评标原则，客观、公正、审慎地对待所有投标人。</w:t>
      </w:r>
    </w:p>
    <w:p w14:paraId="394CA05B">
      <w:pPr>
        <w:spacing w:line="360" w:lineRule="exact"/>
        <w:ind w:firstLine="480" w:firstLineChars="200"/>
        <w:rPr>
          <w:rFonts w:ascii="宋体" w:hAnsi="宋体"/>
          <w:sz w:val="24"/>
        </w:rPr>
      </w:pPr>
      <w:r>
        <w:rPr>
          <w:rFonts w:hint="eastAsia" w:ascii="宋体" w:hAnsi="宋体"/>
          <w:sz w:val="24"/>
        </w:rPr>
        <w:t>2.2评标后，评委会可能对投标文件中有关问题分别向投标人进行询问。各投标人应予以认真答复。重要或复杂问题的答复需以书面形式，并经法定代表人或授权人签署。澄清文件将作为“投标文件”的组成部份。</w:t>
      </w:r>
    </w:p>
    <w:p w14:paraId="4E324356">
      <w:pPr>
        <w:spacing w:line="360" w:lineRule="exact"/>
        <w:ind w:firstLine="480" w:firstLineChars="200"/>
        <w:rPr>
          <w:rFonts w:ascii="宋体" w:hAnsi="宋体"/>
          <w:sz w:val="24"/>
        </w:rPr>
      </w:pPr>
      <w:r>
        <w:rPr>
          <w:rFonts w:hint="eastAsia" w:ascii="宋体" w:hAnsi="宋体"/>
          <w:sz w:val="24"/>
        </w:rPr>
        <w:t>2.3在开标、评标期间，投标人不得向评委询问评标情况，不得进行旨在影响评标结果的活动。</w:t>
      </w:r>
    </w:p>
    <w:p w14:paraId="2AD49EA3">
      <w:pPr>
        <w:spacing w:line="360" w:lineRule="exact"/>
        <w:ind w:firstLine="480" w:firstLineChars="200"/>
        <w:rPr>
          <w:rFonts w:ascii="宋体" w:hAnsi="宋体"/>
          <w:sz w:val="24"/>
        </w:rPr>
      </w:pPr>
      <w:r>
        <w:rPr>
          <w:rFonts w:hint="eastAsia" w:ascii="宋体" w:hAnsi="宋体"/>
          <w:sz w:val="24"/>
        </w:rPr>
        <w:t>2.4为保证定标的公正性，在评标过程中，评委不得与投标人私下交换意见。在招标工作结束后，凡与评标情况有接触的任何人，不得也不应将评标情况扩散出评委人员之外。</w:t>
      </w:r>
    </w:p>
    <w:p w14:paraId="4295232D">
      <w:pPr>
        <w:spacing w:line="360" w:lineRule="exact"/>
        <w:ind w:firstLine="480" w:firstLineChars="200"/>
        <w:rPr>
          <w:rFonts w:ascii="宋体" w:hAnsi="宋体"/>
          <w:sz w:val="24"/>
        </w:rPr>
      </w:pPr>
      <w:r>
        <w:rPr>
          <w:rFonts w:hint="eastAsia" w:ascii="宋体" w:hAnsi="宋体"/>
          <w:sz w:val="24"/>
        </w:rPr>
        <w:t>2</w:t>
      </w:r>
      <w:r>
        <w:rPr>
          <w:rFonts w:ascii="宋体" w:hAnsi="宋体"/>
          <w:sz w:val="24"/>
        </w:rPr>
        <w:t xml:space="preserve">.5 </w:t>
      </w:r>
      <w:r>
        <w:rPr>
          <w:rFonts w:hint="eastAsia" w:ascii="宋体" w:hAnsi="宋体"/>
          <w:sz w:val="24"/>
        </w:rPr>
        <w:t>评委会不向落标方解释落标原因，不退还投标文件。</w:t>
      </w:r>
    </w:p>
    <w:p w14:paraId="2B99643C">
      <w:pPr>
        <w:spacing w:line="360" w:lineRule="exact"/>
        <w:ind w:firstLine="480" w:firstLineChars="200"/>
        <w:rPr>
          <w:rFonts w:ascii="宋体" w:hAnsi="宋体"/>
          <w:sz w:val="24"/>
        </w:rPr>
      </w:pPr>
      <w:r>
        <w:rPr>
          <w:rFonts w:hint="eastAsia" w:ascii="宋体" w:hAnsi="宋体"/>
          <w:sz w:val="24"/>
        </w:rPr>
        <w:t>3、评标步骤及评标方法</w:t>
      </w:r>
    </w:p>
    <w:p w14:paraId="3575581B">
      <w:pPr>
        <w:spacing w:line="360" w:lineRule="exact"/>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1评标步骤：先进行投标人初步评审，再进行技术、商务及价格的详细评审。只有通过初步评审的投标人才能进入详细的评审。</w:t>
      </w:r>
    </w:p>
    <w:p w14:paraId="2FD09DD4">
      <w:pPr>
        <w:spacing w:line="360" w:lineRule="exact"/>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2本项目评标采用综合评分法。</w:t>
      </w:r>
    </w:p>
    <w:p w14:paraId="222ADCE3">
      <w:pPr>
        <w:spacing w:line="360" w:lineRule="exact"/>
        <w:ind w:firstLine="480" w:firstLineChars="200"/>
        <w:rPr>
          <w:rFonts w:ascii="宋体" w:hAnsi="宋体"/>
          <w:sz w:val="24"/>
        </w:rPr>
      </w:pPr>
      <w:r>
        <w:rPr>
          <w:rFonts w:hint="eastAsia" w:ascii="宋体" w:hAnsi="宋体"/>
          <w:sz w:val="24"/>
        </w:rPr>
        <w:t>综合得分按由高到低顺序排列。综合得分相同时，按投标报价由低到高顺序排列。综合得分和投标报价均相同的，按技术指标由优至劣顺序排列。综合得分最高的投标人为第一</w:t>
      </w:r>
      <w:r>
        <w:rPr>
          <w:rFonts w:hint="eastAsia" w:ascii="宋体" w:hAnsi="宋体"/>
          <w:sz w:val="24"/>
          <w:lang w:eastAsia="zh-CN"/>
        </w:rPr>
        <w:t>成交</w:t>
      </w:r>
      <w:r>
        <w:rPr>
          <w:rFonts w:hint="eastAsia" w:ascii="宋体" w:hAnsi="宋体"/>
          <w:sz w:val="24"/>
        </w:rPr>
        <w:t>候选供应商，综合得分次高的投标人为第二</w:t>
      </w:r>
      <w:r>
        <w:rPr>
          <w:rFonts w:hint="eastAsia" w:ascii="宋体" w:hAnsi="宋体"/>
          <w:sz w:val="24"/>
          <w:lang w:eastAsia="zh-CN"/>
        </w:rPr>
        <w:t>成交</w:t>
      </w:r>
      <w:r>
        <w:rPr>
          <w:rFonts w:hint="eastAsia" w:ascii="宋体" w:hAnsi="宋体"/>
          <w:sz w:val="24"/>
        </w:rPr>
        <w:t>候选供应商。本项目仅推荐3名</w:t>
      </w:r>
      <w:r>
        <w:rPr>
          <w:rFonts w:hint="eastAsia" w:ascii="宋体" w:hAnsi="宋体"/>
          <w:sz w:val="24"/>
          <w:lang w:eastAsia="zh-CN"/>
        </w:rPr>
        <w:t>成交</w:t>
      </w:r>
      <w:r>
        <w:rPr>
          <w:rFonts w:hint="eastAsia" w:ascii="宋体" w:hAnsi="宋体"/>
          <w:sz w:val="24"/>
        </w:rPr>
        <w:t>候选供应商。</w:t>
      </w:r>
    </w:p>
    <w:p w14:paraId="1D88298B">
      <w:pPr>
        <w:spacing w:line="360" w:lineRule="exact"/>
        <w:ind w:firstLine="480" w:firstLineChars="200"/>
        <w:rPr>
          <w:rFonts w:ascii="宋体" w:hAnsi="宋体"/>
          <w:b/>
          <w:sz w:val="24"/>
        </w:rPr>
      </w:pPr>
      <w:r>
        <w:rPr>
          <w:rFonts w:hint="eastAsia" w:ascii="宋体" w:hAnsi="宋体"/>
          <w:sz w:val="24"/>
        </w:rPr>
        <w:t>4、初步评审</w:t>
      </w:r>
    </w:p>
    <w:p w14:paraId="2D0E3D1B">
      <w:pPr>
        <w:spacing w:line="360" w:lineRule="exact"/>
        <w:ind w:left="1"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1采购人和代理机构根据资格性审查表对投标人的资格进行审查。</w:t>
      </w:r>
    </w:p>
    <w:p w14:paraId="24DE13DF">
      <w:pPr>
        <w:spacing w:line="500" w:lineRule="exact"/>
        <w:ind w:left="1" w:firstLine="480" w:firstLineChars="200"/>
        <w:jc w:val="left"/>
        <w:rPr>
          <w:rFonts w:ascii="宋体" w:hAnsi="宋体"/>
          <w:sz w:val="24"/>
        </w:rPr>
      </w:pPr>
      <w:r>
        <w:rPr>
          <w:rFonts w:hint="eastAsia" w:ascii="宋体" w:hAnsi="宋体"/>
          <w:sz w:val="24"/>
        </w:rPr>
        <w:t>4.2评标委员会根据符合性审查表对投标文件符合性进行评审，以确定其是否满足招标文件中的实质性要求。</w:t>
      </w:r>
    </w:p>
    <w:p w14:paraId="1E9BF6FB">
      <w:pPr>
        <w:spacing w:line="50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3无效投标的认定</w:t>
      </w:r>
    </w:p>
    <w:p w14:paraId="0D3E8830">
      <w:pPr>
        <w:spacing w:line="360" w:lineRule="exact"/>
        <w:ind w:firstLine="480" w:firstLineChars="200"/>
        <w:rPr>
          <w:rFonts w:hint="eastAsia" w:ascii="宋体" w:hAnsi="宋体"/>
          <w:sz w:val="24"/>
        </w:rPr>
      </w:pPr>
      <w:r>
        <w:rPr>
          <w:rFonts w:hint="eastAsia" w:ascii="宋体" w:hAnsi="宋体"/>
          <w:sz w:val="24"/>
        </w:rPr>
        <w:t>投标文件出现但不限于下列情况的将被认定为无效投标：</w:t>
      </w:r>
    </w:p>
    <w:p w14:paraId="705256EB">
      <w:pPr>
        <w:spacing w:line="360" w:lineRule="exact"/>
        <w:ind w:firstLine="480" w:firstLineChars="200"/>
        <w:rPr>
          <w:rFonts w:hint="eastAsia" w:ascii="宋体" w:hAnsi="宋体"/>
          <w:sz w:val="24"/>
        </w:rPr>
      </w:pPr>
      <w:r>
        <w:rPr>
          <w:rFonts w:hint="eastAsia" w:ascii="宋体" w:hAnsi="宋体"/>
          <w:sz w:val="24"/>
        </w:rPr>
        <w:t>1）未按照招标文件的规定提交投标保证金的；</w:t>
      </w:r>
    </w:p>
    <w:p w14:paraId="57A11711">
      <w:pPr>
        <w:spacing w:line="360" w:lineRule="exact"/>
        <w:ind w:firstLine="480" w:firstLineChars="200"/>
        <w:rPr>
          <w:rFonts w:hint="eastAsia" w:ascii="宋体" w:hAnsi="宋体"/>
          <w:sz w:val="24"/>
        </w:rPr>
      </w:pPr>
      <w:r>
        <w:rPr>
          <w:rFonts w:hint="eastAsia" w:ascii="宋体" w:hAnsi="宋体"/>
          <w:sz w:val="24"/>
        </w:rPr>
        <w:t>2）投标文件未按招标文件要求签署、盖章的；</w:t>
      </w:r>
    </w:p>
    <w:p w14:paraId="31136F53">
      <w:pPr>
        <w:spacing w:line="360" w:lineRule="exact"/>
        <w:ind w:firstLine="480" w:firstLineChars="200"/>
        <w:rPr>
          <w:rFonts w:hint="eastAsia" w:ascii="宋体" w:hAnsi="宋体"/>
          <w:sz w:val="24"/>
        </w:rPr>
      </w:pPr>
      <w:r>
        <w:rPr>
          <w:rFonts w:hint="eastAsia" w:ascii="宋体" w:hAnsi="宋体"/>
          <w:sz w:val="24"/>
        </w:rPr>
        <w:t>3）不具备招标文件中规定的资格要求的；</w:t>
      </w:r>
    </w:p>
    <w:p w14:paraId="4DE9F30E">
      <w:pPr>
        <w:spacing w:line="360" w:lineRule="exact"/>
        <w:ind w:firstLine="480" w:firstLineChars="200"/>
        <w:rPr>
          <w:rFonts w:hint="eastAsia" w:ascii="宋体" w:hAnsi="宋体"/>
          <w:sz w:val="24"/>
        </w:rPr>
      </w:pPr>
      <w:r>
        <w:rPr>
          <w:rFonts w:hint="eastAsia" w:ascii="宋体" w:hAnsi="宋体"/>
          <w:sz w:val="24"/>
        </w:rPr>
        <w:t>4）报价超过招标文件中规定的预算金额或者最高限价的；</w:t>
      </w:r>
    </w:p>
    <w:p w14:paraId="49532A97">
      <w:pPr>
        <w:spacing w:line="360" w:lineRule="exact"/>
        <w:ind w:firstLine="480" w:firstLineChars="200"/>
        <w:rPr>
          <w:rFonts w:hint="eastAsia" w:ascii="宋体" w:hAnsi="宋体"/>
          <w:sz w:val="24"/>
        </w:rPr>
      </w:pPr>
      <w:r>
        <w:rPr>
          <w:rFonts w:hint="eastAsia" w:ascii="宋体" w:hAnsi="宋体"/>
          <w:sz w:val="24"/>
        </w:rPr>
        <w:t>5）投标文件含有采购人不能接受的附加条件的;</w:t>
      </w:r>
    </w:p>
    <w:p w14:paraId="486E62F0">
      <w:pPr>
        <w:spacing w:line="360" w:lineRule="exact"/>
        <w:ind w:firstLine="480" w:firstLineChars="200"/>
        <w:rPr>
          <w:rFonts w:hint="eastAsia" w:ascii="宋体" w:hAnsi="宋体"/>
          <w:sz w:val="24"/>
        </w:rPr>
      </w:pPr>
      <w:r>
        <w:rPr>
          <w:rFonts w:hint="eastAsia" w:ascii="宋体" w:hAnsi="宋体"/>
          <w:sz w:val="24"/>
        </w:rPr>
        <w:t>6）法律、法规和招标文件规定的其他无效情形。</w:t>
      </w:r>
    </w:p>
    <w:p w14:paraId="009C77EF">
      <w:pPr>
        <w:spacing w:line="360" w:lineRule="exact"/>
        <w:ind w:firstLine="480" w:firstLineChars="200"/>
        <w:rPr>
          <w:rFonts w:hint="eastAsia" w:ascii="宋体" w:hAnsi="宋体"/>
          <w:sz w:val="24"/>
        </w:rPr>
      </w:pPr>
      <w:r>
        <w:rPr>
          <w:rFonts w:hint="eastAsia" w:ascii="宋体" w:hAnsi="宋体"/>
          <w:sz w:val="24"/>
        </w:rPr>
        <w:t>7）投标报价明显低于其他投标报价而投标人不能合理说明的。</w:t>
      </w:r>
    </w:p>
    <w:p w14:paraId="373642E0">
      <w:pPr>
        <w:spacing w:line="360" w:lineRule="exact"/>
        <w:ind w:firstLine="480" w:firstLineChars="200"/>
        <w:rPr>
          <w:rFonts w:hint="eastAsia" w:ascii="宋体" w:hAnsi="宋体"/>
          <w:sz w:val="24"/>
        </w:rPr>
      </w:pPr>
      <w:r>
        <w:rPr>
          <w:rFonts w:hint="eastAsia" w:ascii="宋体" w:hAnsi="宋体"/>
          <w:sz w:val="24"/>
        </w:rPr>
        <w:t>8）不同投标人的投标文件由同一单位或者个人编制；</w:t>
      </w:r>
    </w:p>
    <w:p w14:paraId="41F0B666">
      <w:pPr>
        <w:spacing w:line="360" w:lineRule="exact"/>
        <w:ind w:firstLine="480" w:firstLineChars="200"/>
        <w:rPr>
          <w:rFonts w:hint="eastAsia" w:ascii="宋体" w:hAnsi="宋体"/>
          <w:sz w:val="24"/>
        </w:rPr>
      </w:pPr>
      <w:r>
        <w:rPr>
          <w:rFonts w:hint="eastAsia" w:ascii="宋体" w:hAnsi="宋体"/>
          <w:sz w:val="24"/>
        </w:rPr>
        <w:t>9）不同投标人委托同一单位或者个人办理投标事宜；</w:t>
      </w:r>
    </w:p>
    <w:p w14:paraId="4C4DF66C">
      <w:pPr>
        <w:spacing w:line="360" w:lineRule="exact"/>
        <w:ind w:firstLine="480" w:firstLineChars="200"/>
        <w:rPr>
          <w:rFonts w:hint="eastAsia" w:ascii="宋体" w:hAnsi="宋体"/>
          <w:sz w:val="24"/>
        </w:rPr>
      </w:pPr>
      <w:r>
        <w:rPr>
          <w:rFonts w:hint="eastAsia" w:ascii="宋体" w:hAnsi="宋体"/>
          <w:sz w:val="24"/>
        </w:rPr>
        <w:t>10）不同投标人的投标文件载明的项目管理成员或者联系人员为同一人；</w:t>
      </w:r>
    </w:p>
    <w:p w14:paraId="1D820988">
      <w:pPr>
        <w:spacing w:line="360" w:lineRule="exact"/>
        <w:ind w:firstLine="480" w:firstLineChars="200"/>
        <w:rPr>
          <w:rFonts w:hint="eastAsia" w:ascii="宋体" w:hAnsi="宋体"/>
          <w:sz w:val="24"/>
        </w:rPr>
      </w:pPr>
      <w:r>
        <w:rPr>
          <w:rFonts w:hint="eastAsia" w:ascii="宋体" w:hAnsi="宋体"/>
          <w:sz w:val="24"/>
        </w:rPr>
        <w:t>11）不同投标人的投标文件异常一致或者投标报价呈规律性差异；</w:t>
      </w:r>
    </w:p>
    <w:p w14:paraId="48302F79">
      <w:pPr>
        <w:spacing w:line="360" w:lineRule="exact"/>
        <w:ind w:firstLine="480" w:firstLineChars="200"/>
        <w:rPr>
          <w:rFonts w:hint="eastAsia" w:ascii="宋体" w:hAnsi="宋体"/>
          <w:sz w:val="24"/>
        </w:rPr>
      </w:pPr>
      <w:r>
        <w:rPr>
          <w:rFonts w:hint="eastAsia" w:ascii="宋体" w:hAnsi="宋体"/>
          <w:sz w:val="24"/>
        </w:rPr>
        <w:t>12）不同投标人的投标文件相互混装；</w:t>
      </w:r>
    </w:p>
    <w:p w14:paraId="0583ECAA">
      <w:pPr>
        <w:spacing w:line="360" w:lineRule="exact"/>
        <w:ind w:firstLine="480" w:firstLineChars="200"/>
        <w:rPr>
          <w:rFonts w:hint="eastAsia" w:ascii="宋体" w:hAnsi="宋体"/>
          <w:sz w:val="24"/>
        </w:rPr>
      </w:pPr>
      <w:r>
        <w:rPr>
          <w:rFonts w:hint="eastAsia" w:ascii="宋体" w:hAnsi="宋体"/>
          <w:sz w:val="24"/>
        </w:rPr>
        <w:t>13）不同投标人的投标保证金从同一单位或者个人的账户转出。</w:t>
      </w:r>
    </w:p>
    <w:p w14:paraId="14896AB5">
      <w:pPr>
        <w:spacing w:line="360" w:lineRule="exact"/>
        <w:ind w:firstLine="480" w:firstLineChars="200"/>
        <w:rPr>
          <w:rFonts w:hint="eastAsia" w:ascii="宋体" w:hAnsi="宋体"/>
          <w:sz w:val="24"/>
        </w:rPr>
      </w:pPr>
      <w:r>
        <w:rPr>
          <w:rFonts w:hint="eastAsia" w:ascii="宋体" w:hAnsi="宋体"/>
          <w:sz w:val="24"/>
        </w:rPr>
        <w:t>14）如投标人提交的投标文件为虚假材料的，按无效标处理</w:t>
      </w:r>
    </w:p>
    <w:p w14:paraId="7D06D63E">
      <w:pPr>
        <w:spacing w:line="360" w:lineRule="exact"/>
        <w:ind w:firstLine="480" w:firstLineChars="200"/>
        <w:rPr>
          <w:rFonts w:hint="eastAsia" w:ascii="宋体" w:hAnsi="宋体"/>
          <w:sz w:val="24"/>
        </w:rPr>
      </w:pPr>
      <w:r>
        <w:rPr>
          <w:rFonts w:hint="eastAsia" w:ascii="宋体" w:hAnsi="宋体"/>
          <w:sz w:val="24"/>
        </w:rPr>
        <w:t>5、详细评审</w:t>
      </w:r>
    </w:p>
    <w:p w14:paraId="5E296828">
      <w:pPr>
        <w:spacing w:line="360" w:lineRule="exact"/>
        <w:ind w:left="1" w:firstLine="480" w:firstLineChars="200"/>
        <w:rPr>
          <w:rFonts w:hint="eastAsia" w:ascii="宋体" w:hAnsi="宋体"/>
          <w:sz w:val="24"/>
        </w:rPr>
      </w:pPr>
      <w:r>
        <w:rPr>
          <w:rFonts w:hint="eastAsia" w:ascii="宋体" w:hAnsi="宋体"/>
          <w:sz w:val="24"/>
        </w:rPr>
        <w:t>5</w:t>
      </w:r>
      <w:r>
        <w:rPr>
          <w:rFonts w:ascii="宋体" w:hAnsi="宋体"/>
          <w:sz w:val="24"/>
        </w:rPr>
        <w:t>.</w:t>
      </w:r>
      <w:r>
        <w:rPr>
          <w:rFonts w:hint="eastAsia" w:ascii="宋体" w:hAnsi="宋体"/>
          <w:sz w:val="24"/>
        </w:rPr>
        <w:t>1详细评审是对通过初步评审的投标进行技术、商务（授权）、售后服务及信誉、价格的评审。</w:t>
      </w:r>
    </w:p>
    <w:p w14:paraId="44C1F4D7">
      <w:pPr>
        <w:spacing w:line="360" w:lineRule="exact"/>
        <w:ind w:firstLine="477" w:firstLineChars="199"/>
        <w:jc w:val="left"/>
        <w:rPr>
          <w:rFonts w:hint="eastAsia" w:ascii="宋体" w:hAnsi="宋体"/>
          <w:sz w:val="24"/>
        </w:rPr>
      </w:pPr>
      <w:r>
        <w:rPr>
          <w:rFonts w:hint="eastAsia" w:ascii="宋体" w:hAnsi="宋体"/>
          <w:sz w:val="24"/>
        </w:rPr>
        <w:t>5</w:t>
      </w:r>
      <w:r>
        <w:rPr>
          <w:rFonts w:ascii="宋体" w:hAnsi="宋体"/>
          <w:sz w:val="24"/>
        </w:rPr>
        <w:t>.</w:t>
      </w:r>
      <w:r>
        <w:rPr>
          <w:rFonts w:hint="eastAsia" w:ascii="宋体" w:hAnsi="宋体"/>
          <w:sz w:val="24"/>
        </w:rPr>
        <w:t>2价格评分标准：价格分采用低价优先法计算，即满足招标文件要求且投标价格最低的投标报价为评标基准价，其价格分为满分。其他投标人的价格分统一按：投标报价得分＝（评标基准价/投标报价）×价格权值。小数点后保留两位。</w:t>
      </w:r>
    </w:p>
    <w:p w14:paraId="35B5B3EF">
      <w:pPr>
        <w:spacing w:line="360" w:lineRule="auto"/>
        <w:ind w:firstLine="480" w:firstLineChars="200"/>
        <w:jc w:val="left"/>
        <w:outlineLvl w:val="0"/>
        <w:rPr>
          <w:rFonts w:hint="eastAsia" w:ascii="宋体" w:hAnsi="宋体"/>
          <w:sz w:val="24"/>
        </w:rPr>
      </w:pPr>
      <w:r>
        <w:rPr>
          <w:rFonts w:hint="eastAsia" w:ascii="宋体" w:hAnsi="宋体"/>
          <w:sz w:val="24"/>
        </w:rPr>
        <w:t>5</w:t>
      </w:r>
      <w:r>
        <w:rPr>
          <w:rFonts w:ascii="宋体" w:hAnsi="宋体"/>
          <w:sz w:val="24"/>
        </w:rPr>
        <w:t>.</w:t>
      </w:r>
      <w:r>
        <w:rPr>
          <w:rFonts w:hint="eastAsia" w:ascii="宋体" w:hAnsi="宋体"/>
          <w:sz w:val="24"/>
        </w:rPr>
        <w:t>3根据评审方法计算进入详细评审的各投标人的综合得分，计算得分保留小数点后两位（两位后四舍五入）并按得分从高到低排名。综合得分相同的，按投标报价由低到高顺序排列。综合得分且投标报价相同的，按技术指标优劣顺序排列。</w:t>
      </w:r>
    </w:p>
    <w:p w14:paraId="548DE258">
      <w:pPr>
        <w:spacing w:line="360" w:lineRule="auto"/>
        <w:ind w:firstLine="470" w:firstLineChars="196"/>
        <w:rPr>
          <w:rFonts w:hint="eastAsia" w:ascii="宋体" w:eastAsia="宋体"/>
          <w:sz w:val="24"/>
          <w:lang w:eastAsia="zh-CN"/>
        </w:rPr>
      </w:pPr>
      <w:r>
        <w:rPr>
          <w:rFonts w:hint="eastAsia" w:ascii="宋体" w:hAnsi="宋体"/>
          <w:sz w:val="24"/>
        </w:rPr>
        <w:t>5</w:t>
      </w:r>
      <w:r>
        <w:rPr>
          <w:rFonts w:ascii="宋体" w:hAnsi="宋体"/>
          <w:sz w:val="24"/>
        </w:rPr>
        <w:t>.</w:t>
      </w:r>
      <w:r>
        <w:rPr>
          <w:rFonts w:hint="eastAsia" w:ascii="宋体" w:hAnsi="宋体"/>
          <w:sz w:val="24"/>
        </w:rPr>
        <w:t>4</w:t>
      </w:r>
      <w:r>
        <w:rPr>
          <w:rFonts w:hint="eastAsia" w:ascii="宋体"/>
          <w:sz w:val="24"/>
        </w:rPr>
        <w:t>评标委员会认为投标人的报价明显低于其他通过符合性审查投标人，有可能影响产品质量或者不能诚信履约的，且投标人不能按评标委员会的要求证明其报价合理性的；根据《关于在相关自由贸易试验区和自由贸易港开展推动解决政府采购异常低价问题试点工作的通知》，试点地区政府采购评审中出现的异常低价情形如下：（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r>
        <w:rPr>
          <w:rFonts w:hint="eastAsia" w:ascii="宋体"/>
          <w:sz w:val="24"/>
          <w:lang w:eastAsia="zh-CN"/>
        </w:rPr>
        <w:t>。</w:t>
      </w:r>
    </w:p>
    <w:p w14:paraId="258EA138">
      <w:pPr>
        <w:spacing w:line="360" w:lineRule="auto"/>
        <w:ind w:firstLine="470" w:firstLineChars="196"/>
        <w:rPr>
          <w:rFonts w:hint="eastAsia" w:ascii="宋体" w:hAnsi="宋体"/>
          <w:b/>
          <w:sz w:val="32"/>
          <w:szCs w:val="32"/>
        </w:rPr>
      </w:pPr>
      <w:r>
        <w:rPr>
          <w:rFonts w:hint="eastAsia" w:ascii="宋体" w:hAnsi="宋体"/>
          <w:sz w:val="24"/>
        </w:rPr>
        <w:t>5</w:t>
      </w:r>
      <w:r>
        <w:rPr>
          <w:rFonts w:ascii="宋体" w:hAnsi="宋体"/>
          <w:sz w:val="24"/>
        </w:rPr>
        <w:t>.</w:t>
      </w:r>
      <w:r>
        <w:rPr>
          <w:rFonts w:hint="eastAsia" w:ascii="宋体" w:hAnsi="宋体"/>
          <w:sz w:val="24"/>
        </w:rPr>
        <w:t>5</w:t>
      </w:r>
      <w:r>
        <w:rPr>
          <w:rFonts w:hint="eastAsia" w:ascii="宋体"/>
          <w:kern w:val="0"/>
          <w:sz w:val="24"/>
        </w:rPr>
        <w:t>供应商应在投标（响应）文件中如实描述技术商务情况，真实填写响应（偏离）情况。除采购文件有特殊规定外，对主要技术商务或响应（偏离）情况不如实描述的，可按无效投标（响应）处理，涉及提供虚假材料谋取</w:t>
      </w:r>
      <w:r>
        <w:rPr>
          <w:rFonts w:hint="eastAsia" w:ascii="宋体"/>
          <w:kern w:val="0"/>
          <w:sz w:val="24"/>
          <w:lang w:eastAsia="zh-CN"/>
        </w:rPr>
        <w:t>成交成交</w:t>
      </w:r>
      <w:r>
        <w:rPr>
          <w:rFonts w:hint="eastAsia" w:ascii="宋体"/>
          <w:kern w:val="0"/>
          <w:sz w:val="24"/>
        </w:rPr>
        <w:t>的，按相关法律规定处理。资格性审查、符合性审查不通过或投标无效的，采购人、采购代理机构或评审专家应在评审报告中注明不通过或投标无效的具体原因。除价格评审外，其他评审扣分的，评审专家应在评审报告中注明扣分分值、扣分理由和依据。除客观评审项外，针对同一供应商的同一评审项，评审专家的评分分值偏离幅度不得超过该评审项平均分值的30%，否则，该项评审意见无效。</w:t>
      </w:r>
    </w:p>
    <w:p w14:paraId="78B48D7E">
      <w:pPr>
        <w:spacing w:beforeLines="50" w:afterLines="50" w:line="440" w:lineRule="exact"/>
        <w:jc w:val="center"/>
        <w:rPr>
          <w:rFonts w:ascii="宋体" w:hAnsi="宋体"/>
          <w:b/>
          <w:sz w:val="30"/>
          <w:szCs w:val="30"/>
        </w:rPr>
      </w:pPr>
      <w:r>
        <w:rPr>
          <w:rFonts w:ascii="宋体" w:hAnsi="宋体"/>
          <w:b/>
          <w:sz w:val="32"/>
          <w:szCs w:val="32"/>
        </w:rPr>
        <w:br w:type="page"/>
      </w:r>
      <w:r>
        <w:rPr>
          <w:rFonts w:hint="eastAsia" w:ascii="宋体" w:hAnsi="宋体"/>
          <w:b/>
          <w:sz w:val="32"/>
          <w:szCs w:val="32"/>
        </w:rPr>
        <w:t>第五部分　</w:t>
      </w:r>
      <w:r>
        <w:rPr>
          <w:rFonts w:ascii="宋体" w:hAnsi="宋体"/>
          <w:b/>
          <w:sz w:val="30"/>
          <w:szCs w:val="30"/>
        </w:rPr>
        <w:t>合同</w:t>
      </w:r>
      <w:r>
        <w:rPr>
          <w:rFonts w:hint="eastAsia" w:ascii="宋体" w:hAnsi="宋体"/>
          <w:b/>
          <w:sz w:val="30"/>
          <w:szCs w:val="30"/>
        </w:rPr>
        <w:t>条款格式</w:t>
      </w:r>
    </w:p>
    <w:p w14:paraId="147B9A5B">
      <w:pPr>
        <w:keepNext w:val="0"/>
        <w:keepLines w:val="0"/>
        <w:pageBreakBefore w:val="0"/>
        <w:tabs>
          <w:tab w:val="left" w:pos="720"/>
        </w:tabs>
        <w:kinsoku/>
        <w:wordWrap/>
        <w:topLinePunct w:val="0"/>
        <w:autoSpaceDE/>
        <w:autoSpaceDN/>
        <w:bidi w:val="0"/>
        <w:snapToGrid/>
        <w:spacing w:line="360" w:lineRule="auto"/>
        <w:jc w:val="center"/>
        <w:rPr>
          <w:rFonts w:hint="eastAsia" w:ascii="黑体" w:hAnsi="黑体" w:eastAsia="黑体" w:cs="黑体"/>
          <w:b/>
          <w:sz w:val="60"/>
          <w:szCs w:val="60"/>
          <w:highlight w:val="none"/>
        </w:rPr>
      </w:pPr>
      <w:r>
        <w:rPr>
          <w:rFonts w:hint="eastAsia" w:ascii="黑体" w:hAnsi="黑体" w:eastAsia="黑体" w:cs="黑体"/>
          <w:b/>
          <w:sz w:val="60"/>
          <w:szCs w:val="60"/>
          <w:highlight w:val="none"/>
          <w:lang w:val="en-US" w:eastAsia="zh-CN"/>
        </w:rPr>
        <w:t>海南政法职业学院教务管理系统项目</w:t>
      </w:r>
      <w:r>
        <w:rPr>
          <w:rFonts w:hint="eastAsia" w:ascii="黑体" w:hAnsi="黑体" w:eastAsia="黑体" w:cs="黑体"/>
          <w:b w:val="0"/>
          <w:bCs/>
          <w:sz w:val="60"/>
          <w:szCs w:val="60"/>
          <w:highlight w:val="none"/>
        </w:rPr>
        <w:t>合同书</w:t>
      </w:r>
    </w:p>
    <w:p w14:paraId="18BEF045">
      <w:pPr>
        <w:tabs>
          <w:tab w:val="left" w:pos="720"/>
        </w:tabs>
        <w:spacing w:line="360" w:lineRule="auto"/>
        <w:ind w:left="2354" w:leftChars="197" w:hanging="1940" w:hangingChars="690"/>
        <w:rPr>
          <w:rFonts w:hint="eastAsia" w:ascii="黑体" w:hAnsi="黑体" w:eastAsia="黑体" w:cs="黑体"/>
          <w:b/>
          <w:sz w:val="28"/>
          <w:szCs w:val="28"/>
          <w:highlight w:val="none"/>
        </w:rPr>
      </w:pPr>
    </w:p>
    <w:p w14:paraId="7FCC7EEC">
      <w:pPr>
        <w:tabs>
          <w:tab w:val="left" w:pos="720"/>
        </w:tabs>
        <w:spacing w:line="360" w:lineRule="auto"/>
        <w:ind w:left="2354" w:leftChars="197" w:hanging="1940" w:hangingChars="690"/>
        <w:rPr>
          <w:rFonts w:hint="eastAsia" w:ascii="黑体" w:hAnsi="黑体" w:eastAsia="黑体" w:cs="黑体"/>
          <w:b/>
          <w:sz w:val="28"/>
          <w:szCs w:val="28"/>
          <w:highlight w:val="none"/>
        </w:rPr>
      </w:pPr>
    </w:p>
    <w:p w14:paraId="359877B6">
      <w:pPr>
        <w:pStyle w:val="185"/>
        <w:rPr>
          <w:rFonts w:hint="eastAsia"/>
        </w:rPr>
      </w:pPr>
    </w:p>
    <w:p w14:paraId="421468EE">
      <w:pPr>
        <w:tabs>
          <w:tab w:val="left" w:pos="720"/>
        </w:tabs>
        <w:spacing w:line="360" w:lineRule="auto"/>
        <w:ind w:left="2354" w:leftChars="197" w:hanging="1940" w:hangingChars="690"/>
        <w:rPr>
          <w:rFonts w:hint="eastAsia" w:ascii="黑体" w:hAnsi="黑体" w:eastAsia="黑体" w:cs="黑体"/>
          <w:b/>
          <w:sz w:val="28"/>
          <w:szCs w:val="28"/>
          <w:highlight w:val="none"/>
        </w:rPr>
      </w:pPr>
    </w:p>
    <w:p w14:paraId="1365929C">
      <w:pPr>
        <w:keepNext w:val="0"/>
        <w:keepLines w:val="0"/>
        <w:pageBreakBefore w:val="0"/>
        <w:tabs>
          <w:tab w:val="left" w:pos="720"/>
        </w:tabs>
        <w:kinsoku/>
        <w:wordWrap/>
        <w:topLinePunct w:val="0"/>
        <w:autoSpaceDE/>
        <w:autoSpaceDN/>
        <w:bidi w:val="0"/>
        <w:snapToGrid/>
        <w:spacing w:line="360" w:lineRule="auto"/>
        <w:ind w:left="2076" w:leftChars="197" w:hanging="1662" w:hangingChars="690"/>
        <w:rPr>
          <w:rFonts w:hint="eastAsia" w:ascii="宋体" w:hAnsi="宋体" w:eastAsia="宋体" w:cs="宋体"/>
          <w:b/>
          <w:sz w:val="24"/>
          <w:szCs w:val="24"/>
          <w:highlight w:val="none"/>
        </w:rPr>
      </w:pPr>
      <w:r>
        <w:rPr>
          <w:rFonts w:hint="eastAsia" w:ascii="宋体" w:hAnsi="宋体" w:eastAsia="宋体" w:cs="宋体"/>
          <w:b/>
          <w:sz w:val="24"/>
          <w:szCs w:val="24"/>
          <w:highlight w:val="none"/>
        </w:rPr>
        <w:t>项目名称：海南政法职业学院教务管理系统项目</w:t>
      </w:r>
    </w:p>
    <w:p w14:paraId="183DE1BB">
      <w:pPr>
        <w:keepNext w:val="0"/>
        <w:keepLines w:val="0"/>
        <w:pageBreakBefore w:val="0"/>
        <w:tabs>
          <w:tab w:val="left" w:pos="720"/>
        </w:tabs>
        <w:kinsoku/>
        <w:wordWrap/>
        <w:topLinePunct w:val="0"/>
        <w:autoSpaceDE/>
        <w:autoSpaceDN/>
        <w:bidi w:val="0"/>
        <w:snapToGrid/>
        <w:spacing w:line="360" w:lineRule="auto"/>
        <w:ind w:left="2076" w:leftChars="197" w:hanging="1662" w:hangingChars="69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项目</w:t>
      </w:r>
      <w:r>
        <w:rPr>
          <w:rFonts w:hint="eastAsia" w:ascii="宋体" w:hAnsi="宋体" w:eastAsia="宋体" w:cs="宋体"/>
          <w:b/>
          <w:sz w:val="24"/>
          <w:szCs w:val="24"/>
          <w:highlight w:val="none"/>
          <w:lang w:val="en-US" w:eastAsia="zh-CN"/>
        </w:rPr>
        <w:t>编号</w:t>
      </w:r>
      <w:r>
        <w:rPr>
          <w:rFonts w:hint="eastAsia" w:ascii="宋体" w:hAnsi="宋体" w:eastAsia="宋体" w:cs="宋体"/>
          <w:b/>
          <w:sz w:val="24"/>
          <w:szCs w:val="24"/>
          <w:highlight w:val="none"/>
        </w:rPr>
        <w:t>：</w:t>
      </w:r>
    </w:p>
    <w:p w14:paraId="01D3C839">
      <w:pPr>
        <w:keepNext w:val="0"/>
        <w:keepLines w:val="0"/>
        <w:pageBreakBefore w:val="0"/>
        <w:tabs>
          <w:tab w:val="left" w:pos="720"/>
        </w:tabs>
        <w:kinsoku/>
        <w:wordWrap/>
        <w:topLinePunct w:val="0"/>
        <w:autoSpaceDE/>
        <w:autoSpaceDN/>
        <w:bidi w:val="0"/>
        <w:snapToGrid/>
        <w:spacing w:line="360" w:lineRule="auto"/>
        <w:ind w:left="2076" w:leftChars="197" w:hanging="1662" w:hangingChars="690"/>
        <w:rPr>
          <w:rFonts w:hint="eastAsia" w:ascii="黑体" w:hAnsi="黑体" w:eastAsia="黑体" w:cs="黑体"/>
          <w:b/>
          <w:sz w:val="28"/>
          <w:szCs w:val="28"/>
          <w:highlight w:val="none"/>
          <w:lang w:val="en-US" w:eastAsia="zh-CN"/>
        </w:rPr>
      </w:pPr>
      <w:r>
        <w:rPr>
          <w:rFonts w:hint="eastAsia" w:ascii="宋体" w:hAnsi="宋体" w:eastAsia="宋体" w:cs="宋体"/>
          <w:b/>
          <w:sz w:val="24"/>
          <w:szCs w:val="24"/>
          <w:highlight w:val="none"/>
          <w:lang w:eastAsia="zh-CN"/>
        </w:rPr>
        <w:t>签订</w:t>
      </w:r>
      <w:r>
        <w:rPr>
          <w:rFonts w:hint="eastAsia" w:ascii="宋体" w:hAnsi="宋体" w:eastAsia="宋体" w:cs="宋体"/>
          <w:b/>
          <w:sz w:val="24"/>
          <w:szCs w:val="24"/>
          <w:highlight w:val="none"/>
        </w:rPr>
        <w:t>地点：</w:t>
      </w:r>
    </w:p>
    <w:p w14:paraId="31C7536E">
      <w:pPr>
        <w:spacing w:line="360" w:lineRule="auto"/>
        <w:rPr>
          <w:rFonts w:hint="eastAsia" w:ascii="仿宋" w:hAnsi="仿宋" w:eastAsia="仿宋" w:cs="仿宋"/>
          <w:b/>
          <w:sz w:val="28"/>
          <w:szCs w:val="28"/>
          <w:highlight w:val="none"/>
        </w:rPr>
      </w:pPr>
    </w:p>
    <w:p w14:paraId="536BE134">
      <w:pPr>
        <w:tabs>
          <w:tab w:val="left" w:pos="8277"/>
        </w:tabs>
        <w:spacing w:line="440" w:lineRule="exact"/>
        <w:jc w:val="center"/>
        <w:rPr>
          <w:rFonts w:hint="eastAsia" w:ascii="仿宋" w:hAnsi="仿宋" w:eastAsia="仿宋" w:cs="仿宋"/>
          <w:b/>
          <w:bCs/>
          <w:sz w:val="44"/>
          <w:szCs w:val="44"/>
          <w:highlight w:val="none"/>
        </w:rPr>
        <w:sectPr>
          <w:headerReference r:id="rId4" w:type="first"/>
          <w:footerReference r:id="rId6" w:type="first"/>
          <w:headerReference r:id="rId3" w:type="default"/>
          <w:footerReference r:id="rId5" w:type="default"/>
          <w:pgSz w:w="11906" w:h="16838"/>
          <w:pgMar w:top="1440" w:right="1134" w:bottom="1440" w:left="1236" w:header="851" w:footer="850" w:gutter="0"/>
          <w:pgBorders>
            <w:top w:val="none" w:sz="0" w:space="0"/>
            <w:left w:val="none" w:sz="0" w:space="0"/>
            <w:bottom w:val="none" w:sz="0" w:space="0"/>
            <w:right w:val="none" w:sz="0" w:space="0"/>
          </w:pgBorders>
          <w:pgNumType w:fmt="decimal"/>
          <w:cols w:space="720" w:num="1"/>
          <w:titlePg/>
          <w:docGrid w:type="lines" w:linePitch="312" w:charSpace="0"/>
        </w:sectPr>
      </w:pPr>
    </w:p>
    <w:p w14:paraId="0B9F14CF">
      <w:pPr>
        <w:pStyle w:val="185"/>
        <w:rPr>
          <w:rFonts w:hint="eastAsia" w:ascii="宋体" w:hAnsi="宋体" w:eastAsia="宋体" w:cs="宋体"/>
          <w:sz w:val="24"/>
          <w:szCs w:val="24"/>
        </w:rPr>
      </w:pPr>
    </w:p>
    <w:tbl>
      <w:tblPr>
        <w:tblStyle w:val="37"/>
        <w:tblW w:w="0" w:type="auto"/>
        <w:jc w:val="center"/>
        <w:tblLayout w:type="fixed"/>
        <w:tblCellMar>
          <w:top w:w="0" w:type="dxa"/>
          <w:left w:w="108" w:type="dxa"/>
          <w:bottom w:w="0" w:type="dxa"/>
          <w:right w:w="108" w:type="dxa"/>
        </w:tblCellMar>
      </w:tblPr>
      <w:tblGrid>
        <w:gridCol w:w="5357"/>
        <w:gridCol w:w="5230"/>
      </w:tblGrid>
      <w:tr w14:paraId="4B9E0955">
        <w:tblPrEx>
          <w:tblCellMar>
            <w:top w:w="0" w:type="dxa"/>
            <w:left w:w="108" w:type="dxa"/>
            <w:bottom w:w="0" w:type="dxa"/>
            <w:right w:w="108" w:type="dxa"/>
          </w:tblCellMar>
        </w:tblPrEx>
        <w:trPr>
          <w:trHeight w:val="907" w:hRule="atLeast"/>
          <w:jc w:val="center"/>
        </w:trPr>
        <w:tc>
          <w:tcPr>
            <w:tcW w:w="5357" w:type="dxa"/>
            <w:noWrap w:val="0"/>
            <w:vAlign w:val="center"/>
          </w:tcPr>
          <w:p w14:paraId="1ABB597C">
            <w:pPr>
              <w:keepNext w:val="0"/>
              <w:keepLines w:val="0"/>
              <w:pageBreakBefore w:val="0"/>
              <w:kinsoku/>
              <w:wordWrap/>
              <w:topLinePunct w:val="0"/>
              <w:autoSpaceDE/>
              <w:autoSpaceDN/>
              <w:bidi w:val="0"/>
              <w:snapToGrid/>
              <w:spacing w:line="360" w:lineRule="auto"/>
              <w:jc w:val="both"/>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甲方（采购人）：</w:t>
            </w:r>
          </w:p>
        </w:tc>
        <w:tc>
          <w:tcPr>
            <w:tcW w:w="5230" w:type="dxa"/>
            <w:noWrap w:val="0"/>
            <w:vAlign w:val="center"/>
          </w:tcPr>
          <w:p w14:paraId="277CD6C5">
            <w:pPr>
              <w:keepNext w:val="0"/>
              <w:keepLines w:val="0"/>
              <w:pageBreakBefore w:val="0"/>
              <w:kinsoku/>
              <w:wordWrap/>
              <w:topLinePunct w:val="0"/>
              <w:autoSpaceDE/>
              <w:autoSpaceDN/>
              <w:bidi w:val="0"/>
              <w:snapToGrid/>
              <w:spacing w:line="360" w:lineRule="auto"/>
              <w:jc w:val="both"/>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单位地址：</w:t>
            </w:r>
          </w:p>
        </w:tc>
      </w:tr>
      <w:tr w14:paraId="2E8639C5">
        <w:tblPrEx>
          <w:tblCellMar>
            <w:top w:w="0" w:type="dxa"/>
            <w:left w:w="108" w:type="dxa"/>
            <w:bottom w:w="0" w:type="dxa"/>
            <w:right w:w="108" w:type="dxa"/>
          </w:tblCellMar>
        </w:tblPrEx>
        <w:trPr>
          <w:trHeight w:val="907" w:hRule="atLeast"/>
          <w:jc w:val="center"/>
        </w:trPr>
        <w:tc>
          <w:tcPr>
            <w:tcW w:w="5357" w:type="dxa"/>
            <w:noWrap w:val="0"/>
            <w:vAlign w:val="center"/>
          </w:tcPr>
          <w:p w14:paraId="454F5088">
            <w:pPr>
              <w:keepNext w:val="0"/>
              <w:keepLines w:val="0"/>
              <w:pageBreakBefore w:val="0"/>
              <w:kinsoku/>
              <w:wordWrap/>
              <w:topLinePunct w:val="0"/>
              <w:autoSpaceDE/>
              <w:autoSpaceDN/>
              <w:bidi w:val="0"/>
              <w:snapToGrid/>
              <w:spacing w:line="360" w:lineRule="auto"/>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乙方（供应商）：</w:t>
            </w:r>
          </w:p>
        </w:tc>
        <w:tc>
          <w:tcPr>
            <w:tcW w:w="5230" w:type="dxa"/>
            <w:noWrap w:val="0"/>
            <w:vAlign w:val="center"/>
          </w:tcPr>
          <w:p w14:paraId="5C4863B4">
            <w:pPr>
              <w:keepNext w:val="0"/>
              <w:keepLines w:val="0"/>
              <w:pageBreakBefore w:val="0"/>
              <w:kinsoku/>
              <w:wordWrap/>
              <w:topLinePunct w:val="0"/>
              <w:autoSpaceDE/>
              <w:autoSpaceDN/>
              <w:bidi w:val="0"/>
              <w:snapToGrid/>
              <w:spacing w:line="360" w:lineRule="auto"/>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单位地址：</w:t>
            </w:r>
          </w:p>
        </w:tc>
      </w:tr>
      <w:tr w14:paraId="572F9C2E">
        <w:tblPrEx>
          <w:tblCellMar>
            <w:top w:w="0" w:type="dxa"/>
            <w:left w:w="108" w:type="dxa"/>
            <w:bottom w:w="0" w:type="dxa"/>
            <w:right w:w="108" w:type="dxa"/>
          </w:tblCellMar>
        </w:tblPrEx>
        <w:trPr>
          <w:trHeight w:val="543" w:hRule="atLeast"/>
          <w:jc w:val="center"/>
        </w:trPr>
        <w:tc>
          <w:tcPr>
            <w:tcW w:w="5357" w:type="dxa"/>
            <w:noWrap w:val="0"/>
            <w:vAlign w:val="center"/>
          </w:tcPr>
          <w:p w14:paraId="1A30A168">
            <w:pPr>
              <w:keepNext w:val="0"/>
              <w:keepLines w:val="0"/>
              <w:pageBreakBefore w:val="0"/>
              <w:kinsoku/>
              <w:wordWrap/>
              <w:topLinePunct w:val="0"/>
              <w:autoSpaceDE/>
              <w:autoSpaceDN/>
              <w:bidi w:val="0"/>
              <w:snapToGrid/>
              <w:spacing w:line="360" w:lineRule="auto"/>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签订日期：</w:t>
            </w:r>
          </w:p>
        </w:tc>
        <w:tc>
          <w:tcPr>
            <w:tcW w:w="5230" w:type="dxa"/>
            <w:noWrap w:val="0"/>
            <w:vAlign w:val="center"/>
          </w:tcPr>
          <w:p w14:paraId="1DA3E286">
            <w:pPr>
              <w:keepNext w:val="0"/>
              <w:keepLines w:val="0"/>
              <w:pageBreakBefore w:val="0"/>
              <w:kinsoku/>
              <w:wordWrap/>
              <w:topLinePunct w:val="0"/>
              <w:autoSpaceDE/>
              <w:autoSpaceDN/>
              <w:bidi w:val="0"/>
              <w:snapToGrid/>
              <w:spacing w:line="360" w:lineRule="auto"/>
              <w:jc w:val="both"/>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签订地点：</w:t>
            </w:r>
          </w:p>
        </w:tc>
      </w:tr>
    </w:tbl>
    <w:p w14:paraId="0B8EE7D4">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根据友好协商结果，甲方确定乙方为本次</w:t>
      </w:r>
      <w:r>
        <w:rPr>
          <w:rFonts w:hint="eastAsia" w:ascii="宋体" w:hAnsi="宋体" w:cs="宋体"/>
          <w:sz w:val="24"/>
          <w:szCs w:val="24"/>
          <w:highlight w:val="none"/>
          <w:lang w:eastAsia="zh-CN"/>
        </w:rPr>
        <w:t>成交</w:t>
      </w: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现依照</w:t>
      </w:r>
      <w:r>
        <w:rPr>
          <w:rFonts w:hint="eastAsia" w:ascii="宋体" w:hAnsi="宋体" w:eastAsia="宋体" w:cs="宋体"/>
          <w:sz w:val="24"/>
          <w:szCs w:val="24"/>
          <w:highlight w:val="none"/>
          <w:lang w:val="en-US" w:eastAsia="zh-CN"/>
        </w:rPr>
        <w:t>磋商内容</w:t>
      </w:r>
      <w:r>
        <w:rPr>
          <w:rFonts w:hint="eastAsia" w:ascii="宋体" w:hAnsi="宋体" w:eastAsia="宋体" w:cs="宋体"/>
          <w:sz w:val="24"/>
          <w:szCs w:val="24"/>
          <w:highlight w:val="none"/>
        </w:rPr>
        <w:t>及相关文件的内容，签订本合同书。</w:t>
      </w:r>
    </w:p>
    <w:tbl>
      <w:tblPr>
        <w:tblStyle w:val="37"/>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32" w:type="dxa"/>
          <w:left w:w="64" w:type="dxa"/>
          <w:bottom w:w="32" w:type="dxa"/>
          <w:right w:w="64" w:type="dxa"/>
        </w:tblCellMar>
      </w:tblPr>
      <w:tblGrid>
        <w:gridCol w:w="741"/>
        <w:gridCol w:w="1330"/>
        <w:gridCol w:w="2431"/>
        <w:gridCol w:w="941"/>
        <w:gridCol w:w="939"/>
        <w:gridCol w:w="2431"/>
        <w:gridCol w:w="947"/>
      </w:tblGrid>
      <w:tr w14:paraId="196B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741" w:type="dxa"/>
            <w:shd w:val="clear" w:color="auto" w:fill="FFFFFF" w:themeFill="background1"/>
            <w:vAlign w:val="center"/>
          </w:tcPr>
          <w:p w14:paraId="69330408">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b/>
                <w:bCs/>
                <w:strike w:val="0"/>
                <w:dstrike w:val="0"/>
                <w:sz w:val="24"/>
                <w:szCs w:val="24"/>
                <w:highlight w:val="none"/>
                <w:lang w:eastAsia="zh-CN"/>
              </w:rPr>
            </w:pPr>
            <w:r>
              <w:rPr>
                <w:rFonts w:hint="eastAsia" w:ascii="宋体" w:hAnsi="宋体" w:cs="宋体"/>
                <w:b/>
                <w:bCs/>
                <w:strike w:val="0"/>
                <w:dstrike w:val="0"/>
                <w:sz w:val="24"/>
                <w:szCs w:val="24"/>
                <w:highlight w:val="none"/>
                <w:lang w:eastAsia="zh-CN"/>
              </w:rPr>
              <w:t>序号</w:t>
            </w:r>
          </w:p>
        </w:tc>
        <w:tc>
          <w:tcPr>
            <w:tcW w:w="1330" w:type="dxa"/>
            <w:shd w:val="clear" w:color="auto" w:fill="FFFFFF" w:themeFill="background1"/>
            <w:vAlign w:val="center"/>
          </w:tcPr>
          <w:p w14:paraId="24AED17E">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b/>
                <w:bCs/>
                <w:strike w:val="0"/>
                <w:dstrike w:val="0"/>
                <w:sz w:val="24"/>
                <w:szCs w:val="24"/>
                <w:highlight w:val="none"/>
              </w:rPr>
            </w:pPr>
            <w:r>
              <w:rPr>
                <w:rFonts w:hint="eastAsia" w:ascii="宋体" w:hAnsi="宋体" w:cs="宋体"/>
                <w:b/>
                <w:bCs/>
                <w:strike w:val="0"/>
                <w:dstrike w:val="0"/>
                <w:sz w:val="24"/>
                <w:szCs w:val="24"/>
                <w:highlight w:val="none"/>
                <w:lang w:val="en-US" w:eastAsia="zh-CN"/>
              </w:rPr>
              <w:t>服务名称</w:t>
            </w:r>
          </w:p>
        </w:tc>
        <w:tc>
          <w:tcPr>
            <w:tcW w:w="2431" w:type="dxa"/>
            <w:shd w:val="clear" w:color="auto" w:fill="FFFFFF" w:themeFill="background1"/>
            <w:vAlign w:val="center"/>
          </w:tcPr>
          <w:p w14:paraId="476494AC">
            <w:pPr>
              <w:keepNext w:val="0"/>
              <w:keepLines w:val="0"/>
              <w:pageBreakBefore w:val="0"/>
              <w:kinsoku/>
              <w:wordWrap/>
              <w:topLinePunct w:val="0"/>
              <w:autoSpaceDE/>
              <w:autoSpaceDN/>
              <w:bidi w:val="0"/>
              <w:snapToGrid w:val="0"/>
              <w:spacing w:line="360" w:lineRule="auto"/>
              <w:jc w:val="center"/>
              <w:rPr>
                <w:rFonts w:hint="default" w:ascii="宋体" w:hAnsi="宋体" w:eastAsia="宋体" w:cs="宋体"/>
                <w:b/>
                <w:bCs/>
                <w:strike w:val="0"/>
                <w:dstrike w:val="0"/>
                <w:sz w:val="24"/>
                <w:szCs w:val="24"/>
                <w:highlight w:val="none"/>
                <w:lang w:val="en-US" w:eastAsia="zh-CN"/>
              </w:rPr>
            </w:pPr>
            <w:r>
              <w:rPr>
                <w:rFonts w:hint="eastAsia" w:ascii="宋体" w:hAnsi="宋体" w:cs="宋体"/>
                <w:b/>
                <w:bCs/>
                <w:strike w:val="0"/>
                <w:dstrike w:val="0"/>
                <w:sz w:val="24"/>
                <w:szCs w:val="24"/>
                <w:highlight w:val="none"/>
                <w:lang w:val="en-US" w:eastAsia="zh-CN"/>
              </w:rPr>
              <w:t>服务内容</w:t>
            </w:r>
          </w:p>
        </w:tc>
        <w:tc>
          <w:tcPr>
            <w:tcW w:w="941" w:type="dxa"/>
            <w:shd w:val="clear" w:color="auto" w:fill="FFFFFF" w:themeFill="background1"/>
            <w:vAlign w:val="center"/>
          </w:tcPr>
          <w:p w14:paraId="12D48C2A">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b/>
                <w:bCs/>
                <w:strike w:val="0"/>
                <w:dstrike w:val="0"/>
                <w:sz w:val="24"/>
                <w:szCs w:val="24"/>
                <w:highlight w:val="none"/>
                <w:lang w:eastAsia="zh-CN"/>
              </w:rPr>
            </w:pPr>
            <w:r>
              <w:rPr>
                <w:rFonts w:hint="eastAsia" w:ascii="宋体" w:hAnsi="宋体" w:cs="宋体"/>
                <w:b/>
                <w:bCs/>
                <w:strike w:val="0"/>
                <w:dstrike w:val="0"/>
                <w:sz w:val="24"/>
                <w:szCs w:val="24"/>
                <w:highlight w:val="none"/>
                <w:lang w:eastAsia="zh-CN"/>
              </w:rPr>
              <w:t>单位</w:t>
            </w:r>
          </w:p>
        </w:tc>
        <w:tc>
          <w:tcPr>
            <w:tcW w:w="939" w:type="dxa"/>
            <w:shd w:val="clear" w:color="auto" w:fill="FFFFFF" w:themeFill="background1"/>
            <w:vAlign w:val="center"/>
          </w:tcPr>
          <w:p w14:paraId="3C2BC878">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b/>
                <w:bCs/>
                <w:strike w:val="0"/>
                <w:dstrike w:val="0"/>
                <w:sz w:val="24"/>
                <w:szCs w:val="24"/>
                <w:highlight w:val="none"/>
                <w:lang w:eastAsia="zh-CN"/>
              </w:rPr>
            </w:pPr>
            <w:r>
              <w:rPr>
                <w:rFonts w:hint="eastAsia" w:ascii="宋体" w:hAnsi="宋体" w:cs="宋体"/>
                <w:b/>
                <w:bCs/>
                <w:strike w:val="0"/>
                <w:dstrike w:val="0"/>
                <w:sz w:val="24"/>
                <w:szCs w:val="24"/>
                <w:highlight w:val="none"/>
                <w:lang w:eastAsia="zh-CN"/>
              </w:rPr>
              <w:t>数量</w:t>
            </w:r>
          </w:p>
        </w:tc>
        <w:tc>
          <w:tcPr>
            <w:tcW w:w="2431" w:type="dxa"/>
            <w:shd w:val="clear" w:color="auto" w:fill="FFFFFF" w:themeFill="background1"/>
            <w:vAlign w:val="center"/>
          </w:tcPr>
          <w:p w14:paraId="0522171A">
            <w:pPr>
              <w:keepNext w:val="0"/>
              <w:keepLines w:val="0"/>
              <w:pageBreakBefore w:val="0"/>
              <w:widowControl/>
              <w:kinsoku/>
              <w:wordWrap/>
              <w:topLinePunct w:val="0"/>
              <w:autoSpaceDE/>
              <w:autoSpaceDN/>
              <w:bidi w:val="0"/>
              <w:snapToGrid w:val="0"/>
              <w:spacing w:line="360" w:lineRule="auto"/>
              <w:jc w:val="center"/>
              <w:rPr>
                <w:rFonts w:hint="eastAsia" w:ascii="宋体" w:hAnsi="宋体" w:eastAsia="宋体" w:cs="宋体"/>
                <w:b/>
                <w:bCs/>
                <w:strike w:val="0"/>
                <w:dstrike w:val="0"/>
                <w:sz w:val="24"/>
                <w:szCs w:val="24"/>
                <w:highlight w:val="none"/>
                <w:lang w:eastAsia="zh-CN"/>
              </w:rPr>
            </w:pPr>
            <w:r>
              <w:rPr>
                <w:rFonts w:hint="eastAsia" w:ascii="宋体" w:hAnsi="宋体" w:cs="宋体"/>
                <w:b/>
                <w:bCs/>
                <w:strike w:val="0"/>
                <w:dstrike w:val="0"/>
                <w:sz w:val="24"/>
                <w:szCs w:val="24"/>
                <w:highlight w:val="none"/>
                <w:lang w:eastAsia="zh-CN"/>
              </w:rPr>
              <w:t>合价（万元）</w:t>
            </w:r>
          </w:p>
        </w:tc>
        <w:tc>
          <w:tcPr>
            <w:tcW w:w="947" w:type="dxa"/>
            <w:shd w:val="clear" w:color="auto" w:fill="FFFFFF" w:themeFill="background1"/>
            <w:vAlign w:val="center"/>
          </w:tcPr>
          <w:p w14:paraId="2D9759ED">
            <w:pPr>
              <w:keepNext w:val="0"/>
              <w:keepLines w:val="0"/>
              <w:pageBreakBefore w:val="0"/>
              <w:widowControl/>
              <w:kinsoku/>
              <w:wordWrap/>
              <w:topLinePunct w:val="0"/>
              <w:autoSpaceDE/>
              <w:autoSpaceDN/>
              <w:bidi w:val="0"/>
              <w:snapToGrid w:val="0"/>
              <w:spacing w:line="360" w:lineRule="auto"/>
              <w:jc w:val="center"/>
              <w:rPr>
                <w:rFonts w:hint="eastAsia" w:ascii="宋体" w:hAnsi="宋体" w:eastAsia="宋体" w:cs="宋体"/>
                <w:b/>
                <w:bCs/>
                <w:strike w:val="0"/>
                <w:dstrike w:val="0"/>
                <w:sz w:val="24"/>
                <w:szCs w:val="24"/>
                <w:highlight w:val="none"/>
                <w:lang w:val="en-US" w:eastAsia="zh-CN"/>
              </w:rPr>
            </w:pPr>
            <w:r>
              <w:rPr>
                <w:rFonts w:hint="eastAsia" w:ascii="宋体" w:hAnsi="宋体" w:cs="宋体"/>
                <w:b/>
                <w:bCs/>
                <w:strike w:val="0"/>
                <w:dstrike w:val="0"/>
                <w:sz w:val="24"/>
                <w:szCs w:val="24"/>
                <w:highlight w:val="none"/>
                <w:lang w:val="en-US" w:eastAsia="zh-CN"/>
              </w:rPr>
              <w:t>备注</w:t>
            </w:r>
          </w:p>
        </w:tc>
      </w:tr>
      <w:tr w14:paraId="1F54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6191634D">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4BD6C416">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6BF9207D">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6CC16540">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6CAF6F49">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24916C12">
            <w:pPr>
              <w:pStyle w:val="4"/>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27D12DA7">
            <w:pPr>
              <w:pStyle w:val="4"/>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61A2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58380E97">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72DB2AE2">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0A73951F">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3E8688F1">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5855B099">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44E373D9">
            <w:pPr>
              <w:pStyle w:val="4"/>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0C170F1A">
            <w:pPr>
              <w:pStyle w:val="4"/>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480CF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54BB2C80">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7DFC0780">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5B5E873B">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506E0927">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36B81BA5">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3570CDA3">
            <w:pPr>
              <w:pStyle w:val="4"/>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1B845AEA">
            <w:pPr>
              <w:pStyle w:val="4"/>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2D6A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4F57E177">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06CDE2A6">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13598DAA">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5FB3924A">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257BC77F">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34A83DFD">
            <w:pPr>
              <w:pStyle w:val="4"/>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2FCB0C77">
            <w:pPr>
              <w:pStyle w:val="4"/>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4075A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4DA991DE">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392FF5BB">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6CD55233">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507853D8">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7C6C5F9C">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398CB4AB">
            <w:pPr>
              <w:pStyle w:val="4"/>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61CF7F28">
            <w:pPr>
              <w:pStyle w:val="4"/>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5E71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7D46EBC5">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515E1DE9">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62CDAB9E">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27A4E63E">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5961940F">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5F3AD744">
            <w:pPr>
              <w:pStyle w:val="4"/>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780F9906">
            <w:pPr>
              <w:pStyle w:val="4"/>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633F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03DAD9F3">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365DF4E4">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5A04773E">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12DB2F50">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496DC509">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64F8EA4D">
            <w:pPr>
              <w:pStyle w:val="4"/>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6AF9C8DE">
            <w:pPr>
              <w:pStyle w:val="4"/>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027B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6D593656">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4755A8B9">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7CBFBE31">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23177AEE">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77918AC2">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48DAAB1E">
            <w:pPr>
              <w:pStyle w:val="4"/>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0B35C49D">
            <w:pPr>
              <w:pStyle w:val="4"/>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3612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3D083E67">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33700276">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4C96C351">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25224BC0">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343D20E4">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14077644">
            <w:pPr>
              <w:pStyle w:val="4"/>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1E4EF8D4">
            <w:pPr>
              <w:pStyle w:val="4"/>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223F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667E63BD">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0F322EC6">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71D19672">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4E5AFF43">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67308528">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54C3C834">
            <w:pPr>
              <w:pStyle w:val="4"/>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7FD00750">
            <w:pPr>
              <w:pStyle w:val="4"/>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3E86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169B2FC3">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21984FCF">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2E2F538B">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0487C2A2">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0BCDFBA6">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1F0CB62A">
            <w:pPr>
              <w:pStyle w:val="4"/>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09D6D1E9">
            <w:pPr>
              <w:pStyle w:val="4"/>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24A2D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3B233EC5">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1ACC8575">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2C9C1A2F">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4DDF85E6">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30A1373C">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7E8C6C74">
            <w:pPr>
              <w:pStyle w:val="4"/>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1D42976A">
            <w:pPr>
              <w:pStyle w:val="4"/>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43B1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521EF02F">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7D7F79D3">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207E1249">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745D78AD">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0F6FA4CE">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774AAB26">
            <w:pPr>
              <w:pStyle w:val="4"/>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2F88BC5D">
            <w:pPr>
              <w:pStyle w:val="4"/>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6098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4EE79C8F">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2E80A78A">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55042779">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6B87C0FD">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62D8A597">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73F2A271">
            <w:pPr>
              <w:pStyle w:val="4"/>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40D5F96E">
            <w:pPr>
              <w:pStyle w:val="4"/>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299F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388F929E">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718EA333">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6052F019">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5B44CC30">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62E7D384">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34037B29">
            <w:pPr>
              <w:pStyle w:val="4"/>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699D3D9C">
            <w:pPr>
              <w:pStyle w:val="4"/>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32194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4E330486">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23EEA475">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7F4E3955">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7D5355AD">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6C4B3439">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663794F5">
            <w:pPr>
              <w:pStyle w:val="4"/>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08D36BC6">
            <w:pPr>
              <w:pStyle w:val="4"/>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6997B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32" w:type="dxa"/>
            <w:left w:w="64" w:type="dxa"/>
            <w:bottom w:w="32" w:type="dxa"/>
            <w:right w:w="64" w:type="dxa"/>
          </w:tblCellMar>
        </w:tblPrEx>
        <w:trPr>
          <w:trHeight w:val="0" w:hRule="atLeast"/>
          <w:jc w:val="center"/>
        </w:trPr>
        <w:tc>
          <w:tcPr>
            <w:tcW w:w="1330" w:type="dxa"/>
            <w:gridSpan w:val="2"/>
            <w:shd w:val="clear" w:color="auto" w:fill="FFFFFF" w:themeFill="background1"/>
            <w:vAlign w:val="center"/>
          </w:tcPr>
          <w:p w14:paraId="06545B96">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b/>
                <w:strike w:val="0"/>
                <w:dstrike w:val="0"/>
                <w:sz w:val="24"/>
                <w:szCs w:val="24"/>
                <w:highlight w:val="none"/>
                <w:lang w:val="en-US" w:eastAsia="zh-CN"/>
              </w:rPr>
            </w:pPr>
            <w:r>
              <w:rPr>
                <w:rFonts w:hint="eastAsia" w:ascii="宋体" w:hAnsi="宋体" w:eastAsia="宋体" w:cs="宋体"/>
                <w:b/>
                <w:strike w:val="0"/>
                <w:dstrike w:val="0"/>
                <w:sz w:val="24"/>
                <w:szCs w:val="24"/>
                <w:highlight w:val="none"/>
                <w:lang w:val="en-US" w:eastAsia="zh-CN"/>
              </w:rPr>
              <w:t>合计</w:t>
            </w:r>
          </w:p>
        </w:tc>
        <w:tc>
          <w:tcPr>
            <w:tcW w:w="947" w:type="dxa"/>
            <w:gridSpan w:val="5"/>
            <w:shd w:val="clear" w:color="auto" w:fill="FFFFFF" w:themeFill="background1"/>
            <w:vAlign w:val="center"/>
          </w:tcPr>
          <w:p w14:paraId="531FF70A">
            <w:pPr>
              <w:pStyle w:val="185"/>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b/>
                <w:strike w:val="0"/>
                <w:dstrike w:val="0"/>
                <w:color w:val="FF0000"/>
                <w:kern w:val="2"/>
                <w:sz w:val="24"/>
                <w:szCs w:val="24"/>
                <w:highlight w:val="none"/>
                <w:lang w:val="en-US" w:eastAsia="zh-CN" w:bidi="ar-SA"/>
              </w:rPr>
            </w:pPr>
            <w:r>
              <w:rPr>
                <w:rFonts w:hint="eastAsia" w:ascii="宋体" w:hAnsi="宋体" w:eastAsia="宋体" w:cs="宋体"/>
                <w:b/>
                <w:strike w:val="0"/>
                <w:dstrike w:val="0"/>
                <w:sz w:val="24"/>
                <w:szCs w:val="24"/>
                <w:highlight w:val="none"/>
              </w:rPr>
              <w:t>合同价格（大写）人民币</w:t>
            </w:r>
            <w:r>
              <w:rPr>
                <w:rFonts w:hint="eastAsia" w:ascii="宋体" w:hAnsi="宋体" w:eastAsia="宋体" w:cs="宋体"/>
                <w:b/>
                <w:bCs/>
                <w:strike w:val="0"/>
                <w:dstrike w:val="0"/>
                <w:sz w:val="24"/>
                <w:szCs w:val="24"/>
                <w:highlight w:val="none"/>
                <w:u w:val="single"/>
                <w:lang w:val="en-US" w:eastAsia="zh-CN"/>
              </w:rPr>
              <w:t xml:space="preserve">       </w:t>
            </w:r>
            <w:r>
              <w:rPr>
                <w:rFonts w:hint="eastAsia" w:ascii="宋体" w:hAnsi="宋体" w:eastAsia="宋体" w:cs="宋体"/>
                <w:b/>
                <w:strike w:val="0"/>
                <w:dstrike w:val="0"/>
                <w:sz w:val="24"/>
                <w:szCs w:val="24"/>
                <w:highlight w:val="none"/>
                <w:lang w:val="en-US" w:eastAsia="zh-CN"/>
              </w:rPr>
              <w:t>元</w:t>
            </w:r>
            <w:r>
              <w:rPr>
                <w:rFonts w:hint="eastAsia" w:ascii="宋体" w:hAnsi="宋体" w:eastAsia="宋体" w:cs="宋体"/>
                <w:b/>
                <w:strike w:val="0"/>
                <w:dstrike w:val="0"/>
                <w:sz w:val="24"/>
                <w:szCs w:val="24"/>
                <w:highlight w:val="none"/>
              </w:rPr>
              <w:t>整</w:t>
            </w:r>
            <w:r>
              <w:rPr>
                <w:rFonts w:hint="eastAsia" w:ascii="宋体" w:hAnsi="宋体" w:eastAsia="宋体" w:cs="宋体"/>
                <w:b/>
                <w:strike w:val="0"/>
                <w:dstrike w:val="0"/>
                <w:sz w:val="24"/>
                <w:szCs w:val="24"/>
                <w:highlight w:val="none"/>
                <w:lang w:eastAsia="zh-CN"/>
              </w:rPr>
              <w:t>，</w:t>
            </w:r>
            <w:r>
              <w:rPr>
                <w:rFonts w:hint="eastAsia" w:ascii="宋体" w:hAnsi="宋体" w:eastAsia="宋体" w:cs="宋体"/>
                <w:b/>
                <w:strike w:val="0"/>
                <w:dstrike w:val="0"/>
                <w:sz w:val="24"/>
                <w:szCs w:val="24"/>
                <w:highlight w:val="none"/>
              </w:rPr>
              <w:t>（￥：</w:t>
            </w:r>
            <w:r>
              <w:rPr>
                <w:rFonts w:hint="eastAsia" w:ascii="宋体" w:hAnsi="宋体" w:eastAsia="宋体" w:cs="宋体"/>
                <w:b/>
                <w:bCs/>
                <w:strike w:val="0"/>
                <w:dstrike w:val="0"/>
                <w:sz w:val="24"/>
                <w:szCs w:val="24"/>
                <w:highlight w:val="none"/>
                <w:u w:val="single"/>
                <w:lang w:val="en-US" w:eastAsia="zh-CN"/>
              </w:rPr>
              <w:t xml:space="preserve">     </w:t>
            </w:r>
            <w:r>
              <w:rPr>
                <w:rFonts w:hint="eastAsia" w:ascii="宋体" w:hAnsi="宋体" w:eastAsia="宋体" w:cs="宋体"/>
                <w:b/>
                <w:strike w:val="0"/>
                <w:dstrike w:val="0"/>
                <w:sz w:val="24"/>
                <w:szCs w:val="24"/>
                <w:highlight w:val="none"/>
              </w:rPr>
              <w:t>）</w:t>
            </w:r>
            <w:r>
              <w:rPr>
                <w:rFonts w:hint="eastAsia" w:ascii="宋体" w:hAnsi="宋体" w:eastAsia="宋体" w:cs="宋体"/>
                <w:b/>
                <w:strike w:val="0"/>
                <w:dstrike w:val="0"/>
                <w:sz w:val="24"/>
                <w:szCs w:val="24"/>
                <w:highlight w:val="none"/>
                <w:lang w:eastAsia="zh-CN"/>
              </w:rPr>
              <w:t>；</w:t>
            </w:r>
          </w:p>
        </w:tc>
      </w:tr>
    </w:tbl>
    <w:p w14:paraId="003D9731">
      <w:pPr>
        <w:pStyle w:val="185"/>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宋体" w:hAnsi="宋体" w:eastAsia="宋体" w:cs="宋体"/>
          <w:sz w:val="24"/>
          <w:szCs w:val="24"/>
        </w:rPr>
      </w:pPr>
    </w:p>
    <w:p w14:paraId="391DDADA">
      <w:pPr>
        <w:keepNext w:val="0"/>
        <w:keepLines w:val="0"/>
        <w:pageBreakBefore w:val="0"/>
        <w:widowControl w:val="0"/>
        <w:numPr>
          <w:ilvl w:val="0"/>
          <w:numId w:val="2"/>
        </w:numPr>
        <w:tabs>
          <w:tab w:val="left" w:pos="0"/>
          <w:tab w:val="left" w:pos="567"/>
        </w:tabs>
        <w:kinsoku/>
        <w:wordWrap/>
        <w:overflowPunct/>
        <w:topLinePunct w:val="0"/>
        <w:autoSpaceDE/>
        <w:autoSpaceDN/>
        <w:bidi w:val="0"/>
        <w:adjustRightInd/>
        <w:snapToGrid/>
        <w:spacing w:line="360" w:lineRule="auto"/>
        <w:ind w:left="0" w:leftChars="0" w:right="0" w:firstLine="0" w:firstLineChars="0"/>
        <w:textAlignment w:val="auto"/>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合同内容</w:t>
      </w:r>
      <w:r>
        <w:rPr>
          <w:rFonts w:hint="eastAsia" w:ascii="宋体" w:hAnsi="宋体" w:eastAsia="宋体" w:cs="宋体"/>
          <w:b/>
          <w:sz w:val="24"/>
          <w:szCs w:val="24"/>
          <w:highlight w:val="none"/>
          <w:lang w:eastAsia="zh-CN"/>
        </w:rPr>
        <w:t>：</w:t>
      </w:r>
    </w:p>
    <w:p w14:paraId="0D81D88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sz w:val="24"/>
          <w:szCs w:val="24"/>
          <w:highlight w:val="none"/>
        </w:rPr>
        <w:t>本合同价格包括上述标的物，包括系统开发费、实施服务费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税费</w:t>
      </w:r>
      <w:r>
        <w:rPr>
          <w:rFonts w:hint="eastAsia" w:ascii="宋体" w:hAnsi="宋体" w:eastAsia="宋体" w:cs="宋体"/>
          <w:sz w:val="24"/>
          <w:szCs w:val="24"/>
          <w:highlight w:val="none"/>
          <w:lang w:eastAsia="zh-CN"/>
        </w:rPr>
        <w:t>等费用</w:t>
      </w:r>
      <w:r>
        <w:rPr>
          <w:rFonts w:hint="eastAsia" w:ascii="宋体" w:hAnsi="宋体" w:eastAsia="宋体" w:cs="宋体"/>
          <w:sz w:val="24"/>
          <w:szCs w:val="24"/>
          <w:highlight w:val="none"/>
        </w:rPr>
        <w:t>。</w:t>
      </w:r>
    </w:p>
    <w:p w14:paraId="642D65F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范围以合同内容为准；</w:t>
      </w:r>
      <w:r>
        <w:rPr>
          <w:rFonts w:hint="eastAsia" w:ascii="宋体" w:hAnsi="宋体" w:eastAsia="宋体" w:cs="宋体"/>
          <w:bCs/>
          <w:color w:val="auto"/>
          <w:kern w:val="2"/>
          <w:sz w:val="24"/>
          <w:szCs w:val="24"/>
          <w:highlight w:val="none"/>
          <w:lang w:val="en-US" w:eastAsia="zh-CN" w:bidi="ar-SA"/>
        </w:rPr>
        <w:t>若有变动，双方签订补充协议，以最终约定范围</w:t>
      </w:r>
      <w:r>
        <w:rPr>
          <w:rFonts w:hint="eastAsia" w:ascii="宋体" w:hAnsi="宋体" w:eastAsia="宋体" w:cs="宋体"/>
          <w:bCs/>
          <w:color w:val="auto"/>
          <w:sz w:val="24"/>
          <w:szCs w:val="24"/>
          <w:highlight w:val="none"/>
        </w:rPr>
        <w:t>为</w:t>
      </w:r>
      <w:r>
        <w:rPr>
          <w:rFonts w:hint="eastAsia" w:ascii="宋体" w:hAnsi="宋体" w:eastAsia="宋体" w:cs="宋体"/>
          <w:bCs/>
          <w:color w:val="auto"/>
          <w:sz w:val="24"/>
          <w:szCs w:val="24"/>
          <w:highlight w:val="none"/>
          <w:lang w:val="en-US" w:eastAsia="zh-CN"/>
        </w:rPr>
        <w:t>交付标准</w:t>
      </w:r>
      <w:r>
        <w:rPr>
          <w:rFonts w:hint="eastAsia" w:ascii="宋体" w:hAnsi="宋体" w:eastAsia="宋体" w:cs="宋体"/>
          <w:bCs/>
          <w:kern w:val="2"/>
          <w:sz w:val="24"/>
          <w:szCs w:val="24"/>
          <w:highlight w:val="none"/>
          <w:lang w:val="en-US" w:eastAsia="zh-CN" w:bidi="ar-SA"/>
        </w:rPr>
        <w:t>。</w:t>
      </w:r>
    </w:p>
    <w:p w14:paraId="304C1D88">
      <w:pPr>
        <w:keepNext w:val="0"/>
        <w:keepLines w:val="0"/>
        <w:pageBreakBefore w:val="0"/>
        <w:widowControl w:val="0"/>
        <w:numPr>
          <w:ilvl w:val="0"/>
          <w:numId w:val="2"/>
        </w:numPr>
        <w:tabs>
          <w:tab w:val="left" w:pos="0"/>
          <w:tab w:val="left" w:pos="567"/>
        </w:tabs>
        <w:kinsoku/>
        <w:wordWrap/>
        <w:overflowPunct/>
        <w:topLinePunct w:val="0"/>
        <w:autoSpaceDE/>
        <w:autoSpaceDN/>
        <w:bidi w:val="0"/>
        <w:adjustRightInd/>
        <w:snapToGrid/>
        <w:spacing w:line="360" w:lineRule="auto"/>
        <w:ind w:left="255" w:hanging="255"/>
        <w:textAlignment w:val="auto"/>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交付</w:t>
      </w:r>
      <w:r>
        <w:rPr>
          <w:rFonts w:hint="eastAsia" w:ascii="宋体" w:hAnsi="宋体" w:eastAsia="宋体" w:cs="宋体"/>
          <w:b/>
          <w:sz w:val="24"/>
          <w:szCs w:val="24"/>
          <w:highlight w:val="none"/>
        </w:rPr>
        <w:t>：</w:t>
      </w:r>
    </w:p>
    <w:p w14:paraId="4E6A0452">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交付内容：合同清单所约定的内容。</w:t>
      </w:r>
    </w:p>
    <w:p w14:paraId="1B654E1C">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合同工期：</w:t>
      </w:r>
      <w:r>
        <w:rPr>
          <w:rFonts w:hint="eastAsia" w:ascii="宋体" w:hAnsi="宋体" w:cs="宋体"/>
          <w:color w:val="auto"/>
          <w:kern w:val="0"/>
          <w:sz w:val="24"/>
          <w:highlight w:val="none"/>
        </w:rPr>
        <w:t>合同签订之日起</w:t>
      </w:r>
      <w:r>
        <w:rPr>
          <w:rFonts w:hint="eastAsia" w:ascii="宋体" w:hAnsi="宋体" w:cs="宋体"/>
          <w:color w:val="auto"/>
          <w:kern w:val="0"/>
          <w:sz w:val="24"/>
          <w:highlight w:val="none"/>
          <w:lang w:val="en-US" w:eastAsia="zh-CN"/>
        </w:rPr>
        <w:t>45</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内</w:t>
      </w:r>
      <w:r>
        <w:rPr>
          <w:rFonts w:hint="eastAsia" w:ascii="宋体" w:hAnsi="宋体" w:cs="宋体"/>
          <w:color w:val="auto"/>
          <w:kern w:val="0"/>
          <w:sz w:val="24"/>
          <w:highlight w:val="none"/>
        </w:rPr>
        <w:t>完成项目交付</w:t>
      </w:r>
      <w:r>
        <w:rPr>
          <w:rFonts w:hint="eastAsia" w:ascii="宋体" w:hAnsi="宋体" w:eastAsia="宋体" w:cs="宋体"/>
          <w:bCs/>
          <w:kern w:val="2"/>
          <w:sz w:val="24"/>
          <w:szCs w:val="24"/>
          <w:highlight w:val="none"/>
          <w:lang w:val="en-US" w:eastAsia="zh-CN" w:bidi="ar-SA"/>
        </w:rPr>
        <w:t>。</w:t>
      </w:r>
    </w:p>
    <w:p w14:paraId="73CE06C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Cs/>
          <w:kern w:val="2"/>
          <w:sz w:val="24"/>
          <w:szCs w:val="24"/>
          <w:highlight w:val="none"/>
          <w:lang w:val="en-US" w:eastAsia="zh-CN" w:bidi="ar-SA"/>
        </w:rPr>
        <w:t>甲方需积极配合乙方对系统需求做确认，如果需求确认延误导致工期滞后，时间顺延。</w:t>
      </w:r>
    </w:p>
    <w:p w14:paraId="52EF2A3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系统的试运行期</w:t>
      </w:r>
      <w:r>
        <w:rPr>
          <w:rFonts w:hint="eastAsia" w:ascii="宋体" w:hAnsi="宋体" w:eastAsia="宋体" w:cs="宋体"/>
          <w:color w:val="auto"/>
          <w:sz w:val="24"/>
          <w:szCs w:val="24"/>
          <w:highlight w:val="none"/>
          <w:lang w:val="en-US" w:eastAsia="zh-CN"/>
        </w:rPr>
        <w:t>满八个月后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试运行期间无重大事故，系统运行稳定，试运行期结束则启动验收</w:t>
      </w:r>
      <w:r>
        <w:rPr>
          <w:rFonts w:hint="eastAsia" w:ascii="宋体" w:hAnsi="宋体" w:eastAsia="宋体" w:cs="宋体"/>
          <w:color w:val="auto"/>
          <w:sz w:val="24"/>
          <w:szCs w:val="24"/>
          <w:highlight w:val="none"/>
        </w:rPr>
        <w:t>。购买软件使用权，中标方需提供程序及数据库的超管用户，方便校方数据维护。</w:t>
      </w:r>
    </w:p>
    <w:p w14:paraId="6FE2415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交付地点：甲方指定地点。</w:t>
      </w:r>
    </w:p>
    <w:p w14:paraId="411650B9">
      <w:pPr>
        <w:keepNext w:val="0"/>
        <w:keepLines w:val="0"/>
        <w:pageBreakBefore w:val="0"/>
        <w:widowControl w:val="0"/>
        <w:numPr>
          <w:ilvl w:val="0"/>
          <w:numId w:val="2"/>
        </w:numPr>
        <w:tabs>
          <w:tab w:val="left" w:pos="0"/>
          <w:tab w:val="left" w:pos="567"/>
        </w:tabs>
        <w:kinsoku/>
        <w:wordWrap/>
        <w:overflowPunct/>
        <w:topLinePunct w:val="0"/>
        <w:autoSpaceDE/>
        <w:autoSpaceDN/>
        <w:bidi w:val="0"/>
        <w:adjustRightInd/>
        <w:snapToGrid/>
        <w:spacing w:line="300" w:lineRule="auto"/>
        <w:ind w:left="255" w:hanging="255"/>
        <w:textAlignment w:val="auto"/>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付款方式：</w:t>
      </w:r>
    </w:p>
    <w:p w14:paraId="746C4D73">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本次合同含税总金额为人民币</w:t>
      </w:r>
      <w:r>
        <w:rPr>
          <w:rFonts w:hint="eastAsia" w:ascii="宋体" w:hAnsi="宋体" w:eastAsia="宋体" w:cs="宋体"/>
          <w:b/>
          <w:bCs w:val="0"/>
          <w:color w:val="auto"/>
          <w:kern w:val="2"/>
          <w:sz w:val="24"/>
          <w:szCs w:val="24"/>
          <w:highlight w:val="none"/>
          <w:u w:val="single"/>
          <w:lang w:val="en-US" w:eastAsia="zh-CN" w:bidi="ar-SA"/>
        </w:rPr>
        <w:t xml:space="preserve">        </w:t>
      </w:r>
      <w:r>
        <w:rPr>
          <w:rFonts w:hint="eastAsia" w:ascii="宋体" w:hAnsi="宋体" w:eastAsia="宋体" w:cs="宋体"/>
          <w:bCs/>
          <w:color w:val="auto"/>
          <w:kern w:val="2"/>
          <w:sz w:val="24"/>
          <w:szCs w:val="24"/>
          <w:highlight w:val="none"/>
          <w:lang w:val="en-US" w:eastAsia="zh-CN" w:bidi="ar-SA"/>
        </w:rPr>
        <w:t>元整；（￥：     ）。</w:t>
      </w:r>
    </w:p>
    <w:p w14:paraId="5DBC76B3">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预付款：</w:t>
      </w:r>
    </w:p>
    <w:p w14:paraId="5333F6ED">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进度款：</w:t>
      </w:r>
    </w:p>
    <w:p w14:paraId="6B50A0C0">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尾款：</w:t>
      </w:r>
    </w:p>
    <w:p w14:paraId="1D850C66">
      <w:pPr>
        <w:pStyle w:val="185"/>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5、乙方未按照合同时间开具合法有效发票时，采购人有权拒绝付款。</w:t>
      </w:r>
    </w:p>
    <w:p w14:paraId="15F546E7">
      <w:pPr>
        <w:pStyle w:val="185"/>
        <w:rPr>
          <w:rFonts w:hint="eastAsia" w:ascii="宋体" w:hAnsi="宋体" w:eastAsia="宋体" w:cs="宋体"/>
          <w:color w:val="auto"/>
          <w:sz w:val="24"/>
          <w:szCs w:val="24"/>
          <w:lang w:val="en-US" w:eastAsia="zh-CN"/>
        </w:rPr>
      </w:pPr>
    </w:p>
    <w:p w14:paraId="3DFCBC24">
      <w:pPr>
        <w:keepNext w:val="0"/>
        <w:keepLines w:val="0"/>
        <w:pageBreakBefore w:val="0"/>
        <w:widowControl w:val="0"/>
        <w:numPr>
          <w:ilvl w:val="0"/>
          <w:numId w:val="2"/>
        </w:numPr>
        <w:tabs>
          <w:tab w:val="left" w:pos="0"/>
          <w:tab w:val="left" w:pos="567"/>
        </w:tabs>
        <w:kinsoku/>
        <w:wordWrap/>
        <w:overflowPunct/>
        <w:topLinePunct w:val="0"/>
        <w:autoSpaceDE/>
        <w:autoSpaceDN/>
        <w:bidi w:val="0"/>
        <w:adjustRightInd/>
        <w:snapToGrid/>
        <w:spacing w:line="360" w:lineRule="auto"/>
        <w:ind w:left="255" w:hanging="255"/>
        <w:textAlignment w:val="auto"/>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甲方开票信息：</w:t>
      </w:r>
    </w:p>
    <w:p w14:paraId="4D93AE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抬头：</w:t>
      </w:r>
    </w:p>
    <w:p w14:paraId="08DD1B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税号： </w:t>
      </w:r>
    </w:p>
    <w:p w14:paraId="424C6B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账号：</w:t>
      </w:r>
    </w:p>
    <w:p w14:paraId="2A3EC8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color w:val="auto"/>
          <w:sz w:val="24"/>
          <w:szCs w:val="24"/>
          <w:highlight w:val="none"/>
          <w:lang w:val="en-US" w:eastAsia="zh-CN"/>
        </w:rPr>
        <w:t>开户行：</w:t>
      </w:r>
    </w:p>
    <w:p w14:paraId="115452F6">
      <w:pPr>
        <w:keepNext w:val="0"/>
        <w:keepLines w:val="0"/>
        <w:pageBreakBefore w:val="0"/>
        <w:widowControl w:val="0"/>
        <w:numPr>
          <w:ilvl w:val="0"/>
          <w:numId w:val="2"/>
        </w:numPr>
        <w:tabs>
          <w:tab w:val="left" w:pos="0"/>
          <w:tab w:val="left" w:pos="567"/>
        </w:tabs>
        <w:kinsoku/>
        <w:wordWrap/>
        <w:overflowPunct/>
        <w:topLinePunct w:val="0"/>
        <w:autoSpaceDE/>
        <w:autoSpaceDN/>
        <w:bidi w:val="0"/>
        <w:adjustRightInd/>
        <w:snapToGrid/>
        <w:spacing w:line="360" w:lineRule="auto"/>
        <w:ind w:left="255" w:hanging="255"/>
        <w:textAlignment w:val="auto"/>
        <w:outlineLvl w:val="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合同要求：</w:t>
      </w:r>
    </w:p>
    <w:p w14:paraId="02D58EE2">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乙方应遵守项目进度要求，按照本合同的约定向甲方提供相关产品，乙方保证其所提供的系统功能满足甲方招标要求且运行正常，</w:t>
      </w:r>
      <w:r>
        <w:rPr>
          <w:rFonts w:hint="eastAsia" w:ascii="宋体" w:hAnsi="宋体" w:eastAsia="宋体" w:cs="宋体"/>
          <w:bCs/>
          <w:sz w:val="24"/>
          <w:highlight w:val="none"/>
          <w:lang w:val="en-US" w:eastAsia="zh-CN"/>
        </w:rPr>
        <w:t>甲方购买软件使用权，乙方需提供软件的底层管理数据，方便甲方数据维护。</w:t>
      </w:r>
    </w:p>
    <w:p w14:paraId="27236372">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乙方进行整个系统全面的测试，测试方案提交给甲方认定，认定后由乙方负责组织实施，甲方协助和提供配合。</w:t>
      </w:r>
    </w:p>
    <w:p w14:paraId="44CF093D">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bCs/>
          <w:kern w:val="2"/>
          <w:sz w:val="24"/>
          <w:szCs w:val="24"/>
          <w:highlight w:val="none"/>
          <w:lang w:val="en-US" w:eastAsia="zh-CN" w:bidi="ar-SA"/>
        </w:rPr>
        <w:t>乙方应确保甲方需求的实现，系统投入运行后能达到预定的功能要求和技术指标。</w:t>
      </w:r>
    </w:p>
    <w:p w14:paraId="7ECD1958">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w:t>
      </w:r>
      <w:r>
        <w:rPr>
          <w:rFonts w:hint="eastAsia" w:ascii="宋体" w:hAnsi="宋体" w:eastAsia="宋体" w:cs="宋体"/>
          <w:color w:val="auto"/>
          <w:sz w:val="24"/>
          <w:szCs w:val="24"/>
          <w:highlight w:val="none"/>
        </w:rPr>
        <w:t>方在</w:t>
      </w:r>
      <w:r>
        <w:rPr>
          <w:rFonts w:hint="eastAsia" w:ascii="宋体" w:hAnsi="宋体" w:eastAsia="宋体" w:cs="宋体"/>
          <w:color w:val="auto"/>
          <w:sz w:val="24"/>
          <w:szCs w:val="24"/>
          <w:highlight w:val="none"/>
          <w:lang w:val="en-US" w:eastAsia="zh-CN"/>
        </w:rPr>
        <w:t>实施过程中</w:t>
      </w:r>
      <w:r>
        <w:rPr>
          <w:rFonts w:hint="eastAsia" w:ascii="宋体" w:hAnsi="宋体" w:eastAsia="宋体" w:cs="宋体"/>
          <w:color w:val="auto"/>
          <w:sz w:val="24"/>
          <w:szCs w:val="24"/>
          <w:highlight w:val="none"/>
        </w:rPr>
        <w:t>，应及时向甲方沟通，如有需求变更，经双方</w:t>
      </w:r>
      <w:r>
        <w:rPr>
          <w:rFonts w:hint="eastAsia" w:ascii="宋体" w:hAnsi="宋体" w:eastAsia="宋体" w:cs="宋体"/>
          <w:color w:val="auto"/>
          <w:sz w:val="24"/>
          <w:szCs w:val="24"/>
          <w:highlight w:val="none"/>
          <w:lang w:val="en-US" w:eastAsia="zh-CN"/>
        </w:rPr>
        <w:t>协商</w:t>
      </w:r>
      <w:r>
        <w:rPr>
          <w:rFonts w:hint="eastAsia" w:ascii="宋体" w:hAnsi="宋体" w:eastAsia="宋体" w:cs="宋体"/>
          <w:color w:val="auto"/>
          <w:sz w:val="24"/>
          <w:szCs w:val="24"/>
          <w:highlight w:val="none"/>
        </w:rPr>
        <w:t>确认后应及时进行内容的调整。</w:t>
      </w:r>
    </w:p>
    <w:p w14:paraId="443E0E54">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在系统</w:t>
      </w:r>
      <w:r>
        <w:rPr>
          <w:rFonts w:hint="eastAsia" w:ascii="宋体" w:hAnsi="宋体" w:eastAsia="宋体" w:cs="宋体"/>
          <w:color w:val="000000"/>
          <w:sz w:val="24"/>
          <w:szCs w:val="24"/>
          <w:highlight w:val="none"/>
          <w:lang w:val="en-US" w:eastAsia="zh-CN"/>
        </w:rPr>
        <w:t>实施</w:t>
      </w:r>
      <w:r>
        <w:rPr>
          <w:rFonts w:hint="eastAsia" w:ascii="宋体" w:hAnsi="宋体" w:eastAsia="宋体" w:cs="宋体"/>
          <w:color w:val="000000"/>
          <w:sz w:val="24"/>
          <w:szCs w:val="24"/>
          <w:highlight w:val="none"/>
        </w:rPr>
        <w:t>过程中，乙方必须遵守甲方的所有安全管理规定，应保障系统内人员信息</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消息等</w:t>
      </w:r>
      <w:r>
        <w:rPr>
          <w:rFonts w:hint="eastAsia" w:ascii="宋体" w:hAnsi="宋体" w:eastAsia="宋体" w:cs="宋体"/>
          <w:color w:val="000000"/>
          <w:sz w:val="24"/>
          <w:szCs w:val="24"/>
          <w:highlight w:val="none"/>
        </w:rPr>
        <w:t>数据安全，确保系统内的数据信息不会</w:t>
      </w:r>
      <w:r>
        <w:rPr>
          <w:rFonts w:hint="eastAsia" w:ascii="宋体" w:hAnsi="宋体" w:eastAsia="宋体" w:cs="宋体"/>
          <w:color w:val="000000"/>
          <w:sz w:val="24"/>
          <w:szCs w:val="24"/>
          <w:highlight w:val="none"/>
          <w:lang w:val="en-US" w:eastAsia="zh-CN"/>
        </w:rPr>
        <w:t>因</w:t>
      </w:r>
      <w:r>
        <w:rPr>
          <w:rFonts w:hint="eastAsia" w:ascii="宋体" w:hAnsi="宋体" w:eastAsia="宋体" w:cs="宋体"/>
          <w:color w:val="000000"/>
          <w:sz w:val="24"/>
          <w:szCs w:val="24"/>
          <w:highlight w:val="none"/>
        </w:rPr>
        <w:t>非人为因素导致数据丢失、变更或泄露</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如违反则责任由乙方承担。</w:t>
      </w:r>
    </w:p>
    <w:p w14:paraId="17D691E0">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乙方保证其开发完成的软件系统不侵犯任何第三方的知识产权。若甲方因使用乙方提供的软件及相关产品而受到侵权指控，由乙方承担责任和费用，同时赔偿因此给甲方造成的全部损失。</w:t>
      </w:r>
    </w:p>
    <w:p w14:paraId="20227D32">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项目验收前，乙方应对甲方有关人员分别进行系统的技术指导。包括</w:t>
      </w:r>
      <w:r>
        <w:rPr>
          <w:rFonts w:hint="eastAsia" w:ascii="宋体" w:hAnsi="宋体" w:eastAsia="宋体" w:cs="宋体"/>
          <w:color w:val="000000"/>
          <w:sz w:val="24"/>
          <w:szCs w:val="24"/>
          <w:highlight w:val="none"/>
          <w:lang w:val="en-US" w:eastAsia="zh-CN"/>
        </w:rPr>
        <w:t>并不限于</w:t>
      </w:r>
      <w:r>
        <w:rPr>
          <w:rFonts w:hint="eastAsia" w:ascii="宋体" w:hAnsi="宋体" w:eastAsia="宋体" w:cs="宋体"/>
          <w:color w:val="000000"/>
          <w:sz w:val="24"/>
          <w:szCs w:val="24"/>
          <w:highlight w:val="none"/>
        </w:rPr>
        <w:t>：系统架构、常见故障诊断和排除技术</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系统环境</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系统操作、系统设计思想和功能现状日常维护管理相关注意事项、操作步骤</w:t>
      </w:r>
      <w:r>
        <w:rPr>
          <w:rFonts w:hint="eastAsia" w:ascii="宋体" w:hAnsi="宋体" w:eastAsia="宋体" w:cs="宋体"/>
          <w:color w:val="000000"/>
          <w:sz w:val="24"/>
          <w:szCs w:val="24"/>
          <w:highlight w:val="none"/>
          <w:lang w:val="en-US" w:eastAsia="zh-CN"/>
        </w:rPr>
        <w:t>等</w:t>
      </w:r>
      <w:r>
        <w:rPr>
          <w:rFonts w:hint="eastAsia" w:ascii="宋体" w:hAnsi="宋体" w:eastAsia="宋体" w:cs="宋体"/>
          <w:color w:val="000000"/>
          <w:sz w:val="24"/>
          <w:szCs w:val="24"/>
          <w:highlight w:val="none"/>
        </w:rPr>
        <w:t>。</w:t>
      </w:r>
    </w:p>
    <w:p w14:paraId="2E389C91">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系统上线后运行维护过程中如发现有安全漏洞，则乙方应</w:t>
      </w:r>
      <w:r>
        <w:rPr>
          <w:rFonts w:hint="eastAsia" w:ascii="宋体" w:hAnsi="宋体" w:eastAsia="宋体" w:cs="宋体"/>
          <w:color w:val="000000"/>
          <w:sz w:val="24"/>
          <w:szCs w:val="24"/>
          <w:highlight w:val="none"/>
          <w:lang w:val="en-US" w:eastAsia="zh-CN"/>
        </w:rPr>
        <w:t>第一时间</w:t>
      </w:r>
      <w:r>
        <w:rPr>
          <w:rFonts w:hint="eastAsia" w:ascii="宋体" w:hAnsi="宋体" w:eastAsia="宋体" w:cs="宋体"/>
          <w:color w:val="000000"/>
          <w:sz w:val="24"/>
          <w:szCs w:val="24"/>
          <w:highlight w:val="none"/>
        </w:rPr>
        <w:t>远程或前往甲方现场进行修复。</w:t>
      </w:r>
    </w:p>
    <w:p w14:paraId="24889F85">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trike w:val="0"/>
          <w:color w:val="auto"/>
          <w:sz w:val="24"/>
          <w:szCs w:val="24"/>
          <w:highlight w:val="none"/>
          <w:lang w:val="en-US" w:eastAsia="zh-CN"/>
        </w:rPr>
        <w:t>供应商应交付</w:t>
      </w:r>
      <w:r>
        <w:rPr>
          <w:rFonts w:hint="eastAsia" w:ascii="宋体" w:hAnsi="宋体" w:eastAsia="宋体" w:cs="宋体"/>
          <w:color w:val="auto"/>
          <w:sz w:val="24"/>
          <w:szCs w:val="24"/>
          <w:highlight w:val="none"/>
        </w:rPr>
        <w:t>符合中华人民共和国</w:t>
      </w:r>
      <w:r>
        <w:rPr>
          <w:rFonts w:hint="eastAsia" w:ascii="宋体" w:hAnsi="宋体" w:eastAsia="宋体" w:cs="宋体"/>
          <w:color w:val="auto"/>
          <w:sz w:val="24"/>
          <w:szCs w:val="24"/>
          <w:highlight w:val="none"/>
          <w:lang w:val="en-US" w:eastAsia="zh-CN"/>
        </w:rPr>
        <w:t>信息系统集成、信息系统安全保护相关</w:t>
      </w:r>
      <w:r>
        <w:rPr>
          <w:rFonts w:hint="eastAsia" w:ascii="宋体" w:hAnsi="宋体" w:eastAsia="宋体" w:cs="宋体"/>
          <w:color w:val="auto"/>
          <w:sz w:val="24"/>
          <w:szCs w:val="24"/>
          <w:highlight w:val="none"/>
        </w:rPr>
        <w:t>国家标准或行业标准。</w:t>
      </w:r>
    </w:p>
    <w:p w14:paraId="55CF0F51">
      <w:pPr>
        <w:keepNext w:val="0"/>
        <w:keepLines w:val="0"/>
        <w:pageBreakBefore w:val="0"/>
        <w:widowControl w:val="0"/>
        <w:numPr>
          <w:ilvl w:val="0"/>
          <w:numId w:val="2"/>
        </w:numPr>
        <w:tabs>
          <w:tab w:val="left" w:pos="0"/>
          <w:tab w:val="left" w:pos="567"/>
        </w:tabs>
        <w:kinsoku/>
        <w:wordWrap/>
        <w:overflowPunct/>
        <w:topLinePunct w:val="0"/>
        <w:autoSpaceDE/>
        <w:autoSpaceDN/>
        <w:bidi w:val="0"/>
        <w:adjustRightInd/>
        <w:snapToGrid/>
        <w:spacing w:line="360" w:lineRule="auto"/>
        <w:ind w:left="255" w:hanging="255"/>
        <w:textAlignment w:val="auto"/>
        <w:outlineLvl w:val="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安装调试及验收：</w:t>
      </w:r>
    </w:p>
    <w:p w14:paraId="0634FC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color w:val="000000"/>
          <w:sz w:val="24"/>
          <w:szCs w:val="24"/>
          <w:highlight w:val="none"/>
          <w:lang w:val="en-US" w:eastAsia="zh-CN"/>
        </w:rPr>
        <w:t>在合同签订后，双方需要明确项目负责人，项目负责人需对项目全过程进行负责，协调双方人员有序推动项目进度。如甲乙双方任意一方未明确项目负责人，且导致项目延期或需求不明确，责任由相关方负责。</w:t>
      </w:r>
    </w:p>
    <w:p w14:paraId="294FE8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color w:val="000000"/>
          <w:sz w:val="24"/>
          <w:szCs w:val="24"/>
          <w:highlight w:val="none"/>
          <w:lang w:val="en-US" w:eastAsia="zh-CN"/>
        </w:rPr>
        <w:t>部署实施期间，如因甲方现场网络问题或其他非乙方原因导致工期延长，项目期限顺延。</w:t>
      </w:r>
    </w:p>
    <w:p w14:paraId="77BD5E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2"/>
          <w:sz w:val="24"/>
          <w:szCs w:val="24"/>
          <w:lang w:val="en-US" w:eastAsia="zh-CN" w:bidi="ar-SA"/>
        </w:rPr>
        <w:t>3、</w:t>
      </w:r>
      <w:r>
        <w:rPr>
          <w:rFonts w:hint="eastAsia" w:ascii="宋体" w:hAnsi="宋体" w:eastAsia="宋体" w:cs="宋体"/>
          <w:color w:val="000000"/>
          <w:sz w:val="24"/>
          <w:szCs w:val="24"/>
          <w:highlight w:val="none"/>
          <w:lang w:val="en-US" w:eastAsia="zh-CN"/>
        </w:rPr>
        <w:t>甲方需要积极配合乙方实施部署工作，包括现场环境确认、资源协调等。</w:t>
      </w:r>
    </w:p>
    <w:p w14:paraId="4495F2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2"/>
          <w:sz w:val="24"/>
          <w:szCs w:val="24"/>
          <w:lang w:val="en-US" w:eastAsia="zh-CN" w:bidi="ar-SA"/>
        </w:rPr>
        <w:t>4、</w:t>
      </w:r>
      <w:r>
        <w:rPr>
          <w:rFonts w:hint="eastAsia" w:ascii="宋体" w:hAnsi="宋体" w:eastAsia="宋体" w:cs="宋体"/>
          <w:color w:val="000000"/>
          <w:sz w:val="24"/>
          <w:szCs w:val="24"/>
          <w:highlight w:val="none"/>
          <w:lang w:val="en-US" w:eastAsia="zh-CN"/>
        </w:rPr>
        <w:t>甲方需要积极配合乙方做系统培训，组织有关人员、培训场地和设备设施，组织开展系统培训。</w:t>
      </w:r>
    </w:p>
    <w:p w14:paraId="0EC555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5、</w:t>
      </w:r>
      <w:r>
        <w:rPr>
          <w:rFonts w:hint="eastAsia" w:ascii="宋体" w:hAnsi="宋体" w:eastAsia="宋体" w:cs="宋体"/>
          <w:color w:val="000000"/>
          <w:sz w:val="24"/>
          <w:szCs w:val="24"/>
          <w:highlight w:val="none"/>
          <w:lang w:val="en-US" w:eastAsia="zh-CN"/>
        </w:rPr>
        <w:t>实施部</w:t>
      </w:r>
      <w:r>
        <w:rPr>
          <w:rFonts w:hint="eastAsia" w:ascii="宋体" w:hAnsi="宋体" w:eastAsia="宋体" w:cs="宋体"/>
          <w:color w:val="auto"/>
          <w:sz w:val="24"/>
          <w:szCs w:val="24"/>
          <w:highlight w:val="none"/>
          <w:lang w:val="en-US" w:eastAsia="zh-CN"/>
        </w:rPr>
        <w:t>署及培训完毕后，系统上线试运行，试运行期满八个月后，试运行期内系统无重大事故，且系统运行稳定，乙方可申请对项目进行验收。</w:t>
      </w:r>
    </w:p>
    <w:p w14:paraId="6F4476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6、</w:t>
      </w:r>
      <w:r>
        <w:rPr>
          <w:rFonts w:hint="eastAsia" w:ascii="宋体" w:hAnsi="宋体" w:eastAsia="宋体" w:cs="宋体"/>
          <w:color w:val="auto"/>
          <w:sz w:val="24"/>
          <w:szCs w:val="24"/>
          <w:highlight w:val="none"/>
          <w:lang w:val="en-US" w:eastAsia="zh-CN"/>
        </w:rPr>
        <w:t>乙方按照合同约定内容建设完成且通过试运行后，向甲方提起验收申请，双方对建设成果共同评定、确认验收。如果存在约定建设内容不符合验收要求，由乙方按</w:t>
      </w:r>
      <w:r>
        <w:rPr>
          <w:rFonts w:hint="eastAsia" w:ascii="宋体" w:hAnsi="宋体" w:eastAsia="宋体" w:cs="宋体"/>
          <w:strike w:val="0"/>
          <w:color w:val="auto"/>
          <w:sz w:val="24"/>
          <w:szCs w:val="24"/>
          <w:highlight w:val="none"/>
          <w:lang w:val="en-US" w:eastAsia="zh-CN"/>
        </w:rPr>
        <w:t>《功能确认单》</w:t>
      </w:r>
      <w:r>
        <w:rPr>
          <w:rFonts w:hint="eastAsia" w:ascii="宋体" w:hAnsi="宋体" w:eastAsia="宋体" w:cs="宋体"/>
          <w:color w:val="auto"/>
          <w:sz w:val="24"/>
          <w:szCs w:val="24"/>
          <w:highlight w:val="none"/>
          <w:lang w:val="en-US" w:eastAsia="zh-CN"/>
        </w:rPr>
        <w:t>约定内容对系统进行调整优化，完成调整后重新提交验收。验收以双方签字盖章生效。</w:t>
      </w:r>
    </w:p>
    <w:p w14:paraId="33473099">
      <w:pPr>
        <w:keepNext w:val="0"/>
        <w:keepLines w:val="0"/>
        <w:pageBreakBefore w:val="0"/>
        <w:widowControl w:val="0"/>
        <w:numPr>
          <w:ilvl w:val="0"/>
          <w:numId w:val="2"/>
        </w:numPr>
        <w:tabs>
          <w:tab w:val="left" w:pos="0"/>
          <w:tab w:val="left" w:pos="567"/>
        </w:tabs>
        <w:kinsoku/>
        <w:wordWrap/>
        <w:overflowPunct/>
        <w:topLinePunct w:val="0"/>
        <w:autoSpaceDE/>
        <w:autoSpaceDN/>
        <w:bidi w:val="0"/>
        <w:adjustRightInd/>
        <w:snapToGrid/>
        <w:spacing w:line="360" w:lineRule="auto"/>
        <w:ind w:left="255" w:hanging="255"/>
        <w:textAlignment w:val="auto"/>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sz w:val="24"/>
          <w:szCs w:val="24"/>
          <w:highlight w:val="none"/>
          <w:lang w:val="en-US" w:eastAsia="zh-CN"/>
        </w:rPr>
        <w:t>质量保证和售后服务：</w:t>
      </w:r>
    </w:p>
    <w:p w14:paraId="54CF2026">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150" w:leftChars="0" w:firstLine="48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本合同货物（包括软件）免费服务期为</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年，维保开始日期以系统验收通过之日开始计算；在免费服务期内，乙方不收取所提供的维护服务费用。</w:t>
      </w:r>
    </w:p>
    <w:p w14:paraId="26581F4B">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150" w:leftChars="0" w:firstLine="48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维保内容包括：</w:t>
      </w:r>
    </w:p>
    <w:p w14:paraId="2794B6F6">
      <w:pPr>
        <w:numPr>
          <w:ilvl w:val="-1"/>
          <w:numId w:val="0"/>
        </w:numPr>
        <w:adjustRightInd w:val="0"/>
        <w:snapToGrid w:val="0"/>
        <w:spacing w:line="360" w:lineRule="auto"/>
        <w:ind w:firstLine="720" w:firstLineChars="300"/>
        <w:rPr>
          <w:rFonts w:hint="eastAsia" w:asciiTheme="minorEastAsia" w:hAnsiTheme="minorEastAsia" w:eastAsiaTheme="minorEastAsia" w:cstheme="minorEastAsia"/>
          <w:b/>
          <w:color w:val="auto"/>
          <w:sz w:val="24"/>
          <w:szCs w:val="24"/>
          <w:lang w:val="en-US" w:eastAsia="zh-CN"/>
        </w:rPr>
      </w:pPr>
      <w:r>
        <w:rPr>
          <w:rFonts w:hint="eastAsia" w:ascii="宋体" w:hAnsi="宋体" w:eastAsia="宋体" w:cs="宋体"/>
          <w:color w:val="auto"/>
          <w:sz w:val="24"/>
          <w:szCs w:val="24"/>
          <w:highlight w:val="none"/>
          <w:lang w:val="en-US" w:eastAsia="zh-CN"/>
        </w:rPr>
        <w:t>咨询：</w:t>
      </w:r>
      <w:r>
        <w:rPr>
          <w:rFonts w:hint="eastAsia" w:ascii="宋体" w:hAnsi="宋体" w:eastAsia="宋体" w:cs="宋体"/>
          <w:color w:val="auto"/>
          <w:sz w:val="24"/>
          <w:szCs w:val="24"/>
          <w:highlight w:val="none"/>
        </w:rPr>
        <w:t>免费</w:t>
      </w:r>
      <w:r>
        <w:rPr>
          <w:rFonts w:hint="eastAsia" w:ascii="宋体" w:hAnsi="宋体" w:eastAsia="宋体" w:cs="宋体"/>
          <w:color w:val="auto"/>
          <w:sz w:val="24"/>
          <w:szCs w:val="24"/>
          <w:highlight w:val="none"/>
          <w:lang w:val="en-US" w:eastAsia="zh-CN"/>
        </w:rPr>
        <w:t>服务期内，乙方提供各种与产品相关的免费技术咨询服务，包括热线电话、电子邮件（7×24）、传真等方式。承诺</w:t>
      </w:r>
      <w:r>
        <w:rPr>
          <w:rFonts w:hint="eastAsia" w:ascii="宋体" w:hAnsi="宋体" w:eastAsia="宋体" w:cs="宋体"/>
          <w:color w:val="auto"/>
          <w:sz w:val="24"/>
          <w:szCs w:val="24"/>
          <w:highlight w:val="none"/>
        </w:rPr>
        <w:t>紧急问题（比如系统无法访问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系统发现安全漏洞、系统被病毒攻击、系统遭受人为破坏、服务器或其他硬件故障、应用软件故障、数据被篡改、假冒、泄漏等</w:t>
      </w:r>
      <w:r>
        <w:rPr>
          <w:rFonts w:hint="eastAsia" w:ascii="宋体" w:hAnsi="宋体" w:eastAsia="宋体" w:cs="宋体"/>
          <w:color w:val="auto"/>
          <w:sz w:val="24"/>
          <w:szCs w:val="24"/>
          <w:highlight w:val="none"/>
        </w:rPr>
        <w:t>），</w:t>
      </w:r>
      <w:r>
        <w:rPr>
          <w:rFonts w:hint="eastAsia" w:asciiTheme="minorEastAsia" w:hAnsiTheme="minorEastAsia" w:eastAsiaTheme="minorEastAsia" w:cstheme="minorEastAsia"/>
          <w:b/>
          <w:color w:val="auto"/>
          <w:sz w:val="24"/>
          <w:szCs w:val="24"/>
          <w:lang w:val="en-US" w:eastAsia="zh-CN"/>
        </w:rPr>
        <w:t>提供7*24小时电话服务，如需现场处理在1小时内到达现场。故障处理原则上不能超过3小时。如3小时内无法处理，则需处具书面说明，报采购人备案。</w:t>
      </w:r>
    </w:p>
    <w:p w14:paraId="4A68F312">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软件迁移与二次安装：主要针对硬件环境变更或其他原因需要重新安装、软件迁移时，乙方实施人员可在异地通过远程访问的方式完成所供应软件的二次安装；也可以经双方协商达成共识后，由乙方派出技术工程师作现场技术指导安装或直接安装。</w:t>
      </w:r>
    </w:p>
    <w:p w14:paraId="279150F6">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软件升级：在</w:t>
      </w:r>
      <w:r>
        <w:rPr>
          <w:rFonts w:hint="eastAsia" w:ascii="宋体" w:hAnsi="宋体" w:eastAsia="宋体" w:cs="宋体"/>
          <w:color w:val="auto"/>
          <w:sz w:val="24"/>
          <w:szCs w:val="24"/>
          <w:highlight w:val="none"/>
        </w:rPr>
        <w:t>免费</w:t>
      </w:r>
      <w:r>
        <w:rPr>
          <w:rFonts w:hint="eastAsia" w:ascii="宋体" w:hAnsi="宋体" w:eastAsia="宋体" w:cs="宋体"/>
          <w:color w:val="auto"/>
          <w:sz w:val="24"/>
          <w:szCs w:val="24"/>
          <w:highlight w:val="none"/>
          <w:lang w:val="en-US" w:eastAsia="zh-CN"/>
        </w:rPr>
        <w:t>服务期内，无偿提供版本升级、产品换代更新。</w:t>
      </w:r>
    </w:p>
    <w:p w14:paraId="76017B3A">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状态报告和故障预测：在</w:t>
      </w:r>
      <w:r>
        <w:rPr>
          <w:rFonts w:hint="eastAsia" w:ascii="宋体" w:hAnsi="宋体" w:eastAsia="宋体" w:cs="宋体"/>
          <w:color w:val="auto"/>
          <w:sz w:val="24"/>
          <w:szCs w:val="24"/>
          <w:highlight w:val="none"/>
        </w:rPr>
        <w:t>免费</w:t>
      </w:r>
      <w:r>
        <w:rPr>
          <w:rFonts w:hint="eastAsia" w:ascii="宋体" w:hAnsi="宋体" w:eastAsia="宋体" w:cs="宋体"/>
          <w:color w:val="auto"/>
          <w:sz w:val="24"/>
          <w:szCs w:val="24"/>
          <w:highlight w:val="none"/>
          <w:lang w:val="en-US" w:eastAsia="zh-CN"/>
        </w:rPr>
        <w:t>服务期内，在征得甲方同意的条件下，乙方工程师可定期通过远程方式检测用户系统的运行状况，或现场对系统进行检查，对应用系统现状做出评估，预测可能出现的故障，并提出预防策略以及提高系统软件性能的优化建议。对于发现的系统本身的故障，乙方需要进行优化处理，对于环境等其他非系统问题，乙方需配合甲方协助处理。</w:t>
      </w:r>
    </w:p>
    <w:p w14:paraId="276F2059">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优化系统：虽然在系统安装调试时做过性能优化，但在实际运行时，乙方还将根据业务运行情况、网络情况继续对应用软件平台的系统参数提供优化建议，确保系统随着业务的发展能够持续、稳定、高效地运行。</w:t>
      </w:r>
    </w:p>
    <w:p w14:paraId="7467EAD2">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扩容与改造建议：当甲方软件功能扩充或网络性能、应用系统性能下降时，乙方会主动或根据甲方要求，分析系统现状或故障情况，在深入了解甲方目前及未来几年内的需求后，对网络扩容和改造、应用系统平台建设、应用系统改造提出合理化建议，并协助甲方完成优化。</w:t>
      </w:r>
    </w:p>
    <w:p w14:paraId="27E3832E">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服务期期间，乙方有责任指导和培训甲方相关人员系统的使用及常用维修操作，重大问题需安排工程师现场解决。</w:t>
      </w:r>
    </w:p>
    <w:p w14:paraId="16E29C27">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合同外需求：合同外的超额新需求，根据实际需求评估工作量，按照2000元/人天的计费标准核计费用。</w:t>
      </w:r>
    </w:p>
    <w:p w14:paraId="54A4A8B3">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150" w:leftChars="0" w:firstLine="480" w:firstLineChars="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免费服务期届满后为有偿服务期，乙方收取不超过合同总金额10%的年化运维服务费用。</w:t>
      </w:r>
    </w:p>
    <w:p w14:paraId="1A002D0E">
      <w:pPr>
        <w:keepNext w:val="0"/>
        <w:keepLines w:val="0"/>
        <w:pageBreakBefore w:val="0"/>
        <w:widowControl w:val="0"/>
        <w:numPr>
          <w:ilvl w:val="0"/>
          <w:numId w:val="2"/>
        </w:numPr>
        <w:tabs>
          <w:tab w:val="left" w:pos="0"/>
          <w:tab w:val="left" w:pos="567"/>
        </w:tabs>
        <w:kinsoku/>
        <w:wordWrap/>
        <w:overflowPunct/>
        <w:topLinePunct w:val="0"/>
        <w:autoSpaceDE/>
        <w:autoSpaceDN/>
        <w:bidi w:val="0"/>
        <w:adjustRightInd/>
        <w:snapToGrid/>
        <w:spacing w:line="360" w:lineRule="auto"/>
        <w:ind w:left="255" w:hanging="255"/>
        <w:textAlignment w:val="auto"/>
        <w:outlineLvl w:val="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技术资料：</w:t>
      </w:r>
    </w:p>
    <w:p w14:paraId="65A7EFA5">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乙方应在供货同时向甲方提供所有有关本项目执行的技术文件。技术文件可以是手册、说明书或其他形式的文件资料。</w:t>
      </w:r>
    </w:p>
    <w:p w14:paraId="7977A0AA">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上述技术文件应包含保证甲方能够正确使用系统。</w:t>
      </w:r>
    </w:p>
    <w:p w14:paraId="271FD449">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乙方提供的技术文件的全部费用已包含在本项目货物价格中。</w:t>
      </w:r>
    </w:p>
    <w:p w14:paraId="13DF0485">
      <w:pPr>
        <w:keepNext w:val="0"/>
        <w:keepLines w:val="0"/>
        <w:pageBreakBefore w:val="0"/>
        <w:widowControl w:val="0"/>
        <w:numPr>
          <w:ilvl w:val="0"/>
          <w:numId w:val="2"/>
        </w:numPr>
        <w:tabs>
          <w:tab w:val="left" w:pos="0"/>
          <w:tab w:val="left" w:pos="567"/>
        </w:tabs>
        <w:kinsoku/>
        <w:wordWrap/>
        <w:overflowPunct/>
        <w:topLinePunct w:val="0"/>
        <w:autoSpaceDE/>
        <w:autoSpaceDN/>
        <w:bidi w:val="0"/>
        <w:adjustRightInd/>
        <w:snapToGrid/>
        <w:spacing w:line="360" w:lineRule="auto"/>
        <w:ind w:left="255" w:hanging="255"/>
        <w:textAlignment w:val="auto"/>
        <w:outlineLvl w:val="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知识产权：</w:t>
      </w:r>
    </w:p>
    <w:p w14:paraId="4CF0FEDF">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乙</w:t>
      </w:r>
      <w:r>
        <w:rPr>
          <w:rFonts w:hint="eastAsia" w:ascii="宋体" w:hAnsi="宋体" w:eastAsia="宋体" w:cs="宋体"/>
          <w:color w:val="000000"/>
          <w:sz w:val="24"/>
          <w:szCs w:val="24"/>
          <w:highlight w:val="none"/>
          <w:lang w:val="en-US" w:eastAsia="zh-CN"/>
        </w:rPr>
        <w:t>方应保证，甲方在中华人民共和国使用乙方所供货物时，免受第三方提出的任何权利要求（包括但不限于第三方提出的侵犯其专利权、商标权或其他知识产权的起诉）。如发生此类纠纷，由乙方承担一切责任。</w:t>
      </w:r>
    </w:p>
    <w:p w14:paraId="0D040D13">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报价应包含所有应向所有权人支付的专利权、商标权或其他知识产权的有关费用及税费。</w:t>
      </w:r>
    </w:p>
    <w:p w14:paraId="06AD31C5">
      <w:pPr>
        <w:keepNext w:val="0"/>
        <w:keepLines w:val="0"/>
        <w:pageBreakBefore w:val="0"/>
        <w:widowControl w:val="0"/>
        <w:numPr>
          <w:ilvl w:val="0"/>
          <w:numId w:val="2"/>
        </w:numPr>
        <w:tabs>
          <w:tab w:val="left" w:pos="0"/>
          <w:tab w:val="left" w:pos="567"/>
        </w:tabs>
        <w:kinsoku/>
        <w:wordWrap/>
        <w:overflowPunct/>
        <w:topLinePunct w:val="0"/>
        <w:autoSpaceDE/>
        <w:autoSpaceDN/>
        <w:bidi w:val="0"/>
        <w:adjustRightInd/>
        <w:snapToGrid/>
        <w:spacing w:line="360" w:lineRule="auto"/>
        <w:ind w:left="255" w:hanging="255"/>
        <w:textAlignment w:val="auto"/>
        <w:outlineLvl w:val="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产权与风险转移：</w:t>
      </w:r>
    </w:p>
    <w:p w14:paraId="55DFE3E2">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本合同软件系统的使用权，在验收合格并移交交付后由乙方转移至甲方，甲方具有软件的永久使用权。</w:t>
      </w:r>
    </w:p>
    <w:p w14:paraId="57F606B0">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000000"/>
          <w:sz w:val="24"/>
          <w:szCs w:val="24"/>
          <w:highlight w:val="none"/>
          <w:lang w:val="en-US" w:eastAsia="zh-CN"/>
        </w:rPr>
        <w:t>如</w:t>
      </w:r>
      <w:r>
        <w:rPr>
          <w:rFonts w:hint="eastAsia" w:ascii="宋体" w:hAnsi="宋体" w:eastAsia="宋体" w:cs="宋体"/>
          <w:color w:val="auto"/>
          <w:sz w:val="24"/>
          <w:szCs w:val="24"/>
          <w:highlight w:val="none"/>
          <w:lang w:val="en-US" w:eastAsia="zh-CN"/>
        </w:rPr>
        <w:t>系统不符合合同约定，甲方可以拒绝验收</w:t>
      </w:r>
      <w:r>
        <w:rPr>
          <w:rFonts w:hint="eastAsia" w:ascii="宋体" w:hAnsi="宋体" w:eastAsia="宋体" w:cs="宋体"/>
          <w:color w:val="auto"/>
          <w:sz w:val="24"/>
          <w:szCs w:val="24"/>
          <w:highlight w:val="none"/>
        </w:rPr>
        <w:t>。</w:t>
      </w:r>
    </w:p>
    <w:p w14:paraId="08C168CD">
      <w:pPr>
        <w:keepNext w:val="0"/>
        <w:keepLines w:val="0"/>
        <w:pageBreakBefore w:val="0"/>
        <w:widowControl w:val="0"/>
        <w:numPr>
          <w:ilvl w:val="0"/>
          <w:numId w:val="2"/>
        </w:numPr>
        <w:tabs>
          <w:tab w:val="left" w:pos="0"/>
          <w:tab w:val="left" w:pos="567"/>
        </w:tabs>
        <w:kinsoku/>
        <w:wordWrap/>
        <w:overflowPunct/>
        <w:topLinePunct w:val="0"/>
        <w:autoSpaceDE/>
        <w:autoSpaceDN/>
        <w:bidi w:val="0"/>
        <w:adjustRightInd/>
        <w:snapToGrid/>
        <w:spacing w:line="360" w:lineRule="auto"/>
        <w:ind w:left="255" w:hanging="255"/>
        <w:textAlignment w:val="auto"/>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违约责任：</w:t>
      </w:r>
    </w:p>
    <w:p w14:paraId="214963BD">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乙</w:t>
      </w:r>
      <w:r>
        <w:rPr>
          <w:rFonts w:hint="eastAsia" w:ascii="宋体" w:hAnsi="宋体" w:eastAsia="宋体" w:cs="宋体"/>
          <w:color w:val="auto"/>
          <w:sz w:val="24"/>
          <w:szCs w:val="24"/>
          <w:highlight w:val="none"/>
          <w:lang w:val="en-US" w:eastAsia="zh-CN"/>
        </w:rPr>
        <w:t>方交付的系统存在以下三种情形时构成违约并应承担相应违约责任：</w:t>
      </w:r>
    </w:p>
    <w:p w14:paraId="53963011">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firstLine="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存在质量问题，无法满足合同约定的要求；</w:t>
      </w:r>
    </w:p>
    <w:p w14:paraId="1C11BEDD">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firstLine="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未按合同约定的时间交付软件产品；</w:t>
      </w:r>
    </w:p>
    <w:p w14:paraId="65D5B7D4">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firstLine="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在合同履行过程中泄露了甲方的商业秘密。</w:t>
      </w:r>
    </w:p>
    <w:p w14:paraId="5CC0BBC2">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以上三类违约情形甲方有权拒收及单方面解除合同，并要求乙方返还预付款及进度款，并按照合同的10%赔偿违约金。</w:t>
      </w:r>
    </w:p>
    <w:p w14:paraId="4946A7F3">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甲方无正当理由拖延支付部分或全部货款超过60个自然日或无正当理由拒收货物，乙方有权向甲方提出解除合同，甲方已向乙方支付的合同预付款，乙方不予退还且有权自行支配、处分为履行本合同而准备的货物。</w:t>
      </w:r>
    </w:p>
    <w:p w14:paraId="3F5BDB87">
      <w:pPr>
        <w:keepNext w:val="0"/>
        <w:keepLines w:val="0"/>
        <w:pageBreakBefore w:val="0"/>
        <w:widowControl w:val="0"/>
        <w:numPr>
          <w:ilvl w:val="0"/>
          <w:numId w:val="2"/>
        </w:numPr>
        <w:tabs>
          <w:tab w:val="left" w:pos="0"/>
          <w:tab w:val="left" w:pos="567"/>
        </w:tabs>
        <w:kinsoku/>
        <w:wordWrap/>
        <w:overflowPunct/>
        <w:topLinePunct w:val="0"/>
        <w:autoSpaceDE/>
        <w:autoSpaceDN/>
        <w:bidi w:val="0"/>
        <w:adjustRightInd/>
        <w:snapToGrid/>
        <w:spacing w:line="360" w:lineRule="auto"/>
        <w:ind w:left="255" w:hanging="255"/>
        <w:textAlignment w:val="auto"/>
        <w:outlineLvl w:val="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争议的解决：</w:t>
      </w:r>
    </w:p>
    <w:p w14:paraId="131A95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合同执行过程中发生的任何争议，如双方不能通过友好协商解决，提交甲方所在地人民法院诉讼解决，按相关法律法规处理。</w:t>
      </w:r>
    </w:p>
    <w:p w14:paraId="1A479558">
      <w:pPr>
        <w:keepNext w:val="0"/>
        <w:keepLines w:val="0"/>
        <w:pageBreakBefore w:val="0"/>
        <w:widowControl w:val="0"/>
        <w:numPr>
          <w:ilvl w:val="0"/>
          <w:numId w:val="2"/>
        </w:numPr>
        <w:tabs>
          <w:tab w:val="left" w:pos="0"/>
          <w:tab w:val="left" w:pos="567"/>
        </w:tabs>
        <w:kinsoku/>
        <w:wordWrap/>
        <w:overflowPunct/>
        <w:topLinePunct w:val="0"/>
        <w:autoSpaceDE/>
        <w:autoSpaceDN/>
        <w:bidi w:val="0"/>
        <w:adjustRightInd/>
        <w:snapToGrid/>
        <w:spacing w:line="360" w:lineRule="auto"/>
        <w:ind w:left="255" w:hanging="255"/>
        <w:textAlignment w:val="auto"/>
        <w:outlineLvl w:val="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不可抗力：</w:t>
      </w:r>
    </w:p>
    <w:p w14:paraId="7B20BB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3D9C17A">
      <w:pPr>
        <w:keepNext w:val="0"/>
        <w:keepLines w:val="0"/>
        <w:pageBreakBefore w:val="0"/>
        <w:widowControl w:val="0"/>
        <w:numPr>
          <w:ilvl w:val="0"/>
          <w:numId w:val="2"/>
        </w:numPr>
        <w:tabs>
          <w:tab w:val="left" w:pos="0"/>
          <w:tab w:val="left" w:pos="567"/>
        </w:tabs>
        <w:kinsoku/>
        <w:wordWrap/>
        <w:overflowPunct/>
        <w:topLinePunct w:val="0"/>
        <w:autoSpaceDE/>
        <w:autoSpaceDN/>
        <w:bidi w:val="0"/>
        <w:adjustRightInd/>
        <w:snapToGrid/>
        <w:spacing w:line="360" w:lineRule="auto"/>
        <w:ind w:left="255" w:hanging="255"/>
        <w:textAlignment w:val="auto"/>
        <w:outlineLvl w:val="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其它：</w:t>
      </w:r>
    </w:p>
    <w:p w14:paraId="24356B35">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本合同所有附件、双方确认结果、</w:t>
      </w:r>
      <w:r>
        <w:rPr>
          <w:rFonts w:hint="eastAsia" w:ascii="宋体" w:hAnsi="宋体" w:cs="宋体"/>
          <w:color w:val="000000"/>
          <w:sz w:val="24"/>
          <w:szCs w:val="24"/>
          <w:highlight w:val="none"/>
          <w:lang w:val="en-US" w:eastAsia="zh-CN"/>
        </w:rPr>
        <w:t>成交</w:t>
      </w:r>
      <w:r>
        <w:rPr>
          <w:rFonts w:hint="eastAsia" w:ascii="宋体" w:hAnsi="宋体" w:eastAsia="宋体" w:cs="宋体"/>
          <w:color w:val="000000"/>
          <w:sz w:val="24"/>
          <w:szCs w:val="24"/>
          <w:highlight w:val="none"/>
          <w:lang w:val="en-US" w:eastAsia="zh-CN"/>
        </w:rPr>
        <w:t>通知书均为合同的有效组成部分，与本合同具有同等法律效力。</w:t>
      </w:r>
    </w:p>
    <w:p w14:paraId="6DC25A63">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在执行本合同的过程中，所有经双方签署确认的文件（包括会议纪要、补充协议、往来信函）即成为本合同的有效组成部分。</w:t>
      </w:r>
    </w:p>
    <w:p w14:paraId="5CB7A594">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除甲方事先书面同意外，乙方不得部分或全部转让其应履行的合同项下的义务。</w:t>
      </w:r>
    </w:p>
    <w:p w14:paraId="407AD771">
      <w:pPr>
        <w:keepNext w:val="0"/>
        <w:keepLines w:val="0"/>
        <w:pageBreakBefore w:val="0"/>
        <w:widowControl w:val="0"/>
        <w:numPr>
          <w:ilvl w:val="0"/>
          <w:numId w:val="2"/>
        </w:numPr>
        <w:tabs>
          <w:tab w:val="left" w:pos="0"/>
          <w:tab w:val="left" w:pos="567"/>
        </w:tabs>
        <w:kinsoku/>
        <w:wordWrap/>
        <w:overflowPunct/>
        <w:topLinePunct w:val="0"/>
        <w:autoSpaceDE/>
        <w:autoSpaceDN/>
        <w:bidi w:val="0"/>
        <w:adjustRightInd/>
        <w:snapToGrid/>
        <w:spacing w:line="360" w:lineRule="auto"/>
        <w:ind w:left="255" w:hanging="255"/>
        <w:textAlignment w:val="auto"/>
        <w:outlineLvl w:val="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保密责任：</w:t>
      </w:r>
    </w:p>
    <w:p w14:paraId="3840BA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双方应保守通过签订和履行本合同而获取的对方之商业及技术秘密，包括本合同文本，相关技术文件、相关数据，以及其他有关信息。任何一方违反上述约定的，应赔偿合同守约方的损失。本保密条款不因合同终止而终止。</w:t>
      </w:r>
    </w:p>
    <w:p w14:paraId="2D33EE1E">
      <w:pPr>
        <w:keepNext w:val="0"/>
        <w:keepLines w:val="0"/>
        <w:pageBreakBefore w:val="0"/>
        <w:widowControl w:val="0"/>
        <w:numPr>
          <w:ilvl w:val="0"/>
          <w:numId w:val="2"/>
        </w:numPr>
        <w:tabs>
          <w:tab w:val="left" w:pos="0"/>
          <w:tab w:val="left" w:pos="567"/>
        </w:tabs>
        <w:kinsoku/>
        <w:wordWrap/>
        <w:overflowPunct/>
        <w:topLinePunct w:val="0"/>
        <w:autoSpaceDE/>
        <w:autoSpaceDN/>
        <w:bidi w:val="0"/>
        <w:adjustRightInd/>
        <w:snapToGrid/>
        <w:spacing w:line="360" w:lineRule="auto"/>
        <w:ind w:left="255" w:hanging="255"/>
        <w:textAlignment w:val="auto"/>
        <w:outlineLvl w:val="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合同生效：</w:t>
      </w:r>
    </w:p>
    <w:p w14:paraId="6B9DD89B">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本合同自甲乙双方代表签字盖章之日起生效。</w:t>
      </w:r>
    </w:p>
    <w:p w14:paraId="2EBADE4F">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本合同一式伍份，合同各方各执贰份，招标代理机构留存壹份。各份合同文本具有同等法律效力。</w:t>
      </w:r>
    </w:p>
    <w:p w14:paraId="042E5733">
      <w:pPr>
        <w:numPr>
          <w:ilvl w:val="0"/>
          <w:numId w:val="2"/>
        </w:numPr>
        <w:tabs>
          <w:tab w:val="left" w:pos="0"/>
          <w:tab w:val="left" w:pos="567"/>
        </w:tabs>
        <w:spacing w:line="360" w:lineRule="auto"/>
        <w:ind w:left="255" w:hanging="255"/>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通知与送达</w:t>
      </w:r>
    </w:p>
    <w:p w14:paraId="5C6EB8AD">
      <w:pPr>
        <w:numPr>
          <w:ilvl w:val="0"/>
          <w:numId w:val="16"/>
        </w:numPr>
        <w:spacing w:line="360" w:lineRule="auto"/>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甲乙双方确认以下为各自的通知送达方式：</w:t>
      </w:r>
    </w:p>
    <w:p w14:paraId="6378B3BB">
      <w:pPr>
        <w:numPr>
          <w:ilvl w:val="0"/>
          <w:numId w:val="16"/>
        </w:numPr>
        <w:spacing w:line="360" w:lineRule="auto"/>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甲方</w:t>
      </w:r>
    </w:p>
    <w:p w14:paraId="0BEEF9A9">
      <w:pPr>
        <w:numPr>
          <w:ilvl w:val="0"/>
          <w:numId w:val="0"/>
        </w:numPr>
        <w:spacing w:line="360" w:lineRule="auto"/>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通讯地址：</w:t>
      </w:r>
    </w:p>
    <w:p w14:paraId="7EFC23A2">
      <w:pPr>
        <w:numPr>
          <w:ilvl w:val="0"/>
          <w:numId w:val="0"/>
        </w:numPr>
        <w:spacing w:line="360" w:lineRule="auto"/>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p>
    <w:p w14:paraId="7243CAA8">
      <w:pPr>
        <w:numPr>
          <w:ilvl w:val="0"/>
          <w:numId w:val="0"/>
        </w:numPr>
        <w:spacing w:line="360" w:lineRule="auto"/>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p w14:paraId="73B87197">
      <w:pPr>
        <w:numPr>
          <w:ilvl w:val="0"/>
          <w:numId w:val="0"/>
        </w:numPr>
        <w:spacing w:line="360" w:lineRule="auto"/>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电子邮箱：</w:t>
      </w:r>
    </w:p>
    <w:p w14:paraId="658C28EF">
      <w:pPr>
        <w:numPr>
          <w:ilvl w:val="0"/>
          <w:numId w:val="16"/>
        </w:numPr>
        <w:spacing w:line="360" w:lineRule="auto"/>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w:t>
      </w:r>
    </w:p>
    <w:p w14:paraId="07191321">
      <w:pPr>
        <w:numPr>
          <w:ilvl w:val="0"/>
          <w:numId w:val="0"/>
        </w:numPr>
        <w:spacing w:line="360" w:lineRule="auto"/>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通讯地址：</w:t>
      </w:r>
    </w:p>
    <w:p w14:paraId="1EDC8F0C">
      <w:pPr>
        <w:numPr>
          <w:ilvl w:val="0"/>
          <w:numId w:val="0"/>
        </w:numPr>
        <w:spacing w:line="360" w:lineRule="auto"/>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r>
        <w:rPr>
          <w:rFonts w:hint="eastAsia" w:ascii="宋体" w:hAnsi="宋体" w:eastAsia="宋体" w:cs="宋体"/>
          <w:color w:val="auto"/>
          <w:sz w:val="24"/>
          <w:szCs w:val="24"/>
          <w:highlight w:val="none"/>
          <w:lang w:val="en-US" w:eastAsia="zh-CN"/>
        </w:rPr>
        <w:tab/>
      </w:r>
    </w:p>
    <w:p w14:paraId="0F5D7846">
      <w:pPr>
        <w:numPr>
          <w:ilvl w:val="0"/>
          <w:numId w:val="0"/>
        </w:numPr>
        <w:spacing w:line="360" w:lineRule="auto"/>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p w14:paraId="71520DCF">
      <w:pPr>
        <w:numPr>
          <w:ilvl w:val="0"/>
          <w:numId w:val="0"/>
        </w:numPr>
        <w:spacing w:line="360" w:lineRule="auto"/>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电子邮箱：</w:t>
      </w:r>
    </w:p>
    <w:p w14:paraId="3EB026FD">
      <w:pPr>
        <w:numPr>
          <w:ilvl w:val="0"/>
          <w:numId w:val="16"/>
        </w:numPr>
        <w:spacing w:line="360" w:lineRule="auto"/>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本条约定的通知送达方式用于接收与本合同有关的通知、文件，同时也为双方发生争议时人民法院的诉讼法律文书之送达地址。</w:t>
      </w:r>
    </w:p>
    <w:p w14:paraId="79F3B454">
      <w:pPr>
        <w:numPr>
          <w:ilvl w:val="0"/>
          <w:numId w:val="16"/>
        </w:numPr>
        <w:spacing w:line="360" w:lineRule="auto"/>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甲乙双方承诺，上述确认的通知送达方式真实有效，如因确认的送达方式不准确或通知送达方式变更后未通知对方或拒绝签收等原因导致通知文件或司法机关法律文书被退回的，邮件退回之日即视为送达之日。</w:t>
      </w:r>
    </w:p>
    <w:p w14:paraId="2DC11E08">
      <w:pPr>
        <w:numPr>
          <w:ilvl w:val="0"/>
          <w:numId w:val="16"/>
        </w:numPr>
        <w:spacing w:line="360" w:lineRule="auto"/>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任何一方如变更通知送达方式的，需提前3日书面通知对方，变更通知送达对方前仍以本条约定的为准。</w:t>
      </w:r>
    </w:p>
    <w:p w14:paraId="5ADDBBB1">
      <w:pPr>
        <w:pStyle w:val="185"/>
        <w:rPr>
          <w:rFonts w:hint="eastAsia" w:ascii="宋体" w:hAnsi="宋体" w:eastAsia="宋体" w:cs="宋体"/>
          <w:sz w:val="24"/>
          <w:szCs w:val="24"/>
          <w:lang w:val="en-US" w:eastAsia="zh-CN"/>
        </w:rPr>
      </w:pPr>
    </w:p>
    <w:p w14:paraId="0200BCED">
      <w:pP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br w:type="page"/>
      </w:r>
    </w:p>
    <w:p w14:paraId="5DB8AB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p>
    <w:p w14:paraId="1AE25F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p>
    <w:tbl>
      <w:tblPr>
        <w:tblStyle w:val="37"/>
        <w:tblW w:w="93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50"/>
        <w:gridCol w:w="4793"/>
      </w:tblGrid>
      <w:tr w14:paraId="24628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550" w:type="dxa"/>
            <w:noWrap w:val="0"/>
            <w:vAlign w:val="center"/>
          </w:tcPr>
          <w:p w14:paraId="45B26540">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lang w:val="en-US" w:eastAsia="zh-CN"/>
              </w:rPr>
              <w:t>公章</w:t>
            </w:r>
            <w:r>
              <w:rPr>
                <w:rFonts w:hint="eastAsia" w:ascii="宋体" w:hAnsi="宋体" w:eastAsia="宋体" w:cs="宋体"/>
                <w:sz w:val="24"/>
                <w:szCs w:val="24"/>
                <w:highlight w:val="none"/>
              </w:rPr>
              <w:t>）：</w:t>
            </w:r>
          </w:p>
        </w:tc>
        <w:tc>
          <w:tcPr>
            <w:tcW w:w="4793" w:type="dxa"/>
            <w:noWrap w:val="0"/>
            <w:vAlign w:val="center"/>
          </w:tcPr>
          <w:p w14:paraId="20EE1079">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lang w:val="en-US" w:eastAsia="zh-CN"/>
              </w:rPr>
              <w:t>公</w:t>
            </w:r>
            <w:r>
              <w:rPr>
                <w:rFonts w:hint="eastAsia" w:ascii="宋体" w:hAnsi="宋体" w:eastAsia="宋体" w:cs="宋体"/>
                <w:sz w:val="24"/>
                <w:szCs w:val="24"/>
                <w:highlight w:val="none"/>
              </w:rPr>
              <w:t>章）：</w:t>
            </w:r>
          </w:p>
        </w:tc>
      </w:tr>
      <w:tr w14:paraId="37CCB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jc w:val="center"/>
        </w:trPr>
        <w:tc>
          <w:tcPr>
            <w:tcW w:w="4550" w:type="dxa"/>
            <w:noWrap w:val="0"/>
            <w:vAlign w:val="center"/>
          </w:tcPr>
          <w:p w14:paraId="68E50056">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统一社会信用代码</w:t>
            </w:r>
            <w:r>
              <w:rPr>
                <w:rFonts w:hint="eastAsia" w:ascii="宋体" w:hAnsi="宋体" w:eastAsia="宋体" w:cs="宋体"/>
                <w:sz w:val="24"/>
                <w:szCs w:val="24"/>
                <w:highlight w:val="none"/>
              </w:rPr>
              <w:t>：</w:t>
            </w:r>
          </w:p>
        </w:tc>
        <w:tc>
          <w:tcPr>
            <w:tcW w:w="4793" w:type="dxa"/>
            <w:shd w:val="clear" w:color="auto" w:fill="auto"/>
            <w:noWrap w:val="0"/>
            <w:vAlign w:val="center"/>
          </w:tcPr>
          <w:p w14:paraId="22862F92">
            <w:pPr>
              <w:spacing w:line="440" w:lineRule="exact"/>
              <w:rPr>
                <w:rFonts w:hint="eastAsia" w:ascii="宋体" w:hAnsi="宋体" w:eastAsia="宋体" w:cs="宋体"/>
                <w:sz w:val="24"/>
                <w:szCs w:val="24"/>
                <w:highlight w:val="none"/>
                <w:lang w:val="zh-CN" w:eastAsia="zh-CN" w:bidi="zh-CN"/>
              </w:rPr>
            </w:pPr>
            <w:r>
              <w:rPr>
                <w:rFonts w:hint="eastAsia" w:ascii="宋体" w:hAnsi="宋体" w:eastAsia="宋体" w:cs="宋体"/>
                <w:sz w:val="24"/>
                <w:szCs w:val="24"/>
                <w:highlight w:val="none"/>
                <w:lang w:val="en-US" w:eastAsia="zh-CN"/>
              </w:rPr>
              <w:t>统一社会信用代码</w:t>
            </w:r>
            <w:r>
              <w:rPr>
                <w:rFonts w:hint="eastAsia" w:ascii="宋体" w:hAnsi="宋体" w:eastAsia="宋体" w:cs="宋体"/>
                <w:sz w:val="24"/>
                <w:szCs w:val="24"/>
                <w:highlight w:val="none"/>
              </w:rPr>
              <w:t>：</w:t>
            </w:r>
          </w:p>
        </w:tc>
      </w:tr>
      <w:tr w14:paraId="094C0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550" w:type="dxa"/>
            <w:noWrap w:val="0"/>
            <w:vAlign w:val="center"/>
          </w:tcPr>
          <w:p w14:paraId="0665C481">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办公地址</w:t>
            </w:r>
            <w:r>
              <w:rPr>
                <w:rFonts w:hint="eastAsia" w:ascii="宋体" w:hAnsi="宋体" w:eastAsia="宋体" w:cs="宋体"/>
                <w:sz w:val="24"/>
                <w:szCs w:val="24"/>
                <w:highlight w:val="none"/>
              </w:rPr>
              <w:t>：</w:t>
            </w:r>
          </w:p>
        </w:tc>
        <w:tc>
          <w:tcPr>
            <w:tcW w:w="4793" w:type="dxa"/>
            <w:shd w:val="clear" w:color="auto" w:fill="auto"/>
            <w:noWrap w:val="0"/>
            <w:vAlign w:val="center"/>
          </w:tcPr>
          <w:p w14:paraId="35469959">
            <w:pPr>
              <w:spacing w:line="440" w:lineRule="exact"/>
              <w:rPr>
                <w:rFonts w:hint="eastAsia" w:ascii="宋体" w:hAnsi="宋体" w:eastAsia="宋体" w:cs="宋体"/>
                <w:sz w:val="24"/>
                <w:szCs w:val="24"/>
                <w:highlight w:val="none"/>
                <w:lang w:val="zh-CN" w:eastAsia="zh-CN" w:bidi="zh-CN"/>
              </w:rPr>
            </w:pPr>
            <w:r>
              <w:rPr>
                <w:rFonts w:hint="eastAsia" w:ascii="宋体" w:hAnsi="宋体" w:eastAsia="宋体" w:cs="宋体"/>
                <w:sz w:val="24"/>
                <w:szCs w:val="24"/>
                <w:highlight w:val="none"/>
                <w:lang w:val="en-US" w:eastAsia="zh-CN"/>
              </w:rPr>
              <w:t>办公地址：</w:t>
            </w:r>
          </w:p>
        </w:tc>
      </w:tr>
      <w:tr w14:paraId="49A48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550" w:type="dxa"/>
            <w:noWrap w:val="0"/>
            <w:vAlign w:val="center"/>
          </w:tcPr>
          <w:p w14:paraId="36508F92">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法定代表人或项目负责人（签字）：</w:t>
            </w:r>
          </w:p>
        </w:tc>
        <w:tc>
          <w:tcPr>
            <w:tcW w:w="4793" w:type="dxa"/>
            <w:shd w:val="clear" w:color="auto" w:fill="auto"/>
            <w:noWrap w:val="0"/>
            <w:vAlign w:val="center"/>
          </w:tcPr>
          <w:p w14:paraId="750C4086">
            <w:pPr>
              <w:spacing w:line="440" w:lineRule="exact"/>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rPr>
              <w:t>法定代表人或项目负责人（签字）：</w:t>
            </w:r>
          </w:p>
        </w:tc>
      </w:tr>
      <w:tr w14:paraId="66E3F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550" w:type="dxa"/>
            <w:noWrap w:val="0"/>
            <w:vAlign w:val="center"/>
          </w:tcPr>
          <w:p w14:paraId="60FFBFB5">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p>
        </w:tc>
        <w:tc>
          <w:tcPr>
            <w:tcW w:w="4793" w:type="dxa"/>
            <w:shd w:val="clear" w:color="auto" w:fill="auto"/>
            <w:noWrap w:val="0"/>
            <w:vAlign w:val="center"/>
          </w:tcPr>
          <w:p w14:paraId="5D2A9C4D">
            <w:pPr>
              <w:spacing w:line="440" w:lineRule="exact"/>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rPr>
              <w:t>联系人：</w:t>
            </w:r>
          </w:p>
        </w:tc>
      </w:tr>
      <w:tr w14:paraId="5357C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4550" w:type="dxa"/>
            <w:noWrap w:val="0"/>
            <w:vAlign w:val="center"/>
          </w:tcPr>
          <w:p w14:paraId="63B3DB3F">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电话：</w:t>
            </w:r>
          </w:p>
        </w:tc>
        <w:tc>
          <w:tcPr>
            <w:tcW w:w="4793" w:type="dxa"/>
            <w:shd w:val="clear" w:color="auto" w:fill="auto"/>
            <w:noWrap w:val="0"/>
            <w:vAlign w:val="center"/>
          </w:tcPr>
          <w:p w14:paraId="3720355B">
            <w:pPr>
              <w:spacing w:line="440" w:lineRule="exact"/>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rPr>
              <w:t>电话：</w:t>
            </w:r>
          </w:p>
        </w:tc>
      </w:tr>
      <w:tr w14:paraId="7C2C9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550" w:type="dxa"/>
            <w:noWrap w:val="0"/>
            <w:vAlign w:val="center"/>
          </w:tcPr>
          <w:p w14:paraId="2929DCF3">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电子邮箱：</w:t>
            </w:r>
          </w:p>
        </w:tc>
        <w:tc>
          <w:tcPr>
            <w:tcW w:w="4793" w:type="dxa"/>
            <w:shd w:val="clear" w:color="auto" w:fill="auto"/>
            <w:noWrap w:val="0"/>
            <w:vAlign w:val="center"/>
          </w:tcPr>
          <w:p w14:paraId="15D6C8E7">
            <w:pPr>
              <w:spacing w:line="440" w:lineRule="exact"/>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rPr>
              <w:t>电子邮箱：</w:t>
            </w:r>
          </w:p>
        </w:tc>
      </w:tr>
      <w:tr w14:paraId="7BD70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550" w:type="dxa"/>
            <w:noWrap w:val="0"/>
            <w:vAlign w:val="center"/>
          </w:tcPr>
          <w:p w14:paraId="14239D82">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开户银行：</w:t>
            </w:r>
          </w:p>
        </w:tc>
        <w:tc>
          <w:tcPr>
            <w:tcW w:w="4793" w:type="dxa"/>
            <w:shd w:val="clear" w:color="auto" w:fill="auto"/>
            <w:noWrap w:val="0"/>
            <w:vAlign w:val="center"/>
          </w:tcPr>
          <w:p w14:paraId="49CA75C2">
            <w:pPr>
              <w:spacing w:line="440" w:lineRule="exact"/>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rPr>
              <w:t>开户银行：</w:t>
            </w:r>
          </w:p>
        </w:tc>
      </w:tr>
      <w:tr w14:paraId="418EA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550" w:type="dxa"/>
            <w:noWrap w:val="0"/>
            <w:vAlign w:val="center"/>
          </w:tcPr>
          <w:p w14:paraId="77D67DCA">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开户名称：</w:t>
            </w:r>
          </w:p>
        </w:tc>
        <w:tc>
          <w:tcPr>
            <w:tcW w:w="4793" w:type="dxa"/>
            <w:shd w:val="clear" w:color="auto" w:fill="auto"/>
            <w:noWrap w:val="0"/>
            <w:vAlign w:val="center"/>
          </w:tcPr>
          <w:p w14:paraId="68A0916F">
            <w:pPr>
              <w:spacing w:line="440" w:lineRule="exact"/>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rPr>
              <w:t>开户名称：</w:t>
            </w:r>
          </w:p>
        </w:tc>
      </w:tr>
      <w:tr w14:paraId="55428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550" w:type="dxa"/>
            <w:noWrap w:val="0"/>
            <w:vAlign w:val="center"/>
          </w:tcPr>
          <w:p w14:paraId="7B217047">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开户账号：</w:t>
            </w:r>
          </w:p>
        </w:tc>
        <w:tc>
          <w:tcPr>
            <w:tcW w:w="4793" w:type="dxa"/>
            <w:shd w:val="clear" w:color="auto" w:fill="auto"/>
            <w:noWrap w:val="0"/>
            <w:vAlign w:val="center"/>
          </w:tcPr>
          <w:p w14:paraId="3B27AF28">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开户账号：</w:t>
            </w:r>
          </w:p>
        </w:tc>
      </w:tr>
      <w:tr w14:paraId="5BAE4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550" w:type="dxa"/>
            <w:noWrap w:val="0"/>
            <w:vAlign w:val="center"/>
          </w:tcPr>
          <w:p w14:paraId="078384C4">
            <w:pPr>
              <w:spacing w:line="440" w:lineRule="exact"/>
              <w:rPr>
                <w:rFonts w:hint="eastAsia" w:ascii="宋体" w:hAnsi="宋体" w:eastAsia="宋体" w:cs="宋体"/>
                <w:sz w:val="24"/>
                <w:szCs w:val="24"/>
                <w:highlight w:val="none"/>
              </w:rPr>
            </w:pPr>
          </w:p>
        </w:tc>
        <w:tc>
          <w:tcPr>
            <w:tcW w:w="4793" w:type="dxa"/>
            <w:noWrap w:val="0"/>
            <w:vAlign w:val="center"/>
          </w:tcPr>
          <w:p w14:paraId="64EA8CFD">
            <w:pPr>
              <w:spacing w:line="440" w:lineRule="exact"/>
              <w:rPr>
                <w:rFonts w:hint="eastAsia" w:ascii="宋体" w:hAnsi="宋体" w:eastAsia="宋体" w:cs="宋体"/>
                <w:sz w:val="24"/>
                <w:szCs w:val="24"/>
                <w:highlight w:val="none"/>
              </w:rPr>
            </w:pPr>
          </w:p>
        </w:tc>
      </w:tr>
      <w:tr w14:paraId="0B4C8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jc w:val="center"/>
        </w:trPr>
        <w:tc>
          <w:tcPr>
            <w:tcW w:w="4550" w:type="dxa"/>
            <w:noWrap w:val="0"/>
            <w:vAlign w:val="center"/>
          </w:tcPr>
          <w:p w14:paraId="7184D83F">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招标代理机构（公章）：</w:t>
            </w:r>
          </w:p>
        </w:tc>
        <w:tc>
          <w:tcPr>
            <w:tcW w:w="4793" w:type="dxa"/>
            <w:noWrap w:val="0"/>
            <w:vAlign w:val="center"/>
          </w:tcPr>
          <w:p w14:paraId="36EEBB7A">
            <w:pPr>
              <w:spacing w:line="440" w:lineRule="exact"/>
              <w:rPr>
                <w:rFonts w:hint="eastAsia" w:ascii="宋体" w:hAnsi="宋体" w:eastAsia="宋体" w:cs="宋体"/>
                <w:sz w:val="24"/>
                <w:szCs w:val="24"/>
                <w:highlight w:val="none"/>
              </w:rPr>
            </w:pPr>
          </w:p>
        </w:tc>
      </w:tr>
      <w:tr w14:paraId="5F7EE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4550" w:type="dxa"/>
            <w:noWrap w:val="0"/>
            <w:vAlign w:val="center"/>
          </w:tcPr>
          <w:p w14:paraId="0BD355CC">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签订日期：</w:t>
            </w:r>
          </w:p>
        </w:tc>
        <w:tc>
          <w:tcPr>
            <w:tcW w:w="4793" w:type="dxa"/>
            <w:noWrap w:val="0"/>
            <w:vAlign w:val="center"/>
          </w:tcPr>
          <w:p w14:paraId="343FEEBC">
            <w:pPr>
              <w:spacing w:line="440" w:lineRule="exact"/>
              <w:rPr>
                <w:rFonts w:hint="eastAsia" w:ascii="宋体" w:hAnsi="宋体" w:eastAsia="宋体" w:cs="宋体"/>
                <w:sz w:val="24"/>
                <w:szCs w:val="24"/>
                <w:highlight w:val="none"/>
              </w:rPr>
            </w:pPr>
          </w:p>
        </w:tc>
      </w:tr>
    </w:tbl>
    <w:p w14:paraId="157EDEBC">
      <w:pPr>
        <w:snapToGrid w:val="0"/>
        <w:spacing w:line="360" w:lineRule="auto"/>
        <w:ind w:firstLine="482" w:firstLineChars="200"/>
        <w:rPr>
          <w:rFonts w:ascii="宋体" w:hAnsi="宋体" w:cs="宋体"/>
          <w:b/>
          <w:bCs/>
          <w:color w:val="000000" w:themeColor="text1"/>
          <w:sz w:val="24"/>
          <w14:textFill>
            <w14:solidFill>
              <w14:schemeClr w14:val="tx1"/>
            </w14:solidFill>
          </w14:textFill>
        </w:rPr>
      </w:pPr>
    </w:p>
    <w:p w14:paraId="007C0646">
      <w:pPr>
        <w:snapToGrid w:val="0"/>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本项目经海南省教学仪器设备招标中心有限公司依政府采购程序组织招标，合同主要条款内容与招、投标文件的内容一致。</w:t>
      </w:r>
    </w:p>
    <w:p w14:paraId="36AFD105">
      <w:pPr>
        <w:spacing w:line="360" w:lineRule="auto"/>
        <w:ind w:firstLine="480" w:firstLineChars="200"/>
        <w:rPr>
          <w:rFonts w:ascii="宋体" w:hAnsi="宋体" w:cs="宋体"/>
          <w:sz w:val="24"/>
        </w:rPr>
      </w:pPr>
    </w:p>
    <w:p w14:paraId="58507965"/>
    <w:p w14:paraId="53582B0D">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265" w:firstLineChars="525"/>
        <w:jc w:val="left"/>
        <w:rPr>
          <w:rFonts w:hint="eastAsia" w:ascii="宋体" w:hAnsi="宋体" w:cs="Arial"/>
          <w:b/>
          <w:bCs/>
          <w:sz w:val="24"/>
        </w:rPr>
      </w:pPr>
    </w:p>
    <w:p w14:paraId="148B8B0D">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265" w:firstLineChars="525"/>
        <w:jc w:val="left"/>
        <w:rPr>
          <w:rFonts w:hint="eastAsia" w:ascii="宋体" w:hAnsi="宋体" w:cs="Arial"/>
          <w:b/>
          <w:bCs/>
          <w:sz w:val="24"/>
        </w:rPr>
      </w:pPr>
    </w:p>
    <w:p w14:paraId="7D57EECC">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265" w:firstLineChars="525"/>
        <w:jc w:val="left"/>
        <w:rPr>
          <w:rFonts w:hint="eastAsia" w:ascii="宋体" w:hAnsi="宋体" w:cs="Arial"/>
          <w:b/>
          <w:bCs/>
          <w:sz w:val="24"/>
        </w:rPr>
      </w:pPr>
    </w:p>
    <w:p w14:paraId="1ECC6E8C">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265" w:firstLineChars="525"/>
        <w:jc w:val="left"/>
        <w:rPr>
          <w:rFonts w:ascii="宋体" w:hAnsi="宋体" w:cs="Arial"/>
          <w:b/>
          <w:bCs/>
          <w:sz w:val="24"/>
        </w:rPr>
      </w:pPr>
    </w:p>
    <w:p w14:paraId="4BAE8099">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7" w:firstLineChars="525"/>
        <w:jc w:val="left"/>
        <w:rPr>
          <w:rFonts w:ascii="宋体"/>
          <w:b/>
          <w:bCs/>
          <w:kern w:val="0"/>
          <w:sz w:val="32"/>
          <w:szCs w:val="32"/>
        </w:rPr>
      </w:pPr>
      <w:r>
        <w:rPr>
          <w:rFonts w:hint="eastAsia" w:ascii="宋体"/>
          <w:b/>
          <w:bCs/>
          <w:kern w:val="0"/>
          <w:sz w:val="32"/>
          <w:szCs w:val="32"/>
        </w:rPr>
        <w:t>第六部分  响应文件格式</w:t>
      </w:r>
    </w:p>
    <w:p w14:paraId="2306F486">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7" w:firstLineChars="525"/>
        <w:jc w:val="left"/>
        <w:rPr>
          <w:rFonts w:ascii="宋体"/>
          <w:b/>
          <w:bCs/>
          <w:kern w:val="0"/>
          <w:sz w:val="32"/>
          <w:szCs w:val="32"/>
        </w:rPr>
      </w:pPr>
    </w:p>
    <w:p w14:paraId="3D627E46">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7" w:firstLineChars="525"/>
        <w:jc w:val="left"/>
        <w:rPr>
          <w:rFonts w:ascii="宋体"/>
          <w:b/>
          <w:bCs/>
          <w:kern w:val="0"/>
          <w:sz w:val="32"/>
          <w:szCs w:val="32"/>
        </w:rPr>
      </w:pPr>
    </w:p>
    <w:p w14:paraId="6E71295E">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7" w:firstLineChars="525"/>
        <w:jc w:val="left"/>
        <w:rPr>
          <w:rFonts w:ascii="宋体"/>
          <w:b/>
          <w:bCs/>
          <w:kern w:val="0"/>
          <w:sz w:val="32"/>
          <w:szCs w:val="32"/>
        </w:rPr>
      </w:pPr>
    </w:p>
    <w:p w14:paraId="34BF3714">
      <w:pPr>
        <w:snapToGrid w:val="0"/>
        <w:spacing w:line="240" w:lineRule="atLeast"/>
        <w:jc w:val="center"/>
        <w:rPr>
          <w:rStyle w:val="168"/>
          <w:rFonts w:hAnsi="宋体"/>
          <w:b/>
          <w:kern w:val="0"/>
          <w:sz w:val="32"/>
          <w:szCs w:val="32"/>
        </w:rPr>
      </w:pPr>
      <w:r>
        <w:rPr>
          <w:rStyle w:val="168"/>
          <w:rFonts w:hAnsi="宋体"/>
          <w:b/>
          <w:kern w:val="0"/>
          <w:sz w:val="32"/>
          <w:szCs w:val="32"/>
        </w:rPr>
        <w:t>项目名称：</w:t>
      </w:r>
    </w:p>
    <w:p w14:paraId="3E8B8CFC">
      <w:pPr>
        <w:snapToGrid w:val="0"/>
        <w:spacing w:line="240" w:lineRule="atLeast"/>
        <w:rPr>
          <w:rStyle w:val="168"/>
          <w:rFonts w:hAnsi="宋体"/>
          <w:b/>
          <w:kern w:val="0"/>
          <w:sz w:val="32"/>
          <w:szCs w:val="32"/>
        </w:rPr>
      </w:pPr>
    </w:p>
    <w:p w14:paraId="36696D61">
      <w:pPr>
        <w:snapToGrid w:val="0"/>
        <w:spacing w:line="240" w:lineRule="atLeast"/>
        <w:jc w:val="center"/>
        <w:rPr>
          <w:rStyle w:val="168"/>
          <w:rFonts w:hAnsi="宋体"/>
          <w:b/>
          <w:kern w:val="0"/>
          <w:sz w:val="32"/>
          <w:szCs w:val="32"/>
        </w:rPr>
      </w:pPr>
      <w:r>
        <w:rPr>
          <w:rStyle w:val="168"/>
          <w:rFonts w:hAnsi="宋体"/>
          <w:b/>
          <w:kern w:val="0"/>
          <w:sz w:val="32"/>
          <w:szCs w:val="32"/>
        </w:rPr>
        <w:t>项目编号: HNJY202</w:t>
      </w:r>
      <w:r>
        <w:rPr>
          <w:rStyle w:val="168"/>
          <w:rFonts w:hint="eastAsia" w:hAnsi="宋体"/>
          <w:b/>
          <w:kern w:val="0"/>
          <w:sz w:val="32"/>
          <w:szCs w:val="32"/>
          <w:lang w:val="en-US" w:eastAsia="zh-CN"/>
        </w:rPr>
        <w:t>5</w:t>
      </w:r>
      <w:r>
        <w:rPr>
          <w:rStyle w:val="168"/>
          <w:rFonts w:hAnsi="宋体"/>
          <w:b/>
          <w:kern w:val="0"/>
          <w:sz w:val="32"/>
          <w:szCs w:val="32"/>
        </w:rPr>
        <w:t>-</w:t>
      </w:r>
    </w:p>
    <w:p w14:paraId="6C5720FE">
      <w:pPr>
        <w:pStyle w:val="167"/>
        <w:snapToGrid w:val="0"/>
        <w:rPr>
          <w:rStyle w:val="168"/>
          <w:rFonts w:hAnsi="宋体"/>
          <w:b/>
          <w:kern w:val="0"/>
          <w:sz w:val="32"/>
          <w:szCs w:val="32"/>
        </w:rPr>
      </w:pPr>
    </w:p>
    <w:p w14:paraId="6158D428">
      <w:pPr>
        <w:pStyle w:val="167"/>
        <w:snapToGrid w:val="0"/>
        <w:rPr>
          <w:rStyle w:val="168"/>
          <w:rFonts w:hAnsi="宋体"/>
          <w:b/>
          <w:kern w:val="0"/>
          <w:sz w:val="32"/>
          <w:szCs w:val="32"/>
        </w:rPr>
      </w:pPr>
    </w:p>
    <w:p w14:paraId="7CFC7352">
      <w:pPr>
        <w:snapToGrid w:val="0"/>
        <w:spacing w:line="320" w:lineRule="exact"/>
        <w:ind w:right="2278"/>
        <w:rPr>
          <w:rStyle w:val="168"/>
          <w:rFonts w:hAnsi="宋体"/>
          <w:b/>
          <w:kern w:val="0"/>
          <w:sz w:val="32"/>
          <w:szCs w:val="32"/>
        </w:rPr>
      </w:pPr>
    </w:p>
    <w:p w14:paraId="2602C37E">
      <w:pPr>
        <w:snapToGrid w:val="0"/>
        <w:ind w:right="2279"/>
        <w:rPr>
          <w:rStyle w:val="168"/>
          <w:rFonts w:hAnsi="宋体"/>
          <w:b/>
          <w:kern w:val="0"/>
          <w:sz w:val="32"/>
          <w:szCs w:val="32"/>
        </w:rPr>
      </w:pPr>
    </w:p>
    <w:p w14:paraId="7EA2CAA1">
      <w:pPr>
        <w:snapToGrid w:val="0"/>
        <w:ind w:right="2279"/>
        <w:jc w:val="center"/>
        <w:rPr>
          <w:rStyle w:val="168"/>
          <w:rFonts w:hAnsi="宋体"/>
          <w:b/>
          <w:kern w:val="0"/>
          <w:sz w:val="32"/>
          <w:szCs w:val="32"/>
        </w:rPr>
      </w:pPr>
      <w:r>
        <w:rPr>
          <w:rStyle w:val="168"/>
          <w:rFonts w:hint="eastAsia" w:hAnsi="宋体"/>
          <w:b/>
          <w:kern w:val="0"/>
          <w:sz w:val="32"/>
          <w:szCs w:val="32"/>
        </w:rPr>
        <w:t xml:space="preserve">     </w:t>
      </w:r>
      <w:r>
        <w:rPr>
          <w:rStyle w:val="168"/>
          <w:rFonts w:hAnsi="宋体"/>
          <w:b/>
          <w:kern w:val="0"/>
          <w:sz w:val="32"/>
          <w:szCs w:val="32"/>
        </w:rPr>
        <w:t>竞争性磋商响应文件</w:t>
      </w:r>
    </w:p>
    <w:p w14:paraId="710E5D3F">
      <w:pPr>
        <w:snapToGrid w:val="0"/>
        <w:spacing w:line="320" w:lineRule="exact"/>
        <w:ind w:right="2278"/>
        <w:rPr>
          <w:rStyle w:val="168"/>
          <w:rFonts w:hAnsi="宋体"/>
          <w:b/>
          <w:sz w:val="30"/>
          <w:szCs w:val="30"/>
        </w:rPr>
      </w:pPr>
    </w:p>
    <w:p w14:paraId="6FFAF84B">
      <w:pPr>
        <w:snapToGrid w:val="0"/>
        <w:spacing w:line="320" w:lineRule="exact"/>
        <w:ind w:right="2278"/>
        <w:rPr>
          <w:rStyle w:val="168"/>
          <w:rFonts w:hAnsi="宋体"/>
          <w:b/>
          <w:sz w:val="30"/>
          <w:szCs w:val="30"/>
        </w:rPr>
      </w:pPr>
    </w:p>
    <w:p w14:paraId="5F127C76">
      <w:pPr>
        <w:snapToGrid w:val="0"/>
        <w:spacing w:line="320" w:lineRule="exact"/>
        <w:ind w:right="2278"/>
        <w:rPr>
          <w:rStyle w:val="168"/>
          <w:rFonts w:hAnsi="宋体"/>
          <w:b/>
          <w:sz w:val="30"/>
          <w:szCs w:val="30"/>
        </w:rPr>
      </w:pPr>
    </w:p>
    <w:p w14:paraId="42A28656">
      <w:pPr>
        <w:snapToGrid w:val="0"/>
        <w:spacing w:line="320" w:lineRule="exact"/>
        <w:ind w:right="2278"/>
        <w:rPr>
          <w:rStyle w:val="168"/>
          <w:rFonts w:hAnsi="宋体"/>
          <w:b/>
          <w:sz w:val="30"/>
          <w:szCs w:val="30"/>
        </w:rPr>
      </w:pPr>
    </w:p>
    <w:p w14:paraId="0A59A54B">
      <w:pPr>
        <w:snapToGrid w:val="0"/>
        <w:spacing w:line="320" w:lineRule="exact"/>
        <w:ind w:right="2278"/>
        <w:rPr>
          <w:rStyle w:val="168"/>
          <w:rFonts w:hAnsi="宋体"/>
          <w:b/>
          <w:sz w:val="30"/>
          <w:szCs w:val="30"/>
        </w:rPr>
      </w:pPr>
    </w:p>
    <w:p w14:paraId="45A100F4">
      <w:pPr>
        <w:snapToGrid w:val="0"/>
        <w:spacing w:line="320" w:lineRule="exact"/>
        <w:ind w:right="2278"/>
        <w:rPr>
          <w:rStyle w:val="168"/>
          <w:rFonts w:hAnsi="宋体"/>
          <w:b/>
          <w:sz w:val="30"/>
          <w:szCs w:val="30"/>
        </w:rPr>
      </w:pPr>
    </w:p>
    <w:p w14:paraId="5F458F42">
      <w:pPr>
        <w:snapToGrid w:val="0"/>
        <w:spacing w:line="320" w:lineRule="exact"/>
        <w:ind w:right="2278"/>
        <w:rPr>
          <w:rStyle w:val="168"/>
          <w:rFonts w:hAnsi="宋体"/>
          <w:b/>
          <w:sz w:val="30"/>
          <w:szCs w:val="30"/>
        </w:rPr>
      </w:pPr>
    </w:p>
    <w:p w14:paraId="3386F351">
      <w:pPr>
        <w:snapToGrid w:val="0"/>
        <w:spacing w:line="320" w:lineRule="exact"/>
        <w:ind w:right="2278"/>
        <w:rPr>
          <w:rStyle w:val="168"/>
          <w:rFonts w:hAnsi="宋体"/>
          <w:b/>
          <w:sz w:val="30"/>
          <w:szCs w:val="30"/>
        </w:rPr>
      </w:pPr>
    </w:p>
    <w:p w14:paraId="70D7B2B3">
      <w:pPr>
        <w:snapToGrid w:val="0"/>
        <w:spacing w:line="320" w:lineRule="exact"/>
        <w:ind w:right="2278"/>
        <w:rPr>
          <w:rStyle w:val="168"/>
          <w:rFonts w:hAnsi="宋体"/>
          <w:b/>
          <w:sz w:val="30"/>
          <w:szCs w:val="30"/>
        </w:rPr>
      </w:pPr>
    </w:p>
    <w:p w14:paraId="53D7732F">
      <w:pPr>
        <w:snapToGrid w:val="0"/>
        <w:spacing w:line="320" w:lineRule="exact"/>
        <w:ind w:right="2278"/>
        <w:rPr>
          <w:rStyle w:val="168"/>
          <w:rFonts w:hAnsi="宋体"/>
          <w:b/>
          <w:sz w:val="30"/>
          <w:szCs w:val="30"/>
        </w:rPr>
      </w:pPr>
    </w:p>
    <w:p w14:paraId="5309631E">
      <w:pPr>
        <w:snapToGrid w:val="0"/>
        <w:ind w:right="2279"/>
        <w:rPr>
          <w:rStyle w:val="168"/>
          <w:rFonts w:hAnsi="宋体"/>
          <w:b/>
          <w:sz w:val="30"/>
          <w:szCs w:val="30"/>
        </w:rPr>
      </w:pPr>
      <w:r>
        <w:rPr>
          <w:rStyle w:val="168"/>
          <w:rFonts w:hAnsi="宋体"/>
          <w:b/>
          <w:sz w:val="30"/>
          <w:szCs w:val="30"/>
        </w:rPr>
        <w:t>供应商名称：（盖章）</w:t>
      </w:r>
    </w:p>
    <w:p w14:paraId="6E389F5C">
      <w:pPr>
        <w:snapToGrid w:val="0"/>
        <w:ind w:right="2279"/>
        <w:rPr>
          <w:rStyle w:val="168"/>
          <w:rFonts w:hAnsi="宋体"/>
          <w:b/>
          <w:sz w:val="30"/>
          <w:szCs w:val="30"/>
        </w:rPr>
      </w:pPr>
      <w:r>
        <w:rPr>
          <w:rStyle w:val="168"/>
          <w:rFonts w:hAnsi="宋体"/>
          <w:b/>
          <w:sz w:val="30"/>
          <w:szCs w:val="30"/>
        </w:rPr>
        <w:t>公司地址：</w:t>
      </w:r>
    </w:p>
    <w:p w14:paraId="6BF214DB">
      <w:pPr>
        <w:snapToGrid w:val="0"/>
        <w:ind w:right="2279"/>
        <w:rPr>
          <w:rStyle w:val="168"/>
          <w:rFonts w:hAnsi="宋体"/>
          <w:b/>
          <w:sz w:val="30"/>
          <w:szCs w:val="30"/>
        </w:rPr>
      </w:pPr>
      <w:r>
        <w:rPr>
          <w:rStyle w:val="168"/>
          <w:rFonts w:hAnsi="宋体"/>
          <w:b/>
          <w:sz w:val="30"/>
          <w:szCs w:val="30"/>
        </w:rPr>
        <w:t>联系人：</w:t>
      </w:r>
    </w:p>
    <w:p w14:paraId="11052F84">
      <w:pPr>
        <w:snapToGrid w:val="0"/>
        <w:ind w:right="2279"/>
        <w:rPr>
          <w:rStyle w:val="168"/>
          <w:rFonts w:hAnsi="宋体"/>
          <w:b/>
          <w:sz w:val="30"/>
          <w:szCs w:val="30"/>
        </w:rPr>
      </w:pPr>
      <w:r>
        <w:rPr>
          <w:rStyle w:val="168"/>
          <w:rFonts w:hAnsi="宋体"/>
          <w:b/>
          <w:sz w:val="30"/>
          <w:szCs w:val="30"/>
        </w:rPr>
        <w:t>联系电话：</w:t>
      </w:r>
    </w:p>
    <w:p w14:paraId="3BE76F28">
      <w:pPr>
        <w:snapToGrid w:val="0"/>
        <w:spacing w:line="320" w:lineRule="exact"/>
        <w:ind w:right="2278"/>
        <w:rPr>
          <w:rStyle w:val="168"/>
          <w:rFonts w:hAnsi="宋体"/>
          <w:b/>
          <w:sz w:val="30"/>
          <w:szCs w:val="30"/>
        </w:rPr>
      </w:pPr>
      <w:r>
        <w:rPr>
          <w:rStyle w:val="168"/>
          <w:rFonts w:hAnsi="宋体"/>
          <w:b/>
          <w:sz w:val="30"/>
          <w:szCs w:val="30"/>
        </w:rPr>
        <w:t>日期：</w:t>
      </w:r>
    </w:p>
    <w:p w14:paraId="3A7BE213">
      <w:pPr>
        <w:snapToGrid w:val="0"/>
        <w:spacing w:line="320" w:lineRule="exact"/>
        <w:ind w:right="2278"/>
        <w:rPr>
          <w:rStyle w:val="168"/>
          <w:rFonts w:hAnsi="宋体"/>
          <w:b/>
          <w:sz w:val="30"/>
          <w:szCs w:val="30"/>
        </w:rPr>
      </w:pPr>
    </w:p>
    <w:p w14:paraId="6A576190">
      <w:pPr>
        <w:pStyle w:val="167"/>
      </w:pPr>
    </w:p>
    <w:p w14:paraId="226A3D6F">
      <w:pPr>
        <w:pStyle w:val="167"/>
      </w:pPr>
    </w:p>
    <w:p w14:paraId="6CDF8A6B">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258" w:rightChars="123"/>
        <w:jc w:val="left"/>
        <w:rPr>
          <w:rFonts w:ascii="宋体"/>
          <w:b/>
          <w:bCs/>
          <w:kern w:val="0"/>
          <w:sz w:val="32"/>
          <w:szCs w:val="32"/>
        </w:rPr>
      </w:pPr>
    </w:p>
    <w:p w14:paraId="05D2E827">
      <w:pPr>
        <w:rPr>
          <w:rFonts w:hint="eastAsia" w:ascii="宋体" w:hAnsi="宋体"/>
          <w:b/>
          <w:sz w:val="24"/>
        </w:rPr>
      </w:pPr>
      <w:r>
        <w:rPr>
          <w:rFonts w:hint="eastAsia" w:ascii="宋体" w:hAnsi="宋体"/>
          <w:b/>
          <w:sz w:val="24"/>
        </w:rPr>
        <w:br w:type="page"/>
      </w:r>
    </w:p>
    <w:p w14:paraId="4960AFBF">
      <w:pPr>
        <w:spacing w:line="320" w:lineRule="exact"/>
        <w:ind w:right="2278"/>
        <w:outlineLvl w:val="0"/>
        <w:rPr>
          <w:rFonts w:ascii="宋体" w:hAnsi="宋体"/>
          <w:b/>
          <w:sz w:val="24"/>
        </w:rPr>
      </w:pPr>
      <w:r>
        <w:rPr>
          <w:rFonts w:hint="eastAsia" w:ascii="宋体" w:hAnsi="宋体"/>
          <w:b/>
          <w:sz w:val="24"/>
        </w:rPr>
        <w:t>附件1</w:t>
      </w:r>
    </w:p>
    <w:p w14:paraId="6BEAA7B5">
      <w:pPr>
        <w:spacing w:line="360" w:lineRule="exact"/>
        <w:jc w:val="center"/>
        <w:outlineLvl w:val="0"/>
        <w:rPr>
          <w:rFonts w:ascii="宋体" w:hAnsi="宋体"/>
          <w:b/>
          <w:sz w:val="24"/>
        </w:rPr>
      </w:pPr>
      <w:r>
        <w:rPr>
          <w:rFonts w:hint="eastAsia" w:ascii="宋体" w:hAnsi="宋体"/>
          <w:b/>
          <w:sz w:val="24"/>
        </w:rPr>
        <w:t>响应函</w:t>
      </w:r>
    </w:p>
    <w:p w14:paraId="4ABCC822">
      <w:pPr>
        <w:spacing w:line="360" w:lineRule="exact"/>
        <w:ind w:firstLine="3510"/>
        <w:outlineLvl w:val="0"/>
        <w:rPr>
          <w:rFonts w:ascii="宋体" w:hAnsi="宋体"/>
          <w:b/>
          <w:sz w:val="24"/>
        </w:rPr>
      </w:pPr>
    </w:p>
    <w:p w14:paraId="2B5352E0">
      <w:pPr>
        <w:spacing w:line="360" w:lineRule="exact"/>
        <w:outlineLvl w:val="0"/>
        <w:rPr>
          <w:rFonts w:ascii="宋体" w:hAnsi="宋体"/>
          <w:sz w:val="24"/>
        </w:rPr>
      </w:pPr>
      <w:r>
        <w:rPr>
          <w:rFonts w:hint="eastAsia" w:ascii="宋体" w:hAnsi="宋体"/>
          <w:sz w:val="24"/>
        </w:rPr>
        <w:t>致：海南省教学仪器设备招标中心有限公司：</w:t>
      </w:r>
    </w:p>
    <w:p w14:paraId="6A7D66AC">
      <w:pPr>
        <w:spacing w:line="360" w:lineRule="exact"/>
        <w:outlineLvl w:val="0"/>
        <w:rPr>
          <w:rFonts w:ascii="宋体" w:hAnsi="宋体"/>
          <w:sz w:val="24"/>
        </w:rPr>
      </w:pPr>
    </w:p>
    <w:p w14:paraId="69600DA8">
      <w:pPr>
        <w:spacing w:line="360" w:lineRule="exact"/>
        <w:ind w:firstLine="480"/>
        <w:rPr>
          <w:rFonts w:ascii="宋体" w:hAnsi="宋体"/>
          <w:sz w:val="24"/>
        </w:rPr>
      </w:pPr>
      <w:r>
        <w:rPr>
          <w:rFonts w:ascii="宋体" w:hAnsi="宋体"/>
          <w:sz w:val="24"/>
        </w:rPr>
        <mc:AlternateContent>
          <mc:Choice Requires="wps">
            <w:drawing>
              <wp:anchor distT="0" distB="0" distL="114300" distR="114300" simplePos="0" relativeHeight="251660288" behindDoc="0" locked="0" layoutInCell="0" allowOverlap="1">
                <wp:simplePos x="0" y="0"/>
                <wp:positionH relativeFrom="column">
                  <wp:posOffset>4686300</wp:posOffset>
                </wp:positionH>
                <wp:positionV relativeFrom="paragraph">
                  <wp:posOffset>213995</wp:posOffset>
                </wp:positionV>
                <wp:extent cx="635" cy="0"/>
                <wp:effectExtent l="0" t="4445" r="0" b="5080"/>
                <wp:wrapNone/>
                <wp:docPr id="1" name="Line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2" o:spid="_x0000_s1026" o:spt="20" style="position:absolute;left:0pt;margin-left:369pt;margin-top:16.85pt;height:0pt;width:0.05pt;z-index:251660288;mso-width-relative:page;mso-height-relative:page;" filled="f" stroked="t" coordsize="21600,21600" o:allowincell="f" o:gfxdata="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qNDS11QAAAAkBAAAPAAAAAAAAAAEAIAAAACIA&#10;AABkcnMvZG93bnJldi54bWxQSwECFAAUAAAACACHTuJARLEQPdMBAADXAwAADgAAAAAAAAABACAA&#10;AAAkAQAAZHJzL2Uyb0RvYy54bWxQSwUGAAAAAAYABgBZAQAAaQUAAAAA&#10;">
                <v:fill on="f" focussize="0,0"/>
                <v:stroke color="#000000" joinstyle="round"/>
                <v:imagedata o:title=""/>
                <o:lock v:ext="edit" aspectratio="f"/>
              </v:line>
            </w:pict>
          </mc:Fallback>
        </mc:AlternateContent>
      </w:r>
      <w:r>
        <w:rPr>
          <w:rFonts w:hint="eastAsia" w:ascii="宋体" w:hAnsi="宋体"/>
          <w:sz w:val="24"/>
        </w:rPr>
        <w:t>根据贵方为“”项目的邀请（项目编号：HNJY202</w:t>
      </w:r>
      <w:r>
        <w:rPr>
          <w:rFonts w:hint="eastAsia" w:ascii="宋体" w:hAnsi="宋体"/>
          <w:sz w:val="24"/>
          <w:lang w:val="en-US" w:eastAsia="zh-CN"/>
        </w:rPr>
        <w:t>5</w:t>
      </w:r>
      <w:r>
        <w:rPr>
          <w:rFonts w:hint="eastAsia" w:ascii="宋体" w:hAnsi="宋体"/>
          <w:sz w:val="24"/>
        </w:rPr>
        <w:t>- - ），正式授权下签字代表（全名、职务）代表响应供应商（供应商名称、地址）提交下述文件正本壹份和副本</w:t>
      </w:r>
      <w:r>
        <w:rPr>
          <w:rFonts w:hint="eastAsia" w:ascii="宋体" w:hAnsi="宋体"/>
          <w:sz w:val="24"/>
          <w:lang w:val="en-US" w:eastAsia="zh-CN"/>
        </w:rPr>
        <w:t>贰</w:t>
      </w:r>
      <w:r>
        <w:rPr>
          <w:rFonts w:hint="eastAsia" w:ascii="宋体" w:hAnsi="宋体"/>
          <w:sz w:val="24"/>
        </w:rPr>
        <w:t>份。</w:t>
      </w:r>
    </w:p>
    <w:p w14:paraId="63DEBA3E">
      <w:pPr>
        <w:snapToGrid w:val="0"/>
        <w:spacing w:line="480" w:lineRule="exact"/>
        <w:ind w:firstLine="480" w:firstLineChars="200"/>
        <w:rPr>
          <w:rFonts w:ascii="宋体" w:hAnsi="宋体"/>
          <w:sz w:val="24"/>
        </w:rPr>
      </w:pPr>
      <w:r>
        <w:rPr>
          <w:rFonts w:hint="eastAsia" w:ascii="宋体" w:hAnsi="宋体"/>
          <w:sz w:val="24"/>
        </w:rPr>
        <w:t>根据此函，我们宣布同意如下：</w:t>
      </w:r>
    </w:p>
    <w:p w14:paraId="4E49A92D">
      <w:pPr>
        <w:snapToGrid w:val="0"/>
        <w:spacing w:line="480" w:lineRule="exact"/>
        <w:rPr>
          <w:rFonts w:ascii="宋体" w:hAnsi="宋体"/>
          <w:sz w:val="24"/>
        </w:rPr>
      </w:pPr>
      <w:r>
        <w:rPr>
          <w:rFonts w:hint="eastAsia" w:ascii="宋体" w:hAnsi="宋体"/>
          <w:sz w:val="24"/>
        </w:rPr>
        <w:t xml:space="preserve">    1、我方接受采购文件包括修改文件（如有的话）以及全部参考资料和有关附件的所有的条款和规定。我们完全理解并同意放弃对这方面有不明及误解的权利。</w:t>
      </w:r>
    </w:p>
    <w:p w14:paraId="4A861F27">
      <w:pPr>
        <w:snapToGrid w:val="0"/>
        <w:spacing w:line="480" w:lineRule="exact"/>
        <w:ind w:firstLine="480" w:firstLineChars="200"/>
        <w:rPr>
          <w:rFonts w:ascii="宋体" w:hAnsi="宋体"/>
          <w:sz w:val="24"/>
        </w:rPr>
      </w:pPr>
      <w:r>
        <w:rPr>
          <w:rFonts w:hint="eastAsia" w:ascii="宋体" w:hAnsi="宋体"/>
          <w:sz w:val="24"/>
        </w:rPr>
        <w:t>2、我方同意按照磋商文件第三部分 “供应商须知”的规定，本响应文件的有效期为自递交响应文件截止日期起计算的</w:t>
      </w:r>
      <w:r>
        <w:rPr>
          <w:rFonts w:hint="eastAsia" w:ascii="宋体" w:hAnsi="宋体"/>
          <w:sz w:val="24"/>
          <w:u w:val="single"/>
        </w:rPr>
        <w:t>90天</w:t>
      </w:r>
      <w:r>
        <w:rPr>
          <w:rFonts w:hint="eastAsia" w:ascii="宋体" w:hAnsi="宋体"/>
          <w:sz w:val="24"/>
        </w:rPr>
        <w:t>，在此期间，本响应文件将始终对我方具有约束力，并可随时被接受。</w:t>
      </w:r>
    </w:p>
    <w:p w14:paraId="5E76B7EE">
      <w:pPr>
        <w:snapToGrid w:val="0"/>
        <w:spacing w:line="480" w:lineRule="exact"/>
        <w:ind w:firstLine="480"/>
        <w:rPr>
          <w:rFonts w:ascii="宋体" w:hAnsi="宋体"/>
          <w:sz w:val="24"/>
        </w:rPr>
      </w:pPr>
      <w:r>
        <w:rPr>
          <w:rFonts w:hint="eastAsia" w:ascii="宋体" w:hAnsi="宋体"/>
          <w:sz w:val="24"/>
        </w:rPr>
        <w:t xml:space="preserve">3、我们同意提供贵单位要求的有关本次响应的所有资料或证据，并保证资料、证据的真实有效性。    </w:t>
      </w:r>
    </w:p>
    <w:p w14:paraId="336E8E80">
      <w:pPr>
        <w:snapToGrid w:val="0"/>
        <w:spacing w:line="480" w:lineRule="exact"/>
        <w:ind w:firstLine="480"/>
        <w:rPr>
          <w:rFonts w:ascii="宋体" w:hAnsi="宋体"/>
          <w:sz w:val="24"/>
        </w:rPr>
      </w:pPr>
      <w:r>
        <w:rPr>
          <w:rFonts w:hint="eastAsia" w:ascii="宋体" w:hAnsi="宋体"/>
          <w:sz w:val="24"/>
        </w:rPr>
        <w:t>4、如果我方成交，我们将根据采购文件的规定严格履行自己的责任和义务。</w:t>
      </w:r>
    </w:p>
    <w:p w14:paraId="0F0E008C">
      <w:pPr>
        <w:snapToGrid w:val="0"/>
        <w:spacing w:line="480" w:lineRule="exact"/>
        <w:ind w:firstLine="480" w:firstLineChars="200"/>
        <w:rPr>
          <w:rFonts w:hint="eastAsia" w:ascii="宋体" w:hAnsi="宋体"/>
          <w:sz w:val="24"/>
        </w:rPr>
      </w:pPr>
      <w:r>
        <w:rPr>
          <w:rFonts w:hint="eastAsia" w:ascii="宋体" w:hAnsi="宋体"/>
          <w:sz w:val="24"/>
        </w:rPr>
        <w:t>5、如果我方成交，我方将支付本次采购活动的代理服务费。</w:t>
      </w:r>
    </w:p>
    <w:p w14:paraId="6BA75026">
      <w:pPr>
        <w:snapToGrid w:val="0"/>
        <w:spacing w:line="480" w:lineRule="exact"/>
        <w:ind w:firstLine="480" w:firstLineChars="200"/>
        <w:rPr>
          <w:rFonts w:hint="default" w:ascii="宋体" w:hAnsi="宋体" w:eastAsia="宋体"/>
          <w:sz w:val="24"/>
          <w:lang w:val="en-US" w:eastAsia="zh-CN"/>
        </w:rPr>
      </w:pPr>
      <w:r>
        <w:rPr>
          <w:rFonts w:hint="eastAsia" w:ascii="宋体" w:hAnsi="宋体"/>
          <w:sz w:val="24"/>
          <w:lang w:val="en-US" w:eastAsia="zh-CN"/>
        </w:rPr>
        <w:t>6、</w:t>
      </w:r>
      <w:r>
        <w:rPr>
          <w:rFonts w:hint="eastAsia" w:ascii="宋体" w:hAnsi="宋体"/>
          <w:sz w:val="24"/>
        </w:rPr>
        <w:t>如果我方成交，我方将</w:t>
      </w:r>
      <w:r>
        <w:rPr>
          <w:rFonts w:hint="eastAsia" w:ascii="宋体" w:hAnsi="宋体"/>
          <w:sz w:val="24"/>
          <w:lang w:val="en-US" w:eastAsia="zh-CN"/>
        </w:rPr>
        <w:t>按照采购人指定地点交货（服务）。</w:t>
      </w:r>
    </w:p>
    <w:p w14:paraId="0AF54D2B">
      <w:pPr>
        <w:snapToGrid w:val="0"/>
        <w:spacing w:line="480" w:lineRule="exact"/>
        <w:rPr>
          <w:rFonts w:ascii="宋体" w:hAnsi="宋体"/>
          <w:sz w:val="24"/>
        </w:rPr>
      </w:pPr>
      <w:r>
        <w:rPr>
          <w:rFonts w:hint="eastAsia" w:ascii="宋体" w:hAnsi="宋体"/>
          <w:sz w:val="24"/>
        </w:rPr>
        <w:t xml:space="preserve">        供应商名称：</w:t>
      </w:r>
      <w:r>
        <w:rPr>
          <w:rFonts w:hint="eastAsia" w:ascii="宋体" w:hAnsi="宋体"/>
          <w:sz w:val="24"/>
          <w:u w:val="single"/>
        </w:rPr>
        <w:t xml:space="preserve">              （公章）</w:t>
      </w:r>
    </w:p>
    <w:p w14:paraId="3E8C47B4">
      <w:pPr>
        <w:snapToGrid w:val="0"/>
        <w:spacing w:line="480" w:lineRule="exact"/>
        <w:rPr>
          <w:rFonts w:ascii="宋体" w:hAnsi="宋体"/>
          <w:sz w:val="24"/>
          <w:u w:val="single"/>
        </w:rPr>
      </w:pPr>
      <w:r>
        <w:rPr>
          <w:rFonts w:hint="eastAsia" w:ascii="宋体" w:hAnsi="宋体"/>
          <w:sz w:val="24"/>
        </w:rPr>
        <w:t xml:space="preserve">        地址：邮编：</w:t>
      </w:r>
    </w:p>
    <w:p w14:paraId="05BE1E1C">
      <w:pPr>
        <w:snapToGrid w:val="0"/>
        <w:spacing w:line="480" w:lineRule="exact"/>
        <w:rPr>
          <w:rFonts w:ascii="宋体" w:hAnsi="宋体"/>
          <w:sz w:val="24"/>
          <w:u w:val="single"/>
        </w:rPr>
      </w:pPr>
      <w:r>
        <w:rPr>
          <w:rFonts w:hint="eastAsia" w:ascii="宋体" w:hAnsi="宋体"/>
          <w:sz w:val="24"/>
        </w:rPr>
        <w:t xml:space="preserve">        电话：传真：</w:t>
      </w:r>
    </w:p>
    <w:p w14:paraId="69962A63">
      <w:pPr>
        <w:snapToGrid w:val="0"/>
        <w:spacing w:line="480" w:lineRule="exact"/>
        <w:rPr>
          <w:rFonts w:ascii="宋体" w:hAnsi="宋体"/>
          <w:sz w:val="24"/>
          <w:u w:val="single"/>
        </w:rPr>
      </w:pPr>
      <w:r>
        <w:rPr>
          <w:rFonts w:hint="eastAsia" w:ascii="宋体" w:hAnsi="宋体"/>
          <w:sz w:val="24"/>
        </w:rPr>
        <w:t xml:space="preserve">        授权代表签字：   职务：</w:t>
      </w:r>
    </w:p>
    <w:p w14:paraId="0EE03781">
      <w:pPr>
        <w:snapToGrid w:val="0"/>
        <w:spacing w:line="480" w:lineRule="exact"/>
        <w:rPr>
          <w:rFonts w:ascii="宋体" w:hAnsi="宋体"/>
          <w:sz w:val="24"/>
          <w:u w:val="single"/>
        </w:rPr>
      </w:pPr>
      <w:r>
        <w:rPr>
          <w:rFonts w:hint="eastAsia" w:ascii="宋体" w:hAnsi="宋体"/>
          <w:sz w:val="24"/>
        </w:rPr>
        <w:t xml:space="preserve">        日期：</w:t>
      </w:r>
    </w:p>
    <w:p w14:paraId="61D86D8E">
      <w:pPr>
        <w:spacing w:line="360" w:lineRule="exact"/>
        <w:rPr>
          <w:rFonts w:ascii="宋体" w:hAnsi="宋体"/>
          <w:sz w:val="24"/>
        </w:rPr>
      </w:pPr>
    </w:p>
    <w:p w14:paraId="3A93D720">
      <w:pPr>
        <w:spacing w:line="360" w:lineRule="exact"/>
        <w:rPr>
          <w:rFonts w:ascii="宋体" w:hAnsi="宋体"/>
          <w:sz w:val="24"/>
        </w:rPr>
      </w:pPr>
    </w:p>
    <w:p w14:paraId="60925228">
      <w:pPr>
        <w:spacing w:line="360" w:lineRule="exact"/>
        <w:rPr>
          <w:rFonts w:hint="eastAsia" w:ascii="宋体" w:hAnsi="宋体"/>
          <w:sz w:val="24"/>
        </w:rPr>
      </w:pPr>
    </w:p>
    <w:p w14:paraId="7482C8A7">
      <w:pPr>
        <w:spacing w:line="360" w:lineRule="exact"/>
        <w:rPr>
          <w:rFonts w:hint="eastAsia" w:ascii="宋体" w:hAnsi="宋体"/>
          <w:sz w:val="24"/>
        </w:rPr>
      </w:pPr>
    </w:p>
    <w:p w14:paraId="1F6E4B3C">
      <w:pPr>
        <w:spacing w:line="360" w:lineRule="exact"/>
        <w:rPr>
          <w:rFonts w:hint="eastAsia" w:ascii="宋体" w:hAnsi="宋体"/>
          <w:sz w:val="24"/>
        </w:rPr>
      </w:pPr>
    </w:p>
    <w:p w14:paraId="32E96F49">
      <w:pPr>
        <w:spacing w:line="360" w:lineRule="exact"/>
        <w:rPr>
          <w:rFonts w:hint="eastAsia" w:ascii="宋体" w:hAnsi="宋体"/>
          <w:sz w:val="24"/>
        </w:rPr>
      </w:pPr>
    </w:p>
    <w:p w14:paraId="25788AF7">
      <w:pPr>
        <w:spacing w:line="360" w:lineRule="exact"/>
        <w:rPr>
          <w:rFonts w:hint="eastAsia" w:ascii="宋体" w:hAnsi="宋体"/>
          <w:sz w:val="24"/>
        </w:rPr>
      </w:pPr>
    </w:p>
    <w:p w14:paraId="241EB9AE">
      <w:pPr>
        <w:spacing w:line="360" w:lineRule="exact"/>
        <w:rPr>
          <w:rFonts w:hint="eastAsia" w:ascii="宋体" w:hAnsi="宋体"/>
          <w:sz w:val="24"/>
        </w:rPr>
      </w:pPr>
    </w:p>
    <w:p w14:paraId="3B94E284">
      <w:pPr>
        <w:spacing w:line="360" w:lineRule="exact"/>
        <w:rPr>
          <w:rFonts w:hint="eastAsia" w:ascii="宋体" w:hAnsi="宋体"/>
          <w:sz w:val="24"/>
        </w:rPr>
      </w:pPr>
    </w:p>
    <w:p w14:paraId="2209CD01">
      <w:pPr>
        <w:spacing w:line="360" w:lineRule="exact"/>
        <w:rPr>
          <w:rFonts w:hint="eastAsia" w:ascii="宋体" w:hAnsi="宋体"/>
          <w:sz w:val="24"/>
        </w:rPr>
      </w:pPr>
    </w:p>
    <w:p w14:paraId="197DFCE3">
      <w:pPr>
        <w:spacing w:line="360" w:lineRule="exact"/>
        <w:rPr>
          <w:rFonts w:hint="eastAsia" w:ascii="宋体" w:hAnsi="宋体"/>
          <w:sz w:val="24"/>
        </w:rPr>
      </w:pPr>
    </w:p>
    <w:p w14:paraId="7B642917">
      <w:pPr>
        <w:spacing w:line="360" w:lineRule="exact"/>
        <w:rPr>
          <w:rFonts w:hint="eastAsia" w:ascii="宋体" w:hAnsi="宋体"/>
          <w:sz w:val="24"/>
        </w:rPr>
      </w:pPr>
    </w:p>
    <w:p w14:paraId="15277CB3">
      <w:pPr>
        <w:pStyle w:val="21"/>
        <w:spacing w:line="360" w:lineRule="exact"/>
        <w:ind w:left="480" w:right="508" w:hanging="480"/>
        <w:jc w:val="both"/>
        <w:outlineLvl w:val="0"/>
        <w:rPr>
          <w:b/>
          <w:kern w:val="2"/>
          <w:szCs w:val="24"/>
        </w:rPr>
      </w:pPr>
      <w:r>
        <w:rPr>
          <w:rFonts w:hint="eastAsia"/>
          <w:b/>
          <w:kern w:val="2"/>
          <w:szCs w:val="24"/>
        </w:rPr>
        <w:t>附件2</w:t>
      </w:r>
    </w:p>
    <w:p w14:paraId="0B1142AD">
      <w:pPr>
        <w:spacing w:line="360" w:lineRule="exact"/>
        <w:ind w:right="2278"/>
        <w:jc w:val="center"/>
        <w:outlineLvl w:val="0"/>
        <w:rPr>
          <w:rFonts w:ascii="宋体" w:hAnsi="宋体"/>
          <w:sz w:val="28"/>
          <w:szCs w:val="28"/>
        </w:rPr>
      </w:pPr>
      <w:bookmarkStart w:id="182" w:name="_Toc373100990"/>
      <w:r>
        <w:rPr>
          <w:rFonts w:hint="eastAsia" w:ascii="宋体" w:hAnsi="宋体"/>
          <w:b/>
          <w:sz w:val="28"/>
          <w:szCs w:val="28"/>
        </w:rPr>
        <w:t>报价一览表</w:t>
      </w:r>
      <w:bookmarkEnd w:id="182"/>
    </w:p>
    <w:p w14:paraId="51754651">
      <w:pPr>
        <w:spacing w:line="360" w:lineRule="exact"/>
        <w:outlineLvl w:val="0"/>
        <w:rPr>
          <w:rFonts w:ascii="宋体" w:hAnsi="宋体"/>
          <w:sz w:val="24"/>
        </w:rPr>
      </w:pPr>
      <w:r>
        <w:rPr>
          <w:rFonts w:hint="eastAsia" w:ascii="宋体" w:hAnsi="宋体"/>
          <w:sz w:val="24"/>
        </w:rPr>
        <w:t>项目名称：</w:t>
      </w:r>
    </w:p>
    <w:p w14:paraId="4EE53138">
      <w:pPr>
        <w:spacing w:line="360" w:lineRule="exact"/>
        <w:rPr>
          <w:rFonts w:ascii="宋体" w:hAnsi="宋体"/>
          <w:sz w:val="24"/>
        </w:rPr>
      </w:pPr>
      <w:r>
        <w:rPr>
          <w:rFonts w:hint="eastAsia" w:ascii="宋体" w:hAnsi="宋体"/>
          <w:sz w:val="24"/>
        </w:rPr>
        <w:t xml:space="preserve">供应商名称： （盖章）                           </w:t>
      </w:r>
    </w:p>
    <w:p w14:paraId="4F0E9D15">
      <w:pPr>
        <w:spacing w:line="360" w:lineRule="exact"/>
        <w:rPr>
          <w:rFonts w:ascii="宋体" w:hAnsi="宋体"/>
          <w:sz w:val="24"/>
        </w:rPr>
      </w:pPr>
    </w:p>
    <w:tbl>
      <w:tblPr>
        <w:tblStyle w:val="37"/>
        <w:tblW w:w="8380" w:type="dxa"/>
        <w:jc w:val="center"/>
        <w:tblLayout w:type="fixed"/>
        <w:tblCellMar>
          <w:top w:w="0" w:type="dxa"/>
          <w:left w:w="54" w:type="dxa"/>
          <w:bottom w:w="0" w:type="dxa"/>
          <w:right w:w="54" w:type="dxa"/>
        </w:tblCellMar>
      </w:tblPr>
      <w:tblGrid>
        <w:gridCol w:w="597"/>
        <w:gridCol w:w="1224"/>
        <w:gridCol w:w="2396"/>
        <w:gridCol w:w="724"/>
        <w:gridCol w:w="724"/>
        <w:gridCol w:w="905"/>
        <w:gridCol w:w="905"/>
        <w:gridCol w:w="905"/>
      </w:tblGrid>
      <w:tr w14:paraId="2E261A25">
        <w:tblPrEx>
          <w:tblCellMar>
            <w:top w:w="0" w:type="dxa"/>
            <w:left w:w="54" w:type="dxa"/>
            <w:bottom w:w="0" w:type="dxa"/>
            <w:right w:w="54" w:type="dxa"/>
          </w:tblCellMar>
        </w:tblPrEx>
        <w:trPr>
          <w:cantSplit/>
          <w:trHeight w:val="499" w:hRule="atLeast"/>
          <w:jc w:val="center"/>
        </w:trPr>
        <w:tc>
          <w:tcPr>
            <w:tcW w:w="597" w:type="dxa"/>
            <w:tcBorders>
              <w:top w:val="single" w:color="auto" w:sz="6" w:space="0"/>
              <w:left w:val="single" w:color="auto" w:sz="6" w:space="0"/>
              <w:bottom w:val="single" w:color="auto" w:sz="6" w:space="0"/>
              <w:right w:val="single" w:color="auto" w:sz="6" w:space="0"/>
            </w:tcBorders>
            <w:noWrap/>
            <w:vAlign w:val="center"/>
          </w:tcPr>
          <w:p w14:paraId="11C2D7E8">
            <w:pPr>
              <w:spacing w:line="360" w:lineRule="exact"/>
              <w:jc w:val="center"/>
              <w:rPr>
                <w:rFonts w:ascii="宋体" w:hAnsi="宋体"/>
                <w:sz w:val="24"/>
              </w:rPr>
            </w:pPr>
            <w:r>
              <w:rPr>
                <w:rFonts w:hint="eastAsia" w:ascii="宋体" w:hAnsi="宋体"/>
                <w:sz w:val="24"/>
              </w:rPr>
              <w:t>1</w:t>
            </w:r>
          </w:p>
        </w:tc>
        <w:tc>
          <w:tcPr>
            <w:tcW w:w="1224" w:type="dxa"/>
            <w:tcBorders>
              <w:top w:val="single" w:color="auto" w:sz="6" w:space="0"/>
              <w:left w:val="single" w:color="auto" w:sz="6" w:space="0"/>
              <w:bottom w:val="single" w:color="auto" w:sz="6" w:space="0"/>
              <w:right w:val="single" w:color="auto" w:sz="6" w:space="0"/>
            </w:tcBorders>
            <w:noWrap/>
            <w:vAlign w:val="center"/>
          </w:tcPr>
          <w:p w14:paraId="7D298719">
            <w:pPr>
              <w:spacing w:line="360" w:lineRule="exact"/>
              <w:jc w:val="center"/>
              <w:rPr>
                <w:rFonts w:ascii="宋体" w:hAnsi="宋体"/>
                <w:sz w:val="24"/>
              </w:rPr>
            </w:pPr>
            <w:r>
              <w:rPr>
                <w:rFonts w:hint="eastAsia" w:ascii="宋体" w:hAnsi="宋体"/>
                <w:sz w:val="24"/>
              </w:rPr>
              <w:t>2</w:t>
            </w:r>
          </w:p>
        </w:tc>
        <w:tc>
          <w:tcPr>
            <w:tcW w:w="2396" w:type="dxa"/>
            <w:tcBorders>
              <w:top w:val="single" w:color="auto" w:sz="6" w:space="0"/>
              <w:left w:val="single" w:color="auto" w:sz="6" w:space="0"/>
              <w:bottom w:val="single" w:color="auto" w:sz="6" w:space="0"/>
              <w:right w:val="single" w:color="auto" w:sz="6" w:space="0"/>
            </w:tcBorders>
            <w:noWrap/>
            <w:vAlign w:val="center"/>
          </w:tcPr>
          <w:p w14:paraId="07106412">
            <w:pPr>
              <w:spacing w:line="360" w:lineRule="exact"/>
              <w:jc w:val="center"/>
              <w:rPr>
                <w:rFonts w:ascii="宋体" w:hAnsi="宋体"/>
                <w:sz w:val="24"/>
              </w:rPr>
            </w:pPr>
            <w:r>
              <w:rPr>
                <w:rFonts w:hint="eastAsia" w:ascii="宋体" w:hAnsi="宋体"/>
                <w:sz w:val="24"/>
              </w:rPr>
              <w:t>3</w:t>
            </w:r>
          </w:p>
        </w:tc>
        <w:tc>
          <w:tcPr>
            <w:tcW w:w="724" w:type="dxa"/>
            <w:tcBorders>
              <w:top w:val="single" w:color="auto" w:sz="6" w:space="0"/>
              <w:left w:val="single" w:color="auto" w:sz="6" w:space="0"/>
              <w:bottom w:val="single" w:color="auto" w:sz="6" w:space="0"/>
              <w:right w:val="single" w:color="auto" w:sz="4" w:space="0"/>
            </w:tcBorders>
            <w:noWrap/>
            <w:vAlign w:val="center"/>
          </w:tcPr>
          <w:p w14:paraId="32FC04C3">
            <w:pPr>
              <w:spacing w:line="360" w:lineRule="exact"/>
              <w:jc w:val="center"/>
              <w:rPr>
                <w:rFonts w:ascii="宋体" w:hAnsi="宋体"/>
                <w:sz w:val="24"/>
              </w:rPr>
            </w:pPr>
            <w:r>
              <w:rPr>
                <w:rFonts w:hint="eastAsia" w:ascii="宋体" w:hAnsi="宋体"/>
                <w:sz w:val="24"/>
              </w:rPr>
              <w:t>4</w:t>
            </w:r>
          </w:p>
        </w:tc>
        <w:tc>
          <w:tcPr>
            <w:tcW w:w="724" w:type="dxa"/>
            <w:tcBorders>
              <w:top w:val="single" w:color="auto" w:sz="6" w:space="0"/>
              <w:left w:val="single" w:color="auto" w:sz="4" w:space="0"/>
              <w:bottom w:val="single" w:color="auto" w:sz="6" w:space="0"/>
              <w:right w:val="single" w:color="auto" w:sz="4" w:space="0"/>
            </w:tcBorders>
            <w:noWrap/>
            <w:vAlign w:val="center"/>
          </w:tcPr>
          <w:p w14:paraId="12DE3E61">
            <w:pPr>
              <w:spacing w:line="360" w:lineRule="exact"/>
              <w:jc w:val="center"/>
              <w:rPr>
                <w:rFonts w:ascii="宋体" w:hAnsi="宋体"/>
                <w:sz w:val="24"/>
              </w:rPr>
            </w:pPr>
            <w:r>
              <w:rPr>
                <w:rFonts w:hint="eastAsia" w:ascii="宋体" w:hAnsi="宋体"/>
                <w:sz w:val="24"/>
              </w:rPr>
              <w:t>5</w:t>
            </w:r>
          </w:p>
        </w:tc>
        <w:tc>
          <w:tcPr>
            <w:tcW w:w="905" w:type="dxa"/>
            <w:tcBorders>
              <w:top w:val="single" w:color="auto" w:sz="6" w:space="0"/>
              <w:left w:val="single" w:color="auto" w:sz="4" w:space="0"/>
              <w:bottom w:val="single" w:color="auto" w:sz="6" w:space="0"/>
              <w:right w:val="single" w:color="auto" w:sz="6" w:space="0"/>
            </w:tcBorders>
            <w:noWrap/>
            <w:vAlign w:val="center"/>
          </w:tcPr>
          <w:p w14:paraId="4DC92E9F">
            <w:pPr>
              <w:spacing w:line="360" w:lineRule="exact"/>
              <w:jc w:val="center"/>
              <w:rPr>
                <w:rFonts w:ascii="宋体" w:hAnsi="宋体"/>
                <w:sz w:val="24"/>
              </w:rPr>
            </w:pPr>
            <w:r>
              <w:rPr>
                <w:rFonts w:hint="eastAsia" w:ascii="宋体" w:hAnsi="宋体"/>
                <w:sz w:val="24"/>
              </w:rPr>
              <w:t>6</w:t>
            </w:r>
          </w:p>
        </w:tc>
        <w:tc>
          <w:tcPr>
            <w:tcW w:w="905" w:type="dxa"/>
            <w:tcBorders>
              <w:top w:val="single" w:color="auto" w:sz="6" w:space="0"/>
              <w:left w:val="single" w:color="auto" w:sz="6" w:space="0"/>
              <w:bottom w:val="single" w:color="auto" w:sz="6" w:space="0"/>
              <w:right w:val="single" w:color="auto" w:sz="4" w:space="0"/>
            </w:tcBorders>
            <w:noWrap/>
            <w:vAlign w:val="center"/>
          </w:tcPr>
          <w:p w14:paraId="64E58A0A">
            <w:pPr>
              <w:spacing w:line="360" w:lineRule="exact"/>
              <w:jc w:val="center"/>
              <w:rPr>
                <w:rFonts w:ascii="宋体" w:hAnsi="宋体"/>
                <w:sz w:val="24"/>
              </w:rPr>
            </w:pPr>
            <w:r>
              <w:rPr>
                <w:rFonts w:hint="eastAsia" w:ascii="宋体" w:hAnsi="宋体"/>
                <w:sz w:val="24"/>
              </w:rPr>
              <w:t>7</w:t>
            </w:r>
          </w:p>
        </w:tc>
        <w:tc>
          <w:tcPr>
            <w:tcW w:w="905" w:type="dxa"/>
            <w:tcBorders>
              <w:top w:val="single" w:color="auto" w:sz="6" w:space="0"/>
              <w:left w:val="single" w:color="auto" w:sz="6" w:space="0"/>
              <w:bottom w:val="single" w:color="auto" w:sz="6" w:space="0"/>
              <w:right w:val="single" w:color="auto" w:sz="4" w:space="0"/>
            </w:tcBorders>
            <w:noWrap/>
            <w:vAlign w:val="center"/>
          </w:tcPr>
          <w:p w14:paraId="3FF1611B">
            <w:pPr>
              <w:spacing w:line="360" w:lineRule="exact"/>
              <w:jc w:val="center"/>
              <w:rPr>
                <w:rFonts w:hint="eastAsia" w:ascii="宋体" w:hAnsi="宋体" w:eastAsia="宋体"/>
                <w:sz w:val="24"/>
                <w:lang w:val="en-US" w:eastAsia="zh-CN"/>
              </w:rPr>
            </w:pPr>
            <w:r>
              <w:rPr>
                <w:rFonts w:hint="eastAsia" w:ascii="宋体" w:hAnsi="宋体"/>
                <w:sz w:val="24"/>
                <w:lang w:val="en-US" w:eastAsia="zh-CN"/>
              </w:rPr>
              <w:t>8</w:t>
            </w:r>
          </w:p>
        </w:tc>
      </w:tr>
      <w:tr w14:paraId="2A876777">
        <w:tblPrEx>
          <w:tblCellMar>
            <w:top w:w="0" w:type="dxa"/>
            <w:left w:w="54" w:type="dxa"/>
            <w:bottom w:w="0" w:type="dxa"/>
            <w:right w:w="54" w:type="dxa"/>
          </w:tblCellMar>
        </w:tblPrEx>
        <w:trPr>
          <w:cantSplit/>
          <w:trHeight w:val="499" w:hRule="atLeast"/>
          <w:jc w:val="center"/>
        </w:trPr>
        <w:tc>
          <w:tcPr>
            <w:tcW w:w="597" w:type="dxa"/>
            <w:tcBorders>
              <w:top w:val="single" w:color="auto" w:sz="6" w:space="0"/>
              <w:left w:val="single" w:color="auto" w:sz="6" w:space="0"/>
              <w:bottom w:val="single" w:color="auto" w:sz="6" w:space="0"/>
              <w:right w:val="single" w:color="auto" w:sz="6" w:space="0"/>
            </w:tcBorders>
            <w:noWrap/>
            <w:vAlign w:val="center"/>
          </w:tcPr>
          <w:p w14:paraId="6CF4E379">
            <w:pPr>
              <w:spacing w:line="360" w:lineRule="exact"/>
              <w:jc w:val="center"/>
              <w:rPr>
                <w:rFonts w:ascii="宋体" w:hAnsi="宋体"/>
                <w:sz w:val="24"/>
              </w:rPr>
            </w:pPr>
            <w:r>
              <w:rPr>
                <w:rFonts w:hint="eastAsia" w:ascii="宋体" w:hAnsi="宋体"/>
                <w:sz w:val="24"/>
              </w:rPr>
              <w:t>序号</w:t>
            </w:r>
          </w:p>
        </w:tc>
        <w:tc>
          <w:tcPr>
            <w:tcW w:w="1224" w:type="dxa"/>
            <w:tcBorders>
              <w:top w:val="single" w:color="auto" w:sz="6" w:space="0"/>
              <w:left w:val="single" w:color="auto" w:sz="6" w:space="0"/>
              <w:bottom w:val="single" w:color="auto" w:sz="6" w:space="0"/>
              <w:right w:val="single" w:color="auto" w:sz="6" w:space="0"/>
            </w:tcBorders>
            <w:noWrap/>
            <w:vAlign w:val="center"/>
          </w:tcPr>
          <w:p w14:paraId="52418908">
            <w:pPr>
              <w:spacing w:line="360" w:lineRule="exact"/>
              <w:jc w:val="center"/>
              <w:rPr>
                <w:rFonts w:ascii="宋体" w:hAnsi="宋体"/>
                <w:sz w:val="24"/>
              </w:rPr>
            </w:pPr>
            <w:r>
              <w:rPr>
                <w:rFonts w:hint="eastAsia" w:ascii="宋体" w:hAnsi="宋体"/>
                <w:sz w:val="24"/>
                <w:lang w:val="en-US" w:eastAsia="zh-CN"/>
              </w:rPr>
              <w:t>服务</w:t>
            </w:r>
            <w:r>
              <w:rPr>
                <w:rFonts w:hint="eastAsia" w:ascii="宋体" w:hAnsi="宋体"/>
                <w:sz w:val="24"/>
              </w:rPr>
              <w:t>名称</w:t>
            </w:r>
          </w:p>
        </w:tc>
        <w:tc>
          <w:tcPr>
            <w:tcW w:w="2396" w:type="dxa"/>
            <w:tcBorders>
              <w:top w:val="single" w:color="auto" w:sz="6" w:space="0"/>
              <w:left w:val="single" w:color="auto" w:sz="6" w:space="0"/>
              <w:bottom w:val="single" w:color="auto" w:sz="6" w:space="0"/>
              <w:right w:val="single" w:color="auto" w:sz="6" w:space="0"/>
            </w:tcBorders>
            <w:noWrap/>
            <w:vAlign w:val="center"/>
          </w:tcPr>
          <w:p w14:paraId="6E1A4EA2">
            <w:pPr>
              <w:spacing w:line="360" w:lineRule="exact"/>
              <w:jc w:val="center"/>
              <w:rPr>
                <w:rFonts w:hint="eastAsia" w:ascii="宋体" w:hAnsi="宋体" w:eastAsia="宋体"/>
                <w:sz w:val="24"/>
                <w:lang w:eastAsia="zh-CN"/>
              </w:rPr>
            </w:pPr>
            <w:r>
              <w:rPr>
                <w:rFonts w:hint="eastAsia" w:ascii="宋体" w:hAnsi="宋体"/>
                <w:sz w:val="24"/>
                <w:lang w:val="en-US" w:eastAsia="zh-CN"/>
              </w:rPr>
              <w:t>服务内容</w:t>
            </w:r>
          </w:p>
        </w:tc>
        <w:tc>
          <w:tcPr>
            <w:tcW w:w="724" w:type="dxa"/>
            <w:tcBorders>
              <w:top w:val="single" w:color="auto" w:sz="6" w:space="0"/>
              <w:left w:val="single" w:color="auto" w:sz="6" w:space="0"/>
              <w:bottom w:val="single" w:color="auto" w:sz="6" w:space="0"/>
              <w:right w:val="single" w:color="auto" w:sz="4" w:space="0"/>
            </w:tcBorders>
            <w:noWrap/>
            <w:vAlign w:val="center"/>
          </w:tcPr>
          <w:p w14:paraId="5245E7E9">
            <w:pPr>
              <w:spacing w:line="360" w:lineRule="exact"/>
              <w:jc w:val="center"/>
              <w:rPr>
                <w:rFonts w:ascii="宋体" w:hAnsi="宋体"/>
                <w:sz w:val="24"/>
              </w:rPr>
            </w:pPr>
            <w:r>
              <w:rPr>
                <w:rFonts w:hint="eastAsia" w:ascii="宋体" w:hAnsi="宋体"/>
                <w:sz w:val="24"/>
              </w:rPr>
              <w:t>数量</w:t>
            </w:r>
          </w:p>
        </w:tc>
        <w:tc>
          <w:tcPr>
            <w:tcW w:w="724" w:type="dxa"/>
            <w:tcBorders>
              <w:top w:val="single" w:color="auto" w:sz="6" w:space="0"/>
              <w:left w:val="single" w:color="auto" w:sz="4" w:space="0"/>
              <w:bottom w:val="single" w:color="auto" w:sz="6" w:space="0"/>
              <w:right w:val="single" w:color="auto" w:sz="4" w:space="0"/>
            </w:tcBorders>
            <w:noWrap/>
            <w:vAlign w:val="center"/>
          </w:tcPr>
          <w:p w14:paraId="7F56E887">
            <w:pPr>
              <w:spacing w:line="360" w:lineRule="exact"/>
              <w:jc w:val="center"/>
              <w:rPr>
                <w:rFonts w:ascii="宋体" w:hAnsi="宋体"/>
                <w:sz w:val="24"/>
              </w:rPr>
            </w:pPr>
            <w:r>
              <w:rPr>
                <w:rFonts w:hint="eastAsia" w:ascii="宋体" w:hAnsi="宋体"/>
                <w:sz w:val="24"/>
              </w:rPr>
              <w:t>单位</w:t>
            </w:r>
          </w:p>
        </w:tc>
        <w:tc>
          <w:tcPr>
            <w:tcW w:w="905" w:type="dxa"/>
            <w:tcBorders>
              <w:top w:val="single" w:color="auto" w:sz="6" w:space="0"/>
              <w:left w:val="single" w:color="auto" w:sz="4" w:space="0"/>
              <w:bottom w:val="single" w:color="auto" w:sz="6" w:space="0"/>
              <w:right w:val="single" w:color="auto" w:sz="6" w:space="0"/>
            </w:tcBorders>
            <w:noWrap/>
            <w:vAlign w:val="center"/>
          </w:tcPr>
          <w:p w14:paraId="4E741FF5">
            <w:pPr>
              <w:spacing w:line="360" w:lineRule="exact"/>
              <w:jc w:val="center"/>
              <w:rPr>
                <w:rFonts w:ascii="宋体" w:hAnsi="宋体"/>
                <w:sz w:val="24"/>
              </w:rPr>
            </w:pPr>
            <w:r>
              <w:rPr>
                <w:rFonts w:hint="eastAsia" w:ascii="宋体" w:hAnsi="宋体"/>
                <w:sz w:val="24"/>
              </w:rPr>
              <w:t>单价</w:t>
            </w:r>
          </w:p>
        </w:tc>
        <w:tc>
          <w:tcPr>
            <w:tcW w:w="905" w:type="dxa"/>
            <w:tcBorders>
              <w:top w:val="single" w:color="auto" w:sz="6" w:space="0"/>
              <w:left w:val="single" w:color="auto" w:sz="6" w:space="0"/>
              <w:bottom w:val="single" w:color="auto" w:sz="6" w:space="0"/>
              <w:right w:val="single" w:color="auto" w:sz="4" w:space="0"/>
            </w:tcBorders>
            <w:noWrap/>
            <w:vAlign w:val="center"/>
          </w:tcPr>
          <w:p w14:paraId="66C88A17">
            <w:pPr>
              <w:spacing w:line="360" w:lineRule="exact"/>
              <w:jc w:val="center"/>
              <w:rPr>
                <w:rFonts w:ascii="宋体" w:hAnsi="宋体"/>
                <w:sz w:val="24"/>
              </w:rPr>
            </w:pPr>
            <w:r>
              <w:rPr>
                <w:rFonts w:hint="eastAsia" w:ascii="宋体" w:hAnsi="宋体"/>
                <w:sz w:val="24"/>
              </w:rPr>
              <w:t>投标单项总价</w:t>
            </w:r>
          </w:p>
        </w:tc>
        <w:tc>
          <w:tcPr>
            <w:tcW w:w="905" w:type="dxa"/>
            <w:tcBorders>
              <w:top w:val="single" w:color="auto" w:sz="6" w:space="0"/>
              <w:left w:val="single" w:color="auto" w:sz="6" w:space="0"/>
              <w:bottom w:val="single" w:color="auto" w:sz="6" w:space="0"/>
              <w:right w:val="single" w:color="auto" w:sz="4" w:space="0"/>
            </w:tcBorders>
            <w:noWrap/>
            <w:vAlign w:val="center"/>
          </w:tcPr>
          <w:p w14:paraId="01ADAA8F">
            <w:pPr>
              <w:spacing w:line="360" w:lineRule="exact"/>
              <w:jc w:val="center"/>
              <w:rPr>
                <w:rFonts w:hint="eastAsia" w:ascii="宋体" w:hAnsi="宋体" w:eastAsia="宋体"/>
                <w:sz w:val="24"/>
                <w:lang w:eastAsia="zh-CN"/>
              </w:rPr>
            </w:pPr>
            <w:r>
              <w:rPr>
                <w:rFonts w:hint="eastAsia" w:ascii="宋体" w:hAnsi="宋体"/>
                <w:sz w:val="24"/>
                <w:lang w:eastAsia="zh-CN"/>
              </w:rPr>
              <w:t>交付期</w:t>
            </w:r>
          </w:p>
        </w:tc>
      </w:tr>
      <w:tr w14:paraId="1EC7A281">
        <w:tblPrEx>
          <w:tblCellMar>
            <w:top w:w="0" w:type="dxa"/>
            <w:left w:w="54" w:type="dxa"/>
            <w:bottom w:w="0" w:type="dxa"/>
            <w:right w:w="54" w:type="dxa"/>
          </w:tblCellMar>
        </w:tblPrEx>
        <w:trPr>
          <w:cantSplit/>
          <w:trHeight w:val="120" w:hRule="atLeast"/>
          <w:jc w:val="center"/>
        </w:trPr>
        <w:tc>
          <w:tcPr>
            <w:tcW w:w="597" w:type="dxa"/>
            <w:tcBorders>
              <w:top w:val="single" w:color="auto" w:sz="6" w:space="0"/>
              <w:left w:val="single" w:color="auto" w:sz="6" w:space="0"/>
              <w:bottom w:val="single" w:color="auto" w:sz="4" w:space="0"/>
              <w:right w:val="single" w:color="auto" w:sz="6" w:space="0"/>
            </w:tcBorders>
            <w:noWrap/>
          </w:tcPr>
          <w:p w14:paraId="6EA5812F">
            <w:pPr>
              <w:spacing w:line="360" w:lineRule="exact"/>
              <w:rPr>
                <w:rFonts w:ascii="宋体" w:hAnsi="宋体"/>
                <w:sz w:val="24"/>
              </w:rPr>
            </w:pPr>
          </w:p>
        </w:tc>
        <w:tc>
          <w:tcPr>
            <w:tcW w:w="1224" w:type="dxa"/>
            <w:tcBorders>
              <w:top w:val="single" w:color="auto" w:sz="6" w:space="0"/>
              <w:left w:val="single" w:color="auto" w:sz="6" w:space="0"/>
              <w:bottom w:val="single" w:color="auto" w:sz="4" w:space="0"/>
              <w:right w:val="single" w:color="auto" w:sz="6" w:space="0"/>
            </w:tcBorders>
            <w:noWrap/>
          </w:tcPr>
          <w:p w14:paraId="4B83DAA8">
            <w:pPr>
              <w:spacing w:line="360" w:lineRule="exact"/>
              <w:rPr>
                <w:rFonts w:ascii="宋体" w:hAnsi="宋体"/>
                <w:sz w:val="24"/>
              </w:rPr>
            </w:pPr>
          </w:p>
        </w:tc>
        <w:tc>
          <w:tcPr>
            <w:tcW w:w="2396" w:type="dxa"/>
            <w:tcBorders>
              <w:top w:val="single" w:color="auto" w:sz="6" w:space="0"/>
              <w:left w:val="single" w:color="auto" w:sz="6" w:space="0"/>
              <w:bottom w:val="single" w:color="auto" w:sz="4" w:space="0"/>
              <w:right w:val="single" w:color="auto" w:sz="6" w:space="0"/>
            </w:tcBorders>
            <w:noWrap/>
          </w:tcPr>
          <w:p w14:paraId="378ED047">
            <w:pPr>
              <w:spacing w:line="360" w:lineRule="exact"/>
              <w:rPr>
                <w:rFonts w:ascii="宋体" w:hAnsi="宋体"/>
                <w:sz w:val="24"/>
              </w:rPr>
            </w:pPr>
          </w:p>
        </w:tc>
        <w:tc>
          <w:tcPr>
            <w:tcW w:w="724" w:type="dxa"/>
            <w:tcBorders>
              <w:top w:val="single" w:color="auto" w:sz="6" w:space="0"/>
              <w:left w:val="single" w:color="auto" w:sz="6" w:space="0"/>
              <w:bottom w:val="single" w:color="auto" w:sz="4" w:space="0"/>
              <w:right w:val="single" w:color="auto" w:sz="4" w:space="0"/>
            </w:tcBorders>
            <w:noWrap/>
          </w:tcPr>
          <w:p w14:paraId="7ADCC541">
            <w:pPr>
              <w:spacing w:line="360" w:lineRule="exact"/>
              <w:rPr>
                <w:rFonts w:ascii="宋体" w:hAnsi="宋体"/>
                <w:sz w:val="24"/>
              </w:rPr>
            </w:pPr>
          </w:p>
        </w:tc>
        <w:tc>
          <w:tcPr>
            <w:tcW w:w="724" w:type="dxa"/>
            <w:tcBorders>
              <w:top w:val="single" w:color="auto" w:sz="6" w:space="0"/>
              <w:left w:val="single" w:color="auto" w:sz="4" w:space="0"/>
              <w:bottom w:val="single" w:color="auto" w:sz="4" w:space="0"/>
              <w:right w:val="single" w:color="auto" w:sz="4" w:space="0"/>
            </w:tcBorders>
            <w:noWrap/>
          </w:tcPr>
          <w:p w14:paraId="700B9131">
            <w:pPr>
              <w:spacing w:line="360" w:lineRule="exact"/>
              <w:rPr>
                <w:rFonts w:ascii="宋体" w:hAnsi="宋体"/>
                <w:sz w:val="24"/>
              </w:rPr>
            </w:pPr>
          </w:p>
        </w:tc>
        <w:tc>
          <w:tcPr>
            <w:tcW w:w="905" w:type="dxa"/>
            <w:tcBorders>
              <w:top w:val="single" w:color="auto" w:sz="6" w:space="0"/>
              <w:left w:val="single" w:color="auto" w:sz="4" w:space="0"/>
              <w:bottom w:val="single" w:color="auto" w:sz="4" w:space="0"/>
              <w:right w:val="single" w:color="auto" w:sz="6" w:space="0"/>
            </w:tcBorders>
            <w:noWrap/>
          </w:tcPr>
          <w:p w14:paraId="5823FCCC">
            <w:pPr>
              <w:spacing w:line="360" w:lineRule="exact"/>
              <w:rPr>
                <w:rFonts w:ascii="宋体" w:hAnsi="宋体"/>
                <w:sz w:val="24"/>
              </w:rPr>
            </w:pPr>
          </w:p>
        </w:tc>
        <w:tc>
          <w:tcPr>
            <w:tcW w:w="905" w:type="dxa"/>
            <w:tcBorders>
              <w:top w:val="single" w:color="auto" w:sz="6" w:space="0"/>
              <w:left w:val="single" w:color="auto" w:sz="6" w:space="0"/>
              <w:bottom w:val="single" w:color="auto" w:sz="4" w:space="0"/>
              <w:right w:val="single" w:color="auto" w:sz="4" w:space="0"/>
            </w:tcBorders>
            <w:noWrap/>
          </w:tcPr>
          <w:p w14:paraId="5D7C485F">
            <w:pPr>
              <w:spacing w:line="360" w:lineRule="exact"/>
              <w:rPr>
                <w:rFonts w:ascii="宋体" w:hAnsi="宋体"/>
                <w:sz w:val="24"/>
              </w:rPr>
            </w:pPr>
          </w:p>
        </w:tc>
        <w:tc>
          <w:tcPr>
            <w:tcW w:w="905" w:type="dxa"/>
            <w:tcBorders>
              <w:top w:val="single" w:color="auto" w:sz="6" w:space="0"/>
              <w:left w:val="single" w:color="auto" w:sz="6" w:space="0"/>
              <w:bottom w:val="single" w:color="auto" w:sz="4" w:space="0"/>
              <w:right w:val="single" w:color="auto" w:sz="4" w:space="0"/>
            </w:tcBorders>
            <w:noWrap/>
          </w:tcPr>
          <w:p w14:paraId="7A7E58FD">
            <w:pPr>
              <w:spacing w:line="360" w:lineRule="exact"/>
              <w:rPr>
                <w:rFonts w:ascii="宋体" w:hAnsi="宋体"/>
                <w:sz w:val="24"/>
              </w:rPr>
            </w:pPr>
          </w:p>
        </w:tc>
      </w:tr>
      <w:tr w14:paraId="27B568B2">
        <w:tblPrEx>
          <w:tblCellMar>
            <w:top w:w="0" w:type="dxa"/>
            <w:left w:w="54" w:type="dxa"/>
            <w:bottom w:w="0" w:type="dxa"/>
            <w:right w:w="54" w:type="dxa"/>
          </w:tblCellMar>
        </w:tblPrEx>
        <w:trPr>
          <w:cantSplit/>
          <w:trHeight w:val="150" w:hRule="atLeast"/>
          <w:jc w:val="center"/>
        </w:trPr>
        <w:tc>
          <w:tcPr>
            <w:tcW w:w="597" w:type="dxa"/>
            <w:tcBorders>
              <w:top w:val="single" w:color="auto" w:sz="4" w:space="0"/>
              <w:left w:val="single" w:color="auto" w:sz="6" w:space="0"/>
              <w:bottom w:val="single" w:color="auto" w:sz="4" w:space="0"/>
              <w:right w:val="single" w:color="auto" w:sz="6" w:space="0"/>
            </w:tcBorders>
            <w:noWrap/>
          </w:tcPr>
          <w:p w14:paraId="01854D61">
            <w:pPr>
              <w:spacing w:line="360" w:lineRule="exact"/>
              <w:rPr>
                <w:rFonts w:ascii="宋体" w:hAnsi="宋体"/>
                <w:sz w:val="24"/>
              </w:rPr>
            </w:pPr>
          </w:p>
        </w:tc>
        <w:tc>
          <w:tcPr>
            <w:tcW w:w="1224" w:type="dxa"/>
            <w:tcBorders>
              <w:top w:val="single" w:color="auto" w:sz="4" w:space="0"/>
              <w:left w:val="single" w:color="auto" w:sz="6" w:space="0"/>
              <w:bottom w:val="single" w:color="auto" w:sz="4" w:space="0"/>
              <w:right w:val="single" w:color="auto" w:sz="6" w:space="0"/>
            </w:tcBorders>
            <w:noWrap/>
          </w:tcPr>
          <w:p w14:paraId="31D870E5">
            <w:pPr>
              <w:spacing w:line="360" w:lineRule="exact"/>
              <w:rPr>
                <w:rFonts w:ascii="宋体" w:hAnsi="宋体"/>
                <w:sz w:val="24"/>
              </w:rPr>
            </w:pPr>
          </w:p>
        </w:tc>
        <w:tc>
          <w:tcPr>
            <w:tcW w:w="2396" w:type="dxa"/>
            <w:tcBorders>
              <w:top w:val="single" w:color="auto" w:sz="4" w:space="0"/>
              <w:left w:val="single" w:color="auto" w:sz="6" w:space="0"/>
              <w:bottom w:val="single" w:color="auto" w:sz="4" w:space="0"/>
              <w:right w:val="single" w:color="auto" w:sz="6" w:space="0"/>
            </w:tcBorders>
            <w:noWrap/>
          </w:tcPr>
          <w:p w14:paraId="3594B1B5">
            <w:pPr>
              <w:spacing w:line="360" w:lineRule="exact"/>
              <w:rPr>
                <w:rFonts w:ascii="宋体" w:hAnsi="宋体"/>
                <w:sz w:val="24"/>
              </w:rPr>
            </w:pPr>
          </w:p>
        </w:tc>
        <w:tc>
          <w:tcPr>
            <w:tcW w:w="724" w:type="dxa"/>
            <w:tcBorders>
              <w:top w:val="single" w:color="auto" w:sz="4" w:space="0"/>
              <w:left w:val="single" w:color="auto" w:sz="6" w:space="0"/>
              <w:bottom w:val="single" w:color="auto" w:sz="4" w:space="0"/>
              <w:right w:val="single" w:color="auto" w:sz="4" w:space="0"/>
            </w:tcBorders>
            <w:noWrap/>
          </w:tcPr>
          <w:p w14:paraId="6062EA41">
            <w:pPr>
              <w:spacing w:line="360" w:lineRule="exact"/>
              <w:rPr>
                <w:rFonts w:ascii="宋体" w:hAnsi="宋体"/>
                <w:sz w:val="24"/>
              </w:rPr>
            </w:pPr>
          </w:p>
        </w:tc>
        <w:tc>
          <w:tcPr>
            <w:tcW w:w="724" w:type="dxa"/>
            <w:tcBorders>
              <w:top w:val="single" w:color="auto" w:sz="4" w:space="0"/>
              <w:left w:val="single" w:color="auto" w:sz="4" w:space="0"/>
              <w:bottom w:val="single" w:color="auto" w:sz="4" w:space="0"/>
              <w:right w:val="single" w:color="auto" w:sz="4" w:space="0"/>
            </w:tcBorders>
            <w:noWrap/>
          </w:tcPr>
          <w:p w14:paraId="768BBC3F">
            <w:pPr>
              <w:spacing w:line="360" w:lineRule="exact"/>
              <w:rPr>
                <w:rFonts w:ascii="宋体" w:hAnsi="宋体"/>
                <w:sz w:val="24"/>
              </w:rPr>
            </w:pPr>
          </w:p>
        </w:tc>
        <w:tc>
          <w:tcPr>
            <w:tcW w:w="905" w:type="dxa"/>
            <w:tcBorders>
              <w:top w:val="single" w:color="auto" w:sz="4" w:space="0"/>
              <w:left w:val="single" w:color="auto" w:sz="4" w:space="0"/>
              <w:bottom w:val="single" w:color="auto" w:sz="4" w:space="0"/>
              <w:right w:val="single" w:color="auto" w:sz="6" w:space="0"/>
            </w:tcBorders>
            <w:noWrap/>
          </w:tcPr>
          <w:p w14:paraId="521430F5">
            <w:pPr>
              <w:spacing w:line="360" w:lineRule="exact"/>
              <w:rPr>
                <w:rFonts w:ascii="宋体" w:hAnsi="宋体"/>
                <w:sz w:val="24"/>
              </w:rPr>
            </w:pPr>
          </w:p>
        </w:tc>
        <w:tc>
          <w:tcPr>
            <w:tcW w:w="905" w:type="dxa"/>
            <w:tcBorders>
              <w:top w:val="single" w:color="auto" w:sz="4" w:space="0"/>
              <w:left w:val="single" w:color="auto" w:sz="6" w:space="0"/>
              <w:bottom w:val="single" w:color="auto" w:sz="4" w:space="0"/>
              <w:right w:val="single" w:color="auto" w:sz="4" w:space="0"/>
            </w:tcBorders>
            <w:noWrap/>
          </w:tcPr>
          <w:p w14:paraId="28C49105">
            <w:pPr>
              <w:spacing w:line="360" w:lineRule="exact"/>
              <w:rPr>
                <w:rFonts w:ascii="宋体" w:hAnsi="宋体"/>
                <w:sz w:val="24"/>
              </w:rPr>
            </w:pPr>
          </w:p>
        </w:tc>
        <w:tc>
          <w:tcPr>
            <w:tcW w:w="905" w:type="dxa"/>
            <w:tcBorders>
              <w:top w:val="single" w:color="auto" w:sz="4" w:space="0"/>
              <w:left w:val="single" w:color="auto" w:sz="6" w:space="0"/>
              <w:bottom w:val="single" w:color="auto" w:sz="4" w:space="0"/>
              <w:right w:val="single" w:color="auto" w:sz="4" w:space="0"/>
            </w:tcBorders>
            <w:noWrap/>
          </w:tcPr>
          <w:p w14:paraId="138B5092">
            <w:pPr>
              <w:spacing w:line="360" w:lineRule="exact"/>
              <w:rPr>
                <w:rFonts w:ascii="宋体" w:hAnsi="宋体"/>
                <w:sz w:val="24"/>
              </w:rPr>
            </w:pPr>
          </w:p>
        </w:tc>
      </w:tr>
      <w:tr w14:paraId="1DE5A58E">
        <w:tblPrEx>
          <w:tblCellMar>
            <w:top w:w="0" w:type="dxa"/>
            <w:left w:w="54" w:type="dxa"/>
            <w:bottom w:w="0" w:type="dxa"/>
            <w:right w:w="54" w:type="dxa"/>
          </w:tblCellMar>
        </w:tblPrEx>
        <w:trPr>
          <w:cantSplit/>
          <w:trHeight w:val="150" w:hRule="atLeast"/>
          <w:jc w:val="center"/>
        </w:trPr>
        <w:tc>
          <w:tcPr>
            <w:tcW w:w="597" w:type="dxa"/>
            <w:tcBorders>
              <w:top w:val="single" w:color="auto" w:sz="4" w:space="0"/>
              <w:left w:val="single" w:color="auto" w:sz="6" w:space="0"/>
              <w:bottom w:val="single" w:color="auto" w:sz="4" w:space="0"/>
              <w:right w:val="single" w:color="auto" w:sz="6" w:space="0"/>
            </w:tcBorders>
            <w:noWrap/>
          </w:tcPr>
          <w:p w14:paraId="11C4BFFD">
            <w:pPr>
              <w:spacing w:line="360" w:lineRule="exact"/>
              <w:rPr>
                <w:rFonts w:ascii="宋体" w:hAnsi="宋体"/>
                <w:sz w:val="24"/>
              </w:rPr>
            </w:pPr>
          </w:p>
        </w:tc>
        <w:tc>
          <w:tcPr>
            <w:tcW w:w="1224" w:type="dxa"/>
            <w:tcBorders>
              <w:top w:val="single" w:color="auto" w:sz="4" w:space="0"/>
              <w:left w:val="single" w:color="auto" w:sz="6" w:space="0"/>
              <w:bottom w:val="single" w:color="auto" w:sz="4" w:space="0"/>
              <w:right w:val="single" w:color="auto" w:sz="6" w:space="0"/>
            </w:tcBorders>
            <w:noWrap/>
          </w:tcPr>
          <w:p w14:paraId="7D2DD689">
            <w:pPr>
              <w:spacing w:line="360" w:lineRule="exact"/>
              <w:rPr>
                <w:rFonts w:ascii="宋体" w:hAnsi="宋体"/>
                <w:sz w:val="24"/>
              </w:rPr>
            </w:pPr>
          </w:p>
        </w:tc>
        <w:tc>
          <w:tcPr>
            <w:tcW w:w="2396" w:type="dxa"/>
            <w:tcBorders>
              <w:top w:val="single" w:color="auto" w:sz="4" w:space="0"/>
              <w:left w:val="single" w:color="auto" w:sz="6" w:space="0"/>
              <w:bottom w:val="single" w:color="auto" w:sz="4" w:space="0"/>
              <w:right w:val="single" w:color="auto" w:sz="6" w:space="0"/>
            </w:tcBorders>
            <w:noWrap/>
          </w:tcPr>
          <w:p w14:paraId="21C65E84">
            <w:pPr>
              <w:spacing w:line="360" w:lineRule="exact"/>
              <w:rPr>
                <w:rFonts w:ascii="宋体" w:hAnsi="宋体"/>
                <w:sz w:val="24"/>
              </w:rPr>
            </w:pPr>
          </w:p>
        </w:tc>
        <w:tc>
          <w:tcPr>
            <w:tcW w:w="724" w:type="dxa"/>
            <w:tcBorders>
              <w:top w:val="single" w:color="auto" w:sz="4" w:space="0"/>
              <w:left w:val="single" w:color="auto" w:sz="6" w:space="0"/>
              <w:bottom w:val="single" w:color="auto" w:sz="4" w:space="0"/>
              <w:right w:val="single" w:color="auto" w:sz="4" w:space="0"/>
            </w:tcBorders>
            <w:noWrap/>
          </w:tcPr>
          <w:p w14:paraId="542E2EBB">
            <w:pPr>
              <w:spacing w:line="360" w:lineRule="exact"/>
              <w:rPr>
                <w:rFonts w:ascii="宋体" w:hAnsi="宋体"/>
                <w:sz w:val="24"/>
              </w:rPr>
            </w:pPr>
          </w:p>
        </w:tc>
        <w:tc>
          <w:tcPr>
            <w:tcW w:w="724" w:type="dxa"/>
            <w:tcBorders>
              <w:top w:val="single" w:color="auto" w:sz="4" w:space="0"/>
              <w:left w:val="single" w:color="auto" w:sz="4" w:space="0"/>
              <w:bottom w:val="single" w:color="auto" w:sz="4" w:space="0"/>
              <w:right w:val="single" w:color="auto" w:sz="4" w:space="0"/>
            </w:tcBorders>
            <w:noWrap/>
          </w:tcPr>
          <w:p w14:paraId="68FECDC4">
            <w:pPr>
              <w:spacing w:line="360" w:lineRule="exact"/>
              <w:rPr>
                <w:rFonts w:ascii="宋体" w:hAnsi="宋体"/>
                <w:sz w:val="24"/>
              </w:rPr>
            </w:pPr>
          </w:p>
        </w:tc>
        <w:tc>
          <w:tcPr>
            <w:tcW w:w="905" w:type="dxa"/>
            <w:tcBorders>
              <w:top w:val="single" w:color="auto" w:sz="4" w:space="0"/>
              <w:left w:val="single" w:color="auto" w:sz="4" w:space="0"/>
              <w:bottom w:val="single" w:color="auto" w:sz="4" w:space="0"/>
              <w:right w:val="single" w:color="auto" w:sz="6" w:space="0"/>
            </w:tcBorders>
            <w:noWrap/>
          </w:tcPr>
          <w:p w14:paraId="54D1E66F">
            <w:pPr>
              <w:spacing w:line="360" w:lineRule="exact"/>
              <w:rPr>
                <w:rFonts w:ascii="宋体" w:hAnsi="宋体"/>
                <w:sz w:val="24"/>
              </w:rPr>
            </w:pPr>
          </w:p>
        </w:tc>
        <w:tc>
          <w:tcPr>
            <w:tcW w:w="905" w:type="dxa"/>
            <w:tcBorders>
              <w:top w:val="single" w:color="auto" w:sz="4" w:space="0"/>
              <w:left w:val="single" w:color="auto" w:sz="6" w:space="0"/>
              <w:bottom w:val="single" w:color="auto" w:sz="4" w:space="0"/>
              <w:right w:val="single" w:color="auto" w:sz="4" w:space="0"/>
            </w:tcBorders>
            <w:noWrap/>
          </w:tcPr>
          <w:p w14:paraId="1BA5A608">
            <w:pPr>
              <w:spacing w:line="360" w:lineRule="exact"/>
              <w:rPr>
                <w:rFonts w:ascii="宋体" w:hAnsi="宋体"/>
                <w:sz w:val="24"/>
              </w:rPr>
            </w:pPr>
          </w:p>
        </w:tc>
        <w:tc>
          <w:tcPr>
            <w:tcW w:w="905" w:type="dxa"/>
            <w:tcBorders>
              <w:top w:val="single" w:color="auto" w:sz="4" w:space="0"/>
              <w:left w:val="single" w:color="auto" w:sz="6" w:space="0"/>
              <w:bottom w:val="single" w:color="auto" w:sz="4" w:space="0"/>
              <w:right w:val="single" w:color="auto" w:sz="4" w:space="0"/>
            </w:tcBorders>
            <w:noWrap/>
          </w:tcPr>
          <w:p w14:paraId="3DD2FFD9">
            <w:pPr>
              <w:spacing w:line="360" w:lineRule="exact"/>
              <w:rPr>
                <w:rFonts w:ascii="宋体" w:hAnsi="宋体"/>
                <w:sz w:val="24"/>
              </w:rPr>
            </w:pPr>
          </w:p>
        </w:tc>
      </w:tr>
      <w:tr w14:paraId="013C7002">
        <w:tblPrEx>
          <w:tblCellMar>
            <w:top w:w="0" w:type="dxa"/>
            <w:left w:w="54" w:type="dxa"/>
            <w:bottom w:w="0" w:type="dxa"/>
            <w:right w:w="54" w:type="dxa"/>
          </w:tblCellMar>
        </w:tblPrEx>
        <w:trPr>
          <w:cantSplit/>
          <w:trHeight w:val="195" w:hRule="atLeast"/>
          <w:jc w:val="center"/>
        </w:trPr>
        <w:tc>
          <w:tcPr>
            <w:tcW w:w="597" w:type="dxa"/>
            <w:tcBorders>
              <w:top w:val="single" w:color="auto" w:sz="4" w:space="0"/>
              <w:left w:val="single" w:color="auto" w:sz="6" w:space="0"/>
              <w:bottom w:val="single" w:color="auto" w:sz="4" w:space="0"/>
              <w:right w:val="single" w:color="auto" w:sz="6" w:space="0"/>
            </w:tcBorders>
            <w:noWrap/>
          </w:tcPr>
          <w:p w14:paraId="53E5FC0A">
            <w:pPr>
              <w:spacing w:line="360" w:lineRule="exact"/>
              <w:rPr>
                <w:rFonts w:ascii="宋体" w:hAnsi="宋体"/>
                <w:sz w:val="24"/>
              </w:rPr>
            </w:pPr>
          </w:p>
        </w:tc>
        <w:tc>
          <w:tcPr>
            <w:tcW w:w="1224" w:type="dxa"/>
            <w:tcBorders>
              <w:top w:val="single" w:color="auto" w:sz="4" w:space="0"/>
              <w:left w:val="single" w:color="auto" w:sz="6" w:space="0"/>
              <w:bottom w:val="single" w:color="auto" w:sz="4" w:space="0"/>
              <w:right w:val="single" w:color="auto" w:sz="6" w:space="0"/>
            </w:tcBorders>
            <w:noWrap/>
          </w:tcPr>
          <w:p w14:paraId="50E8C408">
            <w:pPr>
              <w:spacing w:line="360" w:lineRule="exact"/>
              <w:rPr>
                <w:rFonts w:ascii="宋体" w:hAnsi="宋体"/>
                <w:sz w:val="24"/>
              </w:rPr>
            </w:pPr>
          </w:p>
        </w:tc>
        <w:tc>
          <w:tcPr>
            <w:tcW w:w="2396" w:type="dxa"/>
            <w:tcBorders>
              <w:top w:val="single" w:color="auto" w:sz="4" w:space="0"/>
              <w:left w:val="single" w:color="auto" w:sz="6" w:space="0"/>
              <w:bottom w:val="single" w:color="auto" w:sz="4" w:space="0"/>
              <w:right w:val="single" w:color="auto" w:sz="6" w:space="0"/>
            </w:tcBorders>
            <w:noWrap/>
          </w:tcPr>
          <w:p w14:paraId="08049904">
            <w:pPr>
              <w:spacing w:line="360" w:lineRule="exact"/>
              <w:rPr>
                <w:rFonts w:ascii="宋体" w:hAnsi="宋体"/>
                <w:sz w:val="24"/>
              </w:rPr>
            </w:pPr>
          </w:p>
        </w:tc>
        <w:tc>
          <w:tcPr>
            <w:tcW w:w="724" w:type="dxa"/>
            <w:tcBorders>
              <w:top w:val="single" w:color="auto" w:sz="4" w:space="0"/>
              <w:left w:val="single" w:color="auto" w:sz="6" w:space="0"/>
              <w:bottom w:val="single" w:color="auto" w:sz="4" w:space="0"/>
              <w:right w:val="single" w:color="auto" w:sz="4" w:space="0"/>
            </w:tcBorders>
            <w:noWrap/>
          </w:tcPr>
          <w:p w14:paraId="63C0A0A2">
            <w:pPr>
              <w:spacing w:line="360" w:lineRule="exact"/>
              <w:rPr>
                <w:rFonts w:ascii="宋体" w:hAnsi="宋体"/>
                <w:sz w:val="24"/>
              </w:rPr>
            </w:pPr>
          </w:p>
        </w:tc>
        <w:tc>
          <w:tcPr>
            <w:tcW w:w="724" w:type="dxa"/>
            <w:tcBorders>
              <w:top w:val="single" w:color="auto" w:sz="4" w:space="0"/>
              <w:left w:val="single" w:color="auto" w:sz="4" w:space="0"/>
              <w:bottom w:val="single" w:color="auto" w:sz="4" w:space="0"/>
              <w:right w:val="single" w:color="auto" w:sz="4" w:space="0"/>
            </w:tcBorders>
            <w:noWrap/>
          </w:tcPr>
          <w:p w14:paraId="3C5A9A89">
            <w:pPr>
              <w:spacing w:line="360" w:lineRule="exact"/>
              <w:rPr>
                <w:rFonts w:ascii="宋体" w:hAnsi="宋体"/>
                <w:sz w:val="24"/>
              </w:rPr>
            </w:pPr>
          </w:p>
        </w:tc>
        <w:tc>
          <w:tcPr>
            <w:tcW w:w="905" w:type="dxa"/>
            <w:tcBorders>
              <w:top w:val="single" w:color="auto" w:sz="4" w:space="0"/>
              <w:left w:val="single" w:color="auto" w:sz="4" w:space="0"/>
              <w:bottom w:val="single" w:color="auto" w:sz="4" w:space="0"/>
              <w:right w:val="single" w:color="auto" w:sz="6" w:space="0"/>
            </w:tcBorders>
            <w:noWrap/>
          </w:tcPr>
          <w:p w14:paraId="4EA6B0D1">
            <w:pPr>
              <w:spacing w:line="360" w:lineRule="exact"/>
              <w:rPr>
                <w:rFonts w:ascii="宋体" w:hAnsi="宋体"/>
                <w:sz w:val="24"/>
              </w:rPr>
            </w:pPr>
          </w:p>
        </w:tc>
        <w:tc>
          <w:tcPr>
            <w:tcW w:w="905" w:type="dxa"/>
            <w:tcBorders>
              <w:top w:val="single" w:color="auto" w:sz="4" w:space="0"/>
              <w:left w:val="single" w:color="auto" w:sz="6" w:space="0"/>
              <w:bottom w:val="single" w:color="auto" w:sz="4" w:space="0"/>
              <w:right w:val="single" w:color="auto" w:sz="4" w:space="0"/>
            </w:tcBorders>
            <w:noWrap/>
          </w:tcPr>
          <w:p w14:paraId="74E095A9">
            <w:pPr>
              <w:spacing w:line="360" w:lineRule="exact"/>
              <w:rPr>
                <w:rFonts w:ascii="宋体" w:hAnsi="宋体"/>
                <w:sz w:val="24"/>
              </w:rPr>
            </w:pPr>
          </w:p>
        </w:tc>
        <w:tc>
          <w:tcPr>
            <w:tcW w:w="905" w:type="dxa"/>
            <w:tcBorders>
              <w:top w:val="single" w:color="auto" w:sz="4" w:space="0"/>
              <w:left w:val="single" w:color="auto" w:sz="6" w:space="0"/>
              <w:bottom w:val="single" w:color="auto" w:sz="4" w:space="0"/>
              <w:right w:val="single" w:color="auto" w:sz="4" w:space="0"/>
            </w:tcBorders>
            <w:noWrap/>
          </w:tcPr>
          <w:p w14:paraId="22DE739A">
            <w:pPr>
              <w:spacing w:line="360" w:lineRule="exact"/>
              <w:rPr>
                <w:rFonts w:ascii="宋体" w:hAnsi="宋体"/>
                <w:sz w:val="24"/>
              </w:rPr>
            </w:pPr>
          </w:p>
        </w:tc>
      </w:tr>
      <w:tr w14:paraId="272C6925">
        <w:tblPrEx>
          <w:tblCellMar>
            <w:top w:w="0" w:type="dxa"/>
            <w:left w:w="54" w:type="dxa"/>
            <w:bottom w:w="0" w:type="dxa"/>
            <w:right w:w="54" w:type="dxa"/>
          </w:tblCellMar>
        </w:tblPrEx>
        <w:trPr>
          <w:cantSplit/>
          <w:trHeight w:val="150" w:hRule="atLeast"/>
          <w:jc w:val="center"/>
        </w:trPr>
        <w:tc>
          <w:tcPr>
            <w:tcW w:w="597" w:type="dxa"/>
            <w:tcBorders>
              <w:top w:val="single" w:color="auto" w:sz="4" w:space="0"/>
              <w:left w:val="single" w:color="auto" w:sz="6" w:space="0"/>
              <w:bottom w:val="single" w:color="auto" w:sz="4" w:space="0"/>
              <w:right w:val="single" w:color="auto" w:sz="6" w:space="0"/>
            </w:tcBorders>
            <w:noWrap/>
          </w:tcPr>
          <w:p w14:paraId="5F4D76A2">
            <w:pPr>
              <w:spacing w:line="360" w:lineRule="exact"/>
              <w:rPr>
                <w:rFonts w:ascii="宋体" w:hAnsi="宋体"/>
                <w:sz w:val="24"/>
              </w:rPr>
            </w:pPr>
          </w:p>
        </w:tc>
        <w:tc>
          <w:tcPr>
            <w:tcW w:w="1224" w:type="dxa"/>
            <w:tcBorders>
              <w:top w:val="single" w:color="auto" w:sz="4" w:space="0"/>
              <w:left w:val="single" w:color="auto" w:sz="6" w:space="0"/>
              <w:bottom w:val="single" w:color="auto" w:sz="4" w:space="0"/>
              <w:right w:val="single" w:color="auto" w:sz="6" w:space="0"/>
            </w:tcBorders>
            <w:noWrap/>
          </w:tcPr>
          <w:p w14:paraId="4FFC405D">
            <w:pPr>
              <w:spacing w:line="360" w:lineRule="exact"/>
              <w:rPr>
                <w:rFonts w:ascii="宋体" w:hAnsi="宋体"/>
                <w:sz w:val="24"/>
              </w:rPr>
            </w:pPr>
          </w:p>
        </w:tc>
        <w:tc>
          <w:tcPr>
            <w:tcW w:w="2396" w:type="dxa"/>
            <w:tcBorders>
              <w:top w:val="single" w:color="auto" w:sz="4" w:space="0"/>
              <w:left w:val="single" w:color="auto" w:sz="6" w:space="0"/>
              <w:bottom w:val="single" w:color="auto" w:sz="4" w:space="0"/>
              <w:right w:val="single" w:color="auto" w:sz="6" w:space="0"/>
            </w:tcBorders>
            <w:noWrap/>
          </w:tcPr>
          <w:p w14:paraId="20016015">
            <w:pPr>
              <w:spacing w:line="360" w:lineRule="exact"/>
              <w:rPr>
                <w:rFonts w:ascii="宋体" w:hAnsi="宋体"/>
                <w:sz w:val="24"/>
              </w:rPr>
            </w:pPr>
          </w:p>
        </w:tc>
        <w:tc>
          <w:tcPr>
            <w:tcW w:w="724" w:type="dxa"/>
            <w:tcBorders>
              <w:top w:val="single" w:color="auto" w:sz="4" w:space="0"/>
              <w:left w:val="single" w:color="auto" w:sz="6" w:space="0"/>
              <w:bottom w:val="single" w:color="auto" w:sz="4" w:space="0"/>
              <w:right w:val="single" w:color="auto" w:sz="4" w:space="0"/>
            </w:tcBorders>
            <w:noWrap/>
          </w:tcPr>
          <w:p w14:paraId="4D852AF1">
            <w:pPr>
              <w:spacing w:line="360" w:lineRule="exact"/>
              <w:rPr>
                <w:rFonts w:ascii="宋体" w:hAnsi="宋体"/>
                <w:sz w:val="24"/>
              </w:rPr>
            </w:pPr>
          </w:p>
        </w:tc>
        <w:tc>
          <w:tcPr>
            <w:tcW w:w="724" w:type="dxa"/>
            <w:tcBorders>
              <w:top w:val="single" w:color="auto" w:sz="4" w:space="0"/>
              <w:left w:val="single" w:color="auto" w:sz="4" w:space="0"/>
              <w:bottom w:val="single" w:color="auto" w:sz="4" w:space="0"/>
              <w:right w:val="single" w:color="auto" w:sz="4" w:space="0"/>
            </w:tcBorders>
            <w:noWrap/>
          </w:tcPr>
          <w:p w14:paraId="4FD070AE">
            <w:pPr>
              <w:spacing w:line="360" w:lineRule="exact"/>
              <w:rPr>
                <w:rFonts w:ascii="宋体" w:hAnsi="宋体"/>
                <w:sz w:val="24"/>
              </w:rPr>
            </w:pPr>
          </w:p>
        </w:tc>
        <w:tc>
          <w:tcPr>
            <w:tcW w:w="905" w:type="dxa"/>
            <w:tcBorders>
              <w:top w:val="single" w:color="auto" w:sz="4" w:space="0"/>
              <w:left w:val="single" w:color="auto" w:sz="4" w:space="0"/>
              <w:bottom w:val="single" w:color="auto" w:sz="4" w:space="0"/>
              <w:right w:val="single" w:color="auto" w:sz="6" w:space="0"/>
            </w:tcBorders>
            <w:noWrap/>
          </w:tcPr>
          <w:p w14:paraId="0D538E83">
            <w:pPr>
              <w:spacing w:line="360" w:lineRule="exact"/>
              <w:rPr>
                <w:rFonts w:ascii="宋体" w:hAnsi="宋体"/>
                <w:sz w:val="24"/>
              </w:rPr>
            </w:pPr>
          </w:p>
        </w:tc>
        <w:tc>
          <w:tcPr>
            <w:tcW w:w="905" w:type="dxa"/>
            <w:tcBorders>
              <w:top w:val="single" w:color="auto" w:sz="4" w:space="0"/>
              <w:left w:val="single" w:color="auto" w:sz="6" w:space="0"/>
              <w:bottom w:val="single" w:color="auto" w:sz="4" w:space="0"/>
              <w:right w:val="single" w:color="auto" w:sz="4" w:space="0"/>
            </w:tcBorders>
            <w:noWrap/>
          </w:tcPr>
          <w:p w14:paraId="7C482F8E">
            <w:pPr>
              <w:spacing w:line="360" w:lineRule="exact"/>
              <w:rPr>
                <w:rFonts w:ascii="宋体" w:hAnsi="宋体"/>
                <w:sz w:val="24"/>
              </w:rPr>
            </w:pPr>
          </w:p>
        </w:tc>
        <w:tc>
          <w:tcPr>
            <w:tcW w:w="905" w:type="dxa"/>
            <w:tcBorders>
              <w:top w:val="single" w:color="auto" w:sz="4" w:space="0"/>
              <w:left w:val="single" w:color="auto" w:sz="6" w:space="0"/>
              <w:bottom w:val="single" w:color="auto" w:sz="4" w:space="0"/>
              <w:right w:val="single" w:color="auto" w:sz="4" w:space="0"/>
            </w:tcBorders>
            <w:noWrap/>
          </w:tcPr>
          <w:p w14:paraId="3589E255">
            <w:pPr>
              <w:spacing w:line="360" w:lineRule="exact"/>
              <w:rPr>
                <w:rFonts w:ascii="宋体" w:hAnsi="宋体"/>
                <w:sz w:val="24"/>
              </w:rPr>
            </w:pPr>
          </w:p>
        </w:tc>
      </w:tr>
      <w:tr w14:paraId="7D80CE5E">
        <w:tblPrEx>
          <w:tblCellMar>
            <w:top w:w="0" w:type="dxa"/>
            <w:left w:w="54" w:type="dxa"/>
            <w:bottom w:w="0" w:type="dxa"/>
            <w:right w:w="54" w:type="dxa"/>
          </w:tblCellMar>
        </w:tblPrEx>
        <w:trPr>
          <w:cantSplit/>
          <w:trHeight w:val="150" w:hRule="atLeast"/>
          <w:jc w:val="center"/>
        </w:trPr>
        <w:tc>
          <w:tcPr>
            <w:tcW w:w="597" w:type="dxa"/>
            <w:tcBorders>
              <w:top w:val="single" w:color="auto" w:sz="4" w:space="0"/>
              <w:left w:val="single" w:color="auto" w:sz="6" w:space="0"/>
              <w:bottom w:val="single" w:color="auto" w:sz="4" w:space="0"/>
              <w:right w:val="single" w:color="auto" w:sz="6" w:space="0"/>
            </w:tcBorders>
            <w:noWrap/>
          </w:tcPr>
          <w:p w14:paraId="380A100F">
            <w:pPr>
              <w:spacing w:line="360" w:lineRule="exact"/>
              <w:rPr>
                <w:rFonts w:ascii="宋体" w:hAnsi="宋体"/>
                <w:sz w:val="24"/>
              </w:rPr>
            </w:pPr>
          </w:p>
        </w:tc>
        <w:tc>
          <w:tcPr>
            <w:tcW w:w="1224" w:type="dxa"/>
            <w:tcBorders>
              <w:top w:val="single" w:color="auto" w:sz="4" w:space="0"/>
              <w:left w:val="single" w:color="auto" w:sz="6" w:space="0"/>
              <w:bottom w:val="single" w:color="auto" w:sz="4" w:space="0"/>
              <w:right w:val="single" w:color="auto" w:sz="6" w:space="0"/>
            </w:tcBorders>
            <w:noWrap/>
          </w:tcPr>
          <w:p w14:paraId="540695C3">
            <w:pPr>
              <w:spacing w:line="360" w:lineRule="exact"/>
              <w:rPr>
                <w:rFonts w:ascii="宋体" w:hAnsi="宋体"/>
                <w:sz w:val="24"/>
              </w:rPr>
            </w:pPr>
          </w:p>
        </w:tc>
        <w:tc>
          <w:tcPr>
            <w:tcW w:w="2396" w:type="dxa"/>
            <w:tcBorders>
              <w:top w:val="single" w:color="auto" w:sz="4" w:space="0"/>
              <w:left w:val="single" w:color="auto" w:sz="6" w:space="0"/>
              <w:bottom w:val="single" w:color="auto" w:sz="4" w:space="0"/>
              <w:right w:val="single" w:color="auto" w:sz="6" w:space="0"/>
            </w:tcBorders>
            <w:noWrap/>
          </w:tcPr>
          <w:p w14:paraId="0AB46D81">
            <w:pPr>
              <w:spacing w:line="360" w:lineRule="exact"/>
              <w:rPr>
                <w:rFonts w:ascii="宋体" w:hAnsi="宋体"/>
                <w:sz w:val="24"/>
              </w:rPr>
            </w:pPr>
          </w:p>
        </w:tc>
        <w:tc>
          <w:tcPr>
            <w:tcW w:w="724" w:type="dxa"/>
            <w:tcBorders>
              <w:top w:val="single" w:color="auto" w:sz="4" w:space="0"/>
              <w:left w:val="single" w:color="auto" w:sz="6" w:space="0"/>
              <w:bottom w:val="single" w:color="auto" w:sz="4" w:space="0"/>
              <w:right w:val="single" w:color="auto" w:sz="4" w:space="0"/>
            </w:tcBorders>
            <w:noWrap/>
          </w:tcPr>
          <w:p w14:paraId="758FDEB2">
            <w:pPr>
              <w:spacing w:line="360" w:lineRule="exact"/>
              <w:rPr>
                <w:rFonts w:ascii="宋体" w:hAnsi="宋体"/>
                <w:sz w:val="24"/>
              </w:rPr>
            </w:pPr>
          </w:p>
        </w:tc>
        <w:tc>
          <w:tcPr>
            <w:tcW w:w="724" w:type="dxa"/>
            <w:tcBorders>
              <w:top w:val="single" w:color="auto" w:sz="4" w:space="0"/>
              <w:left w:val="single" w:color="auto" w:sz="4" w:space="0"/>
              <w:bottom w:val="single" w:color="auto" w:sz="4" w:space="0"/>
              <w:right w:val="single" w:color="auto" w:sz="4" w:space="0"/>
            </w:tcBorders>
            <w:noWrap/>
          </w:tcPr>
          <w:p w14:paraId="7F599830">
            <w:pPr>
              <w:spacing w:line="360" w:lineRule="exact"/>
              <w:rPr>
                <w:rFonts w:ascii="宋体" w:hAnsi="宋体"/>
                <w:sz w:val="24"/>
              </w:rPr>
            </w:pPr>
          </w:p>
        </w:tc>
        <w:tc>
          <w:tcPr>
            <w:tcW w:w="905" w:type="dxa"/>
            <w:tcBorders>
              <w:top w:val="single" w:color="auto" w:sz="4" w:space="0"/>
              <w:left w:val="single" w:color="auto" w:sz="4" w:space="0"/>
              <w:bottom w:val="single" w:color="auto" w:sz="4" w:space="0"/>
              <w:right w:val="single" w:color="auto" w:sz="6" w:space="0"/>
            </w:tcBorders>
            <w:noWrap/>
          </w:tcPr>
          <w:p w14:paraId="7674F112">
            <w:pPr>
              <w:spacing w:line="360" w:lineRule="exact"/>
              <w:rPr>
                <w:rFonts w:ascii="宋体" w:hAnsi="宋体"/>
                <w:sz w:val="24"/>
              </w:rPr>
            </w:pPr>
          </w:p>
        </w:tc>
        <w:tc>
          <w:tcPr>
            <w:tcW w:w="905" w:type="dxa"/>
            <w:tcBorders>
              <w:top w:val="single" w:color="auto" w:sz="4" w:space="0"/>
              <w:left w:val="single" w:color="auto" w:sz="6" w:space="0"/>
              <w:bottom w:val="single" w:color="auto" w:sz="4" w:space="0"/>
              <w:right w:val="single" w:color="auto" w:sz="4" w:space="0"/>
            </w:tcBorders>
            <w:noWrap/>
          </w:tcPr>
          <w:p w14:paraId="7AA69A2A">
            <w:pPr>
              <w:spacing w:line="360" w:lineRule="exact"/>
              <w:rPr>
                <w:rFonts w:ascii="宋体" w:hAnsi="宋体"/>
                <w:sz w:val="24"/>
              </w:rPr>
            </w:pPr>
          </w:p>
        </w:tc>
        <w:tc>
          <w:tcPr>
            <w:tcW w:w="905" w:type="dxa"/>
            <w:tcBorders>
              <w:top w:val="single" w:color="auto" w:sz="4" w:space="0"/>
              <w:left w:val="single" w:color="auto" w:sz="6" w:space="0"/>
              <w:bottom w:val="single" w:color="auto" w:sz="4" w:space="0"/>
              <w:right w:val="single" w:color="auto" w:sz="4" w:space="0"/>
            </w:tcBorders>
            <w:noWrap/>
          </w:tcPr>
          <w:p w14:paraId="0154E8A2">
            <w:pPr>
              <w:spacing w:line="360" w:lineRule="exact"/>
              <w:rPr>
                <w:rFonts w:ascii="宋体" w:hAnsi="宋体"/>
                <w:sz w:val="24"/>
              </w:rPr>
            </w:pPr>
          </w:p>
        </w:tc>
      </w:tr>
    </w:tbl>
    <w:p w14:paraId="6B467EF3">
      <w:pPr>
        <w:spacing w:line="360" w:lineRule="exact"/>
        <w:rPr>
          <w:rFonts w:ascii="宋体" w:hAnsi="宋体"/>
          <w:sz w:val="24"/>
        </w:rPr>
      </w:pPr>
    </w:p>
    <w:p w14:paraId="4C3E3311">
      <w:pPr>
        <w:spacing w:line="360" w:lineRule="exact"/>
        <w:rPr>
          <w:rFonts w:ascii="宋体" w:hAnsi="宋体"/>
          <w:sz w:val="24"/>
        </w:rPr>
      </w:pPr>
      <w:r>
        <w:rPr>
          <w:rFonts w:hint="eastAsia" w:ascii="宋体" w:hAnsi="宋体"/>
          <w:sz w:val="24"/>
        </w:rPr>
        <w:t>1、供应商是否小微型企业产品:是（   ）；否（   ）。</w:t>
      </w:r>
    </w:p>
    <w:p w14:paraId="712F5638">
      <w:pPr>
        <w:spacing w:line="360" w:lineRule="exact"/>
        <w:rPr>
          <w:rFonts w:ascii="宋体" w:hAnsi="宋体"/>
          <w:sz w:val="24"/>
        </w:rPr>
      </w:pPr>
      <w:r>
        <w:rPr>
          <w:rFonts w:hint="eastAsia" w:ascii="宋体" w:hAnsi="宋体"/>
          <w:sz w:val="24"/>
        </w:rPr>
        <w:t>2、供应商是否为监狱企业：是（    ）    否（    ）</w:t>
      </w:r>
    </w:p>
    <w:p w14:paraId="6894EEA1">
      <w:pPr>
        <w:spacing w:line="360" w:lineRule="exact"/>
        <w:rPr>
          <w:rFonts w:ascii="宋体" w:hAnsi="宋体"/>
          <w:sz w:val="24"/>
        </w:rPr>
      </w:pPr>
      <w:r>
        <w:rPr>
          <w:rFonts w:hint="eastAsia" w:ascii="宋体" w:hAnsi="宋体"/>
          <w:sz w:val="24"/>
        </w:rPr>
        <w:t>3、供应商是否为残疾人福利性单位：是（    ）    否（    ）</w:t>
      </w:r>
    </w:p>
    <w:p w14:paraId="629DAD99">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p>
    <w:p w14:paraId="1CB2A435">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r>
        <w:rPr>
          <w:rFonts w:hint="eastAsia" w:ascii="宋体" w:hAnsi="宋体"/>
          <w:sz w:val="24"/>
        </w:rPr>
        <w:t xml:space="preserve">总价：                              大写：                         </w:t>
      </w:r>
    </w:p>
    <w:p w14:paraId="625CFD6D">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p>
    <w:p w14:paraId="4B34917F">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r>
        <w:rPr>
          <w:rFonts w:hint="eastAsia" w:ascii="宋体" w:hAnsi="宋体"/>
          <w:sz w:val="24"/>
        </w:rPr>
        <w:t>优惠政策产品扣除后总价：            大写：</w:t>
      </w:r>
    </w:p>
    <w:p w14:paraId="40338D7B">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p>
    <w:p w14:paraId="4850F4A0">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r>
        <w:rPr>
          <w:rFonts w:hint="eastAsia" w:ascii="宋体" w:hAnsi="宋体"/>
          <w:sz w:val="24"/>
        </w:rPr>
        <w:t>供应商代表签名：             职务：         联系电话：           日期：</w:t>
      </w:r>
    </w:p>
    <w:p w14:paraId="5637F40A">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p>
    <w:p w14:paraId="358D2187">
      <w:pPr>
        <w:tabs>
          <w:tab w:val="left" w:pos="654"/>
          <w:tab w:val="left" w:pos="1734"/>
          <w:tab w:val="left" w:pos="2814"/>
          <w:tab w:val="left" w:pos="3894"/>
          <w:tab w:val="left" w:pos="5334"/>
          <w:tab w:val="left" w:pos="6414"/>
          <w:tab w:val="left" w:pos="7254"/>
          <w:tab w:val="left" w:pos="8574"/>
          <w:tab w:val="left" w:pos="9654"/>
        </w:tabs>
        <w:spacing w:line="360" w:lineRule="exact"/>
        <w:outlineLvl w:val="0"/>
        <w:rPr>
          <w:rFonts w:ascii="宋体" w:hAnsi="宋体"/>
          <w:bCs/>
          <w:sz w:val="24"/>
        </w:rPr>
      </w:pPr>
      <w:r>
        <w:rPr>
          <w:rFonts w:hint="eastAsia" w:ascii="宋体" w:hAnsi="宋体"/>
          <w:b/>
          <w:sz w:val="24"/>
        </w:rPr>
        <w:t>注：</w:t>
      </w:r>
      <w:r>
        <w:rPr>
          <w:rFonts w:hint="eastAsia" w:ascii="宋体" w:hAnsi="宋体"/>
          <w:bCs/>
          <w:sz w:val="24"/>
        </w:rPr>
        <w:t>1、设备用人民币报价。</w:t>
      </w:r>
    </w:p>
    <w:p w14:paraId="750A3402">
      <w:pPr>
        <w:spacing w:line="360" w:lineRule="exact"/>
        <w:ind w:firstLine="480" w:firstLineChars="200"/>
        <w:rPr>
          <w:rFonts w:ascii="宋体" w:hAnsi="宋体"/>
          <w:bCs/>
          <w:sz w:val="24"/>
        </w:rPr>
      </w:pPr>
      <w:r>
        <w:rPr>
          <w:rFonts w:hint="eastAsia" w:ascii="宋体" w:hAnsi="宋体"/>
          <w:bCs/>
          <w:sz w:val="24"/>
        </w:rPr>
        <w:t>2、第6栏的单价应包括全部安装、调试、培训、技术服务、必不可少的部件、标准备件、专用工具等费用。</w:t>
      </w:r>
    </w:p>
    <w:p w14:paraId="173DA096">
      <w:pPr>
        <w:spacing w:line="360" w:lineRule="exact"/>
        <w:ind w:firstLine="480" w:firstLineChars="200"/>
        <w:rPr>
          <w:rFonts w:ascii="宋体" w:hAnsi="宋体"/>
          <w:bCs/>
          <w:sz w:val="24"/>
        </w:rPr>
      </w:pPr>
      <w:r>
        <w:rPr>
          <w:rFonts w:hint="eastAsia" w:ascii="宋体" w:hAnsi="宋体"/>
          <w:bCs/>
          <w:sz w:val="24"/>
        </w:rPr>
        <w:t>3、单价{单价=（货价+运抵用户指定地点运、保、税、）}和响应总价。如果单价与总价有出入，以单价为准；大写金额与小写金额不一致的，以大写金额为准；总价金额与按单价汇总金额不一致的，以单价金额计算结果金额为准；单价金额小数点有明显错位的，应以总价为准并修改单价。</w:t>
      </w:r>
    </w:p>
    <w:p w14:paraId="2A7D8434">
      <w:pPr>
        <w:spacing w:line="360" w:lineRule="exact"/>
        <w:ind w:firstLine="480" w:firstLineChars="200"/>
        <w:rPr>
          <w:rFonts w:ascii="宋体" w:hAnsi="宋体"/>
          <w:bCs/>
          <w:sz w:val="24"/>
        </w:rPr>
      </w:pPr>
      <w:r>
        <w:rPr>
          <w:rFonts w:hint="eastAsia" w:ascii="宋体" w:hAnsi="宋体"/>
          <w:bCs/>
          <w:sz w:val="24"/>
        </w:rPr>
        <w:t>4、供应商企业类型、是否监狱企业栏和是否残疾人福利性单位栏，供应商须在相应的括弧里打勾（√），否则承担不利后果。</w:t>
      </w:r>
    </w:p>
    <w:p w14:paraId="743C78A7">
      <w:pPr>
        <w:snapToGrid w:val="0"/>
        <w:spacing w:line="360" w:lineRule="auto"/>
        <w:ind w:firstLine="472" w:firstLineChars="196"/>
        <w:rPr>
          <w:rFonts w:ascii="宋体" w:hAnsi="宋体"/>
          <w:b/>
          <w:sz w:val="24"/>
        </w:rPr>
      </w:pPr>
    </w:p>
    <w:p w14:paraId="17BFE64A">
      <w:pPr>
        <w:spacing w:line="360" w:lineRule="exact"/>
        <w:rPr>
          <w:rFonts w:ascii="宋体" w:hAnsi="宋体"/>
          <w:sz w:val="24"/>
        </w:rPr>
      </w:pPr>
    </w:p>
    <w:p w14:paraId="7EE19194">
      <w:pPr>
        <w:spacing w:line="360" w:lineRule="exact"/>
        <w:rPr>
          <w:rFonts w:ascii="宋体" w:hAnsi="宋体"/>
          <w:sz w:val="24"/>
        </w:rPr>
      </w:pPr>
    </w:p>
    <w:p w14:paraId="67C02CAE">
      <w:pPr>
        <w:spacing w:line="360" w:lineRule="exact"/>
        <w:rPr>
          <w:rFonts w:ascii="宋体" w:hAnsi="宋体"/>
          <w:sz w:val="24"/>
        </w:rPr>
      </w:pPr>
    </w:p>
    <w:p w14:paraId="3F8030CF">
      <w:pPr>
        <w:spacing w:line="360" w:lineRule="exact"/>
        <w:rPr>
          <w:rFonts w:ascii="宋体" w:hAnsi="宋体"/>
          <w:b/>
          <w:sz w:val="24"/>
        </w:rPr>
      </w:pPr>
      <w:r>
        <w:rPr>
          <w:rFonts w:hint="eastAsia" w:ascii="宋体" w:hAnsi="宋体"/>
          <w:b/>
          <w:sz w:val="24"/>
        </w:rPr>
        <w:t>附件3</w:t>
      </w:r>
    </w:p>
    <w:p w14:paraId="387F9C3D">
      <w:pPr>
        <w:spacing w:line="360" w:lineRule="exact"/>
        <w:jc w:val="center"/>
        <w:rPr>
          <w:rFonts w:ascii="宋体" w:hAnsi="宋体"/>
          <w:b/>
          <w:sz w:val="24"/>
        </w:rPr>
      </w:pPr>
      <w:r>
        <w:rPr>
          <w:rFonts w:hint="eastAsia" w:ascii="宋体" w:hAnsi="宋体"/>
          <w:b/>
          <w:sz w:val="24"/>
        </w:rPr>
        <w:t>规格响应表</w:t>
      </w:r>
    </w:p>
    <w:p w14:paraId="29CE343E">
      <w:pPr>
        <w:tabs>
          <w:tab w:val="left" w:pos="9654"/>
        </w:tabs>
        <w:spacing w:line="360" w:lineRule="exact"/>
        <w:rPr>
          <w:rFonts w:ascii="宋体" w:hAnsi="宋体"/>
          <w:sz w:val="24"/>
        </w:rPr>
      </w:pPr>
      <w:r>
        <w:rPr>
          <w:rFonts w:hint="eastAsia" w:ascii="宋体" w:hAnsi="宋体"/>
          <w:sz w:val="24"/>
        </w:rPr>
        <w:t>供应商名称</w:t>
      </w:r>
      <w:r>
        <w:rPr>
          <w:rFonts w:ascii="宋体" w:hAnsi="宋体"/>
          <w:sz w:val="24"/>
        </w:rPr>
        <w:t>:</w:t>
      </w:r>
      <w:r>
        <w:rPr>
          <w:rFonts w:hint="eastAsia" w:ascii="宋体" w:hAnsi="宋体"/>
          <w:sz w:val="24"/>
        </w:rPr>
        <w:t xml:space="preserve"> （盖章）</w:t>
      </w:r>
    </w:p>
    <w:p w14:paraId="2066F3F8">
      <w:pPr>
        <w:spacing w:line="320" w:lineRule="exact"/>
        <w:jc w:val="center"/>
        <w:rPr>
          <w:rFonts w:ascii="宋体" w:hAnsi="宋体"/>
          <w:b/>
          <w:sz w:val="28"/>
          <w:szCs w:val="28"/>
        </w:rPr>
      </w:pPr>
    </w:p>
    <w:p w14:paraId="7EEED6DA">
      <w:pPr>
        <w:spacing w:line="320" w:lineRule="exact"/>
        <w:jc w:val="left"/>
        <w:rPr>
          <w:rFonts w:ascii="宋体" w:hAnsi="宋体"/>
          <w:sz w:val="24"/>
        </w:rPr>
      </w:pPr>
      <w:r>
        <w:rPr>
          <w:rFonts w:hint="eastAsia" w:ascii="宋体" w:hAnsi="宋体"/>
          <w:sz w:val="24"/>
        </w:rPr>
        <w:t>说明：响应供应商必须仔细阅读磋商文件中所有技术规范条款和相关功能要求，并对所有技术规范和功能偏离的条目列入下表，未列入下表的视作响应供应商不响应。响应供应商</w:t>
      </w:r>
      <w:r>
        <w:rPr>
          <w:rFonts w:hint="eastAsia" w:ascii="宋体" w:hAnsi="宋体"/>
          <w:sz w:val="24"/>
          <w:u w:val="single"/>
        </w:rPr>
        <w:t>必须根据所投产品的实际情况如实填写，评委会如发现有虚假描述，</w:t>
      </w:r>
      <w:r>
        <w:rPr>
          <w:rFonts w:ascii="宋体" w:hAnsi="宋体"/>
          <w:sz w:val="24"/>
          <w:u w:val="single"/>
        </w:rPr>
        <w:t>提供虚假材料谋取成交的</w:t>
      </w:r>
      <w:r>
        <w:rPr>
          <w:rFonts w:hint="eastAsia" w:ascii="宋体" w:hAnsi="宋体"/>
          <w:sz w:val="24"/>
          <w:u w:val="single"/>
        </w:rPr>
        <w:t>，属违反政府采购法相关规定，该响应文件作废标处理。</w:t>
      </w:r>
      <w:r>
        <w:rPr>
          <w:rFonts w:ascii="宋体" w:hAnsi="宋体"/>
          <w:sz w:val="24"/>
        </w:rPr>
        <w:tab/>
      </w:r>
    </w:p>
    <w:p w14:paraId="13B6B921">
      <w:pPr>
        <w:tabs>
          <w:tab w:val="left" w:pos="9654"/>
        </w:tabs>
        <w:spacing w:line="320" w:lineRule="exact"/>
        <w:rPr>
          <w:rFonts w:ascii="宋体" w:hAnsi="宋体"/>
          <w:sz w:val="24"/>
        </w:rPr>
      </w:pPr>
    </w:p>
    <w:p w14:paraId="5F104844">
      <w:pPr>
        <w:tabs>
          <w:tab w:val="left" w:pos="635"/>
          <w:tab w:val="left" w:pos="2852"/>
          <w:tab w:val="left" w:pos="5260"/>
          <w:tab w:val="left" w:pos="9654"/>
        </w:tabs>
        <w:spacing w:line="320" w:lineRule="exact"/>
        <w:rPr>
          <w:rFonts w:ascii="宋体" w:hAnsi="宋体"/>
          <w:sz w:val="24"/>
        </w:rPr>
      </w:pPr>
    </w:p>
    <w:tbl>
      <w:tblPr>
        <w:tblStyle w:val="37"/>
        <w:tblW w:w="0" w:type="auto"/>
        <w:tblInd w:w="-66" w:type="dxa"/>
        <w:tblLayout w:type="fixed"/>
        <w:tblCellMar>
          <w:top w:w="0" w:type="dxa"/>
          <w:left w:w="54" w:type="dxa"/>
          <w:bottom w:w="0" w:type="dxa"/>
          <w:right w:w="54" w:type="dxa"/>
        </w:tblCellMar>
      </w:tblPr>
      <w:tblGrid>
        <w:gridCol w:w="660"/>
        <w:gridCol w:w="3300"/>
        <w:gridCol w:w="3300"/>
        <w:gridCol w:w="2552"/>
      </w:tblGrid>
      <w:tr w14:paraId="0124AF94">
        <w:tblPrEx>
          <w:tblCellMar>
            <w:top w:w="0" w:type="dxa"/>
            <w:left w:w="54" w:type="dxa"/>
            <w:bottom w:w="0" w:type="dxa"/>
            <w:right w:w="54" w:type="dxa"/>
          </w:tblCellMar>
        </w:tblPrEx>
        <w:trPr>
          <w:trHeight w:val="160" w:hRule="atLeast"/>
        </w:trPr>
        <w:tc>
          <w:tcPr>
            <w:tcW w:w="660" w:type="dxa"/>
            <w:tcBorders>
              <w:top w:val="single" w:color="auto" w:sz="6" w:space="0"/>
              <w:left w:val="single" w:color="auto" w:sz="6" w:space="0"/>
              <w:bottom w:val="single" w:color="auto" w:sz="6" w:space="0"/>
              <w:right w:val="single" w:color="auto" w:sz="4" w:space="0"/>
            </w:tcBorders>
            <w:noWrap/>
            <w:vAlign w:val="center"/>
          </w:tcPr>
          <w:p w14:paraId="0CF7070D">
            <w:pPr>
              <w:spacing w:line="320" w:lineRule="exact"/>
              <w:jc w:val="center"/>
              <w:rPr>
                <w:rFonts w:ascii="宋体" w:hAnsi="宋体"/>
                <w:sz w:val="24"/>
              </w:rPr>
            </w:pPr>
            <w:r>
              <w:rPr>
                <w:rFonts w:hint="eastAsia" w:ascii="宋体" w:hAnsi="宋体"/>
                <w:sz w:val="24"/>
              </w:rPr>
              <w:t>序号</w:t>
            </w:r>
          </w:p>
        </w:tc>
        <w:tc>
          <w:tcPr>
            <w:tcW w:w="3300" w:type="dxa"/>
            <w:tcBorders>
              <w:top w:val="single" w:color="auto" w:sz="6" w:space="0"/>
              <w:left w:val="single" w:color="auto" w:sz="4" w:space="0"/>
              <w:bottom w:val="single" w:color="auto" w:sz="6" w:space="0"/>
              <w:right w:val="single" w:color="auto" w:sz="6" w:space="0"/>
            </w:tcBorders>
            <w:noWrap/>
            <w:vAlign w:val="center"/>
          </w:tcPr>
          <w:p w14:paraId="18DF988D">
            <w:pPr>
              <w:spacing w:line="320" w:lineRule="exact"/>
              <w:jc w:val="center"/>
              <w:rPr>
                <w:rFonts w:hint="eastAsia" w:ascii="宋体" w:hAnsi="宋体" w:eastAsia="宋体"/>
                <w:sz w:val="24"/>
                <w:lang w:eastAsia="zh-CN"/>
              </w:rPr>
            </w:pPr>
            <w:r>
              <w:rPr>
                <w:rFonts w:hint="eastAsia" w:ascii="宋体" w:hAnsi="宋体"/>
                <w:sz w:val="24"/>
              </w:rPr>
              <w:t>采购</w:t>
            </w:r>
            <w:r>
              <w:rPr>
                <w:rFonts w:hint="eastAsia" w:ascii="宋体" w:hAnsi="宋体"/>
                <w:sz w:val="24"/>
                <w:lang w:val="en-US" w:eastAsia="zh-CN"/>
              </w:rPr>
              <w:t>服务要求</w:t>
            </w:r>
          </w:p>
        </w:tc>
        <w:tc>
          <w:tcPr>
            <w:tcW w:w="3300" w:type="dxa"/>
            <w:tcBorders>
              <w:top w:val="single" w:color="auto" w:sz="6" w:space="0"/>
              <w:left w:val="single" w:color="auto" w:sz="6" w:space="0"/>
              <w:bottom w:val="single" w:color="auto" w:sz="6" w:space="0"/>
              <w:right w:val="single" w:color="auto" w:sz="6" w:space="0"/>
            </w:tcBorders>
            <w:noWrap/>
            <w:vAlign w:val="center"/>
          </w:tcPr>
          <w:p w14:paraId="1219087B">
            <w:pPr>
              <w:spacing w:line="320" w:lineRule="exact"/>
              <w:jc w:val="center"/>
              <w:rPr>
                <w:rFonts w:hint="default" w:ascii="宋体" w:hAnsi="宋体" w:eastAsia="宋体"/>
                <w:sz w:val="24"/>
                <w:lang w:val="en-US" w:eastAsia="zh-CN"/>
              </w:rPr>
            </w:pPr>
            <w:r>
              <w:rPr>
                <w:rFonts w:hint="eastAsia" w:ascii="宋体" w:hAnsi="宋体"/>
                <w:sz w:val="24"/>
              </w:rPr>
              <w:t>响应</w:t>
            </w:r>
            <w:r>
              <w:rPr>
                <w:rFonts w:hint="eastAsia" w:ascii="宋体" w:hAnsi="宋体"/>
                <w:sz w:val="24"/>
                <w:lang w:val="en-US" w:eastAsia="zh-CN"/>
              </w:rPr>
              <w:t>服务内容</w:t>
            </w:r>
          </w:p>
        </w:tc>
        <w:tc>
          <w:tcPr>
            <w:tcW w:w="2552" w:type="dxa"/>
            <w:tcBorders>
              <w:top w:val="single" w:color="auto" w:sz="6" w:space="0"/>
              <w:left w:val="single" w:color="auto" w:sz="4" w:space="0"/>
              <w:bottom w:val="single" w:color="auto" w:sz="6" w:space="0"/>
              <w:right w:val="single" w:color="auto" w:sz="6" w:space="0"/>
            </w:tcBorders>
            <w:noWrap/>
            <w:vAlign w:val="center"/>
          </w:tcPr>
          <w:p w14:paraId="344A0887">
            <w:pPr>
              <w:spacing w:line="320" w:lineRule="exact"/>
              <w:jc w:val="center"/>
              <w:rPr>
                <w:rFonts w:ascii="宋体" w:hAnsi="宋体"/>
                <w:sz w:val="24"/>
              </w:rPr>
            </w:pPr>
            <w:r>
              <w:rPr>
                <w:rFonts w:ascii="宋体" w:hAnsi="宋体"/>
                <w:sz w:val="24"/>
              </w:rPr>
              <w:t>偏离情况</w:t>
            </w:r>
          </w:p>
          <w:p w14:paraId="45E92305">
            <w:pPr>
              <w:spacing w:line="320" w:lineRule="exact"/>
              <w:jc w:val="center"/>
              <w:rPr>
                <w:rFonts w:ascii="宋体" w:hAnsi="宋体"/>
                <w:sz w:val="24"/>
              </w:rPr>
            </w:pPr>
            <w:r>
              <w:rPr>
                <w:rFonts w:ascii="宋体" w:hAnsi="宋体"/>
                <w:sz w:val="24"/>
              </w:rPr>
              <w:t>（无偏离，正/负偏离）</w:t>
            </w:r>
          </w:p>
          <w:p w14:paraId="0CD2F12D">
            <w:pPr>
              <w:spacing w:line="320" w:lineRule="exact"/>
              <w:jc w:val="center"/>
              <w:rPr>
                <w:rFonts w:ascii="宋体" w:hAnsi="宋体"/>
                <w:sz w:val="24"/>
              </w:rPr>
            </w:pPr>
            <w:r>
              <w:rPr>
                <w:rFonts w:hint="eastAsia" w:ascii="宋体" w:hAnsi="宋体"/>
                <w:sz w:val="24"/>
              </w:rPr>
              <w:t>证明材料页码</w:t>
            </w:r>
          </w:p>
        </w:tc>
      </w:tr>
      <w:tr w14:paraId="572D98A3">
        <w:tblPrEx>
          <w:tblCellMar>
            <w:top w:w="0" w:type="dxa"/>
            <w:left w:w="54" w:type="dxa"/>
            <w:bottom w:w="0" w:type="dxa"/>
            <w:right w:w="54" w:type="dxa"/>
          </w:tblCellMar>
        </w:tblPrEx>
        <w:trPr>
          <w:cantSplit/>
          <w:trHeight w:val="160" w:hRule="atLeast"/>
        </w:trPr>
        <w:tc>
          <w:tcPr>
            <w:tcW w:w="660" w:type="dxa"/>
            <w:tcBorders>
              <w:top w:val="single" w:color="auto" w:sz="6" w:space="0"/>
              <w:left w:val="single" w:color="auto" w:sz="6" w:space="0"/>
              <w:bottom w:val="single" w:color="auto" w:sz="4" w:space="0"/>
              <w:right w:val="single" w:color="auto" w:sz="4" w:space="0"/>
            </w:tcBorders>
            <w:noWrap/>
          </w:tcPr>
          <w:p w14:paraId="4C54D0A9">
            <w:pPr>
              <w:spacing w:line="320" w:lineRule="exact"/>
              <w:rPr>
                <w:rFonts w:ascii="宋体" w:hAnsi="宋体"/>
                <w:sz w:val="24"/>
              </w:rPr>
            </w:pPr>
          </w:p>
        </w:tc>
        <w:tc>
          <w:tcPr>
            <w:tcW w:w="3300" w:type="dxa"/>
            <w:tcBorders>
              <w:top w:val="single" w:color="auto" w:sz="6" w:space="0"/>
              <w:left w:val="single" w:color="auto" w:sz="4" w:space="0"/>
              <w:bottom w:val="single" w:color="auto" w:sz="4" w:space="0"/>
              <w:right w:val="single" w:color="auto" w:sz="6" w:space="0"/>
            </w:tcBorders>
            <w:noWrap/>
          </w:tcPr>
          <w:p w14:paraId="79E1222E">
            <w:pPr>
              <w:spacing w:line="320" w:lineRule="exact"/>
              <w:rPr>
                <w:rFonts w:ascii="宋体" w:hAnsi="宋体"/>
                <w:sz w:val="24"/>
              </w:rPr>
            </w:pPr>
          </w:p>
        </w:tc>
        <w:tc>
          <w:tcPr>
            <w:tcW w:w="3300" w:type="dxa"/>
            <w:tcBorders>
              <w:top w:val="single" w:color="auto" w:sz="6" w:space="0"/>
              <w:left w:val="single" w:color="auto" w:sz="6" w:space="0"/>
              <w:bottom w:val="single" w:color="auto" w:sz="4" w:space="0"/>
              <w:right w:val="single" w:color="auto" w:sz="6" w:space="0"/>
            </w:tcBorders>
            <w:noWrap/>
          </w:tcPr>
          <w:p w14:paraId="4C3FCE5C">
            <w:pPr>
              <w:spacing w:line="320" w:lineRule="exact"/>
              <w:rPr>
                <w:rFonts w:ascii="宋体" w:hAnsi="宋体"/>
                <w:sz w:val="24"/>
              </w:rPr>
            </w:pPr>
          </w:p>
        </w:tc>
        <w:tc>
          <w:tcPr>
            <w:tcW w:w="2552" w:type="dxa"/>
            <w:tcBorders>
              <w:top w:val="single" w:color="auto" w:sz="6" w:space="0"/>
              <w:left w:val="single" w:color="auto" w:sz="4" w:space="0"/>
              <w:bottom w:val="single" w:color="auto" w:sz="4" w:space="0"/>
              <w:right w:val="single" w:color="auto" w:sz="6" w:space="0"/>
            </w:tcBorders>
            <w:noWrap/>
          </w:tcPr>
          <w:p w14:paraId="743BBDF1">
            <w:pPr>
              <w:spacing w:line="320" w:lineRule="exact"/>
              <w:rPr>
                <w:rFonts w:ascii="宋体" w:hAnsi="宋体"/>
                <w:sz w:val="24"/>
              </w:rPr>
            </w:pPr>
          </w:p>
        </w:tc>
      </w:tr>
      <w:tr w14:paraId="46806B44">
        <w:tblPrEx>
          <w:tblCellMar>
            <w:top w:w="0" w:type="dxa"/>
            <w:left w:w="54" w:type="dxa"/>
            <w:bottom w:w="0" w:type="dxa"/>
            <w:right w:w="54" w:type="dxa"/>
          </w:tblCellMar>
        </w:tblPrEx>
        <w:trPr>
          <w:cantSplit/>
          <w:trHeight w:val="160" w:hRule="atLeast"/>
        </w:trPr>
        <w:tc>
          <w:tcPr>
            <w:tcW w:w="660" w:type="dxa"/>
            <w:tcBorders>
              <w:top w:val="single" w:color="auto" w:sz="4" w:space="0"/>
              <w:left w:val="single" w:color="auto" w:sz="6" w:space="0"/>
              <w:bottom w:val="single" w:color="auto" w:sz="4" w:space="0"/>
              <w:right w:val="single" w:color="auto" w:sz="4" w:space="0"/>
            </w:tcBorders>
            <w:noWrap/>
          </w:tcPr>
          <w:p w14:paraId="76C3C056">
            <w:pPr>
              <w:spacing w:line="320" w:lineRule="exact"/>
              <w:rPr>
                <w:rFonts w:ascii="宋体" w:hAnsi="宋体"/>
                <w:sz w:val="24"/>
              </w:rPr>
            </w:pPr>
          </w:p>
        </w:tc>
        <w:tc>
          <w:tcPr>
            <w:tcW w:w="3300" w:type="dxa"/>
            <w:tcBorders>
              <w:top w:val="single" w:color="auto" w:sz="4" w:space="0"/>
              <w:left w:val="single" w:color="auto" w:sz="4" w:space="0"/>
              <w:bottom w:val="single" w:color="auto" w:sz="4" w:space="0"/>
              <w:right w:val="single" w:color="auto" w:sz="6" w:space="0"/>
            </w:tcBorders>
            <w:noWrap/>
          </w:tcPr>
          <w:p w14:paraId="3ABE783E">
            <w:pPr>
              <w:spacing w:line="320" w:lineRule="exact"/>
              <w:rPr>
                <w:rFonts w:ascii="宋体" w:hAnsi="宋体"/>
                <w:sz w:val="24"/>
              </w:rPr>
            </w:pPr>
          </w:p>
        </w:tc>
        <w:tc>
          <w:tcPr>
            <w:tcW w:w="3300" w:type="dxa"/>
            <w:tcBorders>
              <w:top w:val="single" w:color="auto" w:sz="4" w:space="0"/>
              <w:left w:val="single" w:color="auto" w:sz="6" w:space="0"/>
              <w:bottom w:val="single" w:color="auto" w:sz="4" w:space="0"/>
              <w:right w:val="single" w:color="auto" w:sz="6" w:space="0"/>
            </w:tcBorders>
            <w:noWrap/>
          </w:tcPr>
          <w:p w14:paraId="6FBF6D1A">
            <w:pPr>
              <w:spacing w:line="320" w:lineRule="exact"/>
              <w:rPr>
                <w:rFonts w:ascii="宋体" w:hAnsi="宋体"/>
                <w:sz w:val="24"/>
              </w:rPr>
            </w:pPr>
          </w:p>
        </w:tc>
        <w:tc>
          <w:tcPr>
            <w:tcW w:w="2552" w:type="dxa"/>
            <w:tcBorders>
              <w:top w:val="single" w:color="auto" w:sz="4" w:space="0"/>
              <w:left w:val="single" w:color="auto" w:sz="4" w:space="0"/>
              <w:bottom w:val="single" w:color="auto" w:sz="4" w:space="0"/>
              <w:right w:val="single" w:color="auto" w:sz="6" w:space="0"/>
            </w:tcBorders>
            <w:noWrap/>
          </w:tcPr>
          <w:p w14:paraId="70D6BE68">
            <w:pPr>
              <w:spacing w:line="320" w:lineRule="exact"/>
              <w:rPr>
                <w:rFonts w:ascii="宋体" w:hAnsi="宋体"/>
                <w:sz w:val="24"/>
              </w:rPr>
            </w:pPr>
          </w:p>
        </w:tc>
      </w:tr>
      <w:tr w14:paraId="059F6CD7">
        <w:tblPrEx>
          <w:tblCellMar>
            <w:top w:w="0" w:type="dxa"/>
            <w:left w:w="54" w:type="dxa"/>
            <w:bottom w:w="0" w:type="dxa"/>
            <w:right w:w="54" w:type="dxa"/>
          </w:tblCellMar>
        </w:tblPrEx>
        <w:trPr>
          <w:cantSplit/>
          <w:trHeight w:val="160" w:hRule="atLeast"/>
        </w:trPr>
        <w:tc>
          <w:tcPr>
            <w:tcW w:w="660" w:type="dxa"/>
            <w:tcBorders>
              <w:top w:val="single" w:color="auto" w:sz="4" w:space="0"/>
              <w:left w:val="single" w:color="auto" w:sz="6" w:space="0"/>
              <w:bottom w:val="single" w:color="auto" w:sz="6" w:space="0"/>
              <w:right w:val="single" w:color="auto" w:sz="4" w:space="0"/>
            </w:tcBorders>
            <w:noWrap/>
          </w:tcPr>
          <w:p w14:paraId="70127B38">
            <w:pPr>
              <w:spacing w:line="320" w:lineRule="exact"/>
              <w:rPr>
                <w:rFonts w:ascii="宋体" w:hAnsi="宋体"/>
                <w:sz w:val="24"/>
              </w:rPr>
            </w:pPr>
          </w:p>
        </w:tc>
        <w:tc>
          <w:tcPr>
            <w:tcW w:w="3300" w:type="dxa"/>
            <w:tcBorders>
              <w:top w:val="single" w:color="auto" w:sz="4" w:space="0"/>
              <w:left w:val="single" w:color="auto" w:sz="4" w:space="0"/>
              <w:bottom w:val="single" w:color="auto" w:sz="6" w:space="0"/>
              <w:right w:val="single" w:color="auto" w:sz="6" w:space="0"/>
            </w:tcBorders>
            <w:noWrap/>
          </w:tcPr>
          <w:p w14:paraId="4951E777">
            <w:pPr>
              <w:spacing w:line="320" w:lineRule="exact"/>
              <w:rPr>
                <w:rFonts w:ascii="宋体" w:hAnsi="宋体"/>
                <w:sz w:val="24"/>
              </w:rPr>
            </w:pPr>
          </w:p>
        </w:tc>
        <w:tc>
          <w:tcPr>
            <w:tcW w:w="3300" w:type="dxa"/>
            <w:tcBorders>
              <w:top w:val="single" w:color="auto" w:sz="4" w:space="0"/>
              <w:left w:val="single" w:color="auto" w:sz="6" w:space="0"/>
              <w:bottom w:val="single" w:color="auto" w:sz="6" w:space="0"/>
              <w:right w:val="single" w:color="auto" w:sz="6" w:space="0"/>
            </w:tcBorders>
            <w:noWrap/>
          </w:tcPr>
          <w:p w14:paraId="621D83BA">
            <w:pPr>
              <w:spacing w:line="320" w:lineRule="exact"/>
              <w:rPr>
                <w:rFonts w:ascii="宋体" w:hAnsi="宋体"/>
                <w:sz w:val="24"/>
              </w:rPr>
            </w:pPr>
          </w:p>
        </w:tc>
        <w:tc>
          <w:tcPr>
            <w:tcW w:w="2552" w:type="dxa"/>
            <w:tcBorders>
              <w:top w:val="single" w:color="auto" w:sz="4" w:space="0"/>
              <w:left w:val="single" w:color="auto" w:sz="4" w:space="0"/>
              <w:bottom w:val="single" w:color="auto" w:sz="6" w:space="0"/>
              <w:right w:val="single" w:color="auto" w:sz="6" w:space="0"/>
            </w:tcBorders>
            <w:noWrap/>
          </w:tcPr>
          <w:p w14:paraId="4DE6E0E5">
            <w:pPr>
              <w:spacing w:line="320" w:lineRule="exact"/>
              <w:rPr>
                <w:rFonts w:ascii="宋体" w:hAnsi="宋体"/>
                <w:sz w:val="24"/>
              </w:rPr>
            </w:pPr>
          </w:p>
        </w:tc>
      </w:tr>
      <w:tr w14:paraId="33BAF6F0">
        <w:tblPrEx>
          <w:tblCellMar>
            <w:top w:w="0" w:type="dxa"/>
            <w:left w:w="54" w:type="dxa"/>
            <w:bottom w:w="0" w:type="dxa"/>
            <w:right w:w="54" w:type="dxa"/>
          </w:tblCellMar>
        </w:tblPrEx>
        <w:trPr>
          <w:trHeight w:val="160" w:hRule="atLeast"/>
        </w:trPr>
        <w:tc>
          <w:tcPr>
            <w:tcW w:w="660" w:type="dxa"/>
            <w:tcBorders>
              <w:top w:val="single" w:color="auto" w:sz="6" w:space="0"/>
              <w:left w:val="single" w:color="auto" w:sz="6" w:space="0"/>
              <w:bottom w:val="single" w:color="auto" w:sz="4" w:space="0"/>
              <w:right w:val="single" w:color="auto" w:sz="4" w:space="0"/>
            </w:tcBorders>
            <w:noWrap/>
          </w:tcPr>
          <w:p w14:paraId="0E2B945B">
            <w:pPr>
              <w:spacing w:line="320" w:lineRule="exact"/>
              <w:rPr>
                <w:rFonts w:ascii="宋体" w:hAnsi="宋体"/>
                <w:sz w:val="24"/>
              </w:rPr>
            </w:pPr>
          </w:p>
        </w:tc>
        <w:tc>
          <w:tcPr>
            <w:tcW w:w="3300" w:type="dxa"/>
            <w:tcBorders>
              <w:top w:val="single" w:color="auto" w:sz="6" w:space="0"/>
              <w:left w:val="single" w:color="auto" w:sz="4" w:space="0"/>
              <w:bottom w:val="single" w:color="auto" w:sz="4" w:space="0"/>
              <w:right w:val="single" w:color="auto" w:sz="6" w:space="0"/>
            </w:tcBorders>
            <w:noWrap/>
          </w:tcPr>
          <w:p w14:paraId="0A98C1E7">
            <w:pPr>
              <w:spacing w:line="320" w:lineRule="exact"/>
              <w:rPr>
                <w:rFonts w:ascii="宋体" w:hAnsi="宋体"/>
                <w:sz w:val="24"/>
              </w:rPr>
            </w:pPr>
          </w:p>
        </w:tc>
        <w:tc>
          <w:tcPr>
            <w:tcW w:w="3300" w:type="dxa"/>
            <w:tcBorders>
              <w:top w:val="single" w:color="auto" w:sz="6" w:space="0"/>
              <w:left w:val="single" w:color="auto" w:sz="6" w:space="0"/>
              <w:bottom w:val="single" w:color="auto" w:sz="4" w:space="0"/>
              <w:right w:val="single" w:color="auto" w:sz="6" w:space="0"/>
            </w:tcBorders>
            <w:noWrap/>
          </w:tcPr>
          <w:p w14:paraId="29B1F03F">
            <w:pPr>
              <w:spacing w:line="320" w:lineRule="exact"/>
              <w:rPr>
                <w:rFonts w:ascii="宋体" w:hAnsi="宋体"/>
                <w:sz w:val="24"/>
              </w:rPr>
            </w:pPr>
          </w:p>
        </w:tc>
        <w:tc>
          <w:tcPr>
            <w:tcW w:w="2552" w:type="dxa"/>
            <w:tcBorders>
              <w:top w:val="single" w:color="auto" w:sz="6" w:space="0"/>
              <w:left w:val="single" w:color="auto" w:sz="4" w:space="0"/>
              <w:bottom w:val="single" w:color="auto" w:sz="4" w:space="0"/>
              <w:right w:val="single" w:color="auto" w:sz="6" w:space="0"/>
            </w:tcBorders>
            <w:noWrap/>
          </w:tcPr>
          <w:p w14:paraId="608EE5B3">
            <w:pPr>
              <w:spacing w:line="320" w:lineRule="exact"/>
              <w:rPr>
                <w:rFonts w:ascii="宋体" w:hAnsi="宋体"/>
                <w:sz w:val="24"/>
              </w:rPr>
            </w:pPr>
          </w:p>
        </w:tc>
      </w:tr>
      <w:tr w14:paraId="2D42C9C3">
        <w:tblPrEx>
          <w:tblCellMar>
            <w:top w:w="0" w:type="dxa"/>
            <w:left w:w="54" w:type="dxa"/>
            <w:bottom w:w="0" w:type="dxa"/>
            <w:right w:w="54" w:type="dxa"/>
          </w:tblCellMar>
        </w:tblPrEx>
        <w:trPr>
          <w:trHeight w:val="160" w:hRule="atLeast"/>
        </w:trPr>
        <w:tc>
          <w:tcPr>
            <w:tcW w:w="660" w:type="dxa"/>
            <w:tcBorders>
              <w:top w:val="single" w:color="auto" w:sz="4" w:space="0"/>
              <w:left w:val="single" w:color="auto" w:sz="6" w:space="0"/>
              <w:bottom w:val="single" w:color="auto" w:sz="4" w:space="0"/>
              <w:right w:val="single" w:color="auto" w:sz="4" w:space="0"/>
            </w:tcBorders>
            <w:noWrap/>
          </w:tcPr>
          <w:p w14:paraId="4D1AC0E1">
            <w:pPr>
              <w:spacing w:line="320" w:lineRule="exact"/>
              <w:rPr>
                <w:rFonts w:ascii="宋体" w:hAnsi="宋体"/>
                <w:sz w:val="24"/>
              </w:rPr>
            </w:pPr>
          </w:p>
        </w:tc>
        <w:tc>
          <w:tcPr>
            <w:tcW w:w="3300" w:type="dxa"/>
            <w:tcBorders>
              <w:top w:val="single" w:color="auto" w:sz="4" w:space="0"/>
              <w:left w:val="single" w:color="auto" w:sz="4" w:space="0"/>
              <w:bottom w:val="single" w:color="auto" w:sz="4" w:space="0"/>
              <w:right w:val="single" w:color="auto" w:sz="6" w:space="0"/>
            </w:tcBorders>
            <w:noWrap/>
          </w:tcPr>
          <w:p w14:paraId="4ED76E00">
            <w:pPr>
              <w:spacing w:line="320" w:lineRule="exact"/>
              <w:rPr>
                <w:rFonts w:ascii="宋体" w:hAnsi="宋体"/>
                <w:sz w:val="24"/>
              </w:rPr>
            </w:pPr>
          </w:p>
        </w:tc>
        <w:tc>
          <w:tcPr>
            <w:tcW w:w="3300" w:type="dxa"/>
            <w:tcBorders>
              <w:top w:val="single" w:color="auto" w:sz="4" w:space="0"/>
              <w:left w:val="single" w:color="auto" w:sz="6" w:space="0"/>
              <w:bottom w:val="single" w:color="auto" w:sz="4" w:space="0"/>
              <w:right w:val="single" w:color="auto" w:sz="6" w:space="0"/>
            </w:tcBorders>
            <w:noWrap/>
          </w:tcPr>
          <w:p w14:paraId="73ED7274">
            <w:pPr>
              <w:spacing w:line="320" w:lineRule="exact"/>
              <w:rPr>
                <w:rFonts w:ascii="宋体" w:hAnsi="宋体"/>
                <w:sz w:val="24"/>
              </w:rPr>
            </w:pPr>
          </w:p>
        </w:tc>
        <w:tc>
          <w:tcPr>
            <w:tcW w:w="2552" w:type="dxa"/>
            <w:tcBorders>
              <w:top w:val="single" w:color="auto" w:sz="4" w:space="0"/>
              <w:left w:val="single" w:color="auto" w:sz="4" w:space="0"/>
              <w:bottom w:val="single" w:color="auto" w:sz="4" w:space="0"/>
              <w:right w:val="single" w:color="auto" w:sz="6" w:space="0"/>
            </w:tcBorders>
            <w:noWrap/>
          </w:tcPr>
          <w:p w14:paraId="3D8A9E0A">
            <w:pPr>
              <w:spacing w:line="320" w:lineRule="exact"/>
              <w:rPr>
                <w:rFonts w:ascii="宋体" w:hAnsi="宋体"/>
                <w:sz w:val="24"/>
              </w:rPr>
            </w:pPr>
          </w:p>
        </w:tc>
      </w:tr>
    </w:tbl>
    <w:p w14:paraId="1D5BB4D1">
      <w:pPr>
        <w:spacing w:line="320" w:lineRule="exact"/>
        <w:outlineLvl w:val="0"/>
        <w:rPr>
          <w:rFonts w:ascii="宋体" w:hAnsi="宋体"/>
          <w:b/>
          <w:sz w:val="24"/>
        </w:rPr>
      </w:pPr>
    </w:p>
    <w:p w14:paraId="30F61022">
      <w:pPr>
        <w:spacing w:line="320" w:lineRule="exact"/>
        <w:outlineLvl w:val="0"/>
        <w:rPr>
          <w:rFonts w:ascii="宋体" w:hAnsi="宋体"/>
          <w:b/>
          <w:sz w:val="24"/>
        </w:rPr>
      </w:pPr>
      <w:r>
        <w:rPr>
          <w:rFonts w:hint="eastAsia" w:ascii="宋体" w:hAnsi="宋体"/>
          <w:b/>
          <w:sz w:val="24"/>
        </w:rPr>
        <w:t>注：1、采购规格按磋商采购文件</w:t>
      </w:r>
      <w:r>
        <w:rPr>
          <w:rFonts w:hint="eastAsia" w:ascii="宋体" w:hAnsi="宋体"/>
          <w:b/>
          <w:sz w:val="24"/>
          <w:lang w:eastAsia="zh-CN"/>
        </w:rPr>
        <w:t>（采购需求清单）</w:t>
      </w:r>
      <w:r>
        <w:rPr>
          <w:rFonts w:hint="eastAsia" w:ascii="宋体" w:hAnsi="宋体"/>
          <w:b/>
          <w:sz w:val="24"/>
        </w:rPr>
        <w:t>要求填写。</w:t>
      </w:r>
    </w:p>
    <w:p w14:paraId="7FDE8C0E">
      <w:pPr>
        <w:numPr>
          <w:ilvl w:val="0"/>
          <w:numId w:val="1"/>
        </w:numPr>
        <w:spacing w:line="320" w:lineRule="exact"/>
        <w:ind w:firstLine="482" w:firstLineChars="200"/>
        <w:outlineLvl w:val="0"/>
        <w:rPr>
          <w:rFonts w:ascii="宋体" w:hAnsi="宋体"/>
          <w:b/>
          <w:sz w:val="24"/>
        </w:rPr>
      </w:pPr>
      <w:r>
        <w:rPr>
          <w:rFonts w:hint="eastAsia" w:ascii="宋体" w:hAnsi="宋体"/>
          <w:b/>
          <w:bCs/>
          <w:sz w:val="24"/>
        </w:rPr>
        <w:t>响应规格按所投产品规格填写</w:t>
      </w:r>
      <w:r>
        <w:rPr>
          <w:rFonts w:hint="eastAsia" w:ascii="宋体" w:hAnsi="宋体"/>
          <w:b/>
          <w:sz w:val="24"/>
        </w:rPr>
        <w:t>。不接受有选择性的参数。</w:t>
      </w:r>
    </w:p>
    <w:p w14:paraId="1E8CD461">
      <w:pPr>
        <w:spacing w:line="320" w:lineRule="exact"/>
        <w:jc w:val="left"/>
        <w:outlineLvl w:val="0"/>
        <w:rPr>
          <w:rFonts w:ascii="宋体" w:hAnsi="宋体"/>
          <w:b/>
          <w:sz w:val="24"/>
        </w:rPr>
      </w:pPr>
    </w:p>
    <w:p w14:paraId="39CF6879">
      <w:pPr>
        <w:spacing w:line="320" w:lineRule="exact"/>
        <w:ind w:left="420" w:leftChars="200"/>
        <w:jc w:val="left"/>
        <w:outlineLvl w:val="0"/>
        <w:rPr>
          <w:rFonts w:ascii="宋体" w:hAnsi="宋体"/>
          <w:b/>
          <w:sz w:val="24"/>
        </w:rPr>
      </w:pPr>
      <w:r>
        <w:rPr>
          <w:rFonts w:hint="eastAsia" w:ascii="宋体" w:hAnsi="宋体"/>
          <w:b/>
          <w:sz w:val="24"/>
        </w:rPr>
        <w:t xml:space="preserve"> 供应商代表签名：</w:t>
      </w:r>
    </w:p>
    <w:p w14:paraId="21A4CD68">
      <w:pPr>
        <w:spacing w:line="360" w:lineRule="exact"/>
        <w:rPr>
          <w:rFonts w:ascii="宋体" w:hAnsi="宋体"/>
          <w:sz w:val="24"/>
        </w:rPr>
      </w:pPr>
    </w:p>
    <w:p w14:paraId="569D3FEA">
      <w:pPr>
        <w:spacing w:line="360" w:lineRule="exact"/>
        <w:outlineLvl w:val="0"/>
        <w:rPr>
          <w:rFonts w:ascii="宋体" w:hAnsi="宋体"/>
          <w:b/>
          <w:sz w:val="24"/>
        </w:rPr>
      </w:pPr>
    </w:p>
    <w:p w14:paraId="7A978F2F">
      <w:pPr>
        <w:spacing w:line="360" w:lineRule="exact"/>
        <w:outlineLvl w:val="0"/>
        <w:rPr>
          <w:rFonts w:ascii="宋体" w:hAnsi="宋体"/>
          <w:b/>
          <w:sz w:val="24"/>
        </w:rPr>
      </w:pPr>
    </w:p>
    <w:p w14:paraId="561EDCF0">
      <w:pPr>
        <w:spacing w:line="360" w:lineRule="exact"/>
        <w:outlineLvl w:val="0"/>
        <w:rPr>
          <w:rFonts w:ascii="宋体" w:hAnsi="宋体"/>
          <w:b/>
          <w:sz w:val="24"/>
        </w:rPr>
      </w:pPr>
    </w:p>
    <w:p w14:paraId="4699AD64">
      <w:pPr>
        <w:spacing w:line="360" w:lineRule="exact"/>
        <w:outlineLvl w:val="0"/>
        <w:rPr>
          <w:rFonts w:ascii="宋体" w:hAnsi="宋体"/>
          <w:b/>
          <w:sz w:val="24"/>
        </w:rPr>
      </w:pPr>
    </w:p>
    <w:p w14:paraId="230218E3">
      <w:pPr>
        <w:spacing w:line="360" w:lineRule="exact"/>
        <w:outlineLvl w:val="0"/>
        <w:rPr>
          <w:rFonts w:ascii="宋体" w:hAnsi="宋体"/>
          <w:b/>
          <w:sz w:val="24"/>
        </w:rPr>
      </w:pPr>
      <w:r>
        <w:rPr>
          <w:rFonts w:hint="eastAsia" w:ascii="宋体" w:hAnsi="宋体"/>
          <w:b/>
          <w:sz w:val="24"/>
        </w:rPr>
        <w:t>附件4</w:t>
      </w:r>
    </w:p>
    <w:p w14:paraId="1C13EA12">
      <w:pPr>
        <w:spacing w:line="360" w:lineRule="exact"/>
        <w:outlineLvl w:val="0"/>
        <w:rPr>
          <w:rFonts w:ascii="宋体" w:hAnsi="宋体"/>
          <w:b/>
          <w:sz w:val="24"/>
        </w:rPr>
      </w:pPr>
    </w:p>
    <w:p w14:paraId="3594DDC0">
      <w:pPr>
        <w:spacing w:line="360" w:lineRule="exact"/>
        <w:jc w:val="center"/>
        <w:rPr>
          <w:rFonts w:ascii="宋体" w:hAnsi="宋体"/>
          <w:b/>
          <w:sz w:val="24"/>
        </w:rPr>
      </w:pPr>
      <w:r>
        <w:rPr>
          <w:rFonts w:hint="eastAsia" w:ascii="宋体" w:hAnsi="宋体"/>
          <w:b/>
          <w:sz w:val="24"/>
        </w:rPr>
        <w:t>服务计划</w:t>
      </w:r>
    </w:p>
    <w:p w14:paraId="00AA431D">
      <w:pPr>
        <w:spacing w:line="360" w:lineRule="exact"/>
        <w:jc w:val="center"/>
        <w:rPr>
          <w:rFonts w:ascii="宋体" w:hAnsi="宋体"/>
          <w:b/>
          <w:sz w:val="24"/>
        </w:rPr>
      </w:pPr>
    </w:p>
    <w:p w14:paraId="607BFC7C">
      <w:pPr>
        <w:spacing w:before="240" w:line="360" w:lineRule="exact"/>
        <w:ind w:firstLine="480" w:firstLineChars="200"/>
        <w:rPr>
          <w:rFonts w:ascii="宋体" w:hAnsi="宋体"/>
          <w:sz w:val="24"/>
        </w:rPr>
      </w:pPr>
      <w:r>
        <w:rPr>
          <w:rFonts w:hint="eastAsia" w:ascii="宋体" w:hAnsi="宋体"/>
          <w:sz w:val="24"/>
        </w:rPr>
        <w:t xml:space="preserve">                             （自拟）</w:t>
      </w:r>
    </w:p>
    <w:p w14:paraId="56DA7615">
      <w:pPr>
        <w:spacing w:before="240" w:line="360" w:lineRule="exact"/>
        <w:rPr>
          <w:rFonts w:ascii="宋体" w:hAnsi="宋体"/>
          <w:sz w:val="24"/>
        </w:rPr>
      </w:pPr>
    </w:p>
    <w:p w14:paraId="300B1950">
      <w:pPr>
        <w:spacing w:before="240" w:line="360" w:lineRule="exact"/>
        <w:rPr>
          <w:rFonts w:ascii="宋体" w:hAnsi="宋体"/>
          <w:sz w:val="24"/>
        </w:rPr>
      </w:pPr>
    </w:p>
    <w:p w14:paraId="0225372E">
      <w:pPr>
        <w:spacing w:before="240" w:line="360" w:lineRule="exact"/>
        <w:rPr>
          <w:rFonts w:ascii="宋体" w:hAnsi="宋体"/>
          <w:sz w:val="24"/>
        </w:rPr>
      </w:pPr>
    </w:p>
    <w:p w14:paraId="4ED12724">
      <w:pPr>
        <w:spacing w:before="240" w:line="360" w:lineRule="exact"/>
        <w:rPr>
          <w:rFonts w:ascii="宋体" w:hAnsi="宋体"/>
          <w:sz w:val="24"/>
        </w:rPr>
      </w:pPr>
    </w:p>
    <w:p w14:paraId="45E68E37">
      <w:pPr>
        <w:spacing w:before="240" w:line="360" w:lineRule="exact"/>
        <w:rPr>
          <w:rFonts w:ascii="宋体" w:hAnsi="宋体"/>
          <w:sz w:val="24"/>
        </w:rPr>
      </w:pPr>
    </w:p>
    <w:p w14:paraId="15D45773">
      <w:pPr>
        <w:spacing w:line="360" w:lineRule="exact"/>
        <w:rPr>
          <w:rFonts w:ascii="宋体" w:hAnsi="宋体"/>
          <w:b/>
          <w:sz w:val="24"/>
        </w:rPr>
      </w:pPr>
      <w:r>
        <w:rPr>
          <w:rFonts w:hint="eastAsia" w:ascii="宋体" w:hAnsi="宋体"/>
          <w:b/>
          <w:sz w:val="24"/>
        </w:rPr>
        <w:t>附件5</w:t>
      </w:r>
    </w:p>
    <w:p w14:paraId="1E106588">
      <w:pPr>
        <w:spacing w:line="360" w:lineRule="exact"/>
        <w:rPr>
          <w:rFonts w:ascii="宋体" w:hAnsi="宋体"/>
          <w:sz w:val="24"/>
        </w:rPr>
      </w:pPr>
      <w:r>
        <w:rPr>
          <w:rFonts w:hint="eastAsia" w:ascii="宋体" w:hAnsi="宋体"/>
          <w:sz w:val="24"/>
        </w:rPr>
        <w:t>履约保函格式（成交后提供）</w:t>
      </w:r>
    </w:p>
    <w:p w14:paraId="46F11BF1">
      <w:pPr>
        <w:spacing w:line="360" w:lineRule="exact"/>
        <w:jc w:val="center"/>
        <w:rPr>
          <w:rFonts w:ascii="宋体" w:hAnsi="宋体"/>
          <w:b/>
          <w:bCs/>
          <w:sz w:val="24"/>
        </w:rPr>
      </w:pPr>
      <w:r>
        <w:rPr>
          <w:rFonts w:hint="eastAsia" w:ascii="宋体" w:hAnsi="宋体"/>
          <w:b/>
          <w:bCs/>
          <w:sz w:val="24"/>
        </w:rPr>
        <w:t>履约保函</w:t>
      </w:r>
    </w:p>
    <w:p w14:paraId="1F741C54">
      <w:pPr>
        <w:spacing w:line="360" w:lineRule="exact"/>
        <w:jc w:val="center"/>
        <w:rPr>
          <w:rFonts w:ascii="宋体" w:hAnsi="宋体"/>
          <w:b/>
          <w:bCs/>
          <w:sz w:val="24"/>
        </w:rPr>
      </w:pPr>
    </w:p>
    <w:p w14:paraId="58D5305B">
      <w:pPr>
        <w:spacing w:line="360" w:lineRule="exact"/>
        <w:rPr>
          <w:rFonts w:ascii="宋体" w:hAnsi="宋体"/>
          <w:sz w:val="24"/>
        </w:rPr>
      </w:pPr>
      <w:r>
        <w:rPr>
          <w:rFonts w:hint="eastAsia" w:ascii="宋体" w:hAnsi="宋体"/>
          <w:sz w:val="24"/>
        </w:rPr>
        <w:t>致：                 （采购人）</w:t>
      </w:r>
    </w:p>
    <w:p w14:paraId="6F5CE6D1">
      <w:pPr>
        <w:spacing w:line="360" w:lineRule="exact"/>
        <w:ind w:firstLine="480" w:firstLineChars="200"/>
        <w:jc w:val="left"/>
        <w:rPr>
          <w:rFonts w:ascii="宋体" w:hAnsi="宋体"/>
          <w:sz w:val="24"/>
        </w:rPr>
      </w:pPr>
      <w:r>
        <w:rPr>
          <w:rFonts w:ascii="宋体" w:hAnsi="宋体"/>
          <w:sz w:val="24"/>
        </w:rPr>
        <mc:AlternateContent>
          <mc:Choice Requires="wps">
            <w:drawing>
              <wp:anchor distT="0" distB="0" distL="114300" distR="114300" simplePos="0" relativeHeight="251661312" behindDoc="0" locked="0" layoutInCell="1" allowOverlap="1">
                <wp:simplePos x="0" y="0"/>
                <wp:positionH relativeFrom="column">
                  <wp:posOffset>4547870</wp:posOffset>
                </wp:positionH>
                <wp:positionV relativeFrom="paragraph">
                  <wp:posOffset>152400</wp:posOffset>
                </wp:positionV>
                <wp:extent cx="1264285" cy="0"/>
                <wp:effectExtent l="0" t="4445" r="0" b="5080"/>
                <wp:wrapNone/>
                <wp:docPr id="2" name="直线 5"/>
                <wp:cNvGraphicFramePr/>
                <a:graphic xmlns:a="http://schemas.openxmlformats.org/drawingml/2006/main">
                  <a:graphicData uri="http://schemas.microsoft.com/office/word/2010/wordprocessingShape">
                    <wps:wsp>
                      <wps:cNvCnPr/>
                      <wps:spPr>
                        <a:xfrm>
                          <a:off x="0" y="0"/>
                          <a:ext cx="126428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5" o:spid="_x0000_s1026" o:spt="20" style="position:absolute;left:0pt;margin-left:358.1pt;margin-top:12pt;height:0pt;width:99.55pt;z-index:251661312;mso-width-relative:page;mso-height-relative:page;" filled="f" stroked="t" coordsize="21600,21600" o:gfxdata="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ffDDNcAAAAJ&#10;AQAADwAAAAAAAAABACAAAAAiAAAAZHJzL2Rvd25yZXYueG1sUEsBAhQAFAAAAAgAh07iQE7bNgTk&#10;AQAA3QMAAA4AAAAAAAAAAQAgAAAAJgEAAGRycy9lMm9Eb2MueG1sUEsFBgAAAAAGAAYAWQEAAHwF&#10;AAAAAA==&#10;">
                <v:fill on="f" focussize="0,0"/>
                <v:stroke color="#000000" joinstyle="round"/>
                <v:imagedata o:title=""/>
                <o:lock v:ext="edit" aspectratio="f"/>
              </v:line>
            </w:pict>
          </mc:Fallback>
        </mc:AlternateContent>
      </w:r>
      <w:r>
        <w:rPr>
          <w:rFonts w:ascii="宋体" w:hAnsi="宋体"/>
          <w:sz w:val="24"/>
        </w:rPr>
        <mc:AlternateContent>
          <mc:Choice Requires="wps">
            <w:drawing>
              <wp:anchor distT="0" distB="0" distL="114300" distR="114300" simplePos="0" relativeHeight="251662336" behindDoc="0" locked="0" layoutInCell="1" allowOverlap="1">
                <wp:simplePos x="0" y="0"/>
                <wp:positionH relativeFrom="column">
                  <wp:posOffset>2733675</wp:posOffset>
                </wp:positionH>
                <wp:positionV relativeFrom="paragraph">
                  <wp:posOffset>457200</wp:posOffset>
                </wp:positionV>
                <wp:extent cx="574675" cy="0"/>
                <wp:effectExtent l="0" t="4445" r="0" b="5080"/>
                <wp:wrapNone/>
                <wp:docPr id="3" name="直线 4"/>
                <wp:cNvGraphicFramePr/>
                <a:graphic xmlns:a="http://schemas.openxmlformats.org/drawingml/2006/main">
                  <a:graphicData uri="http://schemas.microsoft.com/office/word/2010/wordprocessingShape">
                    <wps:wsp>
                      <wps:cNvCnPr/>
                      <wps:spPr>
                        <a:xfrm>
                          <a:off x="0" y="0"/>
                          <a:ext cx="57467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4" o:spid="_x0000_s1026" o:spt="20" style="position:absolute;left:0pt;margin-left:215.25pt;margin-top:36pt;height:0pt;width:45.25pt;z-index:251662336;mso-width-relative:page;mso-height-relative:page;" filled="f" stroked="t" coordsize="21600,21600" o:gfxdata="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DzdFT1gAAAAkB&#10;AAAPAAAAAAAAAAEAIAAAACIAAABkcnMvZG93bnJldi54bWxQSwECFAAUAAAACACHTuJAP9Yx3uQB&#10;AADcAwAADgAAAAAAAAABACAAAAAlAQAAZHJzL2Uyb0RvYy54bWxQSwUGAAAAAAYABgBZAQAAewUA&#10;AAAA&#10;">
                <v:fill on="f" focussize="0,0"/>
                <v:stroke color="#000000" joinstyle="round"/>
                <v:imagedata o:title=""/>
                <o:lock v:ext="edit" aspectratio="f"/>
              </v:line>
            </w:pict>
          </mc:Fallback>
        </mc:AlternateContent>
      </w:r>
      <w:r>
        <w:rPr>
          <w:rFonts w:hint="eastAsia" w:ascii="宋体" w:hAnsi="宋体"/>
          <w:sz w:val="24"/>
        </w:rPr>
        <w:t>本保函作为贵方与政府分散采购成交供应商于  年  月  日就                   项目（以下简称“项目”）项下提供签订的       号合同履约保证金。银行（以下简称银行）无条件地、不可撤消地保证本行、其继承和受让人无条件追索地向贵方以人民币支付总额不超过       元，即相当于合同价格的</w:t>
      </w:r>
      <w:r>
        <w:rPr>
          <w:rFonts w:hint="eastAsia" w:ascii="宋体" w:hAnsi="宋体"/>
          <w:sz w:val="24"/>
          <w:lang w:val="en-US" w:eastAsia="zh-CN"/>
        </w:rPr>
        <w:t>3</w:t>
      </w:r>
      <w:r>
        <w:rPr>
          <w:rFonts w:hint="eastAsia" w:ascii="宋体" w:hAnsi="宋体"/>
          <w:sz w:val="24"/>
        </w:rPr>
        <w:t>%。</w:t>
      </w:r>
    </w:p>
    <w:p w14:paraId="6BF727EE">
      <w:pPr>
        <w:spacing w:line="360" w:lineRule="exact"/>
        <w:ind w:left="1200" w:hanging="1200" w:hangingChars="500"/>
        <w:jc w:val="left"/>
        <w:rPr>
          <w:rFonts w:ascii="宋体" w:hAnsi="宋体"/>
          <w:sz w:val="24"/>
        </w:rPr>
      </w:pPr>
      <w:r>
        <w:rPr>
          <w:rFonts w:ascii="宋体" w:hAnsi="宋体"/>
          <w:sz w:val="24"/>
        </w:rPr>
        <mc:AlternateContent>
          <mc:Choice Requires="wps">
            <w:drawing>
              <wp:anchor distT="0" distB="0" distL="114300" distR="114300" simplePos="0" relativeHeight="251663360" behindDoc="0" locked="0" layoutInCell="1" allowOverlap="1">
                <wp:simplePos x="0" y="0"/>
                <wp:positionH relativeFrom="column">
                  <wp:posOffset>1494155</wp:posOffset>
                </wp:positionH>
                <wp:positionV relativeFrom="paragraph">
                  <wp:posOffset>91440</wp:posOffset>
                </wp:positionV>
                <wp:extent cx="635" cy="0"/>
                <wp:effectExtent l="0" t="4445" r="0" b="5080"/>
                <wp:wrapNone/>
                <wp:docPr id="4" name="直线 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6" o:spid="_x0000_s1026" o:spt="20" style="position:absolute;left:0pt;margin-left:117.65pt;margin-top:7.2pt;height:0pt;width:0.05pt;z-index:251663360;mso-width-relative:page;mso-height-relative:page;" filled="f" stroked="t" coordsize="21600,21600" o:gfxdata="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qr6cftUAAAAJAQAADwAA&#10;AAAAAAABACAAAAAiAAAAZHJzL2Rvd25yZXYueG1sUEsBAhQAFAAAAAgAh07iQEOwoy3gAQAA2QMA&#10;AA4AAAAAAAAAAQAgAAAAJAEAAGRycy9lMm9Eb2MueG1sUEsFBgAAAAAGAAYAWQEAAHYFAAAAAA==&#10;">
                <v:fill on="f" focussize="0,0"/>
                <v:stroke color="#000000" joinstyle="round"/>
                <v:imagedata o:title=""/>
                <o:lock v:ext="edit" aspectratio="f"/>
              </v:line>
            </w:pict>
          </mc:Fallback>
        </mc:AlternateContent>
      </w:r>
      <w:r>
        <w:rPr>
          <w:rFonts w:hint="eastAsia" w:ascii="宋体" w:hAnsi="宋体"/>
          <w:sz w:val="24"/>
        </w:rPr>
        <w:t>并以此约定如下：</w:t>
      </w:r>
    </w:p>
    <w:p w14:paraId="4066B06A">
      <w:pPr>
        <w:pStyle w:val="17"/>
        <w:spacing w:line="360" w:lineRule="exact"/>
        <w:ind w:left="225" w:leftChars="107" w:firstLine="480" w:firstLineChars="200"/>
        <w:rPr>
          <w:rFonts w:ascii="宋体" w:hAnsi="宋体"/>
        </w:rPr>
      </w:pPr>
      <w:r>
        <w:rPr>
          <w:rFonts w:hint="eastAsia" w:ascii="宋体" w:hAnsi="宋体"/>
        </w:rPr>
        <w:t>1、成交供应商未能忠实地履行所有合同文件的规定和双方以后可能做出的并同意的修改、补充和变动，包括更换或修补贵方认为对有缺陷货物（以下简称违约），只要贵方确实，无论成交供应商有何反对，本行凭贵方的书面违约通知，立即按贵方提出的不超过上述累计总额的金额和按该通知规定的方式付给贵方。</w:t>
      </w:r>
    </w:p>
    <w:p w14:paraId="3E3BC1FF">
      <w:pPr>
        <w:spacing w:line="360" w:lineRule="exact"/>
        <w:ind w:left="225" w:leftChars="107" w:firstLine="480" w:firstLineChars="200"/>
        <w:rPr>
          <w:rFonts w:ascii="宋体" w:hAnsi="宋体"/>
          <w:sz w:val="24"/>
        </w:rPr>
      </w:pPr>
      <w:r>
        <w:rPr>
          <w:rFonts w:hint="eastAsia" w:ascii="宋体" w:hAnsi="宋体"/>
          <w:sz w:val="24"/>
        </w:rPr>
        <w:t>2、本保证函的规定构面本行无条件的、不可撤消的直接义务。今后任何对合同条款的修改、贵方在时间上的通融、其他宽容、让步或由贵方采取的除了本款以外都适用的可能免除本行责任的任何删除或其他行为，均不能解除或免除本行在该保证函项下的责任。</w:t>
      </w:r>
    </w:p>
    <w:p w14:paraId="063D4A95">
      <w:pPr>
        <w:spacing w:line="360" w:lineRule="exact"/>
        <w:ind w:left="225" w:leftChars="107" w:firstLine="480" w:firstLineChars="200"/>
        <w:rPr>
          <w:rFonts w:ascii="宋体" w:hAnsi="宋体"/>
          <w:sz w:val="24"/>
        </w:rPr>
      </w:pPr>
      <w:r>
        <w:rPr>
          <w:rFonts w:hint="eastAsia" w:ascii="宋体" w:hAnsi="宋体"/>
          <w:sz w:val="24"/>
        </w:rPr>
        <w:t>3、保证函在本合同规定的保证期满前完全有效。</w:t>
      </w:r>
    </w:p>
    <w:p w14:paraId="5FD5C3A2">
      <w:pPr>
        <w:spacing w:line="360" w:lineRule="exact"/>
        <w:ind w:left="585"/>
        <w:rPr>
          <w:rFonts w:ascii="宋体" w:hAnsi="宋体"/>
          <w:sz w:val="24"/>
        </w:rPr>
      </w:pPr>
    </w:p>
    <w:p w14:paraId="21F49FA5">
      <w:pPr>
        <w:spacing w:line="360" w:lineRule="exact"/>
        <w:ind w:left="420" w:leftChars="200" w:firstLine="5460" w:firstLineChars="2275"/>
        <w:rPr>
          <w:rFonts w:ascii="宋体" w:hAnsi="宋体"/>
          <w:sz w:val="24"/>
        </w:rPr>
      </w:pPr>
      <w:r>
        <w:rPr>
          <w:rFonts w:hint="eastAsia" w:ascii="宋体" w:hAnsi="宋体"/>
          <w:sz w:val="24"/>
        </w:rPr>
        <w:t>出证行名称：</w:t>
      </w:r>
    </w:p>
    <w:p w14:paraId="6869356D">
      <w:pPr>
        <w:spacing w:line="360" w:lineRule="exact"/>
        <w:ind w:left="420" w:leftChars="200" w:firstLine="5460" w:firstLineChars="2275"/>
        <w:rPr>
          <w:rFonts w:ascii="宋体" w:hAnsi="宋体"/>
          <w:sz w:val="24"/>
        </w:rPr>
      </w:pPr>
      <w:r>
        <w:rPr>
          <w:rFonts w:hint="eastAsia" w:ascii="宋体" w:hAnsi="宋体"/>
          <w:sz w:val="24"/>
        </w:rPr>
        <w:t>签字、盖章：</w:t>
      </w:r>
    </w:p>
    <w:p w14:paraId="69927975">
      <w:pPr>
        <w:spacing w:line="360" w:lineRule="exact"/>
        <w:ind w:firstLine="6000" w:firstLineChars="2500"/>
        <w:rPr>
          <w:rFonts w:ascii="宋体" w:hAnsi="宋体"/>
          <w:sz w:val="24"/>
        </w:rPr>
      </w:pPr>
      <w:r>
        <w:rPr>
          <w:rFonts w:hint="eastAsia" w:ascii="宋体" w:hAnsi="宋体"/>
          <w:sz w:val="24"/>
        </w:rPr>
        <w:t>日     期：</w:t>
      </w:r>
    </w:p>
    <w:p w14:paraId="077AB4F8">
      <w:pPr>
        <w:spacing w:line="360" w:lineRule="exact"/>
        <w:rPr>
          <w:rFonts w:ascii="宋体" w:hAnsi="宋体"/>
          <w:sz w:val="24"/>
        </w:rPr>
      </w:pPr>
      <w:r>
        <w:rPr>
          <w:rFonts w:ascii="宋体" w:hAnsi="宋体"/>
          <w:sz w:val="24"/>
        </w:rPr>
        <w:br w:type="page"/>
      </w:r>
    </w:p>
    <w:p w14:paraId="57991389">
      <w:pPr>
        <w:pStyle w:val="3"/>
        <w:rPr>
          <w:rFonts w:ascii="宋体" w:hAnsi="宋体" w:eastAsia="宋体"/>
          <w:b w:val="0"/>
          <w:szCs w:val="24"/>
        </w:rPr>
      </w:pPr>
      <w:bookmarkStart w:id="183" w:name="_Toc480942355"/>
      <w:bookmarkStart w:id="184" w:name="_Ref467988543"/>
      <w:bookmarkStart w:id="185" w:name="_Toc520356224"/>
      <w:bookmarkStart w:id="186" w:name="_Toc183588702"/>
      <w:r>
        <w:rPr>
          <w:rFonts w:hint="eastAsia" w:ascii="宋体" w:hAnsi="宋体" w:eastAsia="宋体"/>
          <w:b w:val="0"/>
          <w:szCs w:val="24"/>
        </w:rPr>
        <w:t>附件6 资格证明文件（格式</w:t>
      </w:r>
      <w:bookmarkEnd w:id="183"/>
      <w:bookmarkEnd w:id="184"/>
      <w:bookmarkEnd w:id="185"/>
      <w:r>
        <w:rPr>
          <w:rFonts w:hint="eastAsia" w:ascii="宋体" w:hAnsi="宋体" w:eastAsia="宋体"/>
          <w:b w:val="0"/>
          <w:szCs w:val="24"/>
        </w:rPr>
        <w:t>）</w:t>
      </w:r>
      <w:bookmarkEnd w:id="186"/>
      <w:r>
        <w:rPr>
          <w:rFonts w:ascii="宋体" w:hAnsi="宋体" w:eastAsia="宋体"/>
          <w:b w:val="0"/>
          <w:szCs w:val="24"/>
        </w:rPr>
        <w:cr/>
      </w:r>
    </w:p>
    <w:p w14:paraId="2B10D7C0">
      <w:pPr>
        <w:pStyle w:val="20"/>
        <w:tabs>
          <w:tab w:val="left" w:pos="5160"/>
        </w:tabs>
        <w:ind w:left="2820" w:firstLine="241"/>
        <w:rPr>
          <w:rFonts w:hAnsi="宋体"/>
          <w:szCs w:val="24"/>
        </w:rPr>
      </w:pPr>
      <w:r>
        <w:rPr>
          <w:rFonts w:hint="eastAsia" w:hAnsi="宋体"/>
          <w:szCs w:val="24"/>
        </w:rPr>
        <w:t>目     录</w:t>
      </w:r>
      <w:r>
        <w:rPr>
          <w:rFonts w:hAnsi="宋体"/>
          <w:szCs w:val="24"/>
        </w:rPr>
        <w:tab/>
      </w:r>
    </w:p>
    <w:p w14:paraId="7D110C42">
      <w:pPr>
        <w:pStyle w:val="20"/>
        <w:tabs>
          <w:tab w:val="left" w:pos="5160"/>
        </w:tabs>
        <w:ind w:left="2820" w:firstLine="241"/>
        <w:rPr>
          <w:rFonts w:hAnsi="宋体"/>
          <w:szCs w:val="24"/>
        </w:rPr>
      </w:pPr>
    </w:p>
    <w:p w14:paraId="7D2E1BC8">
      <w:pPr>
        <w:spacing w:line="360" w:lineRule="auto"/>
        <w:rPr>
          <w:rFonts w:ascii="宋体" w:hAnsi="宋体"/>
          <w:bCs/>
          <w:sz w:val="24"/>
        </w:rPr>
      </w:pPr>
      <w:r>
        <w:rPr>
          <w:rFonts w:hint="eastAsia" w:ascii="宋体" w:hAnsi="宋体"/>
          <w:sz w:val="24"/>
        </w:rPr>
        <w:t xml:space="preserve">6.1 </w:t>
      </w:r>
      <w:r>
        <w:rPr>
          <w:rFonts w:hint="eastAsia" w:ascii="宋体" w:hAnsi="宋体"/>
          <w:bCs/>
          <w:sz w:val="24"/>
        </w:rPr>
        <w:t>法人营业执照的复印件（须加盖本单位公章）</w:t>
      </w:r>
    </w:p>
    <w:p w14:paraId="60528572">
      <w:pPr>
        <w:spacing w:line="360" w:lineRule="auto"/>
        <w:rPr>
          <w:rFonts w:ascii="宋体" w:hAnsi="宋体"/>
          <w:bCs/>
          <w:sz w:val="24"/>
        </w:rPr>
      </w:pPr>
      <w:r>
        <w:rPr>
          <w:rFonts w:hint="eastAsia" w:ascii="宋体" w:hAnsi="宋体"/>
          <w:bCs/>
          <w:sz w:val="24"/>
        </w:rPr>
        <w:t>6.2法定代表人授权书（格式）</w:t>
      </w:r>
    </w:p>
    <w:p w14:paraId="2753761C">
      <w:pPr>
        <w:spacing w:line="360" w:lineRule="auto"/>
        <w:rPr>
          <w:rFonts w:ascii="宋体" w:hAnsi="宋体"/>
          <w:bCs/>
          <w:sz w:val="24"/>
        </w:rPr>
      </w:pPr>
      <w:r>
        <w:rPr>
          <w:rFonts w:hint="eastAsia" w:ascii="宋体" w:hAnsi="宋体"/>
          <w:bCs/>
          <w:sz w:val="24"/>
        </w:rPr>
        <w:t>6.3供应商的基本情况 （格式）</w:t>
      </w:r>
    </w:p>
    <w:p w14:paraId="72743AC5">
      <w:pPr>
        <w:spacing w:line="360" w:lineRule="auto"/>
        <w:rPr>
          <w:rFonts w:ascii="宋体" w:hAnsi="宋体"/>
          <w:bCs/>
          <w:sz w:val="24"/>
        </w:rPr>
      </w:pPr>
      <w:r>
        <w:rPr>
          <w:rFonts w:hint="eastAsia" w:ascii="宋体" w:hAnsi="宋体"/>
          <w:bCs/>
          <w:sz w:val="24"/>
        </w:rPr>
        <w:t>6.4具有良好的商业信誉和健全的财务会计制度（提供承诺函加盖公章）</w:t>
      </w:r>
    </w:p>
    <w:p w14:paraId="4683890F">
      <w:pPr>
        <w:spacing w:line="360" w:lineRule="auto"/>
        <w:rPr>
          <w:rFonts w:ascii="宋体" w:hAnsi="宋体"/>
          <w:bCs/>
          <w:sz w:val="24"/>
        </w:rPr>
      </w:pPr>
      <w:r>
        <w:rPr>
          <w:rFonts w:hint="eastAsia" w:ascii="宋体" w:hAnsi="宋体"/>
          <w:bCs/>
          <w:sz w:val="24"/>
        </w:rPr>
        <w:t>6.5</w:t>
      </w:r>
      <w:r>
        <w:rPr>
          <w:rFonts w:ascii="宋体" w:hAnsi="宋体"/>
          <w:bCs/>
          <w:sz w:val="24"/>
        </w:rPr>
        <w:t>具有履行合同所必需的设备和专业技术能力</w:t>
      </w:r>
      <w:r>
        <w:rPr>
          <w:rFonts w:hint="eastAsia" w:ascii="宋体" w:hAnsi="宋体"/>
          <w:bCs/>
          <w:sz w:val="24"/>
        </w:rPr>
        <w:t>(提供</w:t>
      </w:r>
      <w:r>
        <w:rPr>
          <w:rFonts w:ascii="宋体" w:hAnsi="宋体"/>
          <w:bCs/>
          <w:sz w:val="24"/>
        </w:rPr>
        <w:t>承诺书</w:t>
      </w:r>
      <w:r>
        <w:rPr>
          <w:rFonts w:hint="eastAsia" w:ascii="宋体" w:hAnsi="宋体"/>
          <w:bCs/>
          <w:sz w:val="24"/>
          <w:lang w:eastAsia="zh-CN"/>
        </w:rPr>
        <w:t>加盖公章</w:t>
      </w:r>
      <w:r>
        <w:rPr>
          <w:rFonts w:hint="eastAsia" w:ascii="宋体" w:hAnsi="宋体"/>
          <w:bCs/>
          <w:sz w:val="24"/>
        </w:rPr>
        <w:t>)</w:t>
      </w:r>
    </w:p>
    <w:p w14:paraId="7B3E45E0">
      <w:pPr>
        <w:spacing w:line="360" w:lineRule="auto"/>
        <w:rPr>
          <w:rFonts w:ascii="宋体" w:hAnsi="宋体"/>
          <w:bCs/>
          <w:sz w:val="24"/>
        </w:rPr>
      </w:pPr>
      <w:r>
        <w:rPr>
          <w:rFonts w:hint="eastAsia" w:ascii="宋体" w:hAnsi="宋体"/>
          <w:bCs/>
          <w:sz w:val="24"/>
        </w:rPr>
        <w:t>6.6有依法缴纳税收和社会保障资金的良好记录（提供承诺函加盖公章）</w:t>
      </w:r>
    </w:p>
    <w:p w14:paraId="2B46EDC4">
      <w:pPr>
        <w:spacing w:line="360" w:lineRule="auto"/>
        <w:rPr>
          <w:rFonts w:ascii="宋体" w:hAnsi="宋体"/>
          <w:bCs/>
          <w:sz w:val="24"/>
        </w:rPr>
      </w:pPr>
      <w:r>
        <w:rPr>
          <w:rFonts w:hint="eastAsia" w:ascii="宋体" w:hAnsi="宋体"/>
          <w:bCs/>
          <w:sz w:val="24"/>
        </w:rPr>
        <w:t>6.7供应商参加政府采购活动近三年内，在经营活动中没有重大事故、违法记录的声明</w:t>
      </w:r>
    </w:p>
    <w:p w14:paraId="3AF97448">
      <w:pPr>
        <w:spacing w:line="360" w:lineRule="auto"/>
        <w:rPr>
          <w:rFonts w:ascii="宋体" w:hAnsi="宋体"/>
          <w:bCs/>
          <w:sz w:val="24"/>
        </w:rPr>
      </w:pPr>
      <w:r>
        <w:rPr>
          <w:rFonts w:hint="eastAsia" w:ascii="宋体" w:hAnsi="宋体"/>
          <w:bCs/>
          <w:sz w:val="24"/>
        </w:rPr>
        <w:t>6.8供应商参加政府采购活动前三年内，在经营活动中没有环保类行政处罚记录</w:t>
      </w:r>
    </w:p>
    <w:p w14:paraId="0713E991">
      <w:pPr>
        <w:spacing w:line="360" w:lineRule="auto"/>
        <w:rPr>
          <w:rFonts w:ascii="宋体" w:hAnsi="宋体"/>
          <w:b/>
          <w:bCs/>
          <w:sz w:val="24"/>
        </w:rPr>
      </w:pPr>
      <w:r>
        <w:rPr>
          <w:rFonts w:hint="eastAsia" w:ascii="宋体" w:hAnsi="宋体"/>
          <w:b/>
          <w:bCs/>
          <w:sz w:val="24"/>
        </w:rPr>
        <w:t>6.</w:t>
      </w:r>
      <w:r>
        <w:rPr>
          <w:rFonts w:hint="eastAsia" w:ascii="宋体" w:hAnsi="宋体"/>
          <w:b/>
          <w:bCs/>
          <w:sz w:val="24"/>
          <w:lang w:val="en-US" w:eastAsia="zh-CN"/>
        </w:rPr>
        <w:t>9</w:t>
      </w:r>
      <w:r>
        <w:rPr>
          <w:rFonts w:hint="eastAsia" w:ascii="宋体" w:hAnsi="宋体"/>
          <w:b/>
          <w:bCs/>
          <w:sz w:val="24"/>
        </w:rPr>
        <w:t>其他资格证明文件</w:t>
      </w:r>
    </w:p>
    <w:p w14:paraId="64445B15">
      <w:pPr>
        <w:spacing w:line="380" w:lineRule="exact"/>
        <w:rPr>
          <w:rFonts w:ascii="宋体" w:hAnsi="宋体" w:cs="宋体"/>
          <w:bCs/>
          <w:sz w:val="24"/>
        </w:rPr>
      </w:pPr>
    </w:p>
    <w:p w14:paraId="3F1C6A50">
      <w:pPr>
        <w:spacing w:line="360" w:lineRule="exact"/>
        <w:rPr>
          <w:rFonts w:ascii="宋体" w:hAnsi="宋体"/>
          <w:sz w:val="24"/>
          <w:u w:val="single"/>
        </w:rPr>
      </w:pPr>
    </w:p>
    <w:p w14:paraId="15318DDC">
      <w:pPr>
        <w:spacing w:line="360" w:lineRule="exact"/>
        <w:ind w:firstLine="5640" w:firstLineChars="2350"/>
        <w:rPr>
          <w:rFonts w:ascii="宋体" w:hAnsi="宋体"/>
          <w:sz w:val="24"/>
          <w:u w:val="single"/>
        </w:rPr>
      </w:pPr>
    </w:p>
    <w:p w14:paraId="3DC26D24">
      <w:pPr>
        <w:pStyle w:val="3"/>
        <w:keepNext w:val="0"/>
        <w:pageBreakBefore/>
        <w:rPr>
          <w:rFonts w:ascii="宋体" w:hAnsi="宋体" w:eastAsia="宋体"/>
          <w:szCs w:val="24"/>
        </w:rPr>
      </w:pPr>
      <w:bookmarkStart w:id="187" w:name="_Toc183588703"/>
      <w:r>
        <w:rPr>
          <w:rFonts w:hint="eastAsia" w:ascii="宋体" w:hAnsi="宋体" w:eastAsia="宋体"/>
          <w:szCs w:val="24"/>
        </w:rPr>
        <w:t>附件6.1</w:t>
      </w:r>
      <w:bookmarkStart w:id="188" w:name="_Hlt520274911"/>
      <w:bookmarkEnd w:id="188"/>
      <w:r>
        <w:rPr>
          <w:rFonts w:hint="eastAsia" w:ascii="宋体" w:hAnsi="宋体" w:eastAsia="宋体"/>
          <w:szCs w:val="24"/>
        </w:rPr>
        <w:t xml:space="preserve">  法人营业执照的复印件</w:t>
      </w:r>
      <w:bookmarkEnd w:id="187"/>
    </w:p>
    <w:p w14:paraId="1E626030">
      <w:pPr>
        <w:pStyle w:val="20"/>
        <w:tabs>
          <w:tab w:val="left" w:pos="5580"/>
        </w:tabs>
        <w:jc w:val="center"/>
        <w:rPr>
          <w:rFonts w:hAnsi="宋体"/>
          <w:b/>
          <w:szCs w:val="24"/>
        </w:rPr>
      </w:pPr>
    </w:p>
    <w:p w14:paraId="243E33C4">
      <w:pPr>
        <w:pStyle w:val="20"/>
        <w:jc w:val="center"/>
        <w:rPr>
          <w:rFonts w:hAnsi="宋体"/>
          <w:szCs w:val="24"/>
        </w:rPr>
      </w:pPr>
      <w:r>
        <w:rPr>
          <w:rFonts w:hint="eastAsia" w:hAnsi="宋体"/>
          <w:szCs w:val="24"/>
        </w:rPr>
        <w:t>提供工商年检合格的营业执照副本复印件</w:t>
      </w:r>
    </w:p>
    <w:p w14:paraId="25209F66">
      <w:pPr>
        <w:pStyle w:val="20"/>
        <w:tabs>
          <w:tab w:val="left" w:pos="5580"/>
        </w:tabs>
        <w:jc w:val="center"/>
        <w:rPr>
          <w:rFonts w:hAnsi="宋体"/>
          <w:b/>
          <w:szCs w:val="24"/>
        </w:rPr>
      </w:pPr>
    </w:p>
    <w:p w14:paraId="1F7D31E6">
      <w:pPr>
        <w:pStyle w:val="20"/>
        <w:tabs>
          <w:tab w:val="left" w:pos="5580"/>
        </w:tabs>
        <w:jc w:val="center"/>
        <w:rPr>
          <w:rFonts w:hAnsi="宋体"/>
          <w:b/>
          <w:szCs w:val="24"/>
        </w:rPr>
      </w:pPr>
      <w:r>
        <w:rPr>
          <w:rFonts w:hint="eastAsia" w:hAnsi="宋体"/>
          <w:b/>
          <w:szCs w:val="24"/>
        </w:rPr>
        <w:t>（须加盖本单位公章）</w:t>
      </w:r>
    </w:p>
    <w:p w14:paraId="5D7F58C2">
      <w:pPr>
        <w:jc w:val="center"/>
        <w:rPr>
          <w:rFonts w:ascii="宋体" w:hAnsi="宋体"/>
          <w:b/>
          <w:bCs/>
          <w:sz w:val="24"/>
        </w:rPr>
      </w:pPr>
    </w:p>
    <w:p w14:paraId="52AF85E3">
      <w:pPr>
        <w:jc w:val="center"/>
        <w:rPr>
          <w:rFonts w:ascii="宋体" w:hAnsi="宋体"/>
          <w:b/>
          <w:bCs/>
          <w:sz w:val="24"/>
        </w:rPr>
      </w:pPr>
    </w:p>
    <w:p w14:paraId="4C3036C6">
      <w:pPr>
        <w:rPr>
          <w:rFonts w:ascii="宋体" w:hAnsi="宋体"/>
          <w:b/>
          <w:bCs/>
          <w:sz w:val="24"/>
        </w:rPr>
      </w:pPr>
    </w:p>
    <w:p w14:paraId="07F57BA2">
      <w:pPr>
        <w:pStyle w:val="3"/>
        <w:keepNext w:val="0"/>
        <w:keepLines w:val="0"/>
        <w:spacing w:line="415" w:lineRule="auto"/>
        <w:rPr>
          <w:rFonts w:ascii="宋体" w:hAnsi="宋体" w:eastAsia="宋体"/>
          <w:szCs w:val="24"/>
        </w:rPr>
      </w:pPr>
      <w:bookmarkStart w:id="189" w:name="_Toc183588706"/>
      <w:bookmarkStart w:id="190" w:name="_Toc480942358"/>
      <w:bookmarkStart w:id="191" w:name="_Ref467990101"/>
      <w:bookmarkStart w:id="192" w:name="_Toc480942357"/>
      <w:bookmarkStart w:id="193" w:name="_Ref467990064"/>
      <w:bookmarkStart w:id="194" w:name="_Ref467988479"/>
      <w:bookmarkStart w:id="195" w:name="_Ref467988471"/>
      <w:bookmarkStart w:id="196" w:name="_Ref467990058"/>
      <w:bookmarkStart w:id="197" w:name="_Toc520125062"/>
      <w:bookmarkStart w:id="198" w:name="_Toc520125061"/>
      <w:bookmarkStart w:id="199" w:name="_Toc520356229"/>
      <w:bookmarkStart w:id="200" w:name="_Toc520356228"/>
      <w:bookmarkStart w:id="201" w:name="_Ref467988485"/>
      <w:bookmarkStart w:id="202" w:name="_Ref467990100"/>
      <w:r>
        <w:rPr>
          <w:rFonts w:hint="eastAsia" w:ascii="宋体" w:hAnsi="宋体" w:eastAsia="宋体"/>
          <w:szCs w:val="24"/>
        </w:rPr>
        <w:t>附件6.2          法定代表人授权书</w:t>
      </w:r>
      <w:bookmarkEnd w:id="189"/>
    </w:p>
    <w:p w14:paraId="08AD1366">
      <w:pPr>
        <w:pStyle w:val="4"/>
        <w:ind w:firstLine="480"/>
        <w:rPr>
          <w:rFonts w:hAnsi="宋体"/>
        </w:rPr>
      </w:pPr>
    </w:p>
    <w:p w14:paraId="5E38DDAD">
      <w:pPr>
        <w:pStyle w:val="20"/>
        <w:rPr>
          <w:rFonts w:hAnsi="宋体"/>
          <w:szCs w:val="24"/>
        </w:rPr>
      </w:pPr>
      <w:r>
        <w:rPr>
          <w:rFonts w:hint="eastAsia" w:hAnsi="宋体"/>
          <w:szCs w:val="24"/>
        </w:rPr>
        <w:t xml:space="preserve">    本授权书声明：注册于</w:t>
      </w:r>
      <w:r>
        <w:rPr>
          <w:rFonts w:hint="eastAsia" w:hAnsi="宋体"/>
          <w:szCs w:val="24"/>
          <w:u w:val="single"/>
        </w:rPr>
        <w:t>（国家或地区的名称）</w:t>
      </w:r>
      <w:r>
        <w:rPr>
          <w:rFonts w:hint="eastAsia" w:hAnsi="宋体"/>
          <w:szCs w:val="24"/>
        </w:rPr>
        <w:t>的（</w:t>
      </w:r>
      <w:r>
        <w:rPr>
          <w:rFonts w:hint="eastAsia" w:hAnsi="宋体"/>
          <w:i/>
          <w:szCs w:val="24"/>
          <w:u w:val="single"/>
        </w:rPr>
        <w:t>公司名称</w:t>
      </w:r>
      <w:r>
        <w:rPr>
          <w:rFonts w:hint="eastAsia" w:hAnsi="宋体"/>
          <w:szCs w:val="24"/>
        </w:rPr>
        <w:t>）的在下面签字的（</w:t>
      </w:r>
      <w:r>
        <w:rPr>
          <w:rFonts w:hint="eastAsia" w:hAnsi="宋体"/>
          <w:i/>
          <w:szCs w:val="24"/>
          <w:u w:val="single"/>
        </w:rPr>
        <w:t>法人代表姓名、职务</w:t>
      </w:r>
      <w:r>
        <w:rPr>
          <w:rFonts w:hint="eastAsia" w:hAnsi="宋体"/>
          <w:szCs w:val="24"/>
        </w:rPr>
        <w:t>）代表本公司授权（</w:t>
      </w:r>
      <w:r>
        <w:rPr>
          <w:rFonts w:hint="eastAsia" w:hAnsi="宋体"/>
          <w:i/>
          <w:szCs w:val="24"/>
          <w:u w:val="single"/>
        </w:rPr>
        <w:t>单位名称</w:t>
      </w:r>
      <w:r>
        <w:rPr>
          <w:rFonts w:hint="eastAsia" w:hAnsi="宋体"/>
          <w:szCs w:val="24"/>
        </w:rPr>
        <w:t>）的在下面签字的（</w:t>
      </w:r>
      <w:r>
        <w:rPr>
          <w:rFonts w:hint="eastAsia" w:hAnsi="宋体"/>
          <w:i/>
          <w:szCs w:val="24"/>
          <w:u w:val="single"/>
        </w:rPr>
        <w:t>被授权人的姓名、职务</w:t>
      </w:r>
      <w:r>
        <w:rPr>
          <w:rFonts w:hint="eastAsia" w:hAnsi="宋体"/>
          <w:szCs w:val="24"/>
        </w:rPr>
        <w:t>）为本公司的合法代理人，就（</w:t>
      </w:r>
      <w:r>
        <w:rPr>
          <w:rFonts w:hint="eastAsia" w:hAnsi="宋体"/>
          <w:i/>
          <w:szCs w:val="24"/>
          <w:u w:val="single"/>
        </w:rPr>
        <w:t>项目名称</w:t>
      </w:r>
      <w:r>
        <w:rPr>
          <w:rFonts w:hint="eastAsia" w:hAnsi="宋体"/>
          <w:szCs w:val="24"/>
        </w:rPr>
        <w:t>）的投标，以本公司名义处理一切与之有关的事务。</w:t>
      </w:r>
      <w:r>
        <w:rPr>
          <w:rFonts w:hint="eastAsia" w:hAnsi="宋体"/>
          <w:szCs w:val="24"/>
        </w:rPr>
        <w:cr/>
      </w:r>
      <w:r>
        <w:rPr>
          <w:rFonts w:hint="eastAsia" w:hAnsi="宋体"/>
          <w:szCs w:val="24"/>
        </w:rPr>
        <w:t>　　</w:t>
      </w:r>
    </w:p>
    <w:p w14:paraId="524A3966">
      <w:pPr>
        <w:pStyle w:val="20"/>
        <w:tabs>
          <w:tab w:val="left" w:pos="5580"/>
        </w:tabs>
        <w:ind w:firstLine="480"/>
        <w:rPr>
          <w:rFonts w:hAnsi="宋体"/>
          <w:szCs w:val="24"/>
        </w:rPr>
      </w:pPr>
      <w:r>
        <w:rPr>
          <w:rFonts w:hint="eastAsia" w:hAnsi="宋体"/>
          <w:szCs w:val="24"/>
        </w:rPr>
        <w:t>本授权书于__________年_____月______日签字生效,特此声明。</w:t>
      </w:r>
      <w:r>
        <w:rPr>
          <w:rFonts w:hint="eastAsia" w:hAnsi="宋体"/>
          <w:szCs w:val="24"/>
        </w:rPr>
        <w:cr/>
      </w:r>
      <w:r>
        <w:rPr>
          <w:rFonts w:hint="eastAsia" w:hAnsi="宋体"/>
          <w:szCs w:val="24"/>
        </w:rPr>
        <w:t>法定代表人签字或盖章_______________________________</w:t>
      </w:r>
    </w:p>
    <w:p w14:paraId="3AF934A0">
      <w:pPr>
        <w:pStyle w:val="20"/>
        <w:tabs>
          <w:tab w:val="left" w:pos="5580"/>
        </w:tabs>
        <w:rPr>
          <w:rFonts w:hAnsi="宋体"/>
          <w:szCs w:val="24"/>
        </w:rPr>
      </w:pPr>
      <w:r>
        <w:rPr>
          <w:rFonts w:hint="eastAsia" w:hAnsi="宋体"/>
          <w:szCs w:val="24"/>
        </w:rPr>
        <w:cr/>
      </w:r>
      <w:r>
        <w:rPr>
          <w:rFonts w:hint="eastAsia" w:hAnsi="宋体"/>
          <w:szCs w:val="24"/>
        </w:rPr>
        <w:t>被授权人签字_______________________________</w:t>
      </w:r>
    </w:p>
    <w:p w14:paraId="544E9AF6">
      <w:pPr>
        <w:pStyle w:val="20"/>
        <w:tabs>
          <w:tab w:val="left" w:pos="5580"/>
        </w:tabs>
        <w:rPr>
          <w:rFonts w:hAnsi="宋体"/>
          <w:szCs w:val="24"/>
        </w:rPr>
      </w:pPr>
      <w:r>
        <w:rPr>
          <w:rFonts w:hint="eastAsia" w:hAnsi="宋体"/>
          <w:szCs w:val="24"/>
        </w:rPr>
        <w:t xml:space="preserve">公司盖章：                                 </w:t>
      </w:r>
    </w:p>
    <w:p w14:paraId="2BEE3DAD">
      <w:pPr>
        <w:pStyle w:val="20"/>
        <w:tabs>
          <w:tab w:val="left" w:pos="5580"/>
        </w:tabs>
        <w:rPr>
          <w:rFonts w:hAnsi="宋体"/>
          <w:szCs w:val="24"/>
        </w:rPr>
      </w:pPr>
      <w:r>
        <w:rPr>
          <w:rFonts w:hint="eastAsia" w:hAnsi="宋体"/>
          <w:szCs w:val="24"/>
        </w:rPr>
        <w:t>附：</w:t>
      </w:r>
    </w:p>
    <w:p w14:paraId="53718EC6">
      <w:pPr>
        <w:pStyle w:val="20"/>
        <w:tabs>
          <w:tab w:val="left" w:pos="5580"/>
        </w:tabs>
        <w:rPr>
          <w:rFonts w:hAnsi="宋体"/>
          <w:szCs w:val="24"/>
        </w:rPr>
      </w:pPr>
      <w:r>
        <w:rPr>
          <w:rFonts w:hint="eastAsia" w:hAnsi="宋体"/>
          <w:szCs w:val="24"/>
        </w:rPr>
        <w:t>被授权人姓名：</w:t>
      </w:r>
    </w:p>
    <w:p w14:paraId="36BCE97F">
      <w:pPr>
        <w:pStyle w:val="20"/>
        <w:tabs>
          <w:tab w:val="left" w:pos="5580"/>
        </w:tabs>
        <w:rPr>
          <w:rFonts w:hAnsi="宋体"/>
          <w:szCs w:val="24"/>
        </w:rPr>
      </w:pPr>
      <w:r>
        <w:rPr>
          <w:rFonts w:hint="eastAsia" w:hAnsi="宋体"/>
          <w:szCs w:val="24"/>
        </w:rPr>
        <w:t>职　　　　务：</w:t>
      </w:r>
    </w:p>
    <w:p w14:paraId="1AC7BC79">
      <w:pPr>
        <w:pStyle w:val="20"/>
        <w:tabs>
          <w:tab w:val="left" w:pos="5580"/>
        </w:tabs>
        <w:rPr>
          <w:rFonts w:hAnsi="宋体"/>
          <w:szCs w:val="24"/>
        </w:rPr>
      </w:pPr>
      <w:r>
        <w:rPr>
          <w:rFonts w:hint="eastAsia" w:hAnsi="宋体"/>
          <w:szCs w:val="24"/>
        </w:rPr>
        <w:t>详细通讯地址：</w:t>
      </w:r>
    </w:p>
    <w:p w14:paraId="0DE0B981">
      <w:pPr>
        <w:pStyle w:val="20"/>
        <w:tabs>
          <w:tab w:val="left" w:pos="5580"/>
        </w:tabs>
        <w:rPr>
          <w:rFonts w:hAnsi="宋体"/>
          <w:szCs w:val="24"/>
        </w:rPr>
      </w:pPr>
      <w:r>
        <w:rPr>
          <w:rFonts w:hint="eastAsia" w:hAnsi="宋体"/>
          <w:szCs w:val="24"/>
        </w:rPr>
        <w:t>邮政编码　　：</w:t>
      </w:r>
    </w:p>
    <w:p w14:paraId="621C8538">
      <w:pPr>
        <w:pStyle w:val="20"/>
        <w:tabs>
          <w:tab w:val="left" w:pos="5580"/>
        </w:tabs>
        <w:rPr>
          <w:rFonts w:hAnsi="宋体"/>
          <w:szCs w:val="24"/>
        </w:rPr>
      </w:pPr>
      <w:r>
        <w:rPr>
          <w:rFonts w:hint="eastAsia" w:hAnsi="宋体"/>
          <w:szCs w:val="24"/>
        </w:rPr>
        <w:t>传　　　　真：</w:t>
      </w:r>
    </w:p>
    <w:p w14:paraId="3F3AEDF5">
      <w:pPr>
        <w:pStyle w:val="20"/>
        <w:tabs>
          <w:tab w:val="left" w:pos="5580"/>
        </w:tabs>
        <w:rPr>
          <w:rFonts w:hAnsi="宋体"/>
          <w:szCs w:val="24"/>
        </w:rPr>
      </w:pPr>
      <w:r>
        <w:rPr>
          <w:rFonts w:hint="eastAsia" w:hAnsi="宋体"/>
          <w:szCs w:val="24"/>
        </w:rPr>
        <w:t>电　　　　话：</w:t>
      </w:r>
    </w:p>
    <w:tbl>
      <w:tblPr>
        <w:tblStyle w:val="37"/>
        <w:tblpPr w:leftFromText="180" w:rightFromText="180" w:vertAnchor="text" w:horzAnchor="margin" w:tblpY="2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2"/>
      </w:tblGrid>
      <w:tr w14:paraId="4B428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3992" w:type="dxa"/>
            <w:noWrap/>
            <w:vAlign w:val="center"/>
          </w:tcPr>
          <w:p w14:paraId="5565BC36">
            <w:pPr>
              <w:spacing w:line="360" w:lineRule="exact"/>
              <w:jc w:val="center"/>
              <w:rPr>
                <w:rFonts w:ascii="宋体" w:hAnsi="宋体"/>
                <w:sz w:val="24"/>
              </w:rPr>
            </w:pPr>
            <w:r>
              <w:rPr>
                <w:rFonts w:hint="eastAsia" w:ascii="宋体" w:hAnsi="宋体"/>
                <w:sz w:val="24"/>
              </w:rPr>
              <w:t>粘贴</w:t>
            </w:r>
          </w:p>
          <w:p w14:paraId="5A38BA61">
            <w:pPr>
              <w:spacing w:line="360" w:lineRule="exact"/>
              <w:jc w:val="center"/>
              <w:rPr>
                <w:rFonts w:ascii="宋体" w:hAnsi="宋体"/>
                <w:sz w:val="24"/>
              </w:rPr>
            </w:pPr>
            <w:r>
              <w:rPr>
                <w:rFonts w:hint="eastAsia" w:ascii="宋体" w:hAnsi="宋体"/>
                <w:sz w:val="24"/>
              </w:rPr>
              <w:t>法人及投标方代表身份证复印件</w:t>
            </w:r>
          </w:p>
        </w:tc>
      </w:tr>
    </w:tbl>
    <w:p w14:paraId="3E98D79E">
      <w:pPr>
        <w:pStyle w:val="20"/>
        <w:tabs>
          <w:tab w:val="left" w:pos="5580"/>
        </w:tabs>
        <w:rPr>
          <w:rFonts w:hAnsi="宋体"/>
          <w:szCs w:val="24"/>
        </w:rPr>
      </w:pPr>
    </w:p>
    <w:p w14:paraId="6FAD6D05">
      <w:pPr>
        <w:pStyle w:val="20"/>
        <w:tabs>
          <w:tab w:val="left" w:pos="5580"/>
        </w:tabs>
        <w:rPr>
          <w:rFonts w:hAnsi="宋体"/>
          <w:szCs w:val="24"/>
        </w:rPr>
      </w:pPr>
    </w:p>
    <w:p w14:paraId="3D068BC4">
      <w:pPr>
        <w:pStyle w:val="20"/>
        <w:tabs>
          <w:tab w:val="left" w:pos="5580"/>
        </w:tabs>
        <w:rPr>
          <w:rFonts w:hAnsi="宋体"/>
          <w:szCs w:val="24"/>
        </w:rPr>
      </w:pPr>
    </w:p>
    <w:p w14:paraId="3E227107">
      <w:pPr>
        <w:pStyle w:val="3"/>
        <w:rPr>
          <w:rFonts w:ascii="宋体" w:hAnsi="宋体" w:eastAsia="宋体"/>
          <w:bCs/>
          <w:szCs w:val="24"/>
        </w:rPr>
      </w:pPr>
      <w:bookmarkStart w:id="203" w:name="_Toc183588707"/>
    </w:p>
    <w:p w14:paraId="5052EAAB">
      <w:pPr>
        <w:pStyle w:val="3"/>
        <w:rPr>
          <w:rFonts w:ascii="宋体" w:hAnsi="宋体" w:eastAsia="宋体"/>
          <w:bCs/>
          <w:szCs w:val="24"/>
        </w:rPr>
      </w:pPr>
    </w:p>
    <w:p w14:paraId="2C597935">
      <w:pPr>
        <w:pStyle w:val="3"/>
        <w:rPr>
          <w:rFonts w:ascii="宋体" w:hAnsi="宋体" w:eastAsia="宋体"/>
          <w:bCs/>
          <w:szCs w:val="24"/>
        </w:rPr>
      </w:pPr>
      <w:r>
        <w:rPr>
          <w:rFonts w:hint="eastAsia" w:ascii="宋体" w:hAnsi="宋体" w:eastAsia="宋体"/>
          <w:bCs/>
          <w:szCs w:val="24"/>
        </w:rPr>
        <w:t xml:space="preserve">附件6.3  </w:t>
      </w:r>
      <w:r>
        <w:rPr>
          <w:rFonts w:hint="eastAsia" w:ascii="宋体" w:hAnsi="宋体" w:eastAsia="宋体"/>
          <w:szCs w:val="24"/>
        </w:rPr>
        <w:t>供应商的</w:t>
      </w:r>
      <w:r>
        <w:rPr>
          <w:rFonts w:hint="eastAsia" w:ascii="宋体" w:hAnsi="宋体" w:eastAsia="宋体"/>
          <w:szCs w:val="24"/>
          <w:lang w:val="en-US" w:eastAsia="zh-CN"/>
        </w:rPr>
        <w:t>基本情况</w:t>
      </w:r>
      <w:r>
        <w:rPr>
          <w:rFonts w:hint="eastAsia" w:ascii="宋体" w:hAnsi="宋体" w:eastAsia="宋体"/>
          <w:bCs/>
          <w:szCs w:val="24"/>
        </w:rPr>
        <w:t xml:space="preserve"> （格式）</w:t>
      </w:r>
      <w:bookmarkEnd w:id="203"/>
    </w:p>
    <w:bookmarkEnd w:id="190"/>
    <w:bookmarkEnd w:id="191"/>
    <w:bookmarkEnd w:id="192"/>
    <w:bookmarkEnd w:id="193"/>
    <w:bookmarkEnd w:id="194"/>
    <w:bookmarkEnd w:id="195"/>
    <w:bookmarkEnd w:id="196"/>
    <w:bookmarkEnd w:id="197"/>
    <w:bookmarkEnd w:id="198"/>
    <w:bookmarkEnd w:id="199"/>
    <w:bookmarkEnd w:id="200"/>
    <w:bookmarkEnd w:id="201"/>
    <w:bookmarkEnd w:id="202"/>
    <w:tbl>
      <w:tblPr>
        <w:tblStyle w:val="37"/>
        <w:tblW w:w="9465" w:type="dxa"/>
        <w:tblInd w:w="5" w:type="dxa"/>
        <w:tblLayout w:type="autofit"/>
        <w:tblCellMar>
          <w:top w:w="14" w:type="dxa"/>
          <w:left w:w="108" w:type="dxa"/>
          <w:bottom w:w="14" w:type="dxa"/>
          <w:right w:w="0" w:type="dxa"/>
        </w:tblCellMar>
      </w:tblPr>
      <w:tblGrid>
        <w:gridCol w:w="1702"/>
        <w:gridCol w:w="1241"/>
        <w:gridCol w:w="1135"/>
        <w:gridCol w:w="845"/>
        <w:gridCol w:w="149"/>
        <w:gridCol w:w="283"/>
        <w:gridCol w:w="1133"/>
        <w:gridCol w:w="284"/>
        <w:gridCol w:w="307"/>
        <w:gridCol w:w="667"/>
        <w:gridCol w:w="1719"/>
      </w:tblGrid>
      <w:tr w14:paraId="5B9C5E6C">
        <w:tblPrEx>
          <w:tblCellMar>
            <w:top w:w="14" w:type="dxa"/>
            <w:left w:w="108" w:type="dxa"/>
            <w:bottom w:w="14" w:type="dxa"/>
            <w:right w:w="0" w:type="dxa"/>
          </w:tblCellMar>
        </w:tblPrEx>
        <w:trPr>
          <w:trHeight w:val="569" w:hRule="atLeast"/>
        </w:trPr>
        <w:tc>
          <w:tcPr>
            <w:tcW w:w="1702" w:type="dxa"/>
            <w:tcBorders>
              <w:top w:val="single" w:color="000000" w:sz="4" w:space="0"/>
              <w:left w:val="single" w:color="000000" w:sz="4" w:space="0"/>
              <w:bottom w:val="single" w:color="000000" w:sz="6" w:space="0"/>
              <w:right w:val="single" w:color="000000" w:sz="6" w:space="0"/>
            </w:tcBorders>
            <w:vAlign w:val="center"/>
          </w:tcPr>
          <w:p w14:paraId="34738635">
            <w:pPr>
              <w:spacing w:line="360" w:lineRule="auto"/>
              <w:ind w:left="216"/>
            </w:pPr>
            <w:r>
              <w:rPr>
                <w:rFonts w:ascii="宋体" w:hAnsi="宋体" w:cs="宋体"/>
              </w:rPr>
              <w:t xml:space="preserve">投标人名称 </w:t>
            </w:r>
          </w:p>
        </w:tc>
        <w:tc>
          <w:tcPr>
            <w:tcW w:w="1241" w:type="dxa"/>
            <w:tcBorders>
              <w:top w:val="single" w:color="000000" w:sz="4" w:space="0"/>
              <w:left w:val="single" w:color="000000" w:sz="6" w:space="0"/>
              <w:bottom w:val="single" w:color="000000" w:sz="6" w:space="0"/>
              <w:right w:val="nil"/>
            </w:tcBorders>
          </w:tcPr>
          <w:p w14:paraId="39436EAE">
            <w:pPr>
              <w:spacing w:line="360" w:lineRule="auto"/>
            </w:pPr>
          </w:p>
        </w:tc>
        <w:tc>
          <w:tcPr>
            <w:tcW w:w="6522" w:type="dxa"/>
            <w:gridSpan w:val="9"/>
            <w:tcBorders>
              <w:top w:val="single" w:color="000000" w:sz="4" w:space="0"/>
              <w:left w:val="nil"/>
              <w:bottom w:val="single" w:color="000000" w:sz="6" w:space="0"/>
              <w:right w:val="single" w:color="000000" w:sz="4" w:space="0"/>
            </w:tcBorders>
            <w:vAlign w:val="center"/>
          </w:tcPr>
          <w:p w14:paraId="1349B1E3">
            <w:pPr>
              <w:spacing w:line="360" w:lineRule="auto"/>
              <w:ind w:left="2532"/>
            </w:pPr>
          </w:p>
        </w:tc>
      </w:tr>
      <w:tr w14:paraId="16B500E3">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45996857">
            <w:pPr>
              <w:spacing w:line="360" w:lineRule="auto"/>
              <w:ind w:right="109"/>
              <w:jc w:val="center"/>
            </w:pPr>
            <w:r>
              <w:rPr>
                <w:rFonts w:ascii="宋体" w:hAnsi="宋体" w:cs="宋体"/>
              </w:rPr>
              <w:t xml:space="preserve">注册地址 </w:t>
            </w:r>
          </w:p>
        </w:tc>
        <w:tc>
          <w:tcPr>
            <w:tcW w:w="1241" w:type="dxa"/>
            <w:tcBorders>
              <w:top w:val="single" w:color="000000" w:sz="6" w:space="0"/>
              <w:left w:val="single" w:color="000000" w:sz="6" w:space="0"/>
              <w:bottom w:val="single" w:color="000000" w:sz="6" w:space="0"/>
              <w:right w:val="nil"/>
            </w:tcBorders>
          </w:tcPr>
          <w:p w14:paraId="04D3C201">
            <w:pPr>
              <w:spacing w:line="360" w:lineRule="auto"/>
            </w:pPr>
          </w:p>
        </w:tc>
        <w:tc>
          <w:tcPr>
            <w:tcW w:w="1980" w:type="dxa"/>
            <w:gridSpan w:val="2"/>
            <w:tcBorders>
              <w:top w:val="single" w:color="000000" w:sz="6" w:space="0"/>
              <w:left w:val="nil"/>
              <w:bottom w:val="single" w:color="000000" w:sz="6" w:space="0"/>
              <w:right w:val="single" w:color="000000" w:sz="6" w:space="0"/>
            </w:tcBorders>
            <w:vAlign w:val="center"/>
          </w:tcPr>
          <w:p w14:paraId="3DF5CAA9">
            <w:pPr>
              <w:spacing w:line="360" w:lineRule="auto"/>
              <w:ind w:left="262"/>
            </w:pPr>
          </w:p>
        </w:tc>
        <w:tc>
          <w:tcPr>
            <w:tcW w:w="1565" w:type="dxa"/>
            <w:gridSpan w:val="3"/>
            <w:tcBorders>
              <w:top w:val="single" w:color="000000" w:sz="6" w:space="0"/>
              <w:left w:val="single" w:color="000000" w:sz="6" w:space="0"/>
              <w:bottom w:val="single" w:color="000000" w:sz="6" w:space="0"/>
              <w:right w:val="single" w:color="000000" w:sz="6" w:space="0"/>
            </w:tcBorders>
            <w:vAlign w:val="center"/>
          </w:tcPr>
          <w:p w14:paraId="357B9F99">
            <w:pPr>
              <w:spacing w:line="360" w:lineRule="auto"/>
              <w:ind w:left="254"/>
            </w:pPr>
            <w:r>
              <w:rPr>
                <w:rFonts w:ascii="宋体" w:hAnsi="宋体" w:cs="宋体"/>
              </w:rPr>
              <w:t xml:space="preserve">邮政编码 </w:t>
            </w:r>
          </w:p>
        </w:tc>
        <w:tc>
          <w:tcPr>
            <w:tcW w:w="2976" w:type="dxa"/>
            <w:gridSpan w:val="4"/>
            <w:tcBorders>
              <w:top w:val="single" w:color="000000" w:sz="6" w:space="0"/>
              <w:left w:val="single" w:color="000000" w:sz="6" w:space="0"/>
              <w:bottom w:val="single" w:color="000000" w:sz="6" w:space="0"/>
              <w:right w:val="single" w:color="000000" w:sz="4" w:space="0"/>
            </w:tcBorders>
            <w:vAlign w:val="center"/>
          </w:tcPr>
          <w:p w14:paraId="4D8BA051">
            <w:pPr>
              <w:spacing w:line="360" w:lineRule="auto"/>
              <w:ind w:right="3"/>
              <w:jc w:val="center"/>
            </w:pPr>
          </w:p>
        </w:tc>
      </w:tr>
      <w:tr w14:paraId="79E6088E">
        <w:tblPrEx>
          <w:tblCellMar>
            <w:top w:w="14" w:type="dxa"/>
            <w:left w:w="108" w:type="dxa"/>
            <w:bottom w:w="14" w:type="dxa"/>
            <w:right w:w="0" w:type="dxa"/>
          </w:tblCellMar>
        </w:tblPrEx>
        <w:trPr>
          <w:trHeight w:val="566" w:hRule="atLeast"/>
        </w:trPr>
        <w:tc>
          <w:tcPr>
            <w:tcW w:w="1702" w:type="dxa"/>
            <w:vMerge w:val="restart"/>
            <w:tcBorders>
              <w:top w:val="single" w:color="000000" w:sz="6" w:space="0"/>
              <w:left w:val="single" w:color="000000" w:sz="4" w:space="0"/>
              <w:bottom w:val="single" w:color="000000" w:sz="6" w:space="0"/>
              <w:right w:val="single" w:color="000000" w:sz="6" w:space="0"/>
            </w:tcBorders>
            <w:vAlign w:val="center"/>
          </w:tcPr>
          <w:p w14:paraId="7027E0D8">
            <w:pPr>
              <w:spacing w:line="360" w:lineRule="auto"/>
              <w:ind w:right="109"/>
              <w:jc w:val="center"/>
            </w:pPr>
            <w:r>
              <w:rPr>
                <w:rFonts w:ascii="宋体" w:hAnsi="宋体" w:cs="宋体"/>
              </w:rPr>
              <w:t xml:space="preserve">联系方式 </w:t>
            </w:r>
          </w:p>
        </w:tc>
        <w:tc>
          <w:tcPr>
            <w:tcW w:w="1241" w:type="dxa"/>
            <w:tcBorders>
              <w:top w:val="single" w:color="000000" w:sz="6" w:space="0"/>
              <w:left w:val="single" w:color="000000" w:sz="6" w:space="0"/>
              <w:bottom w:val="single" w:color="000000" w:sz="6" w:space="0"/>
              <w:right w:val="single" w:color="000000" w:sz="6" w:space="0"/>
            </w:tcBorders>
            <w:vAlign w:val="center"/>
          </w:tcPr>
          <w:p w14:paraId="0F30C268">
            <w:pPr>
              <w:spacing w:line="360" w:lineRule="auto"/>
              <w:ind w:left="197"/>
            </w:pPr>
            <w:r>
              <w:rPr>
                <w:rFonts w:ascii="宋体" w:hAnsi="宋体" w:cs="宋体"/>
              </w:rPr>
              <w:t xml:space="preserve">联系人 </w:t>
            </w:r>
          </w:p>
        </w:tc>
        <w:tc>
          <w:tcPr>
            <w:tcW w:w="1980" w:type="dxa"/>
            <w:gridSpan w:val="2"/>
            <w:tcBorders>
              <w:top w:val="single" w:color="000000" w:sz="6" w:space="0"/>
              <w:left w:val="single" w:color="000000" w:sz="6" w:space="0"/>
              <w:bottom w:val="single" w:color="000000" w:sz="6" w:space="0"/>
              <w:right w:val="single" w:color="000000" w:sz="6" w:space="0"/>
            </w:tcBorders>
            <w:vAlign w:val="center"/>
          </w:tcPr>
          <w:p w14:paraId="03F4A4A3">
            <w:pPr>
              <w:spacing w:line="360" w:lineRule="auto"/>
              <w:ind w:right="5"/>
              <w:jc w:val="center"/>
            </w:pPr>
          </w:p>
        </w:tc>
        <w:tc>
          <w:tcPr>
            <w:tcW w:w="1565" w:type="dxa"/>
            <w:gridSpan w:val="3"/>
            <w:tcBorders>
              <w:top w:val="single" w:color="000000" w:sz="6" w:space="0"/>
              <w:left w:val="single" w:color="000000" w:sz="6" w:space="0"/>
              <w:bottom w:val="single" w:color="000000" w:sz="6" w:space="0"/>
              <w:right w:val="single" w:color="000000" w:sz="6" w:space="0"/>
            </w:tcBorders>
            <w:vAlign w:val="center"/>
          </w:tcPr>
          <w:p w14:paraId="44743759">
            <w:pPr>
              <w:spacing w:line="360" w:lineRule="auto"/>
              <w:ind w:right="109"/>
              <w:jc w:val="center"/>
            </w:pPr>
            <w:r>
              <w:rPr>
                <w:rFonts w:ascii="宋体" w:hAnsi="宋体" w:cs="宋体"/>
              </w:rPr>
              <w:t xml:space="preserve">电话 </w:t>
            </w:r>
          </w:p>
        </w:tc>
        <w:tc>
          <w:tcPr>
            <w:tcW w:w="2976" w:type="dxa"/>
            <w:gridSpan w:val="4"/>
            <w:tcBorders>
              <w:top w:val="single" w:color="000000" w:sz="6" w:space="0"/>
              <w:left w:val="single" w:color="000000" w:sz="6" w:space="0"/>
              <w:bottom w:val="single" w:color="000000" w:sz="6" w:space="0"/>
              <w:right w:val="single" w:color="000000" w:sz="4" w:space="0"/>
            </w:tcBorders>
            <w:vAlign w:val="center"/>
          </w:tcPr>
          <w:p w14:paraId="0BA15C35">
            <w:pPr>
              <w:spacing w:line="360" w:lineRule="auto"/>
              <w:ind w:right="3"/>
              <w:jc w:val="center"/>
            </w:pPr>
          </w:p>
        </w:tc>
      </w:tr>
      <w:tr w14:paraId="5FA2FD97">
        <w:tblPrEx>
          <w:tblCellMar>
            <w:top w:w="14" w:type="dxa"/>
            <w:left w:w="108" w:type="dxa"/>
            <w:bottom w:w="14" w:type="dxa"/>
            <w:right w:w="0" w:type="dxa"/>
          </w:tblCellMar>
        </w:tblPrEx>
        <w:trPr>
          <w:trHeight w:val="569" w:hRule="atLeast"/>
        </w:trPr>
        <w:tc>
          <w:tcPr>
            <w:tcW w:w="0" w:type="auto"/>
            <w:vMerge w:val="continue"/>
            <w:tcBorders>
              <w:top w:val="nil"/>
              <w:left w:val="single" w:color="000000" w:sz="4" w:space="0"/>
              <w:bottom w:val="single" w:color="000000" w:sz="6" w:space="0"/>
              <w:right w:val="single" w:color="000000" w:sz="6" w:space="0"/>
            </w:tcBorders>
          </w:tcPr>
          <w:p w14:paraId="2BA9291A">
            <w:pPr>
              <w:spacing w:line="360" w:lineRule="auto"/>
            </w:pPr>
          </w:p>
        </w:tc>
        <w:tc>
          <w:tcPr>
            <w:tcW w:w="1241" w:type="dxa"/>
            <w:tcBorders>
              <w:top w:val="single" w:color="000000" w:sz="6" w:space="0"/>
              <w:left w:val="single" w:color="000000" w:sz="6" w:space="0"/>
              <w:bottom w:val="single" w:color="000000" w:sz="6" w:space="0"/>
              <w:right w:val="single" w:color="000000" w:sz="6" w:space="0"/>
            </w:tcBorders>
            <w:vAlign w:val="center"/>
          </w:tcPr>
          <w:p w14:paraId="1B324494">
            <w:pPr>
              <w:spacing w:line="360" w:lineRule="auto"/>
              <w:ind w:right="106"/>
              <w:jc w:val="center"/>
            </w:pPr>
            <w:r>
              <w:rPr>
                <w:rFonts w:ascii="宋体" w:hAnsi="宋体" w:cs="宋体"/>
              </w:rPr>
              <w:t xml:space="preserve">传真 </w:t>
            </w:r>
          </w:p>
        </w:tc>
        <w:tc>
          <w:tcPr>
            <w:tcW w:w="1980" w:type="dxa"/>
            <w:gridSpan w:val="2"/>
            <w:tcBorders>
              <w:top w:val="single" w:color="000000" w:sz="6" w:space="0"/>
              <w:left w:val="single" w:color="000000" w:sz="6" w:space="0"/>
              <w:bottom w:val="single" w:color="000000" w:sz="6" w:space="0"/>
              <w:right w:val="single" w:color="000000" w:sz="6" w:space="0"/>
            </w:tcBorders>
            <w:vAlign w:val="center"/>
          </w:tcPr>
          <w:p w14:paraId="7FA4F1CD">
            <w:pPr>
              <w:spacing w:line="360" w:lineRule="auto"/>
              <w:ind w:right="5"/>
              <w:jc w:val="center"/>
            </w:pPr>
          </w:p>
        </w:tc>
        <w:tc>
          <w:tcPr>
            <w:tcW w:w="1565" w:type="dxa"/>
            <w:gridSpan w:val="3"/>
            <w:tcBorders>
              <w:top w:val="single" w:color="000000" w:sz="6" w:space="0"/>
              <w:left w:val="single" w:color="000000" w:sz="6" w:space="0"/>
              <w:bottom w:val="single" w:color="000000" w:sz="6" w:space="0"/>
              <w:right w:val="single" w:color="000000" w:sz="6" w:space="0"/>
            </w:tcBorders>
            <w:vAlign w:val="center"/>
          </w:tcPr>
          <w:p w14:paraId="1CC89261">
            <w:pPr>
              <w:spacing w:line="360" w:lineRule="auto"/>
              <w:ind w:right="109"/>
              <w:jc w:val="center"/>
            </w:pPr>
            <w:r>
              <w:rPr>
                <w:rFonts w:ascii="宋体" w:hAnsi="宋体" w:cs="宋体"/>
              </w:rPr>
              <w:t xml:space="preserve">网址 </w:t>
            </w:r>
          </w:p>
        </w:tc>
        <w:tc>
          <w:tcPr>
            <w:tcW w:w="2976" w:type="dxa"/>
            <w:gridSpan w:val="4"/>
            <w:tcBorders>
              <w:top w:val="single" w:color="000000" w:sz="6" w:space="0"/>
              <w:left w:val="single" w:color="000000" w:sz="6" w:space="0"/>
              <w:bottom w:val="single" w:color="000000" w:sz="6" w:space="0"/>
              <w:right w:val="single" w:color="000000" w:sz="4" w:space="0"/>
            </w:tcBorders>
            <w:vAlign w:val="center"/>
          </w:tcPr>
          <w:p w14:paraId="125B3FD9">
            <w:pPr>
              <w:spacing w:line="360" w:lineRule="auto"/>
              <w:ind w:right="3"/>
              <w:jc w:val="center"/>
            </w:pPr>
          </w:p>
        </w:tc>
      </w:tr>
      <w:tr w14:paraId="03D369BC">
        <w:tblPrEx>
          <w:tblCellMar>
            <w:top w:w="14" w:type="dxa"/>
            <w:left w:w="108" w:type="dxa"/>
            <w:bottom w:w="14" w:type="dxa"/>
            <w:right w:w="0" w:type="dxa"/>
          </w:tblCellMar>
        </w:tblPrEx>
        <w:trPr>
          <w:trHeight w:val="567"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3758CE57">
            <w:pPr>
              <w:spacing w:line="360" w:lineRule="auto"/>
              <w:ind w:right="109"/>
              <w:jc w:val="center"/>
            </w:pPr>
            <w:r>
              <w:rPr>
                <w:rFonts w:ascii="宋体" w:hAnsi="宋体" w:cs="宋体"/>
              </w:rPr>
              <w:t xml:space="preserve">组织结构 </w:t>
            </w:r>
          </w:p>
        </w:tc>
        <w:tc>
          <w:tcPr>
            <w:tcW w:w="1241" w:type="dxa"/>
            <w:tcBorders>
              <w:top w:val="single" w:color="000000" w:sz="6" w:space="0"/>
              <w:left w:val="single" w:color="000000" w:sz="6" w:space="0"/>
              <w:bottom w:val="single" w:color="000000" w:sz="6" w:space="0"/>
              <w:right w:val="nil"/>
            </w:tcBorders>
          </w:tcPr>
          <w:p w14:paraId="7CFE55C2">
            <w:pPr>
              <w:spacing w:line="360" w:lineRule="auto"/>
            </w:pPr>
          </w:p>
        </w:tc>
        <w:tc>
          <w:tcPr>
            <w:tcW w:w="6522" w:type="dxa"/>
            <w:gridSpan w:val="9"/>
            <w:tcBorders>
              <w:top w:val="single" w:color="000000" w:sz="6" w:space="0"/>
              <w:left w:val="nil"/>
              <w:bottom w:val="single" w:color="000000" w:sz="6" w:space="0"/>
              <w:right w:val="single" w:color="000000" w:sz="4" w:space="0"/>
            </w:tcBorders>
            <w:vAlign w:val="center"/>
          </w:tcPr>
          <w:p w14:paraId="19CCDCB6">
            <w:pPr>
              <w:spacing w:line="360" w:lineRule="auto"/>
              <w:ind w:left="2324"/>
            </w:pPr>
            <w:r>
              <w:rPr>
                <w:rFonts w:ascii="宋体" w:hAnsi="宋体" w:cs="宋体"/>
              </w:rPr>
              <w:t xml:space="preserve">附后 </w:t>
            </w:r>
          </w:p>
        </w:tc>
      </w:tr>
      <w:tr w14:paraId="1D698097">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3B21DD4B">
            <w:pPr>
              <w:spacing w:line="360" w:lineRule="auto"/>
              <w:ind w:left="216"/>
            </w:pPr>
            <w:r>
              <w:rPr>
                <w:rFonts w:ascii="宋体" w:hAnsi="宋体" w:cs="宋体"/>
              </w:rPr>
              <w:t xml:space="preserve">法定代表人 </w:t>
            </w:r>
          </w:p>
        </w:tc>
        <w:tc>
          <w:tcPr>
            <w:tcW w:w="1241" w:type="dxa"/>
            <w:tcBorders>
              <w:top w:val="single" w:color="000000" w:sz="6" w:space="0"/>
              <w:left w:val="single" w:color="000000" w:sz="6" w:space="0"/>
              <w:bottom w:val="single" w:color="000000" w:sz="6" w:space="0"/>
              <w:right w:val="single" w:color="000000" w:sz="6" w:space="0"/>
            </w:tcBorders>
            <w:vAlign w:val="center"/>
          </w:tcPr>
          <w:p w14:paraId="07FE0706">
            <w:pPr>
              <w:spacing w:line="360" w:lineRule="auto"/>
              <w:ind w:right="106"/>
              <w:jc w:val="center"/>
            </w:pPr>
            <w:r>
              <w:rPr>
                <w:rFonts w:ascii="宋体" w:hAnsi="宋体" w:cs="宋体"/>
              </w:rPr>
              <w:t xml:space="preserve">姓名 </w:t>
            </w:r>
          </w:p>
        </w:tc>
        <w:tc>
          <w:tcPr>
            <w:tcW w:w="1135" w:type="dxa"/>
            <w:tcBorders>
              <w:top w:val="single" w:color="000000" w:sz="6" w:space="0"/>
              <w:left w:val="single" w:color="000000" w:sz="6" w:space="0"/>
              <w:bottom w:val="single" w:color="000000" w:sz="6" w:space="0"/>
              <w:right w:val="single" w:color="000000" w:sz="6" w:space="0"/>
            </w:tcBorders>
            <w:vAlign w:val="center"/>
          </w:tcPr>
          <w:p w14:paraId="4E143C7E">
            <w:pPr>
              <w:spacing w:line="360" w:lineRule="auto"/>
              <w:ind w:right="5"/>
              <w:jc w:val="center"/>
            </w:pPr>
          </w:p>
        </w:tc>
        <w:tc>
          <w:tcPr>
            <w:tcW w:w="1277" w:type="dxa"/>
            <w:gridSpan w:val="3"/>
            <w:tcBorders>
              <w:top w:val="single" w:color="000000" w:sz="6" w:space="0"/>
              <w:left w:val="single" w:color="000000" w:sz="6" w:space="0"/>
              <w:bottom w:val="single" w:color="000000" w:sz="6" w:space="0"/>
              <w:right w:val="single" w:color="000000" w:sz="6" w:space="0"/>
            </w:tcBorders>
            <w:vAlign w:val="center"/>
          </w:tcPr>
          <w:p w14:paraId="0FFDC055">
            <w:pPr>
              <w:spacing w:line="360" w:lineRule="auto"/>
              <w:ind w:left="111"/>
            </w:pPr>
            <w:r>
              <w:rPr>
                <w:rFonts w:ascii="宋体" w:hAnsi="宋体" w:cs="宋体"/>
              </w:rPr>
              <w:t xml:space="preserve">技术职称 </w:t>
            </w:r>
          </w:p>
        </w:tc>
        <w:tc>
          <w:tcPr>
            <w:tcW w:w="1417" w:type="dxa"/>
            <w:gridSpan w:val="2"/>
            <w:tcBorders>
              <w:top w:val="single" w:color="000000" w:sz="6" w:space="0"/>
              <w:left w:val="single" w:color="000000" w:sz="6" w:space="0"/>
              <w:bottom w:val="single" w:color="000000" w:sz="6" w:space="0"/>
              <w:right w:val="single" w:color="000000" w:sz="6" w:space="0"/>
            </w:tcBorders>
            <w:vAlign w:val="center"/>
          </w:tcPr>
          <w:p w14:paraId="754A329F">
            <w:pPr>
              <w:spacing w:line="360" w:lineRule="auto"/>
              <w:ind w:right="3"/>
              <w:jc w:val="center"/>
            </w:pPr>
          </w:p>
        </w:tc>
        <w:tc>
          <w:tcPr>
            <w:tcW w:w="974" w:type="dxa"/>
            <w:gridSpan w:val="2"/>
            <w:tcBorders>
              <w:top w:val="single" w:color="000000" w:sz="6" w:space="0"/>
              <w:left w:val="single" w:color="000000" w:sz="6" w:space="0"/>
              <w:bottom w:val="single" w:color="000000" w:sz="6" w:space="0"/>
              <w:right w:val="single" w:color="000000" w:sz="6" w:space="0"/>
            </w:tcBorders>
            <w:vAlign w:val="center"/>
          </w:tcPr>
          <w:p w14:paraId="13DA5C89">
            <w:pPr>
              <w:spacing w:line="360" w:lineRule="auto"/>
              <w:ind w:left="168"/>
            </w:pPr>
            <w:r>
              <w:rPr>
                <w:rFonts w:ascii="宋体" w:hAnsi="宋体" w:cs="宋体"/>
              </w:rPr>
              <w:t xml:space="preserve">电话 </w:t>
            </w:r>
          </w:p>
        </w:tc>
        <w:tc>
          <w:tcPr>
            <w:tcW w:w="1719" w:type="dxa"/>
            <w:tcBorders>
              <w:top w:val="single" w:color="000000" w:sz="6" w:space="0"/>
              <w:left w:val="single" w:color="000000" w:sz="6" w:space="0"/>
              <w:bottom w:val="single" w:color="000000" w:sz="6" w:space="0"/>
              <w:right w:val="single" w:color="000000" w:sz="4" w:space="0"/>
            </w:tcBorders>
            <w:vAlign w:val="center"/>
          </w:tcPr>
          <w:p w14:paraId="3BDEE8E4">
            <w:pPr>
              <w:spacing w:line="360" w:lineRule="auto"/>
              <w:ind w:right="3"/>
              <w:jc w:val="center"/>
            </w:pPr>
          </w:p>
        </w:tc>
      </w:tr>
      <w:tr w14:paraId="60F52EAB">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7A171299">
            <w:pPr>
              <w:spacing w:line="360" w:lineRule="auto"/>
              <w:ind w:left="216"/>
            </w:pPr>
            <w:r>
              <w:rPr>
                <w:rFonts w:ascii="宋体" w:hAnsi="宋体" w:cs="宋体"/>
              </w:rPr>
              <w:t xml:space="preserve">技术负责人 </w:t>
            </w:r>
          </w:p>
        </w:tc>
        <w:tc>
          <w:tcPr>
            <w:tcW w:w="1241" w:type="dxa"/>
            <w:tcBorders>
              <w:top w:val="single" w:color="000000" w:sz="6" w:space="0"/>
              <w:left w:val="single" w:color="000000" w:sz="6" w:space="0"/>
              <w:bottom w:val="single" w:color="000000" w:sz="6" w:space="0"/>
              <w:right w:val="single" w:color="000000" w:sz="6" w:space="0"/>
            </w:tcBorders>
            <w:vAlign w:val="center"/>
          </w:tcPr>
          <w:p w14:paraId="4102EEA8">
            <w:pPr>
              <w:spacing w:line="360" w:lineRule="auto"/>
              <w:ind w:right="106"/>
              <w:jc w:val="center"/>
            </w:pPr>
            <w:r>
              <w:rPr>
                <w:rFonts w:ascii="宋体" w:hAnsi="宋体" w:cs="宋体"/>
              </w:rPr>
              <w:t xml:space="preserve">姓名 </w:t>
            </w:r>
          </w:p>
        </w:tc>
        <w:tc>
          <w:tcPr>
            <w:tcW w:w="1135" w:type="dxa"/>
            <w:tcBorders>
              <w:top w:val="single" w:color="000000" w:sz="6" w:space="0"/>
              <w:left w:val="single" w:color="000000" w:sz="6" w:space="0"/>
              <w:bottom w:val="single" w:color="000000" w:sz="6" w:space="0"/>
              <w:right w:val="single" w:color="000000" w:sz="6" w:space="0"/>
            </w:tcBorders>
            <w:vAlign w:val="center"/>
          </w:tcPr>
          <w:p w14:paraId="11D88DF7">
            <w:pPr>
              <w:spacing w:line="360" w:lineRule="auto"/>
              <w:ind w:right="5"/>
              <w:jc w:val="center"/>
            </w:pPr>
          </w:p>
        </w:tc>
        <w:tc>
          <w:tcPr>
            <w:tcW w:w="1277" w:type="dxa"/>
            <w:gridSpan w:val="3"/>
            <w:tcBorders>
              <w:top w:val="single" w:color="000000" w:sz="6" w:space="0"/>
              <w:left w:val="single" w:color="000000" w:sz="6" w:space="0"/>
              <w:bottom w:val="single" w:color="000000" w:sz="6" w:space="0"/>
              <w:right w:val="single" w:color="000000" w:sz="6" w:space="0"/>
            </w:tcBorders>
            <w:vAlign w:val="center"/>
          </w:tcPr>
          <w:p w14:paraId="7EB658CB">
            <w:pPr>
              <w:spacing w:line="360" w:lineRule="auto"/>
              <w:ind w:left="111"/>
            </w:pPr>
            <w:r>
              <w:rPr>
                <w:rFonts w:ascii="宋体" w:hAnsi="宋体" w:cs="宋体"/>
              </w:rPr>
              <w:t xml:space="preserve">技术职称 </w:t>
            </w:r>
          </w:p>
        </w:tc>
        <w:tc>
          <w:tcPr>
            <w:tcW w:w="1417" w:type="dxa"/>
            <w:gridSpan w:val="2"/>
            <w:tcBorders>
              <w:top w:val="single" w:color="000000" w:sz="6" w:space="0"/>
              <w:left w:val="single" w:color="000000" w:sz="6" w:space="0"/>
              <w:bottom w:val="single" w:color="000000" w:sz="6" w:space="0"/>
              <w:right w:val="single" w:color="000000" w:sz="6" w:space="0"/>
            </w:tcBorders>
            <w:vAlign w:val="center"/>
          </w:tcPr>
          <w:p w14:paraId="27C9C609">
            <w:pPr>
              <w:spacing w:line="360" w:lineRule="auto"/>
              <w:ind w:right="3"/>
              <w:jc w:val="center"/>
            </w:pPr>
          </w:p>
        </w:tc>
        <w:tc>
          <w:tcPr>
            <w:tcW w:w="974" w:type="dxa"/>
            <w:gridSpan w:val="2"/>
            <w:tcBorders>
              <w:top w:val="single" w:color="000000" w:sz="6" w:space="0"/>
              <w:left w:val="single" w:color="000000" w:sz="6" w:space="0"/>
              <w:bottom w:val="single" w:color="000000" w:sz="6" w:space="0"/>
              <w:right w:val="single" w:color="000000" w:sz="6" w:space="0"/>
            </w:tcBorders>
            <w:vAlign w:val="center"/>
          </w:tcPr>
          <w:p w14:paraId="5271A033">
            <w:pPr>
              <w:spacing w:line="360" w:lineRule="auto"/>
              <w:ind w:left="168"/>
            </w:pPr>
            <w:r>
              <w:rPr>
                <w:rFonts w:ascii="宋体" w:hAnsi="宋体" w:cs="宋体"/>
              </w:rPr>
              <w:t xml:space="preserve">电话 </w:t>
            </w:r>
          </w:p>
        </w:tc>
        <w:tc>
          <w:tcPr>
            <w:tcW w:w="1719" w:type="dxa"/>
            <w:tcBorders>
              <w:top w:val="single" w:color="000000" w:sz="6" w:space="0"/>
              <w:left w:val="single" w:color="000000" w:sz="6" w:space="0"/>
              <w:bottom w:val="single" w:color="000000" w:sz="6" w:space="0"/>
              <w:right w:val="single" w:color="000000" w:sz="4" w:space="0"/>
            </w:tcBorders>
            <w:vAlign w:val="center"/>
          </w:tcPr>
          <w:p w14:paraId="0A18D087">
            <w:pPr>
              <w:spacing w:line="360" w:lineRule="auto"/>
              <w:ind w:right="3"/>
              <w:jc w:val="center"/>
            </w:pPr>
          </w:p>
        </w:tc>
      </w:tr>
      <w:tr w14:paraId="2D50B07A">
        <w:tblPrEx>
          <w:tblCellMar>
            <w:top w:w="14" w:type="dxa"/>
            <w:left w:w="108" w:type="dxa"/>
            <w:bottom w:w="14" w:type="dxa"/>
            <w:right w:w="0" w:type="dxa"/>
          </w:tblCellMar>
        </w:tblPrEx>
        <w:trPr>
          <w:trHeight w:val="569"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6399B430">
            <w:pPr>
              <w:spacing w:line="360" w:lineRule="auto"/>
              <w:ind w:right="109"/>
              <w:jc w:val="center"/>
            </w:pPr>
            <w:r>
              <w:rPr>
                <w:rFonts w:ascii="宋体" w:hAnsi="宋体" w:cs="宋体"/>
              </w:rPr>
              <w:t xml:space="preserve">成立时间 </w:t>
            </w:r>
          </w:p>
        </w:tc>
        <w:tc>
          <w:tcPr>
            <w:tcW w:w="1241" w:type="dxa"/>
            <w:tcBorders>
              <w:top w:val="single" w:color="000000" w:sz="6" w:space="0"/>
              <w:left w:val="single" w:color="000000" w:sz="6" w:space="0"/>
              <w:bottom w:val="single" w:color="000000" w:sz="6" w:space="0"/>
              <w:right w:val="nil"/>
            </w:tcBorders>
            <w:vAlign w:val="center"/>
          </w:tcPr>
          <w:p w14:paraId="48B7F951">
            <w:pPr>
              <w:spacing w:line="360" w:lineRule="auto"/>
              <w:ind w:right="-53"/>
              <w:jc w:val="right"/>
            </w:pPr>
          </w:p>
        </w:tc>
        <w:tc>
          <w:tcPr>
            <w:tcW w:w="1135" w:type="dxa"/>
            <w:tcBorders>
              <w:top w:val="single" w:color="000000" w:sz="6" w:space="0"/>
              <w:left w:val="nil"/>
              <w:bottom w:val="single" w:color="000000" w:sz="6" w:space="0"/>
              <w:right w:val="single" w:color="000000" w:sz="6" w:space="0"/>
            </w:tcBorders>
          </w:tcPr>
          <w:p w14:paraId="4C6AF54F">
            <w:pPr>
              <w:spacing w:line="360" w:lineRule="auto"/>
            </w:pPr>
          </w:p>
        </w:tc>
        <w:tc>
          <w:tcPr>
            <w:tcW w:w="5387" w:type="dxa"/>
            <w:gridSpan w:val="8"/>
            <w:tcBorders>
              <w:top w:val="single" w:color="000000" w:sz="6" w:space="0"/>
              <w:left w:val="single" w:color="000000" w:sz="6" w:space="0"/>
              <w:bottom w:val="single" w:color="000000" w:sz="6" w:space="0"/>
              <w:right w:val="single" w:color="000000" w:sz="4" w:space="0"/>
            </w:tcBorders>
            <w:vAlign w:val="center"/>
          </w:tcPr>
          <w:p w14:paraId="0D966709">
            <w:pPr>
              <w:spacing w:line="360" w:lineRule="auto"/>
              <w:ind w:right="104"/>
              <w:jc w:val="center"/>
            </w:pPr>
            <w:r>
              <w:rPr>
                <w:rFonts w:ascii="宋体" w:hAnsi="宋体" w:cs="宋体"/>
              </w:rPr>
              <w:t xml:space="preserve">员工总人数： </w:t>
            </w:r>
          </w:p>
        </w:tc>
      </w:tr>
      <w:tr w14:paraId="52257990">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73E413C4">
            <w:pPr>
              <w:spacing w:line="360" w:lineRule="auto"/>
              <w:ind w:left="113"/>
            </w:pPr>
            <w:r>
              <w:rPr>
                <w:rFonts w:ascii="宋体" w:hAnsi="宋体" w:cs="宋体"/>
              </w:rPr>
              <w:t xml:space="preserve">企业资质等级 </w:t>
            </w:r>
          </w:p>
        </w:tc>
        <w:tc>
          <w:tcPr>
            <w:tcW w:w="1241" w:type="dxa"/>
            <w:tcBorders>
              <w:top w:val="single" w:color="000000" w:sz="6" w:space="0"/>
              <w:left w:val="single" w:color="000000" w:sz="6" w:space="0"/>
              <w:bottom w:val="single" w:color="000000" w:sz="6" w:space="0"/>
              <w:right w:val="nil"/>
            </w:tcBorders>
            <w:vAlign w:val="center"/>
          </w:tcPr>
          <w:p w14:paraId="48360C57">
            <w:pPr>
              <w:spacing w:line="360" w:lineRule="auto"/>
              <w:ind w:right="-53"/>
              <w:jc w:val="right"/>
            </w:pPr>
          </w:p>
        </w:tc>
        <w:tc>
          <w:tcPr>
            <w:tcW w:w="1135" w:type="dxa"/>
            <w:tcBorders>
              <w:top w:val="single" w:color="000000" w:sz="6" w:space="0"/>
              <w:left w:val="nil"/>
              <w:bottom w:val="single" w:color="000000" w:sz="6" w:space="0"/>
              <w:right w:val="single" w:color="000000" w:sz="6" w:space="0"/>
            </w:tcBorders>
          </w:tcPr>
          <w:p w14:paraId="684F0FD0">
            <w:pPr>
              <w:spacing w:line="360" w:lineRule="auto"/>
            </w:pPr>
          </w:p>
        </w:tc>
        <w:tc>
          <w:tcPr>
            <w:tcW w:w="994" w:type="dxa"/>
            <w:gridSpan w:val="2"/>
            <w:vMerge w:val="restart"/>
            <w:tcBorders>
              <w:top w:val="single" w:color="000000" w:sz="6" w:space="0"/>
              <w:left w:val="single" w:color="000000" w:sz="6" w:space="0"/>
              <w:bottom w:val="nil"/>
              <w:right w:val="single" w:color="000000" w:sz="6" w:space="0"/>
            </w:tcBorders>
            <w:vAlign w:val="bottom"/>
          </w:tcPr>
          <w:p w14:paraId="0238A1B1">
            <w:pPr>
              <w:spacing w:after="95" w:line="360" w:lineRule="auto"/>
              <w:ind w:right="108"/>
              <w:jc w:val="center"/>
            </w:pPr>
            <w:r>
              <w:rPr>
                <w:rFonts w:ascii="宋体" w:hAnsi="宋体" w:cs="宋体"/>
              </w:rPr>
              <w:t xml:space="preserve">其 </w:t>
            </w:r>
          </w:p>
          <w:p w14:paraId="0741DF31">
            <w:pPr>
              <w:spacing w:after="92" w:line="360" w:lineRule="auto"/>
              <w:ind w:right="2"/>
              <w:jc w:val="center"/>
            </w:pPr>
          </w:p>
          <w:p w14:paraId="6478F3BA">
            <w:pPr>
              <w:spacing w:line="360" w:lineRule="auto"/>
              <w:ind w:right="108"/>
              <w:jc w:val="center"/>
            </w:pPr>
            <w:r>
              <w:rPr>
                <w:rFonts w:ascii="宋体" w:hAnsi="宋体" w:cs="宋体"/>
              </w:rPr>
              <w:t xml:space="preserve">中 </w:t>
            </w:r>
          </w:p>
        </w:tc>
        <w:tc>
          <w:tcPr>
            <w:tcW w:w="2007" w:type="dxa"/>
            <w:gridSpan w:val="4"/>
            <w:tcBorders>
              <w:top w:val="single" w:color="000000" w:sz="6" w:space="0"/>
              <w:left w:val="single" w:color="000000" w:sz="6" w:space="0"/>
              <w:bottom w:val="single" w:color="000000" w:sz="6" w:space="0"/>
              <w:right w:val="single" w:color="000000" w:sz="6" w:space="0"/>
            </w:tcBorders>
            <w:vAlign w:val="center"/>
          </w:tcPr>
          <w:p w14:paraId="7BC9AC40">
            <w:pPr>
              <w:spacing w:line="360" w:lineRule="auto"/>
              <w:ind w:right="106"/>
              <w:jc w:val="center"/>
            </w:pPr>
            <w:r>
              <w:rPr>
                <w:rFonts w:ascii="宋体" w:hAnsi="宋体" w:cs="宋体"/>
              </w:rPr>
              <w:t xml:space="preserve">注册工程师 </w:t>
            </w:r>
          </w:p>
        </w:tc>
        <w:tc>
          <w:tcPr>
            <w:tcW w:w="2386" w:type="dxa"/>
            <w:gridSpan w:val="2"/>
            <w:tcBorders>
              <w:top w:val="single" w:color="000000" w:sz="6" w:space="0"/>
              <w:left w:val="single" w:color="000000" w:sz="6" w:space="0"/>
              <w:bottom w:val="single" w:color="000000" w:sz="6" w:space="0"/>
              <w:right w:val="single" w:color="000000" w:sz="4" w:space="0"/>
            </w:tcBorders>
            <w:vAlign w:val="center"/>
          </w:tcPr>
          <w:p w14:paraId="08862121">
            <w:pPr>
              <w:spacing w:line="360" w:lineRule="auto"/>
              <w:ind w:right="3"/>
              <w:jc w:val="center"/>
            </w:pPr>
          </w:p>
        </w:tc>
      </w:tr>
      <w:tr w14:paraId="0FEC4D7A">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67D08F03">
            <w:pPr>
              <w:spacing w:line="360" w:lineRule="auto"/>
              <w:ind w:left="216"/>
            </w:pPr>
            <w:r>
              <w:rPr>
                <w:rFonts w:ascii="宋体" w:hAnsi="宋体" w:cs="宋体"/>
              </w:rPr>
              <w:t xml:space="preserve">营业执照号 </w:t>
            </w:r>
          </w:p>
        </w:tc>
        <w:tc>
          <w:tcPr>
            <w:tcW w:w="1241" w:type="dxa"/>
            <w:tcBorders>
              <w:top w:val="single" w:color="000000" w:sz="6" w:space="0"/>
              <w:left w:val="single" w:color="000000" w:sz="6" w:space="0"/>
              <w:bottom w:val="single" w:color="000000" w:sz="6" w:space="0"/>
              <w:right w:val="nil"/>
            </w:tcBorders>
            <w:vAlign w:val="center"/>
          </w:tcPr>
          <w:p w14:paraId="79888682">
            <w:pPr>
              <w:spacing w:line="360" w:lineRule="auto"/>
              <w:ind w:right="-53"/>
              <w:jc w:val="right"/>
            </w:pPr>
          </w:p>
        </w:tc>
        <w:tc>
          <w:tcPr>
            <w:tcW w:w="1135" w:type="dxa"/>
            <w:tcBorders>
              <w:top w:val="single" w:color="000000" w:sz="6" w:space="0"/>
              <w:left w:val="nil"/>
              <w:bottom w:val="single" w:color="000000" w:sz="6" w:space="0"/>
              <w:right w:val="single" w:color="000000" w:sz="6" w:space="0"/>
            </w:tcBorders>
          </w:tcPr>
          <w:p w14:paraId="56507D61">
            <w:pPr>
              <w:spacing w:line="360" w:lineRule="auto"/>
            </w:pPr>
          </w:p>
        </w:tc>
        <w:tc>
          <w:tcPr>
            <w:tcW w:w="0" w:type="auto"/>
            <w:gridSpan w:val="2"/>
            <w:vMerge w:val="continue"/>
            <w:tcBorders>
              <w:top w:val="nil"/>
              <w:left w:val="single" w:color="000000" w:sz="6" w:space="0"/>
              <w:bottom w:val="nil"/>
              <w:right w:val="single" w:color="000000" w:sz="6" w:space="0"/>
            </w:tcBorders>
          </w:tcPr>
          <w:p w14:paraId="1DA9DF17">
            <w:pPr>
              <w:spacing w:line="360" w:lineRule="auto"/>
            </w:pPr>
          </w:p>
        </w:tc>
        <w:tc>
          <w:tcPr>
            <w:tcW w:w="2007" w:type="dxa"/>
            <w:gridSpan w:val="4"/>
            <w:tcBorders>
              <w:top w:val="single" w:color="000000" w:sz="6" w:space="0"/>
              <w:left w:val="single" w:color="000000" w:sz="6" w:space="0"/>
              <w:bottom w:val="single" w:color="000000" w:sz="6" w:space="0"/>
              <w:right w:val="single" w:color="000000" w:sz="6" w:space="0"/>
            </w:tcBorders>
            <w:vAlign w:val="center"/>
          </w:tcPr>
          <w:p w14:paraId="142390D3">
            <w:pPr>
              <w:spacing w:line="360" w:lineRule="auto"/>
              <w:ind w:left="264"/>
            </w:pPr>
            <w:r>
              <w:rPr>
                <w:rFonts w:ascii="宋体" w:hAnsi="宋体" w:cs="宋体"/>
              </w:rPr>
              <w:t xml:space="preserve">高级职称人员 </w:t>
            </w:r>
          </w:p>
        </w:tc>
        <w:tc>
          <w:tcPr>
            <w:tcW w:w="2386" w:type="dxa"/>
            <w:gridSpan w:val="2"/>
            <w:tcBorders>
              <w:top w:val="single" w:color="000000" w:sz="6" w:space="0"/>
              <w:left w:val="single" w:color="000000" w:sz="6" w:space="0"/>
              <w:bottom w:val="single" w:color="000000" w:sz="6" w:space="0"/>
              <w:right w:val="single" w:color="000000" w:sz="4" w:space="0"/>
            </w:tcBorders>
            <w:vAlign w:val="center"/>
          </w:tcPr>
          <w:p w14:paraId="07DB065F">
            <w:pPr>
              <w:spacing w:line="360" w:lineRule="auto"/>
              <w:ind w:right="3"/>
              <w:jc w:val="center"/>
            </w:pPr>
          </w:p>
        </w:tc>
      </w:tr>
      <w:tr w14:paraId="2678299F">
        <w:tblPrEx>
          <w:tblCellMar>
            <w:top w:w="14" w:type="dxa"/>
            <w:left w:w="108" w:type="dxa"/>
            <w:bottom w:w="14" w:type="dxa"/>
            <w:right w:w="0" w:type="dxa"/>
          </w:tblCellMar>
        </w:tblPrEx>
        <w:trPr>
          <w:trHeight w:val="567"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60DA5A8E">
            <w:pPr>
              <w:spacing w:line="360" w:lineRule="auto"/>
              <w:ind w:right="109"/>
              <w:jc w:val="center"/>
            </w:pPr>
            <w:r>
              <w:rPr>
                <w:rFonts w:ascii="宋体" w:hAnsi="宋体" w:cs="宋体"/>
              </w:rPr>
              <w:t xml:space="preserve">注册资金 </w:t>
            </w:r>
          </w:p>
        </w:tc>
        <w:tc>
          <w:tcPr>
            <w:tcW w:w="1241" w:type="dxa"/>
            <w:tcBorders>
              <w:top w:val="single" w:color="000000" w:sz="6" w:space="0"/>
              <w:left w:val="single" w:color="000000" w:sz="6" w:space="0"/>
              <w:bottom w:val="single" w:color="000000" w:sz="6" w:space="0"/>
              <w:right w:val="nil"/>
            </w:tcBorders>
            <w:vAlign w:val="center"/>
          </w:tcPr>
          <w:p w14:paraId="41FEF5FC">
            <w:pPr>
              <w:spacing w:line="360" w:lineRule="auto"/>
              <w:ind w:right="-53"/>
              <w:jc w:val="right"/>
            </w:pPr>
          </w:p>
        </w:tc>
        <w:tc>
          <w:tcPr>
            <w:tcW w:w="1135" w:type="dxa"/>
            <w:tcBorders>
              <w:top w:val="single" w:color="000000" w:sz="6" w:space="0"/>
              <w:left w:val="nil"/>
              <w:bottom w:val="single" w:color="000000" w:sz="6" w:space="0"/>
              <w:right w:val="single" w:color="000000" w:sz="6" w:space="0"/>
            </w:tcBorders>
          </w:tcPr>
          <w:p w14:paraId="7E4BC8E0">
            <w:pPr>
              <w:spacing w:line="360" w:lineRule="auto"/>
            </w:pPr>
          </w:p>
        </w:tc>
        <w:tc>
          <w:tcPr>
            <w:tcW w:w="0" w:type="auto"/>
            <w:gridSpan w:val="2"/>
            <w:vMerge w:val="continue"/>
            <w:tcBorders>
              <w:top w:val="nil"/>
              <w:left w:val="single" w:color="000000" w:sz="6" w:space="0"/>
              <w:bottom w:val="nil"/>
              <w:right w:val="single" w:color="000000" w:sz="6" w:space="0"/>
            </w:tcBorders>
          </w:tcPr>
          <w:p w14:paraId="31BEDF37">
            <w:pPr>
              <w:spacing w:line="360" w:lineRule="auto"/>
            </w:pPr>
          </w:p>
        </w:tc>
        <w:tc>
          <w:tcPr>
            <w:tcW w:w="2007" w:type="dxa"/>
            <w:gridSpan w:val="4"/>
            <w:tcBorders>
              <w:top w:val="single" w:color="000000" w:sz="6" w:space="0"/>
              <w:left w:val="single" w:color="000000" w:sz="6" w:space="0"/>
              <w:bottom w:val="single" w:color="000000" w:sz="6" w:space="0"/>
              <w:right w:val="single" w:color="000000" w:sz="6" w:space="0"/>
            </w:tcBorders>
            <w:vAlign w:val="center"/>
          </w:tcPr>
          <w:p w14:paraId="7132C019">
            <w:pPr>
              <w:spacing w:line="360" w:lineRule="auto"/>
              <w:ind w:left="264"/>
            </w:pPr>
            <w:r>
              <w:rPr>
                <w:rFonts w:ascii="宋体" w:hAnsi="宋体" w:cs="宋体"/>
              </w:rPr>
              <w:t xml:space="preserve">中级职称人员 </w:t>
            </w:r>
          </w:p>
        </w:tc>
        <w:tc>
          <w:tcPr>
            <w:tcW w:w="2386" w:type="dxa"/>
            <w:gridSpan w:val="2"/>
            <w:tcBorders>
              <w:top w:val="single" w:color="000000" w:sz="6" w:space="0"/>
              <w:left w:val="single" w:color="000000" w:sz="6" w:space="0"/>
              <w:bottom w:val="single" w:color="000000" w:sz="6" w:space="0"/>
              <w:right w:val="single" w:color="000000" w:sz="4" w:space="0"/>
            </w:tcBorders>
            <w:vAlign w:val="center"/>
          </w:tcPr>
          <w:p w14:paraId="20A59D5C">
            <w:pPr>
              <w:spacing w:line="360" w:lineRule="auto"/>
              <w:ind w:right="3"/>
              <w:jc w:val="center"/>
            </w:pPr>
          </w:p>
        </w:tc>
      </w:tr>
      <w:tr w14:paraId="47F51E7B">
        <w:tblPrEx>
          <w:tblCellMar>
            <w:top w:w="14" w:type="dxa"/>
            <w:left w:w="108" w:type="dxa"/>
            <w:bottom w:w="14" w:type="dxa"/>
            <w:right w:w="0" w:type="dxa"/>
          </w:tblCellMar>
        </w:tblPrEx>
        <w:trPr>
          <w:trHeight w:val="301" w:hRule="atLeast"/>
        </w:trPr>
        <w:tc>
          <w:tcPr>
            <w:tcW w:w="1702" w:type="dxa"/>
            <w:tcBorders>
              <w:top w:val="single" w:color="000000" w:sz="6" w:space="0"/>
              <w:left w:val="single" w:color="000000" w:sz="4" w:space="0"/>
              <w:bottom w:val="nil"/>
              <w:right w:val="single" w:color="000000" w:sz="6" w:space="0"/>
            </w:tcBorders>
          </w:tcPr>
          <w:p w14:paraId="609F024C">
            <w:pPr>
              <w:spacing w:line="360" w:lineRule="auto"/>
            </w:pPr>
          </w:p>
        </w:tc>
        <w:tc>
          <w:tcPr>
            <w:tcW w:w="1241" w:type="dxa"/>
            <w:tcBorders>
              <w:top w:val="single" w:color="000000" w:sz="6" w:space="0"/>
              <w:left w:val="single" w:color="000000" w:sz="6" w:space="0"/>
              <w:bottom w:val="nil"/>
              <w:right w:val="nil"/>
            </w:tcBorders>
          </w:tcPr>
          <w:p w14:paraId="0E54C912">
            <w:pPr>
              <w:spacing w:line="360" w:lineRule="auto"/>
            </w:pPr>
          </w:p>
        </w:tc>
        <w:tc>
          <w:tcPr>
            <w:tcW w:w="1135" w:type="dxa"/>
            <w:tcBorders>
              <w:top w:val="single" w:color="000000" w:sz="6" w:space="0"/>
              <w:left w:val="nil"/>
              <w:bottom w:val="nil"/>
              <w:right w:val="single" w:color="000000" w:sz="6" w:space="0"/>
            </w:tcBorders>
          </w:tcPr>
          <w:p w14:paraId="7F9C3CAD">
            <w:pPr>
              <w:spacing w:line="360" w:lineRule="auto"/>
            </w:pPr>
          </w:p>
        </w:tc>
        <w:tc>
          <w:tcPr>
            <w:tcW w:w="0" w:type="auto"/>
            <w:gridSpan w:val="2"/>
            <w:vMerge w:val="continue"/>
            <w:tcBorders>
              <w:top w:val="nil"/>
              <w:left w:val="single" w:color="000000" w:sz="6" w:space="0"/>
              <w:bottom w:val="nil"/>
              <w:right w:val="single" w:color="000000" w:sz="6" w:space="0"/>
            </w:tcBorders>
          </w:tcPr>
          <w:p w14:paraId="18618B75">
            <w:pPr>
              <w:spacing w:line="360" w:lineRule="auto"/>
            </w:pPr>
          </w:p>
        </w:tc>
        <w:tc>
          <w:tcPr>
            <w:tcW w:w="2007" w:type="dxa"/>
            <w:gridSpan w:val="4"/>
            <w:tcBorders>
              <w:top w:val="single" w:color="000000" w:sz="6" w:space="0"/>
              <w:left w:val="single" w:color="000000" w:sz="6" w:space="0"/>
              <w:bottom w:val="nil"/>
              <w:right w:val="single" w:color="000000" w:sz="6" w:space="0"/>
            </w:tcBorders>
          </w:tcPr>
          <w:p w14:paraId="06BEE11A">
            <w:pPr>
              <w:spacing w:line="360" w:lineRule="auto"/>
            </w:pPr>
          </w:p>
        </w:tc>
        <w:tc>
          <w:tcPr>
            <w:tcW w:w="2386" w:type="dxa"/>
            <w:gridSpan w:val="2"/>
            <w:tcBorders>
              <w:top w:val="single" w:color="000000" w:sz="6" w:space="0"/>
              <w:left w:val="single" w:color="000000" w:sz="6" w:space="0"/>
              <w:bottom w:val="nil"/>
              <w:right w:val="single" w:color="000000" w:sz="4" w:space="0"/>
            </w:tcBorders>
          </w:tcPr>
          <w:p w14:paraId="734AF2D1">
            <w:pPr>
              <w:spacing w:line="360" w:lineRule="auto"/>
            </w:pPr>
          </w:p>
        </w:tc>
      </w:tr>
      <w:tr w14:paraId="1AF2C0AA">
        <w:tblPrEx>
          <w:tblCellMar>
            <w:top w:w="14" w:type="dxa"/>
            <w:left w:w="108" w:type="dxa"/>
            <w:bottom w:w="14" w:type="dxa"/>
            <w:right w:w="0" w:type="dxa"/>
          </w:tblCellMar>
        </w:tblPrEx>
        <w:trPr>
          <w:trHeight w:val="539" w:hRule="atLeast"/>
        </w:trPr>
        <w:tc>
          <w:tcPr>
            <w:tcW w:w="1702" w:type="dxa"/>
            <w:tcBorders>
              <w:top w:val="nil"/>
              <w:left w:val="single" w:color="000000" w:sz="4" w:space="0"/>
              <w:bottom w:val="single" w:color="000000" w:sz="6" w:space="0"/>
              <w:right w:val="single" w:color="000000" w:sz="6" w:space="0"/>
            </w:tcBorders>
          </w:tcPr>
          <w:p w14:paraId="18CEC2C7">
            <w:pPr>
              <w:spacing w:line="360" w:lineRule="auto"/>
              <w:ind w:right="109"/>
              <w:jc w:val="center"/>
            </w:pPr>
            <w:r>
              <w:rPr>
                <w:rFonts w:ascii="宋体" w:hAnsi="宋体" w:cs="宋体"/>
              </w:rPr>
              <w:t xml:space="preserve">开户银行 </w:t>
            </w:r>
          </w:p>
        </w:tc>
        <w:tc>
          <w:tcPr>
            <w:tcW w:w="1241" w:type="dxa"/>
            <w:tcBorders>
              <w:top w:val="nil"/>
              <w:left w:val="single" w:color="000000" w:sz="6" w:space="0"/>
              <w:bottom w:val="single" w:color="000000" w:sz="6" w:space="0"/>
              <w:right w:val="nil"/>
            </w:tcBorders>
          </w:tcPr>
          <w:p w14:paraId="5C766DB8">
            <w:pPr>
              <w:spacing w:line="360" w:lineRule="auto"/>
              <w:ind w:right="-53"/>
              <w:jc w:val="right"/>
            </w:pPr>
          </w:p>
        </w:tc>
        <w:tc>
          <w:tcPr>
            <w:tcW w:w="1135" w:type="dxa"/>
            <w:tcBorders>
              <w:top w:val="nil"/>
              <w:left w:val="nil"/>
              <w:bottom w:val="single" w:color="000000" w:sz="6" w:space="0"/>
              <w:right w:val="single" w:color="000000" w:sz="6" w:space="0"/>
            </w:tcBorders>
          </w:tcPr>
          <w:p w14:paraId="5E08BCDE">
            <w:pPr>
              <w:spacing w:line="360" w:lineRule="auto"/>
            </w:pPr>
          </w:p>
        </w:tc>
        <w:tc>
          <w:tcPr>
            <w:tcW w:w="994" w:type="dxa"/>
            <w:gridSpan w:val="2"/>
            <w:vMerge w:val="restart"/>
            <w:tcBorders>
              <w:top w:val="nil"/>
              <w:left w:val="single" w:color="000000" w:sz="6" w:space="0"/>
              <w:bottom w:val="single" w:color="000000" w:sz="6" w:space="0"/>
              <w:right w:val="single" w:color="000000" w:sz="6" w:space="0"/>
            </w:tcBorders>
          </w:tcPr>
          <w:p w14:paraId="07F5C4D2">
            <w:pPr>
              <w:spacing w:line="360" w:lineRule="auto"/>
              <w:ind w:right="2"/>
              <w:jc w:val="center"/>
            </w:pPr>
          </w:p>
        </w:tc>
        <w:tc>
          <w:tcPr>
            <w:tcW w:w="2007" w:type="dxa"/>
            <w:gridSpan w:val="4"/>
            <w:tcBorders>
              <w:top w:val="nil"/>
              <w:left w:val="single" w:color="000000" w:sz="6" w:space="0"/>
              <w:bottom w:val="single" w:color="000000" w:sz="6" w:space="0"/>
              <w:right w:val="single" w:color="000000" w:sz="6" w:space="0"/>
            </w:tcBorders>
          </w:tcPr>
          <w:p w14:paraId="36D93FDA">
            <w:pPr>
              <w:spacing w:line="360" w:lineRule="auto"/>
              <w:ind w:left="264"/>
            </w:pPr>
            <w:r>
              <w:rPr>
                <w:rFonts w:ascii="宋体" w:hAnsi="宋体" w:cs="宋体"/>
              </w:rPr>
              <w:t xml:space="preserve">初级职称人员 </w:t>
            </w:r>
          </w:p>
        </w:tc>
        <w:tc>
          <w:tcPr>
            <w:tcW w:w="2386" w:type="dxa"/>
            <w:gridSpan w:val="2"/>
            <w:tcBorders>
              <w:top w:val="nil"/>
              <w:left w:val="single" w:color="000000" w:sz="6" w:space="0"/>
              <w:bottom w:val="single" w:color="000000" w:sz="6" w:space="0"/>
              <w:right w:val="single" w:color="000000" w:sz="4" w:space="0"/>
            </w:tcBorders>
          </w:tcPr>
          <w:p w14:paraId="46A47F66">
            <w:pPr>
              <w:spacing w:line="360" w:lineRule="auto"/>
              <w:ind w:right="3"/>
              <w:jc w:val="center"/>
            </w:pPr>
          </w:p>
        </w:tc>
      </w:tr>
      <w:tr w14:paraId="012CFAD0">
        <w:tblPrEx>
          <w:tblCellMar>
            <w:top w:w="14" w:type="dxa"/>
            <w:left w:w="108" w:type="dxa"/>
            <w:bottom w:w="14" w:type="dxa"/>
            <w:right w:w="0" w:type="dxa"/>
          </w:tblCellMar>
        </w:tblPrEx>
        <w:trPr>
          <w:trHeight w:val="830"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34207BD7">
            <w:pPr>
              <w:spacing w:line="360" w:lineRule="auto"/>
              <w:ind w:right="106"/>
              <w:jc w:val="center"/>
            </w:pPr>
            <w:r>
              <w:rPr>
                <w:rFonts w:ascii="宋体" w:hAnsi="宋体" w:cs="宋体"/>
              </w:rPr>
              <w:t xml:space="preserve">账号 </w:t>
            </w:r>
          </w:p>
        </w:tc>
        <w:tc>
          <w:tcPr>
            <w:tcW w:w="1241" w:type="dxa"/>
            <w:tcBorders>
              <w:top w:val="single" w:color="000000" w:sz="6" w:space="0"/>
              <w:left w:val="single" w:color="000000" w:sz="6" w:space="0"/>
              <w:bottom w:val="single" w:color="000000" w:sz="6" w:space="0"/>
              <w:right w:val="nil"/>
            </w:tcBorders>
            <w:vAlign w:val="center"/>
          </w:tcPr>
          <w:p w14:paraId="3B8AD529">
            <w:pPr>
              <w:spacing w:line="360" w:lineRule="auto"/>
              <w:ind w:right="-53"/>
              <w:jc w:val="right"/>
            </w:pPr>
          </w:p>
        </w:tc>
        <w:tc>
          <w:tcPr>
            <w:tcW w:w="1135" w:type="dxa"/>
            <w:tcBorders>
              <w:top w:val="single" w:color="000000" w:sz="6" w:space="0"/>
              <w:left w:val="nil"/>
              <w:bottom w:val="single" w:color="000000" w:sz="6" w:space="0"/>
              <w:right w:val="single" w:color="000000" w:sz="6" w:space="0"/>
            </w:tcBorders>
          </w:tcPr>
          <w:p w14:paraId="1C72BC7B">
            <w:pPr>
              <w:spacing w:line="360" w:lineRule="auto"/>
            </w:pPr>
          </w:p>
        </w:tc>
        <w:tc>
          <w:tcPr>
            <w:tcW w:w="0" w:type="auto"/>
            <w:gridSpan w:val="2"/>
            <w:vMerge w:val="continue"/>
            <w:tcBorders>
              <w:top w:val="nil"/>
              <w:left w:val="single" w:color="000000" w:sz="6" w:space="0"/>
              <w:bottom w:val="single" w:color="000000" w:sz="6" w:space="0"/>
              <w:right w:val="single" w:color="000000" w:sz="6" w:space="0"/>
            </w:tcBorders>
          </w:tcPr>
          <w:p w14:paraId="7D2AF583">
            <w:pPr>
              <w:spacing w:line="360" w:lineRule="auto"/>
            </w:pPr>
          </w:p>
        </w:tc>
        <w:tc>
          <w:tcPr>
            <w:tcW w:w="2007" w:type="dxa"/>
            <w:gridSpan w:val="4"/>
            <w:tcBorders>
              <w:top w:val="single" w:color="000000" w:sz="6" w:space="0"/>
              <w:left w:val="single" w:color="000000" w:sz="6" w:space="0"/>
              <w:bottom w:val="single" w:color="000000" w:sz="6" w:space="0"/>
              <w:right w:val="single" w:color="000000" w:sz="6" w:space="0"/>
            </w:tcBorders>
            <w:vAlign w:val="center"/>
          </w:tcPr>
          <w:p w14:paraId="5B4C1E60">
            <w:pPr>
              <w:spacing w:line="360" w:lineRule="auto"/>
              <w:ind w:right="109"/>
              <w:jc w:val="center"/>
            </w:pPr>
            <w:r>
              <w:rPr>
                <w:rFonts w:ascii="宋体" w:hAnsi="宋体" w:cs="宋体"/>
              </w:rPr>
              <w:t xml:space="preserve">技工 </w:t>
            </w:r>
          </w:p>
        </w:tc>
        <w:tc>
          <w:tcPr>
            <w:tcW w:w="2386" w:type="dxa"/>
            <w:gridSpan w:val="2"/>
            <w:tcBorders>
              <w:top w:val="single" w:color="000000" w:sz="6" w:space="0"/>
              <w:left w:val="single" w:color="000000" w:sz="6" w:space="0"/>
              <w:bottom w:val="single" w:color="000000" w:sz="6" w:space="0"/>
              <w:right w:val="single" w:color="000000" w:sz="4" w:space="0"/>
            </w:tcBorders>
            <w:vAlign w:val="center"/>
          </w:tcPr>
          <w:p w14:paraId="501C1A3B">
            <w:pPr>
              <w:spacing w:line="360" w:lineRule="auto"/>
              <w:ind w:right="3"/>
              <w:jc w:val="center"/>
            </w:pPr>
          </w:p>
        </w:tc>
      </w:tr>
      <w:tr w14:paraId="5259D2E5">
        <w:tblPrEx>
          <w:tblCellMar>
            <w:top w:w="14" w:type="dxa"/>
            <w:left w:w="108" w:type="dxa"/>
            <w:bottom w:w="14" w:type="dxa"/>
            <w:right w:w="0" w:type="dxa"/>
          </w:tblCellMar>
        </w:tblPrEx>
        <w:trPr>
          <w:trHeight w:val="2005"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5BBEAD92">
            <w:pPr>
              <w:spacing w:line="360" w:lineRule="auto"/>
              <w:ind w:right="109"/>
              <w:jc w:val="center"/>
            </w:pPr>
            <w:r>
              <w:rPr>
                <w:rFonts w:ascii="宋体" w:hAnsi="宋体" w:cs="宋体"/>
              </w:rPr>
              <w:t xml:space="preserve">经营范围 </w:t>
            </w:r>
          </w:p>
        </w:tc>
        <w:tc>
          <w:tcPr>
            <w:tcW w:w="1241" w:type="dxa"/>
            <w:tcBorders>
              <w:top w:val="single" w:color="000000" w:sz="6" w:space="0"/>
              <w:left w:val="single" w:color="000000" w:sz="6" w:space="0"/>
              <w:bottom w:val="single" w:color="000000" w:sz="6" w:space="0"/>
              <w:right w:val="nil"/>
            </w:tcBorders>
          </w:tcPr>
          <w:p w14:paraId="192EB44E">
            <w:pPr>
              <w:spacing w:line="360" w:lineRule="auto"/>
              <w:ind w:left="127"/>
              <w:jc w:val="center"/>
            </w:pPr>
          </w:p>
        </w:tc>
        <w:tc>
          <w:tcPr>
            <w:tcW w:w="6522" w:type="dxa"/>
            <w:gridSpan w:val="9"/>
            <w:tcBorders>
              <w:top w:val="single" w:color="000000" w:sz="6" w:space="0"/>
              <w:left w:val="nil"/>
              <w:bottom w:val="single" w:color="000000" w:sz="6" w:space="0"/>
              <w:right w:val="single" w:color="000000" w:sz="4" w:space="0"/>
            </w:tcBorders>
          </w:tcPr>
          <w:p w14:paraId="012CE843">
            <w:pPr>
              <w:spacing w:line="360" w:lineRule="auto"/>
            </w:pPr>
          </w:p>
        </w:tc>
      </w:tr>
      <w:tr w14:paraId="1BE65E82">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4" w:space="0"/>
              <w:right w:val="single" w:color="000000" w:sz="6" w:space="0"/>
            </w:tcBorders>
            <w:vAlign w:val="center"/>
          </w:tcPr>
          <w:p w14:paraId="1AFCDA3B">
            <w:pPr>
              <w:spacing w:line="360" w:lineRule="auto"/>
              <w:ind w:right="106"/>
              <w:jc w:val="center"/>
            </w:pPr>
            <w:r>
              <w:rPr>
                <w:rFonts w:ascii="宋体" w:hAnsi="宋体" w:cs="宋体"/>
              </w:rPr>
              <w:t xml:space="preserve">备注 </w:t>
            </w:r>
          </w:p>
        </w:tc>
        <w:tc>
          <w:tcPr>
            <w:tcW w:w="1241" w:type="dxa"/>
            <w:tcBorders>
              <w:top w:val="single" w:color="000000" w:sz="6" w:space="0"/>
              <w:left w:val="single" w:color="000000" w:sz="6" w:space="0"/>
              <w:bottom w:val="single" w:color="000000" w:sz="4" w:space="0"/>
              <w:right w:val="nil"/>
            </w:tcBorders>
          </w:tcPr>
          <w:p w14:paraId="017914B3">
            <w:pPr>
              <w:spacing w:line="360" w:lineRule="auto"/>
            </w:pPr>
          </w:p>
        </w:tc>
        <w:tc>
          <w:tcPr>
            <w:tcW w:w="6522" w:type="dxa"/>
            <w:gridSpan w:val="9"/>
            <w:tcBorders>
              <w:top w:val="single" w:color="000000" w:sz="6" w:space="0"/>
              <w:left w:val="nil"/>
              <w:bottom w:val="single" w:color="000000" w:sz="4" w:space="0"/>
              <w:right w:val="single" w:color="000000" w:sz="4" w:space="0"/>
            </w:tcBorders>
          </w:tcPr>
          <w:p w14:paraId="02154EBE">
            <w:pPr>
              <w:spacing w:line="360" w:lineRule="auto"/>
            </w:pPr>
          </w:p>
        </w:tc>
      </w:tr>
    </w:tbl>
    <w:p w14:paraId="2C17D7F0">
      <w:pPr>
        <w:spacing w:line="360" w:lineRule="auto"/>
        <w:ind w:left="876" w:leftChars="417" w:firstLine="360" w:firstLineChars="150"/>
        <w:rPr>
          <w:rFonts w:ascii="宋体" w:hAnsi="宋体"/>
          <w:sz w:val="24"/>
        </w:rPr>
      </w:pPr>
      <w:r>
        <w:rPr>
          <w:rFonts w:ascii="宋体" w:hAnsi="宋体"/>
          <w:sz w:val="24"/>
        </w:rPr>
        <w:br w:type="page"/>
      </w:r>
    </w:p>
    <w:p w14:paraId="6E84AA5D">
      <w:pPr>
        <w:spacing w:line="360" w:lineRule="exact"/>
        <w:rPr>
          <w:rFonts w:ascii="宋体" w:hAnsi="宋体" w:cs="宋体"/>
          <w:b/>
          <w:color w:val="000000" w:themeColor="text1"/>
          <w:kern w:val="0"/>
          <w:sz w:val="24"/>
          <w14:textFill>
            <w14:solidFill>
              <w14:schemeClr w14:val="tx1"/>
            </w14:solidFill>
          </w14:textFill>
        </w:rPr>
      </w:pPr>
      <w:bookmarkStart w:id="204" w:name="_Toc183588711"/>
      <w:r>
        <w:rPr>
          <w:rFonts w:hint="eastAsia" w:ascii="宋体" w:hAnsi="宋体"/>
          <w:b/>
          <w:color w:val="000000" w:themeColor="text1"/>
          <w:sz w:val="24"/>
          <w14:textFill>
            <w14:solidFill>
              <w14:schemeClr w14:val="tx1"/>
            </w14:solidFill>
          </w14:textFill>
        </w:rPr>
        <w:t xml:space="preserve">附件6.4  </w:t>
      </w:r>
      <w:r>
        <w:rPr>
          <w:rFonts w:hint="eastAsia" w:ascii="宋体" w:hAnsi="宋体" w:cs="宋体"/>
          <w:b/>
          <w:color w:val="000000" w:themeColor="text1"/>
          <w:kern w:val="0"/>
          <w:sz w:val="24"/>
          <w14:textFill>
            <w14:solidFill>
              <w14:schemeClr w14:val="tx1"/>
            </w14:solidFill>
          </w14:textFill>
        </w:rPr>
        <w:t>具有良好的商业信誉和健全的财务会计制度（承诺函）</w:t>
      </w:r>
    </w:p>
    <w:p w14:paraId="51268915">
      <w:pPr>
        <w:adjustRightInd w:val="0"/>
        <w:snapToGrid w:val="0"/>
        <w:spacing w:line="300" w:lineRule="auto"/>
        <w:rPr>
          <w:rFonts w:hAnsi="宋体"/>
          <w:color w:val="000000" w:themeColor="text1"/>
          <w:sz w:val="24"/>
          <w14:textFill>
            <w14:solidFill>
              <w14:schemeClr w14:val="tx1"/>
            </w14:solidFill>
          </w14:textFill>
        </w:rPr>
      </w:pPr>
    </w:p>
    <w:p w14:paraId="118FE043">
      <w:pPr>
        <w:adjustRightInd w:val="0"/>
        <w:snapToGrid w:val="0"/>
        <w:spacing w:line="300" w:lineRule="auto"/>
        <w:rPr>
          <w:rFonts w:ascii="宋体"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海南省教学仪器设备招标中心有限公司：</w:t>
      </w:r>
    </w:p>
    <w:p w14:paraId="2C016E02">
      <w:pPr>
        <w:pStyle w:val="3"/>
        <w:jc w:val="left"/>
        <w:rPr>
          <w:rFonts w:ascii="宋体" w:hAnsi="宋体" w:eastAsia="宋体" w:cs="宋体"/>
          <w:b w:val="0"/>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b w:val="0"/>
          <w:color w:val="000000" w:themeColor="text1"/>
          <w14:textFill>
            <w14:solidFill>
              <w14:schemeClr w14:val="tx1"/>
            </w14:solidFill>
          </w14:textFill>
        </w:rPr>
        <w:t xml:space="preserve"> </w:t>
      </w:r>
      <w:r>
        <w:rPr>
          <w:rFonts w:hint="eastAsia" w:ascii="宋体" w:hAnsi="宋体" w:eastAsia="宋体" w:cs="宋体"/>
          <w:b w:val="0"/>
          <w:color w:val="000000" w:themeColor="text1"/>
          <w14:textFill>
            <w14:solidFill>
              <w14:schemeClr w14:val="tx1"/>
            </w14:solidFill>
          </w14:textFill>
        </w:rPr>
        <w:t>我</w:t>
      </w:r>
      <w:r>
        <w:rPr>
          <w:rFonts w:hint="eastAsia" w:ascii="宋体" w:hAnsi="宋体" w:eastAsia="宋体"/>
          <w:b w:val="0"/>
          <w:color w:val="000000" w:themeColor="text1"/>
          <w14:textFill>
            <w14:solidFill>
              <w14:schemeClr w14:val="tx1"/>
            </w14:solidFill>
          </w14:textFill>
        </w:rPr>
        <w:t>单位在贵公司组织的（项目名称：     ），（项目编号：</w:t>
      </w:r>
      <w:r>
        <w:rPr>
          <w:rFonts w:ascii="宋体" w:hAnsi="宋体" w:eastAsia="宋体"/>
          <w:b w:val="0"/>
          <w:color w:val="000000" w:themeColor="text1"/>
          <w14:textFill>
            <w14:solidFill>
              <w14:schemeClr w14:val="tx1"/>
            </w14:solidFill>
          </w14:textFill>
        </w:rPr>
        <w:tab/>
      </w:r>
      <w:r>
        <w:rPr>
          <w:rFonts w:ascii="宋体" w:hAnsi="宋体" w:eastAsia="宋体"/>
          <w:b w:val="0"/>
          <w:color w:val="000000" w:themeColor="text1"/>
          <w14:textFill>
            <w14:solidFill>
              <w14:schemeClr w14:val="tx1"/>
            </w14:solidFill>
          </w14:textFill>
        </w:rPr>
        <w:tab/>
      </w:r>
      <w:r>
        <w:rPr>
          <w:rFonts w:hint="eastAsia" w:ascii="宋体" w:hAnsi="宋体" w:eastAsia="宋体"/>
          <w:b w:val="0"/>
          <w:color w:val="000000" w:themeColor="text1"/>
          <w14:textFill>
            <w14:solidFill>
              <w14:schemeClr w14:val="tx1"/>
            </w14:solidFill>
          </w14:textFill>
        </w:rPr>
        <w:t>）采购活动中郑重承诺</w:t>
      </w:r>
      <w:r>
        <w:rPr>
          <w:rFonts w:hint="eastAsia" w:ascii="宋体" w:hAnsi="宋体" w:eastAsia="宋体" w:cs="宋体"/>
          <w:b w:val="0"/>
          <w:color w:val="000000" w:themeColor="text1"/>
          <w14:textFill>
            <w14:solidFill>
              <w14:schemeClr w14:val="tx1"/>
            </w14:solidFill>
          </w14:textFill>
        </w:rPr>
        <w:t>具有良好的商业信誉和健全的财务会计制度。</w:t>
      </w:r>
      <w:r>
        <w:rPr>
          <w:rFonts w:ascii="宋体" w:hAnsi="宋体" w:eastAsia="宋体" w:cs="宋体"/>
          <w:b w:val="0"/>
          <w:color w:val="000000" w:themeColor="text1"/>
          <w14:textFill>
            <w14:solidFill>
              <w14:schemeClr w14:val="tx1"/>
            </w14:solidFill>
          </w14:textFill>
        </w:rPr>
        <w:t>如有虚假承诺</w:t>
      </w:r>
      <w:r>
        <w:rPr>
          <w:rFonts w:hint="eastAsia" w:ascii="宋体" w:hAnsi="宋体" w:eastAsia="宋体" w:cs="宋体"/>
          <w:b w:val="0"/>
          <w:color w:val="000000" w:themeColor="text1"/>
          <w14:textFill>
            <w14:solidFill>
              <w14:schemeClr w14:val="tx1"/>
            </w14:solidFill>
          </w14:textFill>
        </w:rPr>
        <w:t>，我们愿承担相应的法律责任。</w:t>
      </w:r>
    </w:p>
    <w:p w14:paraId="1CDEAF2B">
      <w:pPr>
        <w:adjustRightInd w:val="0"/>
        <w:spacing w:line="360" w:lineRule="auto"/>
        <w:ind w:firstLine="2880" w:firstLineChars="1200"/>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承诺人：    （填写名称并加盖公章）</w:t>
      </w:r>
    </w:p>
    <w:p w14:paraId="2F63DA05">
      <w:pPr>
        <w:adjustRightInd w:val="0"/>
        <w:spacing w:line="360" w:lineRule="auto"/>
        <w:ind w:firstLine="2400" w:firstLineChars="1000"/>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法定代表人或授权代表</w:t>
      </w:r>
      <w:r>
        <w:rPr>
          <w:rFonts w:hint="eastAsia" w:ascii="宋体" w:hAnsi="宋体"/>
          <w:bCs/>
          <w:color w:val="000000" w:themeColor="text1"/>
          <w:sz w:val="24"/>
          <w14:textFill>
            <w14:solidFill>
              <w14:schemeClr w14:val="tx1"/>
            </w14:solidFill>
          </w14:textFill>
        </w:rPr>
        <w:t>：</w:t>
      </w:r>
      <w:r>
        <w:rPr>
          <w:rFonts w:hint="eastAsia" w:ascii="宋体" w:hAnsi="宋体"/>
          <w:iCs/>
          <w:color w:val="000000" w:themeColor="text1"/>
          <w:sz w:val="24"/>
          <w:szCs w:val="21"/>
          <w14:textFill>
            <w14:solidFill>
              <w14:schemeClr w14:val="tx1"/>
            </w14:solidFill>
          </w14:textFill>
        </w:rPr>
        <w:t>（签字或盖章）</w:t>
      </w:r>
    </w:p>
    <w:p w14:paraId="18B6FEC4">
      <w:pPr>
        <w:adjustRightInd w:val="0"/>
        <w:spacing w:line="360" w:lineRule="auto"/>
        <w:rPr>
          <w:rFonts w:ascii="宋体" w:hAnsi="宋体"/>
          <w:bCs/>
          <w:color w:val="000000" w:themeColor="text1"/>
          <w:sz w:val="24"/>
          <w14:textFill>
            <w14:solidFill>
              <w14:schemeClr w14:val="tx1"/>
            </w14:solidFill>
          </w14:textFill>
        </w:rPr>
      </w:pPr>
    </w:p>
    <w:p w14:paraId="7453F6C9">
      <w:pPr>
        <w:ind w:firstLine="2880" w:firstLineChars="1200"/>
        <w:rPr>
          <w:rStyle w:val="59"/>
          <w:rFonts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日期：</w:t>
      </w:r>
      <w:r>
        <w:rPr>
          <w:rFonts w:hint="eastAsia" w:ascii="宋体" w:hAnsi="宋体"/>
          <w:bCs/>
          <w:color w:val="000000" w:themeColor="text1"/>
          <w:sz w:val="24"/>
          <w:lang w:eastAsia="zh-CN"/>
          <w14:textFill>
            <w14:solidFill>
              <w14:schemeClr w14:val="tx1"/>
            </w14:solidFill>
          </w14:textFill>
        </w:rPr>
        <w:t>2025年</w:t>
      </w:r>
      <w:r>
        <w:rPr>
          <w:rFonts w:hint="eastAsia" w:ascii="宋体" w:hAnsi="宋体"/>
          <w:bCs/>
          <w:color w:val="000000" w:themeColor="text1"/>
          <w:sz w:val="24"/>
          <w14:textFill>
            <w14:solidFill>
              <w14:schemeClr w14:val="tx1"/>
            </w14:solidFill>
          </w14:textFill>
        </w:rPr>
        <w:t xml:space="preserve">  月  日</w:t>
      </w:r>
    </w:p>
    <w:p w14:paraId="6EE2EAC3">
      <w:pPr>
        <w:rPr>
          <w:rFonts w:ascii="宋体" w:hAnsi="宋体"/>
          <w:color w:val="FF0000"/>
          <w:sz w:val="24"/>
        </w:rPr>
      </w:pPr>
    </w:p>
    <w:p w14:paraId="63B845D7">
      <w:pPr>
        <w:rPr>
          <w:rFonts w:ascii="宋体" w:hAnsi="宋体"/>
          <w:color w:val="FF0000"/>
          <w:sz w:val="24"/>
        </w:rPr>
      </w:pPr>
    </w:p>
    <w:p w14:paraId="7E7620B6">
      <w:pPr>
        <w:rPr>
          <w:rFonts w:hint="eastAsia" w:ascii="宋体" w:hAnsi="宋体"/>
          <w:b/>
          <w:bCs/>
          <w:color w:val="000000"/>
          <w:sz w:val="24"/>
        </w:rPr>
      </w:pPr>
      <w:r>
        <w:rPr>
          <w:rFonts w:hint="eastAsia" w:ascii="宋体" w:hAnsi="宋体"/>
          <w:b/>
          <w:bCs/>
          <w:color w:val="000000"/>
          <w:sz w:val="24"/>
        </w:rPr>
        <w:br w:type="page"/>
      </w:r>
    </w:p>
    <w:p w14:paraId="6EDB17A7">
      <w:pPr>
        <w:rPr>
          <w:rFonts w:ascii="宋体" w:hAnsi="宋体"/>
          <w:b/>
          <w:bCs/>
          <w:color w:val="000000"/>
          <w:sz w:val="24"/>
        </w:rPr>
      </w:pPr>
      <w:r>
        <w:rPr>
          <w:rFonts w:hint="eastAsia" w:ascii="宋体" w:hAnsi="宋体"/>
          <w:b/>
          <w:bCs/>
          <w:color w:val="000000"/>
          <w:sz w:val="24"/>
        </w:rPr>
        <w:t>附件6.5</w:t>
      </w:r>
      <w:r>
        <w:rPr>
          <w:rFonts w:hint="eastAsia" w:ascii="宋体" w:hAnsi="宋体"/>
          <w:b/>
          <w:bCs/>
          <w:color w:val="000000"/>
          <w:sz w:val="24"/>
          <w:lang w:val="en-US" w:eastAsia="zh-CN"/>
        </w:rPr>
        <w:t xml:space="preserve"> </w:t>
      </w:r>
      <w:r>
        <w:rPr>
          <w:rFonts w:ascii="宋体" w:hAnsi="宋体"/>
          <w:b/>
          <w:bCs/>
          <w:color w:val="000000"/>
          <w:sz w:val="24"/>
        </w:rPr>
        <w:t>具有履行合同所必需的设备和专业技术能力承诺书</w:t>
      </w:r>
    </w:p>
    <w:p w14:paraId="3DFD07B8">
      <w:pPr>
        <w:spacing w:line="360" w:lineRule="auto"/>
        <w:rPr>
          <w:rFonts w:ascii="宋体" w:hAnsi="宋体"/>
          <w:sz w:val="24"/>
        </w:rPr>
      </w:pPr>
    </w:p>
    <w:p w14:paraId="111830CA">
      <w:pPr>
        <w:spacing w:line="360" w:lineRule="auto"/>
        <w:rPr>
          <w:rFonts w:ascii="宋体" w:hAnsi="宋体"/>
          <w:sz w:val="24"/>
          <w:u w:val="single"/>
        </w:rPr>
      </w:pPr>
      <w:r>
        <w:rPr>
          <w:rFonts w:hint="eastAsia"/>
          <w:sz w:val="24"/>
        </w:rPr>
        <w:t>致</w:t>
      </w:r>
      <w:r>
        <w:rPr>
          <w:rFonts w:hint="eastAsia" w:ascii="宋体" w:hAnsi="宋体"/>
          <w:sz w:val="24"/>
        </w:rPr>
        <w:t>：</w:t>
      </w:r>
      <w:r>
        <w:rPr>
          <w:rFonts w:hint="eastAsia" w:ascii="宋体" w:hAnsi="宋体"/>
          <w:sz w:val="24"/>
          <w:u w:val="single"/>
        </w:rPr>
        <w:t>海南省教学仪器设备招标中心有限公司</w:t>
      </w:r>
    </w:p>
    <w:p w14:paraId="481E18EE">
      <w:pPr>
        <w:spacing w:line="360" w:lineRule="auto"/>
        <w:ind w:firstLine="480" w:firstLineChars="200"/>
        <w:rPr>
          <w:rFonts w:ascii="宋体" w:hAnsi="宋体"/>
          <w:sz w:val="24"/>
        </w:rPr>
      </w:pPr>
      <w:r>
        <w:rPr>
          <w:rFonts w:ascii="宋体" w:hAnsi="宋体"/>
          <w:sz w:val="24"/>
        </w:rPr>
        <w:t>我单位参与你公司组织的</w:t>
      </w:r>
      <w:r>
        <w:rPr>
          <w:rFonts w:ascii="宋体" w:hAnsi="宋体"/>
          <w:sz w:val="24"/>
          <w:u w:val="single"/>
        </w:rPr>
        <w:t xml:space="preserve">（项目名称） </w:t>
      </w:r>
      <w:r>
        <w:rPr>
          <w:rFonts w:ascii="宋体" w:hAnsi="宋体"/>
          <w:sz w:val="24"/>
        </w:rPr>
        <w:t>采购活动，现承诺具有履行合同所必需的人员</w:t>
      </w:r>
      <w:r>
        <w:rPr>
          <w:rFonts w:hint="eastAsia" w:ascii="宋体" w:hAnsi="宋体"/>
          <w:sz w:val="24"/>
        </w:rPr>
        <w:t>、</w:t>
      </w:r>
      <w:r>
        <w:rPr>
          <w:rFonts w:ascii="宋体" w:hAnsi="宋体"/>
          <w:sz w:val="24"/>
        </w:rPr>
        <w:t>设备和专业技术能力，如有虚假承诺，愿承担一切法律责任。</w:t>
      </w:r>
    </w:p>
    <w:p w14:paraId="08750829">
      <w:pPr>
        <w:spacing w:line="360" w:lineRule="auto"/>
        <w:rPr>
          <w:rFonts w:ascii="宋体" w:hAnsi="宋体"/>
          <w:sz w:val="24"/>
        </w:rPr>
      </w:pPr>
      <w:r>
        <w:rPr>
          <w:rFonts w:ascii="宋体" w:hAnsi="宋体"/>
          <w:sz w:val="24"/>
        </w:rPr>
        <w:t>特此承诺</w:t>
      </w:r>
      <w:r>
        <w:rPr>
          <w:rFonts w:hint="eastAsia" w:ascii="宋体" w:hAnsi="宋体"/>
          <w:sz w:val="24"/>
        </w:rPr>
        <w:t>。</w:t>
      </w:r>
    </w:p>
    <w:p w14:paraId="695B0953">
      <w:pPr>
        <w:spacing w:line="360" w:lineRule="auto"/>
        <w:rPr>
          <w:rFonts w:ascii="宋体" w:hAnsi="宋体"/>
          <w:sz w:val="24"/>
        </w:rPr>
      </w:pPr>
    </w:p>
    <w:p w14:paraId="140AD835">
      <w:pPr>
        <w:spacing w:line="360" w:lineRule="auto"/>
        <w:rPr>
          <w:rFonts w:ascii="宋体" w:hAnsi="宋体"/>
          <w:iCs/>
          <w:sz w:val="24"/>
        </w:rPr>
      </w:pPr>
      <w:r>
        <w:rPr>
          <w:rFonts w:hint="eastAsia" w:ascii="宋体" w:hAnsi="宋体"/>
          <w:sz w:val="24"/>
        </w:rPr>
        <w:t>供应商</w:t>
      </w:r>
      <w:r>
        <w:rPr>
          <w:rFonts w:ascii="宋体" w:hAnsi="宋体"/>
          <w:sz w:val="24"/>
        </w:rPr>
        <w:t>：（填写名称并盖章）</w:t>
      </w:r>
    </w:p>
    <w:p w14:paraId="3B6E5FAC">
      <w:pPr>
        <w:spacing w:line="360" w:lineRule="auto"/>
        <w:rPr>
          <w:rFonts w:ascii="宋体" w:hAnsi="宋体"/>
          <w:sz w:val="24"/>
        </w:rPr>
      </w:pPr>
    </w:p>
    <w:p w14:paraId="46ABA9D2">
      <w:pPr>
        <w:spacing w:line="360" w:lineRule="auto"/>
        <w:rPr>
          <w:rFonts w:ascii="宋体" w:hAnsi="宋体"/>
          <w:sz w:val="24"/>
        </w:rPr>
      </w:pPr>
      <w:r>
        <w:rPr>
          <w:rFonts w:ascii="宋体" w:hAnsi="宋体"/>
          <w:sz w:val="24"/>
        </w:rPr>
        <w:t>法定代表人或其授权委托人：</w:t>
      </w:r>
      <w:r>
        <w:rPr>
          <w:rFonts w:ascii="宋体" w:hAnsi="宋体"/>
          <w:iCs/>
          <w:sz w:val="24"/>
        </w:rPr>
        <w:t>（签字或盖章）</w:t>
      </w:r>
    </w:p>
    <w:p w14:paraId="5EBA43EE">
      <w:pPr>
        <w:spacing w:line="360" w:lineRule="auto"/>
        <w:rPr>
          <w:rFonts w:ascii="宋体" w:hAnsi="宋体"/>
          <w:sz w:val="24"/>
        </w:rPr>
      </w:pPr>
    </w:p>
    <w:p w14:paraId="353C1CD3">
      <w:pPr>
        <w:rPr>
          <w:rFonts w:ascii="宋体" w:hAnsi="宋体"/>
          <w:sz w:val="24"/>
        </w:rPr>
      </w:pPr>
      <w:r>
        <w:rPr>
          <w:rFonts w:ascii="宋体" w:hAnsi="宋体"/>
          <w:sz w:val="24"/>
        </w:rPr>
        <w:t>日期：</w:t>
      </w:r>
      <w:r>
        <w:rPr>
          <w:rFonts w:hint="eastAsia" w:ascii="宋体" w:hAnsi="宋体"/>
          <w:sz w:val="24"/>
          <w:lang w:eastAsia="zh-CN"/>
        </w:rPr>
        <w:t>2025年</w:t>
      </w:r>
      <w:r>
        <w:rPr>
          <w:rFonts w:hint="eastAsia" w:ascii="宋体" w:hAnsi="宋体"/>
          <w:sz w:val="24"/>
        </w:rPr>
        <w:t xml:space="preserve">   月   日</w:t>
      </w:r>
    </w:p>
    <w:p w14:paraId="799BEC0F">
      <w:pPr>
        <w:adjustRightInd w:val="0"/>
        <w:snapToGrid w:val="0"/>
        <w:spacing w:line="360" w:lineRule="auto"/>
        <w:ind w:firstLine="480" w:firstLineChars="200"/>
        <w:rPr>
          <w:color w:val="FF0000"/>
          <w:sz w:val="24"/>
        </w:rPr>
      </w:pPr>
    </w:p>
    <w:p w14:paraId="67472A74">
      <w:pPr>
        <w:pStyle w:val="3"/>
        <w:snapToGrid w:val="0"/>
        <w:spacing w:line="300" w:lineRule="auto"/>
        <w:rPr>
          <w:rFonts w:ascii="宋体" w:hAnsi="宋体" w:eastAsia="宋体"/>
          <w:color w:val="000000" w:themeColor="text1"/>
          <w:szCs w:val="24"/>
          <w14:textFill>
            <w14:solidFill>
              <w14:schemeClr w14:val="tx1"/>
            </w14:solidFill>
          </w14:textFill>
        </w:rPr>
      </w:pPr>
    </w:p>
    <w:p w14:paraId="0E608CA9">
      <w:pPr>
        <w:rPr>
          <w:rFonts w:hint="eastAsia" w:ascii="宋体" w:hAnsi="宋体" w:eastAsia="宋体"/>
          <w:color w:val="000000" w:themeColor="text1"/>
          <w:szCs w:val="24"/>
          <w14:textFill>
            <w14:solidFill>
              <w14:schemeClr w14:val="tx1"/>
            </w14:solidFill>
          </w14:textFill>
        </w:rPr>
      </w:pPr>
      <w:r>
        <w:rPr>
          <w:rFonts w:hint="eastAsia" w:ascii="宋体" w:hAnsi="宋体" w:eastAsia="宋体"/>
          <w:color w:val="000000" w:themeColor="text1"/>
          <w:szCs w:val="24"/>
          <w14:textFill>
            <w14:solidFill>
              <w14:schemeClr w14:val="tx1"/>
            </w14:solidFill>
          </w14:textFill>
        </w:rPr>
        <w:br w:type="page"/>
      </w:r>
    </w:p>
    <w:p w14:paraId="06900C98">
      <w:pPr>
        <w:pStyle w:val="3"/>
        <w:snapToGrid w:val="0"/>
        <w:spacing w:line="300" w:lineRule="auto"/>
        <w:jc w:val="both"/>
        <w:rPr>
          <w:rFonts w:ascii="宋体" w:hAnsi="宋体" w:eastAsia="宋体"/>
          <w:bCs/>
          <w:color w:val="000000" w:themeColor="text1"/>
          <w:szCs w:val="24"/>
          <w14:textFill>
            <w14:solidFill>
              <w14:schemeClr w14:val="tx1"/>
            </w14:solidFill>
          </w14:textFill>
        </w:rPr>
      </w:pPr>
      <w:r>
        <w:rPr>
          <w:rFonts w:hint="eastAsia" w:ascii="宋体" w:hAnsi="宋体" w:eastAsia="宋体"/>
          <w:color w:val="000000" w:themeColor="text1"/>
          <w:szCs w:val="24"/>
          <w14:textFill>
            <w14:solidFill>
              <w14:schemeClr w14:val="tx1"/>
            </w14:solidFill>
          </w14:textFill>
        </w:rPr>
        <w:t>附件6.6</w:t>
      </w:r>
      <w:r>
        <w:rPr>
          <w:rFonts w:hint="eastAsia" w:ascii="宋体" w:hAnsi="宋体" w:cs="宋体"/>
          <w:color w:val="000000" w:themeColor="text1"/>
          <w14:textFill>
            <w14:solidFill>
              <w14:schemeClr w14:val="tx1"/>
            </w14:solidFill>
          </w14:textFill>
        </w:rPr>
        <w:t>具有依法缴纳税收和社会保障资金的良好记录（承诺函）</w:t>
      </w:r>
    </w:p>
    <w:p w14:paraId="1920E111">
      <w:pPr>
        <w:adjustRightInd w:val="0"/>
        <w:snapToGrid w:val="0"/>
        <w:spacing w:line="300" w:lineRule="auto"/>
        <w:rPr>
          <w:rFonts w:hAnsi="宋体"/>
          <w:color w:val="000000" w:themeColor="text1"/>
          <w:sz w:val="24"/>
          <w14:textFill>
            <w14:solidFill>
              <w14:schemeClr w14:val="tx1"/>
            </w14:solidFill>
          </w14:textFill>
        </w:rPr>
      </w:pPr>
    </w:p>
    <w:p w14:paraId="04AB957B">
      <w:pPr>
        <w:adjustRightInd w:val="0"/>
        <w:snapToGrid w:val="0"/>
        <w:spacing w:line="300" w:lineRule="auto"/>
        <w:rPr>
          <w:rFonts w:ascii="宋体" w:hAnsi="宋体"/>
          <w:color w:val="000000" w:themeColor="text1"/>
          <w:sz w:val="24"/>
          <w14:textFill>
            <w14:solidFill>
              <w14:schemeClr w14:val="tx1"/>
            </w14:solidFill>
          </w14:textFill>
        </w:rPr>
      </w:pPr>
      <w:r>
        <w:rPr>
          <w:rFonts w:hint="eastAsia"/>
          <w:sz w:val="24"/>
        </w:rPr>
        <w:t>致</w:t>
      </w:r>
      <w:r>
        <w:rPr>
          <w:rFonts w:hint="eastAsia" w:ascii="宋体" w:hAnsi="宋体"/>
          <w:color w:val="000000" w:themeColor="text1"/>
          <w:sz w:val="24"/>
          <w14:textFill>
            <w14:solidFill>
              <w14:schemeClr w14:val="tx1"/>
            </w14:solidFill>
          </w14:textFill>
        </w:rPr>
        <w:t>：</w:t>
      </w:r>
      <w:r>
        <w:rPr>
          <w:rFonts w:hint="eastAsia" w:hAnsi="宋体"/>
          <w:color w:val="000000" w:themeColor="text1"/>
          <w:sz w:val="24"/>
          <w14:textFill>
            <w14:solidFill>
              <w14:schemeClr w14:val="tx1"/>
            </w14:solidFill>
          </w14:textFill>
        </w:rPr>
        <w:t>海南省教学仪器设备招标中心有限公司：</w:t>
      </w:r>
    </w:p>
    <w:p w14:paraId="197D9591">
      <w:pPr>
        <w:pStyle w:val="3"/>
        <w:jc w:val="left"/>
        <w:rPr>
          <w:rFonts w:ascii="宋体" w:hAnsi="宋体" w:eastAsia="宋体" w:cs="宋体"/>
          <w:b w:val="0"/>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b w:val="0"/>
          <w:color w:val="000000" w:themeColor="text1"/>
          <w14:textFill>
            <w14:solidFill>
              <w14:schemeClr w14:val="tx1"/>
            </w14:solidFill>
          </w14:textFill>
        </w:rPr>
        <w:t xml:space="preserve"> </w:t>
      </w:r>
      <w:r>
        <w:rPr>
          <w:rFonts w:hint="eastAsia" w:ascii="宋体" w:hAnsi="宋体" w:eastAsia="宋体"/>
          <w:b w:val="0"/>
          <w:color w:val="000000" w:themeColor="text1"/>
          <w14:textFill>
            <w14:solidFill>
              <w14:schemeClr w14:val="tx1"/>
            </w14:solidFill>
          </w14:textFill>
        </w:rPr>
        <w:t xml:space="preserve"> 我单位在贵公司组织的（项目名称：     ），（项目编号：</w:t>
      </w:r>
      <w:r>
        <w:rPr>
          <w:rFonts w:ascii="宋体" w:hAnsi="宋体" w:eastAsia="宋体"/>
          <w:b w:val="0"/>
          <w:color w:val="000000" w:themeColor="text1"/>
          <w14:textFill>
            <w14:solidFill>
              <w14:schemeClr w14:val="tx1"/>
            </w14:solidFill>
          </w14:textFill>
        </w:rPr>
        <w:tab/>
      </w:r>
      <w:r>
        <w:rPr>
          <w:rFonts w:ascii="宋体" w:hAnsi="宋体" w:eastAsia="宋体"/>
          <w:b w:val="0"/>
          <w:color w:val="000000" w:themeColor="text1"/>
          <w14:textFill>
            <w14:solidFill>
              <w14:schemeClr w14:val="tx1"/>
            </w14:solidFill>
          </w14:textFill>
        </w:rPr>
        <w:tab/>
      </w:r>
      <w:r>
        <w:rPr>
          <w:rFonts w:hint="eastAsia" w:ascii="宋体" w:hAnsi="宋体" w:eastAsia="宋体"/>
          <w:b w:val="0"/>
          <w:color w:val="000000" w:themeColor="text1"/>
          <w14:textFill>
            <w14:solidFill>
              <w14:schemeClr w14:val="tx1"/>
            </w14:solidFill>
          </w14:textFill>
        </w:rPr>
        <w:t>）采购活动中郑重承诺</w:t>
      </w:r>
      <w:r>
        <w:rPr>
          <w:rFonts w:hint="eastAsia" w:ascii="宋体" w:hAnsi="宋体" w:eastAsia="宋体" w:cs="宋体"/>
          <w:b w:val="0"/>
          <w:color w:val="000000" w:themeColor="text1"/>
          <w14:textFill>
            <w14:solidFill>
              <w14:schemeClr w14:val="tx1"/>
            </w14:solidFill>
          </w14:textFill>
        </w:rPr>
        <w:t>具有依法缴纳税收和社会保障资金的良好记录。</w:t>
      </w:r>
      <w:r>
        <w:rPr>
          <w:rFonts w:ascii="宋体" w:hAnsi="宋体" w:eastAsia="宋体" w:cs="宋体"/>
          <w:b w:val="0"/>
          <w:color w:val="000000" w:themeColor="text1"/>
          <w14:textFill>
            <w14:solidFill>
              <w14:schemeClr w14:val="tx1"/>
            </w14:solidFill>
          </w14:textFill>
        </w:rPr>
        <w:t>如有虚假承诺</w:t>
      </w:r>
      <w:r>
        <w:rPr>
          <w:rFonts w:hint="eastAsia" w:ascii="宋体" w:hAnsi="宋体" w:eastAsia="宋体" w:cs="宋体"/>
          <w:b w:val="0"/>
          <w:color w:val="000000" w:themeColor="text1"/>
          <w14:textFill>
            <w14:solidFill>
              <w14:schemeClr w14:val="tx1"/>
            </w14:solidFill>
          </w14:textFill>
        </w:rPr>
        <w:t>，我们愿承担相应的法律责任。</w:t>
      </w:r>
    </w:p>
    <w:p w14:paraId="5468CB6B">
      <w:pPr>
        <w:pStyle w:val="3"/>
        <w:ind w:firstLine="3386" w:firstLineChars="1176"/>
        <w:rPr>
          <w:rFonts w:asciiTheme="majorEastAsia" w:hAnsiTheme="majorEastAsia" w:eastAsiaTheme="majorEastAsia"/>
          <w:b w:val="0"/>
          <w:bCs/>
          <w:color w:val="000000" w:themeColor="text1"/>
          <w14:textFill>
            <w14:solidFill>
              <w14:schemeClr w14:val="tx1"/>
            </w14:solidFill>
          </w14:textFill>
        </w:rPr>
      </w:pPr>
      <w:r>
        <w:rPr>
          <w:rFonts w:hint="eastAsia" w:asciiTheme="majorEastAsia" w:hAnsiTheme="majorEastAsia" w:eastAsiaTheme="majorEastAsia"/>
          <w:b w:val="0"/>
          <w:color w:val="000000" w:themeColor="text1"/>
          <w14:textFill>
            <w14:solidFill>
              <w14:schemeClr w14:val="tx1"/>
            </w14:solidFill>
          </w14:textFill>
        </w:rPr>
        <w:t>承诺人：    （填写名称并加盖公章）</w:t>
      </w:r>
    </w:p>
    <w:p w14:paraId="2DA8DD05">
      <w:pPr>
        <w:adjustRightInd w:val="0"/>
        <w:spacing w:line="360" w:lineRule="auto"/>
        <w:ind w:firstLine="2640" w:firstLineChars="1100"/>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法定代表人或授权代表</w:t>
      </w:r>
      <w:r>
        <w:rPr>
          <w:rFonts w:hint="eastAsia" w:ascii="宋体" w:hAnsi="宋体"/>
          <w:bCs/>
          <w:color w:val="000000" w:themeColor="text1"/>
          <w:sz w:val="24"/>
          <w14:textFill>
            <w14:solidFill>
              <w14:schemeClr w14:val="tx1"/>
            </w14:solidFill>
          </w14:textFill>
        </w:rPr>
        <w:t>：</w:t>
      </w:r>
      <w:r>
        <w:rPr>
          <w:rFonts w:hint="eastAsia" w:ascii="宋体" w:hAnsi="宋体"/>
          <w:iCs/>
          <w:color w:val="000000" w:themeColor="text1"/>
          <w:sz w:val="24"/>
          <w:szCs w:val="21"/>
          <w14:textFill>
            <w14:solidFill>
              <w14:schemeClr w14:val="tx1"/>
            </w14:solidFill>
          </w14:textFill>
        </w:rPr>
        <w:t>（签字或盖章）</w:t>
      </w:r>
    </w:p>
    <w:p w14:paraId="70850D0D">
      <w:pPr>
        <w:adjustRightInd w:val="0"/>
        <w:spacing w:line="360" w:lineRule="auto"/>
        <w:ind w:firstLine="480" w:firstLineChars="200"/>
        <w:rPr>
          <w:rFonts w:ascii="宋体" w:hAnsi="宋体"/>
          <w:bCs/>
          <w:color w:val="FF0000"/>
          <w:sz w:val="24"/>
        </w:rPr>
      </w:pPr>
    </w:p>
    <w:p w14:paraId="410A683C">
      <w:pPr>
        <w:ind w:firstLine="3240" w:firstLineChars="1350"/>
        <w:rPr>
          <w:rStyle w:val="59"/>
          <w:rFonts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日期：</w:t>
      </w:r>
      <w:r>
        <w:rPr>
          <w:rFonts w:hint="eastAsia" w:ascii="宋体" w:hAnsi="宋体"/>
          <w:bCs/>
          <w:color w:val="000000" w:themeColor="text1"/>
          <w:sz w:val="24"/>
          <w:lang w:eastAsia="zh-CN"/>
          <w14:textFill>
            <w14:solidFill>
              <w14:schemeClr w14:val="tx1"/>
            </w14:solidFill>
          </w14:textFill>
        </w:rPr>
        <w:t>2025年</w:t>
      </w:r>
      <w:r>
        <w:rPr>
          <w:rFonts w:hint="eastAsia" w:ascii="宋体" w:hAnsi="宋体"/>
          <w:bCs/>
          <w:color w:val="000000" w:themeColor="text1"/>
          <w:sz w:val="24"/>
          <w14:textFill>
            <w14:solidFill>
              <w14:schemeClr w14:val="tx1"/>
            </w14:solidFill>
          </w14:textFill>
        </w:rPr>
        <w:t xml:space="preserve">  月  日</w:t>
      </w:r>
    </w:p>
    <w:p w14:paraId="22741F4A">
      <w:pPr>
        <w:pStyle w:val="3"/>
        <w:snapToGrid w:val="0"/>
        <w:spacing w:line="300" w:lineRule="auto"/>
        <w:rPr>
          <w:rFonts w:ascii="宋体" w:hAnsi="宋体" w:eastAsia="宋体"/>
          <w:bCs/>
          <w:color w:val="000000" w:themeColor="text1"/>
          <w:szCs w:val="24"/>
          <w14:textFill>
            <w14:solidFill>
              <w14:schemeClr w14:val="tx1"/>
            </w14:solidFill>
          </w14:textFill>
        </w:rPr>
      </w:pPr>
    </w:p>
    <w:p w14:paraId="3ADBD0BD">
      <w:pPr>
        <w:rPr>
          <w:rFonts w:hint="eastAsia" w:ascii="宋体" w:hAnsi="宋体" w:eastAsia="宋体"/>
          <w:bCs/>
          <w:szCs w:val="24"/>
        </w:rPr>
      </w:pPr>
      <w:r>
        <w:rPr>
          <w:rFonts w:hint="eastAsia" w:ascii="宋体" w:hAnsi="宋体" w:eastAsia="宋体"/>
          <w:bCs/>
          <w:szCs w:val="24"/>
        </w:rPr>
        <w:br w:type="page"/>
      </w:r>
    </w:p>
    <w:p w14:paraId="15FCEB81">
      <w:pPr>
        <w:pStyle w:val="3"/>
        <w:keepNext w:val="0"/>
        <w:keepLines w:val="0"/>
        <w:rPr>
          <w:rFonts w:ascii="宋体" w:hAnsi="宋体" w:eastAsia="宋体"/>
          <w:bCs/>
          <w:szCs w:val="24"/>
        </w:rPr>
      </w:pPr>
      <w:r>
        <w:rPr>
          <w:rFonts w:hint="eastAsia" w:ascii="宋体" w:hAnsi="宋体" w:eastAsia="宋体"/>
          <w:bCs/>
          <w:szCs w:val="24"/>
        </w:rPr>
        <w:t>附件6.7 响应</w:t>
      </w:r>
      <w:r>
        <w:rPr>
          <w:rFonts w:hint="eastAsia" w:ascii="宋体" w:hAnsi="宋体" w:eastAsia="宋体"/>
          <w:szCs w:val="24"/>
        </w:rPr>
        <w:t>供应商</w:t>
      </w:r>
      <w:r>
        <w:rPr>
          <w:rFonts w:hint="eastAsia" w:ascii="宋体" w:hAnsi="宋体" w:eastAsia="宋体"/>
          <w:bCs/>
          <w:szCs w:val="24"/>
        </w:rPr>
        <w:t>参加政府采购活动近三年内，在经营活动中没有重大事故、违法记录的声明</w:t>
      </w:r>
      <w:bookmarkEnd w:id="204"/>
    </w:p>
    <w:p w14:paraId="2FDB4335">
      <w:pPr>
        <w:spacing w:line="360" w:lineRule="auto"/>
        <w:jc w:val="center"/>
        <w:rPr>
          <w:rFonts w:ascii="宋体" w:hAnsi="宋体"/>
          <w:sz w:val="24"/>
        </w:rPr>
      </w:pPr>
      <w:r>
        <w:rPr>
          <w:rFonts w:hint="eastAsia" w:ascii="宋体" w:hAnsi="宋体"/>
          <w:sz w:val="24"/>
        </w:rPr>
        <w:t>（须加盖本单位公章）</w:t>
      </w:r>
    </w:p>
    <w:p w14:paraId="2D612614">
      <w:pPr>
        <w:rPr>
          <w:rFonts w:ascii="宋体" w:hAnsi="宋体"/>
          <w:sz w:val="24"/>
        </w:rPr>
      </w:pPr>
      <w:r>
        <w:rPr>
          <w:rFonts w:hint="eastAsia" w:ascii="宋体" w:hAnsi="宋体"/>
          <w:sz w:val="24"/>
        </w:rPr>
        <w:t>海南省教学仪器设备招标中心有限公司：</w:t>
      </w:r>
    </w:p>
    <w:p w14:paraId="2D5CB5F4">
      <w:pPr>
        <w:rPr>
          <w:rFonts w:ascii="宋体" w:hAnsi="宋体"/>
          <w:sz w:val="24"/>
        </w:rPr>
      </w:pPr>
    </w:p>
    <w:p w14:paraId="01A0064A">
      <w:pPr>
        <w:ind w:firstLine="480" w:firstLineChars="200"/>
        <w:rPr>
          <w:rFonts w:ascii="宋体" w:hAnsi="宋体"/>
          <w:sz w:val="24"/>
        </w:rPr>
      </w:pPr>
      <w:r>
        <w:rPr>
          <w:rFonts w:hint="eastAsia" w:ascii="宋体" w:hAnsi="宋体"/>
          <w:sz w:val="24"/>
        </w:rPr>
        <w:t>我公司在参加本次政府采购活动前三年内，在经营活动中没有重大事故、违法记录。</w:t>
      </w:r>
    </w:p>
    <w:p w14:paraId="16A1147E">
      <w:pPr>
        <w:rPr>
          <w:rFonts w:ascii="宋体" w:hAnsi="宋体"/>
          <w:sz w:val="24"/>
        </w:rPr>
      </w:pPr>
    </w:p>
    <w:p w14:paraId="6344EC8D">
      <w:pPr>
        <w:ind w:firstLine="480" w:firstLineChars="200"/>
        <w:rPr>
          <w:rFonts w:ascii="宋体" w:hAnsi="宋体"/>
          <w:sz w:val="24"/>
        </w:rPr>
      </w:pPr>
      <w:r>
        <w:rPr>
          <w:rFonts w:hint="eastAsia" w:ascii="宋体" w:hAnsi="宋体"/>
          <w:sz w:val="24"/>
        </w:rPr>
        <w:t>特此声明。</w:t>
      </w:r>
    </w:p>
    <w:p w14:paraId="12CE3DC2">
      <w:pPr>
        <w:ind w:firstLine="480" w:firstLineChars="200"/>
        <w:rPr>
          <w:rFonts w:ascii="宋体" w:hAnsi="宋体"/>
          <w:sz w:val="24"/>
        </w:rPr>
      </w:pPr>
    </w:p>
    <w:p w14:paraId="25746A03">
      <w:pPr>
        <w:ind w:firstLine="480" w:firstLineChars="200"/>
        <w:rPr>
          <w:rFonts w:ascii="宋体" w:hAnsi="宋体"/>
          <w:sz w:val="24"/>
        </w:rPr>
      </w:pPr>
    </w:p>
    <w:p w14:paraId="5913B747">
      <w:pPr>
        <w:ind w:firstLine="480" w:firstLineChars="200"/>
        <w:rPr>
          <w:rFonts w:ascii="宋体" w:hAnsi="宋体"/>
          <w:sz w:val="24"/>
        </w:rPr>
      </w:pPr>
    </w:p>
    <w:p w14:paraId="3FD5FA6C">
      <w:pPr>
        <w:ind w:firstLine="480" w:firstLineChars="200"/>
        <w:rPr>
          <w:rFonts w:ascii="宋体" w:hAnsi="宋体"/>
          <w:sz w:val="24"/>
        </w:rPr>
      </w:pPr>
    </w:p>
    <w:p w14:paraId="4A4B9DC5">
      <w:pPr>
        <w:ind w:firstLine="480" w:firstLineChars="200"/>
        <w:rPr>
          <w:rFonts w:ascii="宋体" w:hAnsi="宋体"/>
          <w:sz w:val="24"/>
        </w:rPr>
      </w:pPr>
    </w:p>
    <w:p w14:paraId="31029A5B">
      <w:pPr>
        <w:ind w:firstLine="480" w:firstLineChars="200"/>
        <w:rPr>
          <w:rFonts w:ascii="宋体" w:hAnsi="宋体"/>
          <w:sz w:val="24"/>
        </w:rPr>
      </w:pPr>
    </w:p>
    <w:p w14:paraId="3106E871">
      <w:pPr>
        <w:ind w:firstLine="480" w:firstLineChars="200"/>
        <w:rPr>
          <w:rFonts w:ascii="宋体" w:hAnsi="宋体"/>
          <w:sz w:val="24"/>
        </w:rPr>
      </w:pPr>
    </w:p>
    <w:p w14:paraId="6E743A5C">
      <w:pPr>
        <w:ind w:firstLine="3600" w:firstLineChars="1500"/>
        <w:rPr>
          <w:rFonts w:ascii="宋体" w:hAnsi="宋体"/>
          <w:sz w:val="24"/>
        </w:rPr>
      </w:pPr>
      <w:r>
        <w:rPr>
          <w:rFonts w:hint="eastAsia" w:ascii="宋体" w:hAnsi="宋体"/>
          <w:sz w:val="24"/>
        </w:rPr>
        <w:t>法定代表人或被授权人签字：</w:t>
      </w:r>
    </w:p>
    <w:p w14:paraId="6F46CA86">
      <w:pPr>
        <w:ind w:firstLine="3600" w:firstLineChars="1500"/>
        <w:rPr>
          <w:rFonts w:ascii="宋体" w:hAnsi="宋体"/>
          <w:sz w:val="24"/>
        </w:rPr>
      </w:pPr>
    </w:p>
    <w:p w14:paraId="34710BC1">
      <w:pPr>
        <w:ind w:firstLine="3600" w:firstLineChars="1500"/>
        <w:rPr>
          <w:rFonts w:ascii="宋体" w:hAnsi="宋体"/>
          <w:sz w:val="24"/>
        </w:rPr>
      </w:pPr>
    </w:p>
    <w:p w14:paraId="125B6F14">
      <w:pPr>
        <w:ind w:firstLine="3600" w:firstLineChars="1500"/>
        <w:rPr>
          <w:rFonts w:ascii="宋体" w:hAnsi="宋体"/>
          <w:sz w:val="24"/>
        </w:rPr>
      </w:pPr>
    </w:p>
    <w:p w14:paraId="2345B2FA">
      <w:pPr>
        <w:ind w:firstLine="3840" w:firstLineChars="1600"/>
        <w:rPr>
          <w:rFonts w:ascii="宋体" w:hAnsi="宋体"/>
          <w:sz w:val="24"/>
        </w:rPr>
      </w:pPr>
      <w:r>
        <w:rPr>
          <w:rFonts w:hint="eastAsia" w:ascii="宋体" w:hAnsi="宋体"/>
          <w:sz w:val="24"/>
        </w:rPr>
        <w:t>供应商名称：（盖公章）：</w:t>
      </w:r>
    </w:p>
    <w:p w14:paraId="49C14112">
      <w:pPr>
        <w:ind w:firstLine="5280" w:firstLineChars="2200"/>
        <w:rPr>
          <w:rFonts w:ascii="宋体" w:hAnsi="宋体"/>
          <w:sz w:val="24"/>
        </w:rPr>
      </w:pPr>
    </w:p>
    <w:p w14:paraId="17696BDB">
      <w:pPr>
        <w:ind w:firstLine="3600" w:firstLineChars="1500"/>
        <w:rPr>
          <w:rFonts w:ascii="宋体" w:hAnsi="宋体"/>
          <w:sz w:val="24"/>
        </w:rPr>
      </w:pPr>
    </w:p>
    <w:p w14:paraId="757BE8AC">
      <w:pPr>
        <w:ind w:firstLine="3600" w:firstLineChars="1500"/>
        <w:rPr>
          <w:rFonts w:ascii="宋体" w:hAnsi="宋体"/>
          <w:sz w:val="24"/>
        </w:rPr>
      </w:pPr>
    </w:p>
    <w:p w14:paraId="7CFE9FF9">
      <w:pPr>
        <w:ind w:firstLine="6360" w:firstLineChars="2650"/>
        <w:rPr>
          <w:rFonts w:ascii="仿宋_GB2312" w:eastAsia="仿宋_GB2312"/>
          <w:sz w:val="24"/>
        </w:rPr>
      </w:pPr>
      <w:r>
        <w:rPr>
          <w:rFonts w:hint="eastAsia" w:ascii="宋体" w:hAnsi="宋体"/>
          <w:sz w:val="24"/>
        </w:rPr>
        <w:t>年    月    日</w:t>
      </w:r>
    </w:p>
    <w:p w14:paraId="0B3CDDA6">
      <w:pPr>
        <w:tabs>
          <w:tab w:val="left" w:pos="5580"/>
        </w:tabs>
        <w:spacing w:line="360" w:lineRule="auto"/>
        <w:rPr>
          <w:rFonts w:ascii="宋体" w:hAnsi="宋体"/>
          <w:sz w:val="24"/>
        </w:rPr>
      </w:pPr>
    </w:p>
    <w:p w14:paraId="6435ADA7">
      <w:pPr>
        <w:pStyle w:val="3"/>
        <w:jc w:val="both"/>
        <w:rPr>
          <w:rFonts w:ascii="宋体" w:hAnsi="宋体"/>
          <w:szCs w:val="24"/>
        </w:rPr>
      </w:pPr>
      <w:bookmarkStart w:id="205" w:name="_Toc183588717"/>
    </w:p>
    <w:p w14:paraId="501657F4"/>
    <w:p w14:paraId="3B7611BA">
      <w:pPr>
        <w:rPr>
          <w:rFonts w:hint="eastAsia" w:ascii="宋体" w:hAnsi="宋体" w:eastAsia="宋体"/>
          <w:szCs w:val="24"/>
        </w:rPr>
      </w:pPr>
      <w:r>
        <w:rPr>
          <w:rFonts w:hint="eastAsia" w:ascii="宋体" w:hAnsi="宋体" w:eastAsia="宋体"/>
          <w:szCs w:val="24"/>
        </w:rPr>
        <w:br w:type="page"/>
      </w:r>
    </w:p>
    <w:p w14:paraId="70323112">
      <w:pPr>
        <w:pStyle w:val="3"/>
        <w:jc w:val="both"/>
        <w:rPr>
          <w:rStyle w:val="59"/>
          <w:rFonts w:hAnsi="宋体"/>
        </w:rPr>
      </w:pPr>
      <w:r>
        <w:rPr>
          <w:rFonts w:hint="eastAsia" w:ascii="宋体" w:hAnsi="宋体" w:eastAsia="宋体"/>
          <w:szCs w:val="24"/>
        </w:rPr>
        <w:t>附件6.8 参加政府采购活动前三年内，在经营活动中没有环保类行政处罚记录</w:t>
      </w:r>
    </w:p>
    <w:p w14:paraId="2AB5F417">
      <w:pPr>
        <w:pStyle w:val="4"/>
        <w:overflowPunct w:val="0"/>
        <w:spacing w:line="560" w:lineRule="exact"/>
        <w:ind w:firstLine="0"/>
        <w:jc w:val="center"/>
        <w:rPr>
          <w:b/>
          <w:sz w:val="32"/>
          <w:szCs w:val="32"/>
        </w:rPr>
      </w:pPr>
      <w:r>
        <w:rPr>
          <w:b/>
          <w:sz w:val="32"/>
          <w:szCs w:val="32"/>
        </w:rPr>
        <w:t>环保类行政处罚记录声明函</w:t>
      </w:r>
    </w:p>
    <w:p w14:paraId="09421977">
      <w:pPr>
        <w:spacing w:line="480" w:lineRule="auto"/>
        <w:rPr>
          <w:sz w:val="24"/>
        </w:rPr>
      </w:pPr>
      <w:r>
        <w:rPr>
          <w:rFonts w:hint="eastAsia"/>
          <w:sz w:val="24"/>
        </w:rPr>
        <w:t>致：</w:t>
      </w:r>
      <w:r>
        <w:rPr>
          <w:rFonts w:hint="eastAsia"/>
          <w:sz w:val="24"/>
          <w:u w:val="single"/>
        </w:rPr>
        <w:t>（采购人名称）</w:t>
      </w:r>
    </w:p>
    <w:p w14:paraId="7AB7068A">
      <w:pPr>
        <w:spacing w:line="480" w:lineRule="auto"/>
        <w:ind w:firstLine="480" w:firstLineChars="200"/>
        <w:rPr>
          <w:sz w:val="24"/>
        </w:rPr>
      </w:pPr>
      <w:r>
        <w:rPr>
          <w:rFonts w:hint="eastAsia"/>
          <w:sz w:val="24"/>
        </w:rPr>
        <w:t>我单位（供应商名称）郑重声明：</w:t>
      </w:r>
    </w:p>
    <w:p w14:paraId="0E09B058">
      <w:pPr>
        <w:spacing w:line="480" w:lineRule="auto"/>
        <w:ind w:firstLine="480" w:firstLineChars="200"/>
      </w:pPr>
      <w:r>
        <w:rPr>
          <w:rFonts w:hint="eastAsia"/>
          <w:sz w:val="24"/>
        </w:rPr>
        <w:t>我单位参加政府采购活动前三年内，在经营活动中</w:t>
      </w:r>
      <w:r>
        <w:rPr>
          <w:rFonts w:hint="eastAsia"/>
          <w:b/>
          <w:bCs/>
          <w:sz w:val="24"/>
          <w:u w:val="single"/>
        </w:rPr>
        <w:t>没有</w:t>
      </w:r>
      <w:r>
        <w:rPr>
          <w:rFonts w:hint="eastAsia"/>
          <w:sz w:val="24"/>
        </w:rPr>
        <w:t>（在下划线上如实填写：有或没有）环保类行政处罚记录，特此声明。</w:t>
      </w:r>
    </w:p>
    <w:p w14:paraId="0ADB658B">
      <w:pPr>
        <w:adjustRightInd w:val="0"/>
        <w:spacing w:line="360" w:lineRule="auto"/>
        <w:ind w:firstLine="3240" w:firstLineChars="1350"/>
        <w:rPr>
          <w:bCs/>
          <w:sz w:val="24"/>
        </w:rPr>
      </w:pPr>
      <w:r>
        <w:rPr>
          <w:rFonts w:hint="eastAsia"/>
          <w:sz w:val="24"/>
        </w:rPr>
        <w:t>声明人：（填写名称并盖章）</w:t>
      </w:r>
    </w:p>
    <w:p w14:paraId="04B3E61C">
      <w:pPr>
        <w:adjustRightInd w:val="0"/>
        <w:spacing w:line="360" w:lineRule="auto"/>
        <w:ind w:firstLine="480" w:firstLineChars="200"/>
        <w:rPr>
          <w:sz w:val="24"/>
        </w:rPr>
      </w:pPr>
    </w:p>
    <w:p w14:paraId="43E0127B">
      <w:pPr>
        <w:adjustRightInd w:val="0"/>
        <w:spacing w:line="360" w:lineRule="auto"/>
        <w:ind w:firstLine="3240" w:firstLineChars="1350"/>
        <w:rPr>
          <w:bCs/>
          <w:sz w:val="24"/>
        </w:rPr>
      </w:pPr>
      <w:r>
        <w:rPr>
          <w:rFonts w:hint="eastAsia"/>
          <w:sz w:val="24"/>
        </w:rPr>
        <w:t>法定代表人或授权代表</w:t>
      </w:r>
      <w:r>
        <w:rPr>
          <w:rFonts w:hint="eastAsia"/>
          <w:bCs/>
          <w:sz w:val="24"/>
        </w:rPr>
        <w:t>：</w:t>
      </w:r>
      <w:r>
        <w:rPr>
          <w:rFonts w:hint="eastAsia"/>
          <w:iCs/>
          <w:sz w:val="24"/>
          <w:szCs w:val="21"/>
        </w:rPr>
        <w:t>（签字或盖章）</w:t>
      </w:r>
    </w:p>
    <w:p w14:paraId="649DA6CC">
      <w:pPr>
        <w:adjustRightInd w:val="0"/>
        <w:spacing w:line="360" w:lineRule="auto"/>
        <w:ind w:firstLine="480" w:firstLineChars="200"/>
        <w:rPr>
          <w:bCs/>
          <w:sz w:val="24"/>
        </w:rPr>
      </w:pPr>
    </w:p>
    <w:p w14:paraId="22C65366">
      <w:pPr>
        <w:ind w:firstLine="4320" w:firstLineChars="1800"/>
        <w:rPr>
          <w:rFonts w:ascii="宋体" w:hAnsi="宋体"/>
          <w:b/>
        </w:rPr>
      </w:pPr>
      <w:r>
        <w:rPr>
          <w:rFonts w:hint="eastAsia"/>
          <w:bCs/>
          <w:sz w:val="24"/>
        </w:rPr>
        <w:t>日期：</w:t>
      </w:r>
      <w:r>
        <w:rPr>
          <w:rFonts w:hint="eastAsia"/>
          <w:bCs/>
          <w:sz w:val="24"/>
          <w:lang w:eastAsia="zh-CN"/>
        </w:rPr>
        <w:t>2025年</w:t>
      </w:r>
      <w:r>
        <w:rPr>
          <w:rFonts w:hint="eastAsia"/>
          <w:bCs/>
          <w:sz w:val="24"/>
        </w:rPr>
        <w:t>月日</w:t>
      </w:r>
    </w:p>
    <w:p w14:paraId="1F8068AC">
      <w:pPr>
        <w:ind w:firstLine="527" w:firstLineChars="250"/>
        <w:rPr>
          <w:rFonts w:ascii="宋体" w:hAnsi="宋体"/>
          <w:b/>
        </w:rPr>
      </w:pPr>
    </w:p>
    <w:p w14:paraId="4D1CE1CE">
      <w:pPr>
        <w:rPr>
          <w:rFonts w:hint="eastAsia" w:ascii="宋体" w:hAnsi="宋体"/>
          <w:b/>
          <w:spacing w:val="24"/>
          <w:kern w:val="0"/>
          <w:sz w:val="24"/>
        </w:rPr>
      </w:pPr>
      <w:r>
        <w:rPr>
          <w:rFonts w:hint="eastAsia" w:ascii="宋体" w:hAnsi="宋体"/>
          <w:b/>
          <w:spacing w:val="24"/>
          <w:kern w:val="0"/>
          <w:sz w:val="24"/>
        </w:rPr>
        <w:br w:type="page"/>
      </w:r>
    </w:p>
    <w:p w14:paraId="19DD26C6">
      <w:pPr>
        <w:jc w:val="left"/>
        <w:rPr>
          <w:rFonts w:ascii="宋体" w:hAnsi="宋体"/>
          <w:b/>
          <w:spacing w:val="24"/>
          <w:kern w:val="0"/>
          <w:sz w:val="24"/>
        </w:rPr>
      </w:pPr>
      <w:r>
        <w:rPr>
          <w:rFonts w:hint="eastAsia" w:ascii="宋体" w:hAnsi="宋体"/>
          <w:b/>
          <w:spacing w:val="24"/>
          <w:kern w:val="0"/>
          <w:sz w:val="24"/>
        </w:rPr>
        <w:t>附件</w:t>
      </w:r>
      <w:bookmarkEnd w:id="205"/>
      <w:bookmarkStart w:id="206" w:name="_Toc183588718"/>
      <w:r>
        <w:rPr>
          <w:rFonts w:hint="eastAsia" w:ascii="宋体" w:hAnsi="宋体"/>
          <w:b/>
          <w:spacing w:val="24"/>
          <w:kern w:val="0"/>
          <w:sz w:val="24"/>
        </w:rPr>
        <w:t>7、 代理服务费承诺书（格式）</w:t>
      </w:r>
      <w:bookmarkEnd w:id="206"/>
    </w:p>
    <w:p w14:paraId="6E21CDE4">
      <w:pPr>
        <w:pStyle w:val="20"/>
        <w:ind w:firstLine="448" w:firstLineChars="200"/>
        <w:rPr>
          <w:rFonts w:hAnsi="宋体"/>
          <w:szCs w:val="24"/>
        </w:rPr>
      </w:pPr>
      <w:r>
        <w:rPr>
          <w:rFonts w:hint="eastAsia" w:hAnsi="宋体"/>
          <w:szCs w:val="24"/>
        </w:rPr>
        <w:t>致：海南省教学仪器设备招标中心有限公司：</w:t>
      </w:r>
    </w:p>
    <w:p w14:paraId="68C6BAF7">
      <w:pPr>
        <w:pStyle w:val="20"/>
        <w:ind w:firstLine="448" w:firstLineChars="200"/>
        <w:rPr>
          <w:rFonts w:hAnsi="宋体"/>
          <w:szCs w:val="24"/>
        </w:rPr>
      </w:pPr>
      <w:r>
        <w:rPr>
          <w:rFonts w:hAnsi="宋体"/>
          <w:szCs w:val="24"/>
        </w:rPr>
        <w:tab/>
      </w:r>
      <w:r>
        <w:rPr>
          <w:rFonts w:hint="eastAsia" w:hAnsi="宋体"/>
          <w:szCs w:val="24"/>
        </w:rPr>
        <w:t>我们在贵公司组织的</w:t>
      </w:r>
      <w:r>
        <w:rPr>
          <w:rFonts w:hAnsi="宋体"/>
          <w:szCs w:val="24"/>
          <w:u w:val="single"/>
        </w:rPr>
        <w:tab/>
      </w:r>
      <w:r>
        <w:rPr>
          <w:rFonts w:hAnsi="宋体"/>
          <w:szCs w:val="24"/>
          <w:u w:val="single"/>
        </w:rPr>
        <w:tab/>
      </w:r>
      <w:r>
        <w:rPr>
          <w:rFonts w:hint="eastAsia" w:hAnsi="宋体"/>
          <w:szCs w:val="24"/>
        </w:rPr>
        <w:t>项目（设备）采购活动中若获成交（项目文件编号：</w:t>
      </w:r>
      <w:r>
        <w:rPr>
          <w:rFonts w:hAnsi="宋体"/>
          <w:szCs w:val="24"/>
          <w:u w:val="single"/>
        </w:rPr>
        <w:tab/>
      </w:r>
      <w:r>
        <w:rPr>
          <w:rFonts w:hAnsi="宋体"/>
          <w:szCs w:val="24"/>
          <w:u w:val="single"/>
        </w:rPr>
        <w:tab/>
      </w:r>
      <w:r>
        <w:rPr>
          <w:rFonts w:hint="eastAsia" w:hAnsi="宋体"/>
          <w:szCs w:val="24"/>
        </w:rPr>
        <w:t>），我们保证在签订合同的同时按采购文件的规定，以支票、汇票或现金方式，向贵公司一次性支付应该交纳的代理服务费用。</w:t>
      </w:r>
    </w:p>
    <w:p w14:paraId="7A939570">
      <w:pPr>
        <w:pStyle w:val="20"/>
        <w:ind w:firstLine="448" w:firstLineChars="200"/>
        <w:rPr>
          <w:rFonts w:hAnsi="宋体"/>
          <w:szCs w:val="24"/>
        </w:rPr>
      </w:pPr>
    </w:p>
    <w:p w14:paraId="6ABB9F71">
      <w:pPr>
        <w:pStyle w:val="20"/>
        <w:ind w:firstLine="448" w:firstLineChars="200"/>
        <w:rPr>
          <w:rFonts w:hAnsi="宋体"/>
          <w:szCs w:val="24"/>
        </w:rPr>
      </w:pPr>
      <w:r>
        <w:rPr>
          <w:rFonts w:hAnsi="宋体"/>
          <w:szCs w:val="24"/>
        </w:rPr>
        <w:tab/>
      </w:r>
      <w:r>
        <w:rPr>
          <w:rFonts w:hAnsi="宋体"/>
          <w:szCs w:val="24"/>
        </w:rPr>
        <w:tab/>
      </w:r>
      <w:r>
        <w:rPr>
          <w:rFonts w:hint="eastAsia" w:hAnsi="宋体"/>
          <w:szCs w:val="24"/>
        </w:rPr>
        <w:t>特此承诺！</w:t>
      </w:r>
    </w:p>
    <w:p w14:paraId="61497F4A">
      <w:pPr>
        <w:pStyle w:val="20"/>
        <w:ind w:firstLine="448" w:firstLineChars="200"/>
        <w:rPr>
          <w:rFonts w:hAnsi="宋体"/>
          <w:szCs w:val="24"/>
        </w:rPr>
      </w:pPr>
    </w:p>
    <w:p w14:paraId="79D9A1FA">
      <w:pPr>
        <w:pStyle w:val="20"/>
        <w:ind w:firstLine="448" w:firstLineChars="200"/>
        <w:rPr>
          <w:rFonts w:hAnsi="宋体"/>
          <w:szCs w:val="24"/>
        </w:rPr>
      </w:pPr>
      <w:r>
        <w:rPr>
          <w:rFonts w:hAnsi="宋体"/>
          <w:szCs w:val="24"/>
        </w:rPr>
        <w:tab/>
      </w:r>
      <w:r>
        <w:rPr>
          <w:rFonts w:hint="eastAsia" w:hAnsi="宋体"/>
          <w:szCs w:val="24"/>
        </w:rPr>
        <w:t>承诺方法定名称：</w:t>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p>
    <w:p w14:paraId="13DA7E6D">
      <w:pPr>
        <w:pStyle w:val="20"/>
        <w:ind w:firstLine="448" w:firstLineChars="200"/>
        <w:rPr>
          <w:rFonts w:hAnsi="宋体"/>
          <w:szCs w:val="24"/>
        </w:rPr>
      </w:pPr>
      <w:r>
        <w:rPr>
          <w:rFonts w:hAnsi="宋体"/>
          <w:szCs w:val="24"/>
        </w:rPr>
        <w:tab/>
      </w:r>
      <w:r>
        <w:rPr>
          <w:rFonts w:hint="eastAsia" w:hAnsi="宋体"/>
          <w:szCs w:val="24"/>
        </w:rPr>
        <w:t>地址：</w:t>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p>
    <w:p w14:paraId="0CEDD4B5">
      <w:pPr>
        <w:pStyle w:val="20"/>
        <w:ind w:firstLine="448" w:firstLineChars="200"/>
        <w:rPr>
          <w:rFonts w:hAnsi="宋体"/>
          <w:szCs w:val="24"/>
        </w:rPr>
      </w:pPr>
      <w:r>
        <w:rPr>
          <w:rFonts w:hAnsi="宋体"/>
          <w:szCs w:val="24"/>
        </w:rPr>
        <w:tab/>
      </w:r>
      <w:r>
        <w:rPr>
          <w:rFonts w:hint="eastAsia" w:hAnsi="宋体"/>
          <w:szCs w:val="24"/>
        </w:rPr>
        <w:t>电话：</w:t>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int="eastAsia" w:hAnsi="宋体"/>
          <w:szCs w:val="24"/>
        </w:rPr>
        <w:t>传真：</w:t>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p>
    <w:p w14:paraId="460A51E5">
      <w:pPr>
        <w:pStyle w:val="20"/>
        <w:ind w:firstLine="448" w:firstLineChars="200"/>
        <w:rPr>
          <w:rFonts w:hAnsi="宋体"/>
          <w:szCs w:val="24"/>
        </w:rPr>
      </w:pPr>
      <w:r>
        <w:rPr>
          <w:rFonts w:hAnsi="宋体"/>
          <w:szCs w:val="24"/>
        </w:rPr>
        <w:tab/>
      </w:r>
      <w:r>
        <w:rPr>
          <w:rFonts w:hint="eastAsia" w:hAnsi="宋体"/>
          <w:szCs w:val="24"/>
        </w:rPr>
        <w:t>电传：</w:t>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int="eastAsia" w:hAnsi="宋体"/>
          <w:szCs w:val="24"/>
        </w:rPr>
        <w:t>邮编：</w:t>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p>
    <w:p w14:paraId="552872EB">
      <w:pPr>
        <w:pStyle w:val="20"/>
        <w:ind w:firstLine="448" w:firstLineChars="200"/>
        <w:rPr>
          <w:rFonts w:hAnsi="宋体"/>
          <w:szCs w:val="24"/>
        </w:rPr>
      </w:pPr>
      <w:r>
        <w:rPr>
          <w:rFonts w:hAnsi="宋体"/>
          <w:szCs w:val="24"/>
        </w:rPr>
        <w:tab/>
      </w:r>
      <w:r>
        <w:rPr>
          <w:rFonts w:hint="eastAsia" w:hAnsi="宋体"/>
          <w:szCs w:val="24"/>
        </w:rPr>
        <w:t>承诺方授权代表签字：</w:t>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int="eastAsia" w:hAnsi="宋体"/>
          <w:szCs w:val="24"/>
        </w:rPr>
        <w:t>（承诺方盖章）</w:t>
      </w:r>
    </w:p>
    <w:p w14:paraId="5413B723">
      <w:pPr>
        <w:pStyle w:val="20"/>
        <w:ind w:firstLine="448" w:firstLineChars="200"/>
        <w:rPr>
          <w:rFonts w:hAnsi="宋体"/>
          <w:szCs w:val="24"/>
        </w:rPr>
      </w:pPr>
      <w:r>
        <w:rPr>
          <w:rFonts w:hAnsi="宋体"/>
          <w:szCs w:val="24"/>
        </w:rPr>
        <w:tab/>
      </w:r>
      <w:r>
        <w:rPr>
          <w:rFonts w:hint="eastAsia" w:hAnsi="宋体"/>
          <w:szCs w:val="24"/>
        </w:rPr>
        <w:t>承诺日期：</w:t>
      </w:r>
      <w:r>
        <w:rPr>
          <w:rFonts w:hAnsi="宋体"/>
          <w:szCs w:val="24"/>
        </w:rPr>
        <w:tab/>
      </w:r>
      <w:r>
        <w:rPr>
          <w:rFonts w:hAnsi="宋体"/>
          <w:szCs w:val="24"/>
        </w:rPr>
        <w:tab/>
      </w:r>
      <w:r>
        <w:rPr>
          <w:rFonts w:hAnsi="宋体"/>
          <w:szCs w:val="24"/>
        </w:rPr>
        <w:tab/>
      </w:r>
      <w:r>
        <w:rPr>
          <w:rFonts w:hAnsi="宋体"/>
          <w:szCs w:val="24"/>
        </w:rPr>
        <w:tab/>
      </w:r>
    </w:p>
    <w:p w14:paraId="7247605B">
      <w:pPr>
        <w:rPr>
          <w:rFonts w:hint="eastAsia" w:ascii="宋体" w:hAnsi="宋体" w:eastAsia="宋体"/>
          <w:bCs/>
          <w:szCs w:val="24"/>
        </w:rPr>
      </w:pPr>
      <w:bookmarkStart w:id="207" w:name="_Toc183588719"/>
      <w:r>
        <w:rPr>
          <w:rFonts w:hint="eastAsia" w:ascii="宋体" w:hAnsi="宋体" w:eastAsia="宋体"/>
          <w:bCs/>
          <w:szCs w:val="24"/>
        </w:rPr>
        <w:br w:type="page"/>
      </w:r>
    </w:p>
    <w:p w14:paraId="5D43EB65">
      <w:pPr>
        <w:pStyle w:val="3"/>
        <w:keepNext w:val="0"/>
        <w:keepLines w:val="0"/>
        <w:spacing w:line="415" w:lineRule="auto"/>
        <w:jc w:val="both"/>
        <w:rPr>
          <w:rFonts w:ascii="宋体" w:hAnsi="宋体" w:eastAsia="宋体"/>
          <w:bCs/>
          <w:szCs w:val="24"/>
        </w:rPr>
      </w:pPr>
      <w:r>
        <w:rPr>
          <w:rFonts w:hint="eastAsia" w:ascii="宋体" w:hAnsi="宋体" w:eastAsia="宋体"/>
          <w:bCs/>
          <w:szCs w:val="24"/>
        </w:rPr>
        <w:t>附件8、 响应</w:t>
      </w:r>
      <w:r>
        <w:rPr>
          <w:rFonts w:hint="eastAsia" w:ascii="宋体" w:hAnsi="宋体" w:eastAsia="宋体"/>
          <w:szCs w:val="24"/>
        </w:rPr>
        <w:t>供应商</w:t>
      </w:r>
      <w:r>
        <w:rPr>
          <w:rFonts w:hint="eastAsia" w:ascii="宋体" w:hAnsi="宋体" w:eastAsia="宋体"/>
          <w:bCs/>
          <w:szCs w:val="24"/>
        </w:rPr>
        <w:t>认为需要提供的用于参与评审其他相关资料</w:t>
      </w:r>
      <w:bookmarkEnd w:id="207"/>
    </w:p>
    <w:p w14:paraId="77FE4AF1">
      <w:pPr>
        <w:rPr>
          <w:rFonts w:hint="eastAsia" w:ascii="宋体" w:hAnsi="宋体" w:cs="仿宋"/>
          <w:b/>
          <w:kern w:val="0"/>
          <w:sz w:val="24"/>
        </w:rPr>
      </w:pPr>
      <w:r>
        <w:rPr>
          <w:rFonts w:hint="eastAsia" w:ascii="宋体" w:hAnsi="宋体" w:cs="仿宋"/>
          <w:b/>
          <w:kern w:val="0"/>
          <w:sz w:val="24"/>
        </w:rPr>
        <w:br w:type="page"/>
      </w:r>
    </w:p>
    <w:p w14:paraId="31724068">
      <w:pPr>
        <w:autoSpaceDE w:val="0"/>
        <w:autoSpaceDN w:val="0"/>
        <w:adjustRightInd w:val="0"/>
        <w:jc w:val="left"/>
        <w:rPr>
          <w:rFonts w:ascii="宋体" w:hAnsi="宋体" w:cs="仿宋"/>
          <w:b/>
          <w:kern w:val="0"/>
          <w:sz w:val="24"/>
        </w:rPr>
      </w:pPr>
      <w:r>
        <w:rPr>
          <w:rFonts w:hint="eastAsia" w:ascii="宋体" w:hAnsi="宋体" w:cs="仿宋"/>
          <w:b/>
          <w:kern w:val="0"/>
          <w:sz w:val="24"/>
        </w:rPr>
        <w:t>附件9、  中小型、微型企业声明函</w:t>
      </w:r>
    </w:p>
    <w:p w14:paraId="5FBE0AEE">
      <w:pPr>
        <w:spacing w:line="360" w:lineRule="auto"/>
        <w:rPr>
          <w:rFonts w:hint="eastAsia" w:ascii="宋体" w:hAnsi="宋体" w:cs="宋体"/>
          <w:kern w:val="0"/>
          <w:sz w:val="24"/>
        </w:rPr>
      </w:pPr>
    </w:p>
    <w:p w14:paraId="3B5A72AB">
      <w:pPr>
        <w:spacing w:line="360" w:lineRule="auto"/>
        <w:rPr>
          <w:rFonts w:ascii="宋体" w:hAnsi="宋体" w:cs="宋体"/>
          <w:kern w:val="0"/>
          <w:sz w:val="24"/>
        </w:rPr>
      </w:pPr>
      <w:r>
        <w:rPr>
          <w:rFonts w:hint="eastAsia" w:ascii="宋体" w:hAnsi="宋体" w:cs="宋体"/>
          <w:kern w:val="0"/>
          <w:sz w:val="24"/>
        </w:rPr>
        <w:t>中小企业声明函（服务）</w:t>
      </w:r>
    </w:p>
    <w:p w14:paraId="56E291C4">
      <w:pPr>
        <w:widowControl/>
        <w:spacing w:line="360" w:lineRule="auto"/>
        <w:ind w:firstLine="480" w:firstLineChars="200"/>
        <w:jc w:val="left"/>
        <w:rPr>
          <w:rFonts w:hint="eastAsia" w:ascii="宋体" w:hAnsi="宋体" w:cs="宋体"/>
          <w:kern w:val="0"/>
          <w:sz w:val="24"/>
          <w:lang w:bidi="ar"/>
        </w:rPr>
      </w:pPr>
      <w:r>
        <w:rPr>
          <w:rFonts w:hint="eastAsia" w:ascii="宋体" w:hAnsi="宋体" w:cs="宋体"/>
          <w:kern w:val="0"/>
          <w:sz w:val="24"/>
          <w:lang w:bidi="ar"/>
        </w:rPr>
        <w:t>本公司郑重声明，根据《政府采购促进中小企业发展管理办法》（财库﹝2020﹞46 号）的规定，本公司参加（单位名称）的（项目名称）采购活动，服务全部由符合政策要求的中小企业承接相关企业的具体情况如下：</w:t>
      </w:r>
    </w:p>
    <w:p w14:paraId="2A4A4033">
      <w:pPr>
        <w:widowControl/>
        <w:spacing w:line="360" w:lineRule="auto"/>
        <w:jc w:val="left"/>
        <w:rPr>
          <w:rFonts w:hint="eastAsia" w:ascii="宋体" w:hAnsi="宋体" w:cs="宋体"/>
          <w:kern w:val="0"/>
          <w:sz w:val="24"/>
          <w:lang w:bidi="ar"/>
        </w:rPr>
      </w:pPr>
      <w:r>
        <w:rPr>
          <w:rFonts w:hint="eastAsia" w:ascii="宋体" w:hAnsi="宋体" w:cs="宋体"/>
          <w:kern w:val="0"/>
          <w:sz w:val="24"/>
          <w:lang w:bidi="ar"/>
        </w:rPr>
        <w:t xml:space="preserve">1. </w:t>
      </w:r>
      <w:r>
        <w:rPr>
          <w:rFonts w:hint="eastAsia" w:ascii="宋体" w:hAnsi="宋体" w:cs="宋体"/>
          <w:kern w:val="0"/>
          <w:sz w:val="24"/>
          <w:u w:val="single"/>
          <w:lang w:bidi="ar"/>
        </w:rPr>
        <w:t xml:space="preserve">（标的名称） </w:t>
      </w:r>
      <w:r>
        <w:rPr>
          <w:rFonts w:hint="eastAsia" w:ascii="宋体" w:hAnsi="宋体" w:cs="宋体"/>
          <w:kern w:val="0"/>
          <w:sz w:val="24"/>
          <w:lang w:bidi="ar"/>
        </w:rPr>
        <w:t>，属于</w:t>
      </w:r>
      <w:r>
        <w:rPr>
          <w:rFonts w:hint="eastAsia" w:ascii="宋体" w:hAnsi="宋体" w:cs="宋体"/>
          <w:kern w:val="0"/>
          <w:sz w:val="24"/>
          <w:u w:val="single"/>
          <w:lang w:bidi="ar"/>
        </w:rPr>
        <w:t>（采购文件中明确的所属行业）</w:t>
      </w:r>
      <w:r>
        <w:rPr>
          <w:rFonts w:hint="eastAsia" w:ascii="宋体" w:hAnsi="宋体" w:cs="宋体"/>
          <w:kern w:val="0"/>
          <w:sz w:val="24"/>
          <w:lang w:bidi="ar"/>
        </w:rPr>
        <w:t>；承接企业为</w:t>
      </w:r>
      <w:r>
        <w:rPr>
          <w:rFonts w:hint="eastAsia" w:ascii="宋体" w:hAnsi="宋体" w:cs="宋体"/>
          <w:kern w:val="0"/>
          <w:sz w:val="24"/>
          <w:u w:val="single"/>
          <w:lang w:bidi="ar"/>
        </w:rPr>
        <w:t>（企业名称）</w:t>
      </w:r>
      <w:r>
        <w:rPr>
          <w:rFonts w:hint="eastAsia" w:ascii="宋体" w:hAnsi="宋体" w:cs="宋体"/>
          <w:kern w:val="0"/>
          <w:sz w:val="24"/>
          <w:lang w:bidi="ar"/>
        </w:rPr>
        <w:t>，从业人员</w:t>
      </w:r>
      <w:r>
        <w:rPr>
          <w:rFonts w:hint="eastAsia" w:ascii="宋体" w:hAnsi="宋体" w:cs="宋体"/>
          <w:kern w:val="0"/>
          <w:sz w:val="24"/>
          <w:u w:val="single"/>
          <w:lang w:bidi="ar"/>
        </w:rPr>
        <w:t xml:space="preserve">   </w:t>
      </w:r>
      <w:r>
        <w:rPr>
          <w:rFonts w:hint="eastAsia" w:ascii="宋体" w:hAnsi="宋体" w:cs="宋体"/>
          <w:kern w:val="0"/>
          <w:sz w:val="24"/>
          <w:lang w:bidi="ar"/>
        </w:rPr>
        <w:t>人，营业收入为</w:t>
      </w:r>
      <w:r>
        <w:rPr>
          <w:rFonts w:hint="eastAsia" w:ascii="宋体" w:hAnsi="宋体" w:cs="宋体"/>
          <w:kern w:val="0"/>
          <w:sz w:val="24"/>
          <w:u w:val="single"/>
          <w:lang w:bidi="ar"/>
        </w:rPr>
        <w:t xml:space="preserve">   </w:t>
      </w:r>
      <w:r>
        <w:rPr>
          <w:rFonts w:hint="eastAsia" w:ascii="宋体" w:hAnsi="宋体" w:cs="宋体"/>
          <w:kern w:val="0"/>
          <w:sz w:val="24"/>
          <w:lang w:bidi="ar"/>
        </w:rPr>
        <w:t>万元，资产总额为</w:t>
      </w:r>
      <w:r>
        <w:rPr>
          <w:rFonts w:hint="eastAsia" w:ascii="宋体" w:hAnsi="宋体" w:cs="宋体"/>
          <w:kern w:val="0"/>
          <w:sz w:val="24"/>
          <w:u w:val="single"/>
          <w:lang w:bidi="ar"/>
        </w:rPr>
        <w:t xml:space="preserve">    </w:t>
      </w:r>
      <w:r>
        <w:rPr>
          <w:rFonts w:hint="eastAsia" w:ascii="宋体" w:hAnsi="宋体" w:cs="宋体"/>
          <w:kern w:val="0"/>
          <w:sz w:val="24"/>
          <w:lang w:bidi="ar"/>
        </w:rPr>
        <w:t>万元</w:t>
      </w:r>
      <w:r>
        <w:rPr>
          <w:rFonts w:hint="eastAsia" w:ascii="宋体" w:hAnsi="宋体" w:cs="宋体"/>
          <w:kern w:val="0"/>
          <w:sz w:val="24"/>
          <w:vertAlign w:val="superscript"/>
          <w:lang w:bidi="ar"/>
        </w:rPr>
        <w:t>1</w:t>
      </w:r>
      <w:r>
        <w:rPr>
          <w:rFonts w:hint="eastAsia" w:ascii="宋体" w:hAnsi="宋体" w:cs="宋体"/>
          <w:kern w:val="0"/>
          <w:sz w:val="24"/>
          <w:lang w:bidi="ar"/>
        </w:rPr>
        <w:t>，属于</w:t>
      </w:r>
      <w:r>
        <w:rPr>
          <w:rFonts w:hint="eastAsia" w:ascii="宋体" w:hAnsi="宋体" w:cs="宋体"/>
          <w:kern w:val="0"/>
          <w:sz w:val="24"/>
          <w:u w:val="single"/>
          <w:lang w:bidi="ar"/>
        </w:rPr>
        <w:t xml:space="preserve">    （中型企业、小型企业、微型企业）</w:t>
      </w:r>
      <w:r>
        <w:rPr>
          <w:rFonts w:hint="eastAsia" w:ascii="宋体" w:hAnsi="宋体" w:cs="宋体"/>
          <w:kern w:val="0"/>
          <w:sz w:val="24"/>
          <w:lang w:bidi="ar"/>
        </w:rPr>
        <w:t>；</w:t>
      </w:r>
    </w:p>
    <w:p w14:paraId="13E621AC">
      <w:pPr>
        <w:widowControl/>
        <w:spacing w:line="360" w:lineRule="auto"/>
        <w:jc w:val="left"/>
        <w:rPr>
          <w:rFonts w:hint="eastAsia" w:ascii="宋体" w:hAnsi="宋体" w:cs="宋体"/>
          <w:kern w:val="0"/>
          <w:sz w:val="24"/>
          <w:lang w:bidi="ar"/>
        </w:rPr>
      </w:pPr>
      <w:r>
        <w:rPr>
          <w:rFonts w:hint="eastAsia" w:ascii="宋体" w:hAnsi="宋体" w:cs="宋体"/>
          <w:kern w:val="0"/>
          <w:sz w:val="24"/>
          <w:lang w:bidi="ar"/>
        </w:rPr>
        <w:t xml:space="preserve">2. </w:t>
      </w:r>
      <w:r>
        <w:rPr>
          <w:rFonts w:hint="eastAsia" w:ascii="宋体" w:hAnsi="宋体" w:cs="宋体"/>
          <w:kern w:val="0"/>
          <w:sz w:val="24"/>
          <w:u w:val="single"/>
          <w:lang w:bidi="ar"/>
        </w:rPr>
        <w:t xml:space="preserve">（标的名称） </w:t>
      </w:r>
      <w:r>
        <w:rPr>
          <w:rFonts w:hint="eastAsia" w:ascii="宋体" w:hAnsi="宋体" w:cs="宋体"/>
          <w:kern w:val="0"/>
          <w:sz w:val="24"/>
          <w:lang w:bidi="ar"/>
        </w:rPr>
        <w:t>，属于</w:t>
      </w:r>
      <w:r>
        <w:rPr>
          <w:rFonts w:hint="eastAsia" w:ascii="宋体" w:hAnsi="宋体" w:cs="宋体"/>
          <w:kern w:val="0"/>
          <w:sz w:val="24"/>
          <w:u w:val="single"/>
          <w:lang w:bidi="ar"/>
        </w:rPr>
        <w:t>（采购文件中明确的所属行业）</w:t>
      </w:r>
      <w:r>
        <w:rPr>
          <w:rFonts w:hint="eastAsia" w:ascii="宋体" w:hAnsi="宋体" w:cs="宋体"/>
          <w:kern w:val="0"/>
          <w:sz w:val="24"/>
          <w:lang w:bidi="ar"/>
        </w:rPr>
        <w:t>；承接企业为</w:t>
      </w:r>
      <w:r>
        <w:rPr>
          <w:rFonts w:hint="eastAsia" w:ascii="宋体" w:hAnsi="宋体" w:cs="宋体"/>
          <w:kern w:val="0"/>
          <w:sz w:val="24"/>
          <w:u w:val="single"/>
          <w:lang w:bidi="ar"/>
        </w:rPr>
        <w:t>（企业名称）</w:t>
      </w:r>
      <w:r>
        <w:rPr>
          <w:rFonts w:hint="eastAsia" w:ascii="宋体" w:hAnsi="宋体" w:cs="宋体"/>
          <w:kern w:val="0"/>
          <w:sz w:val="24"/>
          <w:lang w:bidi="ar"/>
        </w:rPr>
        <w:t>，从业人员</w:t>
      </w:r>
      <w:r>
        <w:rPr>
          <w:rFonts w:hint="eastAsia" w:ascii="宋体" w:hAnsi="宋体" w:cs="宋体"/>
          <w:kern w:val="0"/>
          <w:sz w:val="24"/>
          <w:u w:val="single"/>
          <w:lang w:bidi="ar"/>
        </w:rPr>
        <w:t xml:space="preserve">   </w:t>
      </w:r>
      <w:r>
        <w:rPr>
          <w:rFonts w:hint="eastAsia" w:ascii="宋体" w:hAnsi="宋体" w:cs="宋体"/>
          <w:kern w:val="0"/>
          <w:sz w:val="24"/>
          <w:lang w:bidi="ar"/>
        </w:rPr>
        <w:t>人，营业收入为</w:t>
      </w:r>
      <w:r>
        <w:rPr>
          <w:rFonts w:hint="eastAsia" w:ascii="宋体" w:hAnsi="宋体" w:cs="宋体"/>
          <w:kern w:val="0"/>
          <w:sz w:val="24"/>
          <w:u w:val="single"/>
          <w:lang w:bidi="ar"/>
        </w:rPr>
        <w:t xml:space="preserve">   </w:t>
      </w:r>
      <w:r>
        <w:rPr>
          <w:rFonts w:hint="eastAsia" w:ascii="宋体" w:hAnsi="宋体" w:cs="宋体"/>
          <w:kern w:val="0"/>
          <w:sz w:val="24"/>
          <w:lang w:bidi="ar"/>
        </w:rPr>
        <w:t>万元，资产总额为</w:t>
      </w:r>
      <w:r>
        <w:rPr>
          <w:rFonts w:hint="eastAsia" w:ascii="宋体" w:hAnsi="宋体" w:cs="宋体"/>
          <w:kern w:val="0"/>
          <w:sz w:val="24"/>
          <w:u w:val="single"/>
          <w:lang w:bidi="ar"/>
        </w:rPr>
        <w:t xml:space="preserve">    </w:t>
      </w:r>
      <w:r>
        <w:rPr>
          <w:rFonts w:hint="eastAsia" w:ascii="宋体" w:hAnsi="宋体" w:cs="宋体"/>
          <w:kern w:val="0"/>
          <w:sz w:val="24"/>
          <w:lang w:bidi="ar"/>
        </w:rPr>
        <w:t>万元</w:t>
      </w:r>
      <w:r>
        <w:rPr>
          <w:rFonts w:hint="eastAsia" w:ascii="宋体" w:hAnsi="宋体" w:cs="宋体"/>
          <w:kern w:val="0"/>
          <w:sz w:val="24"/>
          <w:vertAlign w:val="superscript"/>
          <w:lang w:bidi="ar"/>
        </w:rPr>
        <w:t>1</w:t>
      </w:r>
      <w:r>
        <w:rPr>
          <w:rFonts w:hint="eastAsia" w:ascii="宋体" w:hAnsi="宋体" w:cs="宋体"/>
          <w:kern w:val="0"/>
          <w:sz w:val="24"/>
          <w:lang w:bidi="ar"/>
        </w:rPr>
        <w:t>，属于</w:t>
      </w:r>
      <w:r>
        <w:rPr>
          <w:rFonts w:hint="eastAsia" w:ascii="宋体" w:hAnsi="宋体" w:cs="宋体"/>
          <w:kern w:val="0"/>
          <w:sz w:val="24"/>
          <w:u w:val="single"/>
          <w:lang w:bidi="ar"/>
        </w:rPr>
        <w:t xml:space="preserve">    （中型企业、小型企业、微型企业）</w:t>
      </w:r>
      <w:r>
        <w:rPr>
          <w:rFonts w:hint="eastAsia" w:ascii="宋体" w:hAnsi="宋体" w:cs="宋体"/>
          <w:kern w:val="0"/>
          <w:sz w:val="24"/>
          <w:lang w:bidi="ar"/>
        </w:rPr>
        <w:t>；</w:t>
      </w:r>
    </w:p>
    <w:p w14:paraId="1A0BD35E">
      <w:pPr>
        <w:widowControl/>
        <w:spacing w:line="360" w:lineRule="auto"/>
        <w:jc w:val="left"/>
        <w:rPr>
          <w:rFonts w:hint="eastAsia" w:ascii="宋体" w:hAnsi="宋体" w:cs="宋体"/>
          <w:kern w:val="0"/>
          <w:sz w:val="24"/>
          <w:lang w:bidi="ar"/>
        </w:rPr>
      </w:pPr>
      <w:r>
        <w:rPr>
          <w:rFonts w:hint="eastAsia" w:ascii="宋体" w:hAnsi="宋体" w:cs="宋体"/>
          <w:kern w:val="0"/>
          <w:sz w:val="24"/>
          <w:lang w:bidi="ar"/>
        </w:rPr>
        <w:t>……</w:t>
      </w:r>
    </w:p>
    <w:p w14:paraId="17DA429E">
      <w:pPr>
        <w:widowControl/>
        <w:spacing w:line="360" w:lineRule="auto"/>
        <w:ind w:firstLine="480" w:firstLineChars="200"/>
        <w:jc w:val="left"/>
        <w:rPr>
          <w:rFonts w:hint="eastAsia" w:ascii="宋体" w:hAnsi="宋体" w:cs="宋体"/>
          <w:kern w:val="0"/>
          <w:sz w:val="24"/>
          <w:lang w:bidi="ar"/>
        </w:rPr>
      </w:pPr>
      <w:r>
        <w:rPr>
          <w:rFonts w:hint="eastAsia" w:ascii="宋体" w:hAnsi="宋体" w:cs="宋体"/>
          <w:kern w:val="0"/>
          <w:sz w:val="24"/>
          <w:lang w:bidi="ar"/>
        </w:rPr>
        <w:t>以上企业，不属于大企业的分支机构，不存在控股股东为大企业的情形，也不存在与大企业的负责人为同一人的情形。</w:t>
      </w:r>
    </w:p>
    <w:p w14:paraId="018864AF">
      <w:pPr>
        <w:widowControl/>
        <w:spacing w:line="360" w:lineRule="auto"/>
        <w:ind w:firstLine="480" w:firstLineChars="200"/>
        <w:jc w:val="left"/>
        <w:rPr>
          <w:rFonts w:hint="eastAsia" w:ascii="宋体" w:hAnsi="宋体" w:cs="宋体"/>
          <w:kern w:val="0"/>
          <w:sz w:val="24"/>
          <w:lang w:bidi="ar"/>
        </w:rPr>
      </w:pPr>
      <w:r>
        <w:rPr>
          <w:rFonts w:hint="eastAsia" w:ascii="宋体" w:hAnsi="宋体" w:cs="宋体"/>
          <w:kern w:val="0"/>
          <w:sz w:val="24"/>
          <w:lang w:bidi="ar"/>
        </w:rPr>
        <w:t>本企业对上述声明内容的真实性负责。如有虚假，将依法承担相应责任。</w:t>
      </w:r>
    </w:p>
    <w:p w14:paraId="1F0472EF">
      <w:pPr>
        <w:widowControl/>
        <w:spacing w:line="360" w:lineRule="auto"/>
        <w:ind w:firstLine="3840" w:firstLineChars="1600"/>
        <w:jc w:val="left"/>
        <w:rPr>
          <w:rFonts w:hint="eastAsia" w:ascii="宋体" w:hAnsi="宋体" w:cs="宋体"/>
          <w:kern w:val="0"/>
          <w:sz w:val="24"/>
          <w:lang w:bidi="ar"/>
        </w:rPr>
      </w:pPr>
      <w:r>
        <w:rPr>
          <w:rFonts w:hint="eastAsia" w:ascii="宋体" w:hAnsi="宋体" w:cs="宋体"/>
          <w:kern w:val="0"/>
          <w:sz w:val="24"/>
          <w:lang w:bidi="ar"/>
        </w:rPr>
        <w:t>企业名称（盖章）：</w:t>
      </w:r>
    </w:p>
    <w:p w14:paraId="02F1376E">
      <w:pPr>
        <w:spacing w:line="360" w:lineRule="auto"/>
        <w:rPr>
          <w:rFonts w:hint="eastAsia" w:ascii="宋体" w:hAnsi="宋体" w:cs="宋体"/>
          <w:kern w:val="0"/>
          <w:sz w:val="24"/>
          <w:lang w:bidi="ar"/>
        </w:rPr>
      </w:pPr>
      <w:r>
        <w:rPr>
          <w:rFonts w:hint="eastAsia" w:ascii="宋体" w:hAnsi="宋体" w:cs="宋体"/>
          <w:kern w:val="0"/>
          <w:sz w:val="24"/>
          <w:lang w:bidi="ar"/>
        </w:rPr>
        <w:t>日 期：</w:t>
      </w:r>
    </w:p>
    <w:p w14:paraId="55F92181">
      <w:pPr>
        <w:spacing w:line="460" w:lineRule="exact"/>
        <w:rPr>
          <w:rFonts w:ascii="宋体" w:hAnsi="宋体"/>
          <w:sz w:val="24"/>
        </w:rPr>
      </w:pPr>
    </w:p>
    <w:p w14:paraId="50A76316">
      <w:pPr>
        <w:rPr>
          <w:rFonts w:hint="eastAsia" w:ascii="宋体" w:hAnsi="宋体"/>
          <w:b/>
          <w:sz w:val="24"/>
          <w:szCs w:val="20"/>
        </w:rPr>
      </w:pPr>
      <w:r>
        <w:rPr>
          <w:rFonts w:hint="eastAsia" w:ascii="宋体" w:hAnsi="宋体"/>
          <w:b/>
          <w:sz w:val="24"/>
          <w:szCs w:val="20"/>
        </w:rPr>
        <w:br w:type="page"/>
      </w:r>
    </w:p>
    <w:p w14:paraId="0DF9BB0C">
      <w:pPr>
        <w:adjustRightInd w:val="0"/>
        <w:snapToGrid w:val="0"/>
        <w:spacing w:line="460" w:lineRule="exact"/>
        <w:rPr>
          <w:rFonts w:ascii="宋体" w:hAnsi="宋体"/>
          <w:b/>
          <w:sz w:val="24"/>
          <w:szCs w:val="20"/>
        </w:rPr>
      </w:pPr>
      <w:r>
        <w:rPr>
          <w:rFonts w:hint="eastAsia" w:ascii="宋体" w:hAnsi="宋体"/>
          <w:b/>
          <w:sz w:val="24"/>
          <w:szCs w:val="20"/>
        </w:rPr>
        <w:t>附件10残疾人福利性单位声明函</w:t>
      </w:r>
    </w:p>
    <w:p w14:paraId="59DB862F">
      <w:pPr>
        <w:adjustRightInd w:val="0"/>
        <w:snapToGrid w:val="0"/>
        <w:spacing w:line="480" w:lineRule="exact"/>
        <w:ind w:firstLine="480" w:firstLineChars="200"/>
        <w:rPr>
          <w:rFonts w:ascii="宋体" w:hAnsi="宋体"/>
          <w:sz w:val="24"/>
          <w:szCs w:val="20"/>
        </w:rPr>
      </w:pPr>
      <w:r>
        <w:rPr>
          <w:rFonts w:hint="eastAsia" w:ascii="宋体" w:hAnsi="宋体"/>
          <w:sz w:val="24"/>
          <w:szCs w:val="20"/>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7B94238">
      <w:pPr>
        <w:adjustRightInd w:val="0"/>
        <w:snapToGrid w:val="0"/>
        <w:spacing w:line="480" w:lineRule="exact"/>
        <w:ind w:firstLine="480" w:firstLineChars="200"/>
        <w:rPr>
          <w:rFonts w:ascii="宋体" w:hAnsi="宋体"/>
          <w:sz w:val="24"/>
          <w:szCs w:val="20"/>
        </w:rPr>
      </w:pPr>
      <w:r>
        <w:rPr>
          <w:rFonts w:hint="eastAsia" w:ascii="宋体" w:hAnsi="宋体"/>
          <w:sz w:val="24"/>
          <w:szCs w:val="20"/>
        </w:rPr>
        <w:t>本单位对上述声明的真实性负责。如有虚假，将依法承担相应责任。</w:t>
      </w:r>
    </w:p>
    <w:p w14:paraId="7AE3BEF7">
      <w:pPr>
        <w:adjustRightInd w:val="0"/>
        <w:snapToGrid w:val="0"/>
        <w:spacing w:line="480" w:lineRule="exact"/>
        <w:ind w:firstLine="480" w:firstLineChars="200"/>
        <w:rPr>
          <w:rFonts w:ascii="宋体" w:hAnsi="宋体"/>
          <w:sz w:val="24"/>
          <w:szCs w:val="20"/>
        </w:rPr>
        <w:sectPr>
          <w:footerReference r:id="rId7" w:type="default"/>
          <w:pgSz w:w="11906" w:h="16838"/>
          <w:pgMar w:top="777" w:right="1469" w:bottom="1089" w:left="1440" w:header="851" w:footer="992" w:gutter="0"/>
          <w:cols w:space="720" w:num="1"/>
          <w:docGrid w:type="lines" w:linePitch="312" w:charSpace="0"/>
        </w:sectPr>
      </w:pPr>
      <w:r>
        <w:rPr>
          <w:rFonts w:hint="eastAsia" w:ascii="宋体" w:hAnsi="宋体"/>
          <w:sz w:val="24"/>
          <w:szCs w:val="20"/>
        </w:rPr>
        <w:t>                                单位名称（盖章）</w:t>
      </w:r>
    </w:p>
    <w:p w14:paraId="3BFDCCE1">
      <w:pPr>
        <w:adjustRightInd w:val="0"/>
        <w:snapToGrid w:val="0"/>
        <w:rPr>
          <w:rFonts w:ascii="宋体" w:hAnsi="宋体"/>
          <w:b/>
          <w:sz w:val="24"/>
        </w:rPr>
      </w:pPr>
      <w:r>
        <w:rPr>
          <w:rFonts w:hint="eastAsia" w:ascii="宋体" w:hAnsi="宋体"/>
          <w:b/>
          <w:sz w:val="24"/>
        </w:rPr>
        <w:t>附件11</w:t>
      </w:r>
      <w:r>
        <w:rPr>
          <w:rFonts w:hint="eastAsia" w:ascii="宋体" w:hAnsi="宋体"/>
          <w:b/>
          <w:bCs/>
          <w:sz w:val="24"/>
          <w:szCs w:val="20"/>
        </w:rPr>
        <w:t>供应商响应承诺书</w:t>
      </w:r>
    </w:p>
    <w:p w14:paraId="020EC26A">
      <w:pPr>
        <w:adjustRightInd w:val="0"/>
        <w:snapToGrid w:val="0"/>
        <w:rPr>
          <w:rFonts w:ascii="宋体" w:hAnsi="宋体"/>
          <w:sz w:val="24"/>
        </w:rPr>
      </w:pPr>
      <w:r>
        <w:rPr>
          <w:rFonts w:hint="eastAsia" w:ascii="宋体" w:hAnsi="宋体"/>
          <w:sz w:val="24"/>
        </w:rPr>
        <w:t>致：海南省教学仪器设备招标中心有限公司：</w:t>
      </w:r>
    </w:p>
    <w:p w14:paraId="59259E12">
      <w:pPr>
        <w:rPr>
          <w:rFonts w:ascii="宋体" w:hAnsi="宋体"/>
          <w:sz w:val="24"/>
        </w:rPr>
      </w:pPr>
      <w:r>
        <w:rPr>
          <w:rFonts w:hint="eastAsia" w:ascii="宋体" w:hAnsi="宋体"/>
          <w:sz w:val="24"/>
        </w:rPr>
        <w:t>我单位在参加项目的采购活动中，郑重承诺如下：</w:t>
      </w:r>
    </w:p>
    <w:p w14:paraId="0B0DBAFC">
      <w:pPr>
        <w:ind w:firstLine="480" w:firstLineChars="200"/>
        <w:rPr>
          <w:rFonts w:ascii="宋体" w:hAnsi="宋体"/>
          <w:sz w:val="24"/>
        </w:rPr>
      </w:pPr>
      <w:r>
        <w:rPr>
          <w:rFonts w:hint="eastAsia" w:ascii="宋体" w:hAnsi="宋体"/>
          <w:sz w:val="24"/>
        </w:rPr>
        <w:t>1、我方在此声明，本次采购活动中提交的所有资料都是真实、准确完整的，如发现提供虚假资料，或与事实不符而导致响应无效，甚至造成任何法律和经济责任，完全由我方负责；</w:t>
      </w:r>
    </w:p>
    <w:p w14:paraId="6943C1D7">
      <w:pPr>
        <w:ind w:firstLine="480" w:firstLineChars="200"/>
        <w:rPr>
          <w:rFonts w:ascii="宋体" w:hAnsi="宋体"/>
          <w:sz w:val="24"/>
        </w:rPr>
      </w:pPr>
      <w:r>
        <w:rPr>
          <w:rFonts w:hint="eastAsia" w:ascii="宋体" w:hAnsi="宋体"/>
          <w:sz w:val="24"/>
        </w:rPr>
        <w:t xml:space="preserve">2、我公司在参加本次政府采购活动前三年内，在经营活动中没有重大事故、违法记录；我方人员针对本项目没有重大违法记录； </w:t>
      </w:r>
    </w:p>
    <w:p w14:paraId="1F5D2162">
      <w:pPr>
        <w:ind w:firstLine="480" w:firstLineChars="200"/>
        <w:rPr>
          <w:rFonts w:ascii="宋体" w:hAnsi="宋体"/>
          <w:sz w:val="24"/>
        </w:rPr>
      </w:pPr>
      <w:r>
        <w:rPr>
          <w:rFonts w:hint="eastAsia" w:ascii="宋体" w:hAnsi="宋体"/>
          <w:sz w:val="24"/>
        </w:rPr>
        <w:t>3、我方未被地市级及其以上行政主管部门做出取消投标资格的处罚且该处罚在有效期内的；</w:t>
      </w:r>
    </w:p>
    <w:p w14:paraId="59FC2611">
      <w:pPr>
        <w:ind w:firstLine="480" w:firstLineChars="200"/>
        <w:rPr>
          <w:rFonts w:ascii="宋体" w:hAnsi="宋体"/>
          <w:sz w:val="24"/>
        </w:rPr>
      </w:pPr>
      <w:r>
        <w:rPr>
          <w:rFonts w:hint="eastAsia" w:ascii="宋体" w:hAnsi="宋体"/>
          <w:sz w:val="24"/>
        </w:rPr>
        <w:t>4、我方一旦成交，将严格按照采购文件中所承诺的报价、质量、工期、措施、项目负责人等内容组织实施；</w:t>
      </w:r>
    </w:p>
    <w:p w14:paraId="5EB1C852">
      <w:pPr>
        <w:ind w:firstLine="480" w:firstLineChars="200"/>
        <w:rPr>
          <w:rFonts w:ascii="宋体" w:hAnsi="宋体"/>
          <w:sz w:val="24"/>
        </w:rPr>
      </w:pPr>
      <w:r>
        <w:rPr>
          <w:rFonts w:hint="eastAsia" w:ascii="宋体" w:hAnsi="宋体"/>
          <w:sz w:val="24"/>
        </w:rPr>
        <w:t>5、我方一旦成交，将按规定及时与采购人签订合同。</w:t>
      </w:r>
    </w:p>
    <w:p w14:paraId="41BCB09F">
      <w:pPr>
        <w:ind w:firstLine="480" w:firstLineChars="200"/>
        <w:rPr>
          <w:rFonts w:ascii="宋体" w:hAnsi="宋体"/>
          <w:sz w:val="24"/>
        </w:rPr>
      </w:pPr>
      <w:r>
        <w:rPr>
          <w:rFonts w:hint="eastAsia" w:ascii="宋体" w:hAnsi="宋体"/>
          <w:sz w:val="24"/>
        </w:rPr>
        <w:t>6、</w:t>
      </w:r>
      <w:r>
        <w:rPr>
          <w:rFonts w:hint="eastAsia" w:ascii="宋体" w:hAnsi="宋体"/>
          <w:sz w:val="24"/>
          <w:szCs w:val="20"/>
        </w:rPr>
        <w:t>我公司如果成交本项目，对本项目提供的所有货物保证货源全新正品，保质保量，按时供货，否则按合同赔偿违约金，并自愿接受省财政部门的相关处罚。</w:t>
      </w:r>
    </w:p>
    <w:p w14:paraId="619C8474">
      <w:pPr>
        <w:ind w:firstLine="480" w:firstLineChars="200"/>
        <w:rPr>
          <w:rFonts w:ascii="宋体" w:hAnsi="宋体"/>
          <w:sz w:val="24"/>
        </w:rPr>
      </w:pPr>
      <w:r>
        <w:rPr>
          <w:rFonts w:hint="eastAsia" w:ascii="宋体" w:hAnsi="宋体"/>
          <w:sz w:val="24"/>
        </w:rPr>
        <w:t>7、我方在本次采购活动中绝无资质挂靠、串标、围标情形，若出现下列情形，立即取消我方投标资格并承担相应的法律责任；</w:t>
      </w:r>
    </w:p>
    <w:p w14:paraId="2285FF17">
      <w:pPr>
        <w:ind w:firstLine="480" w:firstLineChars="200"/>
        <w:rPr>
          <w:rFonts w:ascii="宋体" w:hAnsi="宋体"/>
          <w:sz w:val="24"/>
        </w:rPr>
      </w:pPr>
      <w:r>
        <w:rPr>
          <w:rFonts w:hint="eastAsia" w:ascii="宋体" w:hAnsi="宋体"/>
          <w:sz w:val="24"/>
        </w:rPr>
        <w:t>（1）不同供应商的响应文件由同一单位或者个人编制；</w:t>
      </w:r>
    </w:p>
    <w:p w14:paraId="00CBE3E6">
      <w:pPr>
        <w:ind w:firstLine="480" w:firstLineChars="200"/>
        <w:rPr>
          <w:rFonts w:ascii="宋体" w:hAnsi="宋体"/>
          <w:sz w:val="24"/>
        </w:rPr>
      </w:pPr>
      <w:r>
        <w:rPr>
          <w:rFonts w:hint="eastAsia" w:ascii="宋体" w:hAnsi="宋体"/>
          <w:sz w:val="24"/>
        </w:rPr>
        <w:t>（2）不同供应商委托同一单位或者个人办理投标事宜；</w:t>
      </w:r>
    </w:p>
    <w:p w14:paraId="17A13B7A">
      <w:pPr>
        <w:ind w:firstLine="480" w:firstLineChars="200"/>
        <w:rPr>
          <w:rFonts w:ascii="宋体" w:hAnsi="宋体"/>
          <w:sz w:val="24"/>
        </w:rPr>
      </w:pPr>
      <w:r>
        <w:rPr>
          <w:rFonts w:hint="eastAsia" w:ascii="宋体" w:hAnsi="宋体"/>
          <w:sz w:val="24"/>
        </w:rPr>
        <w:t>（3）不同供应商的响应文件载明的项目管理成员或者联系人员为同一人；</w:t>
      </w:r>
    </w:p>
    <w:p w14:paraId="0F8744C0">
      <w:pPr>
        <w:ind w:firstLine="480" w:firstLineChars="200"/>
        <w:rPr>
          <w:rFonts w:ascii="宋体" w:hAnsi="宋体"/>
          <w:sz w:val="24"/>
        </w:rPr>
      </w:pPr>
      <w:r>
        <w:rPr>
          <w:rFonts w:hint="eastAsia" w:ascii="宋体" w:hAnsi="宋体"/>
          <w:sz w:val="24"/>
        </w:rPr>
        <w:t>（4）不同供应商的响应文件异常一致或者响应报价呈规律性差异；</w:t>
      </w:r>
    </w:p>
    <w:p w14:paraId="2E85379B">
      <w:pPr>
        <w:ind w:firstLine="480" w:firstLineChars="200"/>
        <w:rPr>
          <w:rFonts w:ascii="宋体" w:hAnsi="宋体"/>
          <w:sz w:val="24"/>
        </w:rPr>
      </w:pPr>
      <w:r>
        <w:rPr>
          <w:rFonts w:hint="eastAsia" w:ascii="宋体" w:hAnsi="宋体"/>
          <w:sz w:val="24"/>
        </w:rPr>
        <w:t>（5）不同供应商的响应文件相互混装；</w:t>
      </w:r>
    </w:p>
    <w:p w14:paraId="0EEEAC70">
      <w:pPr>
        <w:ind w:firstLine="480" w:firstLineChars="200"/>
        <w:rPr>
          <w:rFonts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）单位负责人为同一人或者存在直接控股、管理关系的不同供应商，同时参加本项目采购活动；</w:t>
      </w:r>
    </w:p>
    <w:p w14:paraId="15FF4605">
      <w:pPr>
        <w:ind w:firstLine="480" w:firstLineChars="200"/>
        <w:rPr>
          <w:rFonts w:ascii="宋体" w:hAnsi="宋体"/>
          <w:sz w:val="24"/>
        </w:rPr>
      </w:pPr>
      <w:r>
        <w:rPr>
          <w:rFonts w:hint="eastAsia" w:ascii="宋体" w:hAnsi="宋体"/>
          <w:sz w:val="24"/>
        </w:rPr>
        <w:t>根据国家企业信用信息公示系统（</w:t>
      </w:r>
      <w:r>
        <w:fldChar w:fldCharType="begin"/>
      </w:r>
      <w:r>
        <w:instrText xml:space="preserve"> HYPERLINK "http://www.gsxt.gov.cn/" </w:instrText>
      </w:r>
      <w:r>
        <w:fldChar w:fldCharType="separate"/>
      </w:r>
      <w:r>
        <w:rPr>
          <w:rFonts w:ascii="宋体" w:hAnsi="宋体"/>
          <w:sz w:val="24"/>
        </w:rPr>
        <w:t>http://www.gsxt.gov.cn/</w:t>
      </w:r>
      <w:r>
        <w:rPr>
          <w:rFonts w:ascii="宋体" w:hAnsi="宋体"/>
          <w:sz w:val="24"/>
        </w:rPr>
        <w:fldChar w:fldCharType="end"/>
      </w:r>
      <w:r>
        <w:rPr>
          <w:rFonts w:hint="eastAsia" w:ascii="宋体" w:hAnsi="宋体"/>
          <w:sz w:val="24"/>
        </w:rPr>
        <w:t>）登记信息提供以下内容：</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319"/>
        <w:gridCol w:w="2410"/>
        <w:gridCol w:w="1559"/>
        <w:gridCol w:w="1468"/>
      </w:tblGrid>
      <w:tr w14:paraId="44577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ign w:val="center"/>
          </w:tcPr>
          <w:p w14:paraId="5FE9957A">
            <w:pPr>
              <w:spacing w:line="400" w:lineRule="exact"/>
              <w:jc w:val="center"/>
              <w:rPr>
                <w:rFonts w:ascii="宋体" w:hAnsi="宋体"/>
                <w:szCs w:val="21"/>
              </w:rPr>
            </w:pPr>
            <w:r>
              <w:rPr>
                <w:rFonts w:hint="eastAsia" w:ascii="宋体" w:hAnsi="宋体"/>
                <w:szCs w:val="21"/>
              </w:rPr>
              <w:t>序号</w:t>
            </w:r>
          </w:p>
        </w:tc>
        <w:tc>
          <w:tcPr>
            <w:tcW w:w="2319" w:type="dxa"/>
            <w:noWrap/>
            <w:vAlign w:val="center"/>
          </w:tcPr>
          <w:p w14:paraId="0C3C58AA">
            <w:pPr>
              <w:jc w:val="center"/>
              <w:rPr>
                <w:rFonts w:ascii="宋体" w:hAnsi="宋体"/>
                <w:szCs w:val="21"/>
              </w:rPr>
            </w:pPr>
            <w:r>
              <w:rPr>
                <w:rFonts w:hint="eastAsia" w:ascii="宋体" w:hAnsi="宋体"/>
                <w:szCs w:val="21"/>
              </w:rPr>
              <w:t>股东名称</w:t>
            </w:r>
          </w:p>
        </w:tc>
        <w:tc>
          <w:tcPr>
            <w:tcW w:w="2410" w:type="dxa"/>
            <w:noWrap/>
            <w:vAlign w:val="center"/>
          </w:tcPr>
          <w:p w14:paraId="749075CE">
            <w:pPr>
              <w:jc w:val="center"/>
              <w:rPr>
                <w:rFonts w:ascii="宋体" w:hAnsi="宋体"/>
                <w:szCs w:val="21"/>
              </w:rPr>
            </w:pPr>
            <w:r>
              <w:rPr>
                <w:rFonts w:hint="eastAsia" w:ascii="宋体" w:hAnsi="宋体"/>
                <w:szCs w:val="21"/>
              </w:rPr>
              <w:t>股东类型</w:t>
            </w:r>
          </w:p>
        </w:tc>
        <w:tc>
          <w:tcPr>
            <w:tcW w:w="1559" w:type="dxa"/>
            <w:noWrap/>
          </w:tcPr>
          <w:p w14:paraId="4663358F">
            <w:pPr>
              <w:spacing w:line="400" w:lineRule="exact"/>
              <w:jc w:val="center"/>
              <w:rPr>
                <w:rFonts w:ascii="宋体" w:hAnsi="宋体"/>
                <w:szCs w:val="21"/>
              </w:rPr>
            </w:pPr>
            <w:r>
              <w:rPr>
                <w:rFonts w:hint="eastAsia" w:ascii="宋体" w:hAnsi="宋体"/>
                <w:szCs w:val="21"/>
              </w:rPr>
              <w:t>占股比例</w:t>
            </w:r>
          </w:p>
        </w:tc>
        <w:tc>
          <w:tcPr>
            <w:tcW w:w="1468" w:type="dxa"/>
            <w:noWrap/>
            <w:vAlign w:val="center"/>
          </w:tcPr>
          <w:p w14:paraId="7A4FE8D3">
            <w:pPr>
              <w:spacing w:line="400" w:lineRule="exact"/>
              <w:jc w:val="center"/>
              <w:rPr>
                <w:rFonts w:ascii="宋体" w:hAnsi="宋体"/>
                <w:szCs w:val="21"/>
              </w:rPr>
            </w:pPr>
            <w:r>
              <w:rPr>
                <w:rFonts w:hint="eastAsia" w:ascii="宋体" w:hAnsi="宋体"/>
                <w:szCs w:val="21"/>
              </w:rPr>
              <w:t>备注</w:t>
            </w:r>
          </w:p>
        </w:tc>
      </w:tr>
      <w:tr w14:paraId="32F5E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ign w:val="center"/>
          </w:tcPr>
          <w:p w14:paraId="53FF2977">
            <w:pPr>
              <w:jc w:val="center"/>
              <w:rPr>
                <w:rFonts w:ascii="宋体" w:hAnsi="宋体"/>
                <w:szCs w:val="21"/>
              </w:rPr>
            </w:pPr>
            <w:r>
              <w:rPr>
                <w:rFonts w:hint="eastAsia" w:ascii="宋体" w:hAnsi="宋体"/>
                <w:szCs w:val="21"/>
              </w:rPr>
              <w:t>1</w:t>
            </w:r>
          </w:p>
        </w:tc>
        <w:tc>
          <w:tcPr>
            <w:tcW w:w="2319" w:type="dxa"/>
            <w:noWrap/>
            <w:vAlign w:val="center"/>
          </w:tcPr>
          <w:p w14:paraId="7E6A338E">
            <w:pPr>
              <w:jc w:val="center"/>
              <w:rPr>
                <w:rFonts w:ascii="宋体" w:hAnsi="宋体"/>
                <w:szCs w:val="21"/>
              </w:rPr>
            </w:pPr>
          </w:p>
        </w:tc>
        <w:tc>
          <w:tcPr>
            <w:tcW w:w="2410" w:type="dxa"/>
            <w:noWrap/>
            <w:vAlign w:val="center"/>
          </w:tcPr>
          <w:p w14:paraId="161AB9AF">
            <w:pPr>
              <w:jc w:val="center"/>
              <w:rPr>
                <w:rFonts w:ascii="宋体" w:hAnsi="宋体"/>
                <w:szCs w:val="21"/>
              </w:rPr>
            </w:pPr>
          </w:p>
        </w:tc>
        <w:tc>
          <w:tcPr>
            <w:tcW w:w="1559" w:type="dxa"/>
            <w:noWrap/>
          </w:tcPr>
          <w:p w14:paraId="39F8E900">
            <w:pPr>
              <w:jc w:val="center"/>
              <w:rPr>
                <w:rFonts w:ascii="宋体" w:hAnsi="宋体"/>
                <w:szCs w:val="21"/>
              </w:rPr>
            </w:pPr>
          </w:p>
        </w:tc>
        <w:tc>
          <w:tcPr>
            <w:tcW w:w="1468" w:type="dxa"/>
            <w:noWrap/>
            <w:vAlign w:val="center"/>
          </w:tcPr>
          <w:p w14:paraId="3F19DF2C">
            <w:pPr>
              <w:jc w:val="center"/>
              <w:rPr>
                <w:rFonts w:ascii="宋体" w:hAnsi="宋体"/>
                <w:szCs w:val="21"/>
              </w:rPr>
            </w:pPr>
          </w:p>
        </w:tc>
      </w:tr>
      <w:tr w14:paraId="55F5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ign w:val="center"/>
          </w:tcPr>
          <w:p w14:paraId="7B576F06">
            <w:pPr>
              <w:jc w:val="center"/>
              <w:rPr>
                <w:rFonts w:ascii="宋体" w:hAnsi="宋体"/>
                <w:szCs w:val="21"/>
              </w:rPr>
            </w:pPr>
            <w:r>
              <w:rPr>
                <w:rFonts w:hint="eastAsia" w:ascii="宋体" w:hAnsi="宋体"/>
                <w:szCs w:val="21"/>
              </w:rPr>
              <w:t>2</w:t>
            </w:r>
          </w:p>
        </w:tc>
        <w:tc>
          <w:tcPr>
            <w:tcW w:w="2319" w:type="dxa"/>
            <w:noWrap/>
            <w:vAlign w:val="center"/>
          </w:tcPr>
          <w:p w14:paraId="554F7E3C">
            <w:pPr>
              <w:jc w:val="center"/>
              <w:rPr>
                <w:rFonts w:ascii="宋体" w:hAnsi="宋体"/>
                <w:szCs w:val="21"/>
              </w:rPr>
            </w:pPr>
          </w:p>
        </w:tc>
        <w:tc>
          <w:tcPr>
            <w:tcW w:w="2410" w:type="dxa"/>
            <w:noWrap/>
            <w:vAlign w:val="center"/>
          </w:tcPr>
          <w:p w14:paraId="4CF0880B">
            <w:pPr>
              <w:jc w:val="center"/>
              <w:rPr>
                <w:rFonts w:ascii="宋体" w:hAnsi="宋体"/>
                <w:szCs w:val="21"/>
              </w:rPr>
            </w:pPr>
          </w:p>
        </w:tc>
        <w:tc>
          <w:tcPr>
            <w:tcW w:w="1559" w:type="dxa"/>
            <w:noWrap/>
          </w:tcPr>
          <w:p w14:paraId="5CF4897F">
            <w:pPr>
              <w:jc w:val="center"/>
              <w:rPr>
                <w:rFonts w:ascii="宋体" w:hAnsi="宋体"/>
                <w:szCs w:val="21"/>
              </w:rPr>
            </w:pPr>
          </w:p>
        </w:tc>
        <w:tc>
          <w:tcPr>
            <w:tcW w:w="1468" w:type="dxa"/>
            <w:noWrap/>
            <w:vAlign w:val="center"/>
          </w:tcPr>
          <w:p w14:paraId="79D6A0F9">
            <w:pPr>
              <w:jc w:val="center"/>
              <w:rPr>
                <w:rFonts w:ascii="宋体" w:hAnsi="宋体"/>
                <w:szCs w:val="21"/>
              </w:rPr>
            </w:pPr>
          </w:p>
        </w:tc>
      </w:tr>
      <w:tr w14:paraId="75B0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ign w:val="center"/>
          </w:tcPr>
          <w:p w14:paraId="09562378">
            <w:pPr>
              <w:jc w:val="center"/>
              <w:rPr>
                <w:rFonts w:ascii="宋体" w:hAnsi="宋体"/>
                <w:szCs w:val="21"/>
              </w:rPr>
            </w:pPr>
            <w:r>
              <w:rPr>
                <w:rFonts w:hint="eastAsia" w:ascii="宋体" w:hAnsi="宋体"/>
                <w:szCs w:val="21"/>
              </w:rPr>
              <w:t>……</w:t>
            </w:r>
          </w:p>
        </w:tc>
        <w:tc>
          <w:tcPr>
            <w:tcW w:w="2319" w:type="dxa"/>
            <w:noWrap/>
            <w:vAlign w:val="center"/>
          </w:tcPr>
          <w:p w14:paraId="27D53051">
            <w:pPr>
              <w:jc w:val="center"/>
              <w:rPr>
                <w:rFonts w:ascii="宋体" w:hAnsi="宋体"/>
                <w:szCs w:val="21"/>
              </w:rPr>
            </w:pPr>
          </w:p>
        </w:tc>
        <w:tc>
          <w:tcPr>
            <w:tcW w:w="2410" w:type="dxa"/>
            <w:noWrap/>
            <w:vAlign w:val="center"/>
          </w:tcPr>
          <w:p w14:paraId="1425072D">
            <w:pPr>
              <w:jc w:val="center"/>
              <w:rPr>
                <w:rFonts w:ascii="宋体" w:hAnsi="宋体"/>
                <w:szCs w:val="21"/>
              </w:rPr>
            </w:pPr>
          </w:p>
        </w:tc>
        <w:tc>
          <w:tcPr>
            <w:tcW w:w="1559" w:type="dxa"/>
            <w:noWrap/>
          </w:tcPr>
          <w:p w14:paraId="3AB3AAC3">
            <w:pPr>
              <w:jc w:val="center"/>
              <w:rPr>
                <w:rFonts w:ascii="宋体" w:hAnsi="宋体"/>
                <w:szCs w:val="21"/>
              </w:rPr>
            </w:pPr>
          </w:p>
        </w:tc>
        <w:tc>
          <w:tcPr>
            <w:tcW w:w="1468" w:type="dxa"/>
            <w:noWrap/>
            <w:vAlign w:val="center"/>
          </w:tcPr>
          <w:p w14:paraId="6D10B158">
            <w:pPr>
              <w:jc w:val="center"/>
              <w:rPr>
                <w:rFonts w:ascii="宋体" w:hAnsi="宋体"/>
                <w:szCs w:val="21"/>
              </w:rPr>
            </w:pPr>
          </w:p>
        </w:tc>
      </w:tr>
    </w:tbl>
    <w:p w14:paraId="65C9C1A9">
      <w:pPr>
        <w:rPr>
          <w:rFonts w:ascii="宋体" w:hAnsi="宋体"/>
          <w:sz w:val="24"/>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440"/>
        <w:gridCol w:w="3773"/>
      </w:tblGrid>
      <w:tr w14:paraId="7CEF1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noWrap/>
            <w:vAlign w:val="center"/>
          </w:tcPr>
          <w:p w14:paraId="69D6003B">
            <w:pPr>
              <w:jc w:val="center"/>
              <w:rPr>
                <w:rFonts w:ascii="宋体" w:hAnsi="宋体"/>
                <w:szCs w:val="21"/>
              </w:rPr>
            </w:pPr>
            <w:r>
              <w:rPr>
                <w:rFonts w:hint="eastAsia" w:ascii="宋体" w:hAnsi="宋体"/>
                <w:szCs w:val="21"/>
              </w:rPr>
              <w:t>序号</w:t>
            </w:r>
          </w:p>
        </w:tc>
        <w:tc>
          <w:tcPr>
            <w:tcW w:w="2340" w:type="dxa"/>
            <w:noWrap/>
            <w:vAlign w:val="center"/>
          </w:tcPr>
          <w:p w14:paraId="567355CE">
            <w:pPr>
              <w:jc w:val="center"/>
              <w:rPr>
                <w:rFonts w:ascii="宋体" w:hAnsi="宋体"/>
                <w:szCs w:val="21"/>
              </w:rPr>
            </w:pPr>
            <w:r>
              <w:rPr>
                <w:rFonts w:hint="eastAsia" w:ascii="宋体" w:hAnsi="宋体"/>
                <w:szCs w:val="21"/>
              </w:rPr>
              <w:t>主要人员姓名</w:t>
            </w:r>
          </w:p>
        </w:tc>
        <w:tc>
          <w:tcPr>
            <w:tcW w:w="1440" w:type="dxa"/>
            <w:noWrap/>
            <w:vAlign w:val="center"/>
          </w:tcPr>
          <w:p w14:paraId="0D917DF7">
            <w:pPr>
              <w:jc w:val="center"/>
              <w:rPr>
                <w:rFonts w:ascii="宋体" w:hAnsi="宋体"/>
                <w:szCs w:val="21"/>
              </w:rPr>
            </w:pPr>
            <w:r>
              <w:rPr>
                <w:rFonts w:hint="eastAsia" w:ascii="宋体" w:hAnsi="宋体"/>
                <w:szCs w:val="21"/>
              </w:rPr>
              <w:t>职务</w:t>
            </w:r>
          </w:p>
        </w:tc>
        <w:tc>
          <w:tcPr>
            <w:tcW w:w="3773" w:type="dxa"/>
            <w:noWrap/>
            <w:vAlign w:val="center"/>
          </w:tcPr>
          <w:p w14:paraId="78B5FEFB">
            <w:pPr>
              <w:jc w:val="center"/>
              <w:rPr>
                <w:rFonts w:ascii="宋体" w:hAnsi="宋体"/>
                <w:szCs w:val="21"/>
              </w:rPr>
            </w:pPr>
            <w:r>
              <w:rPr>
                <w:rFonts w:hint="eastAsia" w:ascii="宋体" w:hAnsi="宋体"/>
                <w:szCs w:val="21"/>
              </w:rPr>
              <w:t>身份证号</w:t>
            </w:r>
          </w:p>
        </w:tc>
      </w:tr>
      <w:tr w14:paraId="79465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noWrap/>
            <w:vAlign w:val="center"/>
          </w:tcPr>
          <w:p w14:paraId="24D2DB01">
            <w:pPr>
              <w:jc w:val="center"/>
              <w:rPr>
                <w:rFonts w:ascii="宋体" w:hAnsi="宋体"/>
                <w:szCs w:val="21"/>
              </w:rPr>
            </w:pPr>
            <w:r>
              <w:rPr>
                <w:rFonts w:hint="eastAsia" w:ascii="宋体" w:hAnsi="宋体"/>
                <w:szCs w:val="21"/>
              </w:rPr>
              <w:t>1</w:t>
            </w:r>
          </w:p>
        </w:tc>
        <w:tc>
          <w:tcPr>
            <w:tcW w:w="2340" w:type="dxa"/>
            <w:noWrap/>
            <w:vAlign w:val="center"/>
          </w:tcPr>
          <w:p w14:paraId="5ACBE549">
            <w:pPr>
              <w:jc w:val="center"/>
              <w:rPr>
                <w:rFonts w:ascii="宋体" w:hAnsi="宋体"/>
                <w:szCs w:val="21"/>
              </w:rPr>
            </w:pPr>
          </w:p>
        </w:tc>
        <w:tc>
          <w:tcPr>
            <w:tcW w:w="1440" w:type="dxa"/>
            <w:noWrap/>
            <w:vAlign w:val="center"/>
          </w:tcPr>
          <w:p w14:paraId="3DC8E15D">
            <w:pPr>
              <w:jc w:val="center"/>
              <w:rPr>
                <w:rFonts w:ascii="宋体" w:hAnsi="宋体"/>
                <w:szCs w:val="21"/>
              </w:rPr>
            </w:pPr>
          </w:p>
        </w:tc>
        <w:tc>
          <w:tcPr>
            <w:tcW w:w="3773" w:type="dxa"/>
            <w:noWrap/>
            <w:vAlign w:val="center"/>
          </w:tcPr>
          <w:p w14:paraId="68E1399F">
            <w:pPr>
              <w:jc w:val="center"/>
              <w:rPr>
                <w:rFonts w:ascii="宋体" w:hAnsi="宋体"/>
                <w:szCs w:val="21"/>
              </w:rPr>
            </w:pPr>
          </w:p>
        </w:tc>
      </w:tr>
      <w:tr w14:paraId="6797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noWrap/>
            <w:vAlign w:val="center"/>
          </w:tcPr>
          <w:p w14:paraId="233C5FEB">
            <w:pPr>
              <w:jc w:val="center"/>
              <w:rPr>
                <w:rFonts w:ascii="宋体" w:hAnsi="宋体"/>
                <w:szCs w:val="21"/>
              </w:rPr>
            </w:pPr>
            <w:r>
              <w:rPr>
                <w:rFonts w:hint="eastAsia" w:ascii="宋体" w:hAnsi="宋体"/>
                <w:szCs w:val="21"/>
              </w:rPr>
              <w:t>2</w:t>
            </w:r>
          </w:p>
        </w:tc>
        <w:tc>
          <w:tcPr>
            <w:tcW w:w="2340" w:type="dxa"/>
            <w:noWrap/>
            <w:vAlign w:val="center"/>
          </w:tcPr>
          <w:p w14:paraId="011446F3">
            <w:pPr>
              <w:jc w:val="center"/>
              <w:rPr>
                <w:rFonts w:ascii="宋体" w:hAnsi="宋体"/>
                <w:szCs w:val="21"/>
              </w:rPr>
            </w:pPr>
          </w:p>
        </w:tc>
        <w:tc>
          <w:tcPr>
            <w:tcW w:w="1440" w:type="dxa"/>
            <w:noWrap/>
            <w:vAlign w:val="center"/>
          </w:tcPr>
          <w:p w14:paraId="14A1B2F8">
            <w:pPr>
              <w:jc w:val="center"/>
              <w:rPr>
                <w:rFonts w:ascii="宋体" w:hAnsi="宋体"/>
                <w:szCs w:val="21"/>
              </w:rPr>
            </w:pPr>
          </w:p>
        </w:tc>
        <w:tc>
          <w:tcPr>
            <w:tcW w:w="3773" w:type="dxa"/>
            <w:noWrap/>
            <w:vAlign w:val="center"/>
          </w:tcPr>
          <w:p w14:paraId="44BBF0F8">
            <w:pPr>
              <w:jc w:val="center"/>
              <w:rPr>
                <w:rFonts w:ascii="宋体" w:hAnsi="宋体"/>
                <w:szCs w:val="21"/>
              </w:rPr>
            </w:pPr>
          </w:p>
        </w:tc>
      </w:tr>
      <w:tr w14:paraId="3397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noWrap/>
            <w:vAlign w:val="center"/>
          </w:tcPr>
          <w:p w14:paraId="6E819C5A">
            <w:pPr>
              <w:jc w:val="center"/>
              <w:rPr>
                <w:rFonts w:ascii="宋体" w:hAnsi="宋体"/>
                <w:szCs w:val="21"/>
              </w:rPr>
            </w:pPr>
            <w:r>
              <w:rPr>
                <w:rFonts w:hint="eastAsia" w:ascii="宋体" w:hAnsi="宋体"/>
                <w:szCs w:val="21"/>
              </w:rPr>
              <w:t>……</w:t>
            </w:r>
          </w:p>
        </w:tc>
        <w:tc>
          <w:tcPr>
            <w:tcW w:w="2340" w:type="dxa"/>
            <w:noWrap/>
            <w:vAlign w:val="center"/>
          </w:tcPr>
          <w:p w14:paraId="1F017B4D">
            <w:pPr>
              <w:jc w:val="center"/>
              <w:rPr>
                <w:rFonts w:ascii="宋体" w:hAnsi="宋体"/>
                <w:szCs w:val="21"/>
              </w:rPr>
            </w:pPr>
          </w:p>
        </w:tc>
        <w:tc>
          <w:tcPr>
            <w:tcW w:w="1440" w:type="dxa"/>
            <w:noWrap/>
            <w:vAlign w:val="center"/>
          </w:tcPr>
          <w:p w14:paraId="346791D1">
            <w:pPr>
              <w:jc w:val="center"/>
              <w:rPr>
                <w:rFonts w:ascii="宋体" w:hAnsi="宋体"/>
                <w:szCs w:val="21"/>
              </w:rPr>
            </w:pPr>
          </w:p>
        </w:tc>
        <w:tc>
          <w:tcPr>
            <w:tcW w:w="3773" w:type="dxa"/>
            <w:noWrap/>
            <w:vAlign w:val="center"/>
          </w:tcPr>
          <w:p w14:paraId="65FFD802">
            <w:pPr>
              <w:jc w:val="center"/>
              <w:rPr>
                <w:rFonts w:ascii="宋体" w:hAnsi="宋体"/>
                <w:szCs w:val="21"/>
              </w:rPr>
            </w:pPr>
          </w:p>
        </w:tc>
      </w:tr>
    </w:tbl>
    <w:p w14:paraId="5090FC21">
      <w:pPr>
        <w:rPr>
          <w:rFonts w:ascii="宋体" w:hAnsi="宋体"/>
          <w:sz w:val="24"/>
        </w:rPr>
      </w:pPr>
    </w:p>
    <w:p w14:paraId="41EB1111">
      <w:pPr>
        <w:ind w:left="2698" w:leftChars="1285"/>
        <w:rPr>
          <w:rFonts w:ascii="宋体" w:hAnsi="宋体"/>
          <w:sz w:val="24"/>
        </w:rPr>
      </w:pPr>
      <w:r>
        <w:rPr>
          <w:rFonts w:hint="eastAsia" w:ascii="宋体" w:hAnsi="宋体"/>
          <w:sz w:val="24"/>
        </w:rPr>
        <w:t>供应商名称： （盖公章）</w:t>
      </w:r>
    </w:p>
    <w:p w14:paraId="10476BA6">
      <w:pPr>
        <w:ind w:left="2698" w:leftChars="1285"/>
        <w:rPr>
          <w:rFonts w:ascii="宋体" w:hAnsi="宋体"/>
          <w:sz w:val="24"/>
        </w:rPr>
      </w:pPr>
      <w:r>
        <w:rPr>
          <w:rFonts w:hint="eastAsia" w:ascii="宋体" w:hAnsi="宋体"/>
          <w:sz w:val="24"/>
        </w:rPr>
        <w:t>法定代表人（或授权代理人）： （签字或盖章）</w:t>
      </w:r>
    </w:p>
    <w:p w14:paraId="60C50828">
      <w:pPr>
        <w:adjustRightInd w:val="0"/>
        <w:snapToGrid w:val="0"/>
        <w:spacing w:line="300" w:lineRule="auto"/>
        <w:rPr>
          <w:rFonts w:ascii="宋体" w:hAnsi="宋体"/>
          <w:sz w:val="24"/>
        </w:rPr>
      </w:pPr>
      <w:r>
        <w:rPr>
          <w:rFonts w:hint="eastAsia" w:ascii="宋体" w:hAnsi="宋体"/>
          <w:sz w:val="24"/>
        </w:rPr>
        <w:t>日期： 年 月 日</w:t>
      </w:r>
    </w:p>
    <w:p w14:paraId="131B06ED">
      <w:pPr>
        <w:adjustRightInd w:val="0"/>
        <w:snapToGrid w:val="0"/>
        <w:spacing w:line="300" w:lineRule="auto"/>
        <w:ind w:firstLine="6960" w:firstLineChars="2900"/>
        <w:rPr>
          <w:rFonts w:ascii="宋体" w:hAnsi="宋体"/>
          <w:sz w:val="24"/>
        </w:rPr>
      </w:pPr>
    </w:p>
    <w:p w14:paraId="1444E94B">
      <w:pPr>
        <w:spacing w:line="500" w:lineRule="exact"/>
        <w:jc w:val="left"/>
        <w:rPr>
          <w:rFonts w:ascii="宋体" w:hAnsi="宋体"/>
          <w:sz w:val="24"/>
        </w:rPr>
      </w:pPr>
    </w:p>
    <w:p w14:paraId="3938F5BD"/>
    <w:sectPr>
      <w:headerReference r:id="rId8" w:type="default"/>
      <w:footerReference r:id="rId9" w:type="default"/>
      <w:footerReference r:id="rId10" w:type="even"/>
      <w:pgSz w:w="11906" w:h="16838"/>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13CB5DA-CB7C-4206-8DD0-B612BDEFCCA6}"/>
  </w:font>
  <w:font w:name="黑体">
    <w:panose1 w:val="02010609060101010101"/>
    <w:charset w:val="86"/>
    <w:family w:val="auto"/>
    <w:pitch w:val="default"/>
    <w:sig w:usb0="800002BF" w:usb1="38CF7CFA" w:usb2="00000016" w:usb3="00000000" w:csb0="00040001" w:csb1="00000000"/>
    <w:embedRegular r:id="rId2" w:fontKey="{A718C679-78C4-45D9-94E7-3D1689571C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3" w:fontKey="{A2E27820-4C30-4191-A777-7735D3A0AC73}"/>
  </w:font>
  <w:font w:name="仿宋">
    <w:panose1 w:val="02010609060101010101"/>
    <w:charset w:val="86"/>
    <w:family w:val="modern"/>
    <w:pitch w:val="default"/>
    <w:sig w:usb0="800002BF" w:usb1="38CF7CFA" w:usb2="00000016" w:usb3="00000000" w:csb0="00040001" w:csb1="00000000"/>
    <w:embedRegular r:id="rId4" w:fontKey="{A209F13F-CF1D-47EC-A7A3-44B96F166326}"/>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5" w:fontKey="{E1CFDB09-F5B9-41CE-9BF3-2E077CB9E03E}"/>
  </w:font>
  <w:font w:name="MS Mincho">
    <w:panose1 w:val="02020609040205080304"/>
    <w:charset w:val="80"/>
    <w:family w:val="modern"/>
    <w:pitch w:val="default"/>
    <w:sig w:usb0="A00002BF" w:usb1="68C7FCFB" w:usb2="00000010" w:usb3="00000000" w:csb0="4002009F" w:csb1="DFD70000"/>
    <w:embedRegular r:id="rId6" w:fontKey="{8B1309F3-D42D-48C9-8CD4-5801E5D8F4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0C25C">
    <w:pPr>
      <w:pStyle w:val="2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69F93">
                          <w:pPr>
                            <w:pStyle w:val="2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D669F93">
                    <w:pPr>
                      <w:pStyle w:val="2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D6186">
    <w:pPr>
      <w:pStyle w:val="2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A3D0A0">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3A3D0A0">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69D51">
    <w:pPr>
      <w:pStyle w:val="2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6E989D">
                          <w:pPr>
                            <w:pStyle w:val="24"/>
                            <w:jc w:val="center"/>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06E989D">
                    <w:pPr>
                      <w:pStyle w:val="24"/>
                      <w:jc w:val="center"/>
                    </w:pPr>
                    <w:r>
                      <w:fldChar w:fldCharType="begin"/>
                    </w:r>
                    <w:r>
                      <w:instrText xml:space="preserve"> PAGE   \* MERGEFORMAT </w:instrText>
                    </w:r>
                    <w:r>
                      <w:fldChar w:fldCharType="separate"/>
                    </w:r>
                    <w:r>
                      <w:t>22</w:t>
                    </w:r>
                    <w:r>
                      <w:fldChar w:fldCharType="end"/>
                    </w:r>
                  </w:p>
                </w:txbxContent>
              </v:textbox>
            </v:shape>
          </w:pict>
        </mc:Fallback>
      </mc:AlternateContent>
    </w:r>
  </w:p>
  <w:p w14:paraId="66F90E16">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80CB6">
    <w:pPr>
      <w:pStyle w:val="2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F0BDB8">
                          <w:pPr>
                            <w:pStyle w:val="24"/>
                            <w:rPr>
                              <w:rStyle w:val="41"/>
                            </w:rPr>
                          </w:pPr>
                          <w:r>
                            <w:fldChar w:fldCharType="begin"/>
                          </w:r>
                          <w:r>
                            <w:rPr>
                              <w:rStyle w:val="41"/>
                            </w:rPr>
                            <w:instrText xml:space="preserve">PAGE  </w:instrText>
                          </w:r>
                          <w:r>
                            <w:fldChar w:fldCharType="separate"/>
                          </w:r>
                          <w:r>
                            <w:rPr>
                              <w:rStyle w:val="41"/>
                            </w:rPr>
                            <w:t>47</w:t>
                          </w:r>
                          <w:r>
                            <w:fldChar w:fldCharType="end"/>
                          </w:r>
                        </w:p>
                        <w:p w14:paraId="08A77CC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9F0BDB8">
                    <w:pPr>
                      <w:pStyle w:val="24"/>
                      <w:rPr>
                        <w:rStyle w:val="41"/>
                      </w:rPr>
                    </w:pPr>
                    <w:r>
                      <w:fldChar w:fldCharType="begin"/>
                    </w:r>
                    <w:r>
                      <w:rPr>
                        <w:rStyle w:val="41"/>
                      </w:rPr>
                      <w:instrText xml:space="preserve">PAGE  </w:instrText>
                    </w:r>
                    <w:r>
                      <w:fldChar w:fldCharType="separate"/>
                    </w:r>
                    <w:r>
                      <w:rPr>
                        <w:rStyle w:val="41"/>
                      </w:rPr>
                      <w:t>47</w:t>
                    </w:r>
                    <w:r>
                      <w:fldChar w:fldCharType="end"/>
                    </w:r>
                  </w:p>
                  <w:p w14:paraId="08A77CC7"/>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8A3E8">
    <w:pPr>
      <w:pStyle w:val="24"/>
      <w:framePr w:wrap="around" w:vAnchor="text" w:hAnchor="margin" w:xAlign="center" w:y="1"/>
      <w:rPr>
        <w:rStyle w:val="41"/>
      </w:rPr>
    </w:pPr>
    <w:r>
      <w:fldChar w:fldCharType="begin"/>
    </w:r>
    <w:r>
      <w:rPr>
        <w:rStyle w:val="41"/>
      </w:rPr>
      <w:instrText xml:space="preserve">PAGE  </w:instrText>
    </w:r>
    <w:r>
      <w:fldChar w:fldCharType="separate"/>
    </w:r>
    <w:r>
      <w:rPr>
        <w:rStyle w:val="41"/>
      </w:rPr>
      <w:t>1</w:t>
    </w:r>
    <w:r>
      <w:fldChar w:fldCharType="end"/>
    </w:r>
  </w:p>
  <w:p w14:paraId="17CD55A2">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4C4BF">
    <w:pPr>
      <w:pStyle w:val="25"/>
      <w:pBdr>
        <w:bottom w:val="single" w:color="auto" w:sz="4" w:space="1"/>
      </w:pBdr>
      <w:tabs>
        <w:tab w:val="left" w:pos="3082"/>
      </w:tabs>
      <w:jc w:val="right"/>
      <w:rPr>
        <w:rFonts w:hint="eastAsia" w:ascii="仿宋" w:hAnsi="仿宋" w:eastAsia="仿宋" w:cs="仿宋"/>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71B34">
    <w:pPr>
      <w:pStyle w:val="2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AEF03">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58848"/>
    <w:multiLevelType w:val="singleLevel"/>
    <w:tmpl w:val="87858848"/>
    <w:lvl w:ilvl="0" w:tentative="0">
      <w:start w:val="1"/>
      <w:numFmt w:val="decimal"/>
      <w:suff w:val="nothing"/>
      <w:lvlText w:val="%1、"/>
      <w:lvlJc w:val="left"/>
    </w:lvl>
  </w:abstractNum>
  <w:abstractNum w:abstractNumId="1">
    <w:nsid w:val="9FDCF791"/>
    <w:multiLevelType w:val="singleLevel"/>
    <w:tmpl w:val="9FDCF791"/>
    <w:lvl w:ilvl="0" w:tentative="0">
      <w:start w:val="1"/>
      <w:numFmt w:val="decimal"/>
      <w:suff w:val="nothing"/>
      <w:lvlText w:val="%1、"/>
      <w:lvlJc w:val="left"/>
    </w:lvl>
  </w:abstractNum>
  <w:abstractNum w:abstractNumId="2">
    <w:nsid w:val="C33FEA97"/>
    <w:multiLevelType w:val="singleLevel"/>
    <w:tmpl w:val="C33FEA97"/>
    <w:lvl w:ilvl="0" w:tentative="0">
      <w:start w:val="1"/>
      <w:numFmt w:val="decimal"/>
      <w:suff w:val="nothing"/>
      <w:lvlText w:val="%1、"/>
      <w:lvlJc w:val="left"/>
    </w:lvl>
  </w:abstractNum>
  <w:abstractNum w:abstractNumId="3">
    <w:nsid w:val="D570AA80"/>
    <w:multiLevelType w:val="singleLevel"/>
    <w:tmpl w:val="D570AA80"/>
    <w:lvl w:ilvl="0" w:tentative="0">
      <w:start w:val="1"/>
      <w:numFmt w:val="decimal"/>
      <w:suff w:val="nothing"/>
      <w:lvlText w:val="（%1）"/>
      <w:lvlJc w:val="left"/>
    </w:lvl>
  </w:abstractNum>
  <w:abstractNum w:abstractNumId="4">
    <w:nsid w:val="D5BC1F1F"/>
    <w:multiLevelType w:val="singleLevel"/>
    <w:tmpl w:val="D5BC1F1F"/>
    <w:lvl w:ilvl="0" w:tentative="0">
      <w:start w:val="1"/>
      <w:numFmt w:val="decimal"/>
      <w:suff w:val="nothing"/>
      <w:lvlText w:val="%1、"/>
      <w:lvlJc w:val="left"/>
    </w:lvl>
  </w:abstractNum>
  <w:abstractNum w:abstractNumId="5">
    <w:nsid w:val="E26304F0"/>
    <w:multiLevelType w:val="singleLevel"/>
    <w:tmpl w:val="E26304F0"/>
    <w:lvl w:ilvl="0" w:tentative="0">
      <w:start w:val="1"/>
      <w:numFmt w:val="decimal"/>
      <w:suff w:val="nothing"/>
      <w:lvlText w:val="%1、"/>
      <w:lvlJc w:val="left"/>
      <w:pPr>
        <w:ind w:left="150"/>
      </w:pPr>
    </w:lvl>
  </w:abstractNum>
  <w:abstractNum w:abstractNumId="6">
    <w:nsid w:val="F361EA5B"/>
    <w:multiLevelType w:val="singleLevel"/>
    <w:tmpl w:val="F361EA5B"/>
    <w:lvl w:ilvl="0" w:tentative="0">
      <w:start w:val="1"/>
      <w:numFmt w:val="decimal"/>
      <w:pStyle w:val="84"/>
      <w:lvlText w:val="%1."/>
      <w:lvlJc w:val="left"/>
      <w:pPr>
        <w:tabs>
          <w:tab w:val="left" w:pos="312"/>
        </w:tabs>
      </w:pPr>
    </w:lvl>
  </w:abstractNum>
  <w:abstractNum w:abstractNumId="7">
    <w:nsid w:val="F41FBC58"/>
    <w:multiLevelType w:val="singleLevel"/>
    <w:tmpl w:val="F41FBC58"/>
    <w:lvl w:ilvl="0" w:tentative="0">
      <w:start w:val="1"/>
      <w:numFmt w:val="decimal"/>
      <w:suff w:val="nothing"/>
      <w:lvlText w:val="%1、"/>
      <w:lvlJc w:val="left"/>
    </w:lvl>
  </w:abstractNum>
  <w:abstractNum w:abstractNumId="8">
    <w:nsid w:val="05A11A21"/>
    <w:multiLevelType w:val="singleLevel"/>
    <w:tmpl w:val="05A11A21"/>
    <w:lvl w:ilvl="0" w:tentative="0">
      <w:start w:val="1"/>
      <w:numFmt w:val="decimal"/>
      <w:suff w:val="nothing"/>
      <w:lvlText w:val="%1、"/>
      <w:lvlJc w:val="left"/>
    </w:lvl>
  </w:abstractNum>
  <w:abstractNum w:abstractNumId="9">
    <w:nsid w:val="07EB746B"/>
    <w:multiLevelType w:val="multilevel"/>
    <w:tmpl w:val="07EB746B"/>
    <w:lvl w:ilvl="0" w:tentative="0">
      <w:start w:val="1"/>
      <w:numFmt w:val="chineseCountingThousand"/>
      <w:suff w:val="nothing"/>
      <w:lvlText w:val="%1、"/>
      <w:lvlJc w:val="left"/>
      <w:pPr>
        <w:ind w:left="680" w:hanging="680"/>
      </w:pPr>
      <w:rPr>
        <w:rFonts w:hint="eastAsia"/>
        <w:b/>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suff w:val="nothing"/>
      <w:lvlText w:val="%4、"/>
      <w:lvlJc w:val="left"/>
      <w:pPr>
        <w:ind w:left="624" w:hanging="624"/>
      </w:pPr>
      <w:rPr>
        <w:rFonts w:hint="eastAsia"/>
        <w:b w:val="0"/>
        <w:lang w:val="en-US"/>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0">
    <w:nsid w:val="318774D8"/>
    <w:multiLevelType w:val="singleLevel"/>
    <w:tmpl w:val="318774D8"/>
    <w:lvl w:ilvl="0" w:tentative="0">
      <w:start w:val="1"/>
      <w:numFmt w:val="decimal"/>
      <w:suff w:val="nothing"/>
      <w:lvlText w:val="%1、"/>
      <w:lvlJc w:val="left"/>
    </w:lvl>
  </w:abstractNum>
  <w:abstractNum w:abstractNumId="11">
    <w:nsid w:val="3B1A7025"/>
    <w:multiLevelType w:val="singleLevel"/>
    <w:tmpl w:val="3B1A7025"/>
    <w:lvl w:ilvl="0" w:tentative="0">
      <w:start w:val="1"/>
      <w:numFmt w:val="decimal"/>
      <w:lvlText w:val="(%1)"/>
      <w:lvlJc w:val="left"/>
      <w:pPr>
        <w:ind w:left="425" w:hanging="425"/>
      </w:pPr>
      <w:rPr>
        <w:rFonts w:hint="default"/>
      </w:rPr>
    </w:lvl>
  </w:abstractNum>
  <w:abstractNum w:abstractNumId="12">
    <w:nsid w:val="3E6525C4"/>
    <w:multiLevelType w:val="singleLevel"/>
    <w:tmpl w:val="3E6525C4"/>
    <w:lvl w:ilvl="0" w:tentative="0">
      <w:start w:val="1"/>
      <w:numFmt w:val="decimal"/>
      <w:suff w:val="nothing"/>
      <w:lvlText w:val="%1、"/>
      <w:lvlJc w:val="left"/>
    </w:lvl>
  </w:abstractNum>
  <w:abstractNum w:abstractNumId="13">
    <w:nsid w:val="4822C3FA"/>
    <w:multiLevelType w:val="singleLevel"/>
    <w:tmpl w:val="4822C3FA"/>
    <w:lvl w:ilvl="0" w:tentative="0">
      <w:start w:val="1"/>
      <w:numFmt w:val="decimal"/>
      <w:suff w:val="nothing"/>
      <w:lvlText w:val="%1、"/>
      <w:lvlJc w:val="left"/>
    </w:lvl>
  </w:abstractNum>
  <w:abstractNum w:abstractNumId="14">
    <w:nsid w:val="681DA602"/>
    <w:multiLevelType w:val="singleLevel"/>
    <w:tmpl w:val="681DA602"/>
    <w:lvl w:ilvl="0" w:tentative="0">
      <w:start w:val="1"/>
      <w:numFmt w:val="decimal"/>
      <w:suff w:val="nothing"/>
      <w:lvlText w:val="%1、"/>
      <w:lvlJc w:val="left"/>
    </w:lvl>
  </w:abstractNum>
  <w:abstractNum w:abstractNumId="15">
    <w:nsid w:val="69A33A0F"/>
    <w:multiLevelType w:val="singleLevel"/>
    <w:tmpl w:val="69A33A0F"/>
    <w:lvl w:ilvl="0" w:tentative="0">
      <w:start w:val="1"/>
      <w:numFmt w:val="decimal"/>
      <w:suff w:val="nothing"/>
      <w:lvlText w:val="%1、"/>
      <w:lvlJc w:val="left"/>
    </w:lvl>
  </w:abstractNum>
  <w:num w:numId="1">
    <w:abstractNumId w:val="6"/>
  </w:num>
  <w:num w:numId="2">
    <w:abstractNumId w:val="9"/>
  </w:num>
  <w:num w:numId="3">
    <w:abstractNumId w:val="8"/>
  </w:num>
  <w:num w:numId="4">
    <w:abstractNumId w:val="2"/>
  </w:num>
  <w:num w:numId="5">
    <w:abstractNumId w:val="4"/>
  </w:num>
  <w:num w:numId="6">
    <w:abstractNumId w:val="1"/>
  </w:num>
  <w:num w:numId="7">
    <w:abstractNumId w:val="5"/>
  </w:num>
  <w:num w:numId="8">
    <w:abstractNumId w:val="3"/>
  </w:num>
  <w:num w:numId="9">
    <w:abstractNumId w:val="15"/>
  </w:num>
  <w:num w:numId="10">
    <w:abstractNumId w:val="7"/>
  </w:num>
  <w:num w:numId="11">
    <w:abstractNumId w:val="13"/>
  </w:num>
  <w:num w:numId="12">
    <w:abstractNumId w:val="10"/>
  </w:num>
  <w:num w:numId="13">
    <w:abstractNumId w:val="11"/>
  </w:num>
  <w:num w:numId="14">
    <w:abstractNumId w:val="14"/>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hOTQ3ZDQ0YzUwZWM0NzM2Y2YyMDBiMjkwYTA5ZGYifQ=="/>
  </w:docVars>
  <w:rsids>
    <w:rsidRoot w:val="00172A27"/>
    <w:rsid w:val="00004197"/>
    <w:rsid w:val="00010D6B"/>
    <w:rsid w:val="00011053"/>
    <w:rsid w:val="00020B83"/>
    <w:rsid w:val="000312D5"/>
    <w:rsid w:val="000326A0"/>
    <w:rsid w:val="00033873"/>
    <w:rsid w:val="000371AB"/>
    <w:rsid w:val="000436F1"/>
    <w:rsid w:val="000445B9"/>
    <w:rsid w:val="00044704"/>
    <w:rsid w:val="00045337"/>
    <w:rsid w:val="00050091"/>
    <w:rsid w:val="000506D4"/>
    <w:rsid w:val="000545B2"/>
    <w:rsid w:val="00054AED"/>
    <w:rsid w:val="00056153"/>
    <w:rsid w:val="000562FE"/>
    <w:rsid w:val="00056954"/>
    <w:rsid w:val="00056C93"/>
    <w:rsid w:val="000576AF"/>
    <w:rsid w:val="00057EF7"/>
    <w:rsid w:val="000601D9"/>
    <w:rsid w:val="0006403A"/>
    <w:rsid w:val="00066AA1"/>
    <w:rsid w:val="00067DCD"/>
    <w:rsid w:val="00071C9C"/>
    <w:rsid w:val="00072322"/>
    <w:rsid w:val="0007676A"/>
    <w:rsid w:val="00080FF1"/>
    <w:rsid w:val="0008152A"/>
    <w:rsid w:val="00086C3D"/>
    <w:rsid w:val="00087E36"/>
    <w:rsid w:val="0009167D"/>
    <w:rsid w:val="000938EA"/>
    <w:rsid w:val="000953DE"/>
    <w:rsid w:val="00096F8B"/>
    <w:rsid w:val="00097309"/>
    <w:rsid w:val="000979A0"/>
    <w:rsid w:val="000A297D"/>
    <w:rsid w:val="000A4D2D"/>
    <w:rsid w:val="000A5E73"/>
    <w:rsid w:val="000B01CF"/>
    <w:rsid w:val="000B1D44"/>
    <w:rsid w:val="000B26FB"/>
    <w:rsid w:val="000C045F"/>
    <w:rsid w:val="000C1B7F"/>
    <w:rsid w:val="000C46B5"/>
    <w:rsid w:val="000C5A12"/>
    <w:rsid w:val="000D07EC"/>
    <w:rsid w:val="000D205E"/>
    <w:rsid w:val="000D5F87"/>
    <w:rsid w:val="000D67F5"/>
    <w:rsid w:val="000D6CDF"/>
    <w:rsid w:val="000D7801"/>
    <w:rsid w:val="000D7BE8"/>
    <w:rsid w:val="000E0C99"/>
    <w:rsid w:val="000F225D"/>
    <w:rsid w:val="000F33A7"/>
    <w:rsid w:val="000F4E9D"/>
    <w:rsid w:val="000F75FD"/>
    <w:rsid w:val="001012DF"/>
    <w:rsid w:val="00101BCF"/>
    <w:rsid w:val="0010742D"/>
    <w:rsid w:val="00107EFB"/>
    <w:rsid w:val="0011063D"/>
    <w:rsid w:val="00110861"/>
    <w:rsid w:val="00111EAF"/>
    <w:rsid w:val="00116ECD"/>
    <w:rsid w:val="001207F7"/>
    <w:rsid w:val="00121ED3"/>
    <w:rsid w:val="00124521"/>
    <w:rsid w:val="00124ED9"/>
    <w:rsid w:val="00125114"/>
    <w:rsid w:val="00134A8B"/>
    <w:rsid w:val="00135448"/>
    <w:rsid w:val="00135A18"/>
    <w:rsid w:val="0014253C"/>
    <w:rsid w:val="0014304C"/>
    <w:rsid w:val="001476AE"/>
    <w:rsid w:val="00150EF0"/>
    <w:rsid w:val="00152C90"/>
    <w:rsid w:val="001546B2"/>
    <w:rsid w:val="001571D2"/>
    <w:rsid w:val="0015798F"/>
    <w:rsid w:val="001612FE"/>
    <w:rsid w:val="00162EF6"/>
    <w:rsid w:val="0016494A"/>
    <w:rsid w:val="001652DF"/>
    <w:rsid w:val="00165C57"/>
    <w:rsid w:val="001673F4"/>
    <w:rsid w:val="0017182D"/>
    <w:rsid w:val="00172A27"/>
    <w:rsid w:val="00176565"/>
    <w:rsid w:val="00177B34"/>
    <w:rsid w:val="00180483"/>
    <w:rsid w:val="00184D45"/>
    <w:rsid w:val="00185659"/>
    <w:rsid w:val="0018585E"/>
    <w:rsid w:val="00186AC6"/>
    <w:rsid w:val="00186B06"/>
    <w:rsid w:val="00186F54"/>
    <w:rsid w:val="0018749E"/>
    <w:rsid w:val="0019210E"/>
    <w:rsid w:val="00192744"/>
    <w:rsid w:val="00192A9F"/>
    <w:rsid w:val="00195A97"/>
    <w:rsid w:val="00196098"/>
    <w:rsid w:val="001964C0"/>
    <w:rsid w:val="00196E77"/>
    <w:rsid w:val="001A28B5"/>
    <w:rsid w:val="001A36FE"/>
    <w:rsid w:val="001A3B66"/>
    <w:rsid w:val="001A5A11"/>
    <w:rsid w:val="001A5BAB"/>
    <w:rsid w:val="001A7448"/>
    <w:rsid w:val="001B143D"/>
    <w:rsid w:val="001B6990"/>
    <w:rsid w:val="001C3343"/>
    <w:rsid w:val="001C3823"/>
    <w:rsid w:val="001C5556"/>
    <w:rsid w:val="001C63AA"/>
    <w:rsid w:val="001C751F"/>
    <w:rsid w:val="001C7A4B"/>
    <w:rsid w:val="001D613C"/>
    <w:rsid w:val="001E0D10"/>
    <w:rsid w:val="001E2CB4"/>
    <w:rsid w:val="001E4E27"/>
    <w:rsid w:val="001F40CF"/>
    <w:rsid w:val="001F558B"/>
    <w:rsid w:val="001F6512"/>
    <w:rsid w:val="001F6880"/>
    <w:rsid w:val="001F7E23"/>
    <w:rsid w:val="0020170A"/>
    <w:rsid w:val="0020183F"/>
    <w:rsid w:val="00205E3A"/>
    <w:rsid w:val="002062B4"/>
    <w:rsid w:val="0020798F"/>
    <w:rsid w:val="002103B8"/>
    <w:rsid w:val="0021381B"/>
    <w:rsid w:val="002205ED"/>
    <w:rsid w:val="00221252"/>
    <w:rsid w:val="00221A03"/>
    <w:rsid w:val="002220CF"/>
    <w:rsid w:val="00235C30"/>
    <w:rsid w:val="00235E37"/>
    <w:rsid w:val="00235FC6"/>
    <w:rsid w:val="002366AF"/>
    <w:rsid w:val="00247619"/>
    <w:rsid w:val="00251B8C"/>
    <w:rsid w:val="00252529"/>
    <w:rsid w:val="00261526"/>
    <w:rsid w:val="0026269F"/>
    <w:rsid w:val="00263546"/>
    <w:rsid w:val="002657EF"/>
    <w:rsid w:val="00270839"/>
    <w:rsid w:val="0027176F"/>
    <w:rsid w:val="00271B9B"/>
    <w:rsid w:val="002761E2"/>
    <w:rsid w:val="00277007"/>
    <w:rsid w:val="00280521"/>
    <w:rsid w:val="00281AEB"/>
    <w:rsid w:val="00286C29"/>
    <w:rsid w:val="00290AC3"/>
    <w:rsid w:val="00290B4F"/>
    <w:rsid w:val="00291928"/>
    <w:rsid w:val="0029617A"/>
    <w:rsid w:val="00297164"/>
    <w:rsid w:val="002A02AA"/>
    <w:rsid w:val="002A107B"/>
    <w:rsid w:val="002A3604"/>
    <w:rsid w:val="002A486C"/>
    <w:rsid w:val="002A572D"/>
    <w:rsid w:val="002A6228"/>
    <w:rsid w:val="002A7DD9"/>
    <w:rsid w:val="002A7E1E"/>
    <w:rsid w:val="002B040B"/>
    <w:rsid w:val="002B09A7"/>
    <w:rsid w:val="002B2000"/>
    <w:rsid w:val="002B23DF"/>
    <w:rsid w:val="002B4FD1"/>
    <w:rsid w:val="002B77C4"/>
    <w:rsid w:val="002C0896"/>
    <w:rsid w:val="002C43AD"/>
    <w:rsid w:val="002C7C22"/>
    <w:rsid w:val="002D1C63"/>
    <w:rsid w:val="002D3A0E"/>
    <w:rsid w:val="002D5B93"/>
    <w:rsid w:val="002E0D61"/>
    <w:rsid w:val="002E1A4B"/>
    <w:rsid w:val="002E4A9F"/>
    <w:rsid w:val="002E51EE"/>
    <w:rsid w:val="002F65E1"/>
    <w:rsid w:val="00300C01"/>
    <w:rsid w:val="003016D4"/>
    <w:rsid w:val="00301BA8"/>
    <w:rsid w:val="00306B15"/>
    <w:rsid w:val="00306D09"/>
    <w:rsid w:val="003101A9"/>
    <w:rsid w:val="003114BC"/>
    <w:rsid w:val="003127DE"/>
    <w:rsid w:val="00312B08"/>
    <w:rsid w:val="00320D1B"/>
    <w:rsid w:val="00322CBF"/>
    <w:rsid w:val="00324E09"/>
    <w:rsid w:val="00327E03"/>
    <w:rsid w:val="00330206"/>
    <w:rsid w:val="00333BC8"/>
    <w:rsid w:val="0033452E"/>
    <w:rsid w:val="00336B51"/>
    <w:rsid w:val="0034063E"/>
    <w:rsid w:val="00340C02"/>
    <w:rsid w:val="00341705"/>
    <w:rsid w:val="00342FC1"/>
    <w:rsid w:val="00344385"/>
    <w:rsid w:val="0035191F"/>
    <w:rsid w:val="00352DFF"/>
    <w:rsid w:val="0035393B"/>
    <w:rsid w:val="00355252"/>
    <w:rsid w:val="00357C42"/>
    <w:rsid w:val="00360497"/>
    <w:rsid w:val="00362B82"/>
    <w:rsid w:val="00366D50"/>
    <w:rsid w:val="00367E22"/>
    <w:rsid w:val="00373DC8"/>
    <w:rsid w:val="0037524A"/>
    <w:rsid w:val="0037533A"/>
    <w:rsid w:val="00376C28"/>
    <w:rsid w:val="00376CCD"/>
    <w:rsid w:val="003774CE"/>
    <w:rsid w:val="003813AE"/>
    <w:rsid w:val="003846BF"/>
    <w:rsid w:val="0038632D"/>
    <w:rsid w:val="003933ED"/>
    <w:rsid w:val="00393981"/>
    <w:rsid w:val="00395AD9"/>
    <w:rsid w:val="003A0690"/>
    <w:rsid w:val="003A3358"/>
    <w:rsid w:val="003A36CA"/>
    <w:rsid w:val="003A4E7F"/>
    <w:rsid w:val="003A6D85"/>
    <w:rsid w:val="003B2FCA"/>
    <w:rsid w:val="003B4521"/>
    <w:rsid w:val="003B5806"/>
    <w:rsid w:val="003C0897"/>
    <w:rsid w:val="003C4615"/>
    <w:rsid w:val="003C5A71"/>
    <w:rsid w:val="003C5CB8"/>
    <w:rsid w:val="003D23F0"/>
    <w:rsid w:val="003D3DBF"/>
    <w:rsid w:val="003D5341"/>
    <w:rsid w:val="003D57E0"/>
    <w:rsid w:val="003D6011"/>
    <w:rsid w:val="003D71CA"/>
    <w:rsid w:val="003E075B"/>
    <w:rsid w:val="003E529B"/>
    <w:rsid w:val="003E6365"/>
    <w:rsid w:val="003E791F"/>
    <w:rsid w:val="003F11B2"/>
    <w:rsid w:val="003F2306"/>
    <w:rsid w:val="003F3DB3"/>
    <w:rsid w:val="003F6248"/>
    <w:rsid w:val="003F754D"/>
    <w:rsid w:val="0040043D"/>
    <w:rsid w:val="004009D3"/>
    <w:rsid w:val="00410398"/>
    <w:rsid w:val="00413785"/>
    <w:rsid w:val="00415FC8"/>
    <w:rsid w:val="00416D06"/>
    <w:rsid w:val="0042162E"/>
    <w:rsid w:val="00424887"/>
    <w:rsid w:val="0042529A"/>
    <w:rsid w:val="00427025"/>
    <w:rsid w:val="0042715D"/>
    <w:rsid w:val="00430894"/>
    <w:rsid w:val="004308BB"/>
    <w:rsid w:val="004340B0"/>
    <w:rsid w:val="004356CE"/>
    <w:rsid w:val="00443D23"/>
    <w:rsid w:val="0044588F"/>
    <w:rsid w:val="00445FFC"/>
    <w:rsid w:val="004468C0"/>
    <w:rsid w:val="00452595"/>
    <w:rsid w:val="00452BD2"/>
    <w:rsid w:val="00452E92"/>
    <w:rsid w:val="00453C3B"/>
    <w:rsid w:val="00454A19"/>
    <w:rsid w:val="004569EF"/>
    <w:rsid w:val="00456B0C"/>
    <w:rsid w:val="004605E7"/>
    <w:rsid w:val="004662C1"/>
    <w:rsid w:val="00470B04"/>
    <w:rsid w:val="0047283A"/>
    <w:rsid w:val="0047327E"/>
    <w:rsid w:val="004737E8"/>
    <w:rsid w:val="004775F4"/>
    <w:rsid w:val="0048657B"/>
    <w:rsid w:val="0048701C"/>
    <w:rsid w:val="004878EE"/>
    <w:rsid w:val="0049383B"/>
    <w:rsid w:val="00494C20"/>
    <w:rsid w:val="004A23CF"/>
    <w:rsid w:val="004A602D"/>
    <w:rsid w:val="004B02A5"/>
    <w:rsid w:val="004B2207"/>
    <w:rsid w:val="004B24B6"/>
    <w:rsid w:val="004B2595"/>
    <w:rsid w:val="004B3D1B"/>
    <w:rsid w:val="004B447C"/>
    <w:rsid w:val="004B4C75"/>
    <w:rsid w:val="004B6CAF"/>
    <w:rsid w:val="004C1612"/>
    <w:rsid w:val="004C5860"/>
    <w:rsid w:val="004C6012"/>
    <w:rsid w:val="004D17AD"/>
    <w:rsid w:val="004D21A5"/>
    <w:rsid w:val="004D36BD"/>
    <w:rsid w:val="004D46E0"/>
    <w:rsid w:val="004D5CF8"/>
    <w:rsid w:val="004D6142"/>
    <w:rsid w:val="004D66E6"/>
    <w:rsid w:val="004D705D"/>
    <w:rsid w:val="004E1677"/>
    <w:rsid w:val="004E22DE"/>
    <w:rsid w:val="004E3750"/>
    <w:rsid w:val="004E3D2D"/>
    <w:rsid w:val="004E504D"/>
    <w:rsid w:val="004E57D8"/>
    <w:rsid w:val="004E6E5E"/>
    <w:rsid w:val="004F0AF3"/>
    <w:rsid w:val="004F2001"/>
    <w:rsid w:val="004F3490"/>
    <w:rsid w:val="004F5295"/>
    <w:rsid w:val="004F630D"/>
    <w:rsid w:val="0050682B"/>
    <w:rsid w:val="00512137"/>
    <w:rsid w:val="00513D41"/>
    <w:rsid w:val="005205FD"/>
    <w:rsid w:val="00523504"/>
    <w:rsid w:val="00523B92"/>
    <w:rsid w:val="0052564C"/>
    <w:rsid w:val="00525902"/>
    <w:rsid w:val="00525CEA"/>
    <w:rsid w:val="00530197"/>
    <w:rsid w:val="00534000"/>
    <w:rsid w:val="00536A05"/>
    <w:rsid w:val="0054029A"/>
    <w:rsid w:val="005412F8"/>
    <w:rsid w:val="005418AF"/>
    <w:rsid w:val="00543E01"/>
    <w:rsid w:val="00552FF8"/>
    <w:rsid w:val="005546C1"/>
    <w:rsid w:val="00554F1E"/>
    <w:rsid w:val="00557907"/>
    <w:rsid w:val="00560BC7"/>
    <w:rsid w:val="00561200"/>
    <w:rsid w:val="00561A4F"/>
    <w:rsid w:val="005620D0"/>
    <w:rsid w:val="005660E4"/>
    <w:rsid w:val="005661B6"/>
    <w:rsid w:val="00567F7C"/>
    <w:rsid w:val="005712BF"/>
    <w:rsid w:val="005713A3"/>
    <w:rsid w:val="005732F9"/>
    <w:rsid w:val="00576542"/>
    <w:rsid w:val="00576F64"/>
    <w:rsid w:val="005812B8"/>
    <w:rsid w:val="00587CB0"/>
    <w:rsid w:val="00590849"/>
    <w:rsid w:val="00591AC4"/>
    <w:rsid w:val="00593FC5"/>
    <w:rsid w:val="005A029E"/>
    <w:rsid w:val="005A2372"/>
    <w:rsid w:val="005A2389"/>
    <w:rsid w:val="005A351E"/>
    <w:rsid w:val="005B0B0A"/>
    <w:rsid w:val="005B11C9"/>
    <w:rsid w:val="005B11E5"/>
    <w:rsid w:val="005B2AAF"/>
    <w:rsid w:val="005B431B"/>
    <w:rsid w:val="005B455E"/>
    <w:rsid w:val="005B5E8E"/>
    <w:rsid w:val="005B6CDF"/>
    <w:rsid w:val="005C0493"/>
    <w:rsid w:val="005C1812"/>
    <w:rsid w:val="005C25A2"/>
    <w:rsid w:val="005C3810"/>
    <w:rsid w:val="005C46F7"/>
    <w:rsid w:val="005C711D"/>
    <w:rsid w:val="005D100C"/>
    <w:rsid w:val="005D290E"/>
    <w:rsid w:val="005D31EB"/>
    <w:rsid w:val="005D3561"/>
    <w:rsid w:val="005D61E2"/>
    <w:rsid w:val="005D6760"/>
    <w:rsid w:val="005E4081"/>
    <w:rsid w:val="005E77EC"/>
    <w:rsid w:val="005E7C03"/>
    <w:rsid w:val="005F0807"/>
    <w:rsid w:val="005F144D"/>
    <w:rsid w:val="005F20E3"/>
    <w:rsid w:val="005F3EA8"/>
    <w:rsid w:val="005F55B3"/>
    <w:rsid w:val="00600515"/>
    <w:rsid w:val="006030BF"/>
    <w:rsid w:val="006071FC"/>
    <w:rsid w:val="00612396"/>
    <w:rsid w:val="00612632"/>
    <w:rsid w:val="006128B3"/>
    <w:rsid w:val="00615147"/>
    <w:rsid w:val="00616F8F"/>
    <w:rsid w:val="0061701A"/>
    <w:rsid w:val="00617DAD"/>
    <w:rsid w:val="00623507"/>
    <w:rsid w:val="00624511"/>
    <w:rsid w:val="00624DEF"/>
    <w:rsid w:val="0062550E"/>
    <w:rsid w:val="00627E3E"/>
    <w:rsid w:val="006301F9"/>
    <w:rsid w:val="0063683F"/>
    <w:rsid w:val="0064058A"/>
    <w:rsid w:val="00645696"/>
    <w:rsid w:val="00652F61"/>
    <w:rsid w:val="00652FE5"/>
    <w:rsid w:val="00663B91"/>
    <w:rsid w:val="006731F8"/>
    <w:rsid w:val="00674741"/>
    <w:rsid w:val="006818FE"/>
    <w:rsid w:val="00684BD2"/>
    <w:rsid w:val="00690723"/>
    <w:rsid w:val="00693D70"/>
    <w:rsid w:val="0069454F"/>
    <w:rsid w:val="00694889"/>
    <w:rsid w:val="00696A6A"/>
    <w:rsid w:val="006A3A67"/>
    <w:rsid w:val="006A3DC5"/>
    <w:rsid w:val="006A3FF2"/>
    <w:rsid w:val="006A7095"/>
    <w:rsid w:val="006B14C0"/>
    <w:rsid w:val="006B2095"/>
    <w:rsid w:val="006B2BCC"/>
    <w:rsid w:val="006B585F"/>
    <w:rsid w:val="006C7FD2"/>
    <w:rsid w:val="006D021D"/>
    <w:rsid w:val="006D0BC1"/>
    <w:rsid w:val="006D21CD"/>
    <w:rsid w:val="006D38A5"/>
    <w:rsid w:val="006D4DAE"/>
    <w:rsid w:val="006E051C"/>
    <w:rsid w:val="006E0CB2"/>
    <w:rsid w:val="006F029A"/>
    <w:rsid w:val="006F16A3"/>
    <w:rsid w:val="006F220C"/>
    <w:rsid w:val="006F40A3"/>
    <w:rsid w:val="006F6F93"/>
    <w:rsid w:val="00701EA1"/>
    <w:rsid w:val="0070324B"/>
    <w:rsid w:val="007063D1"/>
    <w:rsid w:val="0070705C"/>
    <w:rsid w:val="007111C0"/>
    <w:rsid w:val="0072445D"/>
    <w:rsid w:val="007249B1"/>
    <w:rsid w:val="00724F1F"/>
    <w:rsid w:val="00726C27"/>
    <w:rsid w:val="007352DA"/>
    <w:rsid w:val="00736805"/>
    <w:rsid w:val="00740798"/>
    <w:rsid w:val="0074085A"/>
    <w:rsid w:val="0074276C"/>
    <w:rsid w:val="0074466F"/>
    <w:rsid w:val="0075119B"/>
    <w:rsid w:val="0075136B"/>
    <w:rsid w:val="00754A91"/>
    <w:rsid w:val="00761166"/>
    <w:rsid w:val="00761DA2"/>
    <w:rsid w:val="007634C0"/>
    <w:rsid w:val="00767B62"/>
    <w:rsid w:val="0077047C"/>
    <w:rsid w:val="00770E66"/>
    <w:rsid w:val="00773CF8"/>
    <w:rsid w:val="00777B93"/>
    <w:rsid w:val="00780143"/>
    <w:rsid w:val="007906E0"/>
    <w:rsid w:val="00790B1C"/>
    <w:rsid w:val="0079218D"/>
    <w:rsid w:val="00793675"/>
    <w:rsid w:val="00793BA0"/>
    <w:rsid w:val="00797796"/>
    <w:rsid w:val="007A2B7F"/>
    <w:rsid w:val="007A3381"/>
    <w:rsid w:val="007A75A8"/>
    <w:rsid w:val="007A7D0A"/>
    <w:rsid w:val="007B0396"/>
    <w:rsid w:val="007B20C6"/>
    <w:rsid w:val="007B24D9"/>
    <w:rsid w:val="007C13D4"/>
    <w:rsid w:val="007C4BF7"/>
    <w:rsid w:val="007C4F7B"/>
    <w:rsid w:val="007C6A39"/>
    <w:rsid w:val="007C7DBD"/>
    <w:rsid w:val="007D6EC4"/>
    <w:rsid w:val="007E281C"/>
    <w:rsid w:val="007E2D61"/>
    <w:rsid w:val="007E6251"/>
    <w:rsid w:val="007E784E"/>
    <w:rsid w:val="007F020D"/>
    <w:rsid w:val="007F1A6E"/>
    <w:rsid w:val="007F4596"/>
    <w:rsid w:val="007F470A"/>
    <w:rsid w:val="007F56AD"/>
    <w:rsid w:val="007F659E"/>
    <w:rsid w:val="008048D1"/>
    <w:rsid w:val="0081517D"/>
    <w:rsid w:val="00817D27"/>
    <w:rsid w:val="008204F5"/>
    <w:rsid w:val="0082056F"/>
    <w:rsid w:val="00821650"/>
    <w:rsid w:val="00822C56"/>
    <w:rsid w:val="00822DF2"/>
    <w:rsid w:val="0082418C"/>
    <w:rsid w:val="008243A4"/>
    <w:rsid w:val="008268C4"/>
    <w:rsid w:val="00826ACE"/>
    <w:rsid w:val="008312C0"/>
    <w:rsid w:val="00831360"/>
    <w:rsid w:val="0083332E"/>
    <w:rsid w:val="00834218"/>
    <w:rsid w:val="008343E5"/>
    <w:rsid w:val="00840472"/>
    <w:rsid w:val="008436B5"/>
    <w:rsid w:val="00847C9F"/>
    <w:rsid w:val="008514F6"/>
    <w:rsid w:val="00851A36"/>
    <w:rsid w:val="00852668"/>
    <w:rsid w:val="00852752"/>
    <w:rsid w:val="00854706"/>
    <w:rsid w:val="00856012"/>
    <w:rsid w:val="00872644"/>
    <w:rsid w:val="00874A20"/>
    <w:rsid w:val="00875615"/>
    <w:rsid w:val="00876AA6"/>
    <w:rsid w:val="0088005E"/>
    <w:rsid w:val="0088565D"/>
    <w:rsid w:val="008861E5"/>
    <w:rsid w:val="0089338B"/>
    <w:rsid w:val="00893D5E"/>
    <w:rsid w:val="00895991"/>
    <w:rsid w:val="008979BA"/>
    <w:rsid w:val="008A3ABE"/>
    <w:rsid w:val="008A41F1"/>
    <w:rsid w:val="008A63A0"/>
    <w:rsid w:val="008A78CD"/>
    <w:rsid w:val="008B7729"/>
    <w:rsid w:val="008C3A57"/>
    <w:rsid w:val="008C43CB"/>
    <w:rsid w:val="008C4A94"/>
    <w:rsid w:val="008C4DB5"/>
    <w:rsid w:val="008D44FA"/>
    <w:rsid w:val="008D7537"/>
    <w:rsid w:val="008E2CD4"/>
    <w:rsid w:val="008E395E"/>
    <w:rsid w:val="008E3FCE"/>
    <w:rsid w:val="008F099F"/>
    <w:rsid w:val="008F33B6"/>
    <w:rsid w:val="008F4CDB"/>
    <w:rsid w:val="008F5648"/>
    <w:rsid w:val="008F631E"/>
    <w:rsid w:val="00900FD9"/>
    <w:rsid w:val="00902B9A"/>
    <w:rsid w:val="00906435"/>
    <w:rsid w:val="0090673F"/>
    <w:rsid w:val="00907716"/>
    <w:rsid w:val="00910EDA"/>
    <w:rsid w:val="00912E65"/>
    <w:rsid w:val="00913F7F"/>
    <w:rsid w:val="00920BDE"/>
    <w:rsid w:val="00920E79"/>
    <w:rsid w:val="00922F4D"/>
    <w:rsid w:val="00923367"/>
    <w:rsid w:val="009237F0"/>
    <w:rsid w:val="009305C2"/>
    <w:rsid w:val="009323F4"/>
    <w:rsid w:val="00936F59"/>
    <w:rsid w:val="00937742"/>
    <w:rsid w:val="009443AA"/>
    <w:rsid w:val="009508DD"/>
    <w:rsid w:val="009545C5"/>
    <w:rsid w:val="00956887"/>
    <w:rsid w:val="00966225"/>
    <w:rsid w:val="00971C0D"/>
    <w:rsid w:val="00971DB2"/>
    <w:rsid w:val="0097302F"/>
    <w:rsid w:val="00976B5C"/>
    <w:rsid w:val="009802FB"/>
    <w:rsid w:val="00982510"/>
    <w:rsid w:val="0098566A"/>
    <w:rsid w:val="009859E0"/>
    <w:rsid w:val="00986D37"/>
    <w:rsid w:val="0099058E"/>
    <w:rsid w:val="00993400"/>
    <w:rsid w:val="00993AA0"/>
    <w:rsid w:val="009A2E4C"/>
    <w:rsid w:val="009B0782"/>
    <w:rsid w:val="009B2D0E"/>
    <w:rsid w:val="009B3C3F"/>
    <w:rsid w:val="009B6360"/>
    <w:rsid w:val="009C28D8"/>
    <w:rsid w:val="009C7425"/>
    <w:rsid w:val="009D10B7"/>
    <w:rsid w:val="009D11CB"/>
    <w:rsid w:val="009D1B3E"/>
    <w:rsid w:val="009D2C2B"/>
    <w:rsid w:val="009D38AB"/>
    <w:rsid w:val="009E2819"/>
    <w:rsid w:val="009F289E"/>
    <w:rsid w:val="009F2E0D"/>
    <w:rsid w:val="009F3FD6"/>
    <w:rsid w:val="00A01F77"/>
    <w:rsid w:val="00A028C5"/>
    <w:rsid w:val="00A07490"/>
    <w:rsid w:val="00A07E35"/>
    <w:rsid w:val="00A218AD"/>
    <w:rsid w:val="00A33578"/>
    <w:rsid w:val="00A366D0"/>
    <w:rsid w:val="00A42373"/>
    <w:rsid w:val="00A425A4"/>
    <w:rsid w:val="00A42F1E"/>
    <w:rsid w:val="00A43BA9"/>
    <w:rsid w:val="00A5274D"/>
    <w:rsid w:val="00A5515C"/>
    <w:rsid w:val="00A56480"/>
    <w:rsid w:val="00A56C72"/>
    <w:rsid w:val="00A60108"/>
    <w:rsid w:val="00A60DB7"/>
    <w:rsid w:val="00A61A50"/>
    <w:rsid w:val="00A62AEB"/>
    <w:rsid w:val="00A65525"/>
    <w:rsid w:val="00A6638D"/>
    <w:rsid w:val="00A676FE"/>
    <w:rsid w:val="00A67DB6"/>
    <w:rsid w:val="00A71C16"/>
    <w:rsid w:val="00A7725A"/>
    <w:rsid w:val="00A827AE"/>
    <w:rsid w:val="00A90CFE"/>
    <w:rsid w:val="00A921B7"/>
    <w:rsid w:val="00A9348D"/>
    <w:rsid w:val="00A94FA8"/>
    <w:rsid w:val="00A97137"/>
    <w:rsid w:val="00A975DC"/>
    <w:rsid w:val="00AA48BB"/>
    <w:rsid w:val="00AB04DC"/>
    <w:rsid w:val="00AB1D38"/>
    <w:rsid w:val="00AB1FF7"/>
    <w:rsid w:val="00AB3447"/>
    <w:rsid w:val="00AB3A69"/>
    <w:rsid w:val="00AB7894"/>
    <w:rsid w:val="00AB7A46"/>
    <w:rsid w:val="00AC0573"/>
    <w:rsid w:val="00AC38FF"/>
    <w:rsid w:val="00AC5805"/>
    <w:rsid w:val="00AC6588"/>
    <w:rsid w:val="00AD124C"/>
    <w:rsid w:val="00AD1B15"/>
    <w:rsid w:val="00AD266F"/>
    <w:rsid w:val="00AD529C"/>
    <w:rsid w:val="00AD7A7D"/>
    <w:rsid w:val="00AE344B"/>
    <w:rsid w:val="00AE46EA"/>
    <w:rsid w:val="00AE5BCA"/>
    <w:rsid w:val="00AE63AD"/>
    <w:rsid w:val="00AE6F1C"/>
    <w:rsid w:val="00AE727B"/>
    <w:rsid w:val="00AF0DB7"/>
    <w:rsid w:val="00AF15F6"/>
    <w:rsid w:val="00AF4A7A"/>
    <w:rsid w:val="00AF6B9F"/>
    <w:rsid w:val="00AF7255"/>
    <w:rsid w:val="00B009BD"/>
    <w:rsid w:val="00B06B99"/>
    <w:rsid w:val="00B102E3"/>
    <w:rsid w:val="00B10858"/>
    <w:rsid w:val="00B10CF9"/>
    <w:rsid w:val="00B11F24"/>
    <w:rsid w:val="00B12224"/>
    <w:rsid w:val="00B14B7F"/>
    <w:rsid w:val="00B1638F"/>
    <w:rsid w:val="00B170A6"/>
    <w:rsid w:val="00B17616"/>
    <w:rsid w:val="00B21296"/>
    <w:rsid w:val="00B21A22"/>
    <w:rsid w:val="00B21BA1"/>
    <w:rsid w:val="00B227A3"/>
    <w:rsid w:val="00B229CA"/>
    <w:rsid w:val="00B30863"/>
    <w:rsid w:val="00B358B4"/>
    <w:rsid w:val="00B364EB"/>
    <w:rsid w:val="00B43A03"/>
    <w:rsid w:val="00B44185"/>
    <w:rsid w:val="00B46AA3"/>
    <w:rsid w:val="00B47E41"/>
    <w:rsid w:val="00B50C95"/>
    <w:rsid w:val="00B513BE"/>
    <w:rsid w:val="00B525BC"/>
    <w:rsid w:val="00B61BC0"/>
    <w:rsid w:val="00B643C3"/>
    <w:rsid w:val="00B64EF9"/>
    <w:rsid w:val="00B669B5"/>
    <w:rsid w:val="00B71F44"/>
    <w:rsid w:val="00B72E28"/>
    <w:rsid w:val="00B73420"/>
    <w:rsid w:val="00B73A03"/>
    <w:rsid w:val="00B7507C"/>
    <w:rsid w:val="00B750DD"/>
    <w:rsid w:val="00B80694"/>
    <w:rsid w:val="00B8108A"/>
    <w:rsid w:val="00B816FB"/>
    <w:rsid w:val="00B83E1E"/>
    <w:rsid w:val="00B84B85"/>
    <w:rsid w:val="00B86334"/>
    <w:rsid w:val="00B86816"/>
    <w:rsid w:val="00B879BE"/>
    <w:rsid w:val="00B87E05"/>
    <w:rsid w:val="00B944EE"/>
    <w:rsid w:val="00BA23ED"/>
    <w:rsid w:val="00BA66A1"/>
    <w:rsid w:val="00BA67A8"/>
    <w:rsid w:val="00BA7A40"/>
    <w:rsid w:val="00BB05AC"/>
    <w:rsid w:val="00BB2F1F"/>
    <w:rsid w:val="00BB7C12"/>
    <w:rsid w:val="00BC4A59"/>
    <w:rsid w:val="00BC582E"/>
    <w:rsid w:val="00BC6BF6"/>
    <w:rsid w:val="00BD0786"/>
    <w:rsid w:val="00BD0D65"/>
    <w:rsid w:val="00BD695B"/>
    <w:rsid w:val="00BE3E9E"/>
    <w:rsid w:val="00BE6714"/>
    <w:rsid w:val="00BF1D33"/>
    <w:rsid w:val="00BF5A79"/>
    <w:rsid w:val="00BF5DFE"/>
    <w:rsid w:val="00BF60D1"/>
    <w:rsid w:val="00BF736E"/>
    <w:rsid w:val="00C011AE"/>
    <w:rsid w:val="00C02B36"/>
    <w:rsid w:val="00C11B7B"/>
    <w:rsid w:val="00C12486"/>
    <w:rsid w:val="00C15848"/>
    <w:rsid w:val="00C15C91"/>
    <w:rsid w:val="00C21F29"/>
    <w:rsid w:val="00C222D2"/>
    <w:rsid w:val="00C240E4"/>
    <w:rsid w:val="00C2499F"/>
    <w:rsid w:val="00C271A6"/>
    <w:rsid w:val="00C27708"/>
    <w:rsid w:val="00C338FC"/>
    <w:rsid w:val="00C33C13"/>
    <w:rsid w:val="00C341FA"/>
    <w:rsid w:val="00C36BA3"/>
    <w:rsid w:val="00C374FA"/>
    <w:rsid w:val="00C376EA"/>
    <w:rsid w:val="00C41DB1"/>
    <w:rsid w:val="00C47AB3"/>
    <w:rsid w:val="00C51427"/>
    <w:rsid w:val="00C5239F"/>
    <w:rsid w:val="00C524CB"/>
    <w:rsid w:val="00C52F2A"/>
    <w:rsid w:val="00C559AB"/>
    <w:rsid w:val="00C61955"/>
    <w:rsid w:val="00C65450"/>
    <w:rsid w:val="00C677E4"/>
    <w:rsid w:val="00C716A9"/>
    <w:rsid w:val="00C74505"/>
    <w:rsid w:val="00C75802"/>
    <w:rsid w:val="00C7690F"/>
    <w:rsid w:val="00C83DF6"/>
    <w:rsid w:val="00C849DE"/>
    <w:rsid w:val="00C8594F"/>
    <w:rsid w:val="00C85B6D"/>
    <w:rsid w:val="00CA0DFA"/>
    <w:rsid w:val="00CB41F7"/>
    <w:rsid w:val="00CB4DCC"/>
    <w:rsid w:val="00CB6C4F"/>
    <w:rsid w:val="00CC01ED"/>
    <w:rsid w:val="00CC6B91"/>
    <w:rsid w:val="00CD002D"/>
    <w:rsid w:val="00CD428D"/>
    <w:rsid w:val="00CD5C09"/>
    <w:rsid w:val="00CE0571"/>
    <w:rsid w:val="00CE06DC"/>
    <w:rsid w:val="00CE2DEF"/>
    <w:rsid w:val="00CE6B21"/>
    <w:rsid w:val="00CE6EBD"/>
    <w:rsid w:val="00CE701B"/>
    <w:rsid w:val="00CF0ED5"/>
    <w:rsid w:val="00CF3E33"/>
    <w:rsid w:val="00D019F0"/>
    <w:rsid w:val="00D020D1"/>
    <w:rsid w:val="00D10353"/>
    <w:rsid w:val="00D12B1A"/>
    <w:rsid w:val="00D17023"/>
    <w:rsid w:val="00D2187F"/>
    <w:rsid w:val="00D320BD"/>
    <w:rsid w:val="00D33DD5"/>
    <w:rsid w:val="00D366B7"/>
    <w:rsid w:val="00D40FB3"/>
    <w:rsid w:val="00D426F2"/>
    <w:rsid w:val="00D42942"/>
    <w:rsid w:val="00D42B93"/>
    <w:rsid w:val="00D42E99"/>
    <w:rsid w:val="00D4320F"/>
    <w:rsid w:val="00D44FC3"/>
    <w:rsid w:val="00D44FE3"/>
    <w:rsid w:val="00D51A0B"/>
    <w:rsid w:val="00D52190"/>
    <w:rsid w:val="00D5502F"/>
    <w:rsid w:val="00D55973"/>
    <w:rsid w:val="00D55A39"/>
    <w:rsid w:val="00D6319B"/>
    <w:rsid w:val="00D65BA9"/>
    <w:rsid w:val="00D66087"/>
    <w:rsid w:val="00D679C7"/>
    <w:rsid w:val="00D711A2"/>
    <w:rsid w:val="00D7143E"/>
    <w:rsid w:val="00D72F71"/>
    <w:rsid w:val="00D749FA"/>
    <w:rsid w:val="00D74FA1"/>
    <w:rsid w:val="00D77615"/>
    <w:rsid w:val="00D776DB"/>
    <w:rsid w:val="00D8026C"/>
    <w:rsid w:val="00D816E8"/>
    <w:rsid w:val="00D82B9B"/>
    <w:rsid w:val="00D82F6F"/>
    <w:rsid w:val="00D83691"/>
    <w:rsid w:val="00D83DF5"/>
    <w:rsid w:val="00D85BC7"/>
    <w:rsid w:val="00D87350"/>
    <w:rsid w:val="00D9025F"/>
    <w:rsid w:val="00D93135"/>
    <w:rsid w:val="00D94FCC"/>
    <w:rsid w:val="00D97958"/>
    <w:rsid w:val="00DA20F0"/>
    <w:rsid w:val="00DA2FBC"/>
    <w:rsid w:val="00DA3C7B"/>
    <w:rsid w:val="00DA4BC9"/>
    <w:rsid w:val="00DA6CF8"/>
    <w:rsid w:val="00DB1613"/>
    <w:rsid w:val="00DB1986"/>
    <w:rsid w:val="00DB30B2"/>
    <w:rsid w:val="00DB43A5"/>
    <w:rsid w:val="00DB6345"/>
    <w:rsid w:val="00DB7EB0"/>
    <w:rsid w:val="00DC441D"/>
    <w:rsid w:val="00DC4677"/>
    <w:rsid w:val="00DC4A5B"/>
    <w:rsid w:val="00DC73E7"/>
    <w:rsid w:val="00DC79BE"/>
    <w:rsid w:val="00DD1649"/>
    <w:rsid w:val="00DD1F27"/>
    <w:rsid w:val="00DD4188"/>
    <w:rsid w:val="00DD7342"/>
    <w:rsid w:val="00DE06D6"/>
    <w:rsid w:val="00DE0755"/>
    <w:rsid w:val="00DE086B"/>
    <w:rsid w:val="00DE27F8"/>
    <w:rsid w:val="00DE3FCA"/>
    <w:rsid w:val="00DE6555"/>
    <w:rsid w:val="00DF537E"/>
    <w:rsid w:val="00DF5F8C"/>
    <w:rsid w:val="00E01502"/>
    <w:rsid w:val="00E03DC5"/>
    <w:rsid w:val="00E06AC4"/>
    <w:rsid w:val="00E13915"/>
    <w:rsid w:val="00E13C51"/>
    <w:rsid w:val="00E13EF2"/>
    <w:rsid w:val="00E15079"/>
    <w:rsid w:val="00E248A8"/>
    <w:rsid w:val="00E27BF2"/>
    <w:rsid w:val="00E313F3"/>
    <w:rsid w:val="00E31D32"/>
    <w:rsid w:val="00E37B8A"/>
    <w:rsid w:val="00E41763"/>
    <w:rsid w:val="00E41E24"/>
    <w:rsid w:val="00E42F65"/>
    <w:rsid w:val="00E43B72"/>
    <w:rsid w:val="00E47FD6"/>
    <w:rsid w:val="00E50443"/>
    <w:rsid w:val="00E51368"/>
    <w:rsid w:val="00E514E0"/>
    <w:rsid w:val="00E5433B"/>
    <w:rsid w:val="00E560A7"/>
    <w:rsid w:val="00E57029"/>
    <w:rsid w:val="00E61592"/>
    <w:rsid w:val="00E6422C"/>
    <w:rsid w:val="00E672F5"/>
    <w:rsid w:val="00E673CD"/>
    <w:rsid w:val="00E67880"/>
    <w:rsid w:val="00E70007"/>
    <w:rsid w:val="00E73BFC"/>
    <w:rsid w:val="00E754AE"/>
    <w:rsid w:val="00E846E0"/>
    <w:rsid w:val="00E8551B"/>
    <w:rsid w:val="00E859CF"/>
    <w:rsid w:val="00E866D1"/>
    <w:rsid w:val="00E90033"/>
    <w:rsid w:val="00E930D3"/>
    <w:rsid w:val="00E95437"/>
    <w:rsid w:val="00E9624A"/>
    <w:rsid w:val="00E96406"/>
    <w:rsid w:val="00E96D7D"/>
    <w:rsid w:val="00E9706E"/>
    <w:rsid w:val="00EA1DC2"/>
    <w:rsid w:val="00EA43B7"/>
    <w:rsid w:val="00EB00E1"/>
    <w:rsid w:val="00EB17DE"/>
    <w:rsid w:val="00EB1AD7"/>
    <w:rsid w:val="00EB2155"/>
    <w:rsid w:val="00EB4DBD"/>
    <w:rsid w:val="00EC1359"/>
    <w:rsid w:val="00EC31A6"/>
    <w:rsid w:val="00EC4FA0"/>
    <w:rsid w:val="00EC6294"/>
    <w:rsid w:val="00EC7A22"/>
    <w:rsid w:val="00ED0F1E"/>
    <w:rsid w:val="00EE059F"/>
    <w:rsid w:val="00EE2B63"/>
    <w:rsid w:val="00EF36DA"/>
    <w:rsid w:val="00EF4841"/>
    <w:rsid w:val="00EF49FB"/>
    <w:rsid w:val="00F03BE8"/>
    <w:rsid w:val="00F044EF"/>
    <w:rsid w:val="00F04597"/>
    <w:rsid w:val="00F050E9"/>
    <w:rsid w:val="00F0719B"/>
    <w:rsid w:val="00F073E0"/>
    <w:rsid w:val="00F1200B"/>
    <w:rsid w:val="00F1405D"/>
    <w:rsid w:val="00F17537"/>
    <w:rsid w:val="00F27A9E"/>
    <w:rsid w:val="00F30021"/>
    <w:rsid w:val="00F32082"/>
    <w:rsid w:val="00F32DCA"/>
    <w:rsid w:val="00F33A51"/>
    <w:rsid w:val="00F33BCB"/>
    <w:rsid w:val="00F35386"/>
    <w:rsid w:val="00F361F7"/>
    <w:rsid w:val="00F45784"/>
    <w:rsid w:val="00F467D2"/>
    <w:rsid w:val="00F53B45"/>
    <w:rsid w:val="00F54435"/>
    <w:rsid w:val="00F56C18"/>
    <w:rsid w:val="00F579E6"/>
    <w:rsid w:val="00F606B4"/>
    <w:rsid w:val="00F60A8C"/>
    <w:rsid w:val="00F652A0"/>
    <w:rsid w:val="00F66114"/>
    <w:rsid w:val="00F72B8A"/>
    <w:rsid w:val="00F72C7F"/>
    <w:rsid w:val="00F733D1"/>
    <w:rsid w:val="00F76898"/>
    <w:rsid w:val="00F834A6"/>
    <w:rsid w:val="00F854A2"/>
    <w:rsid w:val="00F90638"/>
    <w:rsid w:val="00F90746"/>
    <w:rsid w:val="00F96644"/>
    <w:rsid w:val="00FA0787"/>
    <w:rsid w:val="00FA33B9"/>
    <w:rsid w:val="00FA3790"/>
    <w:rsid w:val="00FA53AB"/>
    <w:rsid w:val="00FA57C0"/>
    <w:rsid w:val="00FB4FED"/>
    <w:rsid w:val="00FB7444"/>
    <w:rsid w:val="00FC0D5F"/>
    <w:rsid w:val="00FC3285"/>
    <w:rsid w:val="00FD134B"/>
    <w:rsid w:val="00FE4D79"/>
    <w:rsid w:val="00FE50C9"/>
    <w:rsid w:val="00FE6713"/>
    <w:rsid w:val="00FE6A5A"/>
    <w:rsid w:val="00FE7554"/>
    <w:rsid w:val="00FF110F"/>
    <w:rsid w:val="00FF1624"/>
    <w:rsid w:val="00FF1966"/>
    <w:rsid w:val="00FF2545"/>
    <w:rsid w:val="00FF3FEB"/>
    <w:rsid w:val="00FF67AE"/>
    <w:rsid w:val="00FF715E"/>
    <w:rsid w:val="034F0B7A"/>
    <w:rsid w:val="057E28E9"/>
    <w:rsid w:val="05E835C5"/>
    <w:rsid w:val="067659E2"/>
    <w:rsid w:val="079B25E0"/>
    <w:rsid w:val="09CA440C"/>
    <w:rsid w:val="0A8C3D63"/>
    <w:rsid w:val="0D821B4C"/>
    <w:rsid w:val="0EBA04F2"/>
    <w:rsid w:val="0EEA5BFB"/>
    <w:rsid w:val="0EF619F9"/>
    <w:rsid w:val="0F77907D"/>
    <w:rsid w:val="0FFED164"/>
    <w:rsid w:val="10261FFE"/>
    <w:rsid w:val="10BD43A4"/>
    <w:rsid w:val="1240313D"/>
    <w:rsid w:val="125819A7"/>
    <w:rsid w:val="127039FD"/>
    <w:rsid w:val="14654FDC"/>
    <w:rsid w:val="148741C3"/>
    <w:rsid w:val="14FA13B7"/>
    <w:rsid w:val="153C6686"/>
    <w:rsid w:val="164410A1"/>
    <w:rsid w:val="165E1841"/>
    <w:rsid w:val="17896F7F"/>
    <w:rsid w:val="18101208"/>
    <w:rsid w:val="18B9635E"/>
    <w:rsid w:val="193174B2"/>
    <w:rsid w:val="1AA0603E"/>
    <w:rsid w:val="1ABD3CA0"/>
    <w:rsid w:val="1D333FC5"/>
    <w:rsid w:val="1D695934"/>
    <w:rsid w:val="1F176670"/>
    <w:rsid w:val="20B00533"/>
    <w:rsid w:val="21A13378"/>
    <w:rsid w:val="227229A1"/>
    <w:rsid w:val="22BE7324"/>
    <w:rsid w:val="23FB282C"/>
    <w:rsid w:val="24780CDE"/>
    <w:rsid w:val="269C113F"/>
    <w:rsid w:val="2788146A"/>
    <w:rsid w:val="27DB2255"/>
    <w:rsid w:val="2828530F"/>
    <w:rsid w:val="297A1D54"/>
    <w:rsid w:val="297C0B34"/>
    <w:rsid w:val="29CA4EC1"/>
    <w:rsid w:val="2A5F459B"/>
    <w:rsid w:val="2A692A82"/>
    <w:rsid w:val="2B5725C4"/>
    <w:rsid w:val="2CD55C55"/>
    <w:rsid w:val="2D25260D"/>
    <w:rsid w:val="2E386967"/>
    <w:rsid w:val="2F195A44"/>
    <w:rsid w:val="2F506F74"/>
    <w:rsid w:val="2F701EA4"/>
    <w:rsid w:val="2F9B5EE0"/>
    <w:rsid w:val="2FE735ED"/>
    <w:rsid w:val="30493E12"/>
    <w:rsid w:val="307BF753"/>
    <w:rsid w:val="317C672F"/>
    <w:rsid w:val="31906E85"/>
    <w:rsid w:val="31D65103"/>
    <w:rsid w:val="32987598"/>
    <w:rsid w:val="32FC7B27"/>
    <w:rsid w:val="33543E57"/>
    <w:rsid w:val="33FC2363"/>
    <w:rsid w:val="348555E7"/>
    <w:rsid w:val="34A52719"/>
    <w:rsid w:val="34FA0097"/>
    <w:rsid w:val="35380BBF"/>
    <w:rsid w:val="35CC4711"/>
    <w:rsid w:val="36112941"/>
    <w:rsid w:val="36F9612C"/>
    <w:rsid w:val="37B207D1"/>
    <w:rsid w:val="388259E8"/>
    <w:rsid w:val="3A6A181A"/>
    <w:rsid w:val="3B8C6430"/>
    <w:rsid w:val="3CD95388"/>
    <w:rsid w:val="3D0B6A31"/>
    <w:rsid w:val="3DBFF38F"/>
    <w:rsid w:val="3DD05E38"/>
    <w:rsid w:val="3E135D25"/>
    <w:rsid w:val="3E7C195D"/>
    <w:rsid w:val="3E9312F8"/>
    <w:rsid w:val="3F4E170B"/>
    <w:rsid w:val="40245174"/>
    <w:rsid w:val="402C58DA"/>
    <w:rsid w:val="41126AEB"/>
    <w:rsid w:val="41AA4BF2"/>
    <w:rsid w:val="429A0C7E"/>
    <w:rsid w:val="43082452"/>
    <w:rsid w:val="43631727"/>
    <w:rsid w:val="447F5EC2"/>
    <w:rsid w:val="44A01D73"/>
    <w:rsid w:val="45D814A9"/>
    <w:rsid w:val="478332CE"/>
    <w:rsid w:val="47CE4D8B"/>
    <w:rsid w:val="489F2E1F"/>
    <w:rsid w:val="48A17D68"/>
    <w:rsid w:val="49420D57"/>
    <w:rsid w:val="494F3655"/>
    <w:rsid w:val="49FE1025"/>
    <w:rsid w:val="4B6E6E2D"/>
    <w:rsid w:val="4B7B626D"/>
    <w:rsid w:val="4BB5041C"/>
    <w:rsid w:val="4BEB6533"/>
    <w:rsid w:val="4C15185F"/>
    <w:rsid w:val="4C59524B"/>
    <w:rsid w:val="4C6807BE"/>
    <w:rsid w:val="4CA553C3"/>
    <w:rsid w:val="4D812041"/>
    <w:rsid w:val="4E15356D"/>
    <w:rsid w:val="4EA41E0E"/>
    <w:rsid w:val="4EFD05C8"/>
    <w:rsid w:val="4FFFE2A7"/>
    <w:rsid w:val="50D457E8"/>
    <w:rsid w:val="516A5CC0"/>
    <w:rsid w:val="524C6341"/>
    <w:rsid w:val="52542DCA"/>
    <w:rsid w:val="52B66476"/>
    <w:rsid w:val="52C83E7D"/>
    <w:rsid w:val="53486C36"/>
    <w:rsid w:val="536D4ACC"/>
    <w:rsid w:val="555420C8"/>
    <w:rsid w:val="57B744D9"/>
    <w:rsid w:val="5837517E"/>
    <w:rsid w:val="59776C15"/>
    <w:rsid w:val="598F6615"/>
    <w:rsid w:val="59D6612D"/>
    <w:rsid w:val="5A0C25EE"/>
    <w:rsid w:val="5AA338BB"/>
    <w:rsid w:val="5B1F6511"/>
    <w:rsid w:val="5B8F0C89"/>
    <w:rsid w:val="5B8F2475"/>
    <w:rsid w:val="5C106691"/>
    <w:rsid w:val="5C1222E0"/>
    <w:rsid w:val="5C553D58"/>
    <w:rsid w:val="5CD67C8E"/>
    <w:rsid w:val="5D1DDAD8"/>
    <w:rsid w:val="5DA7A291"/>
    <w:rsid w:val="5E3F5469"/>
    <w:rsid w:val="5FA52401"/>
    <w:rsid w:val="5FBF2CF9"/>
    <w:rsid w:val="5FC20C8C"/>
    <w:rsid w:val="60A30D33"/>
    <w:rsid w:val="613D2F35"/>
    <w:rsid w:val="637C38A9"/>
    <w:rsid w:val="638A484C"/>
    <w:rsid w:val="64DF440C"/>
    <w:rsid w:val="650B544D"/>
    <w:rsid w:val="65A00C47"/>
    <w:rsid w:val="668C03FC"/>
    <w:rsid w:val="66E80973"/>
    <w:rsid w:val="67BE7815"/>
    <w:rsid w:val="67E4410B"/>
    <w:rsid w:val="686E5520"/>
    <w:rsid w:val="68DB1D84"/>
    <w:rsid w:val="69F79C19"/>
    <w:rsid w:val="6A875C5B"/>
    <w:rsid w:val="6A8B580E"/>
    <w:rsid w:val="6CFF358A"/>
    <w:rsid w:val="6D5663ED"/>
    <w:rsid w:val="6D7E290C"/>
    <w:rsid w:val="6E536EF1"/>
    <w:rsid w:val="6EB8584F"/>
    <w:rsid w:val="6F744429"/>
    <w:rsid w:val="6FDC1408"/>
    <w:rsid w:val="70A8704E"/>
    <w:rsid w:val="7183295D"/>
    <w:rsid w:val="721540EB"/>
    <w:rsid w:val="72C9287B"/>
    <w:rsid w:val="72D13C9F"/>
    <w:rsid w:val="74357737"/>
    <w:rsid w:val="745148D6"/>
    <w:rsid w:val="74B70B38"/>
    <w:rsid w:val="761A1C14"/>
    <w:rsid w:val="76E16C23"/>
    <w:rsid w:val="77CFE998"/>
    <w:rsid w:val="77F9150C"/>
    <w:rsid w:val="788656CD"/>
    <w:rsid w:val="78D27468"/>
    <w:rsid w:val="79B50E56"/>
    <w:rsid w:val="79FC3536"/>
    <w:rsid w:val="7ABC5CA1"/>
    <w:rsid w:val="7BAD66A2"/>
    <w:rsid w:val="7BBF27F3"/>
    <w:rsid w:val="7C356C4F"/>
    <w:rsid w:val="7C3C6104"/>
    <w:rsid w:val="7D140B97"/>
    <w:rsid w:val="7EB47B17"/>
    <w:rsid w:val="7EFE909D"/>
    <w:rsid w:val="7F6E3B3C"/>
    <w:rsid w:val="7FEE92C5"/>
    <w:rsid w:val="7FFFE43C"/>
    <w:rsid w:val="BFEF00F0"/>
    <w:rsid w:val="DEBEB411"/>
    <w:rsid w:val="FB6F9374"/>
    <w:rsid w:val="FF85C37B"/>
    <w:rsid w:val="FF9E79F0"/>
    <w:rsid w:val="FFAE783F"/>
    <w:rsid w:val="FFFF51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jc w:val="center"/>
      <w:textAlignment w:val="baseline"/>
      <w:outlineLvl w:val="0"/>
    </w:pPr>
    <w:rPr>
      <w:rFonts w:ascii="宋体" w:hAnsi="宋体"/>
      <w:b/>
      <w:kern w:val="44"/>
      <w:sz w:val="44"/>
      <w:szCs w:val="44"/>
    </w:rPr>
  </w:style>
  <w:style w:type="paragraph" w:styleId="3">
    <w:name w:val="heading 2"/>
    <w:basedOn w:val="1"/>
    <w:next w:val="4"/>
    <w:link w:val="47"/>
    <w:qFormat/>
    <w:uiPriority w:val="0"/>
    <w:pPr>
      <w:keepNext/>
      <w:keepLines/>
      <w:autoSpaceDE w:val="0"/>
      <w:autoSpaceDN w:val="0"/>
      <w:adjustRightInd w:val="0"/>
      <w:spacing w:line="360" w:lineRule="auto"/>
      <w:jc w:val="center"/>
      <w:textAlignment w:val="baseline"/>
      <w:outlineLvl w:val="1"/>
    </w:pPr>
    <w:rPr>
      <w:rFonts w:ascii="Arial" w:hAnsi="Arial" w:eastAsia="黑体"/>
      <w:b/>
      <w:spacing w:val="24"/>
      <w:kern w:val="0"/>
      <w:sz w:val="24"/>
      <w:szCs w:val="20"/>
    </w:rPr>
  </w:style>
  <w:style w:type="paragraph" w:styleId="5">
    <w:name w:val="heading 3"/>
    <w:basedOn w:val="1"/>
    <w:next w:val="1"/>
    <w:qFormat/>
    <w:uiPriority w:val="0"/>
    <w:pPr>
      <w:keepNext/>
      <w:keepLines/>
      <w:autoSpaceDE w:val="0"/>
      <w:autoSpaceDN w:val="0"/>
      <w:adjustRightInd w:val="0"/>
      <w:spacing w:line="360" w:lineRule="auto"/>
      <w:jc w:val="left"/>
      <w:textAlignment w:val="baseline"/>
      <w:outlineLvl w:val="2"/>
    </w:pPr>
    <w:rPr>
      <w:rFonts w:ascii="宋体" w:hAnsi="Arial"/>
      <w:b/>
      <w:sz w:val="28"/>
      <w:szCs w:val="20"/>
    </w:rPr>
  </w:style>
  <w:style w:type="paragraph" w:styleId="6">
    <w:name w:val="heading 4"/>
    <w:basedOn w:val="1"/>
    <w:next w:val="1"/>
    <w:qFormat/>
    <w:uiPriority w:val="0"/>
    <w:pPr>
      <w:widowControl/>
      <w:spacing w:beforeAutospacing="1" w:afterAutospacing="1"/>
      <w:jc w:val="center"/>
      <w:outlineLvl w:val="3"/>
    </w:pPr>
    <w:rPr>
      <w:rFonts w:ascii="宋体" w:hAnsi="宋体" w:cs="宋体"/>
      <w:b/>
      <w:bCs/>
      <w:kern w:val="0"/>
      <w:sz w:val="24"/>
    </w:rPr>
  </w:style>
  <w:style w:type="paragraph" w:styleId="7">
    <w:name w:val="heading 5"/>
    <w:basedOn w:val="1"/>
    <w:next w:val="1"/>
    <w:qFormat/>
    <w:uiPriority w:val="0"/>
    <w:pPr>
      <w:keepNext/>
      <w:keepLines/>
      <w:tabs>
        <w:tab w:val="left" w:pos="312"/>
      </w:tabs>
      <w:spacing w:line="372" w:lineRule="auto"/>
      <w:outlineLvl w:val="4"/>
    </w:pPr>
    <w:rPr>
      <w:b/>
      <w:sz w:val="28"/>
      <w:szCs w:val="20"/>
    </w:rPr>
  </w:style>
  <w:style w:type="paragraph" w:styleId="8">
    <w:name w:val="heading 6"/>
    <w:basedOn w:val="1"/>
    <w:next w:val="4"/>
    <w:qFormat/>
    <w:uiPriority w:val="0"/>
    <w:pPr>
      <w:keepNext/>
      <w:keepLines/>
      <w:tabs>
        <w:tab w:val="left" w:pos="312"/>
      </w:tabs>
      <w:spacing w:line="317" w:lineRule="auto"/>
      <w:outlineLvl w:val="5"/>
    </w:pPr>
    <w:rPr>
      <w:rFonts w:ascii="Arial" w:hAnsi="Arial" w:eastAsia="黑体"/>
      <w:b/>
      <w:sz w:val="24"/>
      <w:szCs w:val="20"/>
    </w:rPr>
  </w:style>
  <w:style w:type="paragraph" w:styleId="9">
    <w:name w:val="heading 7"/>
    <w:basedOn w:val="1"/>
    <w:next w:val="1"/>
    <w:qFormat/>
    <w:uiPriority w:val="0"/>
    <w:pPr>
      <w:keepNext/>
      <w:keepLines/>
      <w:tabs>
        <w:tab w:val="left" w:pos="312"/>
      </w:tabs>
      <w:spacing w:line="317" w:lineRule="auto"/>
      <w:outlineLvl w:val="6"/>
    </w:pPr>
    <w:rPr>
      <w:b/>
      <w:sz w:val="24"/>
      <w:szCs w:val="20"/>
    </w:rPr>
  </w:style>
  <w:style w:type="paragraph" w:styleId="10">
    <w:name w:val="heading 8"/>
    <w:basedOn w:val="1"/>
    <w:next w:val="4"/>
    <w:qFormat/>
    <w:uiPriority w:val="0"/>
    <w:pPr>
      <w:keepNext/>
      <w:keepLines/>
      <w:tabs>
        <w:tab w:val="left" w:pos="312"/>
      </w:tabs>
      <w:spacing w:line="317" w:lineRule="auto"/>
      <w:outlineLvl w:val="7"/>
    </w:pPr>
    <w:rPr>
      <w:rFonts w:ascii="Arial" w:hAnsi="Arial" w:eastAsia="黑体"/>
      <w:sz w:val="24"/>
      <w:szCs w:val="20"/>
    </w:rPr>
  </w:style>
  <w:style w:type="paragraph" w:styleId="11">
    <w:name w:val="heading 9"/>
    <w:basedOn w:val="1"/>
    <w:next w:val="4"/>
    <w:qFormat/>
    <w:uiPriority w:val="0"/>
    <w:pPr>
      <w:keepNext/>
      <w:keepLines/>
      <w:tabs>
        <w:tab w:val="left" w:pos="312"/>
      </w:tabs>
      <w:spacing w:line="317" w:lineRule="auto"/>
      <w:outlineLvl w:val="8"/>
    </w:pPr>
    <w:rPr>
      <w:rFonts w:ascii="Arial" w:hAnsi="Arial" w:eastAsia="黑体"/>
      <w:szCs w:val="20"/>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8"/>
    <w:qFormat/>
    <w:uiPriority w:val="0"/>
    <w:pPr>
      <w:autoSpaceDE w:val="0"/>
      <w:autoSpaceDN w:val="0"/>
      <w:spacing w:line="360" w:lineRule="auto"/>
      <w:ind w:left="181" w:firstLine="420"/>
    </w:pPr>
    <w:rPr>
      <w:sz w:val="24"/>
      <w:szCs w:val="20"/>
    </w:rPr>
  </w:style>
  <w:style w:type="paragraph" w:styleId="12">
    <w:name w:val="caption"/>
    <w:basedOn w:val="1"/>
    <w:next w:val="1"/>
    <w:qFormat/>
    <w:uiPriority w:val="0"/>
    <w:pPr>
      <w:spacing w:line="360" w:lineRule="auto"/>
      <w:jc w:val="center"/>
    </w:pPr>
    <w:rPr>
      <w:rFonts w:ascii="Arial" w:hAnsi="Arial" w:eastAsia="黑体"/>
      <w:sz w:val="24"/>
      <w:szCs w:val="20"/>
    </w:rPr>
  </w:style>
  <w:style w:type="paragraph" w:styleId="13">
    <w:name w:val="Document Map"/>
    <w:basedOn w:val="1"/>
    <w:qFormat/>
    <w:uiPriority w:val="0"/>
    <w:pPr>
      <w:shd w:val="clear" w:color="auto" w:fill="000080"/>
    </w:pPr>
  </w:style>
  <w:style w:type="paragraph" w:styleId="14">
    <w:name w:val="annotation text"/>
    <w:basedOn w:val="1"/>
    <w:link w:val="49"/>
    <w:qFormat/>
    <w:uiPriority w:val="0"/>
    <w:pPr>
      <w:jc w:val="left"/>
    </w:pPr>
  </w:style>
  <w:style w:type="paragraph" w:styleId="15">
    <w:name w:val="Body Text 3"/>
    <w:basedOn w:val="1"/>
    <w:qFormat/>
    <w:uiPriority w:val="0"/>
    <w:pPr>
      <w:spacing w:line="240" w:lineRule="exact"/>
    </w:pPr>
    <w:rPr>
      <w:rFonts w:ascii="宋体" w:hAnsi="宋体"/>
      <w:sz w:val="18"/>
    </w:rPr>
  </w:style>
  <w:style w:type="paragraph" w:styleId="16">
    <w:name w:val="Body Text"/>
    <w:basedOn w:val="1"/>
    <w:qFormat/>
    <w:uiPriority w:val="0"/>
  </w:style>
  <w:style w:type="paragraph" w:styleId="17">
    <w:name w:val="Body Text Indent"/>
    <w:basedOn w:val="1"/>
    <w:link w:val="50"/>
    <w:qFormat/>
    <w:uiPriority w:val="0"/>
    <w:pPr>
      <w:autoSpaceDE w:val="0"/>
      <w:autoSpaceDN w:val="0"/>
      <w:spacing w:line="360" w:lineRule="auto"/>
      <w:ind w:left="181" w:firstLine="539"/>
    </w:pPr>
    <w:rPr>
      <w:sz w:val="24"/>
      <w:szCs w:val="20"/>
    </w:rPr>
  </w:style>
  <w:style w:type="paragraph" w:styleId="18">
    <w:name w:val="Block Text"/>
    <w:basedOn w:val="1"/>
    <w:qFormat/>
    <w:uiPriority w:val="0"/>
    <w:pPr>
      <w:ind w:left="1440" w:leftChars="700" w:right="1440" w:rightChars="700"/>
    </w:pPr>
  </w:style>
  <w:style w:type="paragraph" w:styleId="19">
    <w:name w:val="toc 3"/>
    <w:basedOn w:val="1"/>
    <w:next w:val="1"/>
    <w:qFormat/>
    <w:uiPriority w:val="0"/>
    <w:pPr>
      <w:ind w:left="420"/>
      <w:jc w:val="left"/>
    </w:pPr>
    <w:rPr>
      <w:i/>
      <w:iCs/>
    </w:rPr>
  </w:style>
  <w:style w:type="paragraph" w:styleId="20">
    <w:name w:val="Plain Text"/>
    <w:basedOn w:val="1"/>
    <w:link w:val="51"/>
    <w:qFormat/>
    <w:uiPriority w:val="99"/>
    <w:pPr>
      <w:spacing w:line="360" w:lineRule="auto"/>
    </w:pPr>
    <w:rPr>
      <w:rFonts w:ascii="宋体" w:hAnsi="Courier New"/>
      <w:spacing w:val="-8"/>
      <w:sz w:val="24"/>
      <w:szCs w:val="20"/>
    </w:rPr>
  </w:style>
  <w:style w:type="paragraph" w:styleId="21">
    <w:name w:val="Date"/>
    <w:basedOn w:val="1"/>
    <w:next w:val="1"/>
    <w:link w:val="52"/>
    <w:qFormat/>
    <w:uiPriority w:val="99"/>
    <w:pPr>
      <w:widowControl/>
      <w:tabs>
        <w:tab w:val="left" w:pos="600"/>
        <w:tab w:val="left" w:pos="960"/>
        <w:tab w:val="left" w:pos="1080"/>
      </w:tabs>
      <w:overflowPunct w:val="0"/>
      <w:spacing w:line="220" w:lineRule="atLeast"/>
      <w:ind w:left="835" w:right="28" w:firstLine="480"/>
      <w:jc w:val="right"/>
    </w:pPr>
    <w:rPr>
      <w:rFonts w:ascii="宋体" w:hAnsi="宋体"/>
      <w:kern w:val="0"/>
      <w:sz w:val="24"/>
      <w:szCs w:val="20"/>
    </w:rPr>
  </w:style>
  <w:style w:type="paragraph" w:styleId="22">
    <w:name w:val="Body Text Indent 2"/>
    <w:basedOn w:val="1"/>
    <w:qFormat/>
    <w:uiPriority w:val="0"/>
    <w:pPr>
      <w:ind w:firstLine="540"/>
    </w:pPr>
    <w:rPr>
      <w:szCs w:val="20"/>
    </w:rPr>
  </w:style>
  <w:style w:type="paragraph" w:styleId="23">
    <w:name w:val="Balloon Text"/>
    <w:basedOn w:val="1"/>
    <w:link w:val="53"/>
    <w:qFormat/>
    <w:uiPriority w:val="0"/>
    <w:rPr>
      <w:sz w:val="18"/>
      <w:szCs w:val="18"/>
    </w:rPr>
  </w:style>
  <w:style w:type="paragraph" w:styleId="24">
    <w:name w:val="footer"/>
    <w:basedOn w:val="1"/>
    <w:link w:val="54"/>
    <w:qFormat/>
    <w:uiPriority w:val="99"/>
    <w:pPr>
      <w:tabs>
        <w:tab w:val="center" w:pos="4153"/>
        <w:tab w:val="right" w:pos="8306"/>
      </w:tabs>
      <w:snapToGrid w:val="0"/>
      <w:jc w:val="left"/>
    </w:pPr>
    <w:rPr>
      <w:sz w:val="18"/>
      <w:szCs w:val="20"/>
    </w:rPr>
  </w:style>
  <w:style w:type="paragraph" w:styleId="25">
    <w:name w:val="header"/>
    <w:basedOn w:val="1"/>
    <w:link w:val="55"/>
    <w:qFormat/>
    <w:uiPriority w:val="0"/>
    <w:pPr>
      <w:pBdr>
        <w:bottom w:val="single" w:color="auto" w:sz="6" w:space="1"/>
      </w:pBdr>
      <w:tabs>
        <w:tab w:val="center" w:pos="4153"/>
        <w:tab w:val="right" w:pos="8306"/>
      </w:tabs>
      <w:snapToGrid w:val="0"/>
      <w:jc w:val="center"/>
    </w:pPr>
    <w:rPr>
      <w:sz w:val="18"/>
      <w:szCs w:val="18"/>
    </w:rPr>
  </w:style>
  <w:style w:type="paragraph" w:styleId="26">
    <w:name w:val="Signature"/>
    <w:basedOn w:val="1"/>
    <w:qFormat/>
    <w:uiPriority w:val="0"/>
    <w:pPr>
      <w:ind w:left="4320"/>
    </w:pPr>
    <w:rPr>
      <w:rFonts w:eastAsia="楷体_GB2312"/>
      <w:szCs w:val="20"/>
    </w:rPr>
  </w:style>
  <w:style w:type="paragraph" w:styleId="27">
    <w:name w:val="toc 1"/>
    <w:basedOn w:val="1"/>
    <w:next w:val="1"/>
    <w:qFormat/>
    <w:uiPriority w:val="0"/>
    <w:pPr>
      <w:jc w:val="left"/>
    </w:pPr>
    <w:rPr>
      <w:b/>
      <w:bCs/>
      <w:caps/>
    </w:rPr>
  </w:style>
  <w:style w:type="paragraph" w:styleId="28">
    <w:name w:val="footnote text"/>
    <w:basedOn w:val="1"/>
    <w:link w:val="56"/>
    <w:qFormat/>
    <w:uiPriority w:val="0"/>
    <w:pPr>
      <w:snapToGrid w:val="0"/>
      <w:jc w:val="left"/>
    </w:pPr>
    <w:rPr>
      <w:rFonts w:ascii="仿宋_GB2312" w:hAnsi="新宋体" w:eastAsia="仿宋_GB2312"/>
      <w:sz w:val="18"/>
      <w:szCs w:val="18"/>
    </w:rPr>
  </w:style>
  <w:style w:type="paragraph" w:styleId="29">
    <w:name w:val="Body Text Indent 3"/>
    <w:basedOn w:val="1"/>
    <w:qFormat/>
    <w:uiPriority w:val="0"/>
    <w:pPr>
      <w:ind w:firstLine="426"/>
    </w:pPr>
    <w:rPr>
      <w:szCs w:val="20"/>
    </w:rPr>
  </w:style>
  <w:style w:type="paragraph" w:styleId="30">
    <w:name w:val="Body Text 2"/>
    <w:basedOn w:val="1"/>
    <w:qFormat/>
    <w:uiPriority w:val="0"/>
    <w:rPr>
      <w:sz w:val="28"/>
      <w:szCs w:val="20"/>
    </w:rPr>
  </w:style>
  <w:style w:type="paragraph" w:styleId="3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2">
    <w:name w:val="Normal (Web)"/>
    <w:basedOn w:val="1"/>
    <w:qFormat/>
    <w:uiPriority w:val="0"/>
    <w:pPr>
      <w:widowControl/>
      <w:spacing w:beforeAutospacing="1" w:afterAutospacing="1"/>
      <w:jc w:val="left"/>
    </w:pPr>
    <w:rPr>
      <w:rFonts w:ascii="宋体" w:hAnsi="宋体"/>
      <w:kern w:val="0"/>
      <w:sz w:val="24"/>
    </w:rPr>
  </w:style>
  <w:style w:type="paragraph" w:styleId="33">
    <w:name w:val="Title"/>
    <w:basedOn w:val="1"/>
    <w:qFormat/>
    <w:uiPriority w:val="0"/>
    <w:pPr>
      <w:pageBreakBefore/>
      <w:tabs>
        <w:tab w:val="left" w:pos="600"/>
        <w:tab w:val="left" w:pos="960"/>
        <w:tab w:val="left" w:pos="1080"/>
      </w:tabs>
      <w:overflowPunct w:val="0"/>
      <w:spacing w:line="360" w:lineRule="auto"/>
      <w:ind w:left="839" w:right="-357" w:firstLine="480"/>
      <w:jc w:val="center"/>
      <w:outlineLvl w:val="0"/>
    </w:pPr>
    <w:rPr>
      <w:rFonts w:ascii="Arial" w:hAnsi="Arial"/>
      <w:b/>
      <w:kern w:val="0"/>
      <w:sz w:val="36"/>
      <w:szCs w:val="20"/>
    </w:rPr>
  </w:style>
  <w:style w:type="paragraph" w:styleId="34">
    <w:name w:val="annotation subject"/>
    <w:basedOn w:val="14"/>
    <w:next w:val="14"/>
    <w:link w:val="57"/>
    <w:qFormat/>
    <w:uiPriority w:val="0"/>
    <w:rPr>
      <w:b/>
      <w:bCs/>
    </w:rPr>
  </w:style>
  <w:style w:type="paragraph" w:styleId="35">
    <w:name w:val="Body Text First Indent"/>
    <w:basedOn w:val="16"/>
    <w:qFormat/>
    <w:uiPriority w:val="0"/>
    <w:pPr>
      <w:ind w:firstLine="420"/>
    </w:pPr>
    <w:rPr>
      <w:szCs w:val="20"/>
    </w:rPr>
  </w:style>
  <w:style w:type="paragraph" w:styleId="36">
    <w:name w:val="Body Text First Indent 2"/>
    <w:basedOn w:val="17"/>
    <w:link w:val="183"/>
    <w:qFormat/>
    <w:uiPriority w:val="0"/>
    <w:pPr>
      <w:autoSpaceDE/>
      <w:autoSpaceDN/>
      <w:spacing w:after="120" w:line="240" w:lineRule="auto"/>
      <w:ind w:left="420" w:leftChars="200" w:firstLine="420" w:firstLineChars="200"/>
    </w:pPr>
    <w:rPr>
      <w:sz w:val="21"/>
      <w:szCs w:val="24"/>
    </w:rPr>
  </w:style>
  <w:style w:type="table" w:styleId="38">
    <w:name w:val="Table Grid"/>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0">
    <w:name w:val="Strong"/>
    <w:basedOn w:val="39"/>
    <w:qFormat/>
    <w:uiPriority w:val="0"/>
    <w:rPr>
      <w:b/>
      <w:bCs/>
    </w:rPr>
  </w:style>
  <w:style w:type="character" w:styleId="41">
    <w:name w:val="page number"/>
    <w:qFormat/>
    <w:uiPriority w:val="0"/>
  </w:style>
  <w:style w:type="character" w:styleId="42">
    <w:name w:val="Emphasis"/>
    <w:qFormat/>
    <w:uiPriority w:val="20"/>
    <w:rPr>
      <w:i/>
      <w:iCs/>
    </w:rPr>
  </w:style>
  <w:style w:type="character" w:styleId="43">
    <w:name w:val="Hyperlink"/>
    <w:qFormat/>
    <w:uiPriority w:val="99"/>
    <w:rPr>
      <w:rFonts w:eastAsia="宋体"/>
      <w:color w:val="0000FF"/>
      <w:kern w:val="2"/>
      <w:sz w:val="24"/>
      <w:szCs w:val="24"/>
      <w:u w:val="single"/>
      <w:lang w:val="en-US" w:eastAsia="zh-CN" w:bidi="ar-SA"/>
    </w:rPr>
  </w:style>
  <w:style w:type="character" w:styleId="44">
    <w:name w:val="annotation reference"/>
    <w:qFormat/>
    <w:uiPriority w:val="0"/>
    <w:rPr>
      <w:sz w:val="21"/>
      <w:szCs w:val="21"/>
    </w:rPr>
  </w:style>
  <w:style w:type="paragraph" w:customStyle="1" w:styleId="45">
    <w:name w:val="样式1"/>
    <w:basedOn w:val="1"/>
    <w:qFormat/>
    <w:uiPriority w:val="0"/>
    <w:pPr>
      <w:adjustRightInd w:val="0"/>
      <w:snapToGrid w:val="0"/>
      <w:spacing w:line="300" w:lineRule="auto"/>
      <w:ind w:left="425" w:hanging="425"/>
      <w:jc w:val="center"/>
      <w:textAlignment w:val="center"/>
    </w:pPr>
    <w:rPr>
      <w:snapToGrid w:val="0"/>
      <w:spacing w:val="20"/>
      <w:kern w:val="0"/>
      <w:sz w:val="18"/>
      <w:szCs w:val="20"/>
    </w:rPr>
  </w:style>
  <w:style w:type="paragraph" w:customStyle="1" w:styleId="46">
    <w:name w:val="TOC 标题1"/>
    <w:basedOn w:val="2"/>
    <w:next w:val="1"/>
    <w:unhideWhenUsed/>
    <w:qFormat/>
    <w:uiPriority w:val="39"/>
    <w:pPr>
      <w:widowControl/>
      <w:spacing w:before="480" w:line="276" w:lineRule="auto"/>
      <w:jc w:val="left"/>
      <w:outlineLvl w:val="9"/>
    </w:pPr>
    <w:rPr>
      <w:rFonts w:ascii="Cambria" w:hAnsi="Cambria"/>
      <w:color w:val="366091"/>
      <w:kern w:val="0"/>
      <w:sz w:val="28"/>
      <w:szCs w:val="28"/>
    </w:rPr>
  </w:style>
  <w:style w:type="character" w:customStyle="1" w:styleId="47">
    <w:name w:val="标题 2 Char"/>
    <w:link w:val="3"/>
    <w:qFormat/>
    <w:uiPriority w:val="0"/>
    <w:rPr>
      <w:rFonts w:ascii="Arial" w:hAnsi="Arial" w:eastAsia="黑体"/>
      <w:b/>
      <w:spacing w:val="24"/>
      <w:sz w:val="24"/>
      <w:lang w:val="en-US" w:eastAsia="zh-CN" w:bidi="ar-SA"/>
    </w:rPr>
  </w:style>
  <w:style w:type="character" w:customStyle="1" w:styleId="48">
    <w:name w:val="正文缩进 Char"/>
    <w:link w:val="4"/>
    <w:qFormat/>
    <w:uiPriority w:val="0"/>
    <w:rPr>
      <w:kern w:val="2"/>
      <w:sz w:val="24"/>
    </w:rPr>
  </w:style>
  <w:style w:type="character" w:customStyle="1" w:styleId="49">
    <w:name w:val="批注文字 Char"/>
    <w:link w:val="14"/>
    <w:qFormat/>
    <w:uiPriority w:val="0"/>
    <w:rPr>
      <w:rFonts w:eastAsia="宋体"/>
      <w:kern w:val="2"/>
      <w:sz w:val="21"/>
      <w:szCs w:val="24"/>
      <w:lang w:val="en-US" w:eastAsia="zh-CN" w:bidi="ar-SA"/>
    </w:rPr>
  </w:style>
  <w:style w:type="character" w:customStyle="1" w:styleId="50">
    <w:name w:val="正文文本缩进 Char"/>
    <w:link w:val="17"/>
    <w:qFormat/>
    <w:uiPriority w:val="0"/>
    <w:rPr>
      <w:kern w:val="2"/>
      <w:sz w:val="24"/>
    </w:rPr>
  </w:style>
  <w:style w:type="character" w:customStyle="1" w:styleId="51">
    <w:name w:val="纯文本 Char1"/>
    <w:link w:val="20"/>
    <w:qFormat/>
    <w:uiPriority w:val="99"/>
    <w:rPr>
      <w:rFonts w:ascii="宋体" w:hAnsi="Courier New"/>
      <w:spacing w:val="-8"/>
      <w:kern w:val="2"/>
      <w:sz w:val="24"/>
    </w:rPr>
  </w:style>
  <w:style w:type="character" w:customStyle="1" w:styleId="52">
    <w:name w:val="日期 Char"/>
    <w:link w:val="21"/>
    <w:qFormat/>
    <w:uiPriority w:val="99"/>
    <w:rPr>
      <w:rFonts w:ascii="宋体" w:hAnsi="宋体"/>
      <w:sz w:val="24"/>
    </w:rPr>
  </w:style>
  <w:style w:type="character" w:customStyle="1" w:styleId="53">
    <w:name w:val="批注框文本 Char"/>
    <w:link w:val="23"/>
    <w:qFormat/>
    <w:uiPriority w:val="0"/>
    <w:rPr>
      <w:kern w:val="2"/>
      <w:sz w:val="18"/>
      <w:szCs w:val="18"/>
    </w:rPr>
  </w:style>
  <w:style w:type="character" w:customStyle="1" w:styleId="54">
    <w:name w:val="页脚 Char"/>
    <w:link w:val="24"/>
    <w:qFormat/>
    <w:uiPriority w:val="99"/>
    <w:rPr>
      <w:kern w:val="2"/>
      <w:sz w:val="18"/>
    </w:rPr>
  </w:style>
  <w:style w:type="character" w:customStyle="1" w:styleId="55">
    <w:name w:val="页眉 Char"/>
    <w:link w:val="25"/>
    <w:qFormat/>
    <w:uiPriority w:val="0"/>
    <w:rPr>
      <w:kern w:val="2"/>
      <w:sz w:val="18"/>
      <w:szCs w:val="18"/>
    </w:rPr>
  </w:style>
  <w:style w:type="character" w:customStyle="1" w:styleId="56">
    <w:name w:val="脚注文本 Char"/>
    <w:link w:val="28"/>
    <w:qFormat/>
    <w:uiPriority w:val="0"/>
    <w:rPr>
      <w:rFonts w:ascii="仿宋_GB2312" w:hAnsi="新宋体" w:eastAsia="仿宋_GB2312"/>
      <w:kern w:val="2"/>
      <w:sz w:val="18"/>
      <w:szCs w:val="18"/>
    </w:rPr>
  </w:style>
  <w:style w:type="character" w:customStyle="1" w:styleId="57">
    <w:name w:val="批注主题 Char"/>
    <w:link w:val="34"/>
    <w:qFormat/>
    <w:uiPriority w:val="0"/>
    <w:rPr>
      <w:rFonts w:eastAsia="宋体"/>
      <w:b/>
      <w:bCs/>
      <w:kern w:val="2"/>
      <w:sz w:val="21"/>
      <w:szCs w:val="24"/>
      <w:lang w:val="en-US" w:eastAsia="zh-CN" w:bidi="ar-SA"/>
    </w:rPr>
  </w:style>
  <w:style w:type="character" w:customStyle="1" w:styleId="58">
    <w:name w:val="Char Char"/>
    <w:qFormat/>
    <w:uiPriority w:val="0"/>
    <w:rPr>
      <w:rFonts w:ascii="宋体" w:hAnsi="Courier New" w:eastAsia="宋体"/>
      <w:kern w:val="2"/>
      <w:sz w:val="21"/>
      <w:lang w:val="en-US" w:eastAsia="zh-CN" w:bidi="ar-SA"/>
    </w:rPr>
  </w:style>
  <w:style w:type="character" w:customStyle="1" w:styleId="59">
    <w:name w:val="纯文本 Char Char"/>
    <w:qFormat/>
    <w:uiPriority w:val="0"/>
    <w:rPr>
      <w:rFonts w:ascii="宋体" w:hAnsi="Courier New" w:eastAsia="宋体"/>
      <w:kern w:val="2"/>
      <w:sz w:val="21"/>
      <w:lang w:val="en-US" w:eastAsia="zh-CN" w:bidi="ar-SA"/>
    </w:rPr>
  </w:style>
  <w:style w:type="character" w:customStyle="1" w:styleId="60">
    <w:name w:val="CSS1级正文 Char"/>
    <w:link w:val="61"/>
    <w:qFormat/>
    <w:uiPriority w:val="0"/>
    <w:rPr>
      <w:kern w:val="2"/>
      <w:sz w:val="21"/>
      <w:lang w:val="zh-CN"/>
    </w:rPr>
  </w:style>
  <w:style w:type="paragraph" w:customStyle="1" w:styleId="61">
    <w:name w:val="CSS1级正文"/>
    <w:basedOn w:val="16"/>
    <w:link w:val="60"/>
    <w:qFormat/>
    <w:uiPriority w:val="0"/>
    <w:pPr>
      <w:widowControl/>
      <w:spacing w:afterLines="100" w:line="360" w:lineRule="auto"/>
      <w:ind w:firstLine="480" w:firstLineChars="200"/>
      <w:jc w:val="left"/>
    </w:pPr>
    <w:rPr>
      <w:szCs w:val="20"/>
      <w:lang w:val="zh-CN"/>
    </w:rPr>
  </w:style>
  <w:style w:type="character" w:customStyle="1" w:styleId="62">
    <w:name w:val="apple-converted-space"/>
    <w:qFormat/>
    <w:uiPriority w:val="0"/>
  </w:style>
  <w:style w:type="character" w:customStyle="1" w:styleId="63">
    <w:name w:val="样式 标准正文 + 宋体 小四 Char"/>
    <w:link w:val="64"/>
    <w:qFormat/>
    <w:uiPriority w:val="0"/>
    <w:rPr>
      <w:rFonts w:ascii="宋体" w:hAnsi="宋体" w:eastAsia="宋体"/>
      <w:kern w:val="2"/>
      <w:sz w:val="24"/>
      <w:lang w:val="en-US" w:eastAsia="zh-CN" w:bidi="ar-SA"/>
    </w:rPr>
  </w:style>
  <w:style w:type="paragraph" w:customStyle="1" w:styleId="64">
    <w:name w:val="样式 标准正文 + 宋体 小四"/>
    <w:basedOn w:val="1"/>
    <w:link w:val="63"/>
    <w:qFormat/>
    <w:uiPriority w:val="0"/>
    <w:pPr>
      <w:spacing w:line="360" w:lineRule="auto"/>
      <w:ind w:firstLine="200" w:firstLineChars="200"/>
    </w:pPr>
    <w:rPr>
      <w:rFonts w:ascii="宋体" w:hAnsi="宋体"/>
      <w:sz w:val="24"/>
      <w:szCs w:val="20"/>
    </w:rPr>
  </w:style>
  <w:style w:type="character" w:customStyle="1" w:styleId="65">
    <w:name w:val="文字 Char"/>
    <w:link w:val="66"/>
    <w:qFormat/>
    <w:uiPriority w:val="0"/>
    <w:rPr>
      <w:rFonts w:ascii="宋体" w:hAnsi="宋体" w:eastAsia="宋体"/>
      <w:kern w:val="2"/>
      <w:sz w:val="28"/>
      <w:lang w:val="en-US" w:eastAsia="zh-CN" w:bidi="ar-SA"/>
    </w:rPr>
  </w:style>
  <w:style w:type="paragraph" w:customStyle="1" w:styleId="66">
    <w:name w:val="文字"/>
    <w:basedOn w:val="1"/>
    <w:link w:val="65"/>
    <w:qFormat/>
    <w:uiPriority w:val="0"/>
    <w:pPr>
      <w:tabs>
        <w:tab w:val="left" w:pos="8520"/>
      </w:tabs>
      <w:spacing w:line="312" w:lineRule="auto"/>
      <w:ind w:right="-210" w:firstLine="556"/>
    </w:pPr>
    <w:rPr>
      <w:rFonts w:ascii="宋体" w:hAnsi="宋体"/>
      <w:sz w:val="28"/>
      <w:szCs w:val="20"/>
    </w:rPr>
  </w:style>
  <w:style w:type="character" w:customStyle="1" w:styleId="67">
    <w:name w:val="纯文本 Char"/>
    <w:qFormat/>
    <w:uiPriority w:val="99"/>
    <w:rPr>
      <w:rFonts w:ascii="宋体" w:hAnsi="Courier New" w:eastAsia="宋体"/>
      <w:kern w:val="2"/>
      <w:sz w:val="21"/>
      <w:szCs w:val="24"/>
      <w:lang w:val="en-US" w:eastAsia="zh-CN" w:bidi="ar-SA"/>
    </w:rPr>
  </w:style>
  <w:style w:type="character" w:customStyle="1" w:styleId="68">
    <w:name w:val="表正文 Char"/>
    <w:qFormat/>
    <w:uiPriority w:val="0"/>
    <w:rPr>
      <w:rFonts w:eastAsia="宋体"/>
      <w:kern w:val="2"/>
      <w:sz w:val="21"/>
      <w:szCs w:val="24"/>
      <w:lang w:val="en-US" w:eastAsia="zh-CN" w:bidi="ar-SA"/>
    </w:rPr>
  </w:style>
  <w:style w:type="character" w:customStyle="1" w:styleId="69">
    <w:name w:val="my正文 Char"/>
    <w:link w:val="70"/>
    <w:qFormat/>
    <w:uiPriority w:val="0"/>
    <w:rPr>
      <w:sz w:val="24"/>
      <w:szCs w:val="24"/>
    </w:rPr>
  </w:style>
  <w:style w:type="paragraph" w:customStyle="1" w:styleId="70">
    <w:name w:val="my正文"/>
    <w:basedOn w:val="1"/>
    <w:link w:val="69"/>
    <w:qFormat/>
    <w:uiPriority w:val="0"/>
    <w:pPr>
      <w:spacing w:line="360" w:lineRule="auto"/>
      <w:ind w:firstLine="200" w:firstLineChars="200"/>
    </w:pPr>
    <w:rPr>
      <w:kern w:val="0"/>
      <w:sz w:val="24"/>
    </w:rPr>
  </w:style>
  <w:style w:type="character" w:customStyle="1" w:styleId="71">
    <w:name w:val="普通文字 Char Char Char"/>
    <w:qFormat/>
    <w:uiPriority w:val="0"/>
    <w:rPr>
      <w:rFonts w:ascii="宋体" w:hAnsi="Courier New" w:eastAsia="宋体"/>
      <w:kern w:val="2"/>
      <w:sz w:val="21"/>
      <w:lang w:val="en-US" w:eastAsia="zh-CN" w:bidi="ar-SA"/>
    </w:rPr>
  </w:style>
  <w:style w:type="character" w:customStyle="1" w:styleId="72">
    <w:name w:val="style1"/>
    <w:qFormat/>
    <w:uiPriority w:val="0"/>
  </w:style>
  <w:style w:type="character" w:customStyle="1" w:styleId="73">
    <w:name w:val="列出段落 Char1"/>
    <w:link w:val="74"/>
    <w:qFormat/>
    <w:uiPriority w:val="34"/>
    <w:rPr>
      <w:rFonts w:ascii="Calibri" w:hAnsi="Calibri"/>
      <w:kern w:val="2"/>
      <w:sz w:val="21"/>
      <w:szCs w:val="22"/>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列出段落 Char"/>
    <w:link w:val="76"/>
    <w:qFormat/>
    <w:locked/>
    <w:uiPriority w:val="34"/>
    <w:rPr>
      <w:kern w:val="2"/>
      <w:sz w:val="21"/>
      <w:szCs w:val="21"/>
    </w:rPr>
  </w:style>
  <w:style w:type="paragraph" w:customStyle="1" w:styleId="76">
    <w:name w:val="列出段落1"/>
    <w:basedOn w:val="1"/>
    <w:link w:val="75"/>
    <w:qFormat/>
    <w:uiPriority w:val="34"/>
    <w:pPr>
      <w:ind w:firstLine="420" w:firstLineChars="200"/>
    </w:pPr>
    <w:rPr>
      <w:szCs w:val="21"/>
    </w:rPr>
  </w:style>
  <w:style w:type="character" w:customStyle="1" w:styleId="77">
    <w:name w:val="￥正文 Char"/>
    <w:link w:val="78"/>
    <w:qFormat/>
    <w:uiPriority w:val="0"/>
    <w:rPr>
      <w:kern w:val="2"/>
      <w:sz w:val="24"/>
      <w:szCs w:val="22"/>
    </w:rPr>
  </w:style>
  <w:style w:type="paragraph" w:customStyle="1" w:styleId="78">
    <w:name w:val="￥正文"/>
    <w:basedOn w:val="1"/>
    <w:link w:val="77"/>
    <w:qFormat/>
    <w:uiPriority w:val="0"/>
    <w:pPr>
      <w:spacing w:line="360" w:lineRule="auto"/>
      <w:ind w:firstLine="200" w:firstLineChars="200"/>
    </w:pPr>
    <w:rPr>
      <w:sz w:val="24"/>
      <w:szCs w:val="22"/>
    </w:rPr>
  </w:style>
  <w:style w:type="paragraph" w:customStyle="1" w:styleId="79">
    <w:name w:val="xl49"/>
    <w:basedOn w:val="1"/>
    <w:qFormat/>
    <w:uiPriority w:val="0"/>
    <w:pPr>
      <w:widowControl/>
      <w:pBdr>
        <w:left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80">
    <w:name w:val="Char Char Char Char Char Char Char Char"/>
    <w:basedOn w:val="1"/>
    <w:qFormat/>
    <w:uiPriority w:val="0"/>
    <w:pPr>
      <w:tabs>
        <w:tab w:val="left" w:pos="360"/>
      </w:tabs>
    </w:pPr>
    <w:rPr>
      <w:sz w:val="24"/>
    </w:rPr>
  </w:style>
  <w:style w:type="paragraph" w:customStyle="1" w:styleId="81">
    <w:name w:val="font8"/>
    <w:basedOn w:val="1"/>
    <w:qFormat/>
    <w:uiPriority w:val="0"/>
    <w:pPr>
      <w:widowControl/>
      <w:spacing w:beforeAutospacing="1" w:afterAutospacing="1"/>
      <w:jc w:val="left"/>
    </w:pPr>
    <w:rPr>
      <w:rFonts w:hint="eastAsia" w:ascii="宋体" w:hAnsi="宋体"/>
      <w:kern w:val="0"/>
      <w:sz w:val="24"/>
    </w:rPr>
  </w:style>
  <w:style w:type="paragraph" w:customStyle="1" w:styleId="8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83">
    <w:name w:val="xl48"/>
    <w:basedOn w:val="1"/>
    <w:qFormat/>
    <w:uiPriority w:val="0"/>
    <w:pPr>
      <w:widowControl/>
      <w:pBdr>
        <w:top w:val="single" w:color="auto" w:sz="4" w:space="0"/>
        <w:left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84">
    <w:name w:val="表格内容"/>
    <w:basedOn w:val="1"/>
    <w:qFormat/>
    <w:uiPriority w:val="0"/>
    <w:pPr>
      <w:numPr>
        <w:ilvl w:val="0"/>
        <w:numId w:val="1"/>
      </w:numPr>
      <w:spacing w:line="312" w:lineRule="auto"/>
    </w:pPr>
    <w:rPr>
      <w:rFonts w:ascii="宋体"/>
      <w:sz w:val="24"/>
      <w:szCs w:val="20"/>
    </w:rPr>
  </w:style>
  <w:style w:type="paragraph" w:customStyle="1" w:styleId="85">
    <w:name w:val="l2"/>
    <w:basedOn w:val="1"/>
    <w:qFormat/>
    <w:uiPriority w:val="0"/>
    <w:pPr>
      <w:keepLines/>
      <w:widowControl/>
      <w:spacing w:beforeLines="50" w:afterLines="50" w:line="300" w:lineRule="auto"/>
    </w:pPr>
    <w:rPr>
      <w:rFonts w:ascii="Arial" w:hAnsi="Arial"/>
      <w:bCs/>
    </w:rPr>
  </w:style>
  <w:style w:type="paragraph" w:customStyle="1" w:styleId="86">
    <w:name w:val="列表2"/>
    <w:basedOn w:val="1"/>
    <w:next w:val="1"/>
    <w:qFormat/>
    <w:uiPriority w:val="0"/>
    <w:pPr>
      <w:tabs>
        <w:tab w:val="left" w:pos="312"/>
        <w:tab w:val="left" w:pos="1547"/>
      </w:tabs>
      <w:spacing w:line="200" w:lineRule="atLeast"/>
      <w:ind w:left="1547" w:hanging="507"/>
    </w:pPr>
    <w:rPr>
      <w:sz w:val="28"/>
    </w:rPr>
  </w:style>
  <w:style w:type="paragraph" w:customStyle="1" w:styleId="87">
    <w:name w:val="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88">
    <w:name w:val="xl2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89">
    <w:name w:val="xl51"/>
    <w:basedOn w:val="1"/>
    <w:qFormat/>
    <w:uiPriority w:val="0"/>
    <w:pPr>
      <w:widowControl/>
      <w:pBdr>
        <w:bottom w:val="single" w:color="auto" w:sz="4" w:space="0"/>
        <w:right w:val="single" w:color="auto" w:sz="4" w:space="0"/>
      </w:pBdr>
      <w:spacing w:beforeAutospacing="1" w:afterAutospacing="1"/>
      <w:textAlignment w:val="center"/>
    </w:pPr>
    <w:rPr>
      <w:rFonts w:ascii="Arial" w:hAnsi="Arial" w:eastAsia="Arial Unicode MS" w:cs="Arial"/>
      <w:kern w:val="0"/>
      <w:szCs w:val="21"/>
    </w:rPr>
  </w:style>
  <w:style w:type="paragraph" w:customStyle="1" w:styleId="90">
    <w:name w:val="xl39"/>
    <w:basedOn w:val="1"/>
    <w:qFormat/>
    <w:uiPriority w:val="0"/>
    <w:pPr>
      <w:widowControl/>
      <w:pBdr>
        <w:top w:val="single" w:color="auto" w:sz="4" w:space="0"/>
        <w:bottom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91">
    <w:name w:val="xl46"/>
    <w:basedOn w:val="1"/>
    <w:qFormat/>
    <w:uiPriority w:val="0"/>
    <w:pPr>
      <w:widowControl/>
      <w:spacing w:beforeAutospacing="1" w:afterAutospacing="1"/>
      <w:jc w:val="left"/>
      <w:textAlignment w:val="center"/>
    </w:pPr>
    <w:rPr>
      <w:rFonts w:ascii="宋体" w:hAnsi="宋体"/>
      <w:kern w:val="0"/>
      <w:sz w:val="22"/>
      <w:szCs w:val="22"/>
    </w:rPr>
  </w:style>
  <w:style w:type="paragraph" w:customStyle="1" w:styleId="92">
    <w:name w:val="正文内容"/>
    <w:basedOn w:val="1"/>
    <w:qFormat/>
    <w:uiPriority w:val="0"/>
    <w:rPr>
      <w:rFonts w:ascii="Arial" w:hAnsi="Arial"/>
      <w:spacing w:val="-12"/>
      <w:szCs w:val="20"/>
    </w:rPr>
  </w:style>
  <w:style w:type="paragraph" w:customStyle="1" w:styleId="93">
    <w:name w:val="Table Heading"/>
    <w:basedOn w:val="1"/>
    <w:qFormat/>
    <w:uiPriority w:val="0"/>
    <w:pPr>
      <w:widowControl/>
      <w:jc w:val="center"/>
    </w:pPr>
    <w:rPr>
      <w:rFonts w:ascii="Arial" w:hAnsi="Arial"/>
      <w:b/>
      <w:kern w:val="0"/>
      <w:sz w:val="18"/>
      <w:szCs w:val="20"/>
    </w:rPr>
  </w:style>
  <w:style w:type="paragraph" w:customStyle="1" w:styleId="94">
    <w:name w:val="正文文本缩进 21"/>
    <w:basedOn w:val="1"/>
    <w:qFormat/>
    <w:uiPriority w:val="0"/>
    <w:pPr>
      <w:adjustRightInd w:val="0"/>
      <w:ind w:firstLine="420"/>
      <w:textAlignment w:val="baseline"/>
    </w:pPr>
    <w:rPr>
      <w:sz w:val="24"/>
      <w:szCs w:val="20"/>
    </w:rPr>
  </w:style>
  <w:style w:type="paragraph" w:customStyle="1" w:styleId="95">
    <w:name w:val="样式3"/>
    <w:basedOn w:val="19"/>
    <w:qFormat/>
    <w:uiPriority w:val="0"/>
    <w:pPr>
      <w:tabs>
        <w:tab w:val="right" w:leader="dot" w:pos="9458"/>
      </w:tabs>
    </w:pPr>
    <w:rPr>
      <w:i w:val="0"/>
    </w:rPr>
  </w:style>
  <w:style w:type="paragraph" w:customStyle="1" w:styleId="96">
    <w:name w:val="Table Body"/>
    <w:basedOn w:val="1"/>
    <w:qFormat/>
    <w:uiPriority w:val="0"/>
    <w:pPr>
      <w:widowControl/>
      <w:jc w:val="center"/>
    </w:pPr>
    <w:rPr>
      <w:rFonts w:ascii="Arial" w:hAnsi="Arial"/>
      <w:snapToGrid w:val="0"/>
      <w:kern w:val="0"/>
      <w:sz w:val="18"/>
      <w:szCs w:val="20"/>
    </w:rPr>
  </w:style>
  <w:style w:type="paragraph" w:customStyle="1" w:styleId="97">
    <w:name w:val="图"/>
    <w:basedOn w:val="1"/>
    <w:qFormat/>
    <w:uiPriority w:val="0"/>
    <w:pPr>
      <w:keepNext/>
      <w:adjustRightInd w:val="0"/>
      <w:spacing w:line="300" w:lineRule="auto"/>
      <w:jc w:val="center"/>
      <w:textAlignment w:val="center"/>
    </w:pPr>
    <w:rPr>
      <w:snapToGrid w:val="0"/>
      <w:spacing w:val="20"/>
      <w:kern w:val="0"/>
      <w:sz w:val="24"/>
      <w:szCs w:val="20"/>
    </w:rPr>
  </w:style>
  <w:style w:type="paragraph" w:customStyle="1" w:styleId="98">
    <w:name w:val="xl26"/>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99">
    <w:name w:val="xl4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宋体" w:hAnsi="宋体"/>
      <w:kern w:val="0"/>
      <w:sz w:val="24"/>
    </w:rPr>
  </w:style>
  <w:style w:type="paragraph" w:customStyle="1" w:styleId="100">
    <w:name w:val="Char Char1"/>
    <w:basedOn w:val="1"/>
    <w:qFormat/>
    <w:uiPriority w:val="0"/>
    <w:pPr>
      <w:widowControl/>
      <w:spacing w:line="240" w:lineRule="exact"/>
      <w:jc w:val="left"/>
    </w:pPr>
    <w:rPr>
      <w:rFonts w:ascii="Verdana" w:hAnsi="Verdana" w:eastAsia="楷体_GB2312"/>
      <w:b/>
      <w:i/>
      <w:iCs/>
      <w:color w:val="000000"/>
      <w:kern w:val="0"/>
      <w:sz w:val="20"/>
      <w:szCs w:val="20"/>
      <w:lang w:eastAsia="en-US"/>
    </w:rPr>
  </w:style>
  <w:style w:type="paragraph" w:customStyle="1" w:styleId="101">
    <w:name w:val="Char1 Char Char Char Char Char Char"/>
    <w:basedOn w:val="1"/>
    <w:qFormat/>
    <w:uiPriority w:val="0"/>
    <w:pPr>
      <w:tabs>
        <w:tab w:val="left" w:pos="425"/>
      </w:tabs>
      <w:ind w:left="425" w:hanging="425"/>
    </w:pPr>
    <w:rPr>
      <w:sz w:val="24"/>
    </w:rPr>
  </w:style>
  <w:style w:type="paragraph" w:customStyle="1" w:styleId="102">
    <w:name w:val="Normal1"/>
    <w:basedOn w:val="1"/>
    <w:qFormat/>
    <w:uiPriority w:val="0"/>
    <w:pPr>
      <w:widowControl/>
      <w:spacing w:after="200" w:line="300" w:lineRule="atLeast"/>
      <w:jc w:val="left"/>
    </w:pPr>
    <w:rPr>
      <w:rFonts w:ascii="Calibri" w:hAnsi="Calibri" w:cs="宋体"/>
      <w:kern w:val="0"/>
      <w:sz w:val="22"/>
      <w:szCs w:val="22"/>
    </w:rPr>
  </w:style>
  <w:style w:type="paragraph" w:customStyle="1" w:styleId="103">
    <w:name w:val="xl30"/>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104">
    <w:name w:val="xl31"/>
    <w:basedOn w:val="1"/>
    <w:qFormat/>
    <w:uiPriority w:val="0"/>
    <w:pPr>
      <w:widowControl/>
      <w:pBdr>
        <w:top w:val="single" w:color="auto" w:sz="4" w:space="0"/>
        <w:left w:val="single" w:color="auto" w:sz="4" w:space="0"/>
        <w:right w:val="single" w:color="auto" w:sz="4" w:space="0"/>
      </w:pBdr>
      <w:spacing w:beforeAutospacing="1" w:afterAutospacing="1"/>
      <w:jc w:val="left"/>
      <w:textAlignment w:val="center"/>
    </w:pPr>
    <w:rPr>
      <w:kern w:val="0"/>
      <w:sz w:val="22"/>
      <w:szCs w:val="22"/>
    </w:rPr>
  </w:style>
  <w:style w:type="paragraph" w:customStyle="1" w:styleId="105">
    <w:name w:val="xl37"/>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宋体" w:hAnsi="宋体"/>
      <w:b/>
      <w:bCs/>
      <w:kern w:val="0"/>
      <w:sz w:val="22"/>
      <w:szCs w:val="22"/>
    </w:rPr>
  </w:style>
  <w:style w:type="paragraph" w:customStyle="1" w:styleId="106">
    <w:name w:val="Char1 Char Char Char1"/>
    <w:basedOn w:val="1"/>
    <w:qFormat/>
    <w:uiPriority w:val="0"/>
    <w:pPr>
      <w:widowControl/>
      <w:spacing w:line="240" w:lineRule="exact"/>
      <w:jc w:val="left"/>
    </w:pPr>
    <w:rPr>
      <w:rFonts w:ascii="Verdana" w:hAnsi="Verdana" w:eastAsia="仿宋_GB2312"/>
      <w:kern w:val="0"/>
      <w:sz w:val="28"/>
      <w:szCs w:val="20"/>
      <w:lang w:eastAsia="en-US"/>
    </w:rPr>
  </w:style>
  <w:style w:type="paragraph" w:customStyle="1" w:styleId="107">
    <w:name w:val="font7"/>
    <w:basedOn w:val="1"/>
    <w:qFormat/>
    <w:uiPriority w:val="0"/>
    <w:pPr>
      <w:widowControl/>
      <w:spacing w:beforeAutospacing="1" w:afterAutospacing="1"/>
      <w:jc w:val="left"/>
    </w:pPr>
    <w:rPr>
      <w:kern w:val="0"/>
      <w:sz w:val="22"/>
      <w:szCs w:val="22"/>
    </w:rPr>
  </w:style>
  <w:style w:type="paragraph" w:customStyle="1" w:styleId="108">
    <w:name w:val="xl23"/>
    <w:basedOn w:val="1"/>
    <w:qFormat/>
    <w:uiPriority w:val="0"/>
    <w:pPr>
      <w:widowControl/>
      <w:spacing w:beforeAutospacing="1" w:afterAutospacing="1" w:line="360" w:lineRule="auto"/>
      <w:textAlignment w:val="top"/>
    </w:pPr>
    <w:rPr>
      <w:kern w:val="0"/>
      <w:sz w:val="24"/>
    </w:rPr>
  </w:style>
  <w:style w:type="paragraph" w:customStyle="1" w:styleId="109">
    <w:name w:val="xl3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b/>
      <w:bCs/>
      <w:kern w:val="0"/>
      <w:sz w:val="22"/>
      <w:szCs w:val="22"/>
    </w:rPr>
  </w:style>
  <w:style w:type="paragraph" w:customStyle="1" w:styleId="110">
    <w:name w:val="签名 - 公司"/>
    <w:basedOn w:val="26"/>
    <w:next w:val="111"/>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111">
    <w:name w:val="关于"/>
    <w:basedOn w:val="1"/>
    <w:next w:val="1"/>
    <w:qFormat/>
    <w:uiPriority w:val="0"/>
    <w:pPr>
      <w:keepNext/>
      <w:keepLines/>
      <w:widowControl/>
      <w:tabs>
        <w:tab w:val="left" w:pos="600"/>
        <w:tab w:val="left" w:pos="960"/>
        <w:tab w:val="left" w:pos="1080"/>
      </w:tabs>
      <w:overflowPunct w:val="0"/>
      <w:spacing w:line="360" w:lineRule="auto"/>
      <w:ind w:right="28" w:firstLine="480"/>
    </w:pPr>
    <w:rPr>
      <w:rFonts w:ascii="宋体" w:hAnsi="宋体"/>
      <w:kern w:val="0"/>
      <w:sz w:val="24"/>
      <w:szCs w:val="20"/>
    </w:rPr>
  </w:style>
  <w:style w:type="paragraph" w:customStyle="1" w:styleId="112">
    <w:name w:val="List Paragraph1"/>
    <w:basedOn w:val="1"/>
    <w:qFormat/>
    <w:uiPriority w:val="0"/>
    <w:pPr>
      <w:widowControl/>
      <w:ind w:firstLine="420" w:firstLineChars="200"/>
      <w:jc w:val="left"/>
    </w:pPr>
    <w:rPr>
      <w:kern w:val="0"/>
      <w:szCs w:val="20"/>
    </w:rPr>
  </w:style>
  <w:style w:type="paragraph" w:customStyle="1" w:styleId="113">
    <w:name w:val="表格文字"/>
    <w:basedOn w:val="1"/>
    <w:qFormat/>
    <w:uiPriority w:val="0"/>
    <w:pPr>
      <w:jc w:val="left"/>
    </w:pPr>
    <w:rPr>
      <w:spacing w:val="10"/>
      <w:kern w:val="0"/>
      <w:sz w:val="24"/>
    </w:rPr>
  </w:style>
  <w:style w:type="paragraph" w:customStyle="1" w:styleId="114">
    <w:name w:val="样式5"/>
    <w:basedOn w:val="115"/>
    <w:next w:val="115"/>
    <w:qFormat/>
    <w:uiPriority w:val="0"/>
    <w:pPr>
      <w:tabs>
        <w:tab w:val="right" w:leader="dot" w:pos="9458"/>
      </w:tabs>
    </w:pPr>
  </w:style>
  <w:style w:type="paragraph" w:customStyle="1" w:styleId="115">
    <w:name w:val="样式4"/>
    <w:basedOn w:val="27"/>
    <w:qFormat/>
    <w:uiPriority w:val="0"/>
    <w:pPr>
      <w:tabs>
        <w:tab w:val="right" w:leader="dot" w:pos="9458"/>
      </w:tabs>
    </w:pPr>
    <w:rPr>
      <w:b w:val="0"/>
    </w:rPr>
  </w:style>
  <w:style w:type="paragraph" w:customStyle="1" w:styleId="116">
    <w:name w:val="Char Char1 Char Char Char Char Char Char"/>
    <w:basedOn w:val="1"/>
    <w:qFormat/>
    <w:uiPriority w:val="0"/>
    <w:pPr>
      <w:widowControl/>
      <w:adjustRightInd w:val="0"/>
      <w:snapToGrid w:val="0"/>
      <w:spacing w:beforeLines="25" w:afterLines="25" w:line="240" w:lineRule="exact"/>
      <w:ind w:firstLine="560" w:firstLineChars="192"/>
      <w:jc w:val="left"/>
    </w:pPr>
    <w:rPr>
      <w:sz w:val="24"/>
    </w:rPr>
  </w:style>
  <w:style w:type="paragraph" w:customStyle="1" w:styleId="117">
    <w:name w:val="font9"/>
    <w:basedOn w:val="1"/>
    <w:qFormat/>
    <w:uiPriority w:val="0"/>
    <w:pPr>
      <w:widowControl/>
      <w:spacing w:beforeAutospacing="1" w:afterAutospacing="1"/>
      <w:jc w:val="left"/>
    </w:pPr>
    <w:rPr>
      <w:rFonts w:hint="eastAsia" w:ascii="宋体" w:hAnsi="宋体"/>
      <w:kern w:val="0"/>
      <w:sz w:val="22"/>
      <w:szCs w:val="22"/>
    </w:rPr>
  </w:style>
  <w:style w:type="paragraph" w:customStyle="1" w:styleId="118">
    <w:name w:val="Char"/>
    <w:basedOn w:val="1"/>
    <w:qFormat/>
    <w:uiPriority w:val="0"/>
    <w:pPr>
      <w:tabs>
        <w:tab w:val="left" w:pos="425"/>
      </w:tabs>
      <w:ind w:left="425" w:hanging="425"/>
    </w:pPr>
    <w:rPr>
      <w:sz w:val="24"/>
    </w:rPr>
  </w:style>
  <w:style w:type="paragraph" w:customStyle="1" w:styleId="119">
    <w:name w:val="È¡ÀÊ¡ÎÄ¡À¾"/>
    <w:basedOn w:val="1"/>
    <w:qFormat/>
    <w:uiPriority w:val="0"/>
    <w:pPr>
      <w:widowControl/>
      <w:overflowPunct w:val="0"/>
      <w:autoSpaceDE w:val="0"/>
      <w:autoSpaceDN w:val="0"/>
      <w:adjustRightInd w:val="0"/>
      <w:spacing w:line="360" w:lineRule="auto"/>
      <w:textAlignment w:val="baseline"/>
    </w:pPr>
    <w:rPr>
      <w:kern w:val="0"/>
      <w:szCs w:val="20"/>
    </w:rPr>
  </w:style>
  <w:style w:type="paragraph" w:customStyle="1" w:styleId="120">
    <w:name w:val="cnfont"/>
    <w:basedOn w:val="1"/>
    <w:qFormat/>
    <w:uiPriority w:val="0"/>
    <w:pPr>
      <w:widowControl/>
      <w:spacing w:beforeAutospacing="1" w:afterAutospacing="1"/>
      <w:jc w:val="left"/>
    </w:pPr>
    <w:rPr>
      <w:rFonts w:ascii="宋体" w:hAnsi="宋体"/>
      <w:color w:val="000000"/>
      <w:kern w:val="0"/>
      <w:sz w:val="24"/>
    </w:rPr>
  </w:style>
  <w:style w:type="paragraph" w:customStyle="1" w:styleId="121">
    <w:name w:val="Char Char Char Char Char Char Char Char Char Char Char Char Char"/>
    <w:basedOn w:val="1"/>
    <w:qFormat/>
    <w:uiPriority w:val="0"/>
    <w:pPr>
      <w:widowControl/>
      <w:spacing w:line="240" w:lineRule="exact"/>
      <w:jc w:val="left"/>
    </w:pPr>
    <w:rPr>
      <w:szCs w:val="20"/>
    </w:rPr>
  </w:style>
  <w:style w:type="paragraph" w:customStyle="1" w:styleId="122">
    <w:name w:val="xl43"/>
    <w:basedOn w:val="1"/>
    <w:qFormat/>
    <w:uiPriority w:val="0"/>
    <w:pPr>
      <w:widowControl/>
      <w:pBdr>
        <w:top w:val="single" w:color="auto" w:sz="4" w:space="0"/>
        <w:bottom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123">
    <w:name w:val="±í??"/>
    <w:basedOn w:val="1"/>
    <w:qFormat/>
    <w:uiPriority w:val="0"/>
    <w:pPr>
      <w:widowControl/>
      <w:overflowPunct w:val="0"/>
      <w:autoSpaceDE w:val="0"/>
      <w:autoSpaceDN w:val="0"/>
      <w:adjustRightInd w:val="0"/>
      <w:spacing w:line="300" w:lineRule="auto"/>
      <w:jc w:val="center"/>
      <w:textAlignment w:val="baseline"/>
    </w:pPr>
    <w:rPr>
      <w:kern w:val="0"/>
      <w:sz w:val="18"/>
      <w:szCs w:val="20"/>
    </w:rPr>
  </w:style>
  <w:style w:type="paragraph" w:customStyle="1" w:styleId="124">
    <w:name w:val="正文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125">
    <w:name w:val="样式"/>
    <w:basedOn w:val="1"/>
    <w:next w:val="18"/>
    <w:qFormat/>
    <w:uiPriority w:val="0"/>
    <w:pPr>
      <w:ind w:left="572" w:right="32" w:firstLine="478"/>
    </w:pPr>
    <w:rPr>
      <w:szCs w:val="21"/>
    </w:rPr>
  </w:style>
  <w:style w:type="paragraph" w:customStyle="1" w:styleId="126">
    <w:name w:val="xl2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kern w:val="0"/>
      <w:sz w:val="22"/>
      <w:szCs w:val="22"/>
    </w:rPr>
  </w:style>
  <w:style w:type="paragraph" w:customStyle="1" w:styleId="127">
    <w:name w:val="xl4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宋体" w:hAnsi="宋体"/>
      <w:b/>
      <w:bCs/>
      <w:kern w:val="0"/>
      <w:sz w:val="22"/>
      <w:szCs w:val="22"/>
    </w:rPr>
  </w:style>
  <w:style w:type="paragraph" w:customStyle="1" w:styleId="128">
    <w:name w:val="xl45"/>
    <w:basedOn w:val="1"/>
    <w:qFormat/>
    <w:uiPriority w:val="0"/>
    <w:pPr>
      <w:widowControl/>
      <w:pBdr>
        <w:top w:val="single" w:color="auto" w:sz="4" w:space="0"/>
        <w:bottom w:val="single" w:color="auto" w:sz="4" w:space="0"/>
      </w:pBdr>
      <w:spacing w:beforeAutospacing="1" w:afterAutospacing="1"/>
      <w:jc w:val="left"/>
      <w:textAlignment w:val="center"/>
    </w:pPr>
    <w:rPr>
      <w:rFonts w:ascii="宋体" w:hAnsi="宋体"/>
      <w:kern w:val="0"/>
      <w:sz w:val="22"/>
      <w:szCs w:val="22"/>
    </w:rPr>
  </w:style>
  <w:style w:type="paragraph" w:customStyle="1" w:styleId="129">
    <w:name w:val="Char Char2 Char"/>
    <w:basedOn w:val="1"/>
    <w:qFormat/>
    <w:uiPriority w:val="0"/>
    <w:pPr>
      <w:keepNext/>
      <w:keepLines/>
      <w:pageBreakBefore/>
      <w:tabs>
        <w:tab w:val="left" w:pos="845"/>
      </w:tabs>
      <w:ind w:left="845" w:hanging="420"/>
    </w:pPr>
    <w:rPr>
      <w:rFonts w:ascii="Tahoma" w:hAnsi="Tahoma"/>
      <w:sz w:val="24"/>
      <w:szCs w:val="20"/>
    </w:rPr>
  </w:style>
  <w:style w:type="paragraph" w:customStyle="1" w:styleId="130">
    <w:name w:val="日期1"/>
    <w:basedOn w:val="1"/>
    <w:next w:val="1"/>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kern w:val="0"/>
      <w:sz w:val="24"/>
      <w:szCs w:val="20"/>
    </w:rPr>
  </w:style>
  <w:style w:type="paragraph" w:customStyle="1" w:styleId="131">
    <w:name w:val="xl47"/>
    <w:basedOn w:val="1"/>
    <w:qFormat/>
    <w:uiPriority w:val="0"/>
    <w:pPr>
      <w:widowControl/>
      <w:pBdr>
        <w:left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132">
    <w:name w:val="Default Paragraph Font Para Char"/>
    <w:basedOn w:val="1"/>
    <w:qFormat/>
    <w:uiPriority w:val="0"/>
    <w:pPr>
      <w:widowControl/>
      <w:spacing w:line="240" w:lineRule="exact"/>
      <w:jc w:val="left"/>
    </w:pPr>
    <w:rPr>
      <w:rFonts w:ascii="Verdana" w:hAnsi="Verdana"/>
      <w:kern w:val="0"/>
      <w:sz w:val="20"/>
      <w:szCs w:val="20"/>
      <w:lang w:eastAsia="en-US"/>
    </w:rPr>
  </w:style>
  <w:style w:type="paragraph" w:customStyle="1" w:styleId="133">
    <w:name w:val="默认段落字体 Para Char"/>
    <w:basedOn w:val="1"/>
    <w:qFormat/>
    <w:uiPriority w:val="0"/>
    <w:pPr>
      <w:tabs>
        <w:tab w:val="left" w:pos="360"/>
        <w:tab w:val="left" w:pos="1008"/>
      </w:tabs>
      <w:ind w:left="420" w:hanging="420"/>
    </w:pPr>
    <w:rPr>
      <w:rFonts w:ascii="Verdana" w:hAnsi="Verdana"/>
      <w:kern w:val="0"/>
      <w:sz w:val="24"/>
      <w:szCs w:val="20"/>
      <w:lang w:eastAsia="en-US"/>
    </w:rPr>
  </w:style>
  <w:style w:type="paragraph" w:customStyle="1" w:styleId="134">
    <w:name w:val="±í??É"/>
    <w:basedOn w:val="1"/>
    <w:qFormat/>
    <w:uiPriority w:val="0"/>
    <w:pPr>
      <w:widowControl/>
      <w:overflowPunct w:val="0"/>
      <w:autoSpaceDE w:val="0"/>
      <w:autoSpaceDN w:val="0"/>
      <w:adjustRightInd w:val="0"/>
      <w:spacing w:line="300" w:lineRule="auto"/>
      <w:jc w:val="left"/>
      <w:textAlignment w:val="baseline"/>
    </w:pPr>
    <w:rPr>
      <w:kern w:val="0"/>
      <w:sz w:val="18"/>
      <w:szCs w:val="20"/>
    </w:rPr>
  </w:style>
  <w:style w:type="paragraph" w:customStyle="1" w:styleId="135">
    <w:name w:val="xl2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kern w:val="0"/>
      <w:sz w:val="22"/>
      <w:szCs w:val="22"/>
    </w:rPr>
  </w:style>
  <w:style w:type="paragraph" w:customStyle="1" w:styleId="136">
    <w:name w:val="样式2"/>
    <w:basedOn w:val="19"/>
    <w:qFormat/>
    <w:uiPriority w:val="0"/>
    <w:pPr>
      <w:tabs>
        <w:tab w:val="right" w:leader="dot" w:pos="9458"/>
      </w:tabs>
    </w:pPr>
    <w:rPr>
      <w:rFonts w:ascii="Arial" w:cs="Arial"/>
      <w:i w:val="0"/>
    </w:rPr>
  </w:style>
  <w:style w:type="paragraph" w:customStyle="1" w:styleId="137">
    <w:name w:val="正文样式"/>
    <w:basedOn w:val="1"/>
    <w:qFormat/>
    <w:uiPriority w:val="0"/>
    <w:pPr>
      <w:tabs>
        <w:tab w:val="left" w:pos="1560"/>
      </w:tabs>
      <w:spacing w:line="300" w:lineRule="auto"/>
      <w:ind w:left="1560" w:hanging="360"/>
    </w:pPr>
    <w:rPr>
      <w:rFonts w:ascii="宋体"/>
      <w:sz w:val="24"/>
    </w:rPr>
  </w:style>
  <w:style w:type="paragraph" w:customStyle="1" w:styleId="138">
    <w:name w:val="Char Char Char Char Char Char Char Char Char Char Char Char Char Char Char Char"/>
    <w:basedOn w:val="1"/>
    <w:qFormat/>
    <w:uiPriority w:val="0"/>
    <w:pPr>
      <w:tabs>
        <w:tab w:val="left" w:pos="360"/>
      </w:tabs>
    </w:pPr>
    <w:rPr>
      <w:sz w:val="24"/>
    </w:rPr>
  </w:style>
  <w:style w:type="paragraph" w:customStyle="1" w:styleId="139">
    <w:name w:val="xl32"/>
    <w:basedOn w:val="1"/>
    <w:qFormat/>
    <w:uiPriority w:val="0"/>
    <w:pPr>
      <w:widowControl/>
      <w:pBdr>
        <w:left w:val="single" w:color="auto" w:sz="4" w:space="0"/>
        <w:bottom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140">
    <w:name w:val="Char Char Char Char Char Char Char Char1"/>
    <w:basedOn w:val="1"/>
    <w:qFormat/>
    <w:uiPriority w:val="0"/>
    <w:pPr>
      <w:tabs>
        <w:tab w:val="left" w:pos="360"/>
      </w:tabs>
    </w:pPr>
    <w:rPr>
      <w:sz w:val="24"/>
    </w:rPr>
  </w:style>
  <w:style w:type="paragraph" w:customStyle="1" w:styleId="141">
    <w:name w:val="Char Char Char Char Char Char Char"/>
    <w:basedOn w:val="1"/>
    <w:qFormat/>
    <w:uiPriority w:val="0"/>
  </w:style>
  <w:style w:type="paragraph" w:customStyle="1" w:styleId="142">
    <w:name w:val="标题5"/>
    <w:basedOn w:val="1"/>
    <w:qFormat/>
    <w:uiPriority w:val="0"/>
    <w:rPr>
      <w:rFonts w:ascii="宋体"/>
      <w:b/>
      <w:sz w:val="28"/>
    </w:rPr>
  </w:style>
  <w:style w:type="paragraph" w:customStyle="1" w:styleId="143">
    <w:name w:val="xl34"/>
    <w:basedOn w:val="1"/>
    <w:qFormat/>
    <w:uiPriority w:val="0"/>
    <w:pPr>
      <w:widowControl/>
      <w:pBdr>
        <w:top w:val="single" w:color="auto" w:sz="4" w:space="0"/>
        <w:left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144">
    <w:name w:val="p0"/>
    <w:basedOn w:val="1"/>
    <w:qFormat/>
    <w:uiPriority w:val="0"/>
    <w:pPr>
      <w:widowControl/>
    </w:pPr>
    <w:rPr>
      <w:rFonts w:ascii="Calibri" w:hAnsi="Calibri" w:cs="Calibri"/>
      <w:kern w:val="0"/>
      <w:szCs w:val="21"/>
    </w:rPr>
  </w:style>
  <w:style w:type="paragraph" w:customStyle="1" w:styleId="145">
    <w:name w:val="font5"/>
    <w:basedOn w:val="1"/>
    <w:qFormat/>
    <w:uiPriority w:val="0"/>
    <w:pPr>
      <w:widowControl/>
      <w:spacing w:beforeAutospacing="1" w:afterAutospacing="1"/>
      <w:jc w:val="left"/>
    </w:pPr>
    <w:rPr>
      <w:rFonts w:hint="eastAsia" w:ascii="宋体" w:hAnsi="宋体"/>
      <w:kern w:val="0"/>
      <w:sz w:val="18"/>
      <w:szCs w:val="18"/>
    </w:rPr>
  </w:style>
  <w:style w:type="paragraph" w:customStyle="1" w:styleId="146">
    <w:name w:val="xl2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147">
    <w:name w:val="Char Char11"/>
    <w:basedOn w:val="1"/>
    <w:qFormat/>
    <w:uiPriority w:val="0"/>
    <w:pPr>
      <w:widowControl/>
      <w:spacing w:line="240" w:lineRule="exact"/>
      <w:jc w:val="left"/>
    </w:pPr>
    <w:rPr>
      <w:rFonts w:ascii="宋体" w:hAnsi="宋体"/>
      <w:kern w:val="0"/>
      <w:sz w:val="20"/>
      <w:szCs w:val="20"/>
      <w:lang w:eastAsia="en-US"/>
    </w:rPr>
  </w:style>
  <w:style w:type="paragraph" w:customStyle="1" w:styleId="148">
    <w:name w:val="正文缩进1"/>
    <w:basedOn w:val="1"/>
    <w:qFormat/>
    <w:uiPriority w:val="0"/>
    <w:pPr>
      <w:ind w:firstLine="567"/>
    </w:pPr>
    <w:rPr>
      <w:spacing w:val="20"/>
      <w:sz w:val="24"/>
      <w:szCs w:val="20"/>
    </w:rPr>
  </w:style>
  <w:style w:type="paragraph" w:customStyle="1" w:styleId="149">
    <w:name w:val="ÕýÎÄ 1"/>
    <w:basedOn w:val="1"/>
    <w:qFormat/>
    <w:uiPriority w:val="0"/>
    <w:pPr>
      <w:widowControl/>
      <w:overflowPunct w:val="0"/>
      <w:autoSpaceDE w:val="0"/>
      <w:autoSpaceDN w:val="0"/>
      <w:adjustRightInd w:val="0"/>
      <w:spacing w:line="360" w:lineRule="auto"/>
      <w:ind w:left="1417"/>
      <w:textAlignment w:val="baseline"/>
    </w:pPr>
    <w:rPr>
      <w:kern w:val="0"/>
      <w:szCs w:val="20"/>
    </w:rPr>
  </w:style>
  <w:style w:type="paragraph" w:customStyle="1" w:styleId="150">
    <w:name w:val="xl33"/>
    <w:basedOn w:val="1"/>
    <w:qFormat/>
    <w:uiPriority w:val="0"/>
    <w:pPr>
      <w:widowControl/>
      <w:spacing w:beforeAutospacing="1" w:afterAutospacing="1"/>
      <w:jc w:val="left"/>
      <w:textAlignment w:val="center"/>
    </w:pPr>
    <w:rPr>
      <w:rFonts w:ascii="宋体" w:hAnsi="宋体"/>
      <w:b/>
      <w:bCs/>
      <w:kern w:val="0"/>
      <w:sz w:val="28"/>
      <w:szCs w:val="28"/>
    </w:rPr>
  </w:style>
  <w:style w:type="paragraph" w:customStyle="1" w:styleId="151">
    <w:name w:val="xl35"/>
    <w:basedOn w:val="1"/>
    <w:qFormat/>
    <w:uiPriority w:val="0"/>
    <w:pPr>
      <w:widowControl/>
      <w:pBdr>
        <w:left w:val="single" w:color="auto" w:sz="4" w:space="0"/>
        <w:bottom w:val="single" w:color="auto" w:sz="4" w:space="0"/>
        <w:right w:val="single" w:color="auto" w:sz="4" w:space="0"/>
      </w:pBdr>
      <w:spacing w:beforeAutospacing="1" w:afterAutospacing="1"/>
      <w:jc w:val="left"/>
      <w:textAlignment w:val="center"/>
    </w:pPr>
    <w:rPr>
      <w:kern w:val="0"/>
      <w:sz w:val="22"/>
      <w:szCs w:val="22"/>
    </w:rPr>
  </w:style>
  <w:style w:type="paragraph" w:customStyle="1" w:styleId="152">
    <w:name w:val="xl42"/>
    <w:basedOn w:val="1"/>
    <w:qFormat/>
    <w:uiPriority w:val="0"/>
    <w:pPr>
      <w:widowControl/>
      <w:pBdr>
        <w:top w:val="single" w:color="auto" w:sz="4" w:space="0"/>
        <w:left w:val="single" w:color="auto" w:sz="4" w:space="0"/>
        <w:bottom w:val="single" w:color="auto" w:sz="4" w:space="0"/>
      </w:pBdr>
      <w:spacing w:beforeAutospacing="1" w:afterAutospacing="1"/>
      <w:jc w:val="left"/>
      <w:textAlignment w:val="center"/>
    </w:pPr>
    <w:rPr>
      <w:kern w:val="0"/>
      <w:sz w:val="22"/>
      <w:szCs w:val="22"/>
    </w:rPr>
  </w:style>
  <w:style w:type="paragraph" w:customStyle="1" w:styleId="153">
    <w:name w:val="Default 123  Text1"/>
    <w:basedOn w:val="1"/>
    <w:qFormat/>
    <w:uiPriority w:val="0"/>
    <w:pPr>
      <w:widowControl/>
      <w:overflowPunct w:val="0"/>
      <w:autoSpaceDE w:val="0"/>
      <w:autoSpaceDN w:val="0"/>
      <w:adjustRightInd w:val="0"/>
      <w:jc w:val="left"/>
    </w:pPr>
    <w:rPr>
      <w:rFonts w:hint="eastAsia" w:ascii="宋体"/>
      <w:kern w:val="0"/>
      <w:sz w:val="26"/>
      <w:szCs w:val="20"/>
    </w:rPr>
  </w:style>
  <w:style w:type="paragraph" w:customStyle="1" w:styleId="154">
    <w:name w:val="Char11"/>
    <w:basedOn w:val="1"/>
    <w:qFormat/>
    <w:uiPriority w:val="0"/>
    <w:pPr>
      <w:tabs>
        <w:tab w:val="left" w:pos="825"/>
      </w:tabs>
      <w:ind w:left="825" w:hanging="360"/>
    </w:pPr>
    <w:rPr>
      <w:sz w:val="24"/>
    </w:rPr>
  </w:style>
  <w:style w:type="paragraph" w:customStyle="1" w:styleId="155">
    <w:name w:val="xl24"/>
    <w:basedOn w:val="1"/>
    <w:qFormat/>
    <w:uiPriority w:val="0"/>
    <w:pPr>
      <w:widowControl/>
      <w:pBdr>
        <w:top w:val="single" w:color="auto" w:sz="4" w:space="0"/>
        <w:left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156">
    <w:name w:val="Char Char Char Char"/>
    <w:basedOn w:val="1"/>
    <w:qFormat/>
    <w:uiPriority w:val="0"/>
    <w:pPr>
      <w:widowControl/>
      <w:spacing w:line="240" w:lineRule="exact"/>
      <w:jc w:val="left"/>
    </w:pPr>
  </w:style>
  <w:style w:type="paragraph" w:customStyle="1" w:styleId="157">
    <w:name w:val="Char Char Char Char Char Char Char Char Char Char Char Char Char Char Char Char Char Char1 Char Char Char1 Char"/>
    <w:basedOn w:val="1"/>
    <w:qFormat/>
    <w:uiPriority w:val="0"/>
    <w:pPr>
      <w:tabs>
        <w:tab w:val="left" w:pos="360"/>
      </w:tabs>
      <w:ind w:left="360" w:hanging="360" w:hangingChars="200"/>
    </w:pPr>
    <w:rPr>
      <w:sz w:val="24"/>
    </w:rPr>
  </w:style>
  <w:style w:type="paragraph" w:customStyle="1" w:styleId="158">
    <w:name w:val="xl44"/>
    <w:basedOn w:val="1"/>
    <w:qFormat/>
    <w:uiPriority w:val="0"/>
    <w:pPr>
      <w:widowControl/>
      <w:pBdr>
        <w:top w:val="single" w:color="auto" w:sz="4" w:space="0"/>
        <w:left w:val="single" w:color="auto" w:sz="4" w:space="0"/>
        <w:bottom w:val="single" w:color="auto" w:sz="4" w:space="0"/>
      </w:pBdr>
      <w:spacing w:beforeAutospacing="1" w:afterAutospacing="1"/>
      <w:jc w:val="left"/>
      <w:textAlignment w:val="center"/>
    </w:pPr>
    <w:rPr>
      <w:rFonts w:ascii="宋体" w:hAnsi="宋体"/>
      <w:kern w:val="0"/>
      <w:sz w:val="22"/>
      <w:szCs w:val="22"/>
    </w:rPr>
  </w:style>
  <w:style w:type="paragraph" w:customStyle="1" w:styleId="159">
    <w:name w:val="Char1"/>
    <w:basedOn w:val="1"/>
    <w:qFormat/>
    <w:uiPriority w:val="0"/>
    <w:rPr>
      <w:rFonts w:ascii="Tahoma" w:hAnsi="Tahoma"/>
      <w:sz w:val="24"/>
      <w:szCs w:val="20"/>
    </w:rPr>
  </w:style>
  <w:style w:type="paragraph" w:customStyle="1" w:styleId="160">
    <w:name w:val="Char Char Char Char1"/>
    <w:basedOn w:val="13"/>
    <w:qFormat/>
    <w:uiPriority w:val="0"/>
    <w:rPr>
      <w:rFonts w:ascii="Tahoma" w:hAnsi="Tahoma"/>
      <w:sz w:val="24"/>
    </w:rPr>
  </w:style>
  <w:style w:type="paragraph" w:customStyle="1" w:styleId="161">
    <w:name w:val="4"/>
    <w:basedOn w:val="1"/>
    <w:next w:val="1"/>
    <w:qFormat/>
    <w:uiPriority w:val="0"/>
  </w:style>
  <w:style w:type="paragraph" w:customStyle="1" w:styleId="162">
    <w:name w:val="文档正文"/>
    <w:basedOn w:val="1"/>
    <w:qFormat/>
    <w:uiPriority w:val="0"/>
    <w:rPr>
      <w:rFonts w:ascii="Arial" w:hAnsi="Arial" w:cs="Arial"/>
      <w:bCs/>
      <w:sz w:val="24"/>
    </w:rPr>
  </w:style>
  <w:style w:type="paragraph" w:customStyle="1" w:styleId="163">
    <w:name w:val="font6"/>
    <w:basedOn w:val="1"/>
    <w:qFormat/>
    <w:uiPriority w:val="0"/>
    <w:pPr>
      <w:widowControl/>
      <w:spacing w:beforeAutospacing="1" w:afterAutospacing="1"/>
      <w:jc w:val="left"/>
    </w:pPr>
    <w:rPr>
      <w:rFonts w:hint="eastAsia" w:ascii="宋体" w:hAnsi="宋体"/>
      <w:kern w:val="0"/>
      <w:sz w:val="22"/>
      <w:szCs w:val="22"/>
    </w:rPr>
  </w:style>
  <w:style w:type="paragraph" w:customStyle="1" w:styleId="164">
    <w:name w:val="GP正文(首行缩进)"/>
    <w:basedOn w:val="1"/>
    <w:qFormat/>
    <w:uiPriority w:val="0"/>
    <w:pPr>
      <w:spacing w:line="360" w:lineRule="auto"/>
      <w:ind w:firstLine="200" w:firstLineChars="200"/>
      <w:jc w:val="left"/>
    </w:pPr>
    <w:rPr>
      <w:sz w:val="24"/>
      <w:szCs w:val="21"/>
    </w:rPr>
  </w:style>
  <w:style w:type="paragraph" w:customStyle="1" w:styleId="165">
    <w:name w:val="xl36"/>
    <w:basedOn w:val="1"/>
    <w:qFormat/>
    <w:uiPriority w:val="0"/>
    <w:pPr>
      <w:widowControl/>
      <w:pBdr>
        <w:left w:val="single" w:color="auto" w:sz="4" w:space="0"/>
        <w:bottom w:val="single" w:color="auto" w:sz="4" w:space="0"/>
        <w:right w:val="single" w:color="auto" w:sz="4" w:space="0"/>
      </w:pBdr>
      <w:spacing w:beforeAutospacing="1" w:afterAutospacing="1"/>
      <w:jc w:val="left"/>
      <w:textAlignment w:val="center"/>
    </w:pPr>
    <w:rPr>
      <w:rFonts w:ascii="宋体" w:hAnsi="宋体"/>
      <w:b/>
      <w:bCs/>
      <w:kern w:val="0"/>
      <w:sz w:val="22"/>
      <w:szCs w:val="22"/>
    </w:rPr>
  </w:style>
  <w:style w:type="character" w:customStyle="1" w:styleId="166">
    <w:name w:val="font11"/>
    <w:qFormat/>
    <w:uiPriority w:val="0"/>
    <w:rPr>
      <w:rFonts w:hint="default" w:ascii="Times New Roman" w:hAnsi="Times New Roman" w:cs="Times New Roman"/>
      <w:color w:val="000000"/>
      <w:sz w:val="24"/>
      <w:szCs w:val="24"/>
      <w:u w:val="none"/>
    </w:rPr>
  </w:style>
  <w:style w:type="paragraph" w:customStyle="1" w:styleId="167">
    <w:name w:val="BodyText"/>
    <w:basedOn w:val="1"/>
    <w:qFormat/>
    <w:uiPriority w:val="0"/>
    <w:pPr>
      <w:widowControl/>
      <w:spacing w:after="120"/>
      <w:textAlignment w:val="baseline"/>
    </w:pPr>
    <w:rPr>
      <w:rFonts w:ascii="Calibri" w:hAnsi="Calibri"/>
    </w:rPr>
  </w:style>
  <w:style w:type="character" w:customStyle="1" w:styleId="168">
    <w:name w:val="NormalCharacter"/>
    <w:qFormat/>
    <w:uiPriority w:val="0"/>
  </w:style>
  <w:style w:type="paragraph" w:customStyle="1" w:styleId="169">
    <w:name w:val="_Style 166"/>
    <w:unhideWhenUsed/>
    <w:qFormat/>
    <w:uiPriority w:val="99"/>
    <w:rPr>
      <w:rFonts w:ascii="Times New Roman" w:hAnsi="Times New Roman" w:eastAsia="宋体" w:cs="Times New Roman"/>
      <w:kern w:val="2"/>
      <w:sz w:val="21"/>
      <w:szCs w:val="24"/>
      <w:lang w:val="en-US" w:eastAsia="zh-CN" w:bidi="ar-SA"/>
    </w:rPr>
  </w:style>
  <w:style w:type="paragraph" w:customStyle="1" w:styleId="170">
    <w:name w:val="Table Paragraph"/>
    <w:basedOn w:val="1"/>
    <w:qFormat/>
    <w:uiPriority w:val="0"/>
    <w:rPr>
      <w:rFonts w:ascii="宋体" w:hAnsi="宋体" w:cs="宋体"/>
      <w:szCs w:val="22"/>
      <w:lang w:val="zh-CN" w:bidi="zh-CN"/>
    </w:rPr>
  </w:style>
  <w:style w:type="character" w:customStyle="1" w:styleId="171">
    <w:name w:val="font171"/>
    <w:qFormat/>
    <w:uiPriority w:val="0"/>
    <w:rPr>
      <w:rFonts w:hint="eastAsia" w:ascii="宋体" w:hAnsi="宋体" w:eastAsia="宋体" w:cs="宋体"/>
      <w:color w:val="000000"/>
      <w:sz w:val="18"/>
      <w:szCs w:val="18"/>
      <w:u w:val="none"/>
    </w:rPr>
  </w:style>
  <w:style w:type="character" w:customStyle="1" w:styleId="172">
    <w:name w:val="font191"/>
    <w:qFormat/>
    <w:uiPriority w:val="0"/>
    <w:rPr>
      <w:rFonts w:ascii="Arial" w:hAnsi="Arial" w:cs="Arial"/>
      <w:color w:val="000000"/>
      <w:sz w:val="18"/>
      <w:szCs w:val="18"/>
      <w:u w:val="none"/>
    </w:rPr>
  </w:style>
  <w:style w:type="paragraph" w:styleId="173">
    <w:name w:val="No Spacing"/>
    <w:qFormat/>
    <w:uiPriority w:val="1"/>
    <w:pPr>
      <w:adjustRightInd w:val="0"/>
      <w:snapToGrid w:val="0"/>
    </w:pPr>
    <w:rPr>
      <w:rFonts w:ascii="Tahoma" w:hAnsi="Tahoma" w:eastAsia="宋体" w:cs="Times New Roman"/>
      <w:sz w:val="22"/>
      <w:szCs w:val="22"/>
      <w:lang w:val="en-US" w:eastAsia="zh-CN" w:bidi="ar-SA"/>
    </w:rPr>
  </w:style>
  <w:style w:type="paragraph" w:customStyle="1" w:styleId="174">
    <w:name w:val="无间隔11"/>
    <w:qFormat/>
    <w:uiPriority w:val="1"/>
    <w:pPr>
      <w:adjustRightInd w:val="0"/>
      <w:snapToGrid w:val="0"/>
    </w:pPr>
    <w:rPr>
      <w:rFonts w:ascii="Tahoma" w:hAnsi="Tahoma" w:eastAsia="宋体" w:cs="Times New Roman"/>
      <w:sz w:val="22"/>
      <w:szCs w:val="22"/>
      <w:lang w:val="en-US" w:eastAsia="zh-CN" w:bidi="ar-SA"/>
    </w:rPr>
  </w:style>
  <w:style w:type="character" w:customStyle="1" w:styleId="175">
    <w:name w:val="font101"/>
    <w:qFormat/>
    <w:uiPriority w:val="0"/>
    <w:rPr>
      <w:rFonts w:hint="eastAsia" w:ascii="宋体" w:hAnsi="宋体" w:eastAsia="宋体" w:cs="宋体"/>
      <w:color w:val="000000"/>
      <w:sz w:val="20"/>
      <w:szCs w:val="20"/>
      <w:u w:val="none"/>
    </w:rPr>
  </w:style>
  <w:style w:type="character" w:customStyle="1" w:styleId="176">
    <w:name w:val="font71"/>
    <w:qFormat/>
    <w:uiPriority w:val="0"/>
    <w:rPr>
      <w:rFonts w:hint="eastAsia" w:ascii="宋体" w:hAnsi="宋体" w:eastAsia="宋体" w:cs="宋体"/>
      <w:b/>
      <w:bCs/>
      <w:color w:val="0070C0"/>
      <w:sz w:val="20"/>
      <w:szCs w:val="20"/>
      <w:u w:val="none"/>
    </w:rPr>
  </w:style>
  <w:style w:type="character" w:customStyle="1" w:styleId="177">
    <w:name w:val="font161"/>
    <w:qFormat/>
    <w:uiPriority w:val="0"/>
    <w:rPr>
      <w:rFonts w:hint="eastAsia" w:ascii="宋体" w:hAnsi="宋体" w:eastAsia="宋体" w:cs="宋体"/>
      <w:color w:val="000000"/>
      <w:sz w:val="20"/>
      <w:szCs w:val="20"/>
      <w:u w:val="none"/>
    </w:rPr>
  </w:style>
  <w:style w:type="character" w:customStyle="1" w:styleId="178">
    <w:name w:val="font291"/>
    <w:qFormat/>
    <w:uiPriority w:val="0"/>
    <w:rPr>
      <w:rFonts w:hint="eastAsia" w:ascii="宋体" w:hAnsi="宋体" w:eastAsia="宋体" w:cs="宋体"/>
      <w:color w:val="FF0000"/>
      <w:sz w:val="20"/>
      <w:szCs w:val="20"/>
      <w:u w:val="none"/>
    </w:rPr>
  </w:style>
  <w:style w:type="character" w:customStyle="1" w:styleId="179">
    <w:name w:val="font121"/>
    <w:qFormat/>
    <w:uiPriority w:val="0"/>
    <w:rPr>
      <w:rFonts w:hint="eastAsia" w:ascii="宋体" w:hAnsi="宋体" w:eastAsia="宋体" w:cs="宋体"/>
      <w:color w:val="000000"/>
      <w:sz w:val="20"/>
      <w:szCs w:val="20"/>
      <w:u w:val="none"/>
    </w:rPr>
  </w:style>
  <w:style w:type="character" w:customStyle="1" w:styleId="180">
    <w:name w:val="font312"/>
    <w:qFormat/>
    <w:uiPriority w:val="0"/>
    <w:rPr>
      <w:rFonts w:hint="eastAsia" w:ascii="宋体" w:hAnsi="宋体" w:eastAsia="宋体" w:cs="宋体"/>
      <w:b/>
      <w:bCs/>
      <w:color w:val="FF0000"/>
      <w:sz w:val="20"/>
      <w:szCs w:val="20"/>
      <w:u w:val="none"/>
    </w:rPr>
  </w:style>
  <w:style w:type="character" w:customStyle="1" w:styleId="181">
    <w:name w:val="font112"/>
    <w:qFormat/>
    <w:uiPriority w:val="0"/>
    <w:rPr>
      <w:rFonts w:hint="default" w:ascii="Times New Roman" w:hAnsi="Times New Roman" w:cs="Times New Roman"/>
      <w:color w:val="000000"/>
      <w:sz w:val="20"/>
      <w:szCs w:val="20"/>
      <w:u w:val="none"/>
    </w:rPr>
  </w:style>
  <w:style w:type="paragraph" w:customStyle="1" w:styleId="182">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3">
    <w:name w:val="正文首行缩进 2 Char"/>
    <w:basedOn w:val="50"/>
    <w:link w:val="36"/>
    <w:qFormat/>
    <w:uiPriority w:val="0"/>
    <w:rPr>
      <w:sz w:val="21"/>
      <w:szCs w:val="24"/>
    </w:rPr>
  </w:style>
  <w:style w:type="paragraph" w:customStyle="1" w:styleId="184">
    <w:name w:val="*正文"/>
    <w:basedOn w:val="1"/>
    <w:qFormat/>
    <w:uiPriority w:val="0"/>
    <w:pPr>
      <w:overflowPunct w:val="0"/>
      <w:snapToGrid w:val="0"/>
    </w:pPr>
    <w:rPr>
      <w:rFonts w:hAnsi="Times New Roman" w:eastAsia="宋体"/>
      <w:kern w:val="0"/>
      <w:sz w:val="21"/>
    </w:rPr>
  </w:style>
  <w:style w:type="paragraph" w:customStyle="1" w:styleId="185">
    <w:name w:val="DAS正文"/>
    <w:basedOn w:val="1"/>
    <w:qFormat/>
    <w:uiPriority w:val="0"/>
    <w:pPr>
      <w:ind w:right="181" w:firstLine="480" w:firstLineChars="200"/>
    </w:pPr>
    <w:rPr>
      <w:rFonts w:ascii="Verdana" w:hAnsi="Verdana"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67</Pages>
  <Words>39304</Words>
  <Characters>40468</Characters>
  <Lines>232</Lines>
  <Paragraphs>65</Paragraphs>
  <TotalTime>5</TotalTime>
  <ScaleCrop>false</ScaleCrop>
  <LinksUpToDate>false</LinksUpToDate>
  <CharactersWithSpaces>41381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2023-11-19T07:48:00Z</dcterms:created>
  <dc:creator>Lenovo User</dc:creator>
  <cp:lastModifiedBy>               W°</cp:lastModifiedBy>
  <cp:lastPrinted>2025-08-27T10:09:00Z</cp:lastPrinted>
  <dcterms:modified xsi:type="dcterms:W3CDTF">2025-10-23T05:39:23Z</dcterms:modified>
  <dc:title>2017省本级政府设备采购招标项目</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ECE3BBFFDFA647C99F2BDA66AC85FEE3_13</vt:lpwstr>
  </property>
  <property fmtid="{D5CDD505-2E9C-101B-9397-08002B2CF9AE}" pid="4" name="KSOTemplateDocerSaveRecord">
    <vt:lpwstr>eyJoZGlkIjoiNjBhMGRkMWJjMTQ3NjczMjQ1MzJjODllNmU0NTkyZGQiLCJ1c2VySWQiOiIxNTk1MDQ5MjkwIn0=</vt:lpwstr>
  </property>
</Properties>
</file>