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589C7">
      <w:pPr>
        <w:jc w:val="center"/>
        <w:outlineLvl w:val="0"/>
        <w:rPr>
          <w:b/>
          <w:sz w:val="44"/>
        </w:rPr>
      </w:pPr>
      <w:bookmarkStart w:id="48" w:name="_GoBack"/>
      <w:bookmarkEnd w:id="48"/>
    </w:p>
    <w:p w14:paraId="590B255F">
      <w:pPr>
        <w:jc w:val="center"/>
        <w:outlineLvl w:val="0"/>
        <w:rPr>
          <w:b/>
          <w:sz w:val="44"/>
        </w:rPr>
      </w:pPr>
      <w:r>
        <w:rPr>
          <w:rFonts w:hint="eastAsia"/>
          <w:b/>
          <w:sz w:val="44"/>
        </w:rPr>
        <w:t>2025年采购招标项目</w:t>
      </w:r>
      <w:r>
        <w:rPr>
          <w:rFonts w:hint="eastAsia"/>
          <w:b/>
          <w:sz w:val="44"/>
        </w:rPr>
        <w:tab/>
      </w:r>
    </w:p>
    <w:p w14:paraId="5DCBDBF7">
      <w:pPr>
        <w:jc w:val="center"/>
        <w:outlineLvl w:val="0"/>
        <w:rPr>
          <w:rFonts w:hint="eastAsia" w:ascii="宋体" w:hAnsi="宋体"/>
          <w:b/>
          <w:sz w:val="30"/>
          <w:szCs w:val="30"/>
        </w:rPr>
      </w:pPr>
    </w:p>
    <w:p w14:paraId="33B9406C">
      <w:pPr>
        <w:spacing w:line="240" w:lineRule="atLeast"/>
        <w:jc w:val="center"/>
        <w:rPr>
          <w:rFonts w:hint="eastAsia" w:ascii="宋体" w:hAnsi="宋体"/>
          <w:b/>
          <w:sz w:val="30"/>
          <w:szCs w:val="30"/>
        </w:rPr>
      </w:pPr>
      <w:r>
        <w:rPr>
          <w:rFonts w:hint="eastAsia" w:ascii="宋体" w:hAnsi="宋体"/>
          <w:b/>
          <w:sz w:val="30"/>
          <w:szCs w:val="30"/>
        </w:rPr>
        <w:t>项目名称：AI智慧体育设备项目</w:t>
      </w:r>
    </w:p>
    <w:p w14:paraId="651E0440">
      <w:pPr>
        <w:spacing w:line="240" w:lineRule="atLeast"/>
        <w:jc w:val="center"/>
        <w:rPr>
          <w:rFonts w:hint="eastAsia" w:ascii="宋体" w:hAnsi="宋体"/>
          <w:b/>
          <w:sz w:val="30"/>
          <w:szCs w:val="30"/>
        </w:rPr>
      </w:pPr>
      <w:r>
        <w:rPr>
          <w:rFonts w:hint="eastAsia" w:ascii="宋体" w:hAnsi="宋体"/>
          <w:b/>
          <w:sz w:val="30"/>
          <w:szCs w:val="30"/>
        </w:rPr>
        <w:t>招标编号: HNJY2025-14-7</w:t>
      </w:r>
    </w:p>
    <w:p w14:paraId="1A715C1F">
      <w:pPr>
        <w:spacing w:line="240" w:lineRule="atLeast"/>
        <w:jc w:val="center"/>
        <w:rPr>
          <w:rFonts w:hint="eastAsia" w:ascii="宋体" w:hAnsi="宋体"/>
          <w:sz w:val="32"/>
          <w:szCs w:val="32"/>
        </w:rPr>
      </w:pPr>
    </w:p>
    <w:p w14:paraId="0D900B4A">
      <w:pPr>
        <w:jc w:val="center"/>
        <w:outlineLvl w:val="0"/>
        <w:rPr>
          <w:b/>
          <w:sz w:val="84"/>
        </w:rPr>
      </w:pPr>
      <w:r>
        <w:rPr>
          <w:rFonts w:hint="eastAsia"/>
          <w:b/>
          <w:sz w:val="84"/>
        </w:rPr>
        <w:t>招　</w:t>
      </w:r>
    </w:p>
    <w:p w14:paraId="474CF19A">
      <w:pPr>
        <w:jc w:val="center"/>
        <w:outlineLvl w:val="0"/>
        <w:rPr>
          <w:b/>
          <w:sz w:val="84"/>
        </w:rPr>
      </w:pPr>
      <w:r>
        <w:rPr>
          <w:rFonts w:hint="eastAsia"/>
          <w:b/>
          <w:sz w:val="84"/>
        </w:rPr>
        <w:t>标　</w:t>
      </w:r>
    </w:p>
    <w:p w14:paraId="02304925">
      <w:pPr>
        <w:jc w:val="center"/>
        <w:outlineLvl w:val="0"/>
        <w:rPr>
          <w:b/>
          <w:sz w:val="84"/>
        </w:rPr>
      </w:pPr>
      <w:r>
        <w:rPr>
          <w:rFonts w:hint="eastAsia"/>
          <w:b/>
          <w:sz w:val="84"/>
        </w:rPr>
        <w:t>文　</w:t>
      </w:r>
    </w:p>
    <w:p w14:paraId="085E8F50">
      <w:pPr>
        <w:jc w:val="center"/>
        <w:outlineLvl w:val="0"/>
        <w:rPr>
          <w:b/>
          <w:sz w:val="84"/>
        </w:rPr>
      </w:pPr>
      <w:r>
        <w:rPr>
          <w:rFonts w:hint="eastAsia"/>
          <w:b/>
          <w:sz w:val="84"/>
        </w:rPr>
        <w:t>件</w:t>
      </w:r>
    </w:p>
    <w:p w14:paraId="20DA4D2E">
      <w:pPr>
        <w:spacing w:line="240" w:lineRule="atLeast"/>
        <w:rPr>
          <w:rFonts w:ascii="宋体"/>
          <w:b/>
          <w:sz w:val="32"/>
        </w:rPr>
      </w:pPr>
    </w:p>
    <w:p w14:paraId="37BDD348">
      <w:pPr>
        <w:rPr>
          <w:rFonts w:hint="eastAsia" w:ascii="宋体" w:hAnsi="宋体"/>
          <w:sz w:val="44"/>
          <w:szCs w:val="44"/>
        </w:rPr>
      </w:pPr>
    </w:p>
    <w:p w14:paraId="6BBE35D4">
      <w:pPr>
        <w:rPr>
          <w:rFonts w:hint="eastAsia" w:ascii="宋体" w:hAnsi="宋体"/>
          <w:sz w:val="44"/>
          <w:szCs w:val="44"/>
        </w:rPr>
      </w:pPr>
    </w:p>
    <w:p w14:paraId="37AE5F96">
      <w:pPr>
        <w:jc w:val="center"/>
        <w:rPr>
          <w:rFonts w:hint="eastAsia" w:ascii="宋体" w:hAnsi="宋体"/>
          <w:sz w:val="30"/>
          <w:szCs w:val="30"/>
        </w:rPr>
      </w:pPr>
      <w:r>
        <w:rPr>
          <w:rFonts w:hint="eastAsia" w:ascii="宋体" w:hAnsi="宋体"/>
          <w:sz w:val="30"/>
          <w:szCs w:val="30"/>
        </w:rPr>
        <w:t>采购人：</w:t>
      </w:r>
      <w:r>
        <w:rPr>
          <w:rFonts w:hint="eastAsia" w:ascii="宋体" w:hAnsi="宋体"/>
          <w:color w:val="000000"/>
          <w:sz w:val="30"/>
          <w:szCs w:val="30"/>
        </w:rPr>
        <w:t>海南政法职业学院</w:t>
      </w:r>
    </w:p>
    <w:p w14:paraId="7011102B">
      <w:pPr>
        <w:spacing w:line="360" w:lineRule="auto"/>
        <w:jc w:val="center"/>
        <w:rPr>
          <w:rFonts w:hint="eastAsia" w:ascii="宋体" w:hAnsi="宋体"/>
          <w:sz w:val="30"/>
          <w:szCs w:val="30"/>
        </w:rPr>
      </w:pPr>
      <w:r>
        <w:rPr>
          <w:rFonts w:hint="eastAsia" w:ascii="宋体" w:hAnsi="宋体"/>
          <w:sz w:val="30"/>
          <w:szCs w:val="30"/>
        </w:rPr>
        <w:t>采购代理机构：海南省教学仪器设备招标中心有限公司</w:t>
      </w:r>
    </w:p>
    <w:p w14:paraId="272B5C76">
      <w:pPr>
        <w:spacing w:line="360" w:lineRule="auto"/>
        <w:jc w:val="center"/>
        <w:rPr>
          <w:rFonts w:hint="eastAsia" w:ascii="宋体" w:hAnsi="宋体"/>
          <w:sz w:val="30"/>
          <w:szCs w:val="30"/>
        </w:rPr>
      </w:pPr>
      <w:r>
        <w:rPr>
          <w:rFonts w:hint="eastAsia" w:ascii="宋体" w:hAnsi="宋体"/>
          <w:sz w:val="30"/>
          <w:szCs w:val="30"/>
        </w:rPr>
        <w:t>2025年</w:t>
      </w:r>
      <w:r>
        <w:rPr>
          <w:rFonts w:hint="eastAsia" w:ascii="宋体" w:hAnsi="宋体"/>
          <w:sz w:val="30"/>
          <w:szCs w:val="30"/>
          <w:lang w:val="en-US" w:eastAsia="zh-CN"/>
        </w:rPr>
        <w:t>10</w:t>
      </w:r>
      <w:r>
        <w:rPr>
          <w:rFonts w:hint="eastAsia" w:ascii="宋体" w:hAnsi="宋体"/>
          <w:sz w:val="30"/>
          <w:szCs w:val="30"/>
        </w:rPr>
        <w:t>月</w:t>
      </w:r>
    </w:p>
    <w:p w14:paraId="23F9AC41">
      <w:pPr>
        <w:spacing w:line="440" w:lineRule="exact"/>
        <w:ind w:right="42" w:rightChars="20"/>
        <w:jc w:val="center"/>
        <w:rPr>
          <w:rFonts w:hint="eastAsia" w:ascii="宋体" w:hAnsi="宋体"/>
          <w:b/>
          <w:sz w:val="44"/>
          <w:szCs w:val="44"/>
        </w:rPr>
      </w:pPr>
    </w:p>
    <w:p w14:paraId="34FBB66C">
      <w:pPr>
        <w:spacing w:line="440" w:lineRule="exact"/>
        <w:ind w:right="42" w:rightChars="20"/>
        <w:jc w:val="center"/>
        <w:rPr>
          <w:rFonts w:hint="eastAsia" w:ascii="宋体" w:hAnsi="宋体"/>
          <w:b/>
          <w:sz w:val="44"/>
          <w:szCs w:val="44"/>
        </w:rPr>
      </w:pPr>
    </w:p>
    <w:p w14:paraId="6CAA8166">
      <w:pPr>
        <w:spacing w:line="440" w:lineRule="exact"/>
        <w:ind w:right="42" w:rightChars="20"/>
        <w:jc w:val="center"/>
        <w:rPr>
          <w:rFonts w:hint="eastAsia" w:ascii="宋体" w:hAnsi="宋体"/>
          <w:b/>
          <w:sz w:val="44"/>
          <w:szCs w:val="44"/>
        </w:rPr>
      </w:pPr>
    </w:p>
    <w:p w14:paraId="42C5971D">
      <w:pPr>
        <w:spacing w:line="440" w:lineRule="exact"/>
        <w:ind w:right="42" w:rightChars="20"/>
        <w:jc w:val="center"/>
        <w:rPr>
          <w:rFonts w:hint="eastAsia" w:ascii="宋体" w:hAnsi="宋体"/>
          <w:b/>
          <w:sz w:val="44"/>
          <w:szCs w:val="44"/>
        </w:rPr>
      </w:pPr>
    </w:p>
    <w:p w14:paraId="65073468">
      <w:pPr>
        <w:spacing w:line="440" w:lineRule="exact"/>
        <w:ind w:right="42" w:rightChars="20"/>
        <w:jc w:val="center"/>
        <w:rPr>
          <w:rFonts w:hint="eastAsia" w:ascii="宋体" w:hAnsi="宋体"/>
          <w:b/>
          <w:sz w:val="44"/>
          <w:szCs w:val="44"/>
        </w:rPr>
      </w:pPr>
    </w:p>
    <w:p w14:paraId="2255955F">
      <w:pPr>
        <w:pStyle w:val="3"/>
      </w:pPr>
    </w:p>
    <w:p w14:paraId="4D27A145">
      <w:pPr>
        <w:spacing w:line="440" w:lineRule="exact"/>
        <w:ind w:right="42" w:rightChars="20"/>
        <w:jc w:val="center"/>
        <w:rPr>
          <w:rFonts w:hint="eastAsia" w:ascii="宋体" w:hAnsi="宋体"/>
          <w:b/>
          <w:sz w:val="44"/>
          <w:szCs w:val="44"/>
        </w:rPr>
      </w:pPr>
    </w:p>
    <w:p w14:paraId="2ACE732E">
      <w:pPr>
        <w:spacing w:line="440" w:lineRule="exact"/>
        <w:ind w:right="42" w:rightChars="20"/>
        <w:jc w:val="center"/>
        <w:rPr>
          <w:rFonts w:hint="eastAsia" w:ascii="宋体" w:hAnsi="宋体"/>
          <w:b/>
          <w:sz w:val="44"/>
          <w:szCs w:val="44"/>
        </w:rPr>
      </w:pPr>
    </w:p>
    <w:p w14:paraId="07E7E34E">
      <w:pPr>
        <w:spacing w:line="440" w:lineRule="exact"/>
        <w:ind w:right="42" w:rightChars="20"/>
        <w:jc w:val="center"/>
        <w:rPr>
          <w:rFonts w:ascii="Arial" w:hAnsi="Arial" w:eastAsia="黑体" w:cs="Arial"/>
          <w:b/>
          <w:sz w:val="36"/>
        </w:rPr>
      </w:pPr>
      <w:r>
        <w:rPr>
          <w:rFonts w:hint="eastAsia" w:ascii="宋体" w:hAnsi="宋体"/>
          <w:b/>
          <w:sz w:val="44"/>
          <w:szCs w:val="44"/>
        </w:rPr>
        <w:t>目录</w:t>
      </w:r>
    </w:p>
    <w:p w14:paraId="12E3D889">
      <w:pPr>
        <w:spacing w:line="440" w:lineRule="exact"/>
        <w:ind w:right="42" w:rightChars="20"/>
        <w:jc w:val="center"/>
        <w:rPr>
          <w:rFonts w:ascii="Arial" w:hAnsi="Arial" w:eastAsia="黑体" w:cs="Arial"/>
          <w:b/>
          <w:sz w:val="36"/>
        </w:rPr>
      </w:pPr>
    </w:p>
    <w:p w14:paraId="072BB637">
      <w:pPr>
        <w:pStyle w:val="22"/>
        <w:tabs>
          <w:tab w:val="right" w:leader="dot" w:pos="8494"/>
        </w:tabs>
        <w:ind w:left="1"/>
      </w:pPr>
      <w:r>
        <w:fldChar w:fldCharType="begin"/>
      </w:r>
      <w:r>
        <w:instrText xml:space="preserve"> TOC \o "1-5" \h \z \u </w:instrText>
      </w:r>
      <w:r>
        <w:fldChar w:fldCharType="separate"/>
      </w:r>
      <w:r>
        <w:fldChar w:fldCharType="begin"/>
      </w:r>
      <w:r>
        <w:instrText xml:space="preserve"> HYPERLINK \l "_Toc273039271" </w:instrText>
      </w:r>
      <w:r>
        <w:fldChar w:fldCharType="separate"/>
      </w:r>
      <w:r>
        <w:rPr>
          <w:rStyle w:val="39"/>
          <w:rFonts w:hint="eastAsia" w:ascii="宋体" w:hAnsi="宋体" w:eastAsia="宋体" w:cs="Arial"/>
          <w:bCs/>
          <w:color w:val="auto"/>
          <w:sz w:val="32"/>
          <w:szCs w:val="32"/>
        </w:rPr>
        <w:t>第一章 投标邀请函</w:t>
      </w:r>
      <w:r>
        <w:rPr>
          <w:rStyle w:val="39"/>
          <w:rFonts w:hint="eastAsia" w:ascii="宋体" w:hAnsi="宋体" w:eastAsia="宋体" w:cs="Arial"/>
          <w:bCs/>
          <w:color w:val="auto"/>
          <w:sz w:val="32"/>
          <w:szCs w:val="32"/>
        </w:rPr>
        <w:fldChar w:fldCharType="end"/>
      </w:r>
      <w:r>
        <w:rPr>
          <w:rFonts w:hint="eastAsia"/>
        </w:rPr>
        <w:t>………………………………………………………3</w:t>
      </w:r>
    </w:p>
    <w:p w14:paraId="2E23CC24">
      <w:pPr>
        <w:pStyle w:val="22"/>
        <w:tabs>
          <w:tab w:val="right" w:leader="dot" w:pos="8494"/>
        </w:tabs>
        <w:rPr>
          <w:rStyle w:val="39"/>
          <w:rFonts w:hint="eastAsia" w:ascii="宋体" w:hAnsi="宋体" w:eastAsia="宋体" w:cs="Arial"/>
          <w:bCs/>
          <w:color w:val="auto"/>
          <w:sz w:val="32"/>
          <w:szCs w:val="32"/>
          <w:u w:val="none"/>
        </w:rPr>
      </w:pPr>
      <w:r>
        <w:rPr>
          <w:rStyle w:val="39"/>
          <w:rFonts w:hint="eastAsia" w:ascii="宋体" w:hAnsi="宋体" w:eastAsia="宋体" w:cs="Arial"/>
          <w:bCs/>
          <w:color w:val="auto"/>
          <w:sz w:val="32"/>
          <w:szCs w:val="32"/>
          <w:u w:val="none"/>
        </w:rPr>
        <w:t>第二章 投标人须知</w:t>
      </w:r>
      <w:r>
        <w:rPr>
          <w:rFonts w:hint="eastAsia"/>
        </w:rPr>
        <w:t>………………………………………………………6</w:t>
      </w:r>
    </w:p>
    <w:p w14:paraId="325359D7">
      <w:pPr>
        <w:pStyle w:val="25"/>
        <w:tabs>
          <w:tab w:val="right" w:leader="dot" w:pos="8494"/>
        </w:tabs>
        <w:ind w:left="0" w:leftChars="0"/>
        <w:rPr>
          <w:rFonts w:hint="eastAsia" w:ascii="宋体" w:hAnsi="宋体" w:eastAsia="宋体"/>
          <w:sz w:val="32"/>
          <w:szCs w:val="32"/>
        </w:rPr>
      </w:pPr>
      <w:r>
        <w:fldChar w:fldCharType="begin"/>
      </w:r>
      <w:r>
        <w:instrText xml:space="preserve"> HYPERLINK \l "_Toc273039273" </w:instrText>
      </w:r>
      <w:r>
        <w:fldChar w:fldCharType="separate"/>
      </w:r>
      <w:r>
        <w:rPr>
          <w:rFonts w:hint="eastAsia" w:ascii="宋体" w:hAnsi="宋体" w:eastAsia="宋体"/>
          <w:sz w:val="32"/>
          <w:szCs w:val="32"/>
        </w:rPr>
        <w:t>第三章 采购需求</w:t>
      </w:r>
      <w:r>
        <w:rPr>
          <w:rFonts w:hint="eastAsia" w:ascii="宋体" w:hAnsi="宋体" w:eastAsia="宋体"/>
          <w:sz w:val="32"/>
          <w:szCs w:val="32"/>
        </w:rPr>
        <w:fldChar w:fldCharType="end"/>
      </w:r>
      <w:r>
        <w:rPr>
          <w:rFonts w:hint="eastAsia" w:eastAsia="黑体"/>
          <w:sz w:val="28"/>
        </w:rPr>
        <w:t>…………………………………………………………16</w:t>
      </w:r>
    </w:p>
    <w:p w14:paraId="55B089EC">
      <w:pPr>
        <w:pStyle w:val="25"/>
        <w:tabs>
          <w:tab w:val="right" w:leader="dot" w:pos="8494"/>
        </w:tabs>
        <w:ind w:left="0" w:leftChars="0"/>
        <w:rPr>
          <w:rFonts w:hint="eastAsia" w:ascii="宋体" w:hAnsi="宋体" w:eastAsia="宋体"/>
          <w:sz w:val="32"/>
          <w:szCs w:val="32"/>
        </w:rPr>
      </w:pPr>
      <w:r>
        <w:fldChar w:fldCharType="begin"/>
      </w:r>
      <w:r>
        <w:instrText xml:space="preserve"> HYPERLINK \l "_Toc273039275" </w:instrText>
      </w:r>
      <w:r>
        <w:fldChar w:fldCharType="separate"/>
      </w:r>
      <w:r>
        <w:rPr>
          <w:rFonts w:hint="eastAsia" w:ascii="宋体" w:hAnsi="宋体" w:eastAsia="宋体"/>
          <w:sz w:val="32"/>
          <w:szCs w:val="32"/>
        </w:rPr>
        <w:t>第四章 评标办法</w:t>
      </w:r>
      <w:r>
        <w:rPr>
          <w:rFonts w:hint="eastAsia" w:ascii="宋体" w:hAnsi="宋体" w:eastAsia="宋体"/>
          <w:sz w:val="32"/>
          <w:szCs w:val="32"/>
        </w:rPr>
        <w:fldChar w:fldCharType="end"/>
      </w:r>
      <w:r>
        <w:rPr>
          <w:rFonts w:hint="eastAsia" w:eastAsia="黑体"/>
          <w:sz w:val="28"/>
        </w:rPr>
        <w:t>…………………………………………………………27</w:t>
      </w:r>
    </w:p>
    <w:p w14:paraId="437B280B">
      <w:pPr>
        <w:pStyle w:val="26"/>
        <w:ind w:left="0" w:leftChars="0"/>
        <w:rPr>
          <w:rFonts w:hint="eastAsia" w:ascii="宋体" w:hAnsi="宋体"/>
          <w:b/>
          <w:sz w:val="32"/>
          <w:szCs w:val="32"/>
        </w:rPr>
      </w:pPr>
      <w:r>
        <w:rPr>
          <w:rFonts w:hint="eastAsia" w:ascii="宋体" w:hAnsi="宋体"/>
          <w:b/>
          <w:sz w:val="32"/>
          <w:szCs w:val="32"/>
        </w:rPr>
        <w:t>第五章 合同文本</w:t>
      </w:r>
      <w:r>
        <w:rPr>
          <w:rFonts w:hint="eastAsia" w:eastAsia="黑体"/>
          <w:b/>
          <w:sz w:val="28"/>
          <w:szCs w:val="20"/>
        </w:rPr>
        <w:t>………………………………………………</w:t>
      </w:r>
      <w:r>
        <w:rPr>
          <w:rFonts w:hint="eastAsia" w:eastAsia="黑体"/>
          <w:sz w:val="28"/>
        </w:rPr>
        <w:t>…</w:t>
      </w:r>
      <w:r>
        <w:rPr>
          <w:rFonts w:hint="eastAsia" w:eastAsia="黑体"/>
          <w:b/>
          <w:sz w:val="28"/>
          <w:szCs w:val="20"/>
        </w:rPr>
        <w:t>………31</w:t>
      </w:r>
    </w:p>
    <w:p w14:paraId="79FDDBB5">
      <w:pPr>
        <w:rPr>
          <w:rFonts w:hint="eastAsia" w:ascii="宋体" w:hAnsi="宋体"/>
          <w:b/>
          <w:sz w:val="32"/>
          <w:szCs w:val="32"/>
        </w:rPr>
      </w:pPr>
      <w:r>
        <w:rPr>
          <w:rFonts w:hint="eastAsia" w:ascii="宋体" w:hAnsi="宋体"/>
          <w:b/>
          <w:sz w:val="32"/>
          <w:szCs w:val="32"/>
        </w:rPr>
        <w:t>第六章 投标文件格式</w:t>
      </w:r>
      <w:r>
        <w:rPr>
          <w:rFonts w:hint="eastAsia" w:eastAsia="黑体"/>
          <w:b/>
          <w:sz w:val="28"/>
          <w:szCs w:val="20"/>
        </w:rPr>
        <w:t>……………………………………………………40</w:t>
      </w:r>
    </w:p>
    <w:p w14:paraId="31434856">
      <w:pPr>
        <w:pStyle w:val="25"/>
        <w:tabs>
          <w:tab w:val="right" w:leader="dot" w:pos="8494"/>
        </w:tabs>
        <w:ind w:left="0" w:leftChars="0"/>
        <w:jc w:val="center"/>
        <w:rPr>
          <w:rFonts w:hint="eastAsia" w:ascii="仿宋" w:hAnsi="仿宋" w:eastAsia="仿宋" w:cs="Arial"/>
          <w:b w:val="0"/>
          <w:sz w:val="30"/>
          <w:szCs w:val="30"/>
        </w:rPr>
      </w:pPr>
      <w:r>
        <w:rPr>
          <w:rFonts w:ascii="仿宋" w:hAnsi="仿宋" w:eastAsia="仿宋" w:cs="Arial"/>
          <w:sz w:val="30"/>
          <w:szCs w:val="30"/>
        </w:rPr>
        <w:fldChar w:fldCharType="end"/>
      </w:r>
    </w:p>
    <w:p w14:paraId="06D2E0A7">
      <w:pPr>
        <w:spacing w:line="240" w:lineRule="atLeast"/>
        <w:rPr>
          <w:rFonts w:ascii="宋体"/>
          <w:b/>
          <w:sz w:val="32"/>
        </w:rPr>
      </w:pPr>
    </w:p>
    <w:p w14:paraId="070211B0">
      <w:pPr>
        <w:pStyle w:val="17"/>
        <w:jc w:val="center"/>
        <w:rPr>
          <w:rFonts w:hint="eastAsia" w:hAnsi="宋体"/>
          <w:b/>
          <w:bCs/>
          <w:sz w:val="32"/>
          <w:szCs w:val="32"/>
        </w:rPr>
      </w:pPr>
    </w:p>
    <w:p w14:paraId="56FD5FA8">
      <w:pPr>
        <w:pStyle w:val="17"/>
        <w:jc w:val="center"/>
        <w:rPr>
          <w:rFonts w:hint="eastAsia" w:hAnsi="宋体"/>
          <w:b/>
          <w:bCs/>
          <w:sz w:val="32"/>
          <w:szCs w:val="32"/>
        </w:rPr>
      </w:pPr>
    </w:p>
    <w:p w14:paraId="35048144">
      <w:pPr>
        <w:pStyle w:val="17"/>
        <w:jc w:val="center"/>
        <w:rPr>
          <w:rFonts w:hint="eastAsia" w:hAnsi="宋体"/>
          <w:b/>
          <w:bCs/>
          <w:sz w:val="32"/>
          <w:szCs w:val="32"/>
        </w:rPr>
      </w:pPr>
    </w:p>
    <w:p w14:paraId="35DEA92B">
      <w:pPr>
        <w:pStyle w:val="17"/>
        <w:jc w:val="center"/>
        <w:rPr>
          <w:rFonts w:hint="eastAsia" w:hAnsi="宋体"/>
          <w:b/>
          <w:bCs/>
          <w:sz w:val="32"/>
          <w:szCs w:val="32"/>
        </w:rPr>
      </w:pPr>
    </w:p>
    <w:p w14:paraId="1B1AA92B">
      <w:pPr>
        <w:pStyle w:val="17"/>
        <w:jc w:val="center"/>
        <w:rPr>
          <w:rFonts w:hint="eastAsia" w:hAnsi="宋体"/>
          <w:b/>
          <w:bCs/>
          <w:sz w:val="32"/>
          <w:szCs w:val="32"/>
        </w:rPr>
      </w:pPr>
    </w:p>
    <w:p w14:paraId="2DF7FC26">
      <w:pPr>
        <w:pStyle w:val="17"/>
        <w:jc w:val="center"/>
        <w:rPr>
          <w:rFonts w:hint="eastAsia" w:hAnsi="宋体"/>
          <w:b/>
          <w:bCs/>
          <w:sz w:val="32"/>
          <w:szCs w:val="32"/>
        </w:rPr>
      </w:pPr>
    </w:p>
    <w:p w14:paraId="6F27E403">
      <w:pPr>
        <w:pStyle w:val="17"/>
        <w:jc w:val="center"/>
        <w:rPr>
          <w:rFonts w:hint="eastAsia" w:hAnsi="宋体"/>
          <w:b/>
          <w:bCs/>
          <w:sz w:val="32"/>
          <w:szCs w:val="32"/>
        </w:rPr>
      </w:pPr>
    </w:p>
    <w:p w14:paraId="73EA660B">
      <w:pPr>
        <w:pStyle w:val="17"/>
        <w:jc w:val="center"/>
        <w:rPr>
          <w:rFonts w:hint="eastAsia" w:hAnsi="宋体"/>
          <w:b/>
          <w:bCs/>
          <w:sz w:val="32"/>
          <w:szCs w:val="32"/>
        </w:rPr>
      </w:pPr>
    </w:p>
    <w:p w14:paraId="652DC90F">
      <w:pPr>
        <w:pStyle w:val="17"/>
        <w:spacing w:line="200" w:lineRule="exact"/>
        <w:jc w:val="center"/>
        <w:rPr>
          <w:rFonts w:hint="eastAsia" w:hAnsi="宋体"/>
          <w:b/>
          <w:bCs/>
          <w:sz w:val="32"/>
          <w:szCs w:val="32"/>
        </w:rPr>
      </w:pPr>
    </w:p>
    <w:p w14:paraId="5D541EC5">
      <w:pPr>
        <w:pStyle w:val="17"/>
        <w:spacing w:line="200" w:lineRule="exact"/>
        <w:jc w:val="center"/>
        <w:rPr>
          <w:rFonts w:hint="eastAsia" w:hAnsi="宋体"/>
          <w:b/>
          <w:bCs/>
          <w:sz w:val="32"/>
          <w:szCs w:val="32"/>
        </w:rPr>
      </w:pPr>
    </w:p>
    <w:p w14:paraId="5A255E6F">
      <w:pPr>
        <w:pStyle w:val="17"/>
        <w:spacing w:line="200" w:lineRule="exact"/>
        <w:jc w:val="center"/>
        <w:rPr>
          <w:rFonts w:hint="eastAsia" w:hAnsi="宋体"/>
          <w:b/>
          <w:bCs/>
          <w:sz w:val="32"/>
          <w:szCs w:val="32"/>
        </w:rPr>
      </w:pPr>
    </w:p>
    <w:p w14:paraId="7871B922">
      <w:pPr>
        <w:pStyle w:val="17"/>
        <w:spacing w:line="200" w:lineRule="exact"/>
        <w:jc w:val="center"/>
        <w:rPr>
          <w:rFonts w:hint="eastAsia" w:hAnsi="宋体"/>
          <w:b/>
          <w:bCs/>
          <w:sz w:val="32"/>
          <w:szCs w:val="32"/>
        </w:rPr>
      </w:pPr>
    </w:p>
    <w:p w14:paraId="538E5F5C">
      <w:pPr>
        <w:pStyle w:val="17"/>
        <w:spacing w:line="200" w:lineRule="exact"/>
        <w:rPr>
          <w:rFonts w:hint="eastAsia" w:hAnsi="宋体"/>
          <w:b/>
          <w:bCs/>
          <w:sz w:val="32"/>
          <w:szCs w:val="32"/>
        </w:rPr>
      </w:pPr>
    </w:p>
    <w:p w14:paraId="717F2D47">
      <w:pPr>
        <w:spacing w:line="200" w:lineRule="exact"/>
        <w:jc w:val="center"/>
        <w:outlineLvl w:val="0"/>
        <w:rPr>
          <w:rFonts w:hint="eastAsia" w:ascii="宋体" w:hAnsi="宋体"/>
          <w:b/>
          <w:kern w:val="0"/>
          <w:sz w:val="32"/>
          <w:szCs w:val="32"/>
        </w:rPr>
      </w:pPr>
    </w:p>
    <w:p w14:paraId="6C78501F">
      <w:pPr>
        <w:spacing w:line="200" w:lineRule="exact"/>
        <w:jc w:val="center"/>
        <w:outlineLvl w:val="0"/>
        <w:rPr>
          <w:rFonts w:hint="eastAsia" w:ascii="宋体" w:hAnsi="宋体"/>
          <w:b/>
          <w:kern w:val="0"/>
          <w:sz w:val="32"/>
          <w:szCs w:val="32"/>
        </w:rPr>
      </w:pPr>
    </w:p>
    <w:p w14:paraId="2E84852C">
      <w:pPr>
        <w:spacing w:line="200" w:lineRule="exact"/>
        <w:jc w:val="center"/>
        <w:outlineLvl w:val="0"/>
        <w:rPr>
          <w:rFonts w:hint="eastAsia" w:ascii="宋体" w:hAnsi="宋体"/>
          <w:b/>
          <w:kern w:val="0"/>
          <w:sz w:val="32"/>
          <w:szCs w:val="32"/>
        </w:rPr>
      </w:pPr>
    </w:p>
    <w:p w14:paraId="029ED2A9">
      <w:pPr>
        <w:spacing w:line="200" w:lineRule="exact"/>
        <w:outlineLvl w:val="0"/>
        <w:rPr>
          <w:rFonts w:hint="eastAsia" w:ascii="宋体" w:hAnsi="宋体"/>
          <w:b/>
          <w:kern w:val="0"/>
          <w:sz w:val="32"/>
          <w:szCs w:val="32"/>
        </w:rPr>
      </w:pPr>
    </w:p>
    <w:p w14:paraId="3222E69D">
      <w:pPr>
        <w:spacing w:line="200" w:lineRule="exact"/>
        <w:outlineLvl w:val="0"/>
        <w:rPr>
          <w:rFonts w:hint="eastAsia" w:ascii="宋体" w:hAnsi="宋体"/>
          <w:b/>
          <w:kern w:val="0"/>
          <w:sz w:val="32"/>
          <w:szCs w:val="32"/>
        </w:rPr>
      </w:pPr>
    </w:p>
    <w:p w14:paraId="03E968B8">
      <w:pPr>
        <w:spacing w:line="360" w:lineRule="auto"/>
        <w:jc w:val="center"/>
        <w:outlineLvl w:val="0"/>
      </w:pPr>
      <w:r>
        <w:rPr>
          <w:rFonts w:hint="eastAsia" w:ascii="宋体" w:hAnsi="宋体"/>
          <w:b/>
          <w:kern w:val="0"/>
          <w:sz w:val="32"/>
          <w:szCs w:val="32"/>
        </w:rPr>
        <w:t>第一章</w:t>
      </w:r>
      <w:r>
        <w:rPr>
          <w:rFonts w:hint="eastAsia" w:ascii="宋体" w:hAnsi="宋体"/>
          <w:b/>
          <w:sz w:val="32"/>
          <w:szCs w:val="32"/>
        </w:rPr>
        <w:t>投标邀请函</w:t>
      </w:r>
    </w:p>
    <w:p w14:paraId="4338CB79">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项目概况</w:t>
      </w:r>
    </w:p>
    <w:p w14:paraId="36F02250">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hint="eastAsia" w:ascii="宋体" w:hAnsi="宋体" w:cs="宋体"/>
          <w:kern w:val="0"/>
          <w:sz w:val="24"/>
        </w:rPr>
      </w:pPr>
      <w:r>
        <w:rPr>
          <w:rFonts w:hint="eastAsia" w:ascii="宋体" w:hAnsi="宋体" w:cs="宋体"/>
          <w:color w:val="000000"/>
          <w:kern w:val="0"/>
          <w:sz w:val="24"/>
        </w:rPr>
        <w:t>AI智慧体育设备项目</w:t>
      </w:r>
      <w:r>
        <w:rPr>
          <w:rFonts w:hint="eastAsia" w:ascii="宋体" w:hAnsi="宋体" w:cs="宋体"/>
          <w:kern w:val="0"/>
          <w:sz w:val="24"/>
        </w:rPr>
        <w:t>的潜在供应商应在</w:t>
      </w:r>
      <w:r>
        <w:rPr>
          <w:rFonts w:hint="eastAsia" w:ascii="宋体" w:hAnsi="宋体" w:cs="宋体"/>
          <w:kern w:val="0"/>
          <w:sz w:val="24"/>
          <w:u w:val="single"/>
        </w:rPr>
        <w:t>（海南省海口市蓝天路2-8号、海南省教学仪器设备招标中心有限公司）</w:t>
      </w:r>
      <w:r>
        <w:rPr>
          <w:rFonts w:hint="eastAsia" w:ascii="宋体" w:hAnsi="宋体" w:cs="宋体"/>
          <w:kern w:val="0"/>
          <w:sz w:val="24"/>
        </w:rPr>
        <w:t>获取采购文件，并于</w:t>
      </w:r>
      <w:r>
        <w:rPr>
          <w:rFonts w:hint="eastAsia" w:ascii="宋体" w:hAnsi="宋体" w:cs="宋体"/>
          <w:kern w:val="0"/>
          <w:sz w:val="24"/>
          <w:u w:val="single"/>
        </w:rPr>
        <w:t>2025年</w:t>
      </w:r>
      <w:r>
        <w:rPr>
          <w:rFonts w:hint="eastAsia" w:ascii="宋体" w:hAnsi="宋体" w:cs="宋体"/>
          <w:kern w:val="0"/>
          <w:sz w:val="24"/>
          <w:u w:val="single"/>
          <w:lang w:val="en-US" w:eastAsia="zh-CN"/>
        </w:rPr>
        <w:t>11</w:t>
      </w:r>
      <w:r>
        <w:rPr>
          <w:rFonts w:hint="eastAsia" w:ascii="宋体" w:hAnsi="宋体" w:cs="宋体"/>
          <w:kern w:val="0"/>
          <w:sz w:val="24"/>
          <w:u w:val="single"/>
        </w:rPr>
        <w:t>月</w:t>
      </w:r>
      <w:r>
        <w:rPr>
          <w:rFonts w:hint="eastAsia" w:ascii="宋体" w:hAnsi="宋体" w:cs="宋体"/>
          <w:kern w:val="0"/>
          <w:sz w:val="24"/>
          <w:u w:val="single"/>
          <w:lang w:val="en-US" w:eastAsia="zh-CN"/>
        </w:rPr>
        <w:t>3</w:t>
      </w:r>
      <w:r>
        <w:rPr>
          <w:rFonts w:hint="eastAsia" w:ascii="宋体" w:hAnsi="宋体" w:cs="宋体"/>
          <w:kern w:val="0"/>
          <w:sz w:val="24"/>
          <w:u w:val="single"/>
        </w:rPr>
        <w:t>日</w:t>
      </w:r>
      <w:r>
        <w:rPr>
          <w:rFonts w:hint="eastAsia" w:ascii="宋体" w:hAnsi="宋体" w:cs="宋体"/>
          <w:kern w:val="0"/>
          <w:sz w:val="24"/>
          <w:u w:val="single"/>
          <w:lang w:val="en-US" w:eastAsia="zh-CN"/>
        </w:rPr>
        <w:t>9</w:t>
      </w:r>
      <w:r>
        <w:rPr>
          <w:rFonts w:hint="eastAsia" w:ascii="宋体" w:hAnsi="宋体" w:cs="宋体"/>
          <w:kern w:val="0"/>
          <w:sz w:val="24"/>
          <w:u w:val="single"/>
        </w:rPr>
        <w:t>点</w:t>
      </w:r>
      <w:r>
        <w:rPr>
          <w:rFonts w:hint="eastAsia" w:ascii="宋体" w:hAnsi="宋体" w:cs="宋体"/>
          <w:kern w:val="0"/>
          <w:sz w:val="24"/>
          <w:u w:val="single"/>
          <w:lang w:val="en-US" w:eastAsia="zh-CN"/>
        </w:rPr>
        <w:t>0</w:t>
      </w:r>
      <w:r>
        <w:rPr>
          <w:rFonts w:hint="eastAsia" w:ascii="宋体" w:hAnsi="宋体" w:cs="宋体"/>
          <w:kern w:val="0"/>
          <w:sz w:val="24"/>
          <w:u w:val="single"/>
        </w:rPr>
        <w:t>0分（北京时间）</w:t>
      </w:r>
      <w:r>
        <w:rPr>
          <w:rFonts w:hint="eastAsia" w:ascii="宋体" w:hAnsi="宋体" w:cs="宋体"/>
          <w:kern w:val="0"/>
          <w:sz w:val="24"/>
        </w:rPr>
        <w:t>前递交投标</w:t>
      </w:r>
      <w:r>
        <w:rPr>
          <w:rFonts w:ascii="宋体" w:hAnsi="宋体" w:cs="宋体"/>
          <w:kern w:val="0"/>
          <w:sz w:val="24"/>
        </w:rPr>
        <w:t>文件</w:t>
      </w:r>
      <w:r>
        <w:rPr>
          <w:rFonts w:hint="eastAsia" w:ascii="宋体" w:hAnsi="宋体" w:cs="宋体"/>
          <w:kern w:val="0"/>
          <w:sz w:val="24"/>
        </w:rPr>
        <w:t>。</w:t>
      </w:r>
    </w:p>
    <w:p w14:paraId="742549CE">
      <w:pPr>
        <w:adjustRightInd w:val="0"/>
        <w:snapToGrid w:val="0"/>
        <w:spacing w:line="360" w:lineRule="auto"/>
        <w:rPr>
          <w:rFonts w:hint="eastAsia" w:ascii="宋体" w:hAnsi="宋体" w:cs="宋体"/>
          <w:kern w:val="0"/>
          <w:sz w:val="24"/>
        </w:rPr>
      </w:pPr>
    </w:p>
    <w:p w14:paraId="2EE4F938">
      <w:pPr>
        <w:keepNext/>
        <w:keepLines/>
        <w:autoSpaceDE w:val="0"/>
        <w:autoSpaceDN w:val="0"/>
        <w:adjustRightInd w:val="0"/>
        <w:snapToGrid w:val="0"/>
        <w:spacing w:line="360" w:lineRule="auto"/>
        <w:textAlignment w:val="baseline"/>
        <w:outlineLvl w:val="1"/>
        <w:rPr>
          <w:rFonts w:hint="eastAsia" w:ascii="宋体" w:hAnsi="宋体" w:cs="宋体"/>
          <w:b/>
          <w:kern w:val="0"/>
          <w:sz w:val="24"/>
        </w:rPr>
      </w:pPr>
      <w:bookmarkStart w:id="0" w:name="_Toc35393629"/>
      <w:bookmarkStart w:id="1" w:name="_Toc28359089"/>
      <w:bookmarkStart w:id="2" w:name="_Toc35393798"/>
      <w:bookmarkStart w:id="3" w:name="_Toc28359012"/>
      <w:r>
        <w:rPr>
          <w:rFonts w:hint="eastAsia" w:ascii="宋体" w:hAnsi="宋体" w:cs="宋体"/>
          <w:b/>
          <w:kern w:val="0"/>
          <w:sz w:val="24"/>
        </w:rPr>
        <w:t>一、项目基本情况</w:t>
      </w:r>
      <w:bookmarkEnd w:id="0"/>
      <w:bookmarkEnd w:id="1"/>
      <w:bookmarkEnd w:id="2"/>
      <w:bookmarkEnd w:id="3"/>
    </w:p>
    <w:p w14:paraId="18E8C422">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项目编号：</w:t>
      </w:r>
      <w:r>
        <w:rPr>
          <w:rFonts w:hint="eastAsia" w:ascii="宋体" w:hAnsi="宋体" w:cs="宋体"/>
          <w:color w:val="000000"/>
          <w:kern w:val="0"/>
          <w:sz w:val="24"/>
        </w:rPr>
        <w:t>HNJY2025-14-7</w:t>
      </w:r>
    </w:p>
    <w:p w14:paraId="41A4B3A1">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项目名称：</w:t>
      </w:r>
      <w:r>
        <w:rPr>
          <w:rFonts w:hint="eastAsia" w:ascii="宋体" w:hAnsi="宋体" w:cs="宋体"/>
          <w:color w:val="000000"/>
          <w:kern w:val="0"/>
          <w:sz w:val="24"/>
        </w:rPr>
        <w:t>AI智慧体育设备项目</w:t>
      </w:r>
    </w:p>
    <w:p w14:paraId="7F135689">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采购方式：公开招标</w:t>
      </w:r>
    </w:p>
    <w:p w14:paraId="7101B1DE">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预算金额：</w:t>
      </w:r>
      <w:r>
        <w:rPr>
          <w:rFonts w:hint="eastAsia" w:ascii="宋体" w:hAnsi="宋体" w:cs="宋体"/>
          <w:color w:val="000000"/>
          <w:kern w:val="0"/>
          <w:sz w:val="24"/>
        </w:rPr>
        <w:t>146.98万元</w:t>
      </w:r>
    </w:p>
    <w:p w14:paraId="3A8CF96F">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最高限价：</w:t>
      </w:r>
      <w:r>
        <w:rPr>
          <w:rFonts w:hint="eastAsia" w:ascii="宋体" w:hAnsi="宋体" w:cs="宋体"/>
          <w:color w:val="000000"/>
          <w:kern w:val="0"/>
          <w:sz w:val="24"/>
        </w:rPr>
        <w:t>146.98万元</w:t>
      </w:r>
    </w:p>
    <w:p w14:paraId="1BA78466">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采购需求：详见招标文件采购需求清单</w:t>
      </w:r>
    </w:p>
    <w:p w14:paraId="2DC20DB0">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kern w:val="0"/>
          <w:sz w:val="24"/>
        </w:rPr>
        <w:t>合同履行期限：合同签订后</w:t>
      </w:r>
      <w:r>
        <w:rPr>
          <w:rFonts w:hint="eastAsia" w:ascii="宋体" w:hAnsi="宋体" w:cs="宋体"/>
          <w:kern w:val="0"/>
          <w:sz w:val="24"/>
          <w:lang w:val="en-US" w:eastAsia="zh-CN"/>
        </w:rPr>
        <w:t>60</w:t>
      </w:r>
      <w:r>
        <w:rPr>
          <w:rFonts w:hint="eastAsia" w:ascii="宋体" w:hAnsi="宋体" w:cs="宋体"/>
          <w:kern w:val="0"/>
          <w:sz w:val="24"/>
        </w:rPr>
        <w:t>天内完成供货安装。</w:t>
      </w:r>
    </w:p>
    <w:p w14:paraId="40DDEEAF">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本项目不接受联合体。</w:t>
      </w:r>
    </w:p>
    <w:p w14:paraId="0E60928C">
      <w:pPr>
        <w:keepNext/>
        <w:keepLines/>
        <w:autoSpaceDE w:val="0"/>
        <w:autoSpaceDN w:val="0"/>
        <w:adjustRightInd w:val="0"/>
        <w:snapToGrid w:val="0"/>
        <w:spacing w:line="360" w:lineRule="auto"/>
        <w:textAlignment w:val="baseline"/>
        <w:outlineLvl w:val="1"/>
        <w:rPr>
          <w:rFonts w:hint="eastAsia" w:ascii="宋体" w:hAnsi="宋体" w:cs="宋体"/>
          <w:b/>
          <w:kern w:val="0"/>
          <w:sz w:val="24"/>
        </w:rPr>
      </w:pPr>
      <w:bookmarkStart w:id="4" w:name="_Toc28359090"/>
      <w:bookmarkStart w:id="5" w:name="_Toc28359013"/>
      <w:bookmarkStart w:id="6" w:name="_Toc35393799"/>
      <w:bookmarkStart w:id="7" w:name="_Toc35393630"/>
      <w:r>
        <w:rPr>
          <w:rFonts w:hint="eastAsia" w:ascii="宋体" w:hAnsi="宋体" w:cs="宋体"/>
          <w:b/>
          <w:kern w:val="0"/>
          <w:sz w:val="24"/>
        </w:rPr>
        <w:t>二、申请人的资格要求：</w:t>
      </w:r>
      <w:bookmarkEnd w:id="4"/>
      <w:bookmarkEnd w:id="5"/>
      <w:bookmarkEnd w:id="6"/>
      <w:bookmarkEnd w:id="7"/>
    </w:p>
    <w:p w14:paraId="70D0E9FF">
      <w:pPr>
        <w:adjustRightInd w:val="0"/>
        <w:snapToGrid w:val="0"/>
        <w:spacing w:line="360" w:lineRule="auto"/>
        <w:ind w:firstLine="480" w:firstLineChars="200"/>
        <w:rPr>
          <w:rFonts w:hint="eastAsia" w:ascii="宋体" w:hAnsi="宋体" w:cs="宋体"/>
          <w:color w:val="000000"/>
          <w:kern w:val="0"/>
          <w:sz w:val="24"/>
        </w:rPr>
      </w:pPr>
      <w:bookmarkStart w:id="8" w:name="_Toc28359094"/>
      <w:bookmarkStart w:id="9" w:name="_Toc28359017"/>
      <w:bookmarkStart w:id="10" w:name="_Toc35393803"/>
      <w:bookmarkStart w:id="11" w:name="_Toc35393634"/>
      <w:r>
        <w:rPr>
          <w:rFonts w:hint="eastAsia" w:ascii="宋体" w:hAnsi="宋体" w:cs="宋体"/>
          <w:color w:val="000000"/>
          <w:kern w:val="0"/>
          <w:sz w:val="24"/>
        </w:rPr>
        <w:t>1.满足《中华人民共和国政府采购法》第二十二条规定。</w:t>
      </w:r>
    </w:p>
    <w:p w14:paraId="43F4C647">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2.落实政府采购政策需满足的资格要求：无。</w:t>
      </w:r>
    </w:p>
    <w:p w14:paraId="5C2F27C8">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3.本项目的特定资格要求：无。</w:t>
      </w:r>
    </w:p>
    <w:p w14:paraId="503005C8">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4.在中华人民共和国境内注册、具有独立承担民事责任的能力（提供营业执照或事业单位法人证书）。</w:t>
      </w:r>
    </w:p>
    <w:p w14:paraId="52992F1F">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5.具有良好的商业信誉和健全的财务会计制度(提供承诺函）。</w:t>
      </w:r>
    </w:p>
    <w:p w14:paraId="299E53DA">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6.具有履行合同所必需的设备和专业技术能力（提供承诺书）。</w:t>
      </w:r>
    </w:p>
    <w:p w14:paraId="2D121EB6">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7.具有依法缴纳税收和社会保障资金的良好记录（提供承诺函）。</w:t>
      </w:r>
    </w:p>
    <w:p w14:paraId="6F5D9205">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8.参加本次政府采购活动前三年内，在经营活动中没有重大违法记录（</w:t>
      </w:r>
      <w:r>
        <w:rPr>
          <w:rFonts w:ascii="宋体" w:hAnsi="宋体" w:cs="宋体"/>
          <w:color w:val="000000"/>
          <w:kern w:val="0"/>
          <w:sz w:val="24"/>
        </w:rPr>
        <w:t>成立不足三年的从成立之日起计算</w:t>
      </w:r>
      <w:r>
        <w:rPr>
          <w:rFonts w:hint="eastAsia" w:ascii="宋体" w:hAnsi="宋体" w:cs="宋体"/>
          <w:color w:val="000000"/>
          <w:kern w:val="0"/>
          <w:sz w:val="24"/>
        </w:rPr>
        <w:t>，提供声明）。</w:t>
      </w:r>
    </w:p>
    <w:p w14:paraId="0CBE7B6C">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参加政府采购活动前三年内，在经营活动中没有环保类行政处罚记录（成立不足三年的从成立之日起计算</w:t>
      </w:r>
      <w:r>
        <w:rPr>
          <w:rFonts w:hint="eastAsia" w:ascii="宋体" w:hAnsi="宋体" w:cs="宋体"/>
          <w:color w:val="000000"/>
          <w:kern w:val="0"/>
          <w:sz w:val="24"/>
        </w:rPr>
        <w:t>，提供声明</w:t>
      </w:r>
      <w:r>
        <w:rPr>
          <w:rFonts w:ascii="宋体" w:hAnsi="宋体" w:cs="宋体"/>
          <w:color w:val="000000"/>
          <w:kern w:val="0"/>
          <w:sz w:val="24"/>
        </w:rPr>
        <w:t>）</w:t>
      </w:r>
      <w:r>
        <w:rPr>
          <w:rFonts w:hint="eastAsia" w:ascii="宋体" w:hAnsi="宋体" w:cs="宋体"/>
          <w:color w:val="000000"/>
          <w:kern w:val="0"/>
          <w:sz w:val="24"/>
        </w:rPr>
        <w:t>。</w:t>
      </w:r>
    </w:p>
    <w:p w14:paraId="5E2E66A8">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10.投标人投标承诺书。</w:t>
      </w:r>
    </w:p>
    <w:p w14:paraId="46A03484">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11.在“信用中国”网站（www.creditchina.gov.cn）、中国政府采购网（www.ccgp.gov.cn）没有列入失信被执行人、重大税收违法失信主体、政府采购严重违法失信行为记录名单的投标人。（注：采购人或采购代理机构将于本项目投标截止日在“信用中国”网站、“中国政府采购网”网站等渠道对供应商进行信用记录查询，凡被列入失信被执行人、重大税收违法失信主体、政府采购严重违法失信行为记录名单的，视为存在不良信用记录，参与本项目的将被拒绝。）</w:t>
      </w:r>
    </w:p>
    <w:p w14:paraId="34023A86">
      <w:pPr>
        <w:adjustRightInd w:val="0"/>
        <w:snapToGrid w:val="0"/>
        <w:spacing w:line="360" w:lineRule="auto"/>
        <w:ind w:firstLine="482" w:firstLineChars="200"/>
        <w:rPr>
          <w:rFonts w:hint="eastAsia" w:ascii="宋体" w:hAnsi="宋体" w:cs="宋体"/>
          <w:b/>
          <w:kern w:val="0"/>
          <w:sz w:val="24"/>
        </w:rPr>
      </w:pPr>
      <w:r>
        <w:rPr>
          <w:rFonts w:hint="eastAsia" w:ascii="宋体" w:hAnsi="宋体" w:cs="宋体"/>
          <w:b/>
          <w:kern w:val="0"/>
          <w:sz w:val="24"/>
        </w:rPr>
        <w:t>三、获取招标文件</w:t>
      </w:r>
    </w:p>
    <w:p w14:paraId="511A8495">
      <w:pPr>
        <w:pStyle w:val="221"/>
        <w:snapToGrid w:val="0"/>
        <w:spacing w:line="360" w:lineRule="auto"/>
        <w:ind w:firstLine="540"/>
        <w:rPr>
          <w:rFonts w:hint="eastAsia" w:ascii="宋体" w:hAnsi="宋体" w:cs="宋体"/>
          <w:kern w:val="0"/>
          <w:sz w:val="24"/>
        </w:rPr>
      </w:pPr>
      <w:r>
        <w:rPr>
          <w:rFonts w:ascii="宋体" w:hAnsi="宋体" w:cs="宋体"/>
          <w:kern w:val="0"/>
          <w:sz w:val="24"/>
        </w:rPr>
        <w:t>时间：</w:t>
      </w:r>
      <w:r>
        <w:rPr>
          <w:rFonts w:hint="eastAsia" w:ascii="宋体" w:hAnsi="宋体" w:cs="宋体"/>
          <w:kern w:val="0"/>
          <w:sz w:val="24"/>
        </w:rPr>
        <w:t>2025年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11</w:t>
      </w:r>
      <w:r>
        <w:rPr>
          <w:rFonts w:ascii="宋体" w:hAnsi="宋体" w:cs="宋体"/>
          <w:kern w:val="0"/>
          <w:sz w:val="24"/>
        </w:rPr>
        <w:t>日至</w:t>
      </w:r>
      <w:r>
        <w:rPr>
          <w:rFonts w:hint="eastAsia" w:ascii="宋体" w:hAnsi="宋体" w:cs="宋体"/>
          <w:kern w:val="0"/>
          <w:sz w:val="24"/>
        </w:rPr>
        <w:t>2025年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17</w:t>
      </w:r>
      <w:r>
        <w:rPr>
          <w:rFonts w:ascii="宋体" w:hAnsi="宋体" w:cs="宋体"/>
          <w:kern w:val="0"/>
          <w:sz w:val="24"/>
        </w:rPr>
        <w:t>日，每天上午</w:t>
      </w:r>
      <w:r>
        <w:rPr>
          <w:rFonts w:hint="eastAsia" w:ascii="宋体" w:hAnsi="宋体" w:cs="宋体"/>
          <w:kern w:val="0"/>
          <w:sz w:val="24"/>
        </w:rPr>
        <w:t>8</w:t>
      </w:r>
      <w:r>
        <w:rPr>
          <w:rFonts w:ascii="宋体" w:hAnsi="宋体" w:cs="宋体"/>
          <w:kern w:val="0"/>
          <w:sz w:val="24"/>
        </w:rPr>
        <w:t>:</w:t>
      </w:r>
      <w:r>
        <w:rPr>
          <w:rFonts w:hint="eastAsia" w:ascii="宋体" w:hAnsi="宋体" w:cs="宋体"/>
          <w:kern w:val="0"/>
          <w:sz w:val="24"/>
        </w:rPr>
        <w:t>3</w:t>
      </w:r>
      <w:r>
        <w:rPr>
          <w:rFonts w:ascii="宋体" w:hAnsi="宋体" w:cs="宋体"/>
          <w:kern w:val="0"/>
          <w:sz w:val="24"/>
        </w:rPr>
        <w:t>0至12:00</w:t>
      </w:r>
      <w:r>
        <w:rPr>
          <w:rFonts w:hint="eastAsia" w:ascii="宋体" w:hAnsi="宋体" w:cs="宋体"/>
          <w:kern w:val="0"/>
          <w:sz w:val="24"/>
        </w:rPr>
        <w:t>，</w:t>
      </w:r>
      <w:r>
        <w:rPr>
          <w:rFonts w:ascii="宋体" w:hAnsi="宋体" w:cs="宋体"/>
          <w:kern w:val="0"/>
          <w:sz w:val="24"/>
        </w:rPr>
        <w:t>下午</w:t>
      </w:r>
      <w:r>
        <w:rPr>
          <w:rFonts w:hint="eastAsia" w:ascii="宋体" w:hAnsi="宋体" w:cs="宋体"/>
          <w:kern w:val="0"/>
          <w:sz w:val="24"/>
        </w:rPr>
        <w:t>14</w:t>
      </w:r>
      <w:r>
        <w:rPr>
          <w:rFonts w:ascii="宋体" w:hAnsi="宋体" w:cs="宋体"/>
          <w:kern w:val="0"/>
          <w:sz w:val="24"/>
        </w:rPr>
        <w:t>:</w:t>
      </w:r>
      <w:r>
        <w:rPr>
          <w:rFonts w:hint="eastAsia" w:ascii="宋体" w:hAnsi="宋体" w:cs="宋体"/>
          <w:kern w:val="0"/>
          <w:sz w:val="24"/>
        </w:rPr>
        <w:t>30</w:t>
      </w:r>
      <w:r>
        <w:rPr>
          <w:rFonts w:ascii="宋体" w:hAnsi="宋体" w:cs="宋体"/>
          <w:kern w:val="0"/>
          <w:sz w:val="24"/>
        </w:rPr>
        <w:t>至</w:t>
      </w:r>
      <w:r>
        <w:rPr>
          <w:rFonts w:hint="eastAsia" w:ascii="宋体" w:hAnsi="宋体" w:cs="宋体"/>
          <w:kern w:val="0"/>
          <w:sz w:val="24"/>
        </w:rPr>
        <w:t>17</w:t>
      </w:r>
      <w:r>
        <w:rPr>
          <w:rFonts w:ascii="宋体" w:hAnsi="宋体" w:cs="宋体"/>
          <w:kern w:val="0"/>
          <w:sz w:val="24"/>
        </w:rPr>
        <w:t>:</w:t>
      </w:r>
      <w:r>
        <w:rPr>
          <w:rFonts w:hint="eastAsia" w:ascii="宋体" w:hAnsi="宋体" w:cs="宋体"/>
          <w:kern w:val="0"/>
          <w:sz w:val="24"/>
        </w:rPr>
        <w:t>30</w:t>
      </w:r>
      <w:r>
        <w:rPr>
          <w:rFonts w:ascii="宋体" w:hAnsi="宋体" w:cs="宋体"/>
          <w:kern w:val="0"/>
          <w:sz w:val="24"/>
        </w:rPr>
        <w:t>（北京时间，法定节假日除外 ）</w:t>
      </w:r>
    </w:p>
    <w:p w14:paraId="1FD04068">
      <w:pPr>
        <w:pStyle w:val="221"/>
        <w:snapToGrid w:val="0"/>
        <w:spacing w:line="360" w:lineRule="auto"/>
        <w:ind w:firstLine="540"/>
        <w:rPr>
          <w:rFonts w:hint="eastAsia" w:ascii="宋体" w:hAnsi="宋体" w:cs="宋体"/>
          <w:kern w:val="0"/>
          <w:sz w:val="24"/>
        </w:rPr>
      </w:pPr>
      <w:r>
        <w:rPr>
          <w:rFonts w:ascii="宋体" w:hAnsi="宋体" w:cs="宋体"/>
          <w:kern w:val="0"/>
          <w:sz w:val="24"/>
        </w:rPr>
        <w:t>地点：</w:t>
      </w:r>
      <w:r>
        <w:rPr>
          <w:rFonts w:hint="eastAsia" w:ascii="宋体" w:hAnsi="宋体" w:cs="宋体"/>
          <w:kern w:val="0"/>
          <w:sz w:val="24"/>
        </w:rPr>
        <w:t>海口市蓝天路西2-8号，海南省教学仪器设备招标中心有限公司</w:t>
      </w:r>
    </w:p>
    <w:p w14:paraId="29CC7BC0">
      <w:pPr>
        <w:pStyle w:val="221"/>
        <w:snapToGrid w:val="0"/>
        <w:spacing w:line="360" w:lineRule="auto"/>
        <w:ind w:firstLine="540"/>
        <w:rPr>
          <w:rFonts w:hint="eastAsia" w:ascii="宋体" w:hAnsi="宋体" w:cs="宋体"/>
          <w:kern w:val="0"/>
          <w:sz w:val="24"/>
        </w:rPr>
      </w:pPr>
      <w:r>
        <w:rPr>
          <w:rFonts w:ascii="宋体" w:hAnsi="宋体" w:cs="宋体"/>
          <w:kern w:val="0"/>
          <w:sz w:val="24"/>
        </w:rPr>
        <w:t>方式</w:t>
      </w:r>
      <w:r>
        <w:rPr>
          <w:rFonts w:hint="eastAsia" w:ascii="宋体" w:hAnsi="宋体" w:cs="宋体"/>
          <w:kern w:val="0"/>
          <w:sz w:val="24"/>
        </w:rPr>
        <w:t>：现场购买</w:t>
      </w:r>
    </w:p>
    <w:p w14:paraId="3944D8B2">
      <w:pPr>
        <w:pStyle w:val="221"/>
        <w:snapToGrid w:val="0"/>
        <w:spacing w:line="360" w:lineRule="auto"/>
        <w:ind w:firstLine="540"/>
        <w:rPr>
          <w:rFonts w:hint="eastAsia" w:ascii="宋体" w:hAnsi="宋体" w:cs="宋体"/>
          <w:kern w:val="0"/>
          <w:sz w:val="24"/>
        </w:rPr>
      </w:pPr>
      <w:r>
        <w:rPr>
          <w:rFonts w:ascii="宋体" w:hAnsi="宋体" w:cs="宋体"/>
          <w:kern w:val="0"/>
          <w:sz w:val="24"/>
        </w:rPr>
        <w:t>售价：</w:t>
      </w:r>
      <w:bookmarkStart w:id="12" w:name="_Toc28359092"/>
      <w:bookmarkStart w:id="13" w:name="_Toc28359015"/>
      <w:bookmarkStart w:id="14" w:name="_Toc35393801"/>
      <w:bookmarkStart w:id="15" w:name="_Toc35393632"/>
      <w:r>
        <w:rPr>
          <w:rFonts w:hint="eastAsia" w:ascii="宋体" w:hAnsi="宋体" w:cs="宋体"/>
          <w:kern w:val="0"/>
          <w:sz w:val="24"/>
        </w:rPr>
        <w:t>300元</w:t>
      </w:r>
    </w:p>
    <w:p w14:paraId="30657C5A">
      <w:pPr>
        <w:pStyle w:val="221"/>
        <w:snapToGrid w:val="0"/>
        <w:spacing w:line="360" w:lineRule="auto"/>
        <w:ind w:firstLine="540"/>
        <w:rPr>
          <w:rFonts w:hint="eastAsia" w:ascii="宋体" w:hAnsi="宋体" w:cs="宋体"/>
          <w:b/>
          <w:kern w:val="0"/>
          <w:sz w:val="24"/>
        </w:rPr>
      </w:pPr>
      <w:r>
        <w:rPr>
          <w:rFonts w:ascii="宋体" w:hAnsi="宋体" w:cs="宋体"/>
          <w:b/>
          <w:kern w:val="0"/>
          <w:sz w:val="24"/>
        </w:rPr>
        <w:t>四、提交</w:t>
      </w:r>
      <w:bookmarkEnd w:id="12"/>
      <w:bookmarkEnd w:id="13"/>
      <w:bookmarkEnd w:id="14"/>
      <w:bookmarkEnd w:id="15"/>
      <w:r>
        <w:rPr>
          <w:rFonts w:hint="eastAsia" w:ascii="宋体" w:hAnsi="宋体" w:cs="宋体"/>
          <w:b/>
          <w:kern w:val="0"/>
          <w:sz w:val="24"/>
        </w:rPr>
        <w:t>投标文件截止时间、开标时间和地点</w:t>
      </w:r>
    </w:p>
    <w:p w14:paraId="095BB9E9">
      <w:pPr>
        <w:pStyle w:val="221"/>
        <w:snapToGrid w:val="0"/>
        <w:spacing w:line="360" w:lineRule="auto"/>
        <w:ind w:firstLine="540"/>
        <w:rPr>
          <w:rFonts w:hint="eastAsia" w:ascii="宋体" w:hAnsi="宋体" w:cs="宋体"/>
          <w:kern w:val="0"/>
          <w:sz w:val="24"/>
        </w:rPr>
      </w:pPr>
      <w:r>
        <w:rPr>
          <w:rFonts w:ascii="宋体" w:hAnsi="宋体" w:cs="宋体"/>
          <w:kern w:val="0"/>
          <w:sz w:val="24"/>
        </w:rPr>
        <w:t>截止时间：</w:t>
      </w:r>
      <w:r>
        <w:rPr>
          <w:rFonts w:hint="eastAsia" w:ascii="宋体" w:hAnsi="宋体" w:cs="宋体"/>
          <w:kern w:val="0"/>
          <w:sz w:val="24"/>
        </w:rPr>
        <w:t>2025年11月3日9点00分</w:t>
      </w:r>
      <w:r>
        <w:rPr>
          <w:rFonts w:ascii="宋体" w:hAnsi="宋体" w:cs="宋体"/>
          <w:kern w:val="0"/>
          <w:sz w:val="24"/>
        </w:rPr>
        <w:t>（北京时间）</w:t>
      </w:r>
    </w:p>
    <w:p w14:paraId="1F148E3C">
      <w:pPr>
        <w:pStyle w:val="221"/>
        <w:snapToGrid w:val="0"/>
        <w:spacing w:line="360" w:lineRule="auto"/>
        <w:ind w:firstLine="540"/>
        <w:rPr>
          <w:rFonts w:hint="eastAsia" w:ascii="宋体" w:hAnsi="宋体" w:cs="宋体"/>
          <w:kern w:val="0"/>
          <w:sz w:val="24"/>
        </w:rPr>
      </w:pPr>
      <w:r>
        <w:rPr>
          <w:rFonts w:ascii="宋体" w:hAnsi="宋体" w:cs="宋体"/>
          <w:kern w:val="0"/>
          <w:sz w:val="24"/>
        </w:rPr>
        <w:t>地点：</w:t>
      </w:r>
      <w:bookmarkStart w:id="16" w:name="_Toc28359016"/>
      <w:bookmarkStart w:id="17" w:name="_Toc35393802"/>
      <w:bookmarkStart w:id="18" w:name="_Toc28359093"/>
      <w:bookmarkStart w:id="19" w:name="_Toc35393633"/>
      <w:r>
        <w:rPr>
          <w:rFonts w:hint="eastAsia" w:ascii="宋体" w:hAnsi="宋体" w:cs="宋体"/>
          <w:kern w:val="0"/>
          <w:sz w:val="24"/>
        </w:rPr>
        <w:t>海口市蓝天路西2-8号，海南省教学仪器设备招标中心有限公司开标室（如有变动另行通知</w:t>
      </w:r>
      <w:r>
        <w:rPr>
          <w:rFonts w:ascii="宋体" w:hAnsi="宋体" w:cs="宋体"/>
          <w:kern w:val="0"/>
          <w:sz w:val="24"/>
        </w:rPr>
        <w:t>）</w:t>
      </w:r>
    </w:p>
    <w:p w14:paraId="2D473419">
      <w:pPr>
        <w:pStyle w:val="221"/>
        <w:snapToGrid w:val="0"/>
        <w:spacing w:line="360" w:lineRule="auto"/>
        <w:ind w:firstLine="480"/>
        <w:rPr>
          <w:rFonts w:hint="eastAsia" w:ascii="宋体" w:hAnsi="宋体" w:cs="宋体"/>
          <w:b/>
          <w:kern w:val="0"/>
          <w:sz w:val="24"/>
        </w:rPr>
      </w:pPr>
      <w:r>
        <w:rPr>
          <w:rFonts w:ascii="宋体" w:hAnsi="宋体" w:cs="宋体"/>
          <w:b/>
          <w:kern w:val="0"/>
          <w:sz w:val="24"/>
        </w:rPr>
        <w:t>五、</w:t>
      </w:r>
      <w:bookmarkEnd w:id="16"/>
      <w:bookmarkEnd w:id="17"/>
      <w:bookmarkEnd w:id="18"/>
      <w:bookmarkEnd w:id="19"/>
      <w:r>
        <w:rPr>
          <w:rFonts w:hint="eastAsia" w:ascii="宋体" w:hAnsi="宋体" w:cs="宋体"/>
          <w:b/>
          <w:kern w:val="0"/>
          <w:sz w:val="24"/>
        </w:rPr>
        <w:t>公告期限</w:t>
      </w:r>
    </w:p>
    <w:p w14:paraId="3B96FC29">
      <w:pPr>
        <w:pStyle w:val="221"/>
        <w:snapToGrid w:val="0"/>
        <w:spacing w:line="360" w:lineRule="auto"/>
        <w:ind w:firstLine="480"/>
        <w:rPr>
          <w:rFonts w:hint="eastAsia" w:ascii="宋体" w:hAnsi="宋体" w:cs="宋体"/>
          <w:kern w:val="0"/>
          <w:sz w:val="24"/>
        </w:rPr>
      </w:pPr>
      <w:r>
        <w:rPr>
          <w:rFonts w:hint="eastAsia" w:ascii="宋体" w:hAnsi="宋体" w:cs="宋体"/>
          <w:kern w:val="0"/>
          <w:sz w:val="24"/>
        </w:rPr>
        <w:t>自本公告发布之日起5个工作日</w:t>
      </w:r>
    </w:p>
    <w:bookmarkEnd w:id="8"/>
    <w:bookmarkEnd w:id="9"/>
    <w:bookmarkEnd w:id="10"/>
    <w:bookmarkEnd w:id="11"/>
    <w:p w14:paraId="532585C9">
      <w:pPr>
        <w:pStyle w:val="221"/>
        <w:keepNext/>
        <w:keepLines/>
        <w:autoSpaceDE w:val="0"/>
        <w:autoSpaceDN w:val="0"/>
        <w:snapToGrid w:val="0"/>
        <w:spacing w:line="360" w:lineRule="auto"/>
        <w:ind w:firstLine="482" w:firstLineChars="200"/>
        <w:textAlignment w:val="baseline"/>
        <w:outlineLvl w:val="1"/>
        <w:rPr>
          <w:rFonts w:hint="eastAsia" w:ascii="宋体" w:hAnsi="宋体" w:cs="宋体"/>
          <w:b/>
          <w:bCs/>
          <w:sz w:val="24"/>
        </w:rPr>
      </w:pPr>
      <w:bookmarkStart w:id="20" w:name="_Toc35393635"/>
      <w:bookmarkStart w:id="21" w:name="_Toc35393804"/>
      <w:r>
        <w:rPr>
          <w:rFonts w:hint="eastAsia" w:ascii="宋体" w:hAnsi="宋体" w:cs="宋体"/>
          <w:b/>
          <w:bCs/>
          <w:sz w:val="24"/>
        </w:rPr>
        <w:t>六 、</w:t>
      </w:r>
      <w:r>
        <w:rPr>
          <w:rFonts w:ascii="宋体" w:hAnsi="宋体" w:cs="宋体"/>
          <w:b/>
          <w:bCs/>
          <w:sz w:val="24"/>
        </w:rPr>
        <w:t>其他补充事宜</w:t>
      </w:r>
      <w:bookmarkEnd w:id="20"/>
      <w:bookmarkEnd w:id="21"/>
    </w:p>
    <w:p w14:paraId="638ACB51">
      <w:pPr>
        <w:pStyle w:val="221"/>
        <w:snapToGrid w:val="0"/>
        <w:spacing w:line="360" w:lineRule="auto"/>
        <w:ind w:firstLine="480"/>
        <w:rPr>
          <w:rFonts w:hint="eastAsia" w:ascii="宋体" w:hAnsi="宋体" w:cs="宋体"/>
          <w:kern w:val="0"/>
          <w:sz w:val="24"/>
        </w:rPr>
      </w:pPr>
      <w:r>
        <w:rPr>
          <w:rFonts w:ascii="宋体" w:hAnsi="宋体" w:cs="宋体"/>
          <w:kern w:val="0"/>
          <w:sz w:val="24"/>
        </w:rPr>
        <w:t>1、标</w:t>
      </w:r>
      <w:r>
        <w:rPr>
          <w:rFonts w:ascii="宋体" w:hAnsi="宋体" w:cs="宋体"/>
          <w:sz w:val="24"/>
        </w:rPr>
        <w:t>书售后不退，</w:t>
      </w:r>
      <w:r>
        <w:rPr>
          <w:rFonts w:ascii="宋体" w:hAnsi="宋体" w:cs="宋体"/>
          <w:kern w:val="0"/>
          <w:sz w:val="24"/>
        </w:rPr>
        <w:t>购买标书时需提供以下证明资料及备案：</w:t>
      </w:r>
    </w:p>
    <w:p w14:paraId="0A317EFD">
      <w:pPr>
        <w:pStyle w:val="221"/>
        <w:snapToGrid w:val="0"/>
        <w:spacing w:line="360" w:lineRule="auto"/>
        <w:ind w:firstLine="480"/>
        <w:rPr>
          <w:rFonts w:hint="eastAsia" w:ascii="宋体" w:hAnsi="宋体" w:cs="宋体"/>
          <w:kern w:val="0"/>
          <w:sz w:val="24"/>
        </w:rPr>
      </w:pPr>
      <w:r>
        <w:rPr>
          <w:rFonts w:ascii="宋体" w:hAnsi="宋体" w:cs="宋体"/>
          <w:sz w:val="24"/>
        </w:rPr>
        <w:t>1</w:t>
      </w:r>
      <w:r>
        <w:rPr>
          <w:rFonts w:ascii="宋体" w:hAnsi="宋体" w:cs="宋体"/>
          <w:kern w:val="0"/>
          <w:sz w:val="24"/>
        </w:rPr>
        <w:t>.1 营业执照复印件（加盖本单位公章）</w:t>
      </w:r>
    </w:p>
    <w:p w14:paraId="398BFF8B">
      <w:pPr>
        <w:pStyle w:val="221"/>
        <w:snapToGrid w:val="0"/>
        <w:spacing w:line="360" w:lineRule="auto"/>
        <w:ind w:firstLine="480"/>
        <w:rPr>
          <w:rFonts w:hint="eastAsia" w:ascii="宋体" w:hAnsi="宋体" w:cs="宋体"/>
          <w:sz w:val="24"/>
        </w:rPr>
      </w:pPr>
      <w:r>
        <w:rPr>
          <w:rFonts w:ascii="宋体" w:hAnsi="宋体" w:cs="宋体"/>
          <w:sz w:val="24"/>
        </w:rPr>
        <w:t>2、</w:t>
      </w:r>
      <w:r>
        <w:rPr>
          <w:rFonts w:ascii="宋体" w:hAnsi="宋体" w:cs="宋体"/>
          <w:kern w:val="0"/>
          <w:sz w:val="24"/>
        </w:rPr>
        <w:t>购买标书银行帐户</w:t>
      </w:r>
      <w:r>
        <w:rPr>
          <w:rFonts w:hint="eastAsia" w:ascii="宋体" w:hAnsi="宋体" w:cs="宋体"/>
          <w:sz w:val="24"/>
        </w:rPr>
        <w:t>：</w:t>
      </w:r>
    </w:p>
    <w:p w14:paraId="0F8D601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单位名称：海南省教学仪器设备招标中心有限公司</w:t>
      </w:r>
    </w:p>
    <w:p w14:paraId="77DB585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开户银行：中国建设银行股份有限公司海口国兴大道支行        </w:t>
      </w:r>
    </w:p>
    <w:p w14:paraId="0959D37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银行帐号：46001002537052500288</w:t>
      </w:r>
    </w:p>
    <w:p w14:paraId="29438F33">
      <w:pPr>
        <w:adjustRightInd w:val="0"/>
        <w:snapToGrid w:val="0"/>
        <w:spacing w:line="360" w:lineRule="auto"/>
        <w:ind w:firstLine="480" w:firstLineChars="200"/>
        <w:rPr>
          <w:rFonts w:hint="eastAsia" w:ascii="宋体" w:hAnsi="宋体" w:cs="宋体"/>
          <w:kern w:val="0"/>
          <w:sz w:val="24"/>
        </w:rPr>
      </w:pPr>
      <w:r>
        <w:rPr>
          <w:rFonts w:hint="eastAsia" w:ascii="宋体" w:hAnsi="宋体" w:cs="宋体"/>
          <w:sz w:val="24"/>
        </w:rPr>
        <w:t>财务联系电话：0898-66737260</w:t>
      </w:r>
    </w:p>
    <w:p w14:paraId="1149576E">
      <w:pPr>
        <w:pStyle w:val="221"/>
        <w:snapToGrid w:val="0"/>
        <w:spacing w:line="360" w:lineRule="auto"/>
        <w:ind w:firstLine="480"/>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、投标方应准备一份正本和四份副本</w:t>
      </w:r>
      <w:r>
        <w:rPr>
          <w:rFonts w:hint="eastAsia" w:ascii="宋体" w:hAnsi="宋体" w:cs="宋体"/>
          <w:kern w:val="0"/>
          <w:sz w:val="24"/>
        </w:rPr>
        <w:t>以及一份电子版投标文件</w:t>
      </w:r>
      <w:r>
        <w:rPr>
          <w:rFonts w:ascii="宋体" w:hAnsi="宋体" w:cs="宋体"/>
          <w:kern w:val="0"/>
          <w:sz w:val="24"/>
        </w:rPr>
        <w:t>，并在每一份“投标文件”上要明确注明“正本”或“副本”字样。</w:t>
      </w:r>
      <w:r>
        <w:rPr>
          <w:rFonts w:hint="eastAsia" w:ascii="宋体" w:hAnsi="宋体" w:cs="宋体"/>
          <w:kern w:val="0"/>
          <w:sz w:val="24"/>
        </w:rPr>
        <w:t>（电子版投标文件为</w:t>
      </w:r>
      <w:r>
        <w:rPr>
          <w:rFonts w:ascii="宋体" w:hAnsi="宋体" w:cs="宋体"/>
          <w:kern w:val="0"/>
          <w:sz w:val="24"/>
        </w:rPr>
        <w:t>U盘拷贝PDF格式</w:t>
      </w:r>
      <w:r>
        <w:rPr>
          <w:rFonts w:hint="eastAsia" w:ascii="宋体" w:hAnsi="宋体" w:cs="宋体"/>
          <w:kern w:val="0"/>
          <w:sz w:val="24"/>
        </w:rPr>
        <w:t>，开标时递交。在电子版投标文件中，招标文件中要求提供的材料须为原件扫描件。）</w:t>
      </w:r>
    </w:p>
    <w:p w14:paraId="6C82DC6E">
      <w:pPr>
        <w:pStyle w:val="221"/>
        <w:snapToGrid w:val="0"/>
        <w:spacing w:line="360" w:lineRule="auto"/>
        <w:ind w:firstLine="480"/>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、投标方应将“投标文件”胶装成册。为了方便开标、评标，投标人应将“投标文件</w:t>
      </w:r>
      <w:r>
        <w:rPr>
          <w:rFonts w:hint="eastAsia" w:ascii="宋体" w:hAnsi="宋体" w:cs="宋体"/>
          <w:kern w:val="0"/>
          <w:sz w:val="24"/>
        </w:rPr>
        <w:t>正本</w:t>
      </w:r>
      <w:r>
        <w:rPr>
          <w:rFonts w:ascii="宋体" w:hAnsi="宋体" w:cs="宋体"/>
          <w:kern w:val="0"/>
          <w:sz w:val="24"/>
        </w:rPr>
        <w:t>”的 “开标一览表</w:t>
      </w:r>
      <w:r>
        <w:rPr>
          <w:rFonts w:hint="eastAsia" w:ascii="宋体" w:hAnsi="宋体" w:cs="宋体"/>
          <w:kern w:val="0"/>
          <w:sz w:val="24"/>
        </w:rPr>
        <w:t>和规格响应表打印一份</w:t>
      </w:r>
      <w:r>
        <w:rPr>
          <w:rFonts w:ascii="宋体" w:hAnsi="宋体" w:cs="宋体"/>
          <w:kern w:val="0"/>
          <w:sz w:val="24"/>
        </w:rPr>
        <w:t>（以包为单位）”单独密封于一小信封内，并在该信封上标明“开标一览表”字样，然后再装入“</w:t>
      </w:r>
      <w:r>
        <w:rPr>
          <w:rFonts w:hint="eastAsia" w:ascii="宋体" w:hAnsi="宋体" w:cs="宋体"/>
          <w:kern w:val="0"/>
          <w:sz w:val="24"/>
        </w:rPr>
        <w:t>投标</w:t>
      </w:r>
      <w:r>
        <w:rPr>
          <w:rFonts w:ascii="宋体" w:hAnsi="宋体" w:cs="宋体"/>
          <w:kern w:val="0"/>
          <w:sz w:val="24"/>
        </w:rPr>
        <w:t>文件”正本的密封袋中。</w:t>
      </w:r>
    </w:p>
    <w:p w14:paraId="06D27683">
      <w:pPr>
        <w:pStyle w:val="221"/>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5</w:t>
      </w:r>
      <w:r>
        <w:rPr>
          <w:rFonts w:ascii="宋体" w:hAnsi="宋体" w:cs="宋体"/>
          <w:kern w:val="0"/>
          <w:sz w:val="24"/>
        </w:rPr>
        <w:t>、招标人不接受有任何选择的报价。</w:t>
      </w:r>
    </w:p>
    <w:p w14:paraId="13839807">
      <w:pPr>
        <w:pStyle w:val="221"/>
        <w:snapToGrid w:val="0"/>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本项目支持节能产品、环境标志产品、中小微企业发展、监狱企业发展及残疾人福利性单位等相关扶持政策。</w:t>
      </w:r>
    </w:p>
    <w:p w14:paraId="5B03085E">
      <w:pPr>
        <w:pStyle w:val="221"/>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7、本项目不收取保证金。</w:t>
      </w:r>
    </w:p>
    <w:p w14:paraId="2CE94BA1">
      <w:pPr>
        <w:spacing w:line="360" w:lineRule="exact"/>
        <w:ind w:firstLine="480" w:firstLineChars="200"/>
        <w:rPr>
          <w:rFonts w:hint="eastAsia" w:ascii="宋体" w:hAnsi="宋体" w:eastAsia="宋体" w:cs="宋体"/>
          <w:kern w:val="0"/>
          <w:sz w:val="24"/>
          <w:lang w:eastAsia="zh-CN"/>
        </w:rPr>
      </w:pPr>
      <w:r>
        <w:rPr>
          <w:rFonts w:ascii="宋体" w:hAnsi="宋体" w:cs="宋体"/>
          <w:kern w:val="0"/>
          <w:sz w:val="24"/>
        </w:rPr>
        <w:t>采购信息查询：http://www.hainjy.com/</w:t>
      </w:r>
      <w:bookmarkStart w:id="22" w:name="_Toc35393805"/>
      <w:bookmarkStart w:id="23" w:name="_Toc28359095"/>
      <w:bookmarkStart w:id="24" w:name="_Toc28359018"/>
      <w:bookmarkStart w:id="25" w:name="_Toc35393636"/>
      <w:r>
        <w:rPr>
          <w:rFonts w:hint="eastAsia" w:ascii="宋体" w:hAnsi="宋体" w:cs="宋体"/>
          <w:kern w:val="0"/>
          <w:sz w:val="24"/>
          <w:lang w:eastAsia="zh-CN"/>
        </w:rPr>
        <w:t>、www.hnzfcgxh.com</w:t>
      </w:r>
    </w:p>
    <w:p w14:paraId="2A352741">
      <w:pPr>
        <w:adjustRightInd/>
        <w:snapToGrid/>
        <w:spacing w:line="360" w:lineRule="exact"/>
        <w:ind w:firstLine="0" w:firstLineChars="0"/>
        <w:rPr>
          <w:rFonts w:hint="eastAsia" w:ascii="宋体" w:hAnsi="宋体" w:cs="宋体"/>
          <w:kern w:val="0"/>
          <w:sz w:val="24"/>
        </w:rPr>
      </w:pPr>
      <w:r>
        <w:rPr>
          <w:rFonts w:hint="eastAsia" w:ascii="宋体" w:hAnsi="宋体" w:cs="宋体"/>
          <w:kern w:val="0"/>
          <w:sz w:val="24"/>
        </w:rPr>
        <w:t>七</w:t>
      </w:r>
      <w:r>
        <w:rPr>
          <w:rFonts w:hint="eastAsia" w:ascii="宋体" w:hAnsi="宋体" w:cs="宋体"/>
          <w:b/>
          <w:kern w:val="0"/>
          <w:sz w:val="24"/>
        </w:rPr>
        <w:t>、凡对本次采购提出询问，请按</w:t>
      </w:r>
      <w:r>
        <w:rPr>
          <w:rFonts w:ascii="宋体" w:hAnsi="宋体" w:cs="宋体"/>
          <w:b/>
          <w:kern w:val="0"/>
          <w:sz w:val="24"/>
        </w:rPr>
        <w:t>以下方式</w:t>
      </w:r>
      <w:r>
        <w:rPr>
          <w:rFonts w:hint="eastAsia" w:ascii="宋体" w:hAnsi="宋体" w:cs="宋体"/>
          <w:b/>
          <w:kern w:val="0"/>
          <w:sz w:val="24"/>
        </w:rPr>
        <w:t>联系</w:t>
      </w:r>
      <w:bookmarkEnd w:id="22"/>
      <w:bookmarkEnd w:id="23"/>
      <w:bookmarkEnd w:id="24"/>
      <w:bookmarkEnd w:id="25"/>
      <w:bookmarkStart w:id="26" w:name="_Toc28359096"/>
      <w:bookmarkStart w:id="27" w:name="_Toc35393806"/>
      <w:bookmarkStart w:id="28" w:name="_Toc35393637"/>
      <w:bookmarkStart w:id="29" w:name="_Toc28359019"/>
    </w:p>
    <w:bookmarkEnd w:id="26"/>
    <w:bookmarkEnd w:id="27"/>
    <w:bookmarkEnd w:id="28"/>
    <w:bookmarkEnd w:id="29"/>
    <w:p w14:paraId="60743647">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1.采购人信息</w:t>
      </w:r>
    </w:p>
    <w:p w14:paraId="26E68F66">
      <w:pPr>
        <w:adjustRightInd w:val="0"/>
        <w:snapToGrid w:val="0"/>
        <w:spacing w:line="360" w:lineRule="auto"/>
        <w:ind w:firstLine="480" w:firstLineChars="200"/>
        <w:rPr>
          <w:rFonts w:hint="eastAsia" w:ascii="宋体" w:hAnsi="宋体" w:cs="宋体"/>
          <w:color w:val="000000"/>
          <w:kern w:val="0"/>
          <w:sz w:val="24"/>
        </w:rPr>
      </w:pPr>
      <w:bookmarkStart w:id="30" w:name="_Toc28359097"/>
      <w:bookmarkStart w:id="31" w:name="_Toc35393807"/>
      <w:bookmarkStart w:id="32" w:name="_Toc35393638"/>
      <w:bookmarkStart w:id="33" w:name="_Toc28359020"/>
      <w:r>
        <w:rPr>
          <w:rFonts w:hint="eastAsia" w:ascii="宋体" w:hAnsi="宋体" w:cs="宋体"/>
          <w:color w:val="000000"/>
          <w:kern w:val="0"/>
          <w:sz w:val="24"/>
        </w:rPr>
        <w:t>名    称：　海南政法职业学院</w:t>
      </w:r>
    </w:p>
    <w:p w14:paraId="3FF1D56A">
      <w:pPr>
        <w:adjustRightInd w:val="0"/>
        <w:snapToGrid w:val="0"/>
        <w:spacing w:line="360" w:lineRule="auto"/>
        <w:ind w:firstLine="480" w:firstLineChars="200"/>
        <w:rPr>
          <w:rFonts w:hint="eastAsia" w:asciiTheme="minorEastAsia" w:hAnsiTheme="minorEastAsia"/>
          <w:sz w:val="24"/>
        </w:rPr>
      </w:pPr>
      <w:r>
        <w:rPr>
          <w:rFonts w:hint="eastAsia" w:ascii="宋体" w:hAnsi="宋体" w:cs="宋体"/>
          <w:color w:val="000000"/>
          <w:kern w:val="0"/>
          <w:sz w:val="24"/>
        </w:rPr>
        <w:t xml:space="preserve">地    </w:t>
      </w:r>
      <w:r>
        <w:rPr>
          <w:rFonts w:hint="eastAsia"/>
          <w:sz w:val="24"/>
          <w:szCs w:val="32"/>
        </w:rPr>
        <w:t>址：　</w:t>
      </w:r>
      <w:r>
        <w:rPr>
          <w:rFonts w:hint="eastAsia" w:asciiTheme="minorEastAsia" w:hAnsiTheme="minorEastAsia"/>
          <w:sz w:val="24"/>
        </w:rPr>
        <w:t>海南省海口市琼山区新大洲大道280号</w:t>
      </w:r>
    </w:p>
    <w:p w14:paraId="243486FF">
      <w:pPr>
        <w:adjustRightInd w:val="0"/>
        <w:snapToGrid w:val="0"/>
        <w:spacing w:line="360" w:lineRule="auto"/>
        <w:ind w:firstLine="480" w:firstLineChars="200"/>
        <w:rPr>
          <w:color w:val="FF0000"/>
          <w:sz w:val="24"/>
          <w:szCs w:val="32"/>
        </w:rPr>
      </w:pPr>
      <w:r>
        <w:rPr>
          <w:rFonts w:hint="eastAsia"/>
          <w:sz w:val="24"/>
          <w:szCs w:val="32"/>
        </w:rPr>
        <w:t>联</w:t>
      </w:r>
      <w:r>
        <w:rPr>
          <w:rFonts w:hint="eastAsia" w:ascii="宋体" w:hAnsi="宋体" w:cs="宋体"/>
          <w:color w:val="000000"/>
          <w:kern w:val="0"/>
          <w:sz w:val="24"/>
        </w:rPr>
        <w:t>系方式：</w:t>
      </w:r>
      <w:r>
        <w:rPr>
          <w:rFonts w:hint="eastAsia" w:ascii="宋体" w:hAnsi="宋体" w:cs="宋体"/>
          <w:color w:val="FF0000"/>
          <w:kern w:val="0"/>
          <w:sz w:val="24"/>
        </w:rPr>
        <w:t>　</w:t>
      </w:r>
      <w:r>
        <w:rPr>
          <w:rFonts w:hint="eastAsia" w:asciiTheme="minorEastAsia" w:hAnsiTheme="minorEastAsia"/>
          <w:sz w:val="24"/>
        </w:rPr>
        <w:t>0898-65856935</w:t>
      </w:r>
    </w:p>
    <w:p w14:paraId="5D23374F">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2.采购代理机构信息</w:t>
      </w:r>
      <w:bookmarkEnd w:id="30"/>
      <w:bookmarkEnd w:id="31"/>
      <w:bookmarkEnd w:id="32"/>
      <w:bookmarkEnd w:id="33"/>
    </w:p>
    <w:p w14:paraId="5E6C67B2">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名    称：　海南省教学仪器设备招标中心有限公司　　</w:t>
      </w:r>
    </w:p>
    <w:p w14:paraId="4E2EE354">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地　　址：　海南省海口市蓝天路西2-8号　　</w:t>
      </w:r>
    </w:p>
    <w:p w14:paraId="38C82685">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联系方式：　0898-66779294</w:t>
      </w:r>
    </w:p>
    <w:p w14:paraId="428EA668">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3.项目联系方式</w:t>
      </w:r>
    </w:p>
    <w:p w14:paraId="34019544">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项目联系人： 林工</w:t>
      </w:r>
    </w:p>
    <w:p w14:paraId="683E8BE7">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电话：</w:t>
      </w:r>
      <w:r>
        <w:rPr>
          <w:rFonts w:ascii="宋体" w:hAnsi="宋体" w:cs="宋体"/>
          <w:kern w:val="0"/>
          <w:sz w:val="24"/>
        </w:rPr>
        <w:t>0898-66779294</w:t>
      </w:r>
    </w:p>
    <w:p w14:paraId="3DB62D84">
      <w:pPr>
        <w:spacing w:line="360" w:lineRule="exact"/>
        <w:ind w:firstLine="560" w:firstLineChars="200"/>
        <w:rPr>
          <w:rFonts w:hint="eastAsia" w:ascii="宋体" w:hAnsi="宋体"/>
          <w:sz w:val="28"/>
          <w:szCs w:val="28"/>
        </w:rPr>
      </w:pPr>
    </w:p>
    <w:p w14:paraId="1D77D8C7">
      <w:pPr>
        <w:jc w:val="center"/>
        <w:rPr>
          <w:rFonts w:hint="eastAsia" w:ascii="宋体" w:hAnsi="宋体"/>
          <w:b/>
          <w:sz w:val="32"/>
          <w:szCs w:val="32"/>
        </w:rPr>
      </w:pPr>
    </w:p>
    <w:p w14:paraId="776177E5">
      <w:pPr>
        <w:pStyle w:val="3"/>
      </w:pPr>
    </w:p>
    <w:p w14:paraId="38739A48"/>
    <w:p w14:paraId="03A3A051">
      <w:pPr>
        <w:jc w:val="center"/>
        <w:rPr>
          <w:rFonts w:hint="eastAsia" w:ascii="宋体" w:hAnsi="宋体"/>
          <w:b/>
          <w:sz w:val="32"/>
          <w:szCs w:val="32"/>
        </w:rPr>
      </w:pPr>
    </w:p>
    <w:p w14:paraId="662A5777">
      <w:pPr>
        <w:jc w:val="center"/>
        <w:rPr>
          <w:rFonts w:hint="eastAsia" w:ascii="宋体" w:hAnsi="宋体"/>
          <w:b/>
          <w:sz w:val="32"/>
          <w:szCs w:val="32"/>
        </w:rPr>
      </w:pPr>
    </w:p>
    <w:p w14:paraId="54F901BE">
      <w:pPr>
        <w:jc w:val="center"/>
        <w:rPr>
          <w:rFonts w:hint="eastAsia" w:ascii="宋体" w:hAnsi="宋体"/>
          <w:b/>
          <w:sz w:val="32"/>
          <w:szCs w:val="32"/>
        </w:rPr>
      </w:pPr>
    </w:p>
    <w:p w14:paraId="446AA3F3">
      <w:pPr>
        <w:jc w:val="center"/>
        <w:rPr>
          <w:rFonts w:hint="eastAsia" w:ascii="宋体" w:hAnsi="宋体"/>
          <w:b/>
          <w:sz w:val="32"/>
          <w:szCs w:val="32"/>
        </w:rPr>
      </w:pPr>
    </w:p>
    <w:p w14:paraId="52E398BB">
      <w:pPr>
        <w:jc w:val="center"/>
        <w:rPr>
          <w:rFonts w:hint="eastAsia" w:ascii="宋体" w:hAnsi="宋体"/>
          <w:b/>
          <w:sz w:val="32"/>
          <w:szCs w:val="32"/>
        </w:rPr>
      </w:pPr>
    </w:p>
    <w:p w14:paraId="52B51FF3">
      <w:pPr>
        <w:jc w:val="center"/>
        <w:rPr>
          <w:rFonts w:hint="eastAsia" w:ascii="宋体" w:hAnsi="宋体"/>
          <w:b/>
          <w:sz w:val="32"/>
          <w:szCs w:val="32"/>
        </w:rPr>
      </w:pPr>
    </w:p>
    <w:p w14:paraId="510C3635">
      <w:pPr>
        <w:jc w:val="center"/>
        <w:rPr>
          <w:rFonts w:hint="eastAsia" w:ascii="宋体" w:hAnsi="宋体"/>
          <w:b/>
          <w:sz w:val="32"/>
          <w:szCs w:val="32"/>
        </w:rPr>
      </w:pPr>
    </w:p>
    <w:p w14:paraId="4D7836E9">
      <w:pPr>
        <w:jc w:val="center"/>
        <w:rPr>
          <w:rFonts w:hint="eastAsia" w:ascii="宋体" w:hAnsi="宋体"/>
          <w:b/>
          <w:sz w:val="32"/>
          <w:szCs w:val="32"/>
        </w:rPr>
      </w:pPr>
      <w:r>
        <w:rPr>
          <w:rFonts w:hint="eastAsia" w:ascii="宋体" w:hAnsi="宋体"/>
          <w:b/>
          <w:sz w:val="32"/>
          <w:szCs w:val="32"/>
        </w:rPr>
        <w:t>第二章投标人</w:t>
      </w:r>
      <w:r>
        <w:rPr>
          <w:rFonts w:ascii="宋体" w:hAnsi="宋体"/>
          <w:b/>
          <w:sz w:val="32"/>
          <w:szCs w:val="32"/>
        </w:rPr>
        <w:t>须知</w:t>
      </w:r>
    </w:p>
    <w:p w14:paraId="3269FB00">
      <w:pPr>
        <w:spacing w:line="360" w:lineRule="exact"/>
        <w:ind w:firstLine="472" w:firstLineChars="196"/>
        <w:rPr>
          <w:rFonts w:hint="eastAsia" w:ascii="宋体" w:hAnsi="宋体"/>
          <w:b/>
          <w:bCs/>
          <w:sz w:val="24"/>
          <w:u w:val="single"/>
        </w:rPr>
      </w:pPr>
      <w:r>
        <w:rPr>
          <w:rFonts w:hint="eastAsia" w:ascii="宋体" w:hAnsi="宋体"/>
          <w:b/>
          <w:bCs/>
          <w:sz w:val="24"/>
          <w:u w:val="single"/>
        </w:rPr>
        <w:t>投标人应认真阅读招标文件中所有的事项、格式、条款和规范等要求。投标人没有按照招标文件要求提交全部资料，或者投标文件没有对招标文件各方面都作出实质性响应是投标人的风险，因为没有实质性响应招标文件要求的投标将可能被拒绝。</w:t>
      </w:r>
    </w:p>
    <w:p w14:paraId="69A4E7BC">
      <w:pPr>
        <w:spacing w:line="360" w:lineRule="exact"/>
        <w:jc w:val="center"/>
        <w:outlineLvl w:val="0"/>
        <w:rPr>
          <w:rFonts w:hint="eastAsia" w:ascii="宋体" w:hAnsi="宋体"/>
          <w:b/>
          <w:sz w:val="24"/>
        </w:rPr>
      </w:pPr>
    </w:p>
    <w:p w14:paraId="20D60640">
      <w:pPr>
        <w:spacing w:line="360" w:lineRule="exact"/>
        <w:ind w:firstLine="480" w:firstLineChars="200"/>
        <w:jc w:val="left"/>
        <w:outlineLvl w:val="0"/>
        <w:rPr>
          <w:rFonts w:hint="eastAsia" w:ascii="宋体" w:hAnsi="宋体"/>
          <w:sz w:val="24"/>
        </w:rPr>
      </w:pPr>
      <w:r>
        <w:rPr>
          <w:rFonts w:hint="eastAsia" w:ascii="宋体" w:hAnsi="宋体" w:cs="宋体"/>
          <w:kern w:val="24"/>
          <w:sz w:val="24"/>
        </w:rPr>
        <w:t>投标人须知前附表</w:t>
      </w:r>
    </w:p>
    <w:tbl>
      <w:tblPr>
        <w:tblStyle w:val="32"/>
        <w:tblW w:w="10065" w:type="dxa"/>
        <w:tblInd w:w="-41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10"/>
        <w:gridCol w:w="2693"/>
        <w:gridCol w:w="6662"/>
      </w:tblGrid>
      <w:tr w14:paraId="7427A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710" w:type="dxa"/>
            <w:vAlign w:val="center"/>
          </w:tcPr>
          <w:p w14:paraId="7AAC9214">
            <w:pPr>
              <w:pStyle w:val="86"/>
              <w:spacing w:line="340" w:lineRule="exact"/>
              <w:ind w:left="9"/>
              <w:jc w:val="center"/>
              <w:rPr>
                <w:rFonts w:hint="eastAsia"/>
                <w:lang w:val="zh-CN"/>
              </w:rPr>
            </w:pPr>
            <w:r>
              <w:rPr>
                <w:rFonts w:hint="eastAsia"/>
                <w:lang w:val="zh-CN"/>
              </w:rPr>
              <w:t>序号</w:t>
            </w:r>
          </w:p>
        </w:tc>
        <w:tc>
          <w:tcPr>
            <w:tcW w:w="2693" w:type="dxa"/>
            <w:vAlign w:val="center"/>
          </w:tcPr>
          <w:p w14:paraId="002DE8C3">
            <w:pPr>
              <w:pStyle w:val="86"/>
              <w:spacing w:line="340" w:lineRule="exact"/>
              <w:jc w:val="center"/>
              <w:rPr>
                <w:rFonts w:hint="eastAsia"/>
                <w:lang w:val="zh-CN"/>
              </w:rPr>
            </w:pPr>
            <w:r>
              <w:rPr>
                <w:rFonts w:hint="eastAsia"/>
                <w:lang w:val="zh-CN"/>
              </w:rPr>
              <w:t>条款名称</w:t>
            </w:r>
          </w:p>
        </w:tc>
        <w:tc>
          <w:tcPr>
            <w:tcW w:w="6662" w:type="dxa"/>
            <w:vAlign w:val="center"/>
          </w:tcPr>
          <w:p w14:paraId="5CE01125">
            <w:pPr>
              <w:pStyle w:val="86"/>
              <w:spacing w:line="340" w:lineRule="exact"/>
              <w:jc w:val="center"/>
              <w:rPr>
                <w:rFonts w:hint="eastAsia" w:cs="Times New Roman"/>
                <w:lang w:val="zh-CN"/>
              </w:rPr>
            </w:pPr>
            <w:r>
              <w:rPr>
                <w:rFonts w:hint="eastAsia"/>
                <w:lang w:val="zh-CN"/>
              </w:rPr>
              <w:t>说明和要求</w:t>
            </w:r>
          </w:p>
        </w:tc>
      </w:tr>
      <w:tr w14:paraId="73AC3B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710" w:type="dxa"/>
            <w:vAlign w:val="center"/>
          </w:tcPr>
          <w:p w14:paraId="5E96D814">
            <w:pPr>
              <w:pStyle w:val="86"/>
              <w:spacing w:line="340" w:lineRule="exact"/>
              <w:ind w:left="9"/>
              <w:jc w:val="center"/>
              <w:rPr>
                <w:rFonts w:hint="eastAsia"/>
                <w:lang w:val="zh-CN"/>
              </w:rPr>
            </w:pPr>
            <w:r>
              <w:rPr>
                <w:lang w:val="zh-CN"/>
              </w:rPr>
              <w:t>1</w:t>
            </w:r>
          </w:p>
        </w:tc>
        <w:tc>
          <w:tcPr>
            <w:tcW w:w="2693" w:type="dxa"/>
            <w:vAlign w:val="center"/>
          </w:tcPr>
          <w:p w14:paraId="0592CACC">
            <w:pPr>
              <w:pStyle w:val="86"/>
              <w:spacing w:line="340" w:lineRule="exact"/>
              <w:jc w:val="center"/>
              <w:rPr>
                <w:rFonts w:hint="eastAsia" w:cs="Times New Roman"/>
                <w:lang w:val="zh-CN"/>
              </w:rPr>
            </w:pPr>
            <w:r>
              <w:rPr>
                <w:rFonts w:hint="eastAsia"/>
                <w:lang w:val="zh-CN"/>
              </w:rPr>
              <w:t>项目预算</w:t>
            </w:r>
          </w:p>
        </w:tc>
        <w:tc>
          <w:tcPr>
            <w:tcW w:w="6662" w:type="dxa"/>
          </w:tcPr>
          <w:p w14:paraId="6898DA00">
            <w:pPr>
              <w:pStyle w:val="86"/>
              <w:spacing w:line="340" w:lineRule="exact"/>
              <w:jc w:val="both"/>
              <w:rPr>
                <w:rFonts w:hint="eastAsia"/>
                <w:b/>
              </w:rPr>
            </w:pPr>
            <w:r>
              <w:rPr>
                <w:rFonts w:hint="eastAsia"/>
                <w:color w:val="000000"/>
              </w:rPr>
              <w:t>146.98万元</w:t>
            </w:r>
            <w:r>
              <w:rPr>
                <w:rFonts w:hint="eastAsia"/>
                <w:b/>
              </w:rPr>
              <w:t>；</w:t>
            </w:r>
            <w:r>
              <w:rPr>
                <w:rFonts w:hint="eastAsia"/>
                <w:bCs/>
              </w:rPr>
              <w:t>投标人总报价、各单价报价不能超过采购预算和最高限价，超过视为无效投标。</w:t>
            </w:r>
          </w:p>
        </w:tc>
      </w:tr>
      <w:tr w14:paraId="1BB754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trPr>
        <w:tc>
          <w:tcPr>
            <w:tcW w:w="710" w:type="dxa"/>
            <w:vAlign w:val="center"/>
          </w:tcPr>
          <w:p w14:paraId="147146C1">
            <w:pPr>
              <w:pStyle w:val="86"/>
              <w:spacing w:line="340" w:lineRule="exact"/>
              <w:ind w:left="9"/>
              <w:jc w:val="center"/>
              <w:rPr>
                <w:rFonts w:hint="eastAsia"/>
                <w:lang w:val="zh-CN"/>
              </w:rPr>
            </w:pPr>
            <w:r>
              <w:rPr>
                <w:lang w:val="zh-CN"/>
              </w:rPr>
              <w:t>2</w:t>
            </w:r>
          </w:p>
        </w:tc>
        <w:tc>
          <w:tcPr>
            <w:tcW w:w="2693" w:type="dxa"/>
            <w:vAlign w:val="center"/>
          </w:tcPr>
          <w:p w14:paraId="7CEC5819">
            <w:pPr>
              <w:spacing w:line="340" w:lineRule="exact"/>
              <w:rPr>
                <w:rFonts w:hint="eastAsia" w:ascii="宋体" w:hAnsi="宋体"/>
                <w:kern w:val="0"/>
                <w:sz w:val="24"/>
                <w:lang w:val="zh-CN"/>
              </w:rPr>
            </w:pPr>
            <w:r>
              <w:rPr>
                <w:rFonts w:hint="eastAsia" w:ascii="宋体" w:hAnsi="宋体" w:cs="宋体"/>
                <w:kern w:val="0"/>
                <w:sz w:val="24"/>
                <w:lang w:val="zh-CN"/>
              </w:rPr>
              <w:t>是否接受进口产品投标</w:t>
            </w:r>
          </w:p>
        </w:tc>
        <w:tc>
          <w:tcPr>
            <w:tcW w:w="6662" w:type="dxa"/>
            <w:vAlign w:val="center"/>
          </w:tcPr>
          <w:p w14:paraId="7C190D13">
            <w:pPr>
              <w:spacing w:line="340" w:lineRule="exact"/>
              <w:ind w:firstLine="1320" w:firstLineChars="550"/>
              <w:rPr>
                <w:rFonts w:hint="eastAsia" w:ascii="宋体" w:hAnsi="宋体"/>
                <w:sz w:val="24"/>
                <w:lang w:val="zh-CN"/>
              </w:rPr>
            </w:pPr>
            <w:r>
              <w:rPr>
                <w:rFonts w:hint="eastAsia" w:ascii="宋体" w:hAnsi="宋体" w:cs="宋体"/>
                <w:kern w:val="0"/>
                <w:sz w:val="24"/>
                <w:lang w:val="zh-CN"/>
              </w:rPr>
              <w:t>接受（）不接受（√）</w:t>
            </w:r>
          </w:p>
        </w:tc>
      </w:tr>
      <w:tr w14:paraId="133DD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710" w:type="dxa"/>
            <w:vAlign w:val="center"/>
          </w:tcPr>
          <w:p w14:paraId="318E2EF0">
            <w:pPr>
              <w:pStyle w:val="86"/>
              <w:spacing w:line="340" w:lineRule="exact"/>
              <w:ind w:left="9"/>
              <w:jc w:val="center"/>
              <w:rPr>
                <w:rFonts w:hint="eastAsia"/>
                <w:lang w:val="zh-CN"/>
              </w:rPr>
            </w:pPr>
            <w:r>
              <w:rPr>
                <w:lang w:val="zh-CN"/>
              </w:rPr>
              <w:t>3</w:t>
            </w:r>
          </w:p>
        </w:tc>
        <w:tc>
          <w:tcPr>
            <w:tcW w:w="2693" w:type="dxa"/>
            <w:vAlign w:val="center"/>
          </w:tcPr>
          <w:p w14:paraId="6CF59466">
            <w:pPr>
              <w:spacing w:line="340" w:lineRule="exact"/>
              <w:jc w:val="left"/>
              <w:rPr>
                <w:rFonts w:hint="eastAsia" w:ascii="宋体" w:hAnsi="宋体"/>
                <w:sz w:val="24"/>
              </w:rPr>
            </w:pPr>
            <w:r>
              <w:rPr>
                <w:rFonts w:hint="eastAsia" w:ascii="宋体" w:hAnsi="宋体" w:cs="宋体"/>
                <w:sz w:val="24"/>
              </w:rPr>
              <w:t>标前踏勘现场或</w:t>
            </w:r>
            <w:r>
              <w:rPr>
                <w:rFonts w:ascii="宋体" w:hAnsi="宋体" w:cs="宋体"/>
                <w:sz w:val="24"/>
              </w:rPr>
              <w:t>/</w:t>
            </w:r>
            <w:r>
              <w:rPr>
                <w:rFonts w:hint="eastAsia" w:ascii="宋体" w:hAnsi="宋体" w:cs="宋体"/>
                <w:sz w:val="24"/>
              </w:rPr>
              <w:t>和标前答疑会</w:t>
            </w:r>
          </w:p>
        </w:tc>
        <w:tc>
          <w:tcPr>
            <w:tcW w:w="6662" w:type="dxa"/>
            <w:vAlign w:val="center"/>
          </w:tcPr>
          <w:p w14:paraId="17DB816F">
            <w:pPr>
              <w:spacing w:line="340" w:lineRule="exact"/>
              <w:ind w:firstLine="1320" w:firstLineChars="550"/>
              <w:rPr>
                <w:rFonts w:hint="eastAsia" w:ascii="宋体" w:hAnsi="宋体"/>
                <w:kern w:val="0"/>
                <w:sz w:val="24"/>
                <w:lang w:val="zh-CN"/>
              </w:rPr>
            </w:pPr>
            <w:r>
              <w:rPr>
                <w:rFonts w:hint="eastAsia" w:ascii="宋体" w:hAnsi="宋体" w:cs="宋体"/>
                <w:kern w:val="0"/>
                <w:sz w:val="24"/>
              </w:rPr>
              <w:t>组织（）不组织（</w:t>
            </w:r>
            <w:r>
              <w:rPr>
                <w:rFonts w:hint="eastAsia" w:ascii="宋体" w:hAnsi="宋体" w:cs="宋体"/>
                <w:kern w:val="0"/>
                <w:sz w:val="24"/>
                <w:lang w:val="zh-CN"/>
              </w:rPr>
              <w:t>√</w:t>
            </w:r>
            <w:r>
              <w:rPr>
                <w:rFonts w:hint="eastAsia" w:ascii="宋体" w:hAnsi="宋体" w:cs="宋体"/>
                <w:kern w:val="0"/>
                <w:sz w:val="24"/>
              </w:rPr>
              <w:t>）</w:t>
            </w:r>
          </w:p>
        </w:tc>
      </w:tr>
      <w:tr w14:paraId="153E5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710" w:type="dxa"/>
            <w:vAlign w:val="center"/>
          </w:tcPr>
          <w:p w14:paraId="40EBA9CC">
            <w:pPr>
              <w:pStyle w:val="86"/>
              <w:spacing w:line="340" w:lineRule="exact"/>
              <w:ind w:left="9"/>
              <w:jc w:val="center"/>
              <w:rPr>
                <w:rFonts w:hint="eastAsia"/>
                <w:lang w:val="zh-CN"/>
              </w:rPr>
            </w:pPr>
            <w:r>
              <w:rPr>
                <w:lang w:val="zh-CN"/>
              </w:rPr>
              <w:t>4</w:t>
            </w:r>
          </w:p>
        </w:tc>
        <w:tc>
          <w:tcPr>
            <w:tcW w:w="2693" w:type="dxa"/>
            <w:vAlign w:val="center"/>
          </w:tcPr>
          <w:p w14:paraId="63FD41D9">
            <w:pPr>
              <w:pStyle w:val="86"/>
              <w:spacing w:line="340" w:lineRule="exact"/>
              <w:jc w:val="both"/>
              <w:rPr>
                <w:rFonts w:hint="eastAsia" w:cs="Times New Roman"/>
              </w:rPr>
            </w:pPr>
            <w:r>
              <w:rPr>
                <w:rFonts w:hint="eastAsia"/>
                <w:lang w:val="zh-CN"/>
              </w:rPr>
              <w:t>述标和</w:t>
            </w:r>
            <w:r>
              <w:rPr>
                <w:lang w:val="zh-CN"/>
              </w:rPr>
              <w:t>/</w:t>
            </w:r>
            <w:r>
              <w:rPr>
                <w:rFonts w:hint="eastAsia"/>
                <w:lang w:val="zh-CN"/>
              </w:rPr>
              <w:t>或产（样）品演（展）示</w:t>
            </w:r>
          </w:p>
        </w:tc>
        <w:tc>
          <w:tcPr>
            <w:tcW w:w="6662" w:type="dxa"/>
            <w:vAlign w:val="center"/>
          </w:tcPr>
          <w:p w14:paraId="6B71583B">
            <w:pPr>
              <w:widowControl/>
              <w:tabs>
                <w:tab w:val="left" w:pos="425"/>
              </w:tabs>
              <w:spacing w:line="340" w:lineRule="exact"/>
              <w:ind w:firstLine="1560" w:firstLineChars="650"/>
              <w:rPr>
                <w:rFonts w:hint="eastAsia" w:ascii="宋体" w:hAnsi="宋体"/>
                <w:kern w:val="0"/>
                <w:sz w:val="24"/>
                <w:lang w:val="zh-CN"/>
              </w:rPr>
            </w:pPr>
            <w:r>
              <w:rPr>
                <w:rFonts w:hint="eastAsia" w:ascii="宋体" w:hAnsi="宋体" w:cs="宋体"/>
                <w:kern w:val="0"/>
                <w:sz w:val="24"/>
                <w:lang w:val="zh-CN"/>
              </w:rPr>
              <w:t>有（）无（√）</w:t>
            </w:r>
          </w:p>
        </w:tc>
      </w:tr>
      <w:tr w14:paraId="5E9C31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trPr>
        <w:tc>
          <w:tcPr>
            <w:tcW w:w="710" w:type="dxa"/>
            <w:vAlign w:val="center"/>
          </w:tcPr>
          <w:p w14:paraId="34A8662F">
            <w:pPr>
              <w:pStyle w:val="86"/>
              <w:spacing w:line="340" w:lineRule="exact"/>
              <w:ind w:left="9"/>
              <w:jc w:val="center"/>
              <w:rPr>
                <w:rFonts w:hint="eastAsia"/>
                <w:lang w:val="zh-CN"/>
              </w:rPr>
            </w:pPr>
            <w:r>
              <w:rPr>
                <w:lang w:val="zh-CN"/>
              </w:rPr>
              <w:t>5</w:t>
            </w:r>
          </w:p>
        </w:tc>
        <w:tc>
          <w:tcPr>
            <w:tcW w:w="2693" w:type="dxa"/>
            <w:vAlign w:val="center"/>
          </w:tcPr>
          <w:p w14:paraId="7CBA950A">
            <w:pPr>
              <w:pStyle w:val="86"/>
              <w:spacing w:line="340" w:lineRule="exact"/>
              <w:rPr>
                <w:rFonts w:hint="eastAsia" w:cs="Times New Roman"/>
                <w:lang w:val="zh-CN"/>
              </w:rPr>
            </w:pPr>
            <w:r>
              <w:rPr>
                <w:rFonts w:hint="eastAsia"/>
                <w:lang w:val="zh-CN"/>
              </w:rPr>
              <w:t>投标有效期</w:t>
            </w:r>
          </w:p>
        </w:tc>
        <w:tc>
          <w:tcPr>
            <w:tcW w:w="6662" w:type="dxa"/>
            <w:vAlign w:val="center"/>
          </w:tcPr>
          <w:p w14:paraId="23B2533F">
            <w:pPr>
              <w:pStyle w:val="86"/>
              <w:spacing w:line="340" w:lineRule="exact"/>
              <w:jc w:val="both"/>
              <w:rPr>
                <w:rFonts w:hint="eastAsia" w:cs="Times New Roman"/>
                <w:lang w:val="zh-CN"/>
              </w:rPr>
            </w:pPr>
            <w:r>
              <w:rPr>
                <w:rFonts w:hint="eastAsia"/>
              </w:rPr>
              <w:t>自开标之日起90天内。</w:t>
            </w:r>
          </w:p>
        </w:tc>
      </w:tr>
      <w:tr w14:paraId="47A380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trPr>
        <w:tc>
          <w:tcPr>
            <w:tcW w:w="710" w:type="dxa"/>
            <w:vAlign w:val="center"/>
          </w:tcPr>
          <w:p w14:paraId="3A349CFB">
            <w:pPr>
              <w:pStyle w:val="86"/>
              <w:spacing w:line="340" w:lineRule="exact"/>
              <w:ind w:left="9"/>
              <w:jc w:val="center"/>
              <w:rPr>
                <w:rFonts w:hint="eastAsia"/>
                <w:lang w:val="zh-CN"/>
              </w:rPr>
            </w:pPr>
            <w:r>
              <w:rPr>
                <w:lang w:val="zh-CN"/>
              </w:rPr>
              <w:t>6</w:t>
            </w:r>
          </w:p>
        </w:tc>
        <w:tc>
          <w:tcPr>
            <w:tcW w:w="2693" w:type="dxa"/>
            <w:vAlign w:val="center"/>
          </w:tcPr>
          <w:p w14:paraId="45931987">
            <w:pPr>
              <w:pStyle w:val="86"/>
              <w:spacing w:line="500" w:lineRule="exact"/>
              <w:rPr>
                <w:rFonts w:hint="eastAsia"/>
              </w:rPr>
            </w:pPr>
            <w:r>
              <w:rPr>
                <w:rFonts w:hint="eastAsia"/>
                <w:shd w:val="clear" w:color="auto" w:fill="FFFFFF"/>
                <w:lang w:val="zh-CN"/>
              </w:rPr>
              <w:t>投标文件份数</w:t>
            </w:r>
          </w:p>
        </w:tc>
        <w:tc>
          <w:tcPr>
            <w:tcW w:w="6662" w:type="dxa"/>
            <w:vAlign w:val="center"/>
          </w:tcPr>
          <w:p w14:paraId="442FFB52">
            <w:pPr>
              <w:pStyle w:val="86"/>
              <w:spacing w:line="440" w:lineRule="exact"/>
              <w:ind w:firstLine="240"/>
              <w:rPr>
                <w:rFonts w:hint="eastAsia"/>
                <w:shd w:val="clear" w:color="auto" w:fill="FFFFFF"/>
                <w:lang w:val="zh-CN"/>
              </w:rPr>
            </w:pPr>
            <w:r>
              <w:rPr>
                <w:rFonts w:hint="eastAsia"/>
                <w:shd w:val="clear" w:color="auto" w:fill="FFFFFF"/>
                <w:lang w:val="zh-CN"/>
              </w:rPr>
              <w:t>正本</w:t>
            </w:r>
            <w:r>
              <w:rPr>
                <w:rFonts w:hint="eastAsia"/>
                <w:u w:val="single"/>
                <w:shd w:val="clear" w:color="auto" w:fill="FFFFFF"/>
                <w:lang w:val="zh-CN"/>
              </w:rPr>
              <w:t xml:space="preserve">  壹 </w:t>
            </w:r>
            <w:r>
              <w:rPr>
                <w:rFonts w:hint="eastAsia"/>
                <w:shd w:val="clear" w:color="auto" w:fill="FFFFFF"/>
                <w:lang w:val="zh-CN"/>
              </w:rPr>
              <w:t>份    副本</w:t>
            </w:r>
            <w:r>
              <w:rPr>
                <w:rFonts w:hint="eastAsia"/>
                <w:u w:val="single"/>
                <w:shd w:val="clear" w:color="auto" w:fill="FFFFFF"/>
              </w:rPr>
              <w:t xml:space="preserve"> </w:t>
            </w:r>
            <w:r>
              <w:rPr>
                <w:rFonts w:hint="eastAsia"/>
                <w:u w:val="single"/>
                <w:shd w:val="clear" w:color="auto" w:fill="FFFFFF"/>
                <w:lang w:val="zh-CN"/>
              </w:rPr>
              <w:t>肆</w:t>
            </w:r>
            <w:r>
              <w:rPr>
                <w:rFonts w:hint="eastAsia"/>
                <w:u w:val="single"/>
                <w:shd w:val="clear" w:color="auto" w:fill="FFFFFF"/>
              </w:rPr>
              <w:t xml:space="preserve"> </w:t>
            </w:r>
            <w:r>
              <w:rPr>
                <w:rFonts w:hint="eastAsia"/>
                <w:shd w:val="clear" w:color="auto" w:fill="FFFFFF"/>
                <w:lang w:val="zh-CN"/>
              </w:rPr>
              <w:t>份</w:t>
            </w:r>
          </w:p>
          <w:p w14:paraId="670AA9B0">
            <w:pPr>
              <w:pStyle w:val="86"/>
              <w:spacing w:line="440" w:lineRule="exact"/>
              <w:ind w:firstLine="240"/>
              <w:rPr>
                <w:rFonts w:hint="eastAsia"/>
              </w:rPr>
            </w:pPr>
            <w:r>
              <w:rPr>
                <w:rFonts w:hint="eastAsia"/>
              </w:rPr>
              <w:t>电子版为</w:t>
            </w:r>
            <w:r>
              <w:t>U盘拷贝PDF格式</w:t>
            </w:r>
            <w:r>
              <w:rPr>
                <w:rFonts w:hint="eastAsia"/>
              </w:rPr>
              <w:t>正本投标文件一份</w:t>
            </w:r>
          </w:p>
          <w:p w14:paraId="76949418">
            <w:pPr>
              <w:pStyle w:val="86"/>
              <w:spacing w:line="440" w:lineRule="exact"/>
              <w:ind w:firstLine="240"/>
              <w:rPr>
                <w:rFonts w:hint="eastAsia"/>
              </w:rPr>
            </w:pPr>
            <w:r>
              <w:rPr>
                <w:rFonts w:hint="eastAsia"/>
                <w:b/>
                <w:bCs/>
                <w:color w:val="000000"/>
                <w:sz w:val="18"/>
                <w:szCs w:val="18"/>
              </w:rPr>
              <w:t>温馨提示：为了节约能源保护环境，制作响应文件时请双面打印</w:t>
            </w:r>
          </w:p>
        </w:tc>
      </w:tr>
      <w:tr w14:paraId="24253D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710" w:type="dxa"/>
            <w:vAlign w:val="center"/>
          </w:tcPr>
          <w:p w14:paraId="2E717DDC">
            <w:pPr>
              <w:pStyle w:val="7"/>
              <w:spacing w:line="340" w:lineRule="exact"/>
              <w:ind w:firstLine="240" w:firstLineChars="100"/>
              <w:rPr>
                <w:rFonts w:hint="eastAsia" w:ascii="宋体" w:hAnsi="宋体"/>
                <w:sz w:val="24"/>
                <w:lang w:val="zh-CN"/>
              </w:rPr>
            </w:pPr>
            <w:r>
              <w:rPr>
                <w:rFonts w:ascii="宋体" w:hAnsi="宋体" w:cs="宋体"/>
                <w:sz w:val="24"/>
                <w:lang w:val="zh-CN"/>
              </w:rPr>
              <w:t>7</w:t>
            </w:r>
          </w:p>
        </w:tc>
        <w:tc>
          <w:tcPr>
            <w:tcW w:w="2693" w:type="dxa"/>
            <w:vAlign w:val="center"/>
          </w:tcPr>
          <w:p w14:paraId="7F6010AA">
            <w:pPr>
              <w:pStyle w:val="86"/>
              <w:spacing w:line="340" w:lineRule="exact"/>
              <w:ind w:left="209"/>
              <w:jc w:val="both"/>
              <w:rPr>
                <w:rFonts w:hint="eastAsia" w:cs="Times New Roman"/>
                <w:lang w:val="zh-CN"/>
              </w:rPr>
            </w:pPr>
            <w:r>
              <w:rPr>
                <w:rFonts w:hint="eastAsia"/>
                <w:lang w:val="zh-CN"/>
              </w:rPr>
              <w:t>评标方法</w:t>
            </w:r>
          </w:p>
        </w:tc>
        <w:tc>
          <w:tcPr>
            <w:tcW w:w="6662" w:type="dxa"/>
            <w:vAlign w:val="center"/>
          </w:tcPr>
          <w:p w14:paraId="5E2C299F">
            <w:pPr>
              <w:pStyle w:val="86"/>
              <w:spacing w:line="340" w:lineRule="exact"/>
              <w:rPr>
                <w:rFonts w:hint="eastAsia" w:cs="Times New Roman"/>
                <w:lang w:val="zh-CN"/>
              </w:rPr>
            </w:pPr>
            <w:r>
              <w:rPr>
                <w:rFonts w:hint="eastAsia"/>
                <w:lang w:val="zh-CN"/>
              </w:rPr>
              <w:t>最低评标价法（）综合评分法（√）</w:t>
            </w:r>
          </w:p>
        </w:tc>
      </w:tr>
      <w:tr w14:paraId="1D2D2A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1" w:hRule="atLeast"/>
        </w:trPr>
        <w:tc>
          <w:tcPr>
            <w:tcW w:w="710" w:type="dxa"/>
            <w:vAlign w:val="center"/>
          </w:tcPr>
          <w:p w14:paraId="22DAD6FC">
            <w:pPr>
              <w:pStyle w:val="7"/>
              <w:spacing w:line="340" w:lineRule="exact"/>
              <w:ind w:firstLine="240" w:firstLineChars="100"/>
              <w:rPr>
                <w:rFonts w:hint="eastAsia" w:ascii="宋体" w:hAnsi="宋体"/>
                <w:sz w:val="24"/>
                <w:lang w:val="zh-CN"/>
              </w:rPr>
            </w:pPr>
            <w:r>
              <w:rPr>
                <w:rFonts w:ascii="宋体" w:hAnsi="宋体" w:cs="宋体"/>
                <w:sz w:val="24"/>
                <w:lang w:val="zh-CN"/>
              </w:rPr>
              <w:t>8</w:t>
            </w:r>
          </w:p>
        </w:tc>
        <w:tc>
          <w:tcPr>
            <w:tcW w:w="2693" w:type="dxa"/>
            <w:vAlign w:val="center"/>
          </w:tcPr>
          <w:p w14:paraId="57BC29B5">
            <w:pPr>
              <w:pStyle w:val="86"/>
              <w:spacing w:line="340" w:lineRule="exact"/>
              <w:ind w:left="209"/>
              <w:jc w:val="both"/>
              <w:rPr>
                <w:rFonts w:hint="eastAsia" w:cs="Times New Roman"/>
                <w:lang w:val="zh-CN"/>
              </w:rPr>
            </w:pPr>
            <w:r>
              <w:rPr>
                <w:rFonts w:hint="eastAsia"/>
                <w:lang w:val="zh-CN"/>
              </w:rPr>
              <w:t>采购需求</w:t>
            </w:r>
          </w:p>
        </w:tc>
        <w:tc>
          <w:tcPr>
            <w:tcW w:w="6662" w:type="dxa"/>
            <w:vAlign w:val="center"/>
          </w:tcPr>
          <w:p w14:paraId="40BB42D0">
            <w:pPr>
              <w:pStyle w:val="86"/>
              <w:spacing w:line="340" w:lineRule="exact"/>
              <w:rPr>
                <w:rFonts w:hint="eastAsia" w:cs="Times New Roman"/>
                <w:lang w:val="zh-CN"/>
              </w:rPr>
            </w:pPr>
            <w:r>
              <w:rPr>
                <w:rFonts w:hint="eastAsia"/>
              </w:rPr>
              <w:t>详见采购清单</w:t>
            </w:r>
          </w:p>
        </w:tc>
      </w:tr>
      <w:tr w14:paraId="29B3D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3DD253CE">
            <w:pPr>
              <w:pStyle w:val="7"/>
              <w:spacing w:line="340" w:lineRule="exact"/>
              <w:ind w:firstLine="240" w:firstLineChars="100"/>
              <w:rPr>
                <w:rFonts w:hint="eastAsia" w:ascii="宋体" w:hAnsi="宋体"/>
                <w:sz w:val="24"/>
                <w:lang w:val="zh-CN"/>
              </w:rPr>
            </w:pPr>
            <w:r>
              <w:rPr>
                <w:rFonts w:ascii="宋体" w:hAnsi="宋体" w:cs="宋体"/>
                <w:sz w:val="24"/>
                <w:lang w:val="zh-CN"/>
              </w:rPr>
              <w:t>9</w:t>
            </w:r>
          </w:p>
        </w:tc>
        <w:tc>
          <w:tcPr>
            <w:tcW w:w="2693" w:type="dxa"/>
            <w:vAlign w:val="center"/>
          </w:tcPr>
          <w:p w14:paraId="468419B0">
            <w:pPr>
              <w:pStyle w:val="86"/>
              <w:spacing w:line="340" w:lineRule="exact"/>
              <w:ind w:left="209"/>
              <w:jc w:val="both"/>
              <w:rPr>
                <w:rFonts w:hint="eastAsia"/>
                <w:bCs/>
              </w:rPr>
            </w:pPr>
          </w:p>
          <w:p w14:paraId="567086FD">
            <w:pPr>
              <w:pStyle w:val="86"/>
              <w:spacing w:line="340" w:lineRule="exact"/>
              <w:ind w:left="209"/>
              <w:jc w:val="both"/>
              <w:rPr>
                <w:rFonts w:hint="eastAsia" w:cs="Times New Roman"/>
                <w:lang w:val="zh-CN"/>
              </w:rPr>
            </w:pPr>
            <w:r>
              <w:rPr>
                <w:rFonts w:hint="eastAsia"/>
                <w:bCs/>
              </w:rPr>
              <w:t>合同履行期限</w:t>
            </w:r>
          </w:p>
          <w:p w14:paraId="6D49D92D"/>
        </w:tc>
        <w:tc>
          <w:tcPr>
            <w:tcW w:w="6662" w:type="dxa"/>
            <w:vAlign w:val="center"/>
          </w:tcPr>
          <w:p w14:paraId="7D006041">
            <w:pPr>
              <w:pStyle w:val="10"/>
              <w:rPr>
                <w:rFonts w:hint="eastAsia" w:ascii="宋体" w:hAnsi="宋体"/>
                <w:sz w:val="24"/>
              </w:rPr>
            </w:pPr>
            <w:r>
              <w:rPr>
                <w:rFonts w:hint="eastAsia" w:ascii="宋体" w:hAnsi="宋体" w:cs="宋体"/>
                <w:kern w:val="0"/>
                <w:sz w:val="24"/>
              </w:rPr>
              <w:t>合同签订后</w:t>
            </w:r>
            <w:r>
              <w:rPr>
                <w:rFonts w:hint="eastAsia" w:ascii="宋体" w:hAnsi="宋体" w:cs="宋体"/>
                <w:kern w:val="0"/>
                <w:sz w:val="24"/>
                <w:lang w:val="en-US" w:eastAsia="zh-CN"/>
              </w:rPr>
              <w:t>60</w:t>
            </w:r>
            <w:r>
              <w:rPr>
                <w:rFonts w:hint="eastAsia" w:ascii="宋体" w:hAnsi="宋体" w:cs="宋体"/>
                <w:kern w:val="0"/>
                <w:sz w:val="24"/>
              </w:rPr>
              <w:t>天内完成供货安装。</w:t>
            </w:r>
          </w:p>
        </w:tc>
      </w:tr>
      <w:tr w14:paraId="6F136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0BE14CA3">
            <w:pPr>
              <w:pStyle w:val="7"/>
              <w:spacing w:line="340" w:lineRule="exact"/>
              <w:ind w:firstLine="240" w:firstLineChars="100"/>
              <w:rPr>
                <w:rFonts w:hint="eastAsia" w:ascii="宋体" w:hAnsi="宋体"/>
                <w:sz w:val="24"/>
                <w:lang w:val="zh-CN"/>
              </w:rPr>
            </w:pPr>
            <w:r>
              <w:rPr>
                <w:rFonts w:ascii="宋体" w:hAnsi="宋体" w:cs="宋体"/>
                <w:sz w:val="24"/>
                <w:lang w:val="zh-CN"/>
              </w:rPr>
              <w:t>10</w:t>
            </w:r>
          </w:p>
        </w:tc>
        <w:tc>
          <w:tcPr>
            <w:tcW w:w="2693" w:type="dxa"/>
            <w:vAlign w:val="center"/>
          </w:tcPr>
          <w:p w14:paraId="68292557">
            <w:pPr>
              <w:pStyle w:val="86"/>
              <w:spacing w:line="340" w:lineRule="exact"/>
              <w:ind w:left="209"/>
              <w:jc w:val="both"/>
              <w:rPr>
                <w:rFonts w:hint="eastAsia" w:cs="Times New Roman"/>
                <w:lang w:val="zh-CN"/>
              </w:rPr>
            </w:pPr>
            <w:r>
              <w:rPr>
                <w:rFonts w:hint="eastAsia"/>
              </w:rPr>
              <w:t>交货地点</w:t>
            </w:r>
          </w:p>
        </w:tc>
        <w:tc>
          <w:tcPr>
            <w:tcW w:w="6662" w:type="dxa"/>
            <w:vAlign w:val="center"/>
          </w:tcPr>
          <w:p w14:paraId="059B2082">
            <w:pPr>
              <w:pStyle w:val="86"/>
              <w:spacing w:line="340" w:lineRule="exact"/>
              <w:rPr>
                <w:rFonts w:hint="eastAsia" w:cs="Times New Roman"/>
              </w:rPr>
            </w:pPr>
            <w:r>
              <w:rPr>
                <w:rFonts w:hint="eastAsia"/>
              </w:rPr>
              <w:t>用户指定地点</w:t>
            </w:r>
          </w:p>
        </w:tc>
      </w:tr>
      <w:tr w14:paraId="489857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62E2FC85">
            <w:pPr>
              <w:jc w:val="center"/>
              <w:rPr>
                <w:sz w:val="24"/>
              </w:rPr>
            </w:pPr>
            <w:r>
              <w:rPr>
                <w:rFonts w:hint="eastAsia"/>
                <w:sz w:val="24"/>
              </w:rPr>
              <w:t>11</w:t>
            </w:r>
          </w:p>
        </w:tc>
        <w:tc>
          <w:tcPr>
            <w:tcW w:w="2693" w:type="dxa"/>
            <w:vAlign w:val="center"/>
          </w:tcPr>
          <w:p w14:paraId="680E5DCE">
            <w:pPr>
              <w:rPr>
                <w:sz w:val="24"/>
              </w:rPr>
            </w:pPr>
            <w:r>
              <w:rPr>
                <w:rFonts w:hint="eastAsia"/>
                <w:sz w:val="24"/>
              </w:rPr>
              <w:t>本项目所属行业</w:t>
            </w:r>
          </w:p>
        </w:tc>
        <w:tc>
          <w:tcPr>
            <w:tcW w:w="6662" w:type="dxa"/>
          </w:tcPr>
          <w:p w14:paraId="2A71A4AD">
            <w:pPr>
              <w:rPr>
                <w:sz w:val="24"/>
              </w:rPr>
            </w:pPr>
            <w:r>
              <w:rPr>
                <w:rFonts w:hint="eastAsia"/>
                <w:sz w:val="24"/>
              </w:rPr>
              <w:t>根据《统计上大中小微型企业划分办法</w:t>
            </w:r>
            <w:r>
              <w:rPr>
                <w:rFonts w:hint="eastAsia" w:asciiTheme="minorEastAsia" w:hAnsiTheme="minorEastAsia" w:eastAsiaTheme="minorEastAsia" w:cstheme="minorEastAsia"/>
                <w:sz w:val="24"/>
              </w:rPr>
              <w:t>（2017）</w:t>
            </w:r>
            <w:r>
              <w:rPr>
                <w:rFonts w:hint="eastAsia"/>
                <w:sz w:val="24"/>
              </w:rPr>
              <w:t>》，本项目所属行业为工业。</w:t>
            </w:r>
          </w:p>
        </w:tc>
      </w:tr>
      <w:tr w14:paraId="060B3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792CEB98">
            <w:pPr>
              <w:jc w:val="center"/>
              <w:rPr>
                <w:sz w:val="24"/>
              </w:rPr>
            </w:pPr>
            <w:r>
              <w:rPr>
                <w:rFonts w:hint="eastAsia"/>
                <w:sz w:val="24"/>
              </w:rPr>
              <w:t>12</w:t>
            </w:r>
          </w:p>
        </w:tc>
        <w:tc>
          <w:tcPr>
            <w:tcW w:w="2693" w:type="dxa"/>
            <w:vAlign w:val="center"/>
          </w:tcPr>
          <w:p w14:paraId="387A8602">
            <w:pPr>
              <w:rPr>
                <w:sz w:val="24"/>
              </w:rPr>
            </w:pPr>
            <w:r>
              <w:rPr>
                <w:rFonts w:hint="eastAsia"/>
                <w:sz w:val="24"/>
              </w:rPr>
              <w:t>备注</w:t>
            </w:r>
          </w:p>
        </w:tc>
        <w:tc>
          <w:tcPr>
            <w:tcW w:w="6662" w:type="dxa"/>
            <w:vAlign w:val="center"/>
          </w:tcPr>
          <w:p w14:paraId="7F20EA91">
            <w:pPr>
              <w:rPr>
                <w:sz w:val="24"/>
              </w:rPr>
            </w:pPr>
            <w:r>
              <w:rPr>
                <w:rFonts w:hint="eastAsia"/>
                <w:sz w:val="24"/>
              </w:rPr>
              <w:t>1、采购需求中未列明偏差的除特殊订制类货物以外，列明的尺寸、重量及体积允许±5</w:t>
            </w:r>
            <w:r>
              <w:rPr>
                <w:sz w:val="24"/>
              </w:rPr>
              <w:t>%</w:t>
            </w:r>
            <w:r>
              <w:rPr>
                <w:rFonts w:hint="eastAsia"/>
                <w:sz w:val="24"/>
              </w:rPr>
              <w:t>偏差。</w:t>
            </w:r>
          </w:p>
          <w:p w14:paraId="649DF9A5">
            <w:pPr>
              <w:rPr>
                <w:sz w:val="24"/>
              </w:rPr>
            </w:pPr>
            <w:r>
              <w:rPr>
                <w:rFonts w:hint="eastAsia"/>
                <w:sz w:val="24"/>
              </w:rPr>
              <w:t>2、采购标的物需按照国家相关标准、行业标准、地方标准或者其他标准、规范执行。</w:t>
            </w:r>
          </w:p>
        </w:tc>
      </w:tr>
    </w:tbl>
    <w:p w14:paraId="7E767A59">
      <w:pPr>
        <w:pStyle w:val="3"/>
      </w:pPr>
    </w:p>
    <w:p w14:paraId="26B416B4"/>
    <w:p w14:paraId="2DCE34D8"/>
    <w:p w14:paraId="503F5D40"/>
    <w:p w14:paraId="3FCDFFFF"/>
    <w:p w14:paraId="5DF41216">
      <w:pPr>
        <w:spacing w:line="360" w:lineRule="exact"/>
        <w:jc w:val="center"/>
        <w:rPr>
          <w:rFonts w:hint="eastAsia" w:ascii="宋体" w:hAnsi="宋体"/>
          <w:b/>
          <w:sz w:val="24"/>
        </w:rPr>
      </w:pPr>
      <w:r>
        <w:rPr>
          <w:rFonts w:hint="eastAsia" w:ascii="宋体" w:hAnsi="宋体"/>
          <w:b/>
          <w:sz w:val="24"/>
        </w:rPr>
        <w:t>Ａ说明</w:t>
      </w:r>
    </w:p>
    <w:p w14:paraId="4510B80F">
      <w:pPr>
        <w:spacing w:line="360" w:lineRule="exact"/>
        <w:ind w:firstLine="480" w:firstLineChars="200"/>
        <w:rPr>
          <w:rFonts w:hint="eastAsia" w:ascii="宋体" w:hAnsi="宋体"/>
          <w:sz w:val="24"/>
        </w:rPr>
      </w:pPr>
      <w:r>
        <w:rPr>
          <w:rFonts w:hint="eastAsia" w:ascii="宋体" w:hAnsi="宋体"/>
          <w:sz w:val="24"/>
        </w:rPr>
        <w:t>1、适用范围</w:t>
      </w:r>
    </w:p>
    <w:p w14:paraId="7503CB55">
      <w:pPr>
        <w:spacing w:line="360" w:lineRule="exact"/>
        <w:ind w:firstLine="480" w:firstLineChars="200"/>
        <w:rPr>
          <w:rFonts w:hint="eastAsia" w:ascii="宋体" w:hAnsi="宋体"/>
          <w:sz w:val="24"/>
        </w:rPr>
      </w:pPr>
      <w:r>
        <w:rPr>
          <w:rFonts w:hint="eastAsia" w:ascii="宋体" w:hAnsi="宋体"/>
          <w:sz w:val="24"/>
        </w:rPr>
        <w:t>1.1本招标文件仅适用于本次招标采购中所叙述项目的产品及服务采购。</w:t>
      </w:r>
    </w:p>
    <w:p w14:paraId="42714FD8">
      <w:pPr>
        <w:spacing w:line="360" w:lineRule="exact"/>
        <w:ind w:firstLine="480" w:firstLineChars="200"/>
        <w:rPr>
          <w:rFonts w:hint="eastAsia" w:ascii="宋体" w:hAnsi="宋体"/>
          <w:sz w:val="24"/>
        </w:rPr>
      </w:pPr>
      <w:r>
        <w:rPr>
          <w:rFonts w:hint="eastAsia" w:ascii="宋体" w:hAnsi="宋体"/>
          <w:sz w:val="24"/>
        </w:rPr>
        <w:t>1.2资金来源系政府财政资金</w:t>
      </w:r>
    </w:p>
    <w:p w14:paraId="78C4DD76">
      <w:pPr>
        <w:spacing w:line="360" w:lineRule="exact"/>
        <w:ind w:firstLine="480" w:firstLineChars="200"/>
        <w:rPr>
          <w:rFonts w:hint="eastAsia" w:ascii="宋体" w:hAnsi="宋体"/>
          <w:sz w:val="24"/>
        </w:rPr>
      </w:pPr>
      <w:r>
        <w:rPr>
          <w:rFonts w:ascii="宋体" w:hAnsi="宋体"/>
          <w:sz w:val="24"/>
        </w:rPr>
        <w:t>2</w:t>
      </w:r>
      <w:r>
        <w:rPr>
          <w:rFonts w:hint="eastAsia" w:ascii="宋体" w:hAnsi="宋体"/>
          <w:sz w:val="24"/>
        </w:rPr>
        <w:t>、定义</w:t>
      </w:r>
    </w:p>
    <w:p w14:paraId="0049E154">
      <w:pPr>
        <w:spacing w:line="360" w:lineRule="exact"/>
        <w:ind w:firstLine="465"/>
        <w:rPr>
          <w:rFonts w:hint="eastAsia" w:ascii="宋体" w:hAnsi="宋体"/>
          <w:sz w:val="24"/>
        </w:rPr>
      </w:pPr>
      <w:r>
        <w:rPr>
          <w:rFonts w:ascii="宋体" w:hAnsi="宋体"/>
          <w:sz w:val="24"/>
        </w:rPr>
        <w:t>2.1</w:t>
      </w:r>
      <w:r>
        <w:rPr>
          <w:rFonts w:hint="eastAsia" w:ascii="宋体" w:hAnsi="宋体"/>
          <w:sz w:val="24"/>
        </w:rPr>
        <w:t>“采购人”系指业主</w:t>
      </w:r>
    </w:p>
    <w:p w14:paraId="322D8D85">
      <w:pPr>
        <w:spacing w:line="360" w:lineRule="exact"/>
        <w:ind w:firstLine="465"/>
        <w:rPr>
          <w:rFonts w:hint="eastAsia" w:ascii="宋体" w:hAnsi="宋体"/>
          <w:sz w:val="24"/>
        </w:rPr>
      </w:pPr>
      <w:r>
        <w:rPr>
          <w:rFonts w:ascii="宋体" w:hAnsi="宋体"/>
          <w:sz w:val="24"/>
        </w:rPr>
        <w:t>2.2</w:t>
      </w:r>
      <w:r>
        <w:rPr>
          <w:rFonts w:hint="eastAsia" w:ascii="宋体" w:hAnsi="宋体"/>
          <w:sz w:val="24"/>
        </w:rPr>
        <w:t>“投标人”系指响应招标文件的、参加投标竞争的依法成立的制造商、代理商、供货商或其他组织。</w:t>
      </w:r>
    </w:p>
    <w:p w14:paraId="3BBE9629">
      <w:pPr>
        <w:pStyle w:val="27"/>
        <w:spacing w:line="360" w:lineRule="exact"/>
        <w:ind w:firstLine="480" w:firstLineChars="200"/>
        <w:jc w:val="left"/>
        <w:rPr>
          <w:rFonts w:hint="eastAsia" w:ascii="宋体" w:hAnsi="宋体"/>
          <w:sz w:val="24"/>
        </w:rPr>
      </w:pPr>
      <w:r>
        <w:rPr>
          <w:rFonts w:hint="eastAsia" w:ascii="宋体" w:hAnsi="宋体"/>
          <w:sz w:val="24"/>
        </w:rPr>
        <w:t>2.3“采购代理机构”系指组织本次招标的招标机构海南省教学仪器设备招标中心有限公司。</w:t>
      </w:r>
    </w:p>
    <w:p w14:paraId="05824EC4">
      <w:pPr>
        <w:pStyle w:val="27"/>
        <w:spacing w:line="360" w:lineRule="exact"/>
        <w:ind w:firstLine="480" w:firstLineChars="200"/>
        <w:jc w:val="left"/>
        <w:rPr>
          <w:rFonts w:hint="eastAsia" w:ascii="宋体" w:hAnsi="宋体"/>
          <w:sz w:val="24"/>
        </w:rPr>
      </w:pPr>
      <w:r>
        <w:rPr>
          <w:rFonts w:hint="eastAsia" w:ascii="宋体" w:hAnsi="宋体"/>
          <w:sz w:val="24"/>
        </w:rPr>
        <w:t>2.4“采购人”和“采购代理机构”统称“招标采购单位</w:t>
      </w:r>
      <w:r>
        <w:rPr>
          <w:rFonts w:ascii="宋体" w:hAnsi="宋体"/>
          <w:sz w:val="24"/>
        </w:rPr>
        <w:t>”</w:t>
      </w:r>
    </w:p>
    <w:p w14:paraId="779A0E29">
      <w:pPr>
        <w:spacing w:line="360" w:lineRule="exact"/>
        <w:ind w:firstLine="480" w:firstLineChars="200"/>
        <w:rPr>
          <w:rFonts w:hint="eastAsia" w:ascii="宋体" w:hAnsi="宋体"/>
          <w:sz w:val="24"/>
        </w:rPr>
      </w:pPr>
      <w:r>
        <w:rPr>
          <w:rFonts w:hint="eastAsia" w:ascii="宋体" w:hAnsi="宋体"/>
          <w:sz w:val="24"/>
        </w:rPr>
        <w:t>2.5“评标委员会”系指组建专门负责本次招标及其评标工作的临时性机构。</w:t>
      </w:r>
    </w:p>
    <w:p w14:paraId="2B46D00D">
      <w:pPr>
        <w:pStyle w:val="27"/>
        <w:spacing w:line="360" w:lineRule="exact"/>
        <w:ind w:firstLine="480" w:firstLineChars="200"/>
        <w:jc w:val="left"/>
        <w:rPr>
          <w:rFonts w:hint="eastAsia" w:ascii="宋体" w:hAnsi="宋体"/>
          <w:sz w:val="24"/>
        </w:rPr>
      </w:pPr>
      <w:r>
        <w:rPr>
          <w:rFonts w:hint="eastAsia" w:ascii="宋体" w:hAnsi="宋体"/>
          <w:sz w:val="24"/>
        </w:rPr>
        <w:t>2.6“货物”系指所有的由投标人为满足招标文件要求而向招标方提供的货物、方案以其它有关技术资料和材料。</w:t>
      </w:r>
    </w:p>
    <w:p w14:paraId="6FA2D4A8">
      <w:pPr>
        <w:spacing w:line="360" w:lineRule="exact"/>
        <w:ind w:firstLine="480" w:firstLineChars="200"/>
        <w:jc w:val="left"/>
        <w:rPr>
          <w:rFonts w:hint="eastAsia" w:ascii="宋体" w:hAnsi="宋体"/>
          <w:sz w:val="24"/>
        </w:rPr>
      </w:pPr>
      <w:r>
        <w:rPr>
          <w:rFonts w:hint="eastAsia" w:ascii="宋体" w:hAnsi="宋体"/>
          <w:sz w:val="24"/>
        </w:rPr>
        <w:t>2.7“服务”系指投标人为满足招标文件要求而向招标方承担的运输、安装调试、人员培训、技术服务、售后服务、保险和其它类似的义务。</w:t>
      </w:r>
    </w:p>
    <w:p w14:paraId="36B10077">
      <w:pPr>
        <w:spacing w:line="360" w:lineRule="exact"/>
        <w:ind w:firstLine="480" w:firstLineChars="200"/>
        <w:jc w:val="left"/>
        <w:rPr>
          <w:rFonts w:hint="eastAsia" w:ascii="宋体" w:hAnsi="宋体"/>
          <w:sz w:val="24"/>
        </w:rPr>
      </w:pPr>
      <w:r>
        <w:rPr>
          <w:rFonts w:hint="eastAsia" w:ascii="宋体" w:hAnsi="宋体"/>
          <w:sz w:val="24"/>
        </w:rPr>
        <w:t>2.8“日期、时间”系指公历日、北京时间。</w:t>
      </w:r>
    </w:p>
    <w:p w14:paraId="2847C915">
      <w:pPr>
        <w:spacing w:line="360" w:lineRule="exact"/>
        <w:ind w:firstLine="480" w:firstLineChars="200"/>
        <w:jc w:val="left"/>
        <w:rPr>
          <w:rFonts w:hint="eastAsia" w:ascii="宋体" w:hAnsi="宋体"/>
          <w:sz w:val="24"/>
        </w:rPr>
      </w:pPr>
      <w:r>
        <w:rPr>
          <w:rFonts w:hint="eastAsia" w:ascii="宋体" w:hAnsi="宋体"/>
          <w:sz w:val="24"/>
        </w:rPr>
        <w:t>2.9招标文件中所规定的“书面形式”，是指任何手写、打印或印刷通讯，包括传真发送。</w:t>
      </w:r>
    </w:p>
    <w:p w14:paraId="5153D54B">
      <w:pPr>
        <w:spacing w:line="360" w:lineRule="exact"/>
        <w:ind w:firstLine="480" w:firstLineChars="200"/>
        <w:jc w:val="left"/>
        <w:rPr>
          <w:rFonts w:hint="eastAsia" w:ascii="宋体" w:hAnsi="宋体"/>
          <w:sz w:val="24"/>
        </w:rPr>
      </w:pPr>
      <w:r>
        <w:rPr>
          <w:rFonts w:hint="eastAsia" w:ascii="宋体" w:hAnsi="宋体"/>
          <w:sz w:val="24"/>
        </w:rPr>
        <w:t>2.10“合同”系指由本次招标所产生的合同或和约文件。</w:t>
      </w:r>
    </w:p>
    <w:p w14:paraId="1B3EEA94">
      <w:pPr>
        <w:spacing w:line="360" w:lineRule="exact"/>
        <w:ind w:firstLine="480" w:firstLineChars="200"/>
        <w:jc w:val="left"/>
        <w:rPr>
          <w:rFonts w:hint="eastAsia" w:ascii="宋体" w:hAnsi="宋体"/>
          <w:sz w:val="24"/>
        </w:rPr>
      </w:pPr>
      <w:r>
        <w:rPr>
          <w:rFonts w:hint="eastAsia" w:ascii="宋体" w:hAnsi="宋体"/>
          <w:sz w:val="24"/>
        </w:rPr>
        <w:t>2．11招标文件中的标题或题名仅起引导作用，而不应视为对招标文件内容的理解和解释。</w:t>
      </w:r>
    </w:p>
    <w:p w14:paraId="20BCF050">
      <w:pPr>
        <w:spacing w:line="360" w:lineRule="exact"/>
        <w:ind w:firstLine="480" w:firstLineChars="200"/>
        <w:rPr>
          <w:rFonts w:hint="eastAsia" w:ascii="宋体" w:hAnsi="宋体"/>
          <w:sz w:val="24"/>
        </w:rPr>
      </w:pPr>
      <w:r>
        <w:rPr>
          <w:rFonts w:ascii="宋体" w:hAnsi="宋体"/>
          <w:sz w:val="24"/>
        </w:rPr>
        <w:t>3</w:t>
      </w:r>
      <w:r>
        <w:rPr>
          <w:rFonts w:hint="eastAsia" w:ascii="宋体" w:hAnsi="宋体"/>
          <w:sz w:val="24"/>
        </w:rPr>
        <w:t>、合格的投标方</w:t>
      </w:r>
    </w:p>
    <w:p w14:paraId="38604A8B">
      <w:pPr>
        <w:spacing w:line="360" w:lineRule="exact"/>
        <w:ind w:firstLine="480" w:firstLineChars="200"/>
        <w:rPr>
          <w:rFonts w:hint="eastAsia" w:ascii="宋体" w:hAnsi="宋体"/>
          <w:sz w:val="24"/>
        </w:rPr>
      </w:pPr>
      <w:r>
        <w:rPr>
          <w:rFonts w:hint="eastAsia" w:ascii="宋体" w:hAnsi="宋体"/>
          <w:sz w:val="24"/>
        </w:rPr>
        <w:t>3.1是响应招标文件，参加投标竞争，符合《</w:t>
      </w:r>
      <w:r>
        <w:rPr>
          <w:rFonts w:ascii="宋体" w:hAnsi="宋体"/>
          <w:bCs/>
          <w:sz w:val="24"/>
        </w:rPr>
        <w:t>中华人民共和国政府采购法</w:t>
      </w:r>
      <w:r>
        <w:rPr>
          <w:rFonts w:hint="eastAsia" w:ascii="宋体" w:hAnsi="宋体"/>
          <w:bCs/>
          <w:sz w:val="24"/>
        </w:rPr>
        <w:t>》</w:t>
      </w:r>
      <w:r>
        <w:rPr>
          <w:rFonts w:ascii="宋体" w:hAnsi="宋体"/>
          <w:sz w:val="24"/>
        </w:rPr>
        <w:t>第二十二条规定</w:t>
      </w:r>
      <w:r>
        <w:rPr>
          <w:rFonts w:hint="eastAsia" w:ascii="宋体" w:hAnsi="宋体"/>
          <w:sz w:val="24"/>
        </w:rPr>
        <w:t>。且有能力提供招标货物及服务，并通过评标委员会审核的制造厂商、供货商或代理商，均为合格的投标方。</w:t>
      </w:r>
    </w:p>
    <w:p w14:paraId="0C9BA476">
      <w:pPr>
        <w:adjustRightInd w:val="0"/>
        <w:snapToGrid w:val="0"/>
        <w:spacing w:line="300" w:lineRule="auto"/>
        <w:ind w:firstLine="588" w:firstLineChars="245"/>
        <w:rPr>
          <w:rFonts w:ascii="宋体"/>
          <w:kern w:val="0"/>
          <w:sz w:val="24"/>
        </w:rPr>
      </w:pPr>
      <w:r>
        <w:rPr>
          <w:rFonts w:hint="eastAsia" w:ascii="宋体"/>
          <w:kern w:val="0"/>
          <w:sz w:val="24"/>
          <w:lang w:val="zh-TW"/>
        </w:rPr>
        <w:t>如企业为银行、保险、石油石化、电力、电信运营商等有行业特殊情况的，其分支机构可参与投标。</w:t>
      </w:r>
    </w:p>
    <w:p w14:paraId="271AF131">
      <w:pPr>
        <w:spacing w:line="360" w:lineRule="exact"/>
        <w:ind w:firstLine="480" w:firstLineChars="200"/>
        <w:rPr>
          <w:rFonts w:hint="eastAsia" w:ascii="宋体" w:hAnsi="宋体"/>
          <w:sz w:val="24"/>
        </w:rPr>
      </w:pPr>
      <w:r>
        <w:rPr>
          <w:rFonts w:hint="eastAsia" w:ascii="宋体" w:hAnsi="宋体"/>
          <w:sz w:val="24"/>
        </w:rPr>
        <w:t>3.2如项目允许，</w:t>
      </w:r>
      <w:r>
        <w:rPr>
          <w:rFonts w:ascii="宋体" w:hAnsi="宋体"/>
          <w:sz w:val="24"/>
        </w:rPr>
        <w:t>两个以上的自然人、法人或者其他组织可以组成一个联合体，以一个供应商的身份共同参加政府采购。以联合体形式进行政府采购的，参加联合体的供应商均应当具备</w:t>
      </w:r>
      <w:r>
        <w:rPr>
          <w:rFonts w:hint="eastAsia" w:ascii="宋体" w:hAnsi="宋体"/>
          <w:sz w:val="24"/>
        </w:rPr>
        <w:t>《</w:t>
      </w:r>
      <w:r>
        <w:rPr>
          <w:rFonts w:ascii="宋体" w:hAnsi="宋体"/>
          <w:bCs/>
          <w:sz w:val="24"/>
        </w:rPr>
        <w:t>中华人民共和国政府采购法</w:t>
      </w:r>
      <w:r>
        <w:rPr>
          <w:rFonts w:hint="eastAsia" w:ascii="宋体" w:hAnsi="宋体"/>
          <w:bCs/>
          <w:sz w:val="24"/>
        </w:rPr>
        <w:t>》</w:t>
      </w:r>
      <w:r>
        <w:rPr>
          <w:rFonts w:ascii="宋体" w:hAnsi="宋体"/>
          <w:sz w:val="24"/>
        </w:rPr>
        <w:t>第二十二条规定的条件，</w:t>
      </w:r>
      <w:r>
        <w:rPr>
          <w:rFonts w:hint="eastAsia" w:ascii="宋体" w:hAnsi="宋体"/>
          <w:sz w:val="24"/>
        </w:rPr>
        <w:t>联合体各方之间应当签订共同投标协议，明确约定联合体各方承担的工作和相应的责任，并将共同投标协议连同投标文件一并提交招标采购单位。联合体各方签订共同投标协议后，不得再以自己名义单独在同一合同项</w:t>
      </w:r>
      <w:r>
        <w:rPr>
          <w:rFonts w:ascii="宋体" w:hAnsi="宋体"/>
          <w:sz w:val="24"/>
        </w:rPr>
        <w:t>下</w:t>
      </w:r>
      <w:r>
        <w:rPr>
          <w:rFonts w:hint="eastAsia" w:ascii="宋体" w:hAnsi="宋体"/>
          <w:sz w:val="24"/>
        </w:rPr>
        <w:t>投标，也不得组成新的联合体参加同一合同项</w:t>
      </w:r>
      <w:r>
        <w:rPr>
          <w:rFonts w:ascii="宋体" w:hAnsi="宋体"/>
          <w:sz w:val="24"/>
        </w:rPr>
        <w:t>下</w:t>
      </w:r>
      <w:r>
        <w:rPr>
          <w:rFonts w:hint="eastAsia" w:ascii="宋体" w:hAnsi="宋体"/>
          <w:sz w:val="24"/>
        </w:rPr>
        <w:t>投标。</w:t>
      </w:r>
      <w:r>
        <w:rPr>
          <w:rFonts w:ascii="宋体" w:hAnsi="宋体"/>
          <w:sz w:val="24"/>
        </w:rPr>
        <w:t>联合体各方应当共同与采购人签订采购合同，就采购合同约定的事项对采购人承担连带责任。</w:t>
      </w:r>
    </w:p>
    <w:p w14:paraId="32DADEB2">
      <w:pPr>
        <w:spacing w:line="360" w:lineRule="exact"/>
        <w:ind w:firstLine="480" w:firstLineChars="200"/>
        <w:rPr>
          <w:rFonts w:hint="eastAsia" w:ascii="宋体" w:hAnsi="宋体"/>
          <w:sz w:val="24"/>
        </w:rPr>
      </w:pPr>
      <w:r>
        <w:rPr>
          <w:rFonts w:ascii="宋体" w:hAnsi="宋体"/>
          <w:sz w:val="24"/>
        </w:rPr>
        <w:t>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69BBFA1C">
      <w:pPr>
        <w:spacing w:line="360" w:lineRule="exact"/>
        <w:ind w:firstLine="480" w:firstLineChars="200"/>
        <w:rPr>
          <w:rFonts w:hint="eastAsia" w:ascii="宋体" w:hAnsi="宋体"/>
          <w:sz w:val="24"/>
        </w:rPr>
      </w:pPr>
      <w:r>
        <w:rPr>
          <w:rFonts w:hint="eastAsia" w:ascii="宋体" w:hAnsi="宋体"/>
          <w:sz w:val="24"/>
        </w:rPr>
        <w:t>3.3投标方应遵守《中华人民共和国政府采购法》和有关的法律和招标条例。</w:t>
      </w:r>
    </w:p>
    <w:p w14:paraId="06DA9360">
      <w:pPr>
        <w:spacing w:line="360" w:lineRule="exact"/>
        <w:ind w:firstLine="480" w:firstLineChars="200"/>
        <w:rPr>
          <w:rFonts w:hint="eastAsia" w:ascii="宋体" w:hAnsi="宋体"/>
          <w:sz w:val="24"/>
        </w:rPr>
      </w:pPr>
      <w:r>
        <w:rPr>
          <w:rFonts w:hint="eastAsia" w:ascii="宋体" w:hAnsi="宋体"/>
          <w:sz w:val="24"/>
        </w:rPr>
        <w:t>3.4合同中提供的所有货物及其辅助服务，其来源均应符合招标文件要求而提供的设备、仪表、工具、备件、图纸和其他材料，本合同的支付也仅限于这些货物和服务。</w:t>
      </w:r>
    </w:p>
    <w:p w14:paraId="2E0C175F">
      <w:pPr>
        <w:spacing w:line="360" w:lineRule="exact"/>
        <w:ind w:firstLine="480" w:firstLineChars="200"/>
        <w:rPr>
          <w:rFonts w:hint="eastAsia" w:ascii="宋体" w:hAnsi="宋体"/>
          <w:sz w:val="24"/>
        </w:rPr>
      </w:pPr>
      <w:r>
        <w:rPr>
          <w:rFonts w:hint="eastAsia" w:ascii="宋体" w:hAnsi="宋体"/>
          <w:sz w:val="24"/>
        </w:rPr>
        <w:t>3.5招标文件采购需求中列明标的物的技术要求是采购人基于实际工作需要而提出的基本需求，如果有专利、商标、品牌、型号等信息的，仅起技术说明、参考作用，不具有任何限制型，投标产品响应其指标性能要求即可。</w:t>
      </w:r>
    </w:p>
    <w:p w14:paraId="2C7045BE">
      <w:pPr>
        <w:spacing w:line="360" w:lineRule="exact"/>
        <w:ind w:firstLine="480" w:firstLineChars="200"/>
        <w:rPr>
          <w:rFonts w:hint="eastAsia" w:ascii="宋体" w:hAnsi="宋体"/>
          <w:sz w:val="24"/>
        </w:rPr>
      </w:pPr>
      <w:r>
        <w:rPr>
          <w:rFonts w:hint="eastAsia" w:ascii="宋体" w:hAnsi="宋体"/>
          <w:sz w:val="24"/>
        </w:rPr>
        <w:t>3.6如果没有特别声明或要求，投标人被视为充分熟悉本招标项目所在地与履行合同有关的各种情况，包括自然环境、气候条件、劳动力及公用设施等，本采购文件不再对上述情况进行描述。</w:t>
      </w:r>
    </w:p>
    <w:p w14:paraId="0EAAAFC5">
      <w:pPr>
        <w:pStyle w:val="223"/>
        <w:rPr>
          <w:color w:val="auto"/>
        </w:rPr>
      </w:pPr>
      <w:r>
        <w:rPr>
          <w:rFonts w:hint="eastAsia"/>
          <w:color w:val="auto"/>
        </w:rPr>
        <w:t>3.7关于小微企业、监狱企业、残疾人福利性单位、强制采购节能产品、信息安全产品和优先采购环境标志产品、绿色产品的要求参与政府采购项目的政策优惠条件及要求如下：</w:t>
      </w:r>
    </w:p>
    <w:p w14:paraId="166B310F">
      <w:pPr>
        <w:pStyle w:val="223"/>
        <w:rPr>
          <w:color w:val="auto"/>
        </w:rPr>
      </w:pPr>
      <w:r>
        <w:rPr>
          <w:rFonts w:hint="eastAsia"/>
          <w:color w:val="auto"/>
        </w:rPr>
        <w:t>3.7.1、政策优惠条件及要求:根据财政部、工业和信息化部关于《政府采购促进中小企业发展管理办法》（财库【2020】46号）和《进一步加大政府采购支持中小企业力度》财库〔2022〕19号的要求，政府采购项目的政策优惠条件及要求如下。</w:t>
      </w:r>
    </w:p>
    <w:p w14:paraId="2BD0F741">
      <w:pPr>
        <w:pStyle w:val="223"/>
        <w:rPr>
          <w:color w:val="auto"/>
        </w:rPr>
      </w:pPr>
      <w:r>
        <w:rPr>
          <w:rFonts w:hint="eastAsia"/>
          <w:color w:val="auto"/>
        </w:rPr>
        <w:t>3.7.1.1、该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B5F1CE9">
      <w:pPr>
        <w:pStyle w:val="223"/>
        <w:rPr>
          <w:color w:val="auto"/>
        </w:rPr>
      </w:pPr>
      <w:r>
        <w:rPr>
          <w:rFonts w:hint="eastAsia"/>
          <w:color w:val="auto"/>
        </w:rPr>
        <w:t>符合中小企业划分标准的个体工商户，在政府采购活动中视同中小企业。</w:t>
      </w:r>
    </w:p>
    <w:p w14:paraId="49C79ED1">
      <w:pPr>
        <w:pStyle w:val="223"/>
        <w:rPr>
          <w:color w:val="auto"/>
        </w:rPr>
      </w:pPr>
      <w:r>
        <w:rPr>
          <w:rFonts w:hint="eastAsia"/>
          <w:color w:val="auto"/>
        </w:rPr>
        <w:t>3.7.1.2、在政府采购活动中，供应商提供的货物、工程或者服务符合下列情形的，享受办法规定的中小企业扶持政策：</w:t>
      </w:r>
    </w:p>
    <w:p w14:paraId="665A4ED8">
      <w:pPr>
        <w:pStyle w:val="223"/>
        <w:rPr>
          <w:color w:val="auto"/>
        </w:rPr>
      </w:pPr>
      <w:r>
        <w:rPr>
          <w:rFonts w:hint="eastAsia"/>
          <w:color w:val="auto"/>
        </w:rPr>
        <w:t>3.7.1.2.1在货物采购项目中，货物由中小企业制造，即货物由中小企业生产且使用该中小企业商号或者注册商标；</w:t>
      </w:r>
    </w:p>
    <w:p w14:paraId="481CA331">
      <w:pPr>
        <w:pStyle w:val="223"/>
        <w:rPr>
          <w:color w:val="auto"/>
        </w:rPr>
      </w:pPr>
      <w:r>
        <w:rPr>
          <w:rFonts w:hint="eastAsia"/>
          <w:color w:val="auto"/>
        </w:rPr>
        <w:t>3.7.1.2.2在工程采购项目中，工程由中小企业承建，即工程施工单位为中小企业；</w:t>
      </w:r>
    </w:p>
    <w:p w14:paraId="4D500204">
      <w:pPr>
        <w:pStyle w:val="223"/>
        <w:rPr>
          <w:color w:val="auto"/>
        </w:rPr>
      </w:pPr>
      <w:r>
        <w:rPr>
          <w:rFonts w:hint="eastAsia"/>
          <w:color w:val="auto"/>
        </w:rPr>
        <w:t>3.7.1.2.3在服务采购项目中，服务由中小企业承接，即提供服务的人员为中小企业依照《中华人民共和国劳动合同法》订立劳动合同的从业人员。</w:t>
      </w:r>
    </w:p>
    <w:p w14:paraId="38ED22F0">
      <w:pPr>
        <w:pStyle w:val="223"/>
        <w:rPr>
          <w:color w:val="auto"/>
        </w:rPr>
      </w:pPr>
      <w:r>
        <w:rPr>
          <w:rFonts w:hint="eastAsia"/>
          <w:color w:val="auto"/>
        </w:rPr>
        <w:t>在货物采购项目中，供应商提供的货物既有中小企业制造货物，也有大型企业制造货物的，不享受本办法规定的中小企业扶持政策。</w:t>
      </w:r>
    </w:p>
    <w:p w14:paraId="493083BE">
      <w:pPr>
        <w:pStyle w:val="223"/>
        <w:rPr>
          <w:color w:val="auto"/>
        </w:rPr>
      </w:pPr>
      <w:r>
        <w:rPr>
          <w:rFonts w:hint="eastAsia"/>
          <w:color w:val="auto"/>
        </w:rPr>
        <w:t>以联合体形式参加政府采购活动，联合体各方均为中小企业的，联合体视同中小企业。其中，联合体各方均为小微企业的，联合体视同小微企业。</w:t>
      </w:r>
    </w:p>
    <w:p w14:paraId="148E7DC4">
      <w:pPr>
        <w:pStyle w:val="223"/>
        <w:rPr>
          <w:color w:val="auto"/>
        </w:rPr>
      </w:pPr>
      <w:r>
        <w:rPr>
          <w:rFonts w:hint="eastAsia"/>
          <w:color w:val="auto"/>
        </w:rPr>
        <w:t>3.7.1.3、对于经主管预算单位统筹后未预留份额专门面向中小企业采购的采购项目，以及预留份额项目中的非预留部分采购包，对符合本办法规定的小微企业报价给予</w:t>
      </w:r>
      <w:r>
        <w:rPr>
          <w:color w:val="auto"/>
        </w:rPr>
        <w:t>10%</w:t>
      </w:r>
      <w:r>
        <w:rPr>
          <w:rFonts w:hint="eastAsia"/>
          <w:color w:val="auto"/>
        </w:rPr>
        <w:t>的扣除，用扣除后的价格参加评审。</w:t>
      </w:r>
    </w:p>
    <w:p w14:paraId="418E336F">
      <w:pPr>
        <w:pStyle w:val="223"/>
        <w:rPr>
          <w:color w:val="auto"/>
        </w:rPr>
      </w:pPr>
      <w:r>
        <w:rPr>
          <w:rFonts w:hint="eastAsia"/>
          <w:color w:val="auto"/>
        </w:rPr>
        <w:t>接受大中型企业与小微企业组成联合体或者允许大中型企业向一家或者多家小微企业分包的采购项目，对于联合协议或者分包意向协议约定小微企业的合同份额占到合同总金额</w:t>
      </w:r>
      <w:r>
        <w:rPr>
          <w:color w:val="auto"/>
        </w:rPr>
        <w:t>30%</w:t>
      </w:r>
      <w:r>
        <w:rPr>
          <w:rFonts w:hint="eastAsia"/>
          <w:color w:val="auto"/>
        </w:rPr>
        <w:t>以上的，联合体或者大中型企业的报价给予4</w:t>
      </w:r>
      <w:r>
        <w:rPr>
          <w:color w:val="auto"/>
        </w:rPr>
        <w:t>%</w:t>
      </w:r>
      <w:r>
        <w:rPr>
          <w:rFonts w:hint="eastAsia"/>
          <w:color w:val="auto"/>
        </w:rPr>
        <w:t>的扣除，用扣除后的价格参加评审。</w:t>
      </w:r>
    </w:p>
    <w:p w14:paraId="574C400B">
      <w:pPr>
        <w:pStyle w:val="223"/>
        <w:rPr>
          <w:color w:val="auto"/>
        </w:rPr>
      </w:pPr>
      <w:r>
        <w:rPr>
          <w:rFonts w:hint="eastAsia"/>
          <w:color w:val="auto"/>
        </w:rPr>
        <w:t>组成联合体或者接受分包的小微企业与联合体内其他企业、分包企业之间存在直接控股、管理关系的，不享受价格扣除优惠政策。</w:t>
      </w:r>
    </w:p>
    <w:p w14:paraId="0F2D6628">
      <w:pPr>
        <w:pStyle w:val="223"/>
        <w:rPr>
          <w:color w:val="auto"/>
        </w:rPr>
      </w:pPr>
      <w:r>
        <w:rPr>
          <w:rFonts w:hint="eastAsia"/>
          <w:color w:val="auto"/>
        </w:rPr>
        <w:t>3.7.1.4、中小企业参加政府采购活动，应当出具《中小企业声明函》（附件），否则不得享受相关中小企业扶持政策。</w:t>
      </w:r>
      <w:r>
        <w:rPr>
          <w:rFonts w:hint="eastAsia" w:eastAsia="宋体"/>
          <w:color w:val="000000"/>
        </w:rPr>
        <w:t>供应商提供《中小企业声明函》内容不实的，属于“隐瞒真实情况，提供虚假资料的”情形，依照有关规定追究相应责任。</w:t>
      </w:r>
    </w:p>
    <w:p w14:paraId="254E7F70">
      <w:pPr>
        <w:pStyle w:val="223"/>
        <w:rPr>
          <w:color w:val="auto"/>
        </w:rPr>
      </w:pPr>
      <w:r>
        <w:rPr>
          <w:rFonts w:hint="eastAsia"/>
          <w:color w:val="auto"/>
        </w:rPr>
        <w:t>3.7.2、关于监狱企业参与政府采购优惠政策（对监狱企业</w:t>
      </w:r>
      <w:r>
        <w:rPr>
          <w:color w:val="auto"/>
        </w:rPr>
        <w:t>视同小型、微型企业</w:t>
      </w:r>
      <w:r>
        <w:rPr>
          <w:rFonts w:hint="eastAsia"/>
          <w:color w:val="auto"/>
        </w:rPr>
        <w:t>）</w:t>
      </w:r>
    </w:p>
    <w:p w14:paraId="6AB774CF">
      <w:pPr>
        <w:pStyle w:val="223"/>
        <w:rPr>
          <w:color w:val="auto"/>
        </w:rPr>
      </w:pPr>
      <w:r>
        <w:rPr>
          <w:rFonts w:hint="eastAsia"/>
          <w:color w:val="auto"/>
        </w:rPr>
        <w:t>对监狱企业产品的价格给予</w:t>
      </w:r>
      <w:r>
        <w:rPr>
          <w:color w:val="auto"/>
        </w:rPr>
        <w:t>10</w:t>
      </w:r>
      <w:r>
        <w:rPr>
          <w:rFonts w:hint="eastAsia"/>
          <w:color w:val="auto"/>
        </w:rPr>
        <w:t>%的扣除，用扣除后的价格参与评审。</w:t>
      </w:r>
    </w:p>
    <w:p w14:paraId="391FDA5F">
      <w:pPr>
        <w:pStyle w:val="223"/>
        <w:rPr>
          <w:color w:val="auto"/>
        </w:rPr>
      </w:pPr>
      <w:r>
        <w:rPr>
          <w:rFonts w:hint="eastAsia"/>
          <w:color w:val="auto"/>
        </w:rPr>
        <w:t>根据关于政府采购支持监狱企业发展有关问题的通知财库[2014]68号的要求：</w:t>
      </w:r>
    </w:p>
    <w:p w14:paraId="65F0F68B">
      <w:pPr>
        <w:pStyle w:val="223"/>
        <w:rPr>
          <w:color w:val="auto"/>
        </w:rPr>
      </w:pPr>
      <w:r>
        <w:rPr>
          <w:rFonts w:hint="eastAsia"/>
          <w:color w:val="auto"/>
        </w:rPr>
        <w:t>3.7.2.1、</w:t>
      </w:r>
      <w:r>
        <w:rPr>
          <w:color w:val="auto"/>
        </w:rPr>
        <w:t>监狱企业参加政府采购活动时，应当提供由省级以上监狱管理局、戒毒管理局（含新疆生产建设兵团）出具的属于监狱企业的证明文件。</w:t>
      </w:r>
    </w:p>
    <w:p w14:paraId="5EBF78A9">
      <w:pPr>
        <w:pStyle w:val="223"/>
        <w:rPr>
          <w:color w:val="auto"/>
        </w:rPr>
      </w:pPr>
      <w:r>
        <w:rPr>
          <w:rFonts w:hint="eastAsia"/>
          <w:color w:val="auto"/>
        </w:rPr>
        <w:t>（</w:t>
      </w:r>
      <w:r>
        <w:rPr>
          <w:color w:val="auto"/>
        </w:rPr>
        <w:t>监狱企业的证明文件</w:t>
      </w:r>
      <w:r>
        <w:rPr>
          <w:rFonts w:hint="eastAsia"/>
          <w:color w:val="auto"/>
        </w:rPr>
        <w:t>格式自行拟定、投标时装订在投标文件中）</w:t>
      </w:r>
    </w:p>
    <w:p w14:paraId="3C06F4CD">
      <w:pPr>
        <w:pStyle w:val="223"/>
        <w:rPr>
          <w:color w:val="auto"/>
        </w:rPr>
      </w:pPr>
      <w:r>
        <w:rPr>
          <w:rFonts w:hint="eastAsia"/>
          <w:color w:val="auto"/>
        </w:rPr>
        <w:t>3.7.2.2、</w:t>
      </w:r>
      <w:r>
        <w:rPr>
          <w:color w:val="auto"/>
        </w:rPr>
        <w:t>在政府采购活动中，监狱企业视同小型、微型企业，享受预留份额、评审中价格扣除等政府采购促进中小企业发展的政府采购政策。</w:t>
      </w:r>
    </w:p>
    <w:p w14:paraId="43783839">
      <w:pPr>
        <w:pStyle w:val="223"/>
        <w:rPr>
          <w:color w:val="auto"/>
        </w:rPr>
      </w:pPr>
      <w:r>
        <w:rPr>
          <w:rFonts w:hint="eastAsia"/>
          <w:color w:val="auto"/>
        </w:rPr>
        <w:t>3.7.3、残疾人就业政府采购优惠政策（残疾人福利性单位视同小型、微型企业）</w:t>
      </w:r>
    </w:p>
    <w:p w14:paraId="0C4A2542">
      <w:pPr>
        <w:pStyle w:val="223"/>
        <w:rPr>
          <w:color w:val="auto"/>
        </w:rPr>
      </w:pPr>
      <w:r>
        <w:rPr>
          <w:rFonts w:hint="eastAsia"/>
          <w:color w:val="auto"/>
        </w:rPr>
        <w:t>对残疾人福利性单位产品的价格给予</w:t>
      </w:r>
      <w:r>
        <w:rPr>
          <w:color w:val="auto"/>
        </w:rPr>
        <w:t>10</w:t>
      </w:r>
      <w:r>
        <w:rPr>
          <w:rFonts w:hint="eastAsia"/>
          <w:color w:val="auto"/>
        </w:rPr>
        <w:t>%的扣除，用扣除后的价格参与评审。</w:t>
      </w:r>
    </w:p>
    <w:p w14:paraId="5A9E6CA0">
      <w:pPr>
        <w:pStyle w:val="223"/>
        <w:rPr>
          <w:color w:val="auto"/>
        </w:rPr>
      </w:pPr>
      <w:r>
        <w:rPr>
          <w:rFonts w:hint="eastAsia"/>
          <w:color w:val="auto"/>
        </w:rPr>
        <w:t>根据财政部民政部中国残疾人联合会关于促进残疾人就业政府采购政策的通知财库[2017]141号要求：</w:t>
      </w:r>
    </w:p>
    <w:p w14:paraId="20B25926">
      <w:pPr>
        <w:pStyle w:val="223"/>
        <w:rPr>
          <w:color w:val="auto"/>
        </w:rPr>
      </w:pPr>
      <w:r>
        <w:rPr>
          <w:rFonts w:hint="eastAsia"/>
          <w:color w:val="auto"/>
        </w:rPr>
        <w:t>3.7.3.1、符合条件的残疾人福利性单位在参加政府采购活动时，应当提供本通知规定的《残疾人福利性单位声明函》（见附件），并对声明的真实性负责。</w:t>
      </w:r>
    </w:p>
    <w:p w14:paraId="3300E429">
      <w:pPr>
        <w:pStyle w:val="223"/>
        <w:rPr>
          <w:color w:val="auto"/>
        </w:rPr>
      </w:pPr>
      <w:r>
        <w:rPr>
          <w:rFonts w:hint="eastAsia"/>
          <w:color w:val="auto"/>
        </w:rPr>
        <w:t>3.7.3.2、中标、中标供应商为残疾人福利性单位的，采购人或者其委托的采购代理机构应当随中标、中标结果同时公告其《残疾人福利性单位声明函》，接受社会监督。</w:t>
      </w:r>
    </w:p>
    <w:p w14:paraId="21F0F411">
      <w:pPr>
        <w:pStyle w:val="223"/>
        <w:rPr>
          <w:color w:val="auto"/>
        </w:rPr>
      </w:pPr>
      <w:r>
        <w:rPr>
          <w:rFonts w:hint="eastAsia"/>
          <w:color w:val="auto"/>
        </w:rPr>
        <w:t>3.7.3.3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2AF76C4">
      <w:pPr>
        <w:pStyle w:val="223"/>
        <w:rPr>
          <w:color w:val="auto"/>
        </w:rPr>
      </w:pPr>
      <w:r>
        <w:rPr>
          <w:rFonts w:hint="eastAsia"/>
          <w:color w:val="auto"/>
        </w:rPr>
        <w:t>3.7.4、关于强制采购节能产品、信息安全产品和优先采购环境标志产品、绿色产品优惠政策：</w:t>
      </w:r>
    </w:p>
    <w:p w14:paraId="5038174E">
      <w:pPr>
        <w:pStyle w:val="223"/>
        <w:rPr>
          <w:color w:val="auto"/>
        </w:rPr>
      </w:pPr>
      <w:r>
        <w:rPr>
          <w:rFonts w:hint="eastAsia"/>
          <w:color w:val="auto"/>
        </w:rPr>
        <w:t>供应商所投产品属于节能产品、信息安全产品、环境标志产品、绿色产品对提供产品的价格给予2%的扣除，用扣除后的价格参与评审。</w:t>
      </w:r>
    </w:p>
    <w:p w14:paraId="3D0923E6">
      <w:pPr>
        <w:pStyle w:val="223"/>
        <w:rPr>
          <w:color w:val="auto"/>
        </w:rPr>
      </w:pPr>
      <w:r>
        <w:rPr>
          <w:rFonts w:hint="eastAsia"/>
          <w:color w:val="auto"/>
        </w:rPr>
        <w:t>根据</w:t>
      </w:r>
      <w:r>
        <w:rPr>
          <w:color w:val="auto"/>
        </w:rPr>
        <w:t>财政部国家发展改革委关于印发《节能产品政府采购实施意见》的通知财库【2004】185号</w:t>
      </w:r>
      <w:r>
        <w:rPr>
          <w:rFonts w:hint="eastAsia"/>
          <w:color w:val="auto"/>
        </w:rPr>
        <w:t>的要求：</w:t>
      </w:r>
    </w:p>
    <w:p w14:paraId="47B94F3E">
      <w:pPr>
        <w:pStyle w:val="223"/>
        <w:rPr>
          <w:color w:val="auto"/>
        </w:rPr>
      </w:pPr>
      <w:r>
        <w:rPr>
          <w:rFonts w:hint="eastAsia"/>
          <w:color w:val="auto"/>
        </w:rPr>
        <w:t>3.7.4.1、节能产品是指列入财政部、国家发展和改革委员会制定的《节能产品政府采购清单》(</w:t>
      </w:r>
      <w:r>
        <w:rPr>
          <w:color w:val="auto"/>
        </w:rPr>
        <w:t>中国政府采购网（</w:t>
      </w:r>
      <w:r>
        <w:rPr>
          <w:rFonts w:hint="eastAsia"/>
          <w:color w:val="auto"/>
        </w:rPr>
        <w:t>http://www.ccgp.gov.cn</w:t>
      </w:r>
      <w:r>
        <w:rPr>
          <w:color w:val="auto"/>
        </w:rPr>
        <w:t>）</w:t>
      </w:r>
      <w:r>
        <w:rPr>
          <w:rFonts w:hint="eastAsia"/>
          <w:color w:val="auto"/>
        </w:rPr>
        <w:t>等网站发布)，且经过认定的节能产品；信息安全产品是指列入</w:t>
      </w:r>
      <w:r>
        <w:rPr>
          <w:color w:val="auto"/>
        </w:rPr>
        <w:t>国家质检总局、财政部、认监委</w:t>
      </w:r>
      <w:r>
        <w:rPr>
          <w:rFonts w:hint="eastAsia"/>
          <w:color w:val="auto"/>
        </w:rPr>
        <w:t>《信息安全产品强制性认证目录》，并获得</w:t>
      </w:r>
      <w:r>
        <w:rPr>
          <w:color w:val="auto"/>
        </w:rPr>
        <w:t>中国国家信息安全产品认证证书</w:t>
      </w:r>
      <w:r>
        <w:rPr>
          <w:rFonts w:hint="eastAsia"/>
          <w:color w:val="auto"/>
        </w:rPr>
        <w:t>的产品；环境标志产品是指列入财政部、国家环保总局制定的《环境标志产品政府采购清单》(</w:t>
      </w:r>
      <w:r>
        <w:rPr>
          <w:color w:val="auto"/>
        </w:rPr>
        <w:t>中国政府采购网（</w:t>
      </w:r>
      <w:r>
        <w:rPr>
          <w:rFonts w:hint="eastAsia"/>
          <w:color w:val="auto"/>
        </w:rPr>
        <w:t>http://www.ccgp.gov.cn</w:t>
      </w:r>
      <w:r>
        <w:rPr>
          <w:color w:val="auto"/>
        </w:rPr>
        <w:t>）</w:t>
      </w:r>
      <w:r>
        <w:rPr>
          <w:rFonts w:hint="eastAsia"/>
          <w:color w:val="auto"/>
        </w:rPr>
        <w:t>等网站发布)，且经过认证的环境标志产品。</w:t>
      </w:r>
    </w:p>
    <w:p w14:paraId="03F0A88E">
      <w:pPr>
        <w:pStyle w:val="223"/>
        <w:rPr>
          <w:color w:val="auto"/>
        </w:rPr>
      </w:pPr>
      <w:r>
        <w:rPr>
          <w:rFonts w:hint="eastAsia"/>
          <w:color w:val="auto"/>
        </w:rPr>
        <w:t>3.7.4.2、提供的产品属于信息安全产品的，供应商应当选择经国家认证的信息安全产品投标，并提供有效的</w:t>
      </w:r>
      <w:r>
        <w:rPr>
          <w:color w:val="auto"/>
        </w:rPr>
        <w:t>中国国家信息安全产品认证证书</w:t>
      </w:r>
      <w:r>
        <w:rPr>
          <w:rFonts w:hint="eastAsia"/>
          <w:color w:val="auto"/>
        </w:rPr>
        <w:t>复印件。</w:t>
      </w:r>
    </w:p>
    <w:p w14:paraId="12875A21">
      <w:pPr>
        <w:pStyle w:val="223"/>
        <w:rPr>
          <w:color w:val="auto"/>
        </w:rPr>
      </w:pPr>
      <w:r>
        <w:rPr>
          <w:rFonts w:hint="eastAsia"/>
          <w:color w:val="auto"/>
        </w:rPr>
        <w:t>3.7.4.3、提供的产品属于政府强制采购节能产品的，供应商应当选择《节能产品政府采购清单》中的产品投标，并提供有效的节能产品认证证书复印件。</w:t>
      </w:r>
    </w:p>
    <w:p w14:paraId="214A32EC">
      <w:pPr>
        <w:pStyle w:val="223"/>
        <w:rPr>
          <w:color w:val="auto"/>
        </w:rPr>
      </w:pPr>
      <w:r>
        <w:rPr>
          <w:rFonts w:hint="eastAsia"/>
          <w:color w:val="auto"/>
        </w:rPr>
        <w:t>3.7.4.4、提供的产品属于优先采购环境标志产品的，供应商应当选择《环境标志产品政府采购清单》中的产品投标，并提供有效的环境标志产品认证证书复印件。</w:t>
      </w:r>
    </w:p>
    <w:p w14:paraId="786B9451">
      <w:pPr>
        <w:pStyle w:val="223"/>
        <w:rPr>
          <w:color w:val="auto"/>
        </w:rPr>
      </w:pPr>
      <w:r>
        <w:rPr>
          <w:rFonts w:hint="eastAsia"/>
          <w:color w:val="auto"/>
        </w:rPr>
        <w:t>3.7.4.5、提供的产品属于绿色产品的，供应商应当选择海南省政府采购网上商城建立绿色产品库中的产品投标，并提供证明文件复印件。</w:t>
      </w:r>
    </w:p>
    <w:p w14:paraId="01FA256D">
      <w:pPr>
        <w:pStyle w:val="223"/>
        <w:rPr>
          <w:color w:val="auto"/>
        </w:rPr>
      </w:pPr>
      <w:r>
        <w:rPr>
          <w:rFonts w:hint="eastAsia"/>
          <w:color w:val="auto"/>
        </w:rPr>
        <w:t>供应商所投产品属于节能产品、信息安全产品、环境标志产品、绿色产品按照格式填写并提供目录截图及货物产品相关的认证证书复印件。</w:t>
      </w:r>
    </w:p>
    <w:p w14:paraId="4681B5DB">
      <w:pPr>
        <w:pStyle w:val="223"/>
        <w:rPr>
          <w:color w:val="auto"/>
        </w:rPr>
      </w:pPr>
      <w:r>
        <w:rPr>
          <w:rFonts w:hint="eastAsia"/>
          <w:color w:val="auto"/>
        </w:rPr>
        <w:t>特别声明:对于未能按照要求填写及未能提供证明资料或提供资料不完整的视同未提供）</w:t>
      </w:r>
    </w:p>
    <w:p w14:paraId="2A53EAC0">
      <w:pPr>
        <w:spacing w:line="360" w:lineRule="exact"/>
        <w:ind w:firstLine="480" w:firstLineChars="200"/>
        <w:rPr>
          <w:rFonts w:hint="eastAsia" w:ascii="宋体" w:hAnsi="宋体"/>
          <w:sz w:val="24"/>
        </w:rPr>
      </w:pPr>
      <w:r>
        <w:rPr>
          <w:rFonts w:hint="eastAsia" w:ascii="宋体" w:hAnsi="宋体"/>
          <w:sz w:val="24"/>
        </w:rPr>
        <w:t>4、纪律</w:t>
      </w:r>
    </w:p>
    <w:p w14:paraId="4B22AECA">
      <w:pPr>
        <w:spacing w:line="360" w:lineRule="exact"/>
        <w:ind w:firstLine="480"/>
        <w:rPr>
          <w:rFonts w:hint="eastAsia" w:ascii="宋体" w:hAnsi="宋体"/>
          <w:sz w:val="24"/>
        </w:rPr>
      </w:pPr>
      <w:r>
        <w:rPr>
          <w:rFonts w:hint="eastAsia" w:ascii="宋体" w:hAnsi="宋体"/>
          <w:sz w:val="24"/>
        </w:rPr>
        <w:t>4．1投标人不得串通作弊，以不正当的手段妨碍、排挤其他投标人，扰乱招标市场，破坏公平竞争原则。</w:t>
      </w:r>
    </w:p>
    <w:p w14:paraId="7492CC5E">
      <w:pPr>
        <w:spacing w:line="360" w:lineRule="exact"/>
        <w:ind w:firstLine="480"/>
        <w:rPr>
          <w:rFonts w:hint="eastAsia" w:ascii="宋体" w:hAnsi="宋体"/>
          <w:sz w:val="24"/>
        </w:rPr>
      </w:pPr>
      <w:r>
        <w:rPr>
          <w:rFonts w:hint="eastAsia" w:ascii="宋体" w:hAnsi="宋体"/>
          <w:sz w:val="24"/>
        </w:rPr>
        <w:t>4．2获得本招标文件的投标人，应对招标文件进行保密，不得用作本次投标以外的其他任何用途。若有要求，开标后，投标人应归还招标文件中的保密资料。</w:t>
      </w:r>
    </w:p>
    <w:p w14:paraId="64265982">
      <w:pPr>
        <w:spacing w:line="360" w:lineRule="exact"/>
        <w:ind w:firstLine="480" w:firstLineChars="200"/>
        <w:rPr>
          <w:rFonts w:hint="eastAsia" w:ascii="宋体" w:hAnsi="宋体"/>
          <w:sz w:val="24"/>
        </w:rPr>
      </w:pPr>
      <w:r>
        <w:rPr>
          <w:rFonts w:hint="eastAsia" w:ascii="宋体" w:hAnsi="宋体"/>
          <w:sz w:val="24"/>
        </w:rPr>
        <w:t>5、投标费用的承担</w:t>
      </w:r>
    </w:p>
    <w:p w14:paraId="60210492">
      <w:pPr>
        <w:spacing w:line="360" w:lineRule="exact"/>
        <w:rPr>
          <w:rFonts w:hint="eastAsia" w:ascii="宋体" w:hAnsi="宋体"/>
          <w:sz w:val="24"/>
        </w:rPr>
      </w:pPr>
      <w:r>
        <w:rPr>
          <w:rFonts w:hint="eastAsia" w:ascii="宋体" w:hAnsi="宋体"/>
          <w:sz w:val="24"/>
        </w:rPr>
        <w:t xml:space="preserve">    5.1投标人应自行承担所有与参加投标有关的全部费用，无论投标过程中的结果如何，采购代理机构和采购人在任何情况下均无义务和责任承担这些费用。</w:t>
      </w:r>
    </w:p>
    <w:p w14:paraId="366933A2">
      <w:pPr>
        <w:spacing w:line="360" w:lineRule="exact"/>
        <w:rPr>
          <w:rFonts w:hint="eastAsia" w:ascii="宋体" w:hAnsi="宋体"/>
          <w:sz w:val="24"/>
        </w:rPr>
      </w:pPr>
    </w:p>
    <w:p w14:paraId="6377E707">
      <w:pPr>
        <w:spacing w:line="360" w:lineRule="exact"/>
        <w:jc w:val="center"/>
        <w:outlineLvl w:val="0"/>
        <w:rPr>
          <w:rFonts w:hint="eastAsia" w:ascii="宋体" w:hAnsi="宋体"/>
          <w:b/>
          <w:sz w:val="24"/>
        </w:rPr>
      </w:pPr>
      <w:r>
        <w:rPr>
          <w:rFonts w:hint="eastAsia" w:ascii="宋体" w:hAnsi="宋体"/>
          <w:b/>
          <w:sz w:val="24"/>
        </w:rPr>
        <w:t>Ｂ招标文件说明</w:t>
      </w:r>
    </w:p>
    <w:p w14:paraId="26FAC208">
      <w:pPr>
        <w:spacing w:line="360" w:lineRule="exact"/>
        <w:ind w:firstLine="480" w:firstLineChars="200"/>
        <w:rPr>
          <w:rFonts w:hint="eastAsia" w:ascii="宋体" w:hAnsi="宋体"/>
          <w:sz w:val="24"/>
        </w:rPr>
      </w:pPr>
      <w:r>
        <w:rPr>
          <w:rFonts w:hint="eastAsia" w:ascii="宋体" w:hAnsi="宋体"/>
          <w:sz w:val="24"/>
        </w:rPr>
        <w:t>6、“招标文件”的构成</w:t>
      </w:r>
    </w:p>
    <w:p w14:paraId="4BD2826D">
      <w:pPr>
        <w:spacing w:line="360" w:lineRule="exact"/>
        <w:ind w:firstLine="480" w:firstLineChars="200"/>
        <w:rPr>
          <w:rFonts w:hint="eastAsia" w:ascii="宋体" w:hAnsi="宋体"/>
          <w:sz w:val="24"/>
        </w:rPr>
      </w:pPr>
      <w:r>
        <w:rPr>
          <w:rFonts w:hint="eastAsia" w:ascii="宋体" w:hAnsi="宋体"/>
          <w:sz w:val="24"/>
        </w:rPr>
        <w:t>6.1“招标文件”是用以阐明所需仪器设备及服务的情况，以及招标、投标程序和相应的合同条款。“招标文件”由下述部份组成：</w:t>
      </w:r>
    </w:p>
    <w:p w14:paraId="5B170AC4">
      <w:pPr>
        <w:spacing w:line="360" w:lineRule="exact"/>
        <w:ind w:firstLine="720" w:firstLineChars="300"/>
        <w:jc w:val="left"/>
        <w:rPr>
          <w:rFonts w:hint="eastAsia" w:ascii="宋体" w:hAnsi="宋体"/>
          <w:sz w:val="24"/>
        </w:rPr>
      </w:pPr>
      <w:r>
        <w:rPr>
          <w:rFonts w:ascii="宋体" w:hAnsi="宋体"/>
          <w:sz w:val="24"/>
        </w:rPr>
        <w:t>(1)</w:t>
      </w:r>
      <w:r>
        <w:rPr>
          <w:rFonts w:hint="eastAsia" w:ascii="宋体" w:hAnsi="宋体"/>
          <w:sz w:val="24"/>
        </w:rPr>
        <w:t>投标邀请函；</w:t>
      </w:r>
    </w:p>
    <w:p w14:paraId="19F3C981">
      <w:pPr>
        <w:spacing w:line="360" w:lineRule="exact"/>
        <w:ind w:firstLine="720" w:firstLineChars="300"/>
        <w:rPr>
          <w:rFonts w:hint="eastAsia" w:ascii="宋体" w:hAnsi="宋体"/>
          <w:sz w:val="24"/>
        </w:rPr>
      </w:pPr>
      <w:r>
        <w:rPr>
          <w:rFonts w:ascii="宋体" w:hAnsi="宋体"/>
          <w:sz w:val="24"/>
        </w:rPr>
        <w:t xml:space="preserve">(2) </w:t>
      </w:r>
      <w:r>
        <w:rPr>
          <w:rFonts w:hint="eastAsia" w:ascii="宋体" w:hAnsi="宋体"/>
          <w:sz w:val="24"/>
        </w:rPr>
        <w:t>投标项目要求；</w:t>
      </w:r>
    </w:p>
    <w:p w14:paraId="416F464D">
      <w:pPr>
        <w:spacing w:line="360" w:lineRule="exact"/>
        <w:ind w:firstLine="720" w:firstLineChars="300"/>
        <w:rPr>
          <w:rFonts w:hint="eastAsia" w:ascii="宋体" w:hAnsi="宋体"/>
          <w:sz w:val="24"/>
        </w:rPr>
      </w:pPr>
      <w:r>
        <w:rPr>
          <w:rFonts w:ascii="宋体" w:hAnsi="宋体"/>
          <w:sz w:val="24"/>
        </w:rPr>
        <w:t xml:space="preserve">(3) </w:t>
      </w:r>
      <w:r>
        <w:rPr>
          <w:rFonts w:hint="eastAsia" w:ascii="宋体" w:hAnsi="宋体"/>
          <w:sz w:val="24"/>
        </w:rPr>
        <w:t>投标人须知；</w:t>
      </w:r>
    </w:p>
    <w:p w14:paraId="0D3A4EF8">
      <w:pPr>
        <w:spacing w:line="360" w:lineRule="exact"/>
        <w:ind w:firstLine="720" w:firstLineChars="300"/>
        <w:rPr>
          <w:rFonts w:hint="eastAsia" w:ascii="宋体" w:hAnsi="宋体"/>
          <w:sz w:val="24"/>
        </w:rPr>
      </w:pPr>
      <w:r>
        <w:rPr>
          <w:rFonts w:ascii="宋体" w:hAnsi="宋体"/>
          <w:sz w:val="24"/>
        </w:rPr>
        <w:t>(4)</w:t>
      </w:r>
      <w:r>
        <w:rPr>
          <w:rFonts w:hint="eastAsia" w:ascii="宋体" w:hAnsi="宋体"/>
          <w:sz w:val="24"/>
        </w:rPr>
        <w:t>招标采购合同格式；</w:t>
      </w:r>
    </w:p>
    <w:p w14:paraId="710F488C">
      <w:pPr>
        <w:spacing w:line="360" w:lineRule="exact"/>
        <w:ind w:firstLine="720" w:firstLineChars="300"/>
        <w:rPr>
          <w:rFonts w:hint="eastAsia" w:ascii="宋体" w:hAnsi="宋体"/>
          <w:sz w:val="24"/>
        </w:rPr>
      </w:pPr>
      <w:r>
        <w:rPr>
          <w:rFonts w:ascii="宋体" w:hAnsi="宋体"/>
          <w:sz w:val="24"/>
        </w:rPr>
        <w:t xml:space="preserve">(5) </w:t>
      </w:r>
      <w:r>
        <w:rPr>
          <w:rFonts w:hint="eastAsia" w:ascii="宋体" w:hAnsi="宋体"/>
          <w:sz w:val="24"/>
        </w:rPr>
        <w:t>附件（投标文件格式、</w:t>
      </w:r>
      <w:r>
        <w:rPr>
          <w:rFonts w:hint="eastAsia" w:ascii="宋体" w:hAnsi="宋体"/>
          <w:kern w:val="0"/>
          <w:sz w:val="24"/>
        </w:rPr>
        <w:t>设备采购清单</w:t>
      </w:r>
      <w:r>
        <w:rPr>
          <w:rFonts w:hint="eastAsia" w:ascii="宋体" w:hAnsi="宋体"/>
          <w:sz w:val="24"/>
        </w:rPr>
        <w:t>）</w:t>
      </w:r>
    </w:p>
    <w:p w14:paraId="02EAD540">
      <w:pPr>
        <w:spacing w:line="360" w:lineRule="exact"/>
        <w:ind w:firstLine="480" w:firstLineChars="200"/>
        <w:rPr>
          <w:rFonts w:hint="eastAsia" w:ascii="宋体" w:hAnsi="宋体"/>
          <w:sz w:val="24"/>
        </w:rPr>
      </w:pPr>
      <w:r>
        <w:rPr>
          <w:rFonts w:hint="eastAsia" w:ascii="宋体" w:hAnsi="宋体"/>
          <w:sz w:val="24"/>
        </w:rPr>
        <w:t>7、招标文件的澄清及质疑</w:t>
      </w:r>
    </w:p>
    <w:p w14:paraId="088BFB30">
      <w:pPr>
        <w:tabs>
          <w:tab w:val="left" w:pos="540"/>
        </w:tabs>
        <w:spacing w:line="360" w:lineRule="exact"/>
        <w:ind w:firstLine="480" w:firstLineChars="200"/>
        <w:rPr>
          <w:rFonts w:hint="eastAsia" w:ascii="宋体" w:hAnsi="宋体"/>
          <w:sz w:val="24"/>
        </w:rPr>
      </w:pPr>
      <w:r>
        <w:rPr>
          <w:rFonts w:hint="eastAsia" w:ascii="宋体" w:hAnsi="宋体"/>
          <w:sz w:val="24"/>
        </w:rPr>
        <w:t>7</w:t>
      </w:r>
      <w:r>
        <w:rPr>
          <w:rFonts w:ascii="宋体" w:hAnsi="宋体"/>
          <w:sz w:val="24"/>
        </w:rPr>
        <w:t>.1</w:t>
      </w:r>
      <w:r>
        <w:rPr>
          <w:rFonts w:hint="eastAsia" w:ascii="宋体" w:hAnsi="宋体"/>
          <w:sz w:val="24"/>
        </w:rPr>
        <w:t>凡参加本次招标的投标人被视为已充分认识和理解了任何与本项目有关的影响事项和困难、风险等情况。在规定的期间内未提出疑问的，视为完全接受招标文件规定的所有条款，并放弃对招标文件（含澄清、修改文件）不明或误解的权利。</w:t>
      </w:r>
    </w:p>
    <w:p w14:paraId="131E6836">
      <w:pPr>
        <w:spacing w:line="360" w:lineRule="exact"/>
        <w:ind w:firstLine="480" w:firstLineChars="200"/>
        <w:rPr>
          <w:rFonts w:hint="eastAsia" w:ascii="宋体" w:hAnsi="宋体"/>
          <w:sz w:val="24"/>
        </w:rPr>
      </w:pPr>
      <w:r>
        <w:rPr>
          <w:rFonts w:hint="eastAsia" w:ascii="宋体" w:hAnsi="宋体"/>
          <w:sz w:val="24"/>
        </w:rPr>
        <w:t>7.2 投标人对招标采购文件如有疑点，应按投标邀请中载明的地址，以书面形式（包括信函或传真，下同）通知到采购代理机构。采购代理机构将按照94号令有关要求予以答复，将不标明查询来源的答复告知已购买招标文件的每一投标人。</w:t>
      </w:r>
    </w:p>
    <w:p w14:paraId="757E039D">
      <w:pPr>
        <w:spacing w:line="360" w:lineRule="exact"/>
        <w:ind w:firstLine="480" w:firstLineChars="200"/>
        <w:rPr>
          <w:rFonts w:hint="eastAsia" w:ascii="宋体" w:hAnsi="宋体"/>
          <w:sz w:val="24"/>
        </w:rPr>
      </w:pPr>
      <w:r>
        <w:rPr>
          <w:rFonts w:hint="eastAsia" w:ascii="宋体" w:hAnsi="宋体"/>
          <w:sz w:val="24"/>
        </w:rPr>
        <w:t>7.3</w:t>
      </w:r>
      <w:r>
        <w:rPr>
          <w:rFonts w:ascii="宋体" w:hAnsi="宋体"/>
          <w:sz w:val="24"/>
        </w:rPr>
        <w:t>对采购过程提出质疑的，为各采购程序环节结束之日</w:t>
      </w:r>
      <w:r>
        <w:rPr>
          <w:rFonts w:hint="eastAsia" w:ascii="宋体" w:hAnsi="宋体"/>
          <w:sz w:val="24"/>
        </w:rPr>
        <w:t>。</w:t>
      </w:r>
      <w:r>
        <w:rPr>
          <w:rFonts w:ascii="宋体" w:hAnsi="宋体"/>
          <w:sz w:val="24"/>
        </w:rPr>
        <w:t>超过七个工作日、非书面形式以及匿名的质疑将不予受理。</w:t>
      </w:r>
    </w:p>
    <w:p w14:paraId="15214638">
      <w:pPr>
        <w:spacing w:line="360" w:lineRule="exact"/>
        <w:ind w:firstLine="480" w:firstLineChars="200"/>
        <w:rPr>
          <w:rFonts w:hint="eastAsia" w:ascii="宋体" w:hAnsi="宋体"/>
          <w:sz w:val="24"/>
        </w:rPr>
      </w:pPr>
      <w:r>
        <w:rPr>
          <w:rFonts w:hint="eastAsia" w:ascii="宋体" w:hAnsi="宋体"/>
          <w:sz w:val="24"/>
        </w:rPr>
        <w:t>7.4</w:t>
      </w:r>
      <w:r>
        <w:rPr>
          <w:rFonts w:ascii="宋体" w:hAnsi="宋体"/>
          <w:sz w:val="24"/>
        </w:rPr>
        <w:t>供应商</w:t>
      </w:r>
      <w:r>
        <w:rPr>
          <w:rFonts w:hint="eastAsia" w:ascii="宋体" w:hAnsi="宋体"/>
          <w:sz w:val="24"/>
        </w:rPr>
        <w:t>应</w:t>
      </w:r>
      <w:r>
        <w:rPr>
          <w:rFonts w:ascii="宋体" w:hAnsi="宋体"/>
          <w:sz w:val="24"/>
        </w:rPr>
        <w:t>在法定质疑期内一次性提出针对同一采购程序环节的质疑。</w:t>
      </w:r>
    </w:p>
    <w:p w14:paraId="3706E72A">
      <w:pPr>
        <w:spacing w:line="360" w:lineRule="exact"/>
        <w:ind w:firstLine="480" w:firstLineChars="200"/>
        <w:rPr>
          <w:rFonts w:hint="eastAsia" w:ascii="宋体" w:hAnsi="宋体"/>
          <w:sz w:val="24"/>
        </w:rPr>
      </w:pPr>
      <w:r>
        <w:rPr>
          <w:rFonts w:hint="eastAsia" w:ascii="宋体" w:hAnsi="宋体"/>
          <w:sz w:val="24"/>
        </w:rPr>
        <w:t>7.5供应商提出质疑应当提交质疑函和必要的证明材料。质疑函应当包括下列内容：</w:t>
      </w:r>
    </w:p>
    <w:p w14:paraId="3906A7CE">
      <w:pPr>
        <w:spacing w:line="360" w:lineRule="exact"/>
        <w:ind w:firstLine="480" w:firstLineChars="200"/>
        <w:rPr>
          <w:rFonts w:hint="eastAsia" w:ascii="宋体" w:hAnsi="宋体"/>
          <w:sz w:val="24"/>
        </w:rPr>
      </w:pPr>
      <w:r>
        <w:rPr>
          <w:rFonts w:hint="eastAsia" w:ascii="宋体" w:hAnsi="宋体"/>
          <w:sz w:val="24"/>
        </w:rPr>
        <w:t>　7.5.1、供应商的姓名或者名称、地址、邮编、联系人及联系电话；</w:t>
      </w:r>
    </w:p>
    <w:p w14:paraId="04712E16">
      <w:pPr>
        <w:spacing w:line="360" w:lineRule="exact"/>
        <w:ind w:firstLine="480" w:firstLineChars="200"/>
        <w:rPr>
          <w:rFonts w:hint="eastAsia" w:ascii="宋体" w:hAnsi="宋体"/>
          <w:sz w:val="24"/>
        </w:rPr>
      </w:pPr>
      <w:r>
        <w:rPr>
          <w:rFonts w:hint="eastAsia" w:ascii="宋体" w:hAnsi="宋体"/>
          <w:sz w:val="24"/>
        </w:rPr>
        <w:t>　7.5.2质疑项目的名称、编号；</w:t>
      </w:r>
    </w:p>
    <w:p w14:paraId="2D690380">
      <w:pPr>
        <w:spacing w:line="360" w:lineRule="exact"/>
        <w:ind w:firstLine="480" w:firstLineChars="200"/>
        <w:rPr>
          <w:rFonts w:hint="eastAsia" w:ascii="宋体" w:hAnsi="宋体"/>
          <w:sz w:val="24"/>
        </w:rPr>
      </w:pPr>
      <w:r>
        <w:rPr>
          <w:rFonts w:hint="eastAsia" w:ascii="宋体" w:hAnsi="宋体"/>
          <w:sz w:val="24"/>
        </w:rPr>
        <w:t>　7.5.3具体、明确的质疑事项和与质疑事项相关的请求；</w:t>
      </w:r>
    </w:p>
    <w:p w14:paraId="350C7CA7">
      <w:pPr>
        <w:spacing w:line="360" w:lineRule="exact"/>
        <w:ind w:firstLine="600" w:firstLineChars="250"/>
        <w:rPr>
          <w:rFonts w:hint="eastAsia" w:ascii="宋体" w:hAnsi="宋体"/>
          <w:sz w:val="24"/>
        </w:rPr>
      </w:pPr>
      <w:r>
        <w:rPr>
          <w:rFonts w:hint="eastAsia" w:ascii="宋体" w:hAnsi="宋体"/>
          <w:sz w:val="24"/>
        </w:rPr>
        <w:t>7.5.4事实依据；</w:t>
      </w:r>
    </w:p>
    <w:p w14:paraId="0C91ABDF">
      <w:pPr>
        <w:spacing w:line="360" w:lineRule="exact"/>
        <w:ind w:firstLine="600" w:firstLineChars="250"/>
        <w:rPr>
          <w:rFonts w:hint="eastAsia" w:ascii="宋体" w:hAnsi="宋体"/>
          <w:sz w:val="24"/>
        </w:rPr>
      </w:pPr>
      <w:r>
        <w:rPr>
          <w:rFonts w:hint="eastAsia" w:ascii="宋体" w:hAnsi="宋体"/>
          <w:sz w:val="24"/>
        </w:rPr>
        <w:t>7.5.5必要的法律依据；</w:t>
      </w:r>
    </w:p>
    <w:p w14:paraId="07713959">
      <w:pPr>
        <w:spacing w:line="360" w:lineRule="exact"/>
        <w:ind w:firstLine="600" w:firstLineChars="250"/>
        <w:rPr>
          <w:rFonts w:hint="eastAsia" w:ascii="宋体" w:hAnsi="宋体"/>
          <w:sz w:val="24"/>
        </w:rPr>
      </w:pPr>
      <w:r>
        <w:rPr>
          <w:rFonts w:hint="eastAsia" w:ascii="宋体" w:hAnsi="宋体"/>
          <w:sz w:val="24"/>
        </w:rPr>
        <w:t>7.5.6提出质疑的日期。</w:t>
      </w:r>
    </w:p>
    <w:p w14:paraId="2C41D040">
      <w:pPr>
        <w:spacing w:line="360" w:lineRule="exact"/>
        <w:ind w:firstLine="480" w:firstLineChars="200"/>
        <w:rPr>
          <w:rFonts w:hint="eastAsia" w:ascii="宋体" w:hAnsi="宋体"/>
          <w:sz w:val="24"/>
        </w:rPr>
      </w:pPr>
      <w:r>
        <w:rPr>
          <w:rFonts w:hint="eastAsia" w:ascii="宋体" w:hAnsi="宋体"/>
          <w:sz w:val="24"/>
        </w:rPr>
        <w:t>　　供应商为自然人的，应当由本人签字；供应商为法人或者其他组织的，应当由法定代表人、主要负责人，或者其授权代表签字或者盖章，并加盖公章。</w:t>
      </w:r>
    </w:p>
    <w:p w14:paraId="5FC9CE2F">
      <w:pPr>
        <w:spacing w:line="360" w:lineRule="exact"/>
        <w:ind w:firstLine="480" w:firstLineChars="200"/>
        <w:rPr>
          <w:rFonts w:hint="eastAsia" w:ascii="宋体" w:hAnsi="宋体"/>
          <w:sz w:val="24"/>
        </w:rPr>
      </w:pPr>
      <w:r>
        <w:rPr>
          <w:rFonts w:hint="eastAsia" w:ascii="宋体" w:hAnsi="宋体"/>
          <w:sz w:val="24"/>
        </w:rPr>
        <w:t>7.6</w:t>
      </w:r>
      <w:r>
        <w:rPr>
          <w:rFonts w:ascii="宋体" w:hAnsi="宋体"/>
          <w:sz w:val="24"/>
        </w:rPr>
        <w:t>质疑内容不得含有虚假、恶意成份。依照谁主张谁举证的原则，提出质疑者必须同时提交相关确凿的证据材料和注明事实的确切来源，对捏造事实、滥用维权扰乱采购秩序的恶意质疑者或举证不全查无实据被驳回次数在</w:t>
      </w:r>
      <w:r>
        <w:rPr>
          <w:rFonts w:hint="eastAsia" w:ascii="宋体" w:hAnsi="宋体"/>
          <w:sz w:val="24"/>
        </w:rPr>
        <w:t>全国范围内12个月</w:t>
      </w:r>
      <w:r>
        <w:rPr>
          <w:rFonts w:ascii="宋体" w:hAnsi="宋体"/>
          <w:sz w:val="24"/>
        </w:rPr>
        <w:t>内达三次以上，将</w:t>
      </w:r>
      <w:r>
        <w:rPr>
          <w:rFonts w:hint="eastAsia" w:ascii="宋体" w:hAnsi="宋体"/>
          <w:sz w:val="24"/>
        </w:rPr>
        <w:t>由财政部门</w:t>
      </w:r>
      <w:r>
        <w:rPr>
          <w:rFonts w:ascii="宋体" w:hAnsi="宋体"/>
          <w:sz w:val="24"/>
        </w:rPr>
        <w:t>纳入不良行为记录名单并承担相应的法律责任。</w:t>
      </w:r>
    </w:p>
    <w:p w14:paraId="1088AB3E">
      <w:pPr>
        <w:spacing w:line="360" w:lineRule="exact"/>
        <w:ind w:firstLine="480" w:firstLineChars="200"/>
        <w:rPr>
          <w:rFonts w:hint="eastAsia" w:ascii="宋体" w:hAnsi="宋体"/>
          <w:sz w:val="24"/>
        </w:rPr>
      </w:pPr>
      <w:r>
        <w:rPr>
          <w:rFonts w:hint="eastAsia" w:ascii="宋体" w:hAnsi="宋体"/>
          <w:sz w:val="24"/>
        </w:rPr>
        <w:t>8、招标文件的澄清或者修改</w:t>
      </w:r>
    </w:p>
    <w:p w14:paraId="5D1E0C58">
      <w:pPr>
        <w:spacing w:line="360" w:lineRule="exact"/>
        <w:ind w:firstLine="480" w:firstLineChars="200"/>
        <w:rPr>
          <w:rFonts w:hint="eastAsia" w:ascii="宋体" w:hAnsi="宋体"/>
          <w:sz w:val="24"/>
        </w:rPr>
      </w:pPr>
      <w:r>
        <w:rPr>
          <w:rFonts w:hint="eastAsia" w:ascii="宋体" w:hAnsi="宋体"/>
          <w:sz w:val="24"/>
        </w:rPr>
        <w:t>8</w:t>
      </w:r>
      <w:r>
        <w:rPr>
          <w:rFonts w:ascii="宋体" w:hAnsi="宋体"/>
          <w:sz w:val="24"/>
        </w:rPr>
        <w:t>.1</w:t>
      </w:r>
      <w:r>
        <w:rPr>
          <w:rFonts w:hint="eastAsia" w:ascii="宋体" w:hAnsi="宋体"/>
          <w:sz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2823F55F">
      <w:pPr>
        <w:spacing w:line="360" w:lineRule="exact"/>
        <w:ind w:firstLine="480" w:firstLineChars="200"/>
        <w:rPr>
          <w:rFonts w:hint="eastAsia" w:ascii="宋体" w:hAnsi="宋体"/>
          <w:sz w:val="24"/>
        </w:rPr>
      </w:pPr>
      <w:r>
        <w:rPr>
          <w:rFonts w:hint="eastAsia" w:ascii="宋体" w:hAnsi="宋体"/>
          <w:sz w:val="24"/>
        </w:rPr>
        <w:t>8.2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411F338">
      <w:pPr>
        <w:spacing w:line="360" w:lineRule="exact"/>
        <w:ind w:firstLine="480" w:firstLineChars="200"/>
        <w:rPr>
          <w:rFonts w:hint="eastAsia" w:ascii="宋体" w:hAnsi="宋体"/>
          <w:sz w:val="24"/>
        </w:rPr>
      </w:pPr>
      <w:r>
        <w:rPr>
          <w:rFonts w:hint="eastAsia" w:ascii="宋体" w:hAnsi="宋体"/>
          <w:sz w:val="24"/>
        </w:rPr>
        <w:t>8.3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14:paraId="2798C2EB">
      <w:pPr>
        <w:spacing w:line="360" w:lineRule="exact"/>
        <w:ind w:firstLine="480" w:firstLineChars="200"/>
        <w:jc w:val="left"/>
        <w:rPr>
          <w:rFonts w:hint="eastAsia" w:ascii="宋体" w:hAnsi="宋体"/>
          <w:sz w:val="24"/>
        </w:rPr>
      </w:pPr>
      <w:r>
        <w:rPr>
          <w:rFonts w:hint="eastAsia" w:ascii="宋体" w:hAnsi="宋体"/>
          <w:sz w:val="24"/>
        </w:rPr>
        <w:t>8.4招标文件的修改书将构成招标文件的一部分，并对投标人具有约束力。</w:t>
      </w:r>
    </w:p>
    <w:p w14:paraId="2D3BDFEC">
      <w:pPr>
        <w:spacing w:line="360" w:lineRule="exact"/>
        <w:outlineLvl w:val="0"/>
        <w:rPr>
          <w:rFonts w:hint="eastAsia" w:ascii="宋体" w:hAnsi="宋体"/>
          <w:b/>
          <w:sz w:val="24"/>
        </w:rPr>
      </w:pPr>
    </w:p>
    <w:p w14:paraId="16091EB8">
      <w:pPr>
        <w:spacing w:line="360" w:lineRule="exact"/>
        <w:jc w:val="center"/>
        <w:outlineLvl w:val="0"/>
        <w:rPr>
          <w:rFonts w:hint="eastAsia" w:ascii="宋体" w:hAnsi="宋体"/>
          <w:b/>
          <w:sz w:val="24"/>
        </w:rPr>
      </w:pPr>
      <w:r>
        <w:rPr>
          <w:rFonts w:hint="eastAsia" w:ascii="宋体" w:hAnsi="宋体"/>
          <w:b/>
          <w:sz w:val="24"/>
        </w:rPr>
        <w:t>Ｃ投标文件的编写</w:t>
      </w:r>
    </w:p>
    <w:p w14:paraId="14563A17">
      <w:pPr>
        <w:spacing w:line="360" w:lineRule="exact"/>
        <w:ind w:firstLine="480" w:firstLineChars="200"/>
        <w:rPr>
          <w:rFonts w:hint="eastAsia" w:ascii="宋体" w:hAnsi="宋体"/>
          <w:sz w:val="24"/>
        </w:rPr>
      </w:pPr>
      <w:r>
        <w:rPr>
          <w:rFonts w:hint="eastAsia" w:ascii="宋体" w:hAnsi="宋体"/>
          <w:sz w:val="24"/>
        </w:rPr>
        <w:t>9、要求</w:t>
      </w:r>
    </w:p>
    <w:p w14:paraId="41FF04FD">
      <w:pPr>
        <w:spacing w:line="360" w:lineRule="exact"/>
        <w:ind w:firstLine="480" w:firstLineChars="200"/>
        <w:rPr>
          <w:rFonts w:hint="eastAsia" w:ascii="宋体" w:hAnsi="宋体"/>
          <w:bCs/>
          <w:snapToGrid w:val="0"/>
          <w:kern w:val="0"/>
          <w:sz w:val="24"/>
        </w:rPr>
      </w:pPr>
      <w:r>
        <w:rPr>
          <w:rFonts w:hint="eastAsia" w:ascii="宋体" w:hAnsi="宋体"/>
          <w:sz w:val="24"/>
        </w:rPr>
        <w:t>9.1投标人应仔细阅读“招标文件”的所有内容，按“招标文件”的要求提供“投标文件”，并保证所提供的全部资料的真实性，以确保其投标对“招标文件”做出实质性响应。</w:t>
      </w:r>
      <w:r>
        <w:rPr>
          <w:rFonts w:hint="eastAsia" w:ascii="宋体" w:hAnsi="宋体"/>
          <w:bCs/>
          <w:sz w:val="24"/>
        </w:rPr>
        <w:t>若投标方不能按招标文件要求提供与本标相关的文件、图片资料、证明材料，</w:t>
      </w:r>
      <w:r>
        <w:rPr>
          <w:rFonts w:hint="eastAsia" w:ascii="宋体" w:hAnsi="宋体"/>
          <w:bCs/>
          <w:snapToGrid w:val="0"/>
          <w:kern w:val="0"/>
          <w:sz w:val="24"/>
        </w:rPr>
        <w:t>或者投标文件没有对招标文件各方面都作出实质性响应是投标人的风险，因为没有实质性响应招标文件要求的投标将可能被拒绝。</w:t>
      </w:r>
    </w:p>
    <w:p w14:paraId="66298A51">
      <w:pPr>
        <w:spacing w:line="360" w:lineRule="exact"/>
        <w:ind w:firstLine="480" w:firstLineChars="200"/>
        <w:rPr>
          <w:rFonts w:hint="eastAsia" w:ascii="宋体" w:hAnsi="宋体"/>
          <w:sz w:val="24"/>
        </w:rPr>
      </w:pPr>
      <w:r>
        <w:rPr>
          <w:rFonts w:hint="eastAsia" w:ascii="宋体" w:hAnsi="宋体"/>
          <w:sz w:val="24"/>
        </w:rPr>
        <w:t>9.2投标文件的语言为中文。</w:t>
      </w:r>
    </w:p>
    <w:p w14:paraId="48DBEE8C">
      <w:pPr>
        <w:spacing w:line="360" w:lineRule="exact"/>
        <w:ind w:firstLine="480" w:firstLineChars="200"/>
        <w:rPr>
          <w:rFonts w:hint="eastAsia" w:ascii="宋体" w:hAnsi="宋体"/>
          <w:sz w:val="24"/>
        </w:rPr>
      </w:pPr>
      <w:r>
        <w:rPr>
          <w:rFonts w:hint="eastAsia" w:ascii="宋体" w:hAnsi="宋体"/>
          <w:sz w:val="24"/>
        </w:rPr>
        <w:t>9.3 投标文件的所有计量单位执行中华人民共和国的计量单位。</w:t>
      </w:r>
    </w:p>
    <w:p w14:paraId="55F273BB">
      <w:pPr>
        <w:spacing w:line="360" w:lineRule="exact"/>
        <w:ind w:firstLine="480" w:firstLineChars="200"/>
        <w:rPr>
          <w:rFonts w:hint="eastAsia" w:ascii="宋体" w:hAnsi="宋体"/>
          <w:sz w:val="24"/>
        </w:rPr>
      </w:pPr>
      <w:r>
        <w:rPr>
          <w:rFonts w:hint="eastAsia" w:ascii="宋体" w:hAnsi="宋体"/>
          <w:sz w:val="24"/>
        </w:rPr>
        <w:t>10、“投标文件”的组成</w:t>
      </w:r>
    </w:p>
    <w:p w14:paraId="271D1FCC">
      <w:pPr>
        <w:spacing w:line="360" w:lineRule="exact"/>
        <w:ind w:firstLine="480" w:firstLineChars="200"/>
        <w:rPr>
          <w:rFonts w:hint="eastAsia" w:ascii="宋体" w:hAnsi="宋体"/>
          <w:sz w:val="24"/>
        </w:rPr>
      </w:pPr>
      <w:r>
        <w:rPr>
          <w:rFonts w:hint="eastAsia" w:ascii="宋体" w:hAnsi="宋体"/>
          <w:sz w:val="24"/>
        </w:rPr>
        <w:t>10</w:t>
      </w:r>
      <w:r>
        <w:rPr>
          <w:rFonts w:ascii="宋体" w:hAnsi="宋体"/>
          <w:sz w:val="24"/>
        </w:rPr>
        <w:t>.1</w:t>
      </w:r>
      <w:r>
        <w:rPr>
          <w:rFonts w:hint="eastAsia" w:ascii="宋体" w:hAnsi="宋体"/>
          <w:sz w:val="24"/>
        </w:rPr>
        <w:t>“投标文件”包括下列部份：</w:t>
      </w:r>
    </w:p>
    <w:p w14:paraId="24909B7D">
      <w:pPr>
        <w:spacing w:line="360" w:lineRule="exact"/>
        <w:ind w:firstLine="720" w:firstLineChars="300"/>
        <w:rPr>
          <w:rFonts w:hint="eastAsia" w:ascii="宋体" w:hAnsi="宋体"/>
          <w:sz w:val="24"/>
        </w:rPr>
      </w:pPr>
      <w:r>
        <w:rPr>
          <w:rFonts w:hint="eastAsia" w:ascii="宋体" w:hAnsi="宋体"/>
          <w:sz w:val="24"/>
        </w:rPr>
        <w:t>（1）投标书</w:t>
      </w:r>
    </w:p>
    <w:p w14:paraId="3F13C592">
      <w:pPr>
        <w:spacing w:line="360" w:lineRule="exact"/>
        <w:ind w:firstLine="720" w:firstLineChars="300"/>
        <w:jc w:val="left"/>
        <w:rPr>
          <w:rFonts w:hint="eastAsia" w:ascii="宋体" w:hAnsi="宋体"/>
          <w:sz w:val="24"/>
        </w:rPr>
      </w:pPr>
      <w:r>
        <w:rPr>
          <w:rFonts w:hint="eastAsia" w:ascii="宋体" w:hAnsi="宋体"/>
          <w:sz w:val="24"/>
        </w:rPr>
        <w:t>（2）开标一览表</w:t>
      </w:r>
    </w:p>
    <w:p w14:paraId="6BC4C968">
      <w:pPr>
        <w:spacing w:line="360" w:lineRule="exact"/>
        <w:ind w:firstLine="720" w:firstLineChars="300"/>
        <w:rPr>
          <w:rFonts w:hint="eastAsia" w:ascii="宋体" w:hAnsi="宋体"/>
          <w:sz w:val="24"/>
        </w:rPr>
      </w:pPr>
      <w:r>
        <w:rPr>
          <w:rFonts w:hint="eastAsia" w:ascii="宋体" w:hAnsi="宋体"/>
          <w:sz w:val="24"/>
        </w:rPr>
        <w:t>（3）规格响应表及相关的技术参数图片资料</w:t>
      </w:r>
    </w:p>
    <w:p w14:paraId="780CCDE9">
      <w:pPr>
        <w:spacing w:line="360" w:lineRule="exact"/>
        <w:ind w:firstLine="720" w:firstLineChars="300"/>
        <w:rPr>
          <w:rFonts w:hint="eastAsia" w:ascii="宋体" w:hAnsi="宋体"/>
          <w:sz w:val="24"/>
        </w:rPr>
      </w:pPr>
      <w:r>
        <w:rPr>
          <w:rFonts w:hint="eastAsia" w:ascii="宋体" w:hAnsi="宋体"/>
          <w:sz w:val="24"/>
        </w:rPr>
        <w:t>（4）设备制造厂商提供</w:t>
      </w:r>
      <w:r>
        <w:rPr>
          <w:rFonts w:hint="eastAsia" w:ascii="宋体" w:hAnsi="宋体"/>
          <w:bCs/>
          <w:sz w:val="24"/>
        </w:rPr>
        <w:t>有效</w:t>
      </w:r>
      <w:r>
        <w:rPr>
          <w:rFonts w:hint="eastAsia" w:ascii="宋体" w:hAnsi="宋体"/>
          <w:sz w:val="24"/>
        </w:rPr>
        <w:t>的产品彩页（根据“设备技术参数”中要求）</w:t>
      </w:r>
    </w:p>
    <w:p w14:paraId="06359223">
      <w:pPr>
        <w:spacing w:line="360" w:lineRule="exact"/>
        <w:ind w:firstLine="720" w:firstLineChars="300"/>
        <w:rPr>
          <w:rFonts w:hint="eastAsia" w:ascii="宋体" w:hAnsi="宋体"/>
          <w:sz w:val="24"/>
        </w:rPr>
      </w:pPr>
      <w:r>
        <w:rPr>
          <w:rFonts w:hint="eastAsia" w:ascii="宋体" w:hAnsi="宋体"/>
          <w:sz w:val="24"/>
        </w:rPr>
        <w:t>（5）投标资格证明文件</w:t>
      </w:r>
    </w:p>
    <w:p w14:paraId="236C3A4A">
      <w:pPr>
        <w:spacing w:line="360" w:lineRule="exact"/>
        <w:ind w:firstLine="720" w:firstLineChars="300"/>
        <w:rPr>
          <w:rFonts w:hint="eastAsia" w:ascii="宋体" w:hAnsi="宋体"/>
          <w:sz w:val="24"/>
        </w:rPr>
      </w:pPr>
      <w:r>
        <w:rPr>
          <w:rFonts w:hint="eastAsia" w:ascii="宋体" w:hAnsi="宋体"/>
          <w:sz w:val="24"/>
        </w:rPr>
        <w:t>（6）投标货物符合“招标文件”规定的资格证明文件、证明文件，及投标人认为需加以说明的其他内容</w:t>
      </w:r>
    </w:p>
    <w:p w14:paraId="2908DEC9">
      <w:pPr>
        <w:spacing w:line="360" w:lineRule="exact"/>
        <w:ind w:firstLine="480" w:firstLineChars="200"/>
        <w:rPr>
          <w:rFonts w:hint="eastAsia" w:ascii="宋体" w:hAnsi="宋体"/>
          <w:sz w:val="24"/>
        </w:rPr>
      </w:pPr>
      <w:r>
        <w:rPr>
          <w:rFonts w:ascii="宋体" w:hAnsi="宋体"/>
          <w:sz w:val="24"/>
        </w:rPr>
        <w:t>投标人</w:t>
      </w:r>
      <w:r>
        <w:rPr>
          <w:rFonts w:hint="eastAsia" w:ascii="宋体" w:hAnsi="宋体"/>
          <w:sz w:val="24"/>
        </w:rPr>
        <w:t>需</w:t>
      </w:r>
      <w:r>
        <w:rPr>
          <w:rFonts w:ascii="宋体" w:hAnsi="宋体"/>
          <w:sz w:val="24"/>
        </w:rPr>
        <w:t>编制完整的投标文件，按上述编制目录及页码。投标人代表可由法定代表人或其委托代理人担任。由委托代理人签署的投标文件中，须同时提交由法定代表人签署的有效的授权委托书。</w:t>
      </w:r>
    </w:p>
    <w:p w14:paraId="1AE92EAC">
      <w:pPr>
        <w:spacing w:line="360" w:lineRule="exact"/>
        <w:ind w:firstLine="360" w:firstLineChars="150"/>
        <w:rPr>
          <w:rFonts w:hint="eastAsia" w:ascii="宋体" w:hAnsi="宋体"/>
          <w:sz w:val="24"/>
        </w:rPr>
      </w:pPr>
      <w:r>
        <w:rPr>
          <w:rFonts w:ascii="宋体" w:hAnsi="宋体"/>
          <w:sz w:val="24"/>
        </w:rPr>
        <w:t>1</w:t>
      </w:r>
      <w:r>
        <w:rPr>
          <w:rFonts w:hint="eastAsia" w:ascii="宋体" w:hAnsi="宋体"/>
          <w:sz w:val="24"/>
        </w:rPr>
        <w:t>1、“投标文件”格式</w:t>
      </w:r>
    </w:p>
    <w:p w14:paraId="09746D9A">
      <w:pPr>
        <w:spacing w:line="360" w:lineRule="exact"/>
        <w:ind w:firstLine="360"/>
        <w:rPr>
          <w:rFonts w:hint="eastAsia" w:ascii="宋体" w:hAnsi="宋体"/>
          <w:sz w:val="24"/>
        </w:rPr>
      </w:pPr>
      <w:r>
        <w:rPr>
          <w:rFonts w:hint="eastAsia" w:ascii="宋体" w:hAnsi="宋体"/>
          <w:sz w:val="24"/>
        </w:rPr>
        <w:t>11.1投标人应按“招标文件”中提供的“投标文件格式”填写投标书、“开标一览表”、“规格响应表”及“售后服务计划”。投标人应分别在以上表格中注明提供的货物名称、型号规格、技术配置及参数、原产地（</w:t>
      </w:r>
      <w:r>
        <w:rPr>
          <w:rFonts w:hint="eastAsia" w:ascii="宋体" w:hAnsi="宋体"/>
          <w:bCs/>
          <w:sz w:val="24"/>
        </w:rPr>
        <w:t>生产厂名</w:t>
      </w:r>
      <w:r>
        <w:rPr>
          <w:rFonts w:hint="eastAsia" w:ascii="宋体" w:hAnsi="宋体"/>
          <w:sz w:val="24"/>
        </w:rPr>
        <w:t>）、数量和价格等（见附件格式）。</w:t>
      </w:r>
    </w:p>
    <w:p w14:paraId="4305E3F9">
      <w:pPr>
        <w:spacing w:line="360" w:lineRule="exact"/>
        <w:ind w:firstLine="444" w:firstLineChars="185"/>
        <w:rPr>
          <w:rFonts w:hint="eastAsia" w:ascii="宋体" w:hAnsi="宋体"/>
          <w:bCs/>
          <w:sz w:val="24"/>
        </w:rPr>
      </w:pPr>
      <w:r>
        <w:rPr>
          <w:rFonts w:hint="eastAsia" w:ascii="宋体" w:hAnsi="宋体"/>
          <w:sz w:val="24"/>
        </w:rPr>
        <w:t>11.2投标人可对本“招标文件”中“招标采购项目设备清单及范围”所列的所有货物进行以包为单位投标，投标人可以全部投标，亦可选择其中一包投标。但不得将一包中的内容拆开投标。</w:t>
      </w:r>
    </w:p>
    <w:p w14:paraId="16BDDA68">
      <w:pPr>
        <w:spacing w:line="360" w:lineRule="exact"/>
        <w:ind w:firstLine="480" w:firstLineChars="200"/>
        <w:jc w:val="left"/>
        <w:rPr>
          <w:rFonts w:hint="eastAsia" w:ascii="宋体" w:hAnsi="宋体"/>
          <w:sz w:val="24"/>
        </w:rPr>
      </w:pPr>
      <w:r>
        <w:rPr>
          <w:rFonts w:ascii="宋体" w:hAnsi="宋体"/>
          <w:sz w:val="24"/>
        </w:rPr>
        <w:t>1</w:t>
      </w:r>
      <w:r>
        <w:rPr>
          <w:rFonts w:hint="eastAsia" w:ascii="宋体" w:hAnsi="宋体"/>
          <w:sz w:val="24"/>
        </w:rPr>
        <w:t>2、投标报价</w:t>
      </w:r>
    </w:p>
    <w:p w14:paraId="59FFC0BC">
      <w:pPr>
        <w:spacing w:line="360" w:lineRule="exact"/>
        <w:ind w:firstLine="480" w:firstLineChars="200"/>
        <w:rPr>
          <w:rFonts w:hint="eastAsia" w:ascii="宋体" w:hAnsi="宋体"/>
          <w:sz w:val="24"/>
        </w:rPr>
      </w:pPr>
      <w:r>
        <w:rPr>
          <w:rFonts w:hint="eastAsia" w:ascii="宋体" w:hAnsi="宋体"/>
          <w:sz w:val="24"/>
        </w:rPr>
        <w:t>12.1投标人应在“招标文件”所附的“开标一览表”（附件格式）上写明投标货物的单价{单价=（货价+运抵用户指定地点运、保、税）}和投标总价。</w:t>
      </w:r>
    </w:p>
    <w:p w14:paraId="7F45666E">
      <w:pPr>
        <w:spacing w:line="360" w:lineRule="exact"/>
        <w:ind w:firstLine="480" w:firstLineChars="200"/>
        <w:rPr>
          <w:rFonts w:hint="eastAsia" w:ascii="宋体" w:hAnsi="宋体"/>
          <w:sz w:val="24"/>
        </w:rPr>
      </w:pPr>
      <w:r>
        <w:rPr>
          <w:rFonts w:hint="eastAsia" w:ascii="宋体" w:hAnsi="宋体"/>
          <w:sz w:val="24"/>
        </w:rPr>
        <w:t>投标文件报价出现前后不一致的，按照下列规定修正：</w:t>
      </w:r>
    </w:p>
    <w:p w14:paraId="3D386A36">
      <w:pPr>
        <w:spacing w:line="360" w:lineRule="exact"/>
        <w:ind w:firstLine="480" w:firstLineChars="200"/>
        <w:rPr>
          <w:rFonts w:hint="eastAsia" w:ascii="宋体" w:hAnsi="宋体"/>
          <w:sz w:val="24"/>
        </w:rPr>
      </w:pPr>
      <w:r>
        <w:rPr>
          <w:rFonts w:hint="eastAsia" w:ascii="宋体" w:hAnsi="宋体"/>
          <w:sz w:val="24"/>
        </w:rPr>
        <w:t>（一）投标文件中开标一览表（报价表）内容与投标文件中相应内容不一致的，以开标一览表（报价表）为准；</w:t>
      </w:r>
    </w:p>
    <w:p w14:paraId="1A715D17">
      <w:pPr>
        <w:spacing w:line="360" w:lineRule="exact"/>
        <w:ind w:firstLine="480" w:firstLineChars="200"/>
        <w:rPr>
          <w:rFonts w:hint="eastAsia" w:ascii="宋体" w:hAnsi="宋体"/>
          <w:sz w:val="24"/>
        </w:rPr>
      </w:pPr>
      <w:r>
        <w:rPr>
          <w:rFonts w:hint="eastAsia" w:ascii="宋体" w:hAnsi="宋体"/>
          <w:sz w:val="24"/>
        </w:rPr>
        <w:t>（二）大写金额和小写金额不一致的，以大写金额为准；</w:t>
      </w:r>
    </w:p>
    <w:p w14:paraId="19ED8CDD">
      <w:pPr>
        <w:spacing w:line="360" w:lineRule="exact"/>
        <w:ind w:firstLine="480" w:firstLineChars="200"/>
        <w:rPr>
          <w:rFonts w:hint="eastAsia" w:ascii="宋体" w:hAnsi="宋体"/>
          <w:sz w:val="24"/>
        </w:rPr>
      </w:pPr>
      <w:r>
        <w:rPr>
          <w:rFonts w:hint="eastAsia" w:ascii="宋体" w:hAnsi="宋体"/>
          <w:sz w:val="24"/>
        </w:rPr>
        <w:t>（三）单价金额小数点或者百分比有明显错位的，以开标一览表的总价为准，并修改单价；</w:t>
      </w:r>
    </w:p>
    <w:p w14:paraId="2AE2443E">
      <w:pPr>
        <w:spacing w:line="360" w:lineRule="exact"/>
        <w:ind w:firstLine="480" w:firstLineChars="200"/>
        <w:rPr>
          <w:rFonts w:hint="eastAsia" w:ascii="宋体" w:hAnsi="宋体"/>
          <w:sz w:val="24"/>
        </w:rPr>
      </w:pPr>
      <w:r>
        <w:rPr>
          <w:rFonts w:hint="eastAsia" w:ascii="宋体" w:hAnsi="宋体"/>
          <w:sz w:val="24"/>
        </w:rPr>
        <w:t>（四）总价金额与按单价汇总金额不一致的，以单价金额计算结果为准。</w:t>
      </w:r>
    </w:p>
    <w:p w14:paraId="1F6EC859">
      <w:pPr>
        <w:spacing w:line="360" w:lineRule="exact"/>
        <w:ind w:firstLine="480" w:firstLineChars="200"/>
        <w:rPr>
          <w:rFonts w:hint="eastAsia" w:ascii="宋体" w:hAnsi="宋体"/>
          <w:sz w:val="24"/>
        </w:rPr>
      </w:pPr>
      <w:r>
        <w:rPr>
          <w:rFonts w:hint="eastAsia" w:ascii="宋体" w:hAnsi="宋体"/>
          <w:sz w:val="24"/>
        </w:rPr>
        <w:t>同时出现两种以上不一致的，按照前款规定的顺序修正。修正后的报价按照本办法第五十一条第二款的规定经投标人确认后产生约束力，投标人不确认的，其投标无效。</w:t>
      </w:r>
    </w:p>
    <w:p w14:paraId="7A27F42E">
      <w:pPr>
        <w:spacing w:line="360" w:lineRule="exact"/>
        <w:ind w:firstLine="480" w:firstLineChars="200"/>
        <w:rPr>
          <w:rFonts w:hint="eastAsia" w:ascii="宋体" w:hAnsi="宋体"/>
          <w:sz w:val="24"/>
        </w:rPr>
      </w:pPr>
      <w:r>
        <w:rPr>
          <w:rFonts w:hint="eastAsia" w:ascii="宋体" w:hAnsi="宋体"/>
          <w:sz w:val="24"/>
        </w:rPr>
        <w:t>12.2投标人应按上述条款的要求填写仪器设备报价。此报价作为招标方评标标准，但不能限制买方以其它方式签订合同的权力。</w:t>
      </w:r>
    </w:p>
    <w:p w14:paraId="2A21E3ED">
      <w:pPr>
        <w:spacing w:line="360" w:lineRule="exact"/>
        <w:ind w:firstLine="480" w:firstLineChars="200"/>
        <w:rPr>
          <w:rFonts w:hint="eastAsia" w:ascii="宋体" w:hAnsi="宋体"/>
          <w:sz w:val="24"/>
        </w:rPr>
      </w:pPr>
      <w:r>
        <w:rPr>
          <w:rFonts w:hint="eastAsia" w:ascii="宋体" w:hAnsi="宋体"/>
          <w:sz w:val="24"/>
        </w:rPr>
        <w:t>12.3投标人所报的投标价在合同执行期间是固定不变的，不得以任何理由予以变更。投标价不是固定价的投标文件将作为非响应性投标而予以拒绝。</w:t>
      </w:r>
    </w:p>
    <w:p w14:paraId="36344CA0">
      <w:pPr>
        <w:spacing w:line="360" w:lineRule="exact"/>
        <w:ind w:firstLine="480" w:firstLineChars="200"/>
        <w:rPr>
          <w:rFonts w:hint="eastAsia" w:ascii="宋体" w:hAnsi="宋体"/>
          <w:sz w:val="24"/>
        </w:rPr>
      </w:pPr>
      <w:r>
        <w:rPr>
          <w:rFonts w:hint="eastAsia" w:ascii="宋体" w:hAnsi="宋体"/>
          <w:sz w:val="24"/>
        </w:rPr>
        <w:t>12.4投标总报价表及投标分项报价表应包括：</w:t>
      </w:r>
    </w:p>
    <w:p w14:paraId="494B89E7">
      <w:pPr>
        <w:tabs>
          <w:tab w:val="left" w:pos="420"/>
        </w:tabs>
        <w:spacing w:line="360" w:lineRule="exact"/>
        <w:ind w:firstLine="480" w:firstLineChars="200"/>
        <w:rPr>
          <w:rFonts w:hint="eastAsia" w:ascii="宋体" w:hAnsi="宋体"/>
          <w:sz w:val="24"/>
        </w:rPr>
      </w:pPr>
      <w:r>
        <w:rPr>
          <w:rFonts w:hint="eastAsia" w:ascii="宋体" w:hAnsi="宋体"/>
          <w:sz w:val="24"/>
        </w:rPr>
        <w:t>总报价应包括投标人对每个分项下所提供设计、制造、采购、各项税费、交货、技术服务、技术培训、安装、调试、随机零配件、标配工具、运输保险、可靠性运行、预验收、最终验收及质量保证期期间的全部责任和义务及合同实施过程中不可预见费用等。投标人应将货物需求一览表中的所有项目在投标分项报价表上列出并逐项报价。如果投标分项报价表中有列出但未标价的项目，则将其视为已包含在其他项目的报价中，合同执行中不另予支付。</w:t>
      </w:r>
    </w:p>
    <w:p w14:paraId="611F615D">
      <w:pPr>
        <w:tabs>
          <w:tab w:val="left" w:pos="420"/>
        </w:tabs>
        <w:spacing w:line="360" w:lineRule="exact"/>
        <w:ind w:firstLine="360" w:firstLineChars="150"/>
        <w:rPr>
          <w:rFonts w:hint="eastAsia" w:ascii="宋体" w:hAnsi="宋体"/>
          <w:sz w:val="24"/>
        </w:rPr>
      </w:pPr>
      <w:r>
        <w:rPr>
          <w:rFonts w:hint="eastAsia" w:ascii="宋体" w:hAnsi="宋体"/>
          <w:sz w:val="24"/>
        </w:rPr>
        <w:t>12.4.1 从中华人民共和国境内（不包括中国香港、澳门、台湾）供应的货物及服务，包括：</w:t>
      </w:r>
    </w:p>
    <w:p w14:paraId="7C9B7B8F">
      <w:pPr>
        <w:spacing w:line="360" w:lineRule="exact"/>
        <w:ind w:firstLine="480" w:firstLineChars="200"/>
        <w:rPr>
          <w:rFonts w:hint="eastAsia" w:ascii="宋体" w:hAnsi="宋体"/>
          <w:sz w:val="24"/>
        </w:rPr>
      </w:pPr>
      <w:r>
        <w:rPr>
          <w:rFonts w:hint="eastAsia" w:ascii="宋体" w:hAnsi="宋体"/>
          <w:sz w:val="24"/>
        </w:rPr>
        <w:t>1) 报出所供货物的EXW价（工厂交货价），除应包括向中华人民共和国政府缴纳的增值税和其他税费外，还应包括对货物在制造或组装时使用的部件和原材料从国外进口的全部进口成本，含已交纳或应交纳的全部关税、增值税和其他税费。</w:t>
      </w:r>
    </w:p>
    <w:p w14:paraId="21491347">
      <w:pPr>
        <w:spacing w:line="360" w:lineRule="exact"/>
        <w:ind w:firstLine="480" w:firstLineChars="200"/>
        <w:rPr>
          <w:rFonts w:hint="eastAsia" w:ascii="宋体" w:hAnsi="宋体"/>
          <w:sz w:val="24"/>
        </w:rPr>
      </w:pPr>
      <w:r>
        <w:rPr>
          <w:rFonts w:hint="eastAsia" w:ascii="宋体" w:hAnsi="宋体"/>
          <w:sz w:val="24"/>
        </w:rPr>
        <w:t>2) 货物从工厂运至最终目的地（详见货物需求一览表及技术规格）的内陆运输、保险费、和伴随货物交运的有关费用。</w:t>
      </w:r>
    </w:p>
    <w:p w14:paraId="533FC4F2">
      <w:pPr>
        <w:spacing w:line="360" w:lineRule="exact"/>
        <w:ind w:firstLine="480" w:firstLineChars="200"/>
        <w:rPr>
          <w:rFonts w:hint="eastAsia" w:ascii="宋体" w:hAnsi="宋体"/>
          <w:sz w:val="24"/>
        </w:rPr>
      </w:pPr>
      <w:r>
        <w:rPr>
          <w:rFonts w:hint="eastAsia" w:ascii="宋体" w:hAnsi="宋体"/>
          <w:sz w:val="24"/>
        </w:rPr>
        <w:t>3) 技术服务费及其他相关费用（包括安装、调试、技术资料、软件、技术培训等）。</w:t>
      </w:r>
    </w:p>
    <w:p w14:paraId="6B7818DC">
      <w:pPr>
        <w:spacing w:line="360" w:lineRule="exact"/>
        <w:ind w:firstLine="360" w:firstLineChars="150"/>
        <w:rPr>
          <w:rFonts w:hint="eastAsia" w:ascii="宋体" w:hAnsi="宋体"/>
          <w:sz w:val="24"/>
        </w:rPr>
      </w:pPr>
      <w:r>
        <w:rPr>
          <w:rFonts w:hint="eastAsia" w:ascii="宋体" w:hAnsi="宋体"/>
          <w:sz w:val="24"/>
        </w:rPr>
        <w:t>12.4.2 从中华人民共和国境外（含中国的香港、澳门和台湾）供应的货物及服务，包括：</w:t>
      </w:r>
    </w:p>
    <w:p w14:paraId="6E8A690F">
      <w:pPr>
        <w:spacing w:line="360" w:lineRule="exact"/>
        <w:ind w:firstLine="542" w:firstLineChars="226"/>
        <w:rPr>
          <w:rFonts w:hint="eastAsia" w:ascii="宋体" w:hAnsi="宋体"/>
          <w:sz w:val="24"/>
        </w:rPr>
      </w:pPr>
      <w:r>
        <w:rPr>
          <w:rFonts w:hint="eastAsia" w:ascii="宋体" w:hAnsi="宋体"/>
          <w:sz w:val="24"/>
        </w:rPr>
        <w:t>1）货物到指定目的地免税进口价（指定目的地详见货物需求一览表及技术规格；免税进口价是指货物CIF价和报关、进口商检、运费、保险费和伴随货物交运的有关费用，但不包括关税及增值税</w:t>
      </w:r>
      <w:r>
        <w:rPr>
          <w:rFonts w:ascii="宋体" w:hAnsi="宋体"/>
          <w:sz w:val="24"/>
        </w:rPr>
        <w:t>）</w:t>
      </w:r>
      <w:r>
        <w:rPr>
          <w:rFonts w:hint="eastAsia" w:ascii="宋体" w:hAnsi="宋体"/>
          <w:sz w:val="24"/>
        </w:rPr>
        <w:t>；</w:t>
      </w:r>
    </w:p>
    <w:p w14:paraId="3F49D7A3">
      <w:pPr>
        <w:spacing w:line="360" w:lineRule="exact"/>
        <w:ind w:firstLine="480" w:firstLineChars="200"/>
        <w:rPr>
          <w:rFonts w:hint="eastAsia" w:ascii="宋体" w:hAnsi="宋体"/>
          <w:sz w:val="24"/>
        </w:rPr>
      </w:pPr>
      <w:r>
        <w:rPr>
          <w:rFonts w:hint="eastAsia" w:ascii="宋体" w:hAnsi="宋体"/>
          <w:sz w:val="24"/>
        </w:rPr>
        <w:t>2）技术服务费及相关费用（包括安装、调试、技术资料、软件、备品备件、专用工具、技术培训等）。</w:t>
      </w:r>
    </w:p>
    <w:p w14:paraId="54F64AE8">
      <w:pPr>
        <w:spacing w:line="360" w:lineRule="exact"/>
        <w:ind w:firstLine="480" w:firstLineChars="200"/>
        <w:rPr>
          <w:rFonts w:hint="eastAsia" w:ascii="宋体" w:hAnsi="宋体"/>
          <w:sz w:val="24"/>
        </w:rPr>
      </w:pPr>
      <w:r>
        <w:rPr>
          <w:rFonts w:hint="eastAsia" w:ascii="宋体" w:hAnsi="宋体"/>
          <w:sz w:val="24"/>
        </w:rPr>
        <w:t>3）原装进口产品：为产地在中华人民共和国境外并在中华人民共和国境外完成仪器整体装配的产品。</w:t>
      </w:r>
    </w:p>
    <w:p w14:paraId="49C93ACD">
      <w:pPr>
        <w:spacing w:line="360" w:lineRule="exact"/>
        <w:ind w:firstLine="480" w:firstLineChars="200"/>
        <w:rPr>
          <w:rFonts w:hint="eastAsia" w:ascii="宋体" w:hAnsi="宋体"/>
          <w:sz w:val="24"/>
        </w:rPr>
      </w:pPr>
      <w:r>
        <w:rPr>
          <w:rFonts w:ascii="宋体" w:hAnsi="宋体"/>
          <w:sz w:val="24"/>
        </w:rPr>
        <w:t>1</w:t>
      </w:r>
      <w:r>
        <w:rPr>
          <w:rFonts w:hint="eastAsia" w:ascii="宋体" w:hAnsi="宋体"/>
          <w:sz w:val="24"/>
        </w:rPr>
        <w:t>3、投标人资格的证明文件</w:t>
      </w:r>
    </w:p>
    <w:p w14:paraId="3540EA41">
      <w:pPr>
        <w:spacing w:line="360" w:lineRule="exact"/>
        <w:ind w:left="567"/>
        <w:rPr>
          <w:rFonts w:hint="eastAsia" w:ascii="宋体" w:hAnsi="宋体"/>
          <w:sz w:val="24"/>
        </w:rPr>
      </w:pPr>
      <w:r>
        <w:rPr>
          <w:rFonts w:hint="eastAsia" w:ascii="宋体" w:hAnsi="宋体"/>
          <w:sz w:val="24"/>
        </w:rPr>
        <w:t>投标人应填写并提交招标文件上所附的“资格证明文件”。</w:t>
      </w:r>
    </w:p>
    <w:p w14:paraId="79E384EE">
      <w:pPr>
        <w:widowControl/>
        <w:spacing w:line="320" w:lineRule="atLeast"/>
        <w:ind w:firstLine="480"/>
        <w:rPr>
          <w:rFonts w:hint="eastAsia" w:ascii="宋体" w:hAnsi="宋体"/>
          <w:kern w:val="0"/>
          <w:sz w:val="24"/>
        </w:rPr>
      </w:pPr>
      <w:r>
        <w:rPr>
          <w:rFonts w:ascii="宋体" w:hAnsi="宋体"/>
          <w:kern w:val="0"/>
          <w:sz w:val="24"/>
        </w:rPr>
        <w:t>1</w:t>
      </w:r>
      <w:r>
        <w:rPr>
          <w:rFonts w:hint="eastAsia" w:ascii="宋体" w:hAnsi="宋体"/>
          <w:kern w:val="0"/>
          <w:sz w:val="24"/>
        </w:rPr>
        <w:t>5、投标有效期</w:t>
      </w:r>
    </w:p>
    <w:p w14:paraId="2CEDAD02">
      <w:pPr>
        <w:widowControl/>
        <w:spacing w:line="320" w:lineRule="atLeast"/>
        <w:ind w:firstLine="480"/>
        <w:rPr>
          <w:rFonts w:hint="eastAsia" w:ascii="宋体" w:hAnsi="宋体"/>
          <w:kern w:val="0"/>
          <w:sz w:val="24"/>
        </w:rPr>
      </w:pPr>
      <w:r>
        <w:rPr>
          <w:rFonts w:hint="eastAsia" w:ascii="宋体" w:hAnsi="宋体"/>
          <w:kern w:val="0"/>
          <w:sz w:val="24"/>
        </w:rPr>
        <w:t>15</w:t>
      </w:r>
      <w:r>
        <w:rPr>
          <w:rFonts w:ascii="宋体" w:hAnsi="宋体"/>
          <w:kern w:val="0"/>
          <w:sz w:val="24"/>
        </w:rPr>
        <w:t>.1</w:t>
      </w:r>
      <w:r>
        <w:rPr>
          <w:rFonts w:hint="eastAsia" w:ascii="宋体" w:hAnsi="宋体"/>
          <w:kern w:val="0"/>
          <w:sz w:val="24"/>
        </w:rPr>
        <w:t>“投标文件”从开标之日起，投标有效期为90天。</w:t>
      </w:r>
    </w:p>
    <w:p w14:paraId="12A4D8CB">
      <w:pPr>
        <w:widowControl/>
        <w:spacing w:line="320" w:lineRule="atLeast"/>
        <w:ind w:firstLine="480"/>
        <w:rPr>
          <w:rFonts w:hint="eastAsia" w:ascii="宋体" w:hAnsi="宋体"/>
          <w:sz w:val="24"/>
        </w:rPr>
      </w:pPr>
      <w:r>
        <w:rPr>
          <w:rFonts w:hint="eastAsia" w:ascii="宋体" w:hAnsi="宋体"/>
          <w:kern w:val="0"/>
          <w:sz w:val="24"/>
        </w:rPr>
        <w:t>15.2特殊情况下，采购代理机构可于投标有效期期满之前</w:t>
      </w:r>
      <w:r>
        <w:rPr>
          <w:rFonts w:hint="eastAsia" w:ascii="宋体" w:hAnsi="宋体"/>
          <w:sz w:val="24"/>
        </w:rPr>
        <w:t>，要求投标人同意延长投标有效期。投标人可以拒绝或同意上述要求，但要求与答复均须是书面文件。对于同意该要求的投标人，招标人既不要求也不允许其修改“投标文件”。</w:t>
      </w:r>
    </w:p>
    <w:p w14:paraId="7E85CB73">
      <w:pPr>
        <w:spacing w:line="360" w:lineRule="exact"/>
        <w:ind w:firstLine="480" w:firstLineChars="200"/>
        <w:rPr>
          <w:rFonts w:hint="eastAsia" w:ascii="宋体" w:hAnsi="宋体"/>
          <w:sz w:val="24"/>
        </w:rPr>
      </w:pPr>
      <w:r>
        <w:rPr>
          <w:rFonts w:ascii="宋体" w:hAnsi="宋体"/>
          <w:sz w:val="24"/>
        </w:rPr>
        <w:t>1</w:t>
      </w:r>
      <w:r>
        <w:rPr>
          <w:rFonts w:hint="eastAsia" w:ascii="宋体" w:hAnsi="宋体"/>
          <w:sz w:val="24"/>
        </w:rPr>
        <w:t>6、“投标文件”的签署及修改</w:t>
      </w:r>
    </w:p>
    <w:p w14:paraId="704C3643">
      <w:pPr>
        <w:spacing w:line="360" w:lineRule="exact"/>
        <w:ind w:firstLine="480"/>
        <w:rPr>
          <w:rFonts w:hint="eastAsia" w:ascii="宋体" w:hAnsi="宋体"/>
          <w:sz w:val="24"/>
        </w:rPr>
      </w:pPr>
      <w:r>
        <w:rPr>
          <w:rFonts w:hint="eastAsia" w:ascii="宋体" w:hAnsi="宋体"/>
          <w:sz w:val="24"/>
        </w:rPr>
        <w:t>16.1投标方应在每一份“投标文件”上要明确注明“正本”或“副本”字样。一旦正本和副本有差异，以正本为准；如果“开标一览表”内容与投标文件中“规格响应表”内容不一致的，以“开标一览表”为准；如果制造厂（商）提供的“产品图片资料”或“产品说明书”内容与投标文件中“规格响应表”内容不一致的，以制造厂（商）提供的“产品图片资料”或“产品说明书”为准。</w:t>
      </w:r>
    </w:p>
    <w:p w14:paraId="1ABC6410">
      <w:pPr>
        <w:spacing w:line="360" w:lineRule="exact"/>
        <w:ind w:firstLine="480"/>
        <w:rPr>
          <w:rFonts w:hint="eastAsia" w:ascii="宋体" w:hAnsi="宋体"/>
          <w:sz w:val="24"/>
        </w:rPr>
      </w:pPr>
      <w:r>
        <w:rPr>
          <w:rFonts w:hint="eastAsia" w:ascii="宋体" w:hAnsi="宋体"/>
          <w:sz w:val="24"/>
        </w:rPr>
        <w:t>16.2</w:t>
      </w:r>
      <w:r>
        <w:rPr>
          <w:rFonts w:hint="eastAsia" w:ascii="宋体" w:hAnsi="宋体"/>
          <w:bCs/>
          <w:snapToGrid w:val="0"/>
          <w:kern w:val="0"/>
          <w:sz w:val="24"/>
        </w:rPr>
        <w:t>投标文件须按招标文件中已明示需要盖章签名处，均须由投标人法定代表人或其授权代表签名和盖章；</w:t>
      </w:r>
      <w:r>
        <w:rPr>
          <w:rFonts w:hint="eastAsia" w:ascii="宋体" w:hAnsi="宋体"/>
          <w:snapToGrid w:val="0"/>
          <w:kern w:val="0"/>
          <w:sz w:val="24"/>
        </w:rPr>
        <w:t>投标文件的任何行间插字、涂改和增删，必须有投标文件签字人在旁边签名才生效，其修改必须清晰。</w:t>
      </w:r>
    </w:p>
    <w:p w14:paraId="639F6493">
      <w:pPr>
        <w:spacing w:line="360" w:lineRule="exact"/>
        <w:rPr>
          <w:rFonts w:hint="eastAsia" w:ascii="宋体" w:hAnsi="宋体"/>
          <w:sz w:val="24"/>
        </w:rPr>
      </w:pPr>
      <w:r>
        <w:rPr>
          <w:rFonts w:ascii="宋体" w:hAnsi="宋体"/>
          <w:sz w:val="24"/>
        </w:rPr>
        <w:t xml:space="preserve"> 1</w:t>
      </w:r>
      <w:r>
        <w:rPr>
          <w:rFonts w:hint="eastAsia" w:ascii="宋体" w:hAnsi="宋体"/>
          <w:sz w:val="24"/>
        </w:rPr>
        <w:t>6</w:t>
      </w:r>
      <w:r>
        <w:rPr>
          <w:rFonts w:ascii="宋体" w:hAnsi="宋体"/>
          <w:sz w:val="24"/>
        </w:rPr>
        <w:t>.</w:t>
      </w:r>
      <w:r>
        <w:rPr>
          <w:rFonts w:hint="eastAsia" w:ascii="宋体" w:hAnsi="宋体"/>
          <w:sz w:val="24"/>
        </w:rPr>
        <w:t>3电报、电话、传真形式的投标概不接受。</w:t>
      </w:r>
    </w:p>
    <w:p w14:paraId="1FDA538A">
      <w:pPr>
        <w:spacing w:line="360" w:lineRule="exact"/>
        <w:jc w:val="both"/>
        <w:rPr>
          <w:rFonts w:hint="eastAsia" w:ascii="宋体" w:hAnsi="宋体"/>
          <w:b/>
          <w:sz w:val="24"/>
        </w:rPr>
      </w:pPr>
    </w:p>
    <w:p w14:paraId="152540B2">
      <w:pPr>
        <w:spacing w:line="360" w:lineRule="exact"/>
        <w:jc w:val="center"/>
        <w:rPr>
          <w:rFonts w:hint="eastAsia" w:ascii="宋体" w:hAnsi="宋体"/>
          <w:b/>
          <w:sz w:val="24"/>
        </w:rPr>
      </w:pPr>
      <w:r>
        <w:rPr>
          <w:rFonts w:hint="eastAsia" w:ascii="宋体" w:hAnsi="宋体"/>
          <w:b/>
          <w:sz w:val="24"/>
        </w:rPr>
        <w:t>Ｄ投标文件的递交</w:t>
      </w:r>
    </w:p>
    <w:p w14:paraId="1F3EE10A">
      <w:pPr>
        <w:pStyle w:val="221"/>
        <w:spacing w:line="360" w:lineRule="exact"/>
        <w:ind w:firstLine="480"/>
        <w:rPr>
          <w:rFonts w:hint="eastAsia" w:ascii="宋体" w:hAnsi="宋体"/>
          <w:sz w:val="24"/>
        </w:rPr>
      </w:pPr>
      <w:r>
        <w:rPr>
          <w:rFonts w:ascii="宋体" w:hAnsi="宋体"/>
          <w:sz w:val="24"/>
        </w:rPr>
        <w:t>17、“投标文件”的密封和标记（不作为实质性要求）</w:t>
      </w:r>
    </w:p>
    <w:p w14:paraId="669538E5">
      <w:pPr>
        <w:pStyle w:val="221"/>
        <w:spacing w:line="360" w:lineRule="exact"/>
        <w:ind w:firstLine="360" w:firstLineChars="150"/>
        <w:rPr>
          <w:rFonts w:hint="eastAsia" w:ascii="宋体" w:hAnsi="宋体"/>
          <w:sz w:val="24"/>
        </w:rPr>
      </w:pPr>
      <w:r>
        <w:rPr>
          <w:rFonts w:ascii="宋体" w:hAnsi="宋体"/>
          <w:sz w:val="24"/>
        </w:rPr>
        <w:t>17.1投标人应将“投标文件”正本和副本用密封袋密封，并在密封袋封面上标明招标编号、投标货物名称。</w:t>
      </w:r>
    </w:p>
    <w:p w14:paraId="2827AF3F">
      <w:pPr>
        <w:pStyle w:val="221"/>
        <w:spacing w:line="360" w:lineRule="exact"/>
        <w:ind w:firstLine="480"/>
        <w:rPr>
          <w:rFonts w:hint="eastAsia" w:ascii="宋体" w:hAnsi="宋体"/>
          <w:sz w:val="24"/>
        </w:rPr>
      </w:pPr>
      <w:r>
        <w:rPr>
          <w:rFonts w:ascii="宋体" w:hAnsi="宋体"/>
          <w:sz w:val="24"/>
        </w:rPr>
        <w:t>17.2为了方便开标、唱标，投标人应将“投标文件”中的“开标一览表（以包为单位）”另行再制表一份单独密封于一小信封内，并在该信封上标明“开标一览表”字样，然后再装入密封袋中。</w:t>
      </w:r>
    </w:p>
    <w:p w14:paraId="0B3B489C">
      <w:pPr>
        <w:pStyle w:val="221"/>
        <w:spacing w:line="360" w:lineRule="exact"/>
        <w:ind w:firstLine="480"/>
        <w:rPr>
          <w:rFonts w:hint="eastAsia" w:ascii="宋体" w:hAnsi="宋体"/>
          <w:sz w:val="24"/>
        </w:rPr>
      </w:pPr>
      <w:r>
        <w:rPr>
          <w:rFonts w:ascii="宋体" w:hAnsi="宋体"/>
          <w:sz w:val="24"/>
        </w:rPr>
        <w:t>17.</w:t>
      </w:r>
      <w:r>
        <w:rPr>
          <w:rFonts w:hint="eastAsia" w:ascii="宋体" w:hAnsi="宋体"/>
          <w:sz w:val="24"/>
        </w:rPr>
        <w:t>3</w:t>
      </w:r>
      <w:r>
        <w:rPr>
          <w:rFonts w:ascii="宋体" w:hAnsi="宋体"/>
          <w:sz w:val="24"/>
        </w:rPr>
        <w:t>不能按“招标文件”提出的要求制作的标书，被视为不完整的投标书，势必影响评标工作进行，</w:t>
      </w:r>
      <w:r>
        <w:rPr>
          <w:rFonts w:ascii="宋体" w:hAnsi="宋体"/>
          <w:bCs/>
          <w:sz w:val="24"/>
        </w:rPr>
        <w:t>是投标人潜在的风险</w:t>
      </w:r>
      <w:r>
        <w:rPr>
          <w:rFonts w:ascii="宋体" w:hAnsi="宋体"/>
          <w:sz w:val="24"/>
        </w:rPr>
        <w:t>。</w:t>
      </w:r>
    </w:p>
    <w:p w14:paraId="5597BA25">
      <w:pPr>
        <w:pStyle w:val="221"/>
        <w:spacing w:line="360" w:lineRule="exact"/>
        <w:ind w:firstLine="480" w:firstLineChars="200"/>
        <w:rPr>
          <w:rFonts w:hint="eastAsia" w:ascii="宋体" w:hAnsi="宋体"/>
          <w:sz w:val="24"/>
        </w:rPr>
      </w:pPr>
      <w:r>
        <w:rPr>
          <w:rFonts w:ascii="宋体" w:hAnsi="宋体"/>
          <w:sz w:val="24"/>
        </w:rPr>
        <w:t>17.</w:t>
      </w:r>
      <w:r>
        <w:rPr>
          <w:rFonts w:hint="eastAsia" w:ascii="宋体" w:hAnsi="宋体"/>
          <w:sz w:val="24"/>
        </w:rPr>
        <w:t>4</w:t>
      </w:r>
      <w:r>
        <w:rPr>
          <w:rFonts w:ascii="宋体" w:hAnsi="宋体"/>
          <w:sz w:val="24"/>
        </w:rPr>
        <w:t>每一密封件封口上注明“于   年 月  日之前不准启封”的字样，并加盖印章。</w:t>
      </w:r>
    </w:p>
    <w:p w14:paraId="189D9973">
      <w:pPr>
        <w:pStyle w:val="221"/>
        <w:spacing w:line="360" w:lineRule="exact"/>
        <w:ind w:firstLine="480"/>
        <w:rPr>
          <w:rFonts w:hint="eastAsia" w:ascii="宋体" w:hAnsi="宋体"/>
          <w:sz w:val="24"/>
        </w:rPr>
      </w:pPr>
      <w:r>
        <w:rPr>
          <w:rFonts w:ascii="宋体" w:hAnsi="宋体"/>
          <w:sz w:val="24"/>
        </w:rPr>
        <w:t>17.</w:t>
      </w:r>
      <w:r>
        <w:rPr>
          <w:rFonts w:hint="eastAsia" w:ascii="宋体" w:hAnsi="宋体"/>
          <w:sz w:val="24"/>
        </w:rPr>
        <w:t>5</w:t>
      </w:r>
      <w:r>
        <w:rPr>
          <w:rFonts w:ascii="宋体" w:hAnsi="宋体"/>
          <w:sz w:val="24"/>
        </w:rPr>
        <w:t>“投标文件”需由专人送交。投标方应按招标文件中的规定进行密封和标记后，将“投标文件”按照“招标文件”中注明的开标时间和地址送至采购代理机构。</w:t>
      </w:r>
    </w:p>
    <w:p w14:paraId="5E2BA4DD">
      <w:pPr>
        <w:pStyle w:val="221"/>
        <w:spacing w:line="360" w:lineRule="exact"/>
        <w:ind w:firstLine="480"/>
        <w:rPr>
          <w:rFonts w:hint="eastAsia" w:ascii="宋体" w:hAnsi="宋体"/>
          <w:sz w:val="24"/>
        </w:rPr>
      </w:pPr>
      <w:r>
        <w:rPr>
          <w:rFonts w:ascii="宋体" w:hAnsi="宋体"/>
          <w:sz w:val="24"/>
        </w:rPr>
        <w:t>18、递交“投标文件”的时间、地点以及截止时间</w:t>
      </w:r>
    </w:p>
    <w:p w14:paraId="6023395A">
      <w:pPr>
        <w:pStyle w:val="221"/>
        <w:spacing w:line="360" w:lineRule="exact"/>
        <w:ind w:firstLine="468"/>
        <w:rPr>
          <w:rFonts w:hint="eastAsia" w:ascii="宋体" w:hAnsi="宋体"/>
          <w:sz w:val="24"/>
        </w:rPr>
      </w:pPr>
      <w:r>
        <w:rPr>
          <w:rFonts w:ascii="宋体" w:hAnsi="宋体"/>
          <w:sz w:val="24"/>
        </w:rPr>
        <w:t>18.1递交“投标文件”的地点与开标仪式的地点相同。</w:t>
      </w:r>
    </w:p>
    <w:p w14:paraId="57F653B3">
      <w:pPr>
        <w:pStyle w:val="221"/>
        <w:spacing w:line="360" w:lineRule="exact"/>
        <w:ind w:firstLine="468"/>
        <w:rPr>
          <w:rFonts w:hint="eastAsia" w:ascii="宋体" w:hAnsi="宋体"/>
          <w:sz w:val="24"/>
        </w:rPr>
      </w:pPr>
      <w:r>
        <w:rPr>
          <w:rFonts w:ascii="宋体" w:hAnsi="宋体"/>
          <w:sz w:val="24"/>
        </w:rPr>
        <w:t>18.2所有“投标文件”都必须按采购代理机构在“投标邀请函”中规定的投标截止时间之前送至采购代理机构。</w:t>
      </w:r>
    </w:p>
    <w:p w14:paraId="25819930">
      <w:pPr>
        <w:pStyle w:val="221"/>
        <w:spacing w:line="360" w:lineRule="exact"/>
        <w:ind w:firstLine="468"/>
        <w:rPr>
          <w:rFonts w:hint="eastAsia" w:ascii="宋体" w:hAnsi="宋体"/>
          <w:sz w:val="24"/>
        </w:rPr>
      </w:pPr>
      <w:r>
        <w:rPr>
          <w:rFonts w:ascii="宋体" w:hAnsi="宋体"/>
          <w:sz w:val="24"/>
        </w:rPr>
        <w:t>18.3投标人在投标截止时间前，可以对所递交的投标文件进行补充、修改或者撤回，并书面通知采购人或者采购代理机构。补充、修改的内容应当按照招标文件要求签署、盖章、密封后，作为投标文件的组成部分。</w:t>
      </w:r>
    </w:p>
    <w:p w14:paraId="53878155">
      <w:pPr>
        <w:pStyle w:val="221"/>
        <w:spacing w:line="360" w:lineRule="exact"/>
        <w:ind w:firstLine="468"/>
        <w:rPr>
          <w:rFonts w:hint="eastAsia" w:ascii="宋体" w:hAnsi="宋体"/>
          <w:sz w:val="24"/>
        </w:rPr>
      </w:pPr>
      <w:r>
        <w:rPr>
          <w:rFonts w:ascii="宋体" w:hAnsi="宋体"/>
          <w:sz w:val="24"/>
        </w:rPr>
        <w:t>19、迟交的“投标文件”</w:t>
      </w:r>
    </w:p>
    <w:p w14:paraId="5E928CED">
      <w:pPr>
        <w:pStyle w:val="221"/>
        <w:spacing w:line="360" w:lineRule="exact"/>
        <w:ind w:firstLine="468"/>
        <w:rPr>
          <w:rFonts w:hint="eastAsia" w:ascii="宋体" w:hAnsi="宋体"/>
          <w:sz w:val="24"/>
        </w:rPr>
      </w:pPr>
      <w:r>
        <w:rPr>
          <w:rFonts w:ascii="宋体" w:hAnsi="宋体"/>
          <w:sz w:val="24"/>
        </w:rPr>
        <w:t>19.1采购代理机构拒绝接收在投标截止时间后递交的“投标文件”。</w:t>
      </w:r>
    </w:p>
    <w:p w14:paraId="742344F7">
      <w:pPr>
        <w:spacing w:line="360" w:lineRule="exact"/>
        <w:ind w:firstLine="468"/>
        <w:rPr>
          <w:rFonts w:hint="eastAsia" w:ascii="宋体" w:hAnsi="宋体"/>
          <w:sz w:val="24"/>
        </w:rPr>
      </w:pPr>
      <w:r>
        <w:rPr>
          <w:rFonts w:ascii="宋体" w:hAnsi="宋体"/>
          <w:sz w:val="24"/>
        </w:rPr>
        <w:t>19.2投标截止后如投标人少于3名，本次招标将宣布失败，如需要采取其他方式采购，本招标文件可作为其他采购方式的依据，如不改变采购方式，采购代理机构将原封退回收到的任何投标文件，对受影响的投标人不承担任何责任。</w:t>
      </w:r>
    </w:p>
    <w:p w14:paraId="4A357BEF">
      <w:pPr>
        <w:spacing w:line="360" w:lineRule="exact"/>
        <w:jc w:val="center"/>
        <w:rPr>
          <w:rFonts w:hint="eastAsia" w:ascii="宋体" w:hAnsi="宋体"/>
          <w:b/>
          <w:sz w:val="24"/>
        </w:rPr>
      </w:pPr>
      <w:r>
        <w:rPr>
          <w:rFonts w:hint="eastAsia" w:ascii="宋体" w:hAnsi="宋体"/>
          <w:b/>
          <w:sz w:val="24"/>
        </w:rPr>
        <w:t>Ｅ开标和评标</w:t>
      </w:r>
    </w:p>
    <w:p w14:paraId="0ED7565F">
      <w:pPr>
        <w:spacing w:line="360" w:lineRule="exact"/>
        <w:ind w:firstLine="480" w:firstLineChars="200"/>
        <w:rPr>
          <w:rFonts w:hint="eastAsia" w:ascii="宋体" w:hAnsi="宋体"/>
          <w:sz w:val="24"/>
        </w:rPr>
      </w:pPr>
      <w:r>
        <w:rPr>
          <w:rFonts w:hint="eastAsia" w:ascii="宋体" w:hAnsi="宋体"/>
          <w:sz w:val="24"/>
        </w:rPr>
        <w:t>20、开标</w:t>
      </w:r>
    </w:p>
    <w:p w14:paraId="7EB82006">
      <w:pPr>
        <w:spacing w:line="360" w:lineRule="exact"/>
        <w:ind w:firstLine="465"/>
        <w:rPr>
          <w:rFonts w:hint="eastAsia" w:ascii="宋体" w:hAnsi="宋体"/>
          <w:sz w:val="24"/>
        </w:rPr>
      </w:pPr>
      <w:r>
        <w:rPr>
          <w:rFonts w:hint="eastAsia" w:ascii="宋体" w:hAnsi="宋体"/>
          <w:sz w:val="24"/>
        </w:rPr>
        <w:t>20.1采购代理机构在“招标公告”或“投标邀请函”规定的时间和地点公开开标。</w:t>
      </w:r>
    </w:p>
    <w:p w14:paraId="5C002CE8">
      <w:pPr>
        <w:spacing w:line="360" w:lineRule="exact"/>
        <w:ind w:firstLine="465"/>
        <w:rPr>
          <w:rFonts w:hint="eastAsia" w:ascii="宋体" w:hAnsi="宋体"/>
          <w:sz w:val="24"/>
        </w:rPr>
      </w:pPr>
      <w:r>
        <w:rPr>
          <w:rFonts w:hint="eastAsia" w:ascii="宋体" w:hAnsi="宋体"/>
          <w:sz w:val="24"/>
        </w:rPr>
        <w:t>20.2</w:t>
      </w:r>
      <w:r>
        <w:rPr>
          <w:rFonts w:ascii="宋体" w:hAnsi="宋体"/>
          <w:sz w:val="24"/>
        </w:rPr>
        <w:t>投标人不足3家的，不得开标。</w:t>
      </w:r>
    </w:p>
    <w:p w14:paraId="4B040E53">
      <w:pPr>
        <w:spacing w:line="360" w:lineRule="exact"/>
        <w:ind w:firstLine="465"/>
        <w:rPr>
          <w:rFonts w:hint="eastAsia" w:ascii="宋体" w:hAnsi="宋体"/>
          <w:sz w:val="24"/>
        </w:rPr>
      </w:pPr>
      <w:r>
        <w:rPr>
          <w:rFonts w:ascii="宋体" w:hAnsi="宋体"/>
          <w:sz w:val="24"/>
        </w:rPr>
        <w:t>开标过程应当由采购人或者采购代理机构负责记录，由参加开标的各投标人代表和相关工作人员签字确认后随采购文件一并存档。</w:t>
      </w:r>
    </w:p>
    <w:p w14:paraId="1F3B18FC">
      <w:pPr>
        <w:spacing w:line="360" w:lineRule="exact"/>
        <w:rPr>
          <w:rFonts w:hint="eastAsia" w:ascii="宋体" w:hAnsi="宋体"/>
          <w:sz w:val="24"/>
        </w:rPr>
      </w:pPr>
      <w:r>
        <w:rPr>
          <w:rFonts w:ascii="宋体" w:hAnsi="宋体"/>
          <w:sz w:val="24"/>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0CA20D49">
      <w:pPr>
        <w:spacing w:line="360" w:lineRule="exact"/>
        <w:ind w:firstLine="480" w:firstLineChars="200"/>
        <w:rPr>
          <w:rFonts w:hint="eastAsia" w:ascii="宋体" w:hAnsi="宋体"/>
          <w:sz w:val="24"/>
        </w:rPr>
      </w:pPr>
      <w:r>
        <w:rPr>
          <w:rFonts w:ascii="宋体" w:hAnsi="宋体"/>
          <w:sz w:val="24"/>
        </w:rPr>
        <w:t>2</w:t>
      </w:r>
      <w:r>
        <w:rPr>
          <w:rFonts w:hint="eastAsia" w:ascii="宋体" w:hAnsi="宋体"/>
          <w:sz w:val="24"/>
        </w:rPr>
        <w:t>1、评标委员会</w:t>
      </w:r>
    </w:p>
    <w:p w14:paraId="707812FD">
      <w:pPr>
        <w:spacing w:line="360" w:lineRule="exact"/>
        <w:ind w:firstLine="480" w:firstLineChars="200"/>
        <w:rPr>
          <w:rFonts w:hint="eastAsia" w:ascii="宋体" w:hAnsi="宋体"/>
          <w:sz w:val="24"/>
        </w:rPr>
      </w:pPr>
      <w:r>
        <w:rPr>
          <w:rFonts w:hint="eastAsia" w:ascii="宋体" w:hAnsi="宋体"/>
          <w:sz w:val="24"/>
        </w:rPr>
        <w:t>21.1评标委员会是依据《中华人民共和国政府采购法》并结合招标采购货物的特点，组建的专门负责本次招标评标工作的临时性机构，其成员由评审专家组成，成员人数应当为5人以上单数。该委员会独立工作，负责评审所有投标文件并推荐中标候选人。评标委员会对“投标文件”进行审查、质疑、评估和比较。</w:t>
      </w:r>
    </w:p>
    <w:p w14:paraId="58598867">
      <w:pPr>
        <w:spacing w:line="360" w:lineRule="exact"/>
        <w:ind w:firstLine="480" w:firstLineChars="200"/>
        <w:rPr>
          <w:rFonts w:hint="eastAsia"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评标期间，投标人应由法人代表或授权委托人应答必须的询标。</w:t>
      </w:r>
    </w:p>
    <w:p w14:paraId="18429BBB">
      <w:pPr>
        <w:spacing w:line="360" w:lineRule="exact"/>
        <w:ind w:firstLine="480" w:firstLineChars="200"/>
        <w:rPr>
          <w:rFonts w:hint="eastAsia" w:ascii="宋体" w:hAnsi="宋体"/>
          <w:sz w:val="24"/>
        </w:rPr>
      </w:pPr>
      <w:r>
        <w:rPr>
          <w:rFonts w:ascii="宋体" w:hAnsi="宋体"/>
          <w:sz w:val="24"/>
        </w:rPr>
        <w:t>2</w:t>
      </w:r>
      <w:r>
        <w:rPr>
          <w:rFonts w:hint="eastAsia" w:ascii="宋体" w:hAnsi="宋体"/>
          <w:sz w:val="24"/>
        </w:rPr>
        <w:t>2、对“投标文件”的审查和响应性的确定</w:t>
      </w:r>
    </w:p>
    <w:p w14:paraId="4BDA53CF">
      <w:pPr>
        <w:spacing w:line="360" w:lineRule="exact"/>
        <w:ind w:firstLine="480" w:firstLineChars="200"/>
        <w:rPr>
          <w:rFonts w:hint="eastAsia" w:ascii="宋体" w:hAnsi="宋体"/>
          <w:sz w:val="24"/>
        </w:rPr>
      </w:pPr>
      <w:r>
        <w:rPr>
          <w:rFonts w:hint="eastAsia" w:ascii="宋体" w:hAnsi="宋体"/>
          <w:sz w:val="24"/>
        </w:rPr>
        <w:t>22.1</w:t>
      </w:r>
      <w:r>
        <w:rPr>
          <w:rFonts w:hint="eastAsia"/>
          <w:sz w:val="24"/>
        </w:rPr>
        <w:t>开标结束后，采购人或者采购代理机构应当依法对投标人的资格进行审查。</w:t>
      </w:r>
      <w:r>
        <w:rPr>
          <w:rFonts w:hint="eastAsia" w:ascii="宋体" w:hAnsi="宋体"/>
          <w:sz w:val="24"/>
        </w:rPr>
        <w:t>合格投标人不足3家的，不得评标。</w:t>
      </w:r>
    </w:p>
    <w:p w14:paraId="625D8610">
      <w:pPr>
        <w:spacing w:line="360" w:lineRule="exact"/>
        <w:ind w:firstLine="480" w:firstLineChars="200"/>
        <w:rPr>
          <w:rFonts w:hint="eastAsia" w:ascii="宋体" w:hAnsi="宋体"/>
          <w:sz w:val="24"/>
        </w:rPr>
      </w:pPr>
      <w:r>
        <w:rPr>
          <w:rFonts w:ascii="宋体" w:hAnsi="宋体"/>
          <w:sz w:val="24"/>
        </w:rPr>
        <w:t>投标文件报价出现前后不一致的，按照下列规定修正：（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w:t>
      </w:r>
    </w:p>
    <w:p w14:paraId="3D66D3D1">
      <w:pPr>
        <w:spacing w:line="360" w:lineRule="exact"/>
        <w:ind w:firstLine="480" w:firstLineChars="200"/>
        <w:rPr>
          <w:rFonts w:hint="eastAsia" w:ascii="宋体" w:hAnsi="宋体"/>
          <w:sz w:val="24"/>
        </w:rPr>
      </w:pPr>
      <w:r>
        <w:rPr>
          <w:rFonts w:hint="eastAsia" w:ascii="宋体" w:hAnsi="宋体"/>
          <w:sz w:val="24"/>
        </w:rPr>
        <w:t>22.2在对“投标文件”进行详细评估之前，评标委员会将依据招标文件规定对投标人进行符合性审查，没有通过审查的，其投标将被拒绝。</w:t>
      </w:r>
    </w:p>
    <w:p w14:paraId="6F9CD71F">
      <w:pPr>
        <w:spacing w:line="360" w:lineRule="exact"/>
        <w:ind w:firstLine="480" w:firstLineChars="200"/>
        <w:rPr>
          <w:rFonts w:hint="eastAsia" w:ascii="宋体" w:hAnsi="宋体"/>
          <w:sz w:val="24"/>
        </w:rPr>
      </w:pPr>
      <w:r>
        <w:rPr>
          <w:rFonts w:hint="eastAsia" w:ascii="宋体" w:hAnsi="宋体"/>
          <w:sz w:val="24"/>
        </w:rPr>
        <w:t>22.3在评标过程中，评标委员会将确定每份投标是否对“招标文件”的实质性要求，做出了实质性的响应。实质性响应的投标是指符合“招标文件”的实质性条款、条件和规定。评标委员会判断“投标文件”的响应性，仅基于“投标文件”本身而不靠外部证据。</w:t>
      </w:r>
    </w:p>
    <w:p w14:paraId="1ABF6575">
      <w:pPr>
        <w:spacing w:line="360" w:lineRule="exact"/>
        <w:ind w:firstLine="480" w:firstLineChars="200"/>
        <w:rPr>
          <w:rFonts w:hint="eastAsia" w:ascii="宋体" w:hAnsi="宋体"/>
          <w:sz w:val="24"/>
        </w:rPr>
      </w:pPr>
      <w:r>
        <w:rPr>
          <w:rFonts w:hint="eastAsia" w:ascii="宋体" w:hAnsi="宋体"/>
          <w:sz w:val="24"/>
        </w:rPr>
        <w:t>22.3.1实质性偏离是指投标文件未能响应招标文件的要求。以下情况属于实质性偏离：</w:t>
      </w:r>
    </w:p>
    <w:p w14:paraId="237247E6">
      <w:pPr>
        <w:spacing w:line="360" w:lineRule="exact"/>
        <w:ind w:firstLine="480" w:firstLineChars="200"/>
        <w:rPr>
          <w:rFonts w:hint="eastAsia" w:ascii="宋体" w:hAnsi="宋体"/>
          <w:sz w:val="24"/>
        </w:rPr>
      </w:pPr>
      <w:r>
        <w:rPr>
          <w:rFonts w:hint="eastAsia" w:ascii="宋体" w:hAnsi="宋体"/>
          <w:sz w:val="24"/>
        </w:rPr>
        <w:t>（1）投标文件载明的招标项目完成期限超过了招标文件规定的期限；</w:t>
      </w:r>
    </w:p>
    <w:p w14:paraId="0DC74AFD">
      <w:pPr>
        <w:spacing w:line="360" w:lineRule="exact"/>
        <w:ind w:firstLine="480"/>
        <w:rPr>
          <w:rFonts w:hint="eastAsia" w:ascii="宋体" w:hAnsi="宋体"/>
          <w:sz w:val="24"/>
        </w:rPr>
      </w:pPr>
      <w:r>
        <w:rPr>
          <w:rFonts w:hint="eastAsia" w:ascii="宋体" w:hAnsi="宋体"/>
          <w:sz w:val="24"/>
        </w:rPr>
        <w:t>（2）投标人的投标报价超过了采购人的预算最高限价；</w:t>
      </w:r>
    </w:p>
    <w:p w14:paraId="504853D9">
      <w:pPr>
        <w:spacing w:line="360" w:lineRule="exact"/>
        <w:ind w:firstLine="480"/>
        <w:rPr>
          <w:rFonts w:hint="eastAsia" w:ascii="宋体" w:hAnsi="宋体"/>
          <w:sz w:val="24"/>
        </w:rPr>
      </w:pPr>
      <w:r>
        <w:rPr>
          <w:rFonts w:hint="eastAsia" w:ascii="宋体" w:hAnsi="宋体"/>
          <w:sz w:val="24"/>
        </w:rPr>
        <w:t>（3）投标文件中附有采购人不能接受的条件；</w:t>
      </w:r>
    </w:p>
    <w:p w14:paraId="3930E8EC">
      <w:pPr>
        <w:spacing w:line="360" w:lineRule="exact"/>
        <w:ind w:firstLine="480"/>
        <w:rPr>
          <w:rFonts w:hint="eastAsia" w:ascii="宋体" w:hAnsi="宋体"/>
          <w:sz w:val="24"/>
        </w:rPr>
      </w:pPr>
      <w:r>
        <w:rPr>
          <w:rFonts w:hint="eastAsia" w:ascii="宋体" w:hAnsi="宋体"/>
          <w:sz w:val="24"/>
        </w:rPr>
        <w:t>投标文件有上述情形之一的，在评标时视为：对招标文件要求有实质性偏离处理。</w:t>
      </w:r>
    </w:p>
    <w:p w14:paraId="4DA5E3D6">
      <w:pPr>
        <w:spacing w:line="360" w:lineRule="exact"/>
        <w:ind w:firstLine="480"/>
        <w:rPr>
          <w:rFonts w:hint="eastAsia" w:ascii="宋体" w:hAnsi="宋体"/>
          <w:sz w:val="24"/>
        </w:rPr>
      </w:pPr>
      <w:r>
        <w:rPr>
          <w:rFonts w:hint="eastAsia" w:ascii="宋体" w:hAnsi="宋体"/>
          <w:sz w:val="24"/>
        </w:rPr>
        <w:t>22.3.2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2310CB4">
      <w:pPr>
        <w:spacing w:line="360" w:lineRule="exact"/>
        <w:ind w:firstLine="480"/>
        <w:rPr>
          <w:rFonts w:hint="eastAsia" w:ascii="宋体" w:hAnsi="宋体"/>
          <w:sz w:val="24"/>
        </w:rPr>
      </w:pPr>
      <w:r>
        <w:rPr>
          <w:rFonts w:hint="eastAsia"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F1B26CC">
      <w:pPr>
        <w:spacing w:line="360" w:lineRule="exact"/>
        <w:ind w:firstLine="480"/>
        <w:rPr>
          <w:rFonts w:hint="eastAsia" w:ascii="宋体" w:hAnsi="宋体"/>
          <w:sz w:val="24"/>
        </w:rPr>
      </w:pPr>
      <w:r>
        <w:rPr>
          <w:rFonts w:hint="eastAsia" w:ascii="宋体" w:hAnsi="宋体"/>
          <w:sz w:val="24"/>
        </w:rPr>
        <w:t>非单一产品采购项目，采购人应当根据采购项目技术构成、产品价格比重等合理确定核心产品，并在招标文件中载明。多家投标人提供的核心产品品牌相同的，按前两款规定处理。核心</w:t>
      </w:r>
      <w:r>
        <w:rPr>
          <w:rFonts w:ascii="宋体" w:hAnsi="宋体"/>
          <w:sz w:val="24"/>
        </w:rPr>
        <w:t>产品详见</w:t>
      </w:r>
      <w:r>
        <w:rPr>
          <w:rFonts w:hint="eastAsia" w:ascii="宋体" w:hAnsi="宋体"/>
          <w:sz w:val="24"/>
        </w:rPr>
        <w:t>“采购需求”。</w:t>
      </w:r>
    </w:p>
    <w:p w14:paraId="6F95FBA3">
      <w:pPr>
        <w:spacing w:line="360" w:lineRule="exact"/>
        <w:ind w:firstLine="480"/>
        <w:rPr>
          <w:rFonts w:hint="eastAsia" w:ascii="宋体" w:hAnsi="宋体"/>
          <w:sz w:val="24"/>
        </w:rPr>
      </w:pPr>
      <w:r>
        <w:rPr>
          <w:rFonts w:hint="eastAsia" w:ascii="宋体" w:hAnsi="宋体"/>
          <w:sz w:val="24"/>
        </w:rPr>
        <w:t>22.3.3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572B5554">
      <w:pPr>
        <w:spacing w:line="360" w:lineRule="exact"/>
        <w:ind w:firstLine="480"/>
        <w:rPr>
          <w:rFonts w:hint="eastAsia" w:ascii="宋体" w:hAnsi="宋体"/>
          <w:sz w:val="24"/>
        </w:rPr>
      </w:pPr>
      <w:r>
        <w:rPr>
          <w:rFonts w:hint="eastAsia" w:ascii="宋体" w:hAnsi="宋体"/>
          <w:sz w:val="24"/>
        </w:rPr>
        <w:t>（1）文字表述的内容含义不明确；</w:t>
      </w:r>
    </w:p>
    <w:p w14:paraId="5AEBC497">
      <w:pPr>
        <w:spacing w:line="360" w:lineRule="exact"/>
        <w:ind w:firstLine="480"/>
        <w:rPr>
          <w:rFonts w:hint="eastAsia" w:ascii="宋体" w:hAnsi="宋体"/>
          <w:sz w:val="24"/>
        </w:rPr>
      </w:pPr>
      <w:r>
        <w:rPr>
          <w:rFonts w:hint="eastAsia" w:ascii="宋体" w:hAnsi="宋体"/>
          <w:sz w:val="24"/>
        </w:rPr>
        <w:t>（2）同类问题表述不一致；</w:t>
      </w:r>
    </w:p>
    <w:p w14:paraId="606E03E7">
      <w:pPr>
        <w:spacing w:line="360" w:lineRule="exact"/>
        <w:ind w:firstLine="480"/>
        <w:rPr>
          <w:rFonts w:hint="eastAsia" w:ascii="宋体" w:hAnsi="宋体"/>
          <w:sz w:val="24"/>
        </w:rPr>
      </w:pPr>
      <w:r>
        <w:rPr>
          <w:rFonts w:hint="eastAsia" w:ascii="宋体" w:hAnsi="宋体"/>
          <w:sz w:val="24"/>
        </w:rPr>
        <w:t>（3）有明显文字和计算错误；</w:t>
      </w:r>
    </w:p>
    <w:p w14:paraId="63337E46">
      <w:pPr>
        <w:spacing w:line="360" w:lineRule="exact"/>
        <w:ind w:firstLine="480"/>
        <w:rPr>
          <w:rFonts w:hint="eastAsia" w:ascii="宋体" w:hAnsi="宋体"/>
          <w:sz w:val="24"/>
        </w:rPr>
      </w:pPr>
      <w:r>
        <w:rPr>
          <w:rFonts w:hint="eastAsia" w:ascii="宋体" w:hAnsi="宋体"/>
          <w:sz w:val="24"/>
        </w:rPr>
        <w:t>（4）提供的技术信息和数据资料不完整；</w:t>
      </w:r>
    </w:p>
    <w:p w14:paraId="0F3BC954">
      <w:pPr>
        <w:spacing w:line="360" w:lineRule="exact"/>
        <w:ind w:firstLine="480"/>
        <w:rPr>
          <w:rFonts w:hint="eastAsia" w:ascii="宋体" w:hAnsi="宋体"/>
          <w:sz w:val="24"/>
        </w:rPr>
      </w:pPr>
      <w:r>
        <w:rPr>
          <w:rFonts w:hint="eastAsia" w:ascii="宋体" w:hAnsi="宋体"/>
          <w:sz w:val="24"/>
        </w:rPr>
        <w:t>（5）投标文件未按招标文件要求进行装订或未编制目录、页码；</w:t>
      </w:r>
    </w:p>
    <w:p w14:paraId="446F855B">
      <w:pPr>
        <w:spacing w:line="360" w:lineRule="exact"/>
        <w:ind w:firstLine="480"/>
        <w:rPr>
          <w:rFonts w:hint="eastAsia" w:ascii="宋体" w:hAnsi="宋体"/>
          <w:sz w:val="24"/>
        </w:rPr>
      </w:pPr>
      <w:r>
        <w:rPr>
          <w:rFonts w:hint="eastAsia" w:ascii="宋体" w:hAnsi="宋体"/>
          <w:sz w:val="24"/>
        </w:rPr>
        <w:t>（6）评标委员会认定的其他非实质性偏离。</w:t>
      </w:r>
    </w:p>
    <w:p w14:paraId="5B957ADC">
      <w:pPr>
        <w:spacing w:line="360" w:lineRule="exact"/>
        <w:ind w:firstLine="480"/>
        <w:rPr>
          <w:rFonts w:hint="eastAsia" w:ascii="宋体" w:hAnsi="宋体"/>
          <w:sz w:val="24"/>
        </w:rPr>
      </w:pPr>
      <w:r>
        <w:rPr>
          <w:rFonts w:hint="eastAsia" w:ascii="宋体" w:hAnsi="宋体"/>
          <w:sz w:val="24"/>
        </w:rPr>
        <w:t>投标文件有上述（1）--（4）情形之一的，</w:t>
      </w:r>
      <w:r>
        <w:rPr>
          <w:rFonts w:ascii="宋体" w:hAnsi="宋体" w:cs="Arial"/>
          <w:kern w:val="0"/>
          <w:sz w:val="24"/>
        </w:rPr>
        <w:t>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sz w:val="24"/>
        </w:rPr>
        <w:t>澄清、说明、补正的内容也不能说明问题的，视为投标文件制作不规范。按每一项非实质性偏离进行扣分处理，直至该项分值扣完为止。评标委员会不接受投标人主动提出的澄清、说明或补正。</w:t>
      </w:r>
    </w:p>
    <w:p w14:paraId="2FF4B1C6">
      <w:pPr>
        <w:spacing w:line="360" w:lineRule="exact"/>
        <w:ind w:firstLine="480"/>
        <w:rPr>
          <w:rFonts w:hint="eastAsia" w:ascii="宋体" w:hAnsi="宋体"/>
          <w:sz w:val="24"/>
        </w:rPr>
      </w:pPr>
      <w:r>
        <w:rPr>
          <w:rFonts w:hint="eastAsia" w:ascii="宋体" w:hAnsi="宋体"/>
          <w:sz w:val="24"/>
        </w:rPr>
        <w:t>22.3.4 在投标文件初审过程中，如果出现评标委员会成员意见不一致的情况，按照少数服从多数的原则确定。</w:t>
      </w:r>
    </w:p>
    <w:p w14:paraId="2D37A80A">
      <w:pPr>
        <w:spacing w:line="360" w:lineRule="exact"/>
        <w:ind w:firstLine="482" w:firstLineChars="200"/>
        <w:rPr>
          <w:rFonts w:ascii="宋体"/>
          <w:b/>
          <w:kern w:val="0"/>
          <w:sz w:val="24"/>
        </w:rPr>
      </w:pPr>
      <w:r>
        <w:rPr>
          <w:rFonts w:hint="eastAsia" w:ascii="宋体"/>
          <w:b/>
          <w:kern w:val="0"/>
          <w:sz w:val="24"/>
        </w:rPr>
        <w:t>2</w:t>
      </w:r>
      <w:r>
        <w:rPr>
          <w:rFonts w:ascii="宋体"/>
          <w:b/>
          <w:kern w:val="0"/>
          <w:sz w:val="24"/>
        </w:rPr>
        <w:t>2.</w:t>
      </w:r>
      <w:r>
        <w:rPr>
          <w:rFonts w:hint="eastAsia" w:ascii="宋体"/>
          <w:b/>
          <w:kern w:val="0"/>
          <w:sz w:val="24"/>
        </w:rPr>
        <w:t>4如投标人提交的投标文件为虚假材料的，按无效标处理。</w:t>
      </w:r>
    </w:p>
    <w:p w14:paraId="37A54BFA">
      <w:pPr>
        <w:spacing w:line="360" w:lineRule="exact"/>
        <w:ind w:firstLine="480" w:firstLineChars="200"/>
        <w:rPr>
          <w:rFonts w:hint="eastAsia" w:ascii="宋体" w:hAnsi="宋体"/>
          <w:sz w:val="24"/>
        </w:rPr>
      </w:pPr>
      <w:r>
        <w:rPr>
          <w:rFonts w:ascii="宋体" w:hAnsi="宋体"/>
          <w:sz w:val="24"/>
        </w:rPr>
        <w:t>2</w:t>
      </w:r>
      <w:r>
        <w:rPr>
          <w:rFonts w:hint="eastAsia" w:ascii="宋体" w:hAnsi="宋体"/>
          <w:sz w:val="24"/>
        </w:rPr>
        <w:t>3、投标文件的澄清</w:t>
      </w:r>
    </w:p>
    <w:p w14:paraId="2E7D4BF1">
      <w:pPr>
        <w:spacing w:line="360" w:lineRule="exact"/>
        <w:ind w:firstLine="480" w:firstLineChars="200"/>
        <w:rPr>
          <w:rFonts w:hint="eastAsia" w:ascii="宋体" w:hAnsi="宋体"/>
          <w:sz w:val="24"/>
        </w:rPr>
      </w:pPr>
      <w:r>
        <w:rPr>
          <w:rFonts w:hint="eastAsia" w:ascii="宋体" w:hAnsi="宋体"/>
          <w:sz w:val="24"/>
        </w:rPr>
        <w:t>23.1为了有助于对“投标文件”进行审查、评估和比较，评标委员会有权向投标人提出质疑，并请投标人澄清其投标内容。投标人有责任，按照采购代理机构通知的时间、地点，指派专人进行答疑和澄清。</w:t>
      </w:r>
    </w:p>
    <w:p w14:paraId="3022483A">
      <w:pPr>
        <w:jc w:val="center"/>
        <w:rPr>
          <w:rFonts w:hint="eastAsia" w:ascii="宋体" w:hAnsi="宋体"/>
          <w:sz w:val="24"/>
        </w:rPr>
      </w:pPr>
      <w:r>
        <w:rPr>
          <w:rFonts w:hint="eastAsia" w:ascii="宋体" w:hAnsi="宋体"/>
          <w:sz w:val="24"/>
        </w:rPr>
        <w:t>23.2重要的澄清答复应是书面的，但不得对投标内容进行实质性修改。</w:t>
      </w:r>
    </w:p>
    <w:p w14:paraId="57D52ECB">
      <w:pPr>
        <w:spacing w:line="360" w:lineRule="exact"/>
        <w:jc w:val="center"/>
        <w:rPr>
          <w:rFonts w:hint="eastAsia" w:ascii="宋体" w:hAnsi="宋体"/>
          <w:b/>
          <w:sz w:val="24"/>
        </w:rPr>
      </w:pPr>
      <w:r>
        <w:rPr>
          <w:rFonts w:hint="eastAsia" w:ascii="宋体" w:hAnsi="宋体"/>
          <w:b/>
          <w:sz w:val="24"/>
        </w:rPr>
        <w:t>F  授予合同</w:t>
      </w:r>
    </w:p>
    <w:p w14:paraId="22768088">
      <w:pPr>
        <w:spacing w:line="360" w:lineRule="exact"/>
        <w:ind w:left="479" w:leftChars="228"/>
        <w:jc w:val="left"/>
        <w:rPr>
          <w:rFonts w:hint="eastAsia" w:ascii="宋体" w:hAnsi="宋体"/>
          <w:b/>
          <w:sz w:val="24"/>
        </w:rPr>
      </w:pPr>
      <w:r>
        <w:rPr>
          <w:rFonts w:hint="eastAsia" w:ascii="宋体" w:hAnsi="宋体"/>
          <w:sz w:val="24"/>
        </w:rPr>
        <w:t>24、定标原则</w:t>
      </w:r>
    </w:p>
    <w:p w14:paraId="2626132F">
      <w:pPr>
        <w:spacing w:line="360" w:lineRule="exact"/>
        <w:ind w:left="479" w:leftChars="228"/>
        <w:jc w:val="left"/>
        <w:rPr>
          <w:rFonts w:hint="eastAsia" w:ascii="宋体" w:hAnsi="宋体"/>
          <w:b/>
          <w:sz w:val="24"/>
        </w:rPr>
      </w:pPr>
      <w:r>
        <w:rPr>
          <w:rFonts w:hint="eastAsia" w:ascii="宋体" w:hAnsi="宋体"/>
          <w:sz w:val="24"/>
        </w:rPr>
        <w:t>24.1严格按照“招标文件”的要求和条件进行评标，择优定标。</w:t>
      </w:r>
    </w:p>
    <w:p w14:paraId="05ACC86E">
      <w:pPr>
        <w:pStyle w:val="27"/>
        <w:spacing w:line="360" w:lineRule="exact"/>
        <w:ind w:firstLine="480" w:firstLineChars="200"/>
        <w:rPr>
          <w:rFonts w:hint="eastAsia" w:ascii="宋体" w:hAnsi="宋体"/>
          <w:sz w:val="24"/>
        </w:rPr>
      </w:pPr>
      <w:r>
        <w:rPr>
          <w:rFonts w:hint="eastAsia" w:ascii="宋体" w:hAnsi="宋体"/>
          <w:sz w:val="24"/>
        </w:rPr>
        <w:t>24.2本次招标，合同将授予符合“招标文件”的要求，并且性价比最合理，能提供最佳服务的投标者。</w:t>
      </w:r>
    </w:p>
    <w:p w14:paraId="4F124DDC">
      <w:pPr>
        <w:spacing w:line="360" w:lineRule="exact"/>
        <w:ind w:firstLine="480" w:firstLineChars="200"/>
        <w:rPr>
          <w:rFonts w:hint="eastAsia" w:ascii="宋体" w:hAnsi="宋体"/>
          <w:sz w:val="24"/>
        </w:rPr>
      </w:pPr>
      <w:r>
        <w:rPr>
          <w:rFonts w:hint="eastAsia" w:ascii="宋体" w:hAnsi="宋体"/>
          <w:sz w:val="24"/>
        </w:rPr>
        <w:t>24.3不能保证最低报价的投标最终中标。</w:t>
      </w:r>
    </w:p>
    <w:p w14:paraId="1A166D47">
      <w:pPr>
        <w:spacing w:line="360" w:lineRule="exact"/>
        <w:ind w:firstLine="480" w:firstLineChars="200"/>
        <w:rPr>
          <w:rFonts w:hint="eastAsia" w:ascii="宋体" w:hAnsi="宋体"/>
          <w:sz w:val="24"/>
        </w:rPr>
      </w:pPr>
      <w:r>
        <w:rPr>
          <w:rFonts w:hint="eastAsia" w:ascii="宋体" w:hAnsi="宋体"/>
          <w:sz w:val="24"/>
        </w:rPr>
        <w:t>24.4评标结束后，采购代理机构组织编写评标报告，采购人根据评标报告和授标建议书推荐的中标候选供应商确定中标人，并送报采购管理机关备案。</w:t>
      </w:r>
    </w:p>
    <w:p w14:paraId="03D363EE">
      <w:pPr>
        <w:widowControl/>
        <w:spacing w:line="360" w:lineRule="exact"/>
        <w:ind w:firstLine="480" w:firstLineChars="200"/>
        <w:rPr>
          <w:rFonts w:hint="eastAsia" w:ascii="宋体" w:hAnsi="宋体" w:cs="宋体"/>
          <w:kern w:val="0"/>
          <w:sz w:val="24"/>
        </w:rPr>
      </w:pPr>
      <w:r>
        <w:rPr>
          <w:rFonts w:hint="eastAsia" w:ascii="宋体" w:hAnsi="宋体"/>
          <w:sz w:val="24"/>
        </w:rPr>
        <w:t>24.5根据评标办法推荐出一至三人为中标候选人，并标明排列顺序。采购人将确定排名第一的中标候选人为中标人并向其授予合同。</w:t>
      </w:r>
      <w:r>
        <w:rPr>
          <w:rFonts w:ascii="宋体" w:hAnsi="宋体"/>
          <w:sz w:val="24"/>
        </w:rPr>
        <w:t>中标或者</w:t>
      </w:r>
      <w:r>
        <w:rPr>
          <w:rFonts w:hint="eastAsia" w:ascii="宋体" w:hAnsi="宋体"/>
          <w:sz w:val="24"/>
        </w:rPr>
        <w:t>中标</w:t>
      </w:r>
      <w:r>
        <w:rPr>
          <w:rFonts w:ascii="宋体" w:hAnsi="宋体"/>
          <w:sz w:val="24"/>
        </w:rPr>
        <w:t>供应商拒绝与采购人签订合同的，采购人可以按照评审报告推荐的中标或者</w:t>
      </w:r>
      <w:r>
        <w:rPr>
          <w:rFonts w:hint="eastAsia" w:ascii="宋体" w:hAnsi="宋体"/>
          <w:sz w:val="24"/>
        </w:rPr>
        <w:t>中标</w:t>
      </w:r>
      <w:r>
        <w:rPr>
          <w:rFonts w:ascii="宋体" w:hAnsi="宋体"/>
          <w:sz w:val="24"/>
        </w:rPr>
        <w:t>候选人名单排序，确定下一候选人为中标或者</w:t>
      </w:r>
      <w:r>
        <w:rPr>
          <w:rFonts w:hint="eastAsia" w:ascii="宋体" w:hAnsi="宋体"/>
          <w:sz w:val="24"/>
        </w:rPr>
        <w:t>中标</w:t>
      </w:r>
      <w:r>
        <w:rPr>
          <w:rFonts w:ascii="宋体" w:hAnsi="宋体"/>
          <w:sz w:val="24"/>
        </w:rPr>
        <w:t>供应商，也可以重新开展政府采购活动</w:t>
      </w:r>
      <w:r>
        <w:rPr>
          <w:rFonts w:hint="eastAsia" w:ascii="宋体" w:hAnsi="宋体"/>
          <w:sz w:val="24"/>
        </w:rPr>
        <w:t>。或因供应商对采购过程、中标或者中标结果提出的质疑，合格供应商符合法定数量时，可以从合格的中标或者中标候选人中另行确定中标、中标供应商的，应当依法另行确定中标、中标供应商；否则应当重新开展采购活动。采购人对影响的投标人不承担任何责任。</w:t>
      </w:r>
      <w:r>
        <w:rPr>
          <w:rFonts w:hint="eastAsia" w:ascii="宋体" w:hAnsi="宋体" w:cs="宋体"/>
          <w:kern w:val="0"/>
          <w:sz w:val="24"/>
        </w:rPr>
        <w:t>中标人将在指定的网站上公示。</w:t>
      </w:r>
    </w:p>
    <w:p w14:paraId="6469A4B6">
      <w:pPr>
        <w:spacing w:line="360" w:lineRule="exact"/>
        <w:ind w:firstLine="480" w:firstLineChars="200"/>
        <w:rPr>
          <w:rFonts w:hint="eastAsia" w:ascii="宋体" w:hAnsi="宋体"/>
          <w:sz w:val="24"/>
        </w:rPr>
      </w:pPr>
      <w:r>
        <w:rPr>
          <w:rFonts w:hint="eastAsia" w:ascii="宋体" w:hAnsi="宋体"/>
          <w:sz w:val="24"/>
        </w:rPr>
        <w:t>25、中标通知</w:t>
      </w:r>
    </w:p>
    <w:p w14:paraId="1E35C55D">
      <w:pPr>
        <w:spacing w:line="360" w:lineRule="exact"/>
        <w:rPr>
          <w:rFonts w:hint="eastAsia" w:ascii="宋体" w:hAnsi="宋体"/>
          <w:sz w:val="24"/>
        </w:rPr>
      </w:pPr>
      <w:r>
        <w:rPr>
          <w:rFonts w:hint="eastAsia" w:ascii="宋体" w:hAnsi="宋体"/>
          <w:sz w:val="24"/>
        </w:rPr>
        <w:t xml:space="preserve">    25.1评标结束后，根据评标委员会裁定的结果，由海南省教学仪器设备招标中心有限公司签发《中标通知书》。</w:t>
      </w:r>
    </w:p>
    <w:p w14:paraId="7959F80B">
      <w:pPr>
        <w:spacing w:line="360" w:lineRule="exact"/>
        <w:ind w:firstLine="480" w:firstLineChars="200"/>
        <w:rPr>
          <w:rFonts w:hint="eastAsia" w:ascii="宋体" w:hAnsi="宋体"/>
          <w:sz w:val="24"/>
        </w:rPr>
      </w:pPr>
      <w:r>
        <w:rPr>
          <w:rFonts w:hint="eastAsia" w:ascii="宋体" w:hAnsi="宋体"/>
          <w:sz w:val="24"/>
        </w:rPr>
        <w:t>25.2《中标通知书》将作为签订合同的重要依据。</w:t>
      </w:r>
    </w:p>
    <w:p w14:paraId="52EC344B">
      <w:pPr>
        <w:spacing w:line="360" w:lineRule="exact"/>
        <w:ind w:firstLine="360" w:firstLineChars="150"/>
        <w:rPr>
          <w:rFonts w:hint="eastAsia" w:ascii="宋体" w:hAnsi="宋体"/>
          <w:sz w:val="24"/>
        </w:rPr>
      </w:pPr>
      <w:r>
        <w:rPr>
          <w:rFonts w:hint="eastAsia" w:ascii="宋体" w:hAnsi="宋体"/>
          <w:sz w:val="24"/>
        </w:rPr>
        <w:t>26、授予合同时变更数量的权力</w:t>
      </w:r>
    </w:p>
    <w:p w14:paraId="080017CD">
      <w:pPr>
        <w:spacing w:line="360" w:lineRule="exact"/>
        <w:ind w:firstLine="360"/>
        <w:rPr>
          <w:rFonts w:hint="eastAsia" w:ascii="宋体" w:hAnsi="宋体"/>
          <w:sz w:val="24"/>
        </w:rPr>
      </w:pPr>
      <w:r>
        <w:rPr>
          <w:rFonts w:hint="eastAsia" w:ascii="宋体" w:hAnsi="宋体"/>
          <w:sz w:val="24"/>
        </w:rPr>
        <w:t>采购代理机构在授予合同时，可根据采购人的需求的情况，对“招标货物一览表”中列明的货物的数量和服务予以增加或减少，额度不大于10%。</w:t>
      </w:r>
    </w:p>
    <w:p w14:paraId="7A559669">
      <w:pPr>
        <w:spacing w:line="360" w:lineRule="exact"/>
        <w:ind w:firstLine="360" w:firstLineChars="150"/>
        <w:rPr>
          <w:rFonts w:hint="eastAsia" w:ascii="宋体" w:hAnsi="宋体"/>
          <w:sz w:val="24"/>
        </w:rPr>
      </w:pPr>
      <w:r>
        <w:rPr>
          <w:rFonts w:hint="eastAsia" w:ascii="宋体" w:hAnsi="宋体"/>
          <w:sz w:val="24"/>
        </w:rPr>
        <w:t>27、签订合同</w:t>
      </w:r>
    </w:p>
    <w:p w14:paraId="5FECDBD6">
      <w:pPr>
        <w:snapToGrid w:val="0"/>
        <w:spacing w:line="360" w:lineRule="exact"/>
        <w:rPr>
          <w:rFonts w:hint="eastAsia" w:ascii="宋体" w:hAnsi="宋体"/>
          <w:sz w:val="24"/>
        </w:rPr>
      </w:pPr>
      <w:r>
        <w:rPr>
          <w:rFonts w:hint="eastAsia" w:ascii="宋体" w:hAnsi="宋体"/>
          <w:sz w:val="24"/>
        </w:rPr>
        <w:t xml:space="preserve">    27.1中标方应按《中标通知书》指定的时间、地点与采购人签订合同，采购代理机构予以鉴证。</w:t>
      </w:r>
    </w:p>
    <w:p w14:paraId="42272D28">
      <w:pPr>
        <w:spacing w:line="360" w:lineRule="exact"/>
        <w:ind w:firstLine="480"/>
        <w:rPr>
          <w:rFonts w:hint="eastAsia" w:ascii="宋体" w:hAnsi="宋体"/>
          <w:sz w:val="24"/>
        </w:rPr>
      </w:pPr>
      <w:r>
        <w:rPr>
          <w:rFonts w:hint="eastAsia" w:ascii="宋体" w:hAnsi="宋体"/>
          <w:sz w:val="24"/>
        </w:rPr>
        <w:t>27.2、《中标通知书》中标方的“投标文件”及其澄清文件等，均为签订经济合同的依据。</w:t>
      </w:r>
      <w:r>
        <w:rPr>
          <w:rFonts w:hint="eastAsia" w:ascii="宋体" w:hAnsi="宋体" w:cs="宋体"/>
          <w:kern w:val="0"/>
          <w:sz w:val="24"/>
        </w:rPr>
        <w:t>中标供应商不得延误合同签订、仪器设备交付时间（除业主单位施工现场不具备条件外）。</w:t>
      </w:r>
    </w:p>
    <w:p w14:paraId="1A85A201">
      <w:pPr>
        <w:spacing w:line="360" w:lineRule="exact"/>
        <w:ind w:firstLine="360" w:firstLineChars="150"/>
        <w:rPr>
          <w:rFonts w:hint="eastAsia" w:ascii="宋体" w:hAnsi="宋体"/>
          <w:sz w:val="24"/>
        </w:rPr>
      </w:pPr>
      <w:r>
        <w:rPr>
          <w:rFonts w:hint="eastAsia" w:ascii="宋体" w:hAnsi="宋体"/>
          <w:sz w:val="24"/>
        </w:rPr>
        <w:t>28、中标服务费</w:t>
      </w:r>
    </w:p>
    <w:p w14:paraId="0CE3A6B1">
      <w:pPr>
        <w:spacing w:line="360" w:lineRule="exact"/>
        <w:rPr>
          <w:rFonts w:hint="eastAsia" w:ascii="宋体" w:hAnsi="宋体"/>
          <w:sz w:val="24"/>
        </w:rPr>
      </w:pPr>
      <w:r>
        <w:rPr>
          <w:rFonts w:hint="eastAsia" w:ascii="宋体" w:hAnsi="宋体"/>
          <w:sz w:val="24"/>
        </w:rPr>
        <w:t xml:space="preserve">   28.1中标方应向海南省教学仪器设备招标中心有限公司支付的中标服务费。</w:t>
      </w:r>
    </w:p>
    <w:p w14:paraId="4EA6DB45">
      <w:pPr>
        <w:spacing w:line="360" w:lineRule="exact"/>
        <w:ind w:firstLine="360" w:firstLineChars="150"/>
        <w:rPr>
          <w:rFonts w:hint="eastAsia" w:ascii="宋体" w:hAnsi="宋体"/>
          <w:sz w:val="24"/>
        </w:rPr>
      </w:pPr>
      <w:r>
        <w:rPr>
          <w:rFonts w:hint="eastAsia" w:ascii="宋体" w:hAnsi="宋体"/>
          <w:sz w:val="24"/>
        </w:rPr>
        <w:t>28.2</w:t>
      </w:r>
      <w:r>
        <w:rPr>
          <w:rFonts w:hint="eastAsia" w:ascii="宋体"/>
          <w:b/>
          <w:bCs/>
          <w:color w:val="000000"/>
          <w:kern w:val="0"/>
          <w:sz w:val="24"/>
        </w:rPr>
        <w:t>中标方应向海南省教学仪器设备招标中心支付中标服务费，中标服务费参照“计价格【2002】1980 号”规定收取。</w:t>
      </w:r>
    </w:p>
    <w:p w14:paraId="17097F35"/>
    <w:p w14:paraId="181A2B0B"/>
    <w:p w14:paraId="1E660E2A"/>
    <w:p w14:paraId="61D74450">
      <w:pPr>
        <w:jc w:val="center"/>
        <w:rPr>
          <w:rFonts w:hint="eastAsia" w:ascii="宋体" w:hAnsi="宋体"/>
          <w:b/>
          <w:sz w:val="32"/>
          <w:szCs w:val="32"/>
        </w:rPr>
      </w:pPr>
    </w:p>
    <w:p w14:paraId="6E176D73">
      <w:pPr>
        <w:jc w:val="center"/>
        <w:rPr>
          <w:rFonts w:hint="eastAsia" w:ascii="宋体" w:hAnsi="宋体"/>
          <w:b/>
          <w:sz w:val="32"/>
          <w:szCs w:val="32"/>
        </w:rPr>
      </w:pPr>
    </w:p>
    <w:p w14:paraId="6EB8BB04">
      <w:pPr>
        <w:jc w:val="center"/>
        <w:rPr>
          <w:rFonts w:hint="eastAsia" w:ascii="宋体" w:hAnsi="宋体"/>
          <w:b/>
          <w:sz w:val="32"/>
          <w:szCs w:val="32"/>
        </w:rPr>
      </w:pPr>
    </w:p>
    <w:p w14:paraId="336BB809">
      <w:pPr>
        <w:jc w:val="center"/>
        <w:rPr>
          <w:rFonts w:hint="eastAsia" w:ascii="宋体" w:hAnsi="宋体"/>
          <w:b/>
          <w:sz w:val="32"/>
          <w:szCs w:val="32"/>
        </w:rPr>
      </w:pPr>
    </w:p>
    <w:p w14:paraId="6436FF86">
      <w:pPr>
        <w:jc w:val="center"/>
        <w:rPr>
          <w:rFonts w:hint="eastAsia" w:ascii="宋体" w:hAnsi="宋体"/>
          <w:b/>
          <w:sz w:val="32"/>
          <w:szCs w:val="32"/>
        </w:rPr>
      </w:pPr>
    </w:p>
    <w:p w14:paraId="6617CCD7">
      <w:pPr>
        <w:rPr>
          <w:rFonts w:hint="eastAsia" w:ascii="宋体" w:hAnsi="宋体"/>
          <w:b/>
          <w:sz w:val="32"/>
          <w:szCs w:val="32"/>
        </w:rPr>
      </w:pPr>
    </w:p>
    <w:p w14:paraId="75F23F92">
      <w:pPr>
        <w:jc w:val="center"/>
        <w:rPr>
          <w:rFonts w:hint="eastAsia" w:ascii="宋体" w:hAnsi="宋体"/>
          <w:b/>
          <w:sz w:val="32"/>
          <w:szCs w:val="32"/>
        </w:rPr>
      </w:pPr>
    </w:p>
    <w:p w14:paraId="3F7FF702">
      <w:pPr>
        <w:jc w:val="center"/>
        <w:rPr>
          <w:rFonts w:hint="eastAsia" w:ascii="宋体" w:hAnsi="宋体"/>
          <w:b/>
          <w:sz w:val="32"/>
          <w:szCs w:val="32"/>
        </w:rPr>
      </w:pPr>
      <w:r>
        <w:rPr>
          <w:rFonts w:hint="eastAsia" w:ascii="宋体" w:hAnsi="宋体"/>
          <w:b/>
          <w:sz w:val="32"/>
          <w:szCs w:val="32"/>
        </w:rPr>
        <w:t>第三章采购</w:t>
      </w:r>
      <w:r>
        <w:rPr>
          <w:rFonts w:ascii="宋体" w:hAnsi="宋体"/>
          <w:b/>
          <w:sz w:val="32"/>
          <w:szCs w:val="32"/>
        </w:rPr>
        <w:t>需求</w:t>
      </w:r>
      <w:bookmarkStart w:id="34" w:name="_Hlk88409803"/>
    </w:p>
    <w:p w14:paraId="39914F1D">
      <w:pPr>
        <w:rPr>
          <w:b/>
          <w:bCs/>
          <w:sz w:val="24"/>
        </w:rPr>
      </w:pPr>
      <w:r>
        <w:rPr>
          <w:rFonts w:hint="eastAsia" w:ascii="宋体" w:hAnsi="宋体" w:cs="宋体"/>
          <w:b/>
          <w:bCs/>
          <w:sz w:val="24"/>
        </w:rPr>
        <w:t>（一）</w:t>
      </w:r>
      <w:r>
        <w:rPr>
          <w:rFonts w:hint="eastAsia"/>
          <w:b/>
          <w:bCs/>
          <w:sz w:val="24"/>
        </w:rPr>
        <w:t>采购需求清单</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453"/>
        <w:gridCol w:w="6693"/>
        <w:gridCol w:w="464"/>
        <w:gridCol w:w="728"/>
      </w:tblGrid>
      <w:tr w14:paraId="187D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4C6F07C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737" w:type="pct"/>
            <w:shd w:val="clear" w:color="auto" w:fill="auto"/>
            <w:vAlign w:val="center"/>
          </w:tcPr>
          <w:p w14:paraId="34BF687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3395" w:type="pct"/>
            <w:shd w:val="clear" w:color="auto" w:fill="auto"/>
            <w:vAlign w:val="center"/>
          </w:tcPr>
          <w:p w14:paraId="1D40EDCB">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参考型号及技术参数</w:t>
            </w:r>
          </w:p>
        </w:tc>
        <w:tc>
          <w:tcPr>
            <w:tcW w:w="235" w:type="pct"/>
            <w:shd w:val="clear" w:color="auto" w:fill="auto"/>
            <w:vAlign w:val="center"/>
          </w:tcPr>
          <w:p w14:paraId="4447FC5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369" w:type="pct"/>
            <w:shd w:val="clear" w:color="auto" w:fill="auto"/>
            <w:vAlign w:val="center"/>
          </w:tcPr>
          <w:p w14:paraId="7DD2ABB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r>
      <w:tr w14:paraId="27A5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37BD1CA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737" w:type="pct"/>
            <w:shd w:val="clear" w:color="auto" w:fill="auto"/>
            <w:vAlign w:val="center"/>
          </w:tcPr>
          <w:p w14:paraId="46E8087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仰卧起坐AI立柜式一体机</w:t>
            </w:r>
          </w:p>
          <w:p w14:paraId="63A290E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（含AI体育智能采集设备嵌入式软件V1.0）</w:t>
            </w:r>
          </w:p>
        </w:tc>
        <w:tc>
          <w:tcPr>
            <w:tcW w:w="3395" w:type="pct"/>
            <w:shd w:val="clear" w:color="auto" w:fill="auto"/>
            <w:vAlign w:val="center"/>
          </w:tcPr>
          <w:p w14:paraId="21DD19C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软件功能：通过摄像头和AI算法，对仰卧起坐项目进行数据采集、分析，实现违规自动判定和自动计数；</w:t>
            </w:r>
          </w:p>
          <w:p w14:paraId="6AAA47E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1.成绩自动检测：仰卧起坐有效/无效次数； </w:t>
            </w:r>
          </w:p>
          <w:p w14:paraId="2E70034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2.以AI摄像头作为唯一采集终端，通过视频识别结合AI算法自动识别测试人员的完成动作情况；测试结果可通过语音实时播报；</w:t>
            </w:r>
          </w:p>
          <w:p w14:paraId="4FCC211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3.视频处理帧率不低于25FPS，系统自动识别不少于30个人体骨骼关键点；</w:t>
            </w:r>
          </w:p>
          <w:p w14:paraId="66A6749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4.智能识别违规:双手未抱头、双肘未过膝、臀部离垫，检测到违规实时发出语音提醒； </w:t>
            </w:r>
          </w:p>
          <w:p w14:paraId="6C23762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5.支持测试过程防作弊；AI视频影像直接作为测试仲裁视频，无须额外增加监控设备；</w:t>
            </w:r>
          </w:p>
          <w:p w14:paraId="6ECFFCA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6.自动采集违规情况数据，结合指标进行分析，生成运动处方报告，给予点评与建议；</w:t>
            </w:r>
          </w:p>
          <w:p w14:paraId="71A1B2B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7.项目成绩误差：≤1个；成绩结果反馈响应速度：≤0.5s；</w:t>
            </w:r>
          </w:p>
          <w:p w14:paraId="5A6CFF6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8.支持与系统平台自动同步相关数据；</w:t>
            </w:r>
          </w:p>
          <w:p w14:paraId="62118A5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硬件参数：</w:t>
            </w:r>
          </w:p>
          <w:p w14:paraId="7C82A4E1">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1、外观材质：黑色钢化面板白色边框，机身材质采用钢化玻璃面板、钣金外壳机身满足抗冲击、防腐蚀、耐老化等国家标准</w:t>
            </w:r>
            <w:r>
              <w:rPr>
                <w:rFonts w:hint="eastAsia" w:asciiTheme="minorEastAsia" w:hAnsiTheme="minorEastAsia" w:eastAsiaTheme="minorEastAsia" w:cstheme="minorEastAsia"/>
                <w:sz w:val="24"/>
                <w:lang w:eastAsia="zh-CN"/>
              </w:rPr>
              <w:t>。</w:t>
            </w:r>
          </w:p>
          <w:p w14:paraId="12F2B9E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2、尺寸：350mm(L) * 140mm(W) * 1720mm(H) （允许5%以内的偏离）</w:t>
            </w:r>
          </w:p>
          <w:p w14:paraId="7E512CD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3、安装方式：支持多种安装方式，包括室内移动式/室外固定式安装</w:t>
            </w:r>
          </w:p>
          <w:p w14:paraId="0648A70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▲4、算力主机：采用国产品牌芯片（</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6AA2141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算法模块：支持多项运动识别互用功能，通过授权可以实现仰卧起坐，立定跳远，引体向上，斜身引体、短跑（50米/100），中长跑（800/1000米），足球绕杆，篮球绕杆，排球垫球（满足对墙/向上两种方式），掷实心球等项目的互用，并可支持其他运动项目延展。（</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4D0C123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6、一体机具备远程升级能力，自动提示新版本及升级情况。可通过一体机直接配置第三方数据接口地址，对接第三方平台；</w:t>
            </w:r>
          </w:p>
          <w:p w14:paraId="3BCBEED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7、支持选配</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2个内置高性能AI摄像头，最大图像尺寸≥2560×1440，帧率分辨率</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50 Hz：50、25 fps（2560×1440，1920×1080，1280×720），视频压缩标准：H.265/H.264</w:t>
            </w:r>
          </w:p>
          <w:p w14:paraId="0A7C3AA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8、支持有线及无线网络连接，有线网络接口：≥1个WLAN口 RJ45 10M/100M/1000M自适应以太网口；无线网络标准：IEEE 802.11b，IEEE 802.11g，IEEE 802.11n，传输速率：≥150Mbps，频率：5GHz，支持 4G（TD-LTE/LTE FDD）</w:t>
            </w:r>
          </w:p>
          <w:p w14:paraId="2F785F8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9、内置喇叭：内置≥30W单声道喇叭</w:t>
            </w:r>
          </w:p>
          <w:p w14:paraId="278108B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10、集成NFC刷卡：可支持IC/ID刷卡</w:t>
            </w:r>
          </w:p>
          <w:p w14:paraId="5DEB2CF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11、立柜一体机防护等级不低于IP66。（</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61BF005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12、产品符合体质测试国标GB/T 19851.12-2005或行业标准TY/T 2001-2015，支持仰卧起坐项目测试，误差低于1次。（</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1A0F1A6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▲13、一体机产品应通过国家认证认可监督管理委员会批准的任一体育用品认证机构的认证NSCC</w:t>
            </w:r>
            <w:r>
              <w:rPr>
                <w:rFonts w:hint="eastAsia" w:asciiTheme="minorEastAsia" w:hAnsiTheme="minorEastAsia" w:eastAsiaTheme="minorEastAsia" w:cstheme="minorEastAsia"/>
                <w:sz w:val="24"/>
                <w:lang w:val="en-US" w:eastAsia="zh-CN"/>
              </w:rPr>
              <w:t>或中体联</w:t>
            </w:r>
            <w:r>
              <w:rPr>
                <w:rFonts w:hint="eastAsia" w:asciiTheme="minorEastAsia" w:hAnsiTheme="minorEastAsia" w:eastAsiaTheme="minorEastAsia" w:cstheme="minorEastAsia"/>
                <w:sz w:val="24"/>
              </w:rPr>
              <w:t>认证证书。（提供带产品样机图片产品认证证书复印件（含确认函），并提供该证书在官网的查询结果截图）</w:t>
            </w:r>
          </w:p>
        </w:tc>
        <w:tc>
          <w:tcPr>
            <w:tcW w:w="235" w:type="pct"/>
            <w:shd w:val="clear" w:color="auto" w:fill="auto"/>
            <w:noWrap/>
            <w:vAlign w:val="center"/>
          </w:tcPr>
          <w:p w14:paraId="630A360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2870A07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r>
      <w:tr w14:paraId="249F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6994996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737" w:type="pct"/>
            <w:shd w:val="clear" w:color="auto" w:fill="auto"/>
            <w:vAlign w:val="center"/>
          </w:tcPr>
          <w:p w14:paraId="2A0B0EB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引体向上AI立柜式一体机</w:t>
            </w:r>
          </w:p>
          <w:p w14:paraId="41DB3DD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（含AI体育智能采集设备嵌入式软件V1.0）</w:t>
            </w:r>
          </w:p>
        </w:tc>
        <w:tc>
          <w:tcPr>
            <w:tcW w:w="3395" w:type="pct"/>
            <w:shd w:val="clear" w:color="auto" w:fill="auto"/>
            <w:vAlign w:val="center"/>
          </w:tcPr>
          <w:p w14:paraId="5334703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软件功能：通过摄像头和AI算法，针对引体向上项目的数据采集、分析，实现违规自动判定和自动计数；</w:t>
            </w:r>
          </w:p>
          <w:p w14:paraId="4BA21D2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1.成绩自动检测：引体向上有效/无效次数；</w:t>
            </w:r>
          </w:p>
          <w:p w14:paraId="626041F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2.以AI摄像头作为唯一采集终端，通过视频识别结合AI算法自动识别测试人员的完成动作情况；测试结果可通过语音实时播报；</w:t>
            </w:r>
          </w:p>
          <w:p w14:paraId="70A031B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3.视频处理帧率不低于25FPS，系统自动识别不少于30个人体骨骼关键点；</w:t>
            </w:r>
          </w:p>
          <w:p w14:paraId="0388541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4.违规智能识别：手臂未伸直、下颌未过杆，检测到违规实时发出语音提醒； </w:t>
            </w:r>
          </w:p>
          <w:p w14:paraId="777C268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5.支持测试过程防作弊；AI视频影像直接作为测试仲裁视频，无须额外增加监控设备；</w:t>
            </w:r>
          </w:p>
          <w:p w14:paraId="0A6332F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6.项目成绩误差：≤1个；成绩结果反馈响应速度：≤0.5s；</w:t>
            </w:r>
          </w:p>
          <w:p w14:paraId="389E579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7.支持与系统平台自动同步相关数据；</w:t>
            </w:r>
          </w:p>
          <w:p w14:paraId="5A0CC2B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硬件参数：</w:t>
            </w:r>
          </w:p>
          <w:p w14:paraId="0CCC173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1、外观材质：黑色钢化面板白色边框，机身材质采用钢化玻璃面板、钣金外壳机身满足抗冲击、防腐蚀、耐老化等国家标准</w:t>
            </w:r>
          </w:p>
          <w:p w14:paraId="6466824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2、尺寸：350mm(L) * 140mm(W) * 1720mm(H) （允许5%以内的偏离）</w:t>
            </w:r>
          </w:p>
          <w:p w14:paraId="01F8F90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3、安装方式：支持多种安装方式，包括室内移动式/室外固定式安装</w:t>
            </w:r>
          </w:p>
          <w:p w14:paraId="003AF03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4、算力主机：采用国产品牌芯片（</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5F93812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算法模块：支持多项运动识别互用功能，通过授权可以实现仰卧起坐，立定跳远，引体向上，斜身引体、短跑（50米/100），中长跑（800/1000米），足球绕杆，篮球绕杆，排球垫球（满足对墙/向上两种方式），掷实心球等项目的互用，并可支持其他运动项目延展。（</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0060B93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6、一体机具备远程升级能力，自动提示新版本及升级情况。可通过一体机直接配置第三方数据接口地址，对接第三方平台；</w:t>
            </w:r>
          </w:p>
          <w:p w14:paraId="724052A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7、支持选配</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2个内置高性能AI摄像头，最大图像尺寸≥2560 × 1440，帧率分辨率：50 Hz：50、25 fps（2560 × 1440，1920 × 1080，1280 × 720），视频压缩标准：H.265/H.264</w:t>
            </w:r>
          </w:p>
          <w:p w14:paraId="2C18D8E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8、支持有线及无线网络连接，有线网络接口：≥1个WLAN口 RJ45 10M/100M/1000M自适应以太网口；无线网络标准：IEEE 802.11b，IEEE 802.11g，IEEE 802.11n，传输速率</w:t>
            </w:r>
            <w:r>
              <w:rPr>
                <w:rFonts w:hint="default" w:asciiTheme="minorEastAsia" w:hAnsiTheme="minorEastAsia" w:eastAsiaTheme="minorEastAsia" w:cstheme="minorEastAsia"/>
                <w:sz w:val="24"/>
                <w:lang w:val="en-US"/>
              </w:rPr>
              <w:t>:</w:t>
            </w:r>
            <w:r>
              <w:rPr>
                <w:rFonts w:hint="eastAsia" w:asciiTheme="minorEastAsia" w:hAnsiTheme="minorEastAsia" w:eastAsiaTheme="minorEastAsia" w:cstheme="minorEastAsia"/>
                <w:sz w:val="24"/>
              </w:rPr>
              <w:t>≥150Mbps，频率：5GHz，支持 4G（TD-LTE/LTE FDD）</w:t>
            </w:r>
          </w:p>
          <w:p w14:paraId="02FCA0F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9、内置喇叭：内置≥30W单声道喇叭</w:t>
            </w:r>
          </w:p>
          <w:p w14:paraId="1EF2570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10、集成NFC刷卡：可支持IC/ID刷卡</w:t>
            </w:r>
          </w:p>
          <w:p w14:paraId="17C4BBA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11、立柜一体机防护等级不低于IP66。（</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37833E2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12、产品符合体质测试国标GB/T 19851.12-2005或行业标准TY/T 2001-2015，支持引体向上项目测试，误差低于1次。（</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07BE463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▲13、一体机产品应通过国家认证认可监督管理委员会批准的任一体育用品认证机构的认证NSCC</w:t>
            </w:r>
            <w:r>
              <w:rPr>
                <w:rFonts w:hint="eastAsia" w:asciiTheme="minorEastAsia" w:hAnsiTheme="minorEastAsia" w:eastAsiaTheme="minorEastAsia" w:cstheme="minorEastAsia"/>
                <w:sz w:val="24"/>
                <w:lang w:val="en-US" w:eastAsia="zh-CN"/>
              </w:rPr>
              <w:t>或中体联</w:t>
            </w:r>
            <w:r>
              <w:rPr>
                <w:rFonts w:hint="eastAsia" w:asciiTheme="minorEastAsia" w:hAnsiTheme="minorEastAsia" w:eastAsiaTheme="minorEastAsia" w:cstheme="minorEastAsia"/>
                <w:sz w:val="24"/>
              </w:rPr>
              <w:t>认证证书。（提供带产品样机图片产品认证证书复印件（含确认函），并提供该证书在官网的查询结果截图）</w:t>
            </w:r>
          </w:p>
        </w:tc>
        <w:tc>
          <w:tcPr>
            <w:tcW w:w="235" w:type="pct"/>
            <w:shd w:val="clear" w:color="auto" w:fill="auto"/>
            <w:noWrap/>
            <w:vAlign w:val="center"/>
          </w:tcPr>
          <w:p w14:paraId="39924C5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629F00A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r>
      <w:tr w14:paraId="7080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75438F8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737" w:type="pct"/>
            <w:shd w:val="clear" w:color="auto" w:fill="auto"/>
            <w:vAlign w:val="center"/>
          </w:tcPr>
          <w:p w14:paraId="711EF3A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立定跳远AI立柜式一体机</w:t>
            </w:r>
          </w:p>
          <w:p w14:paraId="332BFBF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（含AI体育智能采集设备嵌入式软件V1.0）</w:t>
            </w:r>
          </w:p>
        </w:tc>
        <w:tc>
          <w:tcPr>
            <w:tcW w:w="3395" w:type="pct"/>
            <w:shd w:val="clear" w:color="auto" w:fill="auto"/>
            <w:vAlign w:val="center"/>
          </w:tcPr>
          <w:p w14:paraId="7B9BFE1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软件功能：通过摄像头和AI算法，对立定跳远项目进行数据采集、分析，实现违规自动判定和自动测距；</w:t>
            </w:r>
          </w:p>
          <w:p w14:paraId="2D9C277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1.自动检测成绩：有效跳远距离（有身体多部位触地时，则以包括前滑/后退全过程中最靠后的触地部位点计算成绩）</w:t>
            </w:r>
          </w:p>
          <w:p w14:paraId="5C150FE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2.以AI摄像头作为唯一采集终端，通过视频识别结合AI算法自动识别测试人员的完成动作情况，并实时计算有效距离；测试结果可通过语音实时播报；</w:t>
            </w:r>
          </w:p>
          <w:p w14:paraId="253E6BF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3.视频处理帧率不低于25FPS，系统自动识别不少于30个人体骨骼关键点</w:t>
            </w:r>
          </w:p>
          <w:p w14:paraId="5FCEEFA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4.自动识别违规：踩线、单脚跳，检测到违规实时发出语音提醒。</w:t>
            </w:r>
          </w:p>
          <w:p w14:paraId="6E67803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5.支持测试过程防作弊；AI视频影像直接作为测试仲裁视频，无须额外增加监控设备；</w:t>
            </w:r>
          </w:p>
          <w:p w14:paraId="5EAC830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自动采集过程数据（展示不少于5个关键帧）：预摆阶段的上摆手臂与躯干夹角、上摆肘关节角度，下蹲手臂后摆角度、下蹲屈髋角度；起跳阶段的手臂上摆角度、起跳角；腾空阶段最高点的手臂上摆角度、伸髋角度、屈膝角度；落地阶段的屈髋角度、屈膝角度等数据，结合指标进行分析，生成运动处方报告，给予点评与建议。（提供产品功能界面截图）</w:t>
            </w:r>
          </w:p>
          <w:p w14:paraId="12D5D63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7.项目成绩误差：≤1cm；成绩结果反馈响应速度：≤0.5s；</w:t>
            </w:r>
          </w:p>
          <w:p w14:paraId="5DF8763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8.支持与系统平台自动同步相关数据；</w:t>
            </w:r>
          </w:p>
          <w:p w14:paraId="7AD63A4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硬件参数：</w:t>
            </w:r>
          </w:p>
          <w:p w14:paraId="02A1359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1、外观材质：黑色钢化面板白色边框，机身材质采用钢化玻璃面板、钣金外壳机身满足抗冲击、防腐蚀、耐老化等国家标准</w:t>
            </w:r>
          </w:p>
          <w:p w14:paraId="79CE817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2、尺寸：350mm(L)*140mm(W)*1720mm(H)（允许5%以内的偏离）</w:t>
            </w:r>
          </w:p>
          <w:p w14:paraId="5C6BBEE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3、安装方式：支持多种安装方式，包括室内移动式/室外固定式安装</w:t>
            </w:r>
          </w:p>
          <w:p w14:paraId="556DF62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4、算力主机：国产高性能CPU≥八核64位。GPU：支持OpenGL ES 3.2，OpenCL 2.2，Vulkan 1.1内嵌高性能2D、3D加速硬件</w:t>
            </w:r>
          </w:p>
          <w:p w14:paraId="46A0068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算法模块：支持多项运动识别互用功能，通过授权可以实现仰卧起坐，立定跳远，引体向上，斜身引体、短跑（50米/100），中长跑（800/1000米），足球绕杆，篮球绕杆，排球垫球（满足对墙/向上两种方式），掷实心球等项目的互用，并可支持其他运动项目延展。（</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65429E9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6、一体机具备远程升级能力，自动提示新版本及升级情况。可通过一体机直接配置第三方数据接口地址，对接第三方平台；</w:t>
            </w:r>
          </w:p>
          <w:p w14:paraId="16B02EC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7、支持选配</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2个内置高性能AI摄像头，最大图像尺寸≥2560 × 1440，帧率分辨率：50 Hz：50、25 fps（2560 × 1440，1920 × 1080，1280 × 720），视频压缩标准：H.265/H.264</w:t>
            </w:r>
          </w:p>
          <w:p w14:paraId="03BDC56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8、支持有线及无线网络连接，有线网络接口：≥1个WLAN口 RJ45 10M/100M/1000M自适应以太网口；无线网络标准：IEEE 802.11b，IEEE 802.11g，IEEE 802.11n，传输速率：≥150Mbps，频率：5GHz，支持 4G（TD-LTE/LTE FDD）</w:t>
            </w:r>
          </w:p>
          <w:p w14:paraId="51F466D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9、内置喇叭：内置≥30W单声道喇叭</w:t>
            </w:r>
          </w:p>
          <w:p w14:paraId="33EDB8C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10、集成NFC刷卡：可支持IC/ID刷卡</w:t>
            </w:r>
          </w:p>
          <w:p w14:paraId="76AA5AF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11、立柜一体机防护等级不低于IP66。（提供CMA或CNAS认可的检测机构出具的检测报告</w:t>
            </w:r>
            <w:r>
              <w:rPr>
                <w:rFonts w:hint="eastAsia" w:asciiTheme="minorEastAsia" w:hAnsiTheme="minorEastAsia" w:eastAsiaTheme="minorEastAsia" w:cstheme="minorEastAsia"/>
                <w:sz w:val="24"/>
                <w:lang w:val="en-US" w:eastAsia="zh-CN"/>
              </w:rPr>
              <w:t>复印件</w:t>
            </w:r>
            <w:r>
              <w:rPr>
                <w:rFonts w:hint="eastAsia" w:asciiTheme="minorEastAsia" w:hAnsiTheme="minorEastAsia" w:eastAsiaTheme="minorEastAsia" w:cstheme="minorEastAsia"/>
                <w:sz w:val="24"/>
              </w:rPr>
              <w:t>作为该技术参数证明材料）</w:t>
            </w:r>
          </w:p>
          <w:p w14:paraId="49D4BAF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12、产品符合体质测试国标GB/T 19851.12-2005或行业标准TY/T 2001-2015，支持立定跳远项目测试，误差低于1cm。（（提供CMA或CNAS认可的检测机构出具的检测报告</w:t>
            </w:r>
            <w:r>
              <w:rPr>
                <w:rFonts w:hint="eastAsia" w:asciiTheme="minorEastAsia" w:hAnsiTheme="minorEastAsia" w:eastAsiaTheme="minorEastAsia" w:cstheme="minorEastAsia"/>
                <w:sz w:val="24"/>
                <w:lang w:val="en-US" w:eastAsia="zh-CN"/>
              </w:rPr>
              <w:t>复印件</w:t>
            </w:r>
            <w:r>
              <w:rPr>
                <w:rFonts w:hint="eastAsia" w:asciiTheme="minorEastAsia" w:hAnsiTheme="minorEastAsia" w:eastAsiaTheme="minorEastAsia" w:cstheme="minorEastAsia"/>
                <w:sz w:val="24"/>
              </w:rPr>
              <w:t>作为该技术参数证明材料）</w:t>
            </w:r>
          </w:p>
          <w:p w14:paraId="52ADEF8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▲13、一体机产品应通过国家认证认可监督管理委员会批准的任一体育用品认证机构的认证NSCC</w:t>
            </w:r>
            <w:r>
              <w:rPr>
                <w:rFonts w:hint="eastAsia" w:asciiTheme="minorEastAsia" w:hAnsiTheme="minorEastAsia" w:eastAsiaTheme="minorEastAsia" w:cstheme="minorEastAsia"/>
                <w:sz w:val="24"/>
                <w:lang w:val="en-US" w:eastAsia="zh-CN"/>
              </w:rPr>
              <w:t>或中体联</w:t>
            </w:r>
            <w:r>
              <w:rPr>
                <w:rFonts w:hint="eastAsia" w:asciiTheme="minorEastAsia" w:hAnsiTheme="minorEastAsia" w:eastAsiaTheme="minorEastAsia" w:cstheme="minorEastAsia"/>
                <w:sz w:val="24"/>
              </w:rPr>
              <w:t>认证证书。（提供带产品样机图片产品认证证书复印件（含确认函），并提供该证书在官网的查询结果截图）</w:t>
            </w:r>
          </w:p>
        </w:tc>
        <w:tc>
          <w:tcPr>
            <w:tcW w:w="235" w:type="pct"/>
            <w:shd w:val="clear" w:color="auto" w:fill="auto"/>
            <w:noWrap/>
            <w:vAlign w:val="center"/>
          </w:tcPr>
          <w:p w14:paraId="0BCBB90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0F48A92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p w14:paraId="239E8733">
            <w:pPr>
              <w:rPr>
                <w:rFonts w:hint="eastAsia" w:asciiTheme="minorEastAsia" w:hAnsiTheme="minorEastAsia" w:eastAsiaTheme="minorEastAsia" w:cstheme="minorEastAsia"/>
                <w:sz w:val="24"/>
              </w:rPr>
            </w:pPr>
          </w:p>
        </w:tc>
      </w:tr>
      <w:tr w14:paraId="6C87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13095E3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737" w:type="pct"/>
            <w:shd w:val="clear" w:color="auto" w:fill="auto"/>
            <w:vAlign w:val="center"/>
          </w:tcPr>
          <w:p w14:paraId="560DC18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AI坐位体前屈测试仪</w:t>
            </w:r>
          </w:p>
          <w:p w14:paraId="09D39E2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（含AI体育智能采集设备嵌入式软件V1.0）</w:t>
            </w:r>
          </w:p>
        </w:tc>
        <w:tc>
          <w:tcPr>
            <w:tcW w:w="3395" w:type="pct"/>
            <w:shd w:val="clear" w:color="auto" w:fill="auto"/>
            <w:vAlign w:val="center"/>
          </w:tcPr>
          <w:p w14:paraId="644DA35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drawing>
                <wp:anchor distT="0" distB="0" distL="114300" distR="114300" simplePos="0" relativeHeight="251661312" behindDoc="0" locked="0" layoutInCell="1" allowOverlap="1">
                  <wp:simplePos x="0" y="0"/>
                  <wp:positionH relativeFrom="column">
                    <wp:posOffset>2540</wp:posOffset>
                  </wp:positionH>
                  <wp:positionV relativeFrom="paragraph">
                    <wp:posOffset>0</wp:posOffset>
                  </wp:positionV>
                  <wp:extent cx="0" cy="419100"/>
                  <wp:effectExtent l="0" t="0" r="0" b="0"/>
                  <wp:wrapNone/>
                  <wp:docPr id="4" name="组合_1"/>
                  <wp:cNvGraphicFramePr/>
                  <a:graphic xmlns:a="http://schemas.openxmlformats.org/drawingml/2006/main">
                    <a:graphicData uri="http://schemas.openxmlformats.org/drawingml/2006/picture">
                      <pic:pic xmlns:pic="http://schemas.openxmlformats.org/drawingml/2006/picture">
                        <pic:nvPicPr>
                          <pic:cNvPr id="4" name="组合_1"/>
                          <pic:cNvPicPr/>
                        </pic:nvPicPr>
                        <pic:blipFill>
                          <a:blip r:embed="rId7"/>
                          <a:stretch>
                            <a:fillRect/>
                          </a:stretch>
                        </pic:blipFill>
                        <pic:spPr>
                          <a:xfrm>
                            <a:off x="0" y="0"/>
                            <a:ext cx="0" cy="419100"/>
                          </a:xfrm>
                          <a:prstGeom prst="rect">
                            <a:avLst/>
                          </a:prstGeom>
                          <a:noFill/>
                          <a:ln>
                            <a:noFill/>
                          </a:ln>
                        </pic:spPr>
                      </pic:pic>
                    </a:graphicData>
                  </a:graphic>
                </wp:anchor>
              </w:drawing>
            </w:r>
            <w:r>
              <w:rPr>
                <w:rFonts w:hint="eastAsia" w:asciiTheme="minorEastAsia" w:hAnsiTheme="minorEastAsia" w:eastAsiaTheme="minorEastAsia" w:cstheme="minorEastAsia"/>
                <w:sz w:val="24"/>
              </w:rPr>
              <w:drawing>
                <wp:anchor distT="0" distB="0" distL="114300" distR="114300" simplePos="0" relativeHeight="251662336" behindDoc="0" locked="0" layoutInCell="1" allowOverlap="1">
                  <wp:simplePos x="0" y="0"/>
                  <wp:positionH relativeFrom="column">
                    <wp:posOffset>2540</wp:posOffset>
                  </wp:positionH>
                  <wp:positionV relativeFrom="paragraph">
                    <wp:posOffset>0</wp:posOffset>
                  </wp:positionV>
                  <wp:extent cx="0" cy="419100"/>
                  <wp:effectExtent l="0" t="0" r="0" b="0"/>
                  <wp:wrapNone/>
                  <wp:docPr id="5" name="组合_4"/>
                  <wp:cNvGraphicFramePr/>
                  <a:graphic xmlns:a="http://schemas.openxmlformats.org/drawingml/2006/main">
                    <a:graphicData uri="http://schemas.openxmlformats.org/drawingml/2006/picture">
                      <pic:pic xmlns:pic="http://schemas.openxmlformats.org/drawingml/2006/picture">
                        <pic:nvPicPr>
                          <pic:cNvPr id="5" name="组合_4"/>
                          <pic:cNvPicPr/>
                        </pic:nvPicPr>
                        <pic:blipFill>
                          <a:blip r:embed="rId8"/>
                          <a:stretch>
                            <a:fillRect/>
                          </a:stretch>
                        </pic:blipFill>
                        <pic:spPr>
                          <a:xfrm>
                            <a:off x="0" y="0"/>
                            <a:ext cx="0" cy="419100"/>
                          </a:xfrm>
                          <a:prstGeom prst="rect">
                            <a:avLst/>
                          </a:prstGeom>
                          <a:noFill/>
                          <a:ln>
                            <a:noFill/>
                          </a:ln>
                        </pic:spPr>
                      </pic:pic>
                    </a:graphicData>
                  </a:graphic>
                </wp:anchor>
              </w:drawing>
            </w:r>
            <w:r>
              <w:rPr>
                <w:rFonts w:hint="eastAsia" w:asciiTheme="minorEastAsia" w:hAnsiTheme="minorEastAsia" w:eastAsiaTheme="minorEastAsia" w:cstheme="minorEastAsia"/>
                <w:sz w:val="24"/>
              </w:rPr>
              <w:t>软件功能：通过摄像头和AI算法，对坐位体前屈项目进行数据采集、分析，实现违规自动判定和自动测量成绩；</w:t>
            </w:r>
          </w:p>
          <w:p w14:paraId="29E0FC7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1.成绩自动检测：坐位体前屈正负距离；</w:t>
            </w:r>
          </w:p>
          <w:p w14:paraId="2B54D55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以AI摄像头作为唯一采集终端，通过视频识别结合AI算法自动识别测试人员的完成动作情况，并实时计算其正负距离；测试结果可通过语音实时播报；</w:t>
            </w:r>
          </w:p>
          <w:p w14:paraId="7CC8F45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3.视频处理帧率不低于25FPS，系统自动识别不少于30个人体骨骼关键点；</w:t>
            </w:r>
          </w:p>
          <w:p w14:paraId="7D23057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 违规智能识别：脚弯曲、单手推板、快速推板，检测到违规实时语音提醒；</w:t>
            </w:r>
          </w:p>
          <w:p w14:paraId="4C30D3C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5.支持测试过程防作弊；AI视频影像直接作为测试仲裁视频，无须额外增加监控设备；</w:t>
            </w:r>
          </w:p>
          <w:p w14:paraId="0CF7C7B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6.项目成绩误差：±0.2cm</w:t>
            </w:r>
          </w:p>
          <w:p w14:paraId="304A36C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7.支持与系统平台自动同步相关数据；</w:t>
            </w:r>
          </w:p>
          <w:p w14:paraId="2E78891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硬件参数：</w:t>
            </w:r>
          </w:p>
          <w:p w14:paraId="307B632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1、外观材质：黑色钢化面板白色边框，机身材质采用钢化玻璃面板、钣金外壳机身满足抗冲击、防腐蚀、耐老化等国家标准</w:t>
            </w:r>
          </w:p>
          <w:p w14:paraId="39EC2C2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2、尺寸：350mm(L) * 140mm(W) * 1720mm(H)（允许5%以内的偏离）</w:t>
            </w:r>
          </w:p>
          <w:p w14:paraId="5AF0B34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3、安装方式：支持多种安装方式，包括室内移动式/室外固定式安装</w:t>
            </w:r>
          </w:p>
          <w:p w14:paraId="3C6DC7C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4、算力主机：采用国产品牌芯片（</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67B066A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算法模块：支持多项运动识别互用功能，通过授权可以实现仰卧起坐，立定跳远，引体向上，斜身引体、短跑（50米/100），中长跑（800/1000米），足球绕杆，篮球绕杆，排球垫球（满足对墙/向上两种方式），掷实心球等项目的互用，并可支持其他运动项目延展。（</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6AA203F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6、一体机具备远程升级能力，自动提示新版本及升级情况。可通过一体机直接配置第三方数据接口地址，对接第三方平台；</w:t>
            </w:r>
          </w:p>
          <w:p w14:paraId="7AC496C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7、支持选配</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2个内置高性能AI摄像头，最大图像尺寸≥2560 × 1440，帧率分辨率：50 Hz：50、25 fps（2560 × 1440，1920 × 1080，1280 × 720），视频压缩标准：H.265/H.264</w:t>
            </w:r>
          </w:p>
          <w:p w14:paraId="1DF70DB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8、支持有线及无线网络连接，有线网络接口：≥1个WLAN口 RJ45 10M/100M/1000M自适应以太网口；无线网络标准：IEEE 802.11b，IEEE 802.11g，IEEE 802.11n，传输速率：≥150Mbps，频率：5GHz，支持 4G（TD-LTE/LTE FDD）</w:t>
            </w:r>
          </w:p>
          <w:p w14:paraId="1A69056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9、内置喇叭：内置≥30W单声道喇叭</w:t>
            </w:r>
          </w:p>
          <w:p w14:paraId="0CEF665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10、集成NFC刷卡：可支持IC/ID刷卡</w:t>
            </w:r>
          </w:p>
          <w:p w14:paraId="2FD3D73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11、立柜一体机防护等级不低于IP66。（</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1BCBFD5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12、产品符合体质测试国标GB/T 19851.12-2005或行业标准TY/T 2001-2015，支持坐位体前屈项目测试，误差低于0.2cm。（</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77D890C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▲13、一体机产品应通过国家认证认可监督管理委员会批准的任一体育用品认证机构的认证NSCC</w:t>
            </w:r>
            <w:r>
              <w:rPr>
                <w:rFonts w:hint="eastAsia" w:asciiTheme="minorEastAsia" w:hAnsiTheme="minorEastAsia" w:eastAsiaTheme="minorEastAsia" w:cstheme="minorEastAsia"/>
                <w:sz w:val="24"/>
                <w:lang w:val="en-US" w:eastAsia="zh-CN"/>
              </w:rPr>
              <w:t>或中体联</w:t>
            </w:r>
            <w:r>
              <w:rPr>
                <w:rFonts w:hint="eastAsia" w:asciiTheme="minorEastAsia" w:hAnsiTheme="minorEastAsia" w:eastAsiaTheme="minorEastAsia" w:cstheme="minorEastAsia"/>
                <w:sz w:val="24"/>
              </w:rPr>
              <w:t>认证证书。（提供带产品样机图片产品认证证书复印件（含确认函），并提供该证书在官网的查询结果截图）</w:t>
            </w:r>
          </w:p>
        </w:tc>
        <w:tc>
          <w:tcPr>
            <w:tcW w:w="235" w:type="pct"/>
            <w:shd w:val="clear" w:color="auto" w:fill="auto"/>
            <w:noWrap/>
            <w:vAlign w:val="center"/>
          </w:tcPr>
          <w:p w14:paraId="6B35D1A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台</w:t>
            </w:r>
          </w:p>
        </w:tc>
        <w:tc>
          <w:tcPr>
            <w:tcW w:w="369" w:type="pct"/>
            <w:shd w:val="clear" w:color="auto" w:fill="auto"/>
            <w:noWrap/>
            <w:vAlign w:val="center"/>
          </w:tcPr>
          <w:p w14:paraId="73AC55D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r>
      <w:tr w14:paraId="29E2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2281C09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737" w:type="pct"/>
            <w:shd w:val="clear" w:color="auto" w:fill="auto"/>
            <w:vAlign w:val="center"/>
          </w:tcPr>
          <w:p w14:paraId="749A60A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AI身高体重测试仪</w:t>
            </w:r>
          </w:p>
          <w:p w14:paraId="7924994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（含AI体育智能采集设备嵌入式软件V1.0）</w:t>
            </w:r>
          </w:p>
        </w:tc>
        <w:tc>
          <w:tcPr>
            <w:tcW w:w="3395" w:type="pct"/>
            <w:shd w:val="clear" w:color="auto" w:fill="auto"/>
            <w:vAlign w:val="center"/>
          </w:tcPr>
          <w:p w14:paraId="2396802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外形：测量、显示，模具一次成型的铝合金机身，符合人体工程学，自带小轮方便移动。</w:t>
            </w:r>
          </w:p>
          <w:p w14:paraId="3EA0139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身高测量方式：高精度超声波探头并实现温差补偿</w:t>
            </w:r>
          </w:p>
          <w:p w14:paraId="749266E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体重测量方式：精密平衡梁式压力传感器称重（具有偏心负载功能，灵敏度高，线性好，测量快速精准，耐疲劳，寿命长）</w:t>
            </w:r>
          </w:p>
          <w:p w14:paraId="5C71A29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体    型： 国际通用体格指数（BMI)</w:t>
            </w:r>
          </w:p>
          <w:p w14:paraId="0E0D00A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显示方式： ≥18寸高清液晶触摸屏，屏幕分辨率≥1920*1080</w:t>
            </w:r>
          </w:p>
          <w:p w14:paraId="4967DEC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操作系统： </w:t>
            </w:r>
            <w:r>
              <w:rPr>
                <w:rFonts w:hint="eastAsia" w:asciiTheme="minorEastAsia" w:hAnsiTheme="minorEastAsia" w:eastAsiaTheme="minorEastAsia" w:cstheme="minorEastAsia"/>
                <w:sz w:val="24"/>
                <w:lang w:val="en-US" w:eastAsia="zh-CN"/>
              </w:rPr>
              <w:t>不低于</w:t>
            </w:r>
            <w:r>
              <w:rPr>
                <w:rFonts w:hint="eastAsia" w:asciiTheme="minorEastAsia" w:hAnsiTheme="minorEastAsia" w:eastAsiaTheme="minorEastAsia" w:cstheme="minorEastAsia"/>
                <w:sz w:val="24"/>
              </w:rPr>
              <w:t>Android11  运行内存≥2G  存储≥16G</w:t>
            </w:r>
          </w:p>
          <w:p w14:paraId="53F7B3C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测量范围： 身高：≥20cm－210cm ；体重：≥1kg－500kg</w:t>
            </w:r>
          </w:p>
          <w:p w14:paraId="40011FF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精 确 度： 身高：±0.5cm或±0.1cm；体重：±0.1kg</w:t>
            </w:r>
          </w:p>
          <w:p w14:paraId="55EA88F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摄 像 头：≥500万像素内置摄像头</w:t>
            </w:r>
          </w:p>
          <w:p w14:paraId="7386633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人脸识别：支持，毫秒级识别</w:t>
            </w:r>
          </w:p>
          <w:p w14:paraId="3A210FF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语音提示： 测量过程提示及测量结果播报</w:t>
            </w:r>
          </w:p>
          <w:p w14:paraId="5104B75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使用温湿度：0-40℃  20%-85%RH</w:t>
            </w:r>
          </w:p>
          <w:p w14:paraId="78B9DFF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电源电压： AC 220V 50HZ                   </w:t>
            </w:r>
          </w:p>
          <w:p w14:paraId="0990348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平均功耗： ≤20W</w:t>
            </w:r>
          </w:p>
          <w:p w14:paraId="339DFBC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整机高度： ≥240CM</w:t>
            </w:r>
          </w:p>
        </w:tc>
        <w:tc>
          <w:tcPr>
            <w:tcW w:w="235" w:type="pct"/>
            <w:shd w:val="clear" w:color="auto" w:fill="auto"/>
            <w:noWrap/>
            <w:vAlign w:val="center"/>
          </w:tcPr>
          <w:p w14:paraId="59D07E2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台</w:t>
            </w:r>
          </w:p>
        </w:tc>
        <w:tc>
          <w:tcPr>
            <w:tcW w:w="369" w:type="pct"/>
            <w:shd w:val="clear" w:color="auto" w:fill="auto"/>
            <w:noWrap/>
            <w:vAlign w:val="center"/>
          </w:tcPr>
          <w:p w14:paraId="19F0713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r>
      <w:tr w14:paraId="486A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43E4AE6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737" w:type="pct"/>
            <w:shd w:val="clear" w:color="auto" w:fill="auto"/>
            <w:vAlign w:val="center"/>
          </w:tcPr>
          <w:p w14:paraId="782C505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AI肺活量测试仪（含AI体育智能采集设备嵌入式软件V1.0）</w:t>
            </w:r>
          </w:p>
        </w:tc>
        <w:tc>
          <w:tcPr>
            <w:tcW w:w="3395" w:type="pct"/>
            <w:shd w:val="clear" w:color="auto" w:fill="auto"/>
            <w:vAlign w:val="center"/>
          </w:tcPr>
          <w:p w14:paraId="2F17CDD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测定人体呼吸的最大通气能力，测试数值反映肺的容积和肺的扩展能力。</w:t>
            </w:r>
          </w:p>
          <w:p w14:paraId="11B8571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整机一体化设计，包含测试仪、人脸识别摄像头以及成绩显示屏</w:t>
            </w:r>
          </w:p>
          <w:p w14:paraId="6E1BF97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显示方式 ≥18寸高清液晶触摸屏，屏幕分辨率 ≥1920*1080</w:t>
            </w:r>
          </w:p>
          <w:p w14:paraId="38086EB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操作系统   </w:t>
            </w:r>
            <w:r>
              <w:rPr>
                <w:rFonts w:hint="eastAsia" w:asciiTheme="minorEastAsia" w:hAnsiTheme="minorEastAsia" w:eastAsiaTheme="minorEastAsia" w:cstheme="minorEastAsia"/>
                <w:sz w:val="24"/>
                <w:lang w:val="en-US" w:eastAsia="zh-CN"/>
              </w:rPr>
              <w:t>不低于</w:t>
            </w:r>
            <w:r>
              <w:rPr>
                <w:rFonts w:hint="eastAsia" w:asciiTheme="minorEastAsia" w:hAnsiTheme="minorEastAsia" w:eastAsiaTheme="minorEastAsia" w:cstheme="minorEastAsia"/>
                <w:sz w:val="24"/>
              </w:rPr>
              <w:t>Android11  运行内存≥2G  存储≥16G</w:t>
            </w:r>
          </w:p>
          <w:p w14:paraId="6440325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测量范围 0~9999ml</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分度值 1ml  精度：±5%  </w:t>
            </w:r>
          </w:p>
          <w:p w14:paraId="7ABE64A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摄 像 头   ≥500万像素内置人脸摄像头，支持人脸识别，活体检测</w:t>
            </w:r>
          </w:p>
          <w:p w14:paraId="107E4F8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语音提示  测量过程提示及测量结果语音播报。</w:t>
            </w:r>
          </w:p>
          <w:p w14:paraId="5163D9F3">
            <w:pP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通讯方式  提供</w:t>
            </w:r>
            <w:r>
              <w:rPr>
                <w:rFonts w:hint="eastAsia" w:asciiTheme="minorEastAsia" w:hAnsiTheme="minorEastAsia" w:eastAsiaTheme="minorEastAsia" w:cstheme="minorEastAsia"/>
                <w:sz w:val="24"/>
                <w:lang w:val="en-US" w:eastAsia="zh-CN"/>
              </w:rPr>
              <w:t>不限于</w:t>
            </w:r>
            <w:r>
              <w:rPr>
                <w:rFonts w:hint="eastAsia" w:asciiTheme="minorEastAsia" w:hAnsiTheme="minorEastAsia" w:eastAsiaTheme="minorEastAsia" w:cstheme="minorEastAsia"/>
                <w:sz w:val="24"/>
              </w:rPr>
              <w:t>USB接口、WiFi、网口，支持蓝牙</w:t>
            </w:r>
            <w:r>
              <w:rPr>
                <w:rFonts w:hint="eastAsia" w:asciiTheme="minorEastAsia" w:hAnsiTheme="minorEastAsia" w:eastAsiaTheme="minorEastAsia" w:cstheme="minorEastAsia"/>
                <w:sz w:val="24"/>
                <w:lang w:val="en-US" w:eastAsia="zh-CN"/>
              </w:rPr>
              <w:t>等</w:t>
            </w:r>
          </w:p>
          <w:p w14:paraId="5998A0C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使用温湿度</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0℃-40℃  20%-85%RH</w:t>
            </w:r>
          </w:p>
          <w:p w14:paraId="214C435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电源电压 AC 220V 50HZ                   </w:t>
            </w:r>
          </w:p>
          <w:p w14:paraId="00CBFA3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平均功耗 ≤20W</w:t>
            </w:r>
          </w:p>
        </w:tc>
        <w:tc>
          <w:tcPr>
            <w:tcW w:w="235" w:type="pct"/>
            <w:shd w:val="clear" w:color="auto" w:fill="auto"/>
            <w:noWrap/>
            <w:vAlign w:val="center"/>
          </w:tcPr>
          <w:p w14:paraId="64BE849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台</w:t>
            </w:r>
          </w:p>
        </w:tc>
        <w:tc>
          <w:tcPr>
            <w:tcW w:w="369" w:type="pct"/>
            <w:shd w:val="clear" w:color="auto" w:fill="auto"/>
            <w:noWrap/>
            <w:vAlign w:val="center"/>
          </w:tcPr>
          <w:p w14:paraId="38825F2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r>
      <w:tr w14:paraId="7342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1F111BE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37" w:type="pct"/>
            <w:shd w:val="clear" w:color="auto" w:fill="auto"/>
            <w:vAlign w:val="center"/>
          </w:tcPr>
          <w:p w14:paraId="0BAAE1C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AI体育系统</w:t>
            </w:r>
          </w:p>
        </w:tc>
        <w:tc>
          <w:tcPr>
            <w:tcW w:w="3395" w:type="pct"/>
            <w:shd w:val="clear" w:color="auto" w:fill="auto"/>
            <w:vAlign w:val="center"/>
          </w:tcPr>
          <w:p w14:paraId="61CB78A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1、基础信息</w:t>
            </w:r>
          </w:p>
          <w:p w14:paraId="1F1C722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1.1学校信息、校区管理、院系管理：支持根据学校实际情况配置组织架构，包括校区、院系的增删改查；</w:t>
            </w:r>
          </w:p>
          <w:p w14:paraId="442B591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1.2学年配置：学期学年配置，数据可使用性，可读取性强。</w:t>
            </w:r>
          </w:p>
          <w:p w14:paraId="2ADDDD3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1.3教师管理：系统提供教师信息查询，可查询教师账号信息、重置教师账号密码、分配教师班级数据权限以及角色信息。</w:t>
            </w:r>
          </w:p>
          <w:p w14:paraId="71F1232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1.4学生管理：支持录入学生姓名、学籍号、性别、年级、班级等、出生日期、卡号、人脸识别照片等管理，同时支持信息批量导入及导出，方便老师进行学生信息完善，为教学数据采集、统计提供数据基础。</w:t>
            </w:r>
          </w:p>
          <w:p w14:paraId="56B7600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1.5学校角色：支持定义其他人员角色，分配对应权限。</w:t>
            </w:r>
          </w:p>
          <w:p w14:paraId="6E37633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1.6资讯管理：支持通过平台发布体育资讯；</w:t>
            </w:r>
          </w:p>
          <w:p w14:paraId="027F1B9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1.7体育选课：支持对接学校选课平台，导入学生课程信息</w:t>
            </w:r>
          </w:p>
          <w:p w14:paraId="5505672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1.8免测申请：学生申请免测的登记和审批入口；</w:t>
            </w:r>
          </w:p>
          <w:p w14:paraId="150BCB4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2、AI体测室</w:t>
            </w:r>
          </w:p>
          <w:p w14:paraId="23E39ED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2.1体测任务：建立体测任务并发布；</w:t>
            </w:r>
          </w:p>
          <w:p w14:paraId="555852A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2.2预约管理：学生体测室预约信息展示及管理</w:t>
            </w:r>
            <w:r>
              <w:rPr>
                <w:rFonts w:hint="default" w:asciiTheme="minorEastAsia" w:hAnsiTheme="minorEastAsia" w:eastAsiaTheme="minorEastAsia" w:cstheme="minorEastAsia"/>
                <w:sz w:val="24"/>
                <w:lang w:val="en-US"/>
              </w:rPr>
              <w:t>;</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提供产品功能界面截图</w:t>
            </w:r>
            <w:r>
              <w:rPr>
                <w:rFonts w:hint="eastAsia" w:asciiTheme="minorEastAsia" w:hAnsiTheme="minorEastAsia" w:eastAsiaTheme="minorEastAsia" w:cstheme="minorEastAsia"/>
                <w:sz w:val="24"/>
                <w:lang w:val="en-US" w:eastAsia="zh-CN"/>
              </w:rPr>
              <w:t>加盖</w:t>
            </w:r>
            <w:r>
              <w:rPr>
                <w:rFonts w:hint="eastAsia" w:asciiTheme="minorEastAsia" w:hAnsiTheme="minorEastAsia" w:eastAsiaTheme="minorEastAsia" w:cstheme="minorEastAsia"/>
                <w:sz w:val="24"/>
              </w:rPr>
              <w:t>厂商</w:t>
            </w:r>
            <w:r>
              <w:rPr>
                <w:rFonts w:hint="eastAsia" w:asciiTheme="minorEastAsia" w:hAnsiTheme="minorEastAsia" w:eastAsiaTheme="minorEastAsia" w:cstheme="minorEastAsia"/>
                <w:sz w:val="24"/>
                <w:lang w:val="en-US" w:eastAsia="zh-CN"/>
              </w:rPr>
              <w:t>公章</w:t>
            </w:r>
            <w:r>
              <w:rPr>
                <w:rFonts w:hint="eastAsia" w:asciiTheme="minorEastAsia" w:hAnsiTheme="minorEastAsia" w:eastAsiaTheme="minorEastAsia" w:cstheme="minorEastAsia"/>
                <w:sz w:val="24"/>
              </w:rPr>
              <w:t>）</w:t>
            </w:r>
          </w:p>
          <w:p w14:paraId="1E38631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2.3体测室出入管理：自动存档学生的体测室出入记录；</w:t>
            </w:r>
          </w:p>
          <w:p w14:paraId="540E59D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2.4体型成绩记录：查询展示展示体型成绩测试历史记录</w:t>
            </w:r>
          </w:p>
          <w:p w14:paraId="783F9BD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2.5体能成绩记录：查询展示展示体型成绩测试历史记录；</w:t>
            </w:r>
          </w:p>
          <w:p w14:paraId="54301D4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2.6体型成绩汇总：体型成绩取优数据汇总；</w:t>
            </w:r>
          </w:p>
          <w:p w14:paraId="2935966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2.7体能成绩汇总：体能成绩取优数据汇总；</w:t>
            </w:r>
          </w:p>
          <w:p w14:paraId="247BE9D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2.8体质健康报告：生成符合国家标准格式的体质健康报告。</w:t>
            </w:r>
          </w:p>
          <w:p w14:paraId="310B9EB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3、AI阳光跑</w:t>
            </w:r>
          </w:p>
          <w:p w14:paraId="28553BF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3.1阳光跑规则配置：支持配置个性化阳光跑规则，包括跑量、配速等；（提供产品功能界面截图</w:t>
            </w:r>
            <w:r>
              <w:rPr>
                <w:rFonts w:hint="eastAsia" w:asciiTheme="minorEastAsia" w:hAnsiTheme="minorEastAsia" w:eastAsiaTheme="minorEastAsia" w:cstheme="minorEastAsia"/>
                <w:sz w:val="24"/>
                <w:lang w:val="en-US" w:eastAsia="zh-CN"/>
              </w:rPr>
              <w:t>加盖</w:t>
            </w:r>
            <w:r>
              <w:rPr>
                <w:rFonts w:hint="eastAsia" w:asciiTheme="minorEastAsia" w:hAnsiTheme="minorEastAsia" w:eastAsiaTheme="minorEastAsia" w:cstheme="minorEastAsia"/>
                <w:sz w:val="24"/>
              </w:rPr>
              <w:t>厂商</w:t>
            </w:r>
            <w:r>
              <w:rPr>
                <w:rFonts w:hint="eastAsia" w:asciiTheme="minorEastAsia" w:hAnsiTheme="minorEastAsia" w:eastAsiaTheme="minorEastAsia" w:cstheme="minorEastAsia"/>
                <w:sz w:val="24"/>
                <w:lang w:val="en-US" w:eastAsia="zh-CN"/>
              </w:rPr>
              <w:t>公章</w:t>
            </w:r>
            <w:r>
              <w:rPr>
                <w:rFonts w:hint="eastAsia" w:asciiTheme="minorEastAsia" w:hAnsiTheme="minorEastAsia" w:eastAsiaTheme="minorEastAsia" w:cstheme="minorEastAsia"/>
                <w:sz w:val="24"/>
              </w:rPr>
              <w:t>）</w:t>
            </w:r>
          </w:p>
          <w:p w14:paraId="540B82F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3.2阳光跑统计：支持统计跑步当前成绩和历史记录，支持活跃度统计，完成情况统计、个人情况统计及排名等；</w:t>
            </w:r>
          </w:p>
          <w:p w14:paraId="20C6408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3.3阳光跑奖励：奖励规则和个人奖励明细；</w:t>
            </w:r>
          </w:p>
          <w:p w14:paraId="7755245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3.4阳光跑评分：阳光跑评分规则和评分结果</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提供产品功能界面截图</w:t>
            </w:r>
            <w:r>
              <w:rPr>
                <w:rFonts w:hint="eastAsia" w:asciiTheme="minorEastAsia" w:hAnsiTheme="minorEastAsia" w:eastAsiaTheme="minorEastAsia" w:cstheme="minorEastAsia"/>
                <w:sz w:val="24"/>
                <w:lang w:val="en-US" w:eastAsia="zh-CN"/>
              </w:rPr>
              <w:t>加盖</w:t>
            </w:r>
            <w:r>
              <w:rPr>
                <w:rFonts w:hint="eastAsia" w:asciiTheme="minorEastAsia" w:hAnsiTheme="minorEastAsia" w:eastAsiaTheme="minorEastAsia" w:cstheme="minorEastAsia"/>
                <w:sz w:val="24"/>
              </w:rPr>
              <w:t>厂商</w:t>
            </w:r>
            <w:r>
              <w:rPr>
                <w:rFonts w:hint="eastAsia" w:asciiTheme="minorEastAsia" w:hAnsiTheme="minorEastAsia" w:eastAsiaTheme="minorEastAsia" w:cstheme="minorEastAsia"/>
                <w:sz w:val="24"/>
                <w:lang w:val="en-US" w:eastAsia="zh-CN"/>
              </w:rPr>
              <w:t>公章</w:t>
            </w:r>
            <w:r>
              <w:rPr>
                <w:rFonts w:hint="eastAsia" w:asciiTheme="minorEastAsia" w:hAnsiTheme="minorEastAsia" w:eastAsiaTheme="minorEastAsia" w:cstheme="minorEastAsia"/>
                <w:sz w:val="24"/>
              </w:rPr>
              <w:t>）</w:t>
            </w:r>
          </w:p>
          <w:p w14:paraId="4AAEE65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3.5大屏视频播放管理：各种跑前跑后拉伸视频的管理，大屏播放内容管理；</w:t>
            </w:r>
          </w:p>
          <w:p w14:paraId="18E30B2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3.6识别信息查询：AI阳光跑学生人脸识别情况历史记录查询；</w:t>
            </w:r>
          </w:p>
          <w:p w14:paraId="797D11F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3.7阳光跑申诉：学生阳光跑申诉通道，登记信息和历史处理记录。</w:t>
            </w:r>
          </w:p>
          <w:p w14:paraId="3E9BB3E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4、体测数据分析</w:t>
            </w:r>
          </w:p>
          <w:p w14:paraId="06411C0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4.1单项成绩排名：单项运动成绩排名统计；</w:t>
            </w:r>
          </w:p>
          <w:p w14:paraId="46BB68B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4.2单项成绩分段统计：单项成绩按优秀、合格、良好等维度统计</w:t>
            </w:r>
          </w:p>
          <w:p w14:paraId="0C746E0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4.3总成绩分段统计：总成绩按优秀、合格、良好等维度统计</w:t>
            </w:r>
          </w:p>
          <w:p w14:paraId="3167510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4.4体型数据统计：体型数据按不同维度统计</w:t>
            </w:r>
          </w:p>
          <w:p w14:paraId="585DAF6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4.5体能数据统计：体能数据按不同维度统计</w:t>
            </w:r>
          </w:p>
          <w:p w14:paraId="1487C65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4.6年级数据概览：年级体测总体数据概览</w:t>
            </w:r>
          </w:p>
          <w:p w14:paraId="2DDE668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4.7学校总体概览：学校体测总体数据概览</w:t>
            </w:r>
          </w:p>
          <w:p w14:paraId="240A444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5、数据看板</w:t>
            </w:r>
          </w:p>
          <w:p w14:paraId="0090BA2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5.1体测室入口看板：体测室入口数据展示，包含预约信息等；</w:t>
            </w:r>
          </w:p>
          <w:p w14:paraId="064D77A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5.2体测室出口看板：体测室出口数据展示，包含当日体测成绩等</w:t>
            </w:r>
          </w:p>
          <w:p w14:paraId="132C66E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6、设备管理</w:t>
            </w:r>
          </w:p>
          <w:p w14:paraId="7CABC49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智能化设备的管理，添加，删除，配置等操作。</w:t>
            </w:r>
          </w:p>
          <w:p w14:paraId="7AACA8D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▲7、支持体测数据对接学校教务管理系统</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（提供软件厂商软著以及软件厂商对接承诺函）</w:t>
            </w:r>
            <w:r>
              <w:rPr>
                <w:rFonts w:hint="eastAsia" w:asciiTheme="minorEastAsia" w:hAnsiTheme="minorEastAsia" w:eastAsiaTheme="minorEastAsia" w:cstheme="minorEastAsia"/>
                <w:sz w:val="24"/>
                <w:lang w:val="en-US" w:eastAsia="zh-CN"/>
              </w:rPr>
              <w:t>软件系统必须兼容学校服务器</w:t>
            </w:r>
          </w:p>
        </w:tc>
        <w:tc>
          <w:tcPr>
            <w:tcW w:w="235" w:type="pct"/>
            <w:shd w:val="clear" w:color="auto" w:fill="auto"/>
            <w:noWrap/>
            <w:vAlign w:val="center"/>
          </w:tcPr>
          <w:p w14:paraId="15351E9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3FA7425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r>
      <w:tr w14:paraId="76CD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5CAC8A99">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737" w:type="pct"/>
            <w:shd w:val="clear" w:color="auto" w:fill="auto"/>
            <w:vAlign w:val="center"/>
          </w:tcPr>
          <w:p w14:paraId="3E5103A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短跑AI立柜式一体机-立柜</w:t>
            </w:r>
          </w:p>
          <w:p w14:paraId="00F3D15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（含AI体育智能采集设备嵌入式软件V1.0）</w:t>
            </w:r>
          </w:p>
        </w:tc>
        <w:tc>
          <w:tcPr>
            <w:tcW w:w="3395" w:type="pct"/>
            <w:shd w:val="clear" w:color="auto" w:fill="auto"/>
            <w:vAlign w:val="center"/>
          </w:tcPr>
          <w:p w14:paraId="5506D3C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软件功能：</w:t>
            </w:r>
          </w:p>
          <w:p w14:paraId="62B3FC9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1.采用AI摄像头作为采集终端，结合AI视觉算法自动识别考核人员跑步路线，并自动计时；</w:t>
            </w:r>
          </w:p>
          <w:p w14:paraId="5AB37E2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2.支持不少于8人同时测试；</w:t>
            </w:r>
          </w:p>
          <w:p w14:paraId="5D03E8C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3.支持人脸身份识别并实时与平台交互，防作弊；</w:t>
            </w:r>
          </w:p>
          <w:p w14:paraId="5995E39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4.采用人工智能视觉识别技术，视频处理帧率≥25FPS，系统自动识别≥30个人体骨骼关键点，自动分析判断受测者的动作是否标准以及是否存在犯规情况；</w:t>
            </w:r>
          </w:p>
          <w:p w14:paraId="1E01141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5.具备语音播报功能，检测到违规情况（踩线、抢跑）实时给予提醒，测试完成后实时播报测试成绩；</w:t>
            </w:r>
          </w:p>
          <w:p w14:paraId="57BF9E9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6.测试结果响应速度≤0.5秒</w:t>
            </w:r>
          </w:p>
          <w:p w14:paraId="742E7B8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7.AI视频影像直接作为考核仲裁视频，无须额外增加考核监控视频设备；</w:t>
            </w:r>
          </w:p>
          <w:p w14:paraId="7F30A02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8.具备对测试区快速标定的能力，只需通过画定参训人员所在测试范围内的基本图形来完成识别区标定，无需借助任何辅助电子设备即可精准识别完成项目测试。</w:t>
            </w:r>
          </w:p>
          <w:p w14:paraId="55271EA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9.支持训练人员身份识别，实现测试者实时人脸识别身份验证，也可通过证件号及分组号方式检录验证，并可按语音提示自助完成测试。</w:t>
            </w:r>
          </w:p>
          <w:p w14:paraId="18B050F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10.测试成绩能自动记录，测试数据能自动储存与备份。</w:t>
            </w:r>
          </w:p>
          <w:p w14:paraId="6447641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11.测试时能实时显示标有人体关键点的测试视频，视频延时≦450ms。测试完成后，可查看历史测试记录，并可查看无效动作的原因。</w:t>
            </w:r>
          </w:p>
          <w:p w14:paraId="5A99C3C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12.量程0~999.9s，分度值0.1s，误差±1.5%</w:t>
            </w:r>
          </w:p>
          <w:p w14:paraId="36FEC31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硬件参数：</w:t>
            </w:r>
          </w:p>
          <w:p w14:paraId="6434C3B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1、外观材质：黑色钢化面板白色边框，机身材质采用钢化玻璃面板、钣金外壳机身满足抗冲击、防腐蚀、耐老化等国家标准</w:t>
            </w:r>
          </w:p>
          <w:p w14:paraId="394E16C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2、尺寸：350mm(L) * 140mm(W) * 1720mm(H) （允许5%以内的偏离）</w:t>
            </w:r>
          </w:p>
          <w:p w14:paraId="5A34178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3、安装方式：支持多种安装方式，包括室内移动式/室外固定式安装</w:t>
            </w:r>
          </w:p>
          <w:p w14:paraId="19856F7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4、算力主机：采用国产品牌芯片（</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1D92B38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算法模块：支持多项运动识别，通过授权可以实现仰卧起坐，立定跳远，引体向上，斜身引体、短跑（50米/100），中长跑（800/1000米），足球绕杆，篮球绕杆，排球垫球（满足对墙/对空两种方式），掷实心球等项目的互用，并可支持其他运动项目延展。（</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2C72EB2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6、一体机具备远程升级能力，自动提示新版本及升级情况。可通过一体机直接配置第三方数据接口地址，对接第三方平台；</w:t>
            </w:r>
          </w:p>
          <w:p w14:paraId="70EC8B1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7、支持选配</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2个内置高性能AI摄像头，最大图像尺寸≥2560 × 1440，帧率分辨率：50 Hz：50、25 fps（2560 × 1440，1920 × 1080，1280 × 720），视频压缩标准：H.265/H.264</w:t>
            </w:r>
          </w:p>
          <w:p w14:paraId="5876118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8、支持有线及无线网络连接，有线网络接口：≥1个WLAN口 RJ45 10M/100M/1000M自适应以太网口；无线网络标准：IEEE 802.11b，IEEE 802.11g，IEEE 802.11n，传输速率：≥150Mbps，频率：5GHz，支持 4G（TD-LTE/LTE FDD）</w:t>
            </w:r>
          </w:p>
          <w:p w14:paraId="5807B4C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9、内置喇叭：内置≥30W单声道喇叭</w:t>
            </w:r>
          </w:p>
          <w:p w14:paraId="7B79203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10、集成NFC刷卡：可支持IC/ID刷卡</w:t>
            </w:r>
          </w:p>
          <w:p w14:paraId="3364B0C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★11、立柜一体机防护等级不低于IP66。（</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19CD106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12、产品符合体质测试国标GB/T 19851.12-2005或行业标准TY/T 2001-2015，支持50/100米跑项目测试。（</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1C1AD7F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▲13、一体机产品应通过国家认证认可监督管理委员会批准的任一体育用品认证机构的认证NSCC</w:t>
            </w:r>
            <w:r>
              <w:rPr>
                <w:rFonts w:hint="eastAsia" w:asciiTheme="minorEastAsia" w:hAnsiTheme="minorEastAsia" w:eastAsiaTheme="minorEastAsia" w:cstheme="minorEastAsia"/>
                <w:sz w:val="24"/>
                <w:lang w:val="en-US" w:eastAsia="zh-CN"/>
              </w:rPr>
              <w:t>或中体联</w:t>
            </w:r>
            <w:r>
              <w:rPr>
                <w:rFonts w:hint="eastAsia" w:asciiTheme="minorEastAsia" w:hAnsiTheme="minorEastAsia" w:eastAsiaTheme="minorEastAsia" w:cstheme="minorEastAsia"/>
                <w:sz w:val="24"/>
              </w:rPr>
              <w:t>认证证书。（提供带产品样机图片产品认证证书复印件（含确认函），并提供该证书在官网的查询结果截图）</w:t>
            </w:r>
          </w:p>
          <w:p w14:paraId="5780A4A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▲14、一体机应带有浪涌保护器，经</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4kv浪涌冲击后能自动恢复正常。（提供CMA或CNAS认可的检测机构出具的检测报告</w:t>
            </w:r>
            <w:r>
              <w:rPr>
                <w:rFonts w:hint="eastAsia" w:asciiTheme="minorEastAsia" w:hAnsiTheme="minorEastAsia" w:eastAsiaTheme="minorEastAsia" w:cstheme="minorEastAsia"/>
                <w:sz w:val="24"/>
                <w:lang w:val="en-US" w:eastAsia="zh-CN"/>
              </w:rPr>
              <w:t>复印件</w:t>
            </w:r>
            <w:r>
              <w:rPr>
                <w:rFonts w:hint="eastAsia" w:asciiTheme="minorEastAsia" w:hAnsiTheme="minorEastAsia" w:eastAsiaTheme="minorEastAsia" w:cstheme="minorEastAsia"/>
                <w:sz w:val="24"/>
              </w:rPr>
              <w:t>作为该技术参数证明材料）</w:t>
            </w:r>
          </w:p>
        </w:tc>
        <w:tc>
          <w:tcPr>
            <w:tcW w:w="235" w:type="pct"/>
            <w:shd w:val="clear" w:color="auto" w:fill="auto"/>
            <w:noWrap/>
            <w:vAlign w:val="center"/>
          </w:tcPr>
          <w:p w14:paraId="4203085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46E92AF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r>
      <w:tr w14:paraId="750E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2C8AD70F">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737" w:type="pct"/>
            <w:shd w:val="clear" w:color="auto" w:fill="auto"/>
            <w:vAlign w:val="center"/>
          </w:tcPr>
          <w:p w14:paraId="2F1748E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短跑AI立柜式一体机-AI摄像头（枪机）</w:t>
            </w:r>
          </w:p>
        </w:tc>
        <w:tc>
          <w:tcPr>
            <w:tcW w:w="3395" w:type="pct"/>
            <w:shd w:val="clear" w:color="auto" w:fill="auto"/>
            <w:vAlign w:val="center"/>
          </w:tcPr>
          <w:p w14:paraId="2C273A6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1、传感器类型：CMOS。</w:t>
            </w:r>
          </w:p>
          <w:p w14:paraId="0E0E8DF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2、最低照度：彩色 0.005Lux@（F1.2，AGC ON），0Lux with Light。</w:t>
            </w:r>
          </w:p>
          <w:p w14:paraId="0777FCC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3、快门：1/3s~1/100,000s。</w:t>
            </w:r>
          </w:p>
          <w:p w14:paraId="0590F0A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4、宽动态：≥120dB。</w:t>
            </w:r>
          </w:p>
          <w:p w14:paraId="6A40958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5、日夜切换模式：ICR 红外滤片式。</w:t>
            </w:r>
          </w:p>
          <w:p w14:paraId="4EE8694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6、补光灯类型：默认白光，可切换红外补光（850nm）。</w:t>
            </w:r>
          </w:p>
          <w:p w14:paraId="46B901C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7、视频：最大图像尺寸≥2560×1440。</w:t>
            </w:r>
          </w:p>
          <w:p w14:paraId="46807FF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8、主码流帧率分辨率：≥50Hz：25fps（2560×1440，1920×1080，1280×720）。</w:t>
            </w:r>
          </w:p>
          <w:p w14:paraId="753E3E9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9、第三码流帧率分辨率：≥50Hz：1fps（1280×720，640×360）。</w:t>
            </w:r>
          </w:p>
          <w:p w14:paraId="3625C25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10、视频压缩标准：H.265/H.264。</w:t>
            </w:r>
          </w:p>
          <w:p w14:paraId="5707FA3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11、视频压缩码率：≥32Kbps~8Mbps。</w:t>
            </w:r>
          </w:p>
          <w:p w14:paraId="0774379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12、编码类型：H.264/H.265/Smart264/Smart265。</w:t>
            </w:r>
          </w:p>
          <w:p w14:paraId="2D7058B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13、音频采样：支持。</w:t>
            </w:r>
          </w:p>
          <w:p w14:paraId="6E7D619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14、1路输入（Line in），最大输入幅值：3.3Vpp，输入阻抗：4.7kΩ，接口类型：非平衡；≥1路输出（Line out），最大输出幅值：3.3 Vpp，输出阻抗：100Ω，接口类型：非平衡；≥1个内置麦克风，≥1个内置扬声器。</w:t>
            </w:r>
          </w:p>
          <w:p w14:paraId="2BCA544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15、网络存储：支持NAS（NFS，SMB/CIFS均支持），支持MicroSD/MicroSDHC/MicroSDXC卡（最大256GB），断网本地录像存储及断网续传，支持SD卡加密及SD卡状态检测。</w:t>
            </w:r>
          </w:p>
          <w:p w14:paraId="2513902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16、SD卡扩展：内置MicroSD/MicroSDHC/MicroSDXC插槽，最大支持256GB。</w:t>
            </w:r>
          </w:p>
          <w:p w14:paraId="4107F8C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17、网络：≥1个RJ45，10M/100M自适应以太网口。</w:t>
            </w:r>
          </w:p>
          <w:p w14:paraId="0BE6DC1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18、电源：供电方式DC12V ± 25%，PoE：802.3at。</w:t>
            </w:r>
          </w:p>
          <w:p w14:paraId="37DBE77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19、输出DC12V，100mA，建议用于拾音器供电。</w:t>
            </w:r>
          </w:p>
          <w:p w14:paraId="4690CD6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20、启动和工作温湿度：0℃-60℃，湿度小于95%（无凝结）。</w:t>
            </w:r>
          </w:p>
          <w:p w14:paraId="75CB172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21、电流及功耗：DC12V，1.08A，最大功耗：13W，PoE：802.3at，42.5V~57V，0.36A~0.27A，最大功耗：15W。</w:t>
            </w:r>
          </w:p>
          <w:p w14:paraId="73F5B22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22、防护：</w:t>
            </w:r>
            <w:r>
              <w:rPr>
                <w:rFonts w:hint="eastAsia" w:asciiTheme="minorEastAsia" w:hAnsiTheme="minorEastAsia" w:eastAsiaTheme="minorEastAsia" w:cstheme="minorEastAsia"/>
                <w:sz w:val="24"/>
                <w:lang w:val="en-US" w:eastAsia="zh-CN"/>
              </w:rPr>
              <w:t>不低于</w:t>
            </w:r>
            <w:r>
              <w:rPr>
                <w:rFonts w:hint="eastAsia" w:asciiTheme="minorEastAsia" w:hAnsiTheme="minorEastAsia" w:eastAsiaTheme="minorEastAsia" w:cstheme="minorEastAsia"/>
                <w:sz w:val="24"/>
              </w:rPr>
              <w:t>IP66。</w:t>
            </w:r>
          </w:p>
        </w:tc>
        <w:tc>
          <w:tcPr>
            <w:tcW w:w="235" w:type="pct"/>
            <w:shd w:val="clear" w:color="auto" w:fill="auto"/>
            <w:noWrap/>
            <w:vAlign w:val="center"/>
          </w:tcPr>
          <w:p w14:paraId="27BBB10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3E332C8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r>
      <w:tr w14:paraId="65B1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1A7728C0">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0</w:t>
            </w:r>
          </w:p>
        </w:tc>
        <w:tc>
          <w:tcPr>
            <w:tcW w:w="737" w:type="pct"/>
            <w:shd w:val="clear" w:color="auto" w:fill="auto"/>
            <w:vAlign w:val="center"/>
          </w:tcPr>
          <w:p w14:paraId="7E85B57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短跑AI立柜式一体机-AI摄像头(球机）</w:t>
            </w:r>
          </w:p>
        </w:tc>
        <w:tc>
          <w:tcPr>
            <w:tcW w:w="3395" w:type="pct"/>
            <w:shd w:val="clear" w:color="auto" w:fill="auto"/>
            <w:vAlign w:val="center"/>
          </w:tcPr>
          <w:p w14:paraId="07299D5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1、传感器类型：1/2.8" Progressive Scan CMOS。</w:t>
            </w:r>
          </w:p>
          <w:p w14:paraId="66CBEB4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2、最低照度： 彩色：0.005Lux @ (F1.5，AGC ON)；黑白：0.001Lux @(F1.5，AGC ON) ；0 Lux with IR</w:t>
            </w:r>
          </w:p>
          <w:p w14:paraId="1D2D2ED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3、快门：1 s~1/30,000 </w:t>
            </w:r>
          </w:p>
          <w:p w14:paraId="05E07AE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4、慢快门：支持</w:t>
            </w:r>
          </w:p>
          <w:p w14:paraId="3B71F3A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5、日夜转换模式：ICR滤片式</w:t>
            </w:r>
          </w:p>
          <w:p w14:paraId="7A51121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6、变倍：≥23倍光学变倍，≥16倍数字变倍</w:t>
            </w:r>
          </w:p>
          <w:p w14:paraId="56F3AF8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7、最大分辨率：≥2688 x 1520</w:t>
            </w:r>
          </w:p>
          <w:p w14:paraId="07B73BF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8、镜头：聚焦模式：自动，手动，半自动</w:t>
            </w:r>
          </w:p>
          <w:p w14:paraId="162E7D0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9、焦距：≥5.9~135.7 mm</w:t>
            </w:r>
          </w:p>
          <w:p w14:paraId="06167D3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10、光学变倍速度：大约4.8s 光学，广角</w:t>
            </w:r>
          </w:p>
          <w:p w14:paraId="1B33AFD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11、视场角：水平视场角：</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60.2°-3.4°(广角-望远)，垂直视场角：</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35.2°-1.9°(广角-望远)</w:t>
            </w:r>
          </w:p>
          <w:p w14:paraId="4FC026D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12、最大光圈数：≥F1.5</w:t>
            </w:r>
          </w:p>
          <w:p w14:paraId="0D73032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13、补光灯类型：白光补光、红外补光</w:t>
            </w:r>
          </w:p>
          <w:p w14:paraId="73D7D2A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14、补光灯距离:白光照射距离：最远可达100m；红外照射距离：最远可达150m</w:t>
            </w:r>
          </w:p>
          <w:p w14:paraId="7D04BE8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15、云台：水平范围：360°垂直范围：-15°-90°(自动翻转)</w:t>
            </w:r>
          </w:p>
          <w:p w14:paraId="1DA3499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16、主码流帧率分辨率（不低于）：50Hz: 25fps (2688×1520,2560×1440,1920×1080,1280×960,1280×720)，60Hz: 30fps (2688×1520,2560×1440,1920×1080,1280×960,1280×720)</w:t>
            </w:r>
          </w:p>
          <w:p w14:paraId="7E4E21B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17、子码流帧率分辨率（不低于）：50 Hz：25 fps（704 × 576，640 × 480，352 × 288），60 Hz：30 fps（704 × 480，640 × 480，352 × 240</w:t>
            </w:r>
          </w:p>
          <w:p w14:paraId="6D29332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18、第三码流帧率分辨率：50 Hz：25 fps（1920 × 1080，1280 × 960，1280 × 720，704 × 576，640 × 480，352 × 288），60 Hz：30 fps（1920 × 1080，1280 × 960，1280 × 720，704 × 480，640 × 480，352 × 240）</w:t>
            </w:r>
          </w:p>
          <w:p w14:paraId="5221FBD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19、视频压缩标准：H.265,H.264,MJPEG</w:t>
            </w:r>
          </w:p>
          <w:p w14:paraId="1113C04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20、视频压缩码率：32 Kbps~16384 Kbps</w:t>
            </w:r>
          </w:p>
          <w:p w14:paraId="5DDCCA6B">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21、音频采样率：AAC-LC：16kHz，32kHz，48kHz,PCM：8kHz，16kHz，32kHz，48kHz ,MP2L2：16kHz，32kHz，48kHz</w:t>
            </w:r>
          </w:p>
          <w:p w14:paraId="5E1CABC0">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22、网络存储：断网本地存储及断网续传，NAS（NFS，SMB/CIFS均支持）</w:t>
            </w:r>
          </w:p>
          <w:p w14:paraId="5F503974">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23、支持协议：TCP/IP,SMTP,RTSP,FTP,WebSockets,IGMP,WebSocket,Qos,RTCP,HTTPS,PPPoE,SNMP,NTP,RTP,UDP,DNS,HTTP,DHCP,Bonjour,802.1x,IPv4/IPv6,DDNS,ICMP,UPnP</w:t>
            </w:r>
          </w:p>
          <w:p w14:paraId="70794F44">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24、图像增强：背光补偿、强光抑制、3D数字降噪</w:t>
            </w:r>
          </w:p>
          <w:p w14:paraId="13137CB5">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25、图像设置：饱和度，亮度，对比度，锐度，AGC，白平衡通过客户端或者浏览器可调</w:t>
            </w:r>
          </w:p>
          <w:p w14:paraId="31FE8B8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26、电源：DC：36 V；最大功耗：42 W（其中加热2 W，补光灯12 W）Hi-PoE</w:t>
            </w:r>
          </w:p>
          <w:p w14:paraId="70E4A15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27、启动和工作温湿度：0℃-65℃,湿度小于90%</w:t>
            </w:r>
          </w:p>
          <w:p w14:paraId="73C3A7A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28、电流及功耗：DC：12 V，0.90 A，最大功耗：10.7W ；PoE：802.3af，36 V~57 V，0.22 A~0.35 A，最大功耗：12.5W。</w:t>
            </w:r>
          </w:p>
          <w:p w14:paraId="10626EA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29、防护：</w:t>
            </w:r>
            <w:r>
              <w:rPr>
                <w:rFonts w:hint="eastAsia" w:asciiTheme="minorEastAsia" w:hAnsiTheme="minorEastAsia" w:eastAsiaTheme="minorEastAsia" w:cstheme="minorEastAsia"/>
                <w:sz w:val="24"/>
                <w:lang w:val="en-US" w:eastAsia="zh-CN"/>
              </w:rPr>
              <w:t>不低于</w:t>
            </w:r>
            <w:r>
              <w:rPr>
                <w:rFonts w:hint="eastAsia" w:asciiTheme="minorEastAsia" w:hAnsiTheme="minorEastAsia" w:eastAsiaTheme="minorEastAsia" w:cstheme="minorEastAsia"/>
                <w:sz w:val="24"/>
              </w:rPr>
              <w:t>IP66。</w:t>
            </w:r>
          </w:p>
        </w:tc>
        <w:tc>
          <w:tcPr>
            <w:tcW w:w="235" w:type="pct"/>
            <w:shd w:val="clear" w:color="auto" w:fill="auto"/>
            <w:noWrap/>
            <w:vAlign w:val="center"/>
          </w:tcPr>
          <w:p w14:paraId="05B5A68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4138DA1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r>
      <w:tr w14:paraId="2A6B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55FE9555">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w:t>
            </w:r>
          </w:p>
        </w:tc>
        <w:tc>
          <w:tcPr>
            <w:tcW w:w="737" w:type="pct"/>
            <w:shd w:val="clear" w:color="auto" w:fill="auto"/>
            <w:vAlign w:val="center"/>
          </w:tcPr>
          <w:p w14:paraId="09479F8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短跑AI立柜式一体机-立杆</w:t>
            </w:r>
          </w:p>
        </w:tc>
        <w:tc>
          <w:tcPr>
            <w:tcW w:w="3395" w:type="pct"/>
            <w:shd w:val="clear" w:color="auto" w:fill="auto"/>
            <w:vAlign w:val="center"/>
          </w:tcPr>
          <w:p w14:paraId="43723E6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横杆采用圆杆，一体成型；材料采用Q235镀锌钢管/不锈钢钢管</w:t>
            </w:r>
          </w:p>
          <w:p w14:paraId="2D93922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竖杆采用八角杆，一体成型；材料采用Q235镀锌钢管/不锈钢钢管</w:t>
            </w:r>
          </w:p>
          <w:p w14:paraId="42D1FFF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含摄像头万向支架</w:t>
            </w:r>
          </w:p>
        </w:tc>
        <w:tc>
          <w:tcPr>
            <w:tcW w:w="235" w:type="pct"/>
            <w:shd w:val="clear" w:color="auto" w:fill="auto"/>
            <w:noWrap/>
            <w:vAlign w:val="center"/>
          </w:tcPr>
          <w:p w14:paraId="6D02571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276753C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r>
      <w:tr w14:paraId="0A9C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4BC74430">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p>
        </w:tc>
        <w:tc>
          <w:tcPr>
            <w:tcW w:w="737" w:type="pct"/>
            <w:shd w:val="clear" w:color="auto" w:fill="auto"/>
            <w:vAlign w:val="center"/>
          </w:tcPr>
          <w:p w14:paraId="69EAB88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中长跑AI立柜式一体机-立柜（含AI体育智能采集设备嵌入式软件V1.0）</w:t>
            </w:r>
          </w:p>
        </w:tc>
        <w:tc>
          <w:tcPr>
            <w:tcW w:w="3395" w:type="pct"/>
            <w:shd w:val="clear" w:color="auto" w:fill="auto"/>
            <w:vAlign w:val="center"/>
          </w:tcPr>
          <w:p w14:paraId="45B98A6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软件功能：</w:t>
            </w:r>
          </w:p>
          <w:p w14:paraId="0C1582E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1.采用AI摄像头作为采集终端，结合AI视觉算法自动识别考核人员跑步路线，并自动计时；</w:t>
            </w:r>
          </w:p>
          <w:p w14:paraId="00F3234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2.具有分组测试功能，单组支持不少于30人同时测试，支持不少于4组套跑；</w:t>
            </w:r>
          </w:p>
          <w:p w14:paraId="741B80E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3.支持人脸身份识别并实时与平台交互，防作弊；</w:t>
            </w:r>
          </w:p>
          <w:p w14:paraId="0D5724A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4.采用人工智能视觉识别技术，视频处理帧率≥25FPS ，系统自动识别≥30个人体骨骼关键点，自动分析判断受测者的动作是否标准以及是否存在犯规情况；</w:t>
            </w:r>
          </w:p>
          <w:p w14:paraId="7B4D948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5.具有抢跑重置功能，无需重新录入测试者信息；</w:t>
            </w:r>
          </w:p>
          <w:p w14:paraId="3EE5DC6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6.具备语音播报功能，检测到违规情况实时给予提醒，测试完成后实时播报测试成绩；</w:t>
            </w:r>
          </w:p>
          <w:p w14:paraId="0F97246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7.测试结果响应速度≤1秒</w:t>
            </w:r>
          </w:p>
          <w:p w14:paraId="38C0B9D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8.AI视频影像直接作为考核仲裁视频，无须额外增加考核监控视频设备；</w:t>
            </w:r>
          </w:p>
          <w:p w14:paraId="0340966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9.具备对测试区快速标定的能力，只需通过画定参训人员所在测试范围内的基本图形来完成识别区标定，无需借助任何辅助电子设备即可精准识别完成项目测试。</w:t>
            </w:r>
          </w:p>
          <w:p w14:paraId="23098DB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10.运动项AI识别准确率在99%以上</w:t>
            </w:r>
          </w:p>
          <w:p w14:paraId="31B50B2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11.支持训练人员身份识别，实现测试者实时人脸识别身份验证，也可通过证件号及分组号方式检录验证，并可按语音提示自助完成测试。</w:t>
            </w:r>
          </w:p>
          <w:p w14:paraId="00B9360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12.测试成绩能自动记录，测试数据能自动储存与备份</w:t>
            </w:r>
          </w:p>
          <w:p w14:paraId="6C4958F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13.测试过程中，测试者可在规定的时间内，支持自主选择提前结束测试或取消测试。</w:t>
            </w:r>
          </w:p>
          <w:p w14:paraId="476337C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14.量程0~999.9s，分度值0.1s，误差±1.5%</w:t>
            </w:r>
          </w:p>
          <w:p w14:paraId="2268DC9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硬件参数：</w:t>
            </w:r>
          </w:p>
          <w:p w14:paraId="6E0D310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1、外观材质：黑色钢化面板白色边框，机身材质采用钢化玻璃面板、钣金外壳机身满足抗冲击、防腐蚀、耐老化等国家标准</w:t>
            </w:r>
          </w:p>
          <w:p w14:paraId="7F9DF59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2、尺寸：350mm(L) * 140mm(W) * 1720mm(H) （允许5%以内的偏离）</w:t>
            </w:r>
          </w:p>
          <w:p w14:paraId="26D4696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3、安装方式：支持多种安装方式，包括室内移动式/室外固定式安装</w:t>
            </w:r>
          </w:p>
          <w:p w14:paraId="5BAA1DF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4、算力主机：采用国产品牌芯片（</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0390F6B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算法模块：支持多项运动识别，通过授权可以实现仰卧起坐，立定跳远，引体向上，斜身引体、短跑（50米/100），中长跑（800/1000米），足球绕杆，篮球绕杆，排球垫球（满足对墙/对空两种方式），掷实心球等项目的互用，并可支持其他运动项目延展。（</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5E7DE92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6、一体机具备远程升级能力，自动提示新版本及升级情况。可通过一体机直接配置第三方数据接口地址，对接第三方平台；</w:t>
            </w:r>
          </w:p>
          <w:p w14:paraId="0864F01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7、支持选配2个内置高性能AI摄像头，最大图像尺寸≥2560 × 1440，帧率分辨率：50 Hz：50、25 fps（2560 × 1440，1920 × 1080，1280 × 720），视频压缩标准：H.265/H.264</w:t>
            </w:r>
          </w:p>
          <w:p w14:paraId="0D3254A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8、支持有线及无线网络连接，有线网络接口：≥1个WLAN口 RJ45 10M/100M/1000M自适应以太网口；无线网络标准：IEEE 802.11b，IEEE 802.11g，IEEE 802.11n，传输速率：≥150Mbps，频率：5GHz，支持 4G（TD-LTE/LTE FDD）</w:t>
            </w:r>
          </w:p>
          <w:p w14:paraId="52345F4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9、内置喇叭：内置≥30W单声道喇叭</w:t>
            </w:r>
          </w:p>
          <w:p w14:paraId="5FFFFB4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10、集成NFC刷卡：可支持IC/ID刷卡</w:t>
            </w:r>
          </w:p>
          <w:p w14:paraId="0A65915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11、立柜一体机防护等级不低于IP66。（</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0FD7164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▲12、产品符合体质测试国标GB/T 19851.12-2005或行业标准TY/T 2001-2015，支持800/1000米跑项目测试，误差低于±1.5%。（</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46FCC93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▲13、一体机产品应通过国家认证认可监督管理委员会批准的任一体育用品认证机构的认证NSCC</w:t>
            </w:r>
            <w:r>
              <w:rPr>
                <w:rFonts w:hint="eastAsia" w:asciiTheme="minorEastAsia" w:hAnsiTheme="minorEastAsia" w:eastAsiaTheme="minorEastAsia" w:cstheme="minorEastAsia"/>
                <w:sz w:val="24"/>
                <w:lang w:val="en-US" w:eastAsia="zh-CN"/>
              </w:rPr>
              <w:t>或中体联</w:t>
            </w:r>
            <w:r>
              <w:rPr>
                <w:rFonts w:hint="eastAsia" w:asciiTheme="minorEastAsia" w:hAnsiTheme="minorEastAsia" w:eastAsiaTheme="minorEastAsia" w:cstheme="minorEastAsia"/>
                <w:sz w:val="24"/>
              </w:rPr>
              <w:t>认证证书。（提供带产品样机图片产品认证证书复印件（含确认函），并提供该证书在官网的查询结果截图）</w:t>
            </w:r>
          </w:p>
          <w:p w14:paraId="49AD646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▲14、一体机应带有浪涌保护器，经</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4kv浪涌冲击后能自动恢复正常。（</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tc>
        <w:tc>
          <w:tcPr>
            <w:tcW w:w="235" w:type="pct"/>
            <w:shd w:val="clear" w:color="auto" w:fill="auto"/>
            <w:noWrap/>
            <w:vAlign w:val="center"/>
          </w:tcPr>
          <w:p w14:paraId="3E5CD2F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579EFB6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r>
      <w:tr w14:paraId="3982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44C42EB0">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w:t>
            </w:r>
          </w:p>
        </w:tc>
        <w:tc>
          <w:tcPr>
            <w:tcW w:w="737" w:type="pct"/>
            <w:shd w:val="clear" w:color="auto" w:fill="auto"/>
            <w:vAlign w:val="center"/>
          </w:tcPr>
          <w:p w14:paraId="369CEF6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中长跑AI立柜式一体机-AI摄像头（枪机）</w:t>
            </w:r>
          </w:p>
        </w:tc>
        <w:tc>
          <w:tcPr>
            <w:tcW w:w="3395" w:type="pct"/>
            <w:shd w:val="clear" w:color="auto" w:fill="auto"/>
            <w:vAlign w:val="center"/>
          </w:tcPr>
          <w:p w14:paraId="782D7CB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1、传感器类型：1/1.8" Progressive Scan CMOS。</w:t>
            </w:r>
          </w:p>
          <w:p w14:paraId="522E679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2、最低照度：彩色 0.0005Lux@（F1.0，AGC ON），0Lux with Light。</w:t>
            </w:r>
          </w:p>
          <w:p w14:paraId="772DF7C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3、快门：1s~1/100,000s。</w:t>
            </w:r>
          </w:p>
          <w:p w14:paraId="3606358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4、宽动态：120dB。</w:t>
            </w:r>
          </w:p>
          <w:p w14:paraId="71F0FB4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5、补光灯类型：鳞镜补光，≥4颗暖白光灯珠。</w:t>
            </w:r>
          </w:p>
          <w:p w14:paraId="2F3BA24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6、视频：最大图像尺寸≥2560×1440。</w:t>
            </w:r>
          </w:p>
          <w:p w14:paraId="6445A22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7、主码流帧率分辨率（不低于）：50 Hz：50 fps（2560 × 1440，1920 × 1080，1280 × 720）。</w:t>
            </w:r>
          </w:p>
          <w:p w14:paraId="596FF1B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8、子码流帧率分辨率（不低于）：50 Hz：25 fps（704 × 576，640 × 480）。</w:t>
            </w:r>
          </w:p>
          <w:p w14:paraId="048AFA0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9、视频压缩标准：H.265/H.264/MJPEG。</w:t>
            </w:r>
          </w:p>
          <w:p w14:paraId="2FA495C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10、视频压缩码率：32Kbps~8Mbps。</w:t>
            </w:r>
          </w:p>
          <w:p w14:paraId="2DE0BAC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11、音频采样：支持输入输出，内置麦克风，内置扬声器。</w:t>
            </w:r>
          </w:p>
          <w:p w14:paraId="6DAEBF0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12、存储：支持MicroSD/MicroSDHC/MicroSDXC卡（最大512 GB）断网本地存储及断网续传，NAS（NFS，SMB/CIFS均支持）。</w:t>
            </w:r>
          </w:p>
          <w:p w14:paraId="55D1BEF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13、网络：1个RJ45 10M/100M自适应以太网口。</w:t>
            </w:r>
          </w:p>
          <w:p w14:paraId="77E9A56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14、图像增强：背光补偿，强光抑制，透雾，电子防抖，3D降噪，畸变校正</w:t>
            </w:r>
          </w:p>
          <w:p w14:paraId="59BB42E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15、图像设置：饱和度，亮度，对比度，锐度，AGC，白平衡，走廊模式（旋转模式）通过客户端或者浏览器可调</w:t>
            </w:r>
          </w:p>
          <w:p w14:paraId="7261A11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16、电源：DC：12 V ± 20%，支持防反接保护；PoE：802.3af。</w:t>
            </w:r>
          </w:p>
          <w:p w14:paraId="32ADC96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17、启动和工作温湿度：0℃~60℃，湿度小于95%（无凝结）。</w:t>
            </w:r>
          </w:p>
          <w:p w14:paraId="36EFEB4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18、电流及功耗：DC：12 V，0.90 A，最大功耗：10.7W ；PoE：802.3af，36 V~57 V，0.22 A~0.35 A，最大功耗：12.5W。</w:t>
            </w:r>
          </w:p>
          <w:p w14:paraId="6EA13F1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19、防护：≥IP67。</w:t>
            </w:r>
          </w:p>
        </w:tc>
        <w:tc>
          <w:tcPr>
            <w:tcW w:w="235" w:type="pct"/>
            <w:shd w:val="clear" w:color="auto" w:fill="auto"/>
            <w:noWrap/>
            <w:vAlign w:val="center"/>
          </w:tcPr>
          <w:p w14:paraId="4BDBD3F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26AD4F6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r>
      <w:tr w14:paraId="445E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7DD30F8B">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4</w:t>
            </w:r>
          </w:p>
        </w:tc>
        <w:tc>
          <w:tcPr>
            <w:tcW w:w="737" w:type="pct"/>
            <w:shd w:val="clear" w:color="auto" w:fill="auto"/>
            <w:vAlign w:val="center"/>
          </w:tcPr>
          <w:p w14:paraId="1B0935B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中长跑AI立柜式一体机-立杆</w:t>
            </w:r>
          </w:p>
        </w:tc>
        <w:tc>
          <w:tcPr>
            <w:tcW w:w="3395" w:type="pct"/>
            <w:shd w:val="clear" w:color="auto" w:fill="auto"/>
            <w:vAlign w:val="center"/>
          </w:tcPr>
          <w:p w14:paraId="4FB81E2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横杆采用圆杆，一体成型；材料采用Q235镀锌钢管/不锈钢钢管</w:t>
            </w:r>
          </w:p>
          <w:p w14:paraId="08098C8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竖杆采用八角杆，一体成型；材料采用Q235镀锌钢管/不锈钢钢管</w:t>
            </w:r>
          </w:p>
          <w:p w14:paraId="07143B7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含摄像头万向支架</w:t>
            </w:r>
          </w:p>
        </w:tc>
        <w:tc>
          <w:tcPr>
            <w:tcW w:w="235" w:type="pct"/>
            <w:shd w:val="clear" w:color="auto" w:fill="auto"/>
            <w:noWrap/>
            <w:vAlign w:val="center"/>
          </w:tcPr>
          <w:p w14:paraId="2FBDC65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2DC811E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r>
      <w:tr w14:paraId="2006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0E71A16E">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5</w:t>
            </w:r>
          </w:p>
        </w:tc>
        <w:tc>
          <w:tcPr>
            <w:tcW w:w="737" w:type="pct"/>
            <w:shd w:val="clear" w:color="auto" w:fill="auto"/>
            <w:vAlign w:val="center"/>
          </w:tcPr>
          <w:p w14:paraId="40D6B41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AI立柜式一体机-立柜</w:t>
            </w:r>
          </w:p>
          <w:p w14:paraId="04A75AB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（含AI体育智能采集设备嵌入式软件V1.0）</w:t>
            </w:r>
          </w:p>
        </w:tc>
        <w:tc>
          <w:tcPr>
            <w:tcW w:w="3395" w:type="pct"/>
            <w:shd w:val="clear" w:color="auto" w:fill="auto"/>
            <w:vAlign w:val="center"/>
          </w:tcPr>
          <w:p w14:paraId="7972145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软件功能</w:t>
            </w:r>
          </w:p>
          <w:p w14:paraId="7C7F90B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综合利用AI视觉技术实现耐力跑项目的智能化测试分析，同时，可结合部分电子传感仪器设备，形成完整的1500米、3000米、阳光长跑监测体系，可供学生进行自助式测试、自动数据分析。</w:t>
            </w:r>
          </w:p>
          <w:p w14:paraId="5AD08B2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1、采用AI摄像头作为采集终端，结合AI视觉算法自动识别、考核人员跑步路线，并自动计时。</w:t>
            </w:r>
          </w:p>
          <w:p w14:paraId="5FE0870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2、阳光跑规则配置：支持配置个性化阳光跑规则，包括跑量、配速等，支持设置每学期的跑量、单次跑步公里限制、单次跑步配速设置、每周里程上限、每日里程上限。</w:t>
            </w:r>
          </w:p>
          <w:p w14:paraId="09E5412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3、支持随到随跑，实时统计全校学生每学期完成情况、每个学生跑步详情记录。</w:t>
            </w:r>
          </w:p>
          <w:p w14:paraId="44CD7C3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4、跑步结束，成绩实时查询，并告知与学期/学年设定的差距。</w:t>
            </w:r>
          </w:p>
          <w:p w14:paraId="528D2FD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5、可通过查询终端、手机小程序查询阳光跑各项数据，包括跑步里程及有效性、累积里程、奖励里程、运动轨迹等。</w:t>
            </w:r>
          </w:p>
          <w:p w14:paraId="201A548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6、利用AI技术和大数据分析技术，有效杜绝替跑、骑车、横穿等作弊行为。</w:t>
            </w:r>
          </w:p>
          <w:p w14:paraId="7D6E18C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7、阳光跑奖励：奖励规则和个人奖励明细，根据时间段跑步奖励倍数、奖励限制次数。</w:t>
            </w:r>
          </w:p>
          <w:p w14:paraId="13A168D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8、阳光跑统计：支持统计跑步当前成绩和历史记录，支持活跃度统计、完成情况统计、个人情况统计及排名等。</w:t>
            </w:r>
          </w:p>
          <w:p w14:paraId="2061668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9、阳光跑评分：阳光跑评分规则和评分结果。</w:t>
            </w:r>
          </w:p>
          <w:p w14:paraId="5C11947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10、大屏视频播放管理：各种跑前跑后拉伸视频的管理，大屏播放内容管理。</w:t>
            </w:r>
          </w:p>
          <w:p w14:paraId="42CA50A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11、识别信息查询：AI阳光跑学生人脸识别情况历史记录查询。</w:t>
            </w:r>
          </w:p>
          <w:p w14:paraId="76C8E24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12、阳光跑申诉：学生阳光跑申诉通道，登记信息和历史处理记录。</w:t>
            </w:r>
          </w:p>
          <w:p w14:paraId="7E8220D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硬件参数</w:t>
            </w:r>
          </w:p>
          <w:p w14:paraId="1FEC8867">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1、外观材质：黑色钢化面板白色边框，机身材质采用钢化玻璃面板、钣金外壳机身满足抗冲击、防腐蚀、耐老化等国家标准</w:t>
            </w:r>
            <w:r>
              <w:rPr>
                <w:rFonts w:hint="eastAsia" w:asciiTheme="minorEastAsia" w:hAnsiTheme="minorEastAsia" w:eastAsiaTheme="minorEastAsia" w:cstheme="minorEastAsia"/>
                <w:sz w:val="24"/>
                <w:lang w:eastAsia="zh-CN"/>
              </w:rPr>
              <w:t>。</w:t>
            </w:r>
          </w:p>
          <w:p w14:paraId="589DEC6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2、尺寸：350mm(L)*140mm(W)*1720mm(H)。（不超过5%的偏离）</w:t>
            </w:r>
          </w:p>
          <w:p w14:paraId="0B2C66B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3、安装方式：室外固定式安装。</w:t>
            </w:r>
          </w:p>
          <w:p w14:paraId="2BACFAE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4、支持阳跑人脸识别开始以及数据查询。</w:t>
            </w:r>
          </w:p>
          <w:p w14:paraId="39D6E64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5、算力主机：国产品牌芯片，CPU≥八核，算力≥6T。</w:t>
            </w:r>
          </w:p>
          <w:p w14:paraId="1D7E025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6、算法模块：通过授权可以实现至少13项运动的识别互用功能，并可支持其他运动项目延展。（</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0752924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7、一体机具备远程升级能力，自动提示新版本及升级情况。可通过一体机直接配置第三方数据接口地址，对接第三方平台。</w:t>
            </w:r>
          </w:p>
          <w:p w14:paraId="6C359F4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8、支持选配2个内置高性能AI摄像头，最大图像尺寸≥2560×1440。</w:t>
            </w:r>
          </w:p>
          <w:p w14:paraId="46ACC02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9、具备丰富的可扩展接口，内部接口包含USB,网络接口，外部至少包括1个WLAN口RJ45，10M/100M/1000M自适应以太网口。</w:t>
            </w:r>
          </w:p>
          <w:p w14:paraId="48E2476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10、支持无线网络标准：IEEE802.11b，IEEE802.11g，IEEE802.11n，传输速率：≥150Mbps，频率：5GHz，支持4G（TD-LTE/LTE FDD）。</w:t>
            </w:r>
          </w:p>
          <w:p w14:paraId="484C7BD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11、内置喇叭：内置不小于30W单声道喇叭。</w:t>
            </w:r>
          </w:p>
          <w:p w14:paraId="1D13295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12、集成NFC刷卡：可支持IC/ID刷卡。</w:t>
            </w:r>
          </w:p>
          <w:p w14:paraId="4C6BDFC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13、立柜一体机防护等级不低于IP66。（</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56895D2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14、设备产品采用国产品牌芯片，且符合国家标准GB/T19851.12-2005及行业标准TY/T2001-2015。（</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p w14:paraId="06D4773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15、一体机产品应通过国家认证认可监督管理委员会批准的任一体育用品认证机构的认证NSCC</w:t>
            </w:r>
            <w:r>
              <w:rPr>
                <w:rFonts w:hint="eastAsia" w:asciiTheme="minorEastAsia" w:hAnsiTheme="minorEastAsia" w:eastAsiaTheme="minorEastAsia" w:cstheme="minorEastAsia"/>
                <w:sz w:val="24"/>
                <w:lang w:val="en-US" w:eastAsia="zh-CN"/>
              </w:rPr>
              <w:t>或中体联</w:t>
            </w:r>
            <w:r>
              <w:rPr>
                <w:rFonts w:hint="eastAsia" w:asciiTheme="minorEastAsia" w:hAnsiTheme="minorEastAsia" w:eastAsiaTheme="minorEastAsia" w:cstheme="minorEastAsia"/>
                <w:sz w:val="24"/>
              </w:rPr>
              <w:t>认证证书。（提供带产品样机图片产品认证证书复印件（含确认函），并提供该证书在官网的查询结果截图）</w:t>
            </w:r>
          </w:p>
          <w:p w14:paraId="7AC5F84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▲16、一体机应带有浪涌保护器，经</w:t>
            </w:r>
            <w:r>
              <w:rPr>
                <w:rFonts w:hint="eastAsia" w:asciiTheme="minorEastAsia" w:hAnsiTheme="minorEastAsia" w:eastAsiaTheme="minorEastAsia" w:cstheme="minorEastAsia"/>
                <w:sz w:val="24"/>
                <w:lang w:val="en-US" w:eastAsia="zh-CN"/>
              </w:rPr>
              <w:t>至少</w:t>
            </w:r>
            <w:r>
              <w:rPr>
                <w:rFonts w:hint="eastAsia" w:asciiTheme="minorEastAsia" w:hAnsiTheme="minorEastAsia" w:eastAsiaTheme="minorEastAsia" w:cstheme="minorEastAsia"/>
                <w:sz w:val="24"/>
              </w:rPr>
              <w:t>4kv浪涌冲击后能自动恢复正常。（</w:t>
            </w:r>
            <w:r>
              <w:rPr>
                <w:rFonts w:hint="eastAsia" w:asciiTheme="minorEastAsia" w:hAnsiTheme="minorEastAsia" w:eastAsiaTheme="minorEastAsia" w:cstheme="minorEastAsia"/>
                <w:sz w:val="24"/>
                <w:lang w:val="en-US" w:eastAsia="zh-CN"/>
              </w:rPr>
              <w:t>提供CMA或CNAS认可的检测机构出具的检测报告复印件作为该技术参数证明材料</w:t>
            </w:r>
            <w:r>
              <w:rPr>
                <w:rFonts w:hint="eastAsia" w:asciiTheme="minorEastAsia" w:hAnsiTheme="minorEastAsia" w:eastAsiaTheme="minorEastAsia" w:cstheme="minorEastAsia"/>
                <w:sz w:val="24"/>
              </w:rPr>
              <w:t>）</w:t>
            </w:r>
          </w:p>
        </w:tc>
        <w:tc>
          <w:tcPr>
            <w:tcW w:w="235" w:type="pct"/>
            <w:shd w:val="clear" w:color="auto" w:fill="auto"/>
            <w:noWrap/>
            <w:vAlign w:val="center"/>
          </w:tcPr>
          <w:p w14:paraId="6700894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16A4FFE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r>
      <w:tr w14:paraId="5CDD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36CED699">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p>
        </w:tc>
        <w:tc>
          <w:tcPr>
            <w:tcW w:w="737" w:type="pct"/>
            <w:shd w:val="clear" w:color="auto" w:fill="auto"/>
            <w:vAlign w:val="center"/>
          </w:tcPr>
          <w:p w14:paraId="6BA07FF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AI立柜式一体机-AI摄像头（枪机）</w:t>
            </w:r>
          </w:p>
        </w:tc>
        <w:tc>
          <w:tcPr>
            <w:tcW w:w="3395" w:type="pct"/>
            <w:shd w:val="clear" w:color="auto" w:fill="auto"/>
            <w:vAlign w:val="center"/>
          </w:tcPr>
          <w:p w14:paraId="20E1655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1、传感器类型：1/1.8" Progressive Scan CMOS。</w:t>
            </w:r>
          </w:p>
          <w:p w14:paraId="424833F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2、最低照度：彩色 0.0005Lux@（F1.0，AGC ON），0Lux with Light。</w:t>
            </w:r>
          </w:p>
          <w:p w14:paraId="4C25061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3、快门：1s~1/100,000s。</w:t>
            </w:r>
          </w:p>
          <w:p w14:paraId="5DE56E6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4、宽动态：120dB。</w:t>
            </w:r>
          </w:p>
          <w:p w14:paraId="6F81C26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5、补光灯类型：鳞镜补光，≥4颗暖白光灯珠。</w:t>
            </w:r>
          </w:p>
          <w:p w14:paraId="4AE8EB7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6、视频：最大图像尺寸2560×1440。</w:t>
            </w:r>
          </w:p>
          <w:p w14:paraId="15D3521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7、主码流帧率分辨率（不低于）：50 Hz：50 fps（2560 × 1440，1920 × 1080，1280 × 720）。</w:t>
            </w:r>
          </w:p>
          <w:p w14:paraId="736F890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8、子码流帧率分辨率（不低于）：50 Hz：25 fps（704 × 576，640 × 480）。</w:t>
            </w:r>
          </w:p>
          <w:p w14:paraId="48697EB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9、视频压缩标准：H.265/H.264/MJPEG。</w:t>
            </w:r>
          </w:p>
          <w:p w14:paraId="52CBC94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10、视频压缩码率：32Kbps~8Mbps。</w:t>
            </w:r>
          </w:p>
          <w:p w14:paraId="5B9259D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11、音频采样：支持输入输出，内置麦克风，内置扬声器。</w:t>
            </w:r>
          </w:p>
          <w:p w14:paraId="6C000AB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12、存储：支持MicroSD/MicroSDHC/MicroSDXC卡（最大512 GB）断网本地存储及断网续传，NAS（NFS，SMB/CIFS均支持）。</w:t>
            </w:r>
          </w:p>
          <w:p w14:paraId="049F982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13、网络：1个RJ45 10M/100M自适应以太网口。</w:t>
            </w:r>
          </w:p>
          <w:p w14:paraId="25D3B57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14、图像增强：背光补偿，强光抑制，透雾，电子防抖，3D降噪，畸变校正</w:t>
            </w:r>
          </w:p>
          <w:p w14:paraId="7C73525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15、图像设置：饱和度，亮度，对比度，锐度，AGC，白平衡，走廊模式（旋转模式）通过客户端或者浏览器可调</w:t>
            </w:r>
          </w:p>
          <w:p w14:paraId="02FD0E7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16、电源：DC：12 V ± 20%，支持防反接保护；PoE：802.3af。</w:t>
            </w:r>
          </w:p>
          <w:p w14:paraId="0A475B4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17、启动和工作温湿度：0℃-60℃，湿度小于95%（无凝结）。</w:t>
            </w:r>
          </w:p>
          <w:p w14:paraId="39C5BA4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18、电流及功耗：DC：12 V，0.90 A，最大功耗：10.7W ；PoE：802.3af，36 V~57 V，0.22 A~0.35 A，最大功耗：12.5W。</w:t>
            </w:r>
          </w:p>
          <w:p w14:paraId="5B0FB38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19、防护：≥IP67。</w:t>
            </w:r>
          </w:p>
        </w:tc>
        <w:tc>
          <w:tcPr>
            <w:tcW w:w="235" w:type="pct"/>
            <w:shd w:val="clear" w:color="auto" w:fill="auto"/>
            <w:noWrap/>
            <w:vAlign w:val="center"/>
          </w:tcPr>
          <w:p w14:paraId="2B07B79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4559734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r>
      <w:tr w14:paraId="2282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214B5972">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p>
        </w:tc>
        <w:tc>
          <w:tcPr>
            <w:tcW w:w="737" w:type="pct"/>
            <w:shd w:val="clear" w:color="auto" w:fill="auto"/>
            <w:vAlign w:val="center"/>
          </w:tcPr>
          <w:p w14:paraId="0D444B0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AI立柜式一体机-AI摄像头(球机）</w:t>
            </w:r>
          </w:p>
        </w:tc>
        <w:tc>
          <w:tcPr>
            <w:tcW w:w="3395" w:type="pct"/>
            <w:shd w:val="clear" w:color="auto" w:fill="auto"/>
            <w:vAlign w:val="center"/>
          </w:tcPr>
          <w:p w14:paraId="050AA8B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1、传感器类型：1/2.8" Progressive Scan CMOS。</w:t>
            </w:r>
          </w:p>
          <w:p w14:paraId="37C67B8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2、最低照度： 彩色：0.005Lux @ (F1.5，AGC ON)；黑白：0.001Lux @(F1.5，AGC ON) ；0 Lux with IR</w:t>
            </w:r>
          </w:p>
          <w:p w14:paraId="446DD48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3、快门：1 s~1/30,000 </w:t>
            </w:r>
          </w:p>
          <w:p w14:paraId="4F545A6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4、慢快门：支持</w:t>
            </w:r>
          </w:p>
          <w:p w14:paraId="3E00069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5、日夜转换模式：ICR滤片式</w:t>
            </w:r>
          </w:p>
          <w:p w14:paraId="7577434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6、变倍：≥23倍光学变倍，≥16倍数字变倍</w:t>
            </w:r>
          </w:p>
          <w:p w14:paraId="3120546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7、最大分辨率：2688 x 1520</w:t>
            </w:r>
          </w:p>
          <w:p w14:paraId="08CC974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8、镜头：聚焦模式：自动，手动，半自动</w:t>
            </w:r>
          </w:p>
          <w:p w14:paraId="089C15A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9、焦距：5.9~135.7 mm</w:t>
            </w:r>
          </w:p>
          <w:p w14:paraId="51730DC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10、光学变倍速度：大约4.8s 光学，广角</w:t>
            </w:r>
          </w:p>
          <w:p w14:paraId="4BEFBD1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11、视场角：水平视场角：60.2°-3.4°(广角-望远)，垂直视场角：35.2°-1.9°(广角-望远)</w:t>
            </w:r>
          </w:p>
          <w:p w14:paraId="4CA85C6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12、最大光圈数：F1.5</w:t>
            </w:r>
          </w:p>
          <w:p w14:paraId="7FFBCE3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13、补光灯类型：白光补光、红外补光</w:t>
            </w:r>
          </w:p>
          <w:p w14:paraId="06CEAF4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14、补光灯距离:白光照射距离：最远可达≥100m；红外照射距离：最远可达≥150m</w:t>
            </w:r>
          </w:p>
          <w:p w14:paraId="5051079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15、云台：水平范围：360°垂直范围：-15°-90°(自动翻转)</w:t>
            </w:r>
          </w:p>
          <w:p w14:paraId="17C637A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16、主码流帧率分辨率（不低于）：50Hz: 25fps (2688×1520,2560×1440,1920×1080,1280×960,1280×720)，60Hz: 30fps (2688×1520,2560×1440,1920×1080,1280×960,1280×720)</w:t>
            </w:r>
          </w:p>
          <w:p w14:paraId="250994E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17、子码流帧率分辨率（不低于）：50 Hz：25 fps（704 × 576，640 × 480，352 × 288），60 Hz：30 fps（704 × 480，640 × 480，352 × 240</w:t>
            </w:r>
          </w:p>
          <w:p w14:paraId="621D9F5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18、第三码流帧率分辨率：50 Hz：25 fps（1920 × 1080，1280 × 960，1280 × 720，704 × 576，640 × 480，352 × 288），60 Hz：30 fps（1920 × 1080，1280 × 960，1280 × 720，704 × 480，640 × 480，352 × 240）</w:t>
            </w:r>
          </w:p>
          <w:p w14:paraId="0F9BE29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19、视频压缩标准：H.265,H.264,MJPEG</w:t>
            </w:r>
          </w:p>
          <w:p w14:paraId="084FD5E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20、视频压缩码率：32 Kbps~16384 Kbps</w:t>
            </w:r>
          </w:p>
          <w:p w14:paraId="608564FD">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21、音频采样率：AAC-LC：16kHz，32kHz，48kHz,PCM：8kHz，16kHz，32kHz，48kHz ,MP2L2：16kHz，32kHz，48kHz</w:t>
            </w:r>
          </w:p>
          <w:p w14:paraId="2458B34F">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22、网络存储：断网本地存储及断网续传，NAS（NFS，SMB/CIFS均支持）</w:t>
            </w:r>
          </w:p>
          <w:p w14:paraId="785B19CC">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23、支持协议：TCP/IP,SMTP,RTSP,FTP,WebSockets,IGMP,WebSocket,Qos,RTCP,HTTPS,PPPoE,SNMP,NTP,RTP,UDP,DNS,HTTP,DHCP,Bonjour,802.1x,IPv4/IPv6,DDNS,ICMP,UPnP</w:t>
            </w:r>
          </w:p>
          <w:p w14:paraId="4463630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24、图像增强：背光补偿、强光抑制、3D数字降噪</w:t>
            </w:r>
          </w:p>
          <w:p w14:paraId="40D19D8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25、图像设置：饱和度，亮度，对比度，锐度，AGC，白平衡通过客户端或者浏览器可调</w:t>
            </w:r>
          </w:p>
          <w:p w14:paraId="15839A6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26、电源：DC：36 V；最大功耗：≥42 W（其中加热2 W，补光灯12 W）Hi-PoE</w:t>
            </w:r>
          </w:p>
          <w:p w14:paraId="2072452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27、启动和工作温湿度：0℃-65℃,湿度小于90%</w:t>
            </w:r>
          </w:p>
          <w:p w14:paraId="5BB0C09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28、电流及功耗：DC：12 V，0.90 A，最大功耗：10.7W ；PoE：802.3af，36 V~57 V，0.22 A~0.35 A，最大功耗：12.5W。</w:t>
            </w:r>
          </w:p>
          <w:p w14:paraId="6E8A1A2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29、防护：≥IP66。</w:t>
            </w:r>
          </w:p>
        </w:tc>
        <w:tc>
          <w:tcPr>
            <w:tcW w:w="235" w:type="pct"/>
            <w:shd w:val="clear" w:color="auto" w:fill="auto"/>
            <w:noWrap/>
            <w:vAlign w:val="center"/>
          </w:tcPr>
          <w:p w14:paraId="0F4A1A4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1D5CAC7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r>
      <w:tr w14:paraId="0104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0993D1C0">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8</w:t>
            </w:r>
          </w:p>
        </w:tc>
        <w:tc>
          <w:tcPr>
            <w:tcW w:w="737" w:type="pct"/>
            <w:shd w:val="clear" w:color="auto" w:fill="auto"/>
            <w:vAlign w:val="center"/>
          </w:tcPr>
          <w:p w14:paraId="46B35E7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AI立柜式一体机-立杆</w:t>
            </w:r>
          </w:p>
        </w:tc>
        <w:tc>
          <w:tcPr>
            <w:tcW w:w="3395" w:type="pct"/>
            <w:shd w:val="clear" w:color="auto" w:fill="auto"/>
            <w:vAlign w:val="center"/>
          </w:tcPr>
          <w:p w14:paraId="7B0715B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横杆采用圆杆，一体成型；材料采用Q235镀锌钢管/不锈钢钢管</w:t>
            </w:r>
          </w:p>
          <w:p w14:paraId="109BD34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竖杆采用八角杆，一体成型；材料采用Q235镀锌钢管/不锈钢钢管</w:t>
            </w:r>
          </w:p>
          <w:p w14:paraId="624EEC4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含摄像头万向支架</w:t>
            </w:r>
          </w:p>
        </w:tc>
        <w:tc>
          <w:tcPr>
            <w:tcW w:w="235" w:type="pct"/>
            <w:shd w:val="clear" w:color="auto" w:fill="auto"/>
            <w:noWrap/>
            <w:vAlign w:val="center"/>
          </w:tcPr>
          <w:p w14:paraId="1E47992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322D1D8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r>
      <w:tr w14:paraId="1AC9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6CA56BE1">
            <w:pP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19</w:t>
            </w:r>
          </w:p>
        </w:tc>
        <w:tc>
          <w:tcPr>
            <w:tcW w:w="737" w:type="pct"/>
            <w:shd w:val="clear" w:color="auto" w:fill="auto"/>
            <w:vAlign w:val="center"/>
          </w:tcPr>
          <w:p w14:paraId="048D2EE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智慧显示终端（含AI体育智能采集设备嵌入式软件V1.0）</w:t>
            </w:r>
          </w:p>
        </w:tc>
        <w:tc>
          <w:tcPr>
            <w:tcW w:w="3395" w:type="pct"/>
            <w:shd w:val="clear" w:color="auto" w:fill="auto"/>
            <w:vAlign w:val="center"/>
          </w:tcPr>
          <w:p w14:paraId="3DAF503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1、尺寸：≥65寸； </w:t>
            </w:r>
          </w:p>
          <w:p w14:paraId="7E74A9D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2、亮度：≥2000cd/m2； </w:t>
            </w:r>
          </w:p>
          <w:p w14:paraId="0EB63B4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3、系统： </w:t>
            </w:r>
            <w:r>
              <w:rPr>
                <w:rFonts w:hint="eastAsia" w:asciiTheme="minorEastAsia" w:hAnsiTheme="minorEastAsia" w:eastAsiaTheme="minorEastAsia" w:cstheme="minorEastAsia"/>
                <w:sz w:val="24"/>
                <w:lang w:val="en-US" w:eastAsia="zh-CN"/>
              </w:rPr>
              <w:t>不低于</w:t>
            </w:r>
            <w:r>
              <w:rPr>
                <w:rFonts w:hint="eastAsia" w:asciiTheme="minorEastAsia" w:hAnsiTheme="minorEastAsia" w:eastAsiaTheme="minorEastAsia" w:cstheme="minorEastAsia"/>
                <w:sz w:val="24"/>
              </w:rPr>
              <w:t xml:space="preserve">Android11.0； </w:t>
            </w:r>
          </w:p>
          <w:p w14:paraId="51F40B1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4、屏材料：工业级户外高亮液晶屏，使用寿命≥60000小时，支持显示屏亮度自动调节功能； </w:t>
            </w:r>
          </w:p>
          <w:p w14:paraId="5E9EE43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5、触摸屏功能，专业户外高精度纳米触摸屏，支持≥40点触摸，灵敏性强。</w:t>
            </w:r>
          </w:p>
          <w:p w14:paraId="394EE79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6、散热系统：智能风扇一体化控温，满足-30-+50度的户外环境下工作；整机防护等级达到</w:t>
            </w:r>
            <w:r>
              <w:rPr>
                <w:rFonts w:hint="eastAsia" w:asciiTheme="minorEastAsia" w:hAnsiTheme="minorEastAsia" w:eastAsiaTheme="minorEastAsia" w:cstheme="minorEastAsia"/>
                <w:sz w:val="24"/>
                <w:lang w:val="en-US" w:eastAsia="zh-CN"/>
              </w:rPr>
              <w:t>不低于</w:t>
            </w:r>
            <w:r>
              <w:rPr>
                <w:rFonts w:hint="eastAsia" w:asciiTheme="minorEastAsia" w:hAnsiTheme="minorEastAsia" w:eastAsiaTheme="minorEastAsia" w:cstheme="minorEastAsia"/>
                <w:sz w:val="24"/>
              </w:rPr>
              <w:t>IP66</w:t>
            </w:r>
          </w:p>
          <w:p w14:paraId="4338DE1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7、支持防水、防过热过冷、防尘、户外喷涂、防球击；</w:t>
            </w:r>
          </w:p>
          <w:p w14:paraId="70888B5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8、外壳要求：钣金外壳采用≥1.5mmSGCC镀锌钢板，内层喷涂富锌底粉，表层喷涂杜邦户外塑粉保护，使用年限确保7年以上，防护等级≥IP66；</w:t>
            </w:r>
          </w:p>
          <w:p w14:paraId="7BB4817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9、防爆玻璃：≥6mm超白钢化玻璃；</w:t>
            </w:r>
          </w:p>
          <w:p w14:paraId="2ED6A3E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10、人脸识别USB摄像头（内置）；</w:t>
            </w:r>
          </w:p>
          <w:p w14:paraId="5C9F06F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11、数据大屏展示：实时展示学生的运动跑步成绩、实时跑步抓拍头像、展示跑步统计、个人成绩排名、各年级排名、跑步拉伸视频等</w:t>
            </w:r>
          </w:p>
        </w:tc>
        <w:tc>
          <w:tcPr>
            <w:tcW w:w="235" w:type="pct"/>
            <w:shd w:val="clear" w:color="auto" w:fill="auto"/>
            <w:noWrap/>
            <w:vAlign w:val="center"/>
          </w:tcPr>
          <w:p w14:paraId="25DFEC6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c>
          <w:tcPr>
            <w:tcW w:w="369" w:type="pct"/>
            <w:shd w:val="clear" w:color="auto" w:fill="auto"/>
            <w:noWrap/>
            <w:vAlign w:val="center"/>
          </w:tcPr>
          <w:p w14:paraId="421941C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r>
      <w:tr w14:paraId="749E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4AD4FDF1">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0</w:t>
            </w:r>
          </w:p>
        </w:tc>
        <w:tc>
          <w:tcPr>
            <w:tcW w:w="737" w:type="pct"/>
            <w:shd w:val="clear" w:color="auto" w:fill="auto"/>
            <w:vAlign w:val="center"/>
          </w:tcPr>
          <w:p w14:paraId="02C3795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网络信号箱</w:t>
            </w:r>
          </w:p>
        </w:tc>
        <w:tc>
          <w:tcPr>
            <w:tcW w:w="3395" w:type="pct"/>
            <w:shd w:val="clear" w:color="auto" w:fill="auto"/>
            <w:vAlign w:val="center"/>
          </w:tcPr>
          <w:p w14:paraId="6DB51E7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≥300mmX400mmX160mm加厚防水箱 304不锈钢</w:t>
            </w:r>
          </w:p>
        </w:tc>
        <w:tc>
          <w:tcPr>
            <w:tcW w:w="235" w:type="pct"/>
            <w:shd w:val="clear" w:color="auto" w:fill="auto"/>
            <w:vAlign w:val="center"/>
          </w:tcPr>
          <w:p w14:paraId="4E82121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个</w:t>
            </w:r>
          </w:p>
        </w:tc>
        <w:tc>
          <w:tcPr>
            <w:tcW w:w="369" w:type="pct"/>
            <w:shd w:val="clear" w:color="auto" w:fill="auto"/>
            <w:noWrap/>
            <w:vAlign w:val="center"/>
          </w:tcPr>
          <w:p w14:paraId="0F20E9E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r>
      <w:tr w14:paraId="7897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2D3C2C33">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1</w:t>
            </w:r>
          </w:p>
        </w:tc>
        <w:tc>
          <w:tcPr>
            <w:tcW w:w="737" w:type="pct"/>
            <w:shd w:val="clear" w:color="auto" w:fill="auto"/>
            <w:vAlign w:val="center"/>
          </w:tcPr>
          <w:p w14:paraId="5B3E0A4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浪涌保护器</w:t>
            </w:r>
          </w:p>
        </w:tc>
        <w:tc>
          <w:tcPr>
            <w:tcW w:w="3395" w:type="pct"/>
            <w:shd w:val="clear" w:color="auto" w:fill="auto"/>
            <w:vAlign w:val="center"/>
          </w:tcPr>
          <w:p w14:paraId="2346F811">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标称放电电流20KA</w:t>
            </w:r>
          </w:p>
        </w:tc>
        <w:tc>
          <w:tcPr>
            <w:tcW w:w="235" w:type="pct"/>
            <w:shd w:val="clear" w:color="auto" w:fill="auto"/>
            <w:vAlign w:val="center"/>
          </w:tcPr>
          <w:p w14:paraId="0155A45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个</w:t>
            </w:r>
          </w:p>
        </w:tc>
        <w:tc>
          <w:tcPr>
            <w:tcW w:w="369" w:type="pct"/>
            <w:shd w:val="clear" w:color="auto" w:fill="auto"/>
            <w:noWrap/>
            <w:vAlign w:val="center"/>
          </w:tcPr>
          <w:p w14:paraId="5959CBD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r>
      <w:tr w14:paraId="65DF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51D5E0FE">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2</w:t>
            </w:r>
          </w:p>
        </w:tc>
        <w:tc>
          <w:tcPr>
            <w:tcW w:w="737" w:type="pct"/>
            <w:shd w:val="clear" w:color="auto" w:fill="auto"/>
            <w:vAlign w:val="center"/>
          </w:tcPr>
          <w:p w14:paraId="39800D9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电源空开</w:t>
            </w:r>
          </w:p>
        </w:tc>
        <w:tc>
          <w:tcPr>
            <w:tcW w:w="3395" w:type="pct"/>
            <w:shd w:val="clear" w:color="auto" w:fill="auto"/>
            <w:noWrap/>
            <w:vAlign w:val="center"/>
          </w:tcPr>
          <w:p w14:paraId="27C0844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额定电流20A</w:t>
            </w:r>
          </w:p>
        </w:tc>
        <w:tc>
          <w:tcPr>
            <w:tcW w:w="235" w:type="pct"/>
            <w:shd w:val="clear" w:color="auto" w:fill="auto"/>
            <w:noWrap/>
            <w:vAlign w:val="center"/>
          </w:tcPr>
          <w:p w14:paraId="00EC06B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个</w:t>
            </w:r>
          </w:p>
        </w:tc>
        <w:tc>
          <w:tcPr>
            <w:tcW w:w="369" w:type="pct"/>
            <w:shd w:val="clear" w:color="auto" w:fill="auto"/>
            <w:noWrap/>
            <w:vAlign w:val="center"/>
          </w:tcPr>
          <w:p w14:paraId="2D6DEBA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r>
      <w:tr w14:paraId="1ED1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092A9C1F">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3</w:t>
            </w:r>
          </w:p>
        </w:tc>
        <w:tc>
          <w:tcPr>
            <w:tcW w:w="737" w:type="pct"/>
            <w:shd w:val="clear" w:color="auto" w:fill="auto"/>
            <w:vAlign w:val="center"/>
          </w:tcPr>
          <w:p w14:paraId="6D024F3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交换机</w:t>
            </w:r>
          </w:p>
        </w:tc>
        <w:tc>
          <w:tcPr>
            <w:tcW w:w="3395" w:type="pct"/>
            <w:shd w:val="clear" w:color="auto" w:fill="auto"/>
            <w:noWrap/>
            <w:vAlign w:val="center"/>
          </w:tcPr>
          <w:p w14:paraId="4FACF70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≥8口千兆钢壳交换机</w:t>
            </w:r>
          </w:p>
        </w:tc>
        <w:tc>
          <w:tcPr>
            <w:tcW w:w="235" w:type="pct"/>
            <w:shd w:val="clear" w:color="auto" w:fill="auto"/>
            <w:noWrap/>
            <w:vAlign w:val="center"/>
          </w:tcPr>
          <w:p w14:paraId="1B5D79F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个</w:t>
            </w:r>
          </w:p>
        </w:tc>
        <w:tc>
          <w:tcPr>
            <w:tcW w:w="369" w:type="pct"/>
            <w:shd w:val="clear" w:color="auto" w:fill="auto"/>
            <w:noWrap/>
            <w:vAlign w:val="center"/>
          </w:tcPr>
          <w:p w14:paraId="3CB9EF3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r>
      <w:tr w14:paraId="010F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708F97D2">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4</w:t>
            </w:r>
          </w:p>
        </w:tc>
        <w:tc>
          <w:tcPr>
            <w:tcW w:w="737" w:type="pct"/>
            <w:shd w:val="clear" w:color="auto" w:fill="auto"/>
            <w:vAlign w:val="center"/>
          </w:tcPr>
          <w:p w14:paraId="044688D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光纤</w:t>
            </w:r>
          </w:p>
        </w:tc>
        <w:tc>
          <w:tcPr>
            <w:tcW w:w="3395" w:type="pct"/>
            <w:shd w:val="clear" w:color="auto" w:fill="auto"/>
            <w:vAlign w:val="center"/>
          </w:tcPr>
          <w:p w14:paraId="0405742F">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光纤（含熔纤）</w:t>
            </w:r>
          </w:p>
        </w:tc>
        <w:tc>
          <w:tcPr>
            <w:tcW w:w="235" w:type="pct"/>
            <w:shd w:val="clear" w:color="auto" w:fill="auto"/>
            <w:noWrap/>
            <w:vAlign w:val="center"/>
          </w:tcPr>
          <w:p w14:paraId="52AA2F8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米</w:t>
            </w:r>
          </w:p>
        </w:tc>
        <w:tc>
          <w:tcPr>
            <w:tcW w:w="369" w:type="pct"/>
            <w:shd w:val="clear" w:color="auto" w:fill="auto"/>
            <w:noWrap/>
            <w:vAlign w:val="center"/>
          </w:tcPr>
          <w:p w14:paraId="224F2F3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1000</w:t>
            </w:r>
          </w:p>
        </w:tc>
      </w:tr>
      <w:tr w14:paraId="05FD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711FC133">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5</w:t>
            </w:r>
          </w:p>
        </w:tc>
        <w:tc>
          <w:tcPr>
            <w:tcW w:w="737" w:type="pct"/>
            <w:shd w:val="clear" w:color="auto" w:fill="auto"/>
            <w:vAlign w:val="center"/>
          </w:tcPr>
          <w:p w14:paraId="4E755AF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网线</w:t>
            </w:r>
          </w:p>
        </w:tc>
        <w:tc>
          <w:tcPr>
            <w:tcW w:w="3395" w:type="pct"/>
            <w:shd w:val="clear" w:color="auto" w:fill="auto"/>
            <w:noWrap/>
            <w:vAlign w:val="center"/>
          </w:tcPr>
          <w:p w14:paraId="56A0B9A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六类网线</w:t>
            </w:r>
          </w:p>
        </w:tc>
        <w:tc>
          <w:tcPr>
            <w:tcW w:w="235" w:type="pct"/>
            <w:shd w:val="clear" w:color="auto" w:fill="auto"/>
            <w:noWrap/>
            <w:vAlign w:val="center"/>
          </w:tcPr>
          <w:p w14:paraId="0D60479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米</w:t>
            </w:r>
          </w:p>
        </w:tc>
        <w:tc>
          <w:tcPr>
            <w:tcW w:w="369" w:type="pct"/>
            <w:shd w:val="clear" w:color="auto" w:fill="auto"/>
            <w:noWrap/>
            <w:vAlign w:val="center"/>
          </w:tcPr>
          <w:p w14:paraId="050EB1E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1000</w:t>
            </w:r>
          </w:p>
        </w:tc>
      </w:tr>
      <w:tr w14:paraId="2741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371BAF0B">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6</w:t>
            </w:r>
          </w:p>
        </w:tc>
        <w:tc>
          <w:tcPr>
            <w:tcW w:w="737" w:type="pct"/>
            <w:shd w:val="clear" w:color="auto" w:fill="auto"/>
            <w:vAlign w:val="center"/>
          </w:tcPr>
          <w:p w14:paraId="6369854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3*2.5电源线</w:t>
            </w:r>
          </w:p>
        </w:tc>
        <w:tc>
          <w:tcPr>
            <w:tcW w:w="3395" w:type="pct"/>
            <w:shd w:val="clear" w:color="auto" w:fill="auto"/>
            <w:noWrap/>
            <w:vAlign w:val="center"/>
          </w:tcPr>
          <w:p w14:paraId="09708D4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国标RVV</w:t>
            </w:r>
          </w:p>
        </w:tc>
        <w:tc>
          <w:tcPr>
            <w:tcW w:w="235" w:type="pct"/>
            <w:shd w:val="clear" w:color="auto" w:fill="auto"/>
            <w:noWrap/>
            <w:vAlign w:val="center"/>
          </w:tcPr>
          <w:p w14:paraId="6E2C7C8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米</w:t>
            </w:r>
          </w:p>
        </w:tc>
        <w:tc>
          <w:tcPr>
            <w:tcW w:w="369" w:type="pct"/>
            <w:shd w:val="clear" w:color="auto" w:fill="auto"/>
            <w:noWrap/>
            <w:vAlign w:val="center"/>
          </w:tcPr>
          <w:p w14:paraId="072854C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2000</w:t>
            </w:r>
          </w:p>
        </w:tc>
      </w:tr>
      <w:tr w14:paraId="44AB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261" w:type="pct"/>
            <w:shd w:val="clear" w:color="auto" w:fill="auto"/>
            <w:vAlign w:val="center"/>
          </w:tcPr>
          <w:p w14:paraId="272F7807">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7</w:t>
            </w:r>
          </w:p>
        </w:tc>
        <w:tc>
          <w:tcPr>
            <w:tcW w:w="737" w:type="pct"/>
            <w:shd w:val="clear" w:color="auto" w:fill="auto"/>
            <w:vAlign w:val="center"/>
          </w:tcPr>
          <w:p w14:paraId="72E34CA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安装调试及辅助材料</w:t>
            </w:r>
          </w:p>
        </w:tc>
        <w:tc>
          <w:tcPr>
            <w:tcW w:w="3395" w:type="pct"/>
            <w:shd w:val="clear" w:color="auto" w:fill="auto"/>
            <w:noWrap/>
            <w:vAlign w:val="center"/>
          </w:tcPr>
          <w:p w14:paraId="4D93B555">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挖沟开槽预埋线路及路面恢复、水泥、沙子、石子、综合布线、安装调试等。</w:t>
            </w:r>
          </w:p>
        </w:tc>
        <w:tc>
          <w:tcPr>
            <w:tcW w:w="235" w:type="pct"/>
            <w:shd w:val="clear" w:color="auto" w:fill="auto"/>
            <w:noWrap/>
            <w:vAlign w:val="center"/>
          </w:tcPr>
          <w:p w14:paraId="46C616FD">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w:t>
            </w:r>
          </w:p>
        </w:tc>
        <w:tc>
          <w:tcPr>
            <w:tcW w:w="369" w:type="pct"/>
            <w:shd w:val="clear" w:color="auto" w:fill="auto"/>
            <w:noWrap/>
            <w:vAlign w:val="center"/>
          </w:tcPr>
          <w:p w14:paraId="52E7C91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r>
    </w:tbl>
    <w:p w14:paraId="45C22470">
      <w:pPr>
        <w:rPr>
          <w:b/>
          <w:bCs/>
          <w:sz w:val="24"/>
        </w:rPr>
      </w:pPr>
    </w:p>
    <w:p w14:paraId="1116258A">
      <w:pPr>
        <w:rPr>
          <w:color w:val="FF0000"/>
          <w:sz w:val="24"/>
        </w:rPr>
      </w:pPr>
      <w:r>
        <w:rPr>
          <w:rFonts w:hint="eastAsia"/>
          <w:b/>
          <w:bCs/>
          <w:sz w:val="24"/>
        </w:rPr>
        <w:t>核心产品：</w:t>
      </w:r>
      <w:r>
        <w:rPr>
          <w:rFonts w:hint="eastAsia" w:asciiTheme="minorEastAsia" w:hAnsiTheme="minorEastAsia" w:eastAsiaTheme="minorEastAsia" w:cstheme="minorEastAsia"/>
          <w:sz w:val="24"/>
        </w:rPr>
        <w:t>立定跳远AI立柜式一体机（含AI体育智能采集设备嵌入式软件V1.0）</w:t>
      </w:r>
    </w:p>
    <w:bookmarkEnd w:id="34"/>
    <w:p w14:paraId="7BDDA597">
      <w:pPr>
        <w:ind w:firstLine="482" w:firstLineChars="200"/>
        <w:rPr>
          <w:rFonts w:hint="eastAsia" w:ascii="宋体" w:hAnsi="宋体" w:cs="宋体"/>
          <w:b/>
          <w:bCs/>
          <w:sz w:val="24"/>
        </w:rPr>
      </w:pPr>
      <w:r>
        <w:rPr>
          <w:rFonts w:hint="eastAsia" w:ascii="宋体" w:hAnsi="宋体" w:cs="宋体"/>
          <w:b/>
          <w:bCs/>
          <w:sz w:val="24"/>
        </w:rPr>
        <w:t>（二）质保要求</w:t>
      </w:r>
    </w:p>
    <w:p w14:paraId="4B60B6E3">
      <w:pPr>
        <w:ind w:firstLine="480" w:firstLineChars="200"/>
        <w:rPr>
          <w:rFonts w:hint="eastAsia" w:ascii="宋体" w:hAnsi="宋体" w:cs="宋体"/>
          <w:sz w:val="24"/>
        </w:rPr>
      </w:pPr>
      <w:r>
        <w:rPr>
          <w:rFonts w:hint="eastAsia" w:ascii="宋体" w:hAnsi="宋体" w:cs="宋体"/>
          <w:sz w:val="24"/>
        </w:rPr>
        <w:t>1、响应时间​</w:t>
      </w:r>
    </w:p>
    <w:p w14:paraId="1C4A7499">
      <w:pPr>
        <w:ind w:firstLine="480" w:firstLineChars="200"/>
        <w:rPr>
          <w:rFonts w:hint="eastAsia" w:ascii="宋体" w:hAnsi="宋体" w:cs="宋体"/>
          <w:sz w:val="24"/>
        </w:rPr>
      </w:pPr>
      <w:r>
        <w:rPr>
          <w:rFonts w:hint="eastAsia" w:ascii="宋体" w:hAnsi="宋体" w:cs="宋体"/>
          <w:sz w:val="24"/>
        </w:rPr>
        <w:t>严重故障（影响教学活动）：7×24 小时在线响应，2 小时内到达现场。​</w:t>
      </w:r>
    </w:p>
    <w:p w14:paraId="2E4B5C4E">
      <w:pPr>
        <w:ind w:firstLine="480" w:firstLineChars="200"/>
        <w:rPr>
          <w:rFonts w:hint="eastAsia" w:ascii="宋体" w:hAnsi="宋体" w:cs="宋体"/>
          <w:sz w:val="24"/>
        </w:rPr>
      </w:pPr>
      <w:r>
        <w:rPr>
          <w:rFonts w:hint="eastAsia" w:ascii="宋体" w:hAnsi="宋体" w:cs="宋体"/>
          <w:sz w:val="24"/>
        </w:rPr>
        <w:t>一般故障（不影响正常教学）：12 小时内给出解决方案，24 小时内完成修复。​</w:t>
      </w:r>
    </w:p>
    <w:p w14:paraId="6C0C0AB6">
      <w:pPr>
        <w:ind w:firstLine="480" w:firstLineChars="200"/>
        <w:rPr>
          <w:rFonts w:hint="eastAsia" w:ascii="宋体" w:hAnsi="宋体" w:cs="宋体"/>
          <w:sz w:val="24"/>
        </w:rPr>
      </w:pPr>
      <w:r>
        <w:rPr>
          <w:rFonts w:hint="eastAsia" w:ascii="宋体" w:hAnsi="宋体" w:cs="宋体"/>
          <w:sz w:val="24"/>
        </w:rPr>
        <w:t>2、质保期限​</w:t>
      </w:r>
    </w:p>
    <w:p w14:paraId="5A265E7D">
      <w:pPr>
        <w:ind w:firstLine="482" w:firstLineChars="200"/>
        <w:rPr>
          <w:rFonts w:hint="eastAsia" w:ascii="宋体" w:hAnsi="宋体" w:cs="宋体"/>
          <w:b/>
          <w:bCs/>
          <w:sz w:val="24"/>
        </w:rPr>
      </w:pPr>
      <w:r>
        <w:rPr>
          <w:rFonts w:hint="eastAsia" w:ascii="宋体" w:hAnsi="宋体" w:cs="宋体"/>
          <w:b/>
          <w:bCs/>
          <w:sz w:val="24"/>
        </w:rPr>
        <w:t>原厂质保为3 年。可延保（报价需含3年后续维保方案）。（提供生产厂家售后服务承诺函）​</w:t>
      </w:r>
    </w:p>
    <w:p w14:paraId="09F15C33">
      <w:pPr>
        <w:ind w:firstLine="480" w:firstLineChars="200"/>
        <w:rPr>
          <w:rFonts w:hint="eastAsia" w:ascii="宋体" w:hAnsi="宋体" w:cs="宋体"/>
          <w:sz w:val="24"/>
        </w:rPr>
      </w:pPr>
      <w:r>
        <w:rPr>
          <w:rFonts w:hint="eastAsia" w:ascii="宋体" w:hAnsi="宋体" w:cs="宋体"/>
          <w:sz w:val="24"/>
        </w:rPr>
        <w:t>质保期内免费更换故障硬件，不限次数。​</w:t>
      </w:r>
    </w:p>
    <w:p w14:paraId="16422102">
      <w:pPr>
        <w:ind w:firstLine="482" w:firstLineChars="200"/>
        <w:rPr>
          <w:rFonts w:hint="eastAsia" w:ascii="宋体" w:hAnsi="宋体" w:cs="宋体"/>
          <w:b/>
          <w:bCs/>
          <w:sz w:val="24"/>
        </w:rPr>
      </w:pPr>
      <w:r>
        <w:rPr>
          <w:rFonts w:hint="eastAsia" w:ascii="宋体" w:hAnsi="宋体" w:cs="宋体"/>
          <w:b/>
          <w:bCs/>
          <w:sz w:val="24"/>
        </w:rPr>
        <w:t>（三）其他要求</w:t>
      </w:r>
    </w:p>
    <w:p w14:paraId="0E47915F">
      <w:pPr>
        <w:numPr>
          <w:ilvl w:val="0"/>
          <w:numId w:val="1"/>
        </w:numPr>
        <w:rPr>
          <w:rFonts w:hint="eastAsia" w:ascii="宋体" w:hAnsi="宋体" w:cs="宋体"/>
          <w:sz w:val="24"/>
        </w:rPr>
      </w:pPr>
      <w:r>
        <w:rPr>
          <w:rFonts w:hint="eastAsia" w:ascii="宋体" w:hAnsi="宋体" w:cs="宋体"/>
          <w:sz w:val="24"/>
        </w:rPr>
        <w:t>合同履行期限：</w:t>
      </w:r>
    </w:p>
    <w:p w14:paraId="4C282A5A">
      <w:pPr>
        <w:numPr>
          <w:ilvl w:val="0"/>
          <w:numId w:val="1"/>
        </w:numPr>
        <w:rPr>
          <w:rFonts w:hint="eastAsia" w:ascii="宋体" w:hAnsi="宋体" w:cs="宋体"/>
          <w:sz w:val="24"/>
        </w:rPr>
      </w:pPr>
      <w:r>
        <w:rPr>
          <w:rFonts w:hint="eastAsia" w:ascii="宋体" w:hAnsi="宋体" w:cs="宋体"/>
          <w:sz w:val="24"/>
        </w:rPr>
        <w:t>项目实施地点：采购人指定地点。</w:t>
      </w:r>
    </w:p>
    <w:p w14:paraId="22AFFCDE">
      <w:pPr>
        <w:numPr>
          <w:ilvl w:val="0"/>
          <w:numId w:val="1"/>
        </w:numPr>
        <w:rPr>
          <w:rFonts w:hint="eastAsia" w:ascii="宋体" w:hAnsi="宋体" w:cs="宋体"/>
          <w:sz w:val="24"/>
        </w:rPr>
      </w:pPr>
      <w:r>
        <w:rPr>
          <w:rFonts w:hint="eastAsia" w:ascii="宋体" w:hAnsi="宋体" w:cs="宋体"/>
          <w:sz w:val="24"/>
        </w:rPr>
        <w:t>验收要求</w:t>
      </w:r>
    </w:p>
    <w:p w14:paraId="62CD8C4D">
      <w:pPr>
        <w:ind w:firstLine="480" w:firstLineChars="200"/>
        <w:rPr>
          <w:rFonts w:hint="eastAsia" w:ascii="宋体" w:hAnsi="宋体" w:cs="宋体"/>
          <w:sz w:val="24"/>
        </w:rPr>
      </w:pPr>
      <w:r>
        <w:rPr>
          <w:rFonts w:hint="eastAsia" w:ascii="宋体" w:hAnsi="宋体" w:cs="宋体"/>
          <w:sz w:val="24"/>
        </w:rPr>
        <w:t>（1）按照国家有关标准和招标文件的规定由采购人或委托第三方机构进行验收，由中标人承担验收费用。</w:t>
      </w:r>
    </w:p>
    <w:p w14:paraId="58251DEB">
      <w:pPr>
        <w:ind w:firstLine="480" w:firstLineChars="200"/>
        <w:rPr>
          <w:rFonts w:hint="eastAsia" w:ascii="宋体" w:hAnsi="宋体" w:cs="宋体"/>
          <w:sz w:val="24"/>
        </w:rPr>
      </w:pPr>
      <w:r>
        <w:rPr>
          <w:rFonts w:hint="eastAsia" w:ascii="宋体" w:hAnsi="宋体" w:cs="宋体"/>
          <w:sz w:val="24"/>
        </w:rPr>
        <w:t>（2）验收过程中产生纠纷的，采购人认为需要检验机构进行检验的，由中标人承担检验费用。</w:t>
      </w:r>
    </w:p>
    <w:p w14:paraId="417E1E0C">
      <w:pPr>
        <w:ind w:firstLine="480" w:firstLineChars="200"/>
        <w:rPr>
          <w:rFonts w:hint="eastAsia" w:ascii="宋体" w:hAnsi="宋体" w:cs="宋体"/>
          <w:sz w:val="24"/>
        </w:rPr>
      </w:pPr>
      <w:r>
        <w:rPr>
          <w:rFonts w:hint="eastAsia" w:ascii="宋体" w:hAnsi="宋体" w:cs="宋体"/>
          <w:sz w:val="24"/>
        </w:rPr>
        <w:t>（3）供应商应保证货物是全新、未使用过、通过合法渠道获得，并完全符合规定的质量、规格和性能的要求。</w:t>
      </w:r>
    </w:p>
    <w:p w14:paraId="6639E258">
      <w:pPr>
        <w:ind w:firstLine="480" w:firstLineChars="200"/>
        <w:rPr>
          <w:rFonts w:hint="eastAsia" w:ascii="宋体" w:hAnsi="宋体" w:cs="宋体"/>
          <w:sz w:val="24"/>
        </w:rPr>
      </w:pPr>
      <w:r>
        <w:rPr>
          <w:rFonts w:hint="eastAsia" w:ascii="宋体" w:hAnsi="宋体" w:cs="宋体"/>
          <w:sz w:val="24"/>
        </w:rPr>
        <w:t>（4）项目验收不合格，由中标供应商返工直至合格，有关返工、再行验收以及给采购人造成损失等费用由中标供应商承担。</w:t>
      </w:r>
    </w:p>
    <w:p w14:paraId="37A3A6E6">
      <w:pPr>
        <w:rPr>
          <w:color w:val="FF0000"/>
          <w:sz w:val="24"/>
        </w:rPr>
      </w:pPr>
    </w:p>
    <w:p w14:paraId="5E1C2F0C">
      <w:pPr>
        <w:rPr>
          <w:color w:val="FF0000"/>
          <w:sz w:val="24"/>
        </w:rPr>
      </w:pPr>
    </w:p>
    <w:p w14:paraId="5CFD187D">
      <w:pPr>
        <w:pStyle w:val="18"/>
        <w:snapToGrid w:val="0"/>
        <w:spacing w:line="360" w:lineRule="exact"/>
        <w:ind w:firstLine="540" w:firstLineChars="225"/>
        <w:rPr>
          <w:rFonts w:hint="eastAsia" w:hAnsi="宋体"/>
          <w:szCs w:val="24"/>
        </w:rPr>
      </w:pPr>
    </w:p>
    <w:p w14:paraId="0FCD3D94">
      <w:pPr>
        <w:jc w:val="center"/>
        <w:rPr>
          <w:rFonts w:hint="eastAsia" w:ascii="宋体" w:hAnsi="宋体"/>
          <w:b/>
          <w:sz w:val="32"/>
          <w:szCs w:val="32"/>
        </w:rPr>
      </w:pPr>
    </w:p>
    <w:p w14:paraId="58C0E01E">
      <w:pPr>
        <w:jc w:val="center"/>
        <w:rPr>
          <w:rFonts w:hint="eastAsia" w:ascii="宋体" w:hAnsi="宋体"/>
          <w:b/>
          <w:sz w:val="32"/>
          <w:szCs w:val="32"/>
        </w:rPr>
      </w:pPr>
    </w:p>
    <w:p w14:paraId="43023869">
      <w:pPr>
        <w:rPr>
          <w:rFonts w:hint="eastAsia" w:ascii="宋体" w:hAnsi="宋体"/>
          <w:b/>
          <w:sz w:val="32"/>
          <w:szCs w:val="32"/>
        </w:rPr>
      </w:pPr>
    </w:p>
    <w:p w14:paraId="0C79F6ED">
      <w:pPr>
        <w:jc w:val="center"/>
        <w:rPr>
          <w:rFonts w:hint="eastAsia" w:ascii="宋体" w:hAnsi="宋体"/>
          <w:b/>
          <w:sz w:val="32"/>
          <w:szCs w:val="32"/>
        </w:rPr>
      </w:pPr>
    </w:p>
    <w:p w14:paraId="216E5513">
      <w:pPr>
        <w:rPr>
          <w:rFonts w:hint="eastAsia" w:ascii="宋体" w:hAnsi="宋体"/>
          <w:b/>
          <w:sz w:val="32"/>
          <w:szCs w:val="32"/>
        </w:rPr>
      </w:pPr>
    </w:p>
    <w:p w14:paraId="1A400F49">
      <w:pPr>
        <w:jc w:val="center"/>
        <w:rPr>
          <w:rFonts w:hint="eastAsia" w:ascii="宋体" w:hAnsi="宋体"/>
          <w:b/>
          <w:sz w:val="32"/>
          <w:szCs w:val="32"/>
        </w:rPr>
      </w:pPr>
    </w:p>
    <w:p w14:paraId="5DD2D413">
      <w:pPr>
        <w:jc w:val="center"/>
        <w:rPr>
          <w:rFonts w:hint="eastAsia" w:ascii="宋体" w:hAnsi="宋体"/>
          <w:b/>
          <w:sz w:val="32"/>
          <w:szCs w:val="32"/>
        </w:rPr>
      </w:pPr>
    </w:p>
    <w:p w14:paraId="654B180A">
      <w:pPr>
        <w:jc w:val="center"/>
        <w:rPr>
          <w:rFonts w:hint="eastAsia" w:ascii="宋体" w:hAnsi="宋体"/>
          <w:b/>
          <w:sz w:val="32"/>
          <w:szCs w:val="32"/>
        </w:rPr>
      </w:pPr>
    </w:p>
    <w:p w14:paraId="30A7AA9E">
      <w:pPr>
        <w:jc w:val="center"/>
        <w:rPr>
          <w:rFonts w:hint="eastAsia" w:ascii="宋体" w:hAnsi="宋体"/>
          <w:b/>
          <w:sz w:val="32"/>
          <w:szCs w:val="32"/>
        </w:rPr>
      </w:pPr>
    </w:p>
    <w:p w14:paraId="399A2803">
      <w:pPr>
        <w:jc w:val="center"/>
        <w:rPr>
          <w:rFonts w:hint="eastAsia" w:ascii="宋体" w:hAnsi="宋体"/>
          <w:b/>
          <w:sz w:val="32"/>
          <w:szCs w:val="32"/>
        </w:rPr>
      </w:pPr>
    </w:p>
    <w:p w14:paraId="30E8E0BC">
      <w:pPr>
        <w:jc w:val="center"/>
        <w:rPr>
          <w:rFonts w:hint="eastAsia" w:ascii="宋体" w:hAnsi="宋体"/>
          <w:b/>
          <w:sz w:val="32"/>
          <w:szCs w:val="32"/>
        </w:rPr>
      </w:pPr>
    </w:p>
    <w:p w14:paraId="41E624B5">
      <w:pPr>
        <w:jc w:val="both"/>
        <w:rPr>
          <w:rFonts w:hint="eastAsia" w:ascii="宋体" w:hAnsi="宋体"/>
          <w:b/>
          <w:sz w:val="32"/>
          <w:szCs w:val="32"/>
        </w:rPr>
      </w:pPr>
    </w:p>
    <w:p w14:paraId="51FEBF17">
      <w:pPr>
        <w:jc w:val="center"/>
        <w:rPr>
          <w:rFonts w:hint="eastAsia" w:ascii="宋体" w:hAnsi="宋体"/>
          <w:b/>
          <w:sz w:val="32"/>
          <w:szCs w:val="32"/>
        </w:rPr>
      </w:pPr>
      <w:r>
        <w:rPr>
          <w:rFonts w:hint="eastAsia" w:ascii="宋体" w:hAnsi="宋体"/>
          <w:b/>
          <w:sz w:val="32"/>
          <w:szCs w:val="32"/>
        </w:rPr>
        <w:t>第四章评标办法</w:t>
      </w:r>
    </w:p>
    <w:p w14:paraId="62A4B112">
      <w:pPr>
        <w:pStyle w:val="18"/>
        <w:snapToGrid w:val="0"/>
        <w:spacing w:line="360" w:lineRule="exact"/>
        <w:ind w:firstLine="0"/>
        <w:rPr>
          <w:rFonts w:hint="eastAsia" w:hAnsi="宋体"/>
          <w:szCs w:val="24"/>
        </w:rPr>
      </w:pPr>
      <w:r>
        <w:rPr>
          <w:rFonts w:hint="eastAsia" w:hAnsi="宋体"/>
          <w:szCs w:val="24"/>
        </w:rPr>
        <w:t>项目名称：                      </w:t>
      </w:r>
    </w:p>
    <w:p w14:paraId="1D0E441E">
      <w:pPr>
        <w:pStyle w:val="18"/>
        <w:snapToGrid w:val="0"/>
        <w:spacing w:line="360" w:lineRule="exact"/>
        <w:ind w:firstLine="0"/>
        <w:rPr>
          <w:rFonts w:hint="eastAsia" w:hAnsi="宋体"/>
          <w:szCs w:val="24"/>
        </w:rPr>
      </w:pPr>
      <w:r>
        <w:rPr>
          <w:rFonts w:hint="eastAsia" w:hAnsi="宋体"/>
          <w:szCs w:val="24"/>
        </w:rPr>
        <w:t>资格性审查标准：</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7"/>
        <w:gridCol w:w="7797"/>
      </w:tblGrid>
      <w:tr w14:paraId="6B9A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01A04C76">
            <w:pPr>
              <w:spacing w:line="360" w:lineRule="exact"/>
              <w:rPr>
                <w:rFonts w:cs="宋体"/>
              </w:rPr>
            </w:pPr>
            <w:r>
              <w:rPr>
                <w:rFonts w:hint="eastAsia" w:cs="宋体"/>
              </w:rPr>
              <w:t>序号</w:t>
            </w:r>
          </w:p>
        </w:tc>
        <w:tc>
          <w:tcPr>
            <w:tcW w:w="1417" w:type="dxa"/>
            <w:vAlign w:val="center"/>
          </w:tcPr>
          <w:p w14:paraId="140D9543">
            <w:pPr>
              <w:spacing w:line="360" w:lineRule="exact"/>
              <w:rPr>
                <w:rFonts w:cs="宋体"/>
              </w:rPr>
            </w:pPr>
            <w:r>
              <w:rPr>
                <w:rFonts w:hint="eastAsia" w:cs="宋体"/>
              </w:rPr>
              <w:t>审查项目</w:t>
            </w:r>
          </w:p>
        </w:tc>
        <w:tc>
          <w:tcPr>
            <w:tcW w:w="7797" w:type="dxa"/>
            <w:vAlign w:val="center"/>
          </w:tcPr>
          <w:p w14:paraId="547DF3CD">
            <w:pPr>
              <w:spacing w:line="360" w:lineRule="exact"/>
              <w:rPr>
                <w:rFonts w:cs="宋体"/>
              </w:rPr>
            </w:pPr>
            <w:r>
              <w:rPr>
                <w:rFonts w:hint="eastAsia" w:cs="宋体"/>
              </w:rPr>
              <w:t>评议内容</w:t>
            </w:r>
          </w:p>
        </w:tc>
      </w:tr>
      <w:tr w14:paraId="3B35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75" w:type="dxa"/>
            <w:vMerge w:val="restart"/>
            <w:vAlign w:val="center"/>
          </w:tcPr>
          <w:p w14:paraId="1898C78A">
            <w:pPr>
              <w:spacing w:line="360" w:lineRule="exact"/>
              <w:rPr>
                <w:rFonts w:cs="宋体"/>
              </w:rPr>
            </w:pPr>
            <w:r>
              <w:rPr>
                <w:rFonts w:hint="eastAsia" w:cs="宋体"/>
              </w:rPr>
              <w:t>1</w:t>
            </w:r>
          </w:p>
        </w:tc>
        <w:tc>
          <w:tcPr>
            <w:tcW w:w="1417" w:type="dxa"/>
            <w:vMerge w:val="restart"/>
            <w:vAlign w:val="center"/>
          </w:tcPr>
          <w:p w14:paraId="3AB7A6AF">
            <w:pPr>
              <w:spacing w:line="360" w:lineRule="exact"/>
              <w:rPr>
                <w:rFonts w:cs="宋体"/>
              </w:rPr>
            </w:pPr>
            <w:r>
              <w:rPr>
                <w:rFonts w:hint="eastAsia" w:cs="宋体"/>
              </w:rPr>
              <w:t>相关资格证明文件</w:t>
            </w:r>
          </w:p>
        </w:tc>
        <w:tc>
          <w:tcPr>
            <w:tcW w:w="7797" w:type="dxa"/>
            <w:vAlign w:val="center"/>
          </w:tcPr>
          <w:p w14:paraId="5CD872BC">
            <w:pPr>
              <w:spacing w:line="360" w:lineRule="exact"/>
              <w:rPr>
                <w:rFonts w:cs="宋体"/>
              </w:rPr>
            </w:pPr>
            <w:r>
              <w:rPr>
                <w:rFonts w:hint="eastAsia" w:cs="宋体"/>
              </w:rPr>
              <w:t>在中华人民共和国注册的、具有独立承担民事责任能力的；需提供营业执照副本复印件、税务登记证复印件、组织机构代码证复印件或三证合一营业执照复印件</w:t>
            </w:r>
          </w:p>
        </w:tc>
      </w:tr>
      <w:tr w14:paraId="2E8A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75" w:type="dxa"/>
            <w:vMerge w:val="continue"/>
          </w:tcPr>
          <w:p w14:paraId="0DE93123">
            <w:pPr>
              <w:spacing w:line="360" w:lineRule="exact"/>
              <w:rPr>
                <w:rFonts w:cs="宋体"/>
              </w:rPr>
            </w:pPr>
          </w:p>
        </w:tc>
        <w:tc>
          <w:tcPr>
            <w:tcW w:w="1417" w:type="dxa"/>
            <w:vMerge w:val="continue"/>
          </w:tcPr>
          <w:p w14:paraId="2EDB7F49">
            <w:pPr>
              <w:spacing w:line="360" w:lineRule="exact"/>
              <w:rPr>
                <w:rFonts w:cs="宋体"/>
              </w:rPr>
            </w:pPr>
          </w:p>
        </w:tc>
        <w:tc>
          <w:tcPr>
            <w:tcW w:w="7797" w:type="dxa"/>
            <w:vAlign w:val="center"/>
          </w:tcPr>
          <w:p w14:paraId="47110F03">
            <w:pPr>
              <w:spacing w:line="360" w:lineRule="exact"/>
              <w:rPr>
                <w:rFonts w:cs="宋体"/>
              </w:rPr>
            </w:pPr>
            <w:r>
              <w:rPr>
                <w:rFonts w:hint="eastAsia" w:cs="宋体"/>
              </w:rPr>
              <w:t xml:space="preserve">具有良好的商业信誉和健全的财务会计制度(提供承诺函) </w:t>
            </w:r>
          </w:p>
        </w:tc>
      </w:tr>
      <w:tr w14:paraId="2E60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Merge w:val="continue"/>
            <w:vAlign w:val="center"/>
          </w:tcPr>
          <w:p w14:paraId="1FDBB529">
            <w:pPr>
              <w:spacing w:line="360" w:lineRule="exact"/>
              <w:rPr>
                <w:rFonts w:cs="宋体"/>
              </w:rPr>
            </w:pPr>
          </w:p>
        </w:tc>
        <w:tc>
          <w:tcPr>
            <w:tcW w:w="1417" w:type="dxa"/>
            <w:vMerge w:val="continue"/>
            <w:vAlign w:val="center"/>
          </w:tcPr>
          <w:p w14:paraId="5B07BB83">
            <w:pPr>
              <w:spacing w:line="360" w:lineRule="exact"/>
              <w:rPr>
                <w:rFonts w:cs="宋体"/>
              </w:rPr>
            </w:pPr>
          </w:p>
        </w:tc>
        <w:tc>
          <w:tcPr>
            <w:tcW w:w="7797" w:type="dxa"/>
            <w:vAlign w:val="center"/>
          </w:tcPr>
          <w:p w14:paraId="77476CEB">
            <w:pPr>
              <w:spacing w:line="360" w:lineRule="exact"/>
              <w:rPr>
                <w:rFonts w:cs="宋体"/>
              </w:rPr>
            </w:pPr>
            <w:r>
              <w:rPr>
                <w:rFonts w:hint="eastAsia" w:cs="宋体"/>
              </w:rPr>
              <w:t>具有履行合同所必需的设备和专业技术能力（提供承诺书）；</w:t>
            </w:r>
          </w:p>
        </w:tc>
      </w:tr>
      <w:tr w14:paraId="6A27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5" w:type="dxa"/>
            <w:vMerge w:val="continue"/>
            <w:vAlign w:val="center"/>
          </w:tcPr>
          <w:p w14:paraId="5C44CCF1">
            <w:pPr>
              <w:spacing w:line="360" w:lineRule="exact"/>
              <w:rPr>
                <w:rFonts w:cs="宋体"/>
              </w:rPr>
            </w:pPr>
          </w:p>
        </w:tc>
        <w:tc>
          <w:tcPr>
            <w:tcW w:w="1417" w:type="dxa"/>
            <w:vMerge w:val="continue"/>
            <w:vAlign w:val="center"/>
          </w:tcPr>
          <w:p w14:paraId="701D7531">
            <w:pPr>
              <w:spacing w:line="360" w:lineRule="exact"/>
              <w:rPr>
                <w:rFonts w:cs="宋体"/>
              </w:rPr>
            </w:pPr>
          </w:p>
        </w:tc>
        <w:tc>
          <w:tcPr>
            <w:tcW w:w="7797" w:type="dxa"/>
            <w:vAlign w:val="center"/>
          </w:tcPr>
          <w:p w14:paraId="142BC2ED">
            <w:pPr>
              <w:spacing w:line="360" w:lineRule="exact"/>
              <w:rPr>
                <w:rFonts w:cs="宋体"/>
              </w:rPr>
            </w:pPr>
            <w:r>
              <w:rPr>
                <w:rFonts w:hint="eastAsia" w:cs="宋体"/>
              </w:rPr>
              <w:t>具有依法缴纳税收和社会保障资金的良好记录（提供承诺函）</w:t>
            </w:r>
          </w:p>
        </w:tc>
      </w:tr>
      <w:tr w14:paraId="0CBF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Merge w:val="continue"/>
            <w:vAlign w:val="center"/>
          </w:tcPr>
          <w:p w14:paraId="2EF5884E">
            <w:pPr>
              <w:spacing w:line="360" w:lineRule="exact"/>
              <w:rPr>
                <w:rFonts w:cs="宋体"/>
              </w:rPr>
            </w:pPr>
          </w:p>
        </w:tc>
        <w:tc>
          <w:tcPr>
            <w:tcW w:w="1417" w:type="dxa"/>
            <w:vMerge w:val="continue"/>
            <w:vAlign w:val="center"/>
          </w:tcPr>
          <w:p w14:paraId="2A853811">
            <w:pPr>
              <w:spacing w:line="360" w:lineRule="exact"/>
              <w:rPr>
                <w:rFonts w:cs="宋体"/>
              </w:rPr>
            </w:pPr>
          </w:p>
        </w:tc>
        <w:tc>
          <w:tcPr>
            <w:tcW w:w="7797" w:type="dxa"/>
            <w:vAlign w:val="center"/>
          </w:tcPr>
          <w:p w14:paraId="757CE77E">
            <w:pPr>
              <w:spacing w:line="360" w:lineRule="exact"/>
              <w:rPr>
                <w:rFonts w:cs="宋体"/>
              </w:rPr>
            </w:pPr>
            <w:r>
              <w:rPr>
                <w:rFonts w:hint="eastAsia" w:cs="宋体"/>
              </w:rPr>
              <w:t>参加本次政府采购活动前三年内，在经营活动中没有重大违法记录（提供声明）</w:t>
            </w:r>
          </w:p>
        </w:tc>
      </w:tr>
      <w:tr w14:paraId="0E1E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Merge w:val="continue"/>
            <w:vAlign w:val="center"/>
          </w:tcPr>
          <w:p w14:paraId="19CFF336">
            <w:pPr>
              <w:spacing w:line="360" w:lineRule="exact"/>
              <w:rPr>
                <w:rFonts w:cs="宋体"/>
              </w:rPr>
            </w:pPr>
          </w:p>
        </w:tc>
        <w:tc>
          <w:tcPr>
            <w:tcW w:w="1417" w:type="dxa"/>
            <w:vMerge w:val="continue"/>
            <w:vAlign w:val="center"/>
          </w:tcPr>
          <w:p w14:paraId="4100814F">
            <w:pPr>
              <w:spacing w:line="360" w:lineRule="exact"/>
              <w:rPr>
                <w:rFonts w:cs="宋体"/>
              </w:rPr>
            </w:pPr>
          </w:p>
        </w:tc>
        <w:tc>
          <w:tcPr>
            <w:tcW w:w="7797" w:type="dxa"/>
            <w:vAlign w:val="center"/>
          </w:tcPr>
          <w:p w14:paraId="7ACC646E">
            <w:pPr>
              <w:spacing w:line="360" w:lineRule="exact"/>
              <w:rPr>
                <w:rFonts w:cs="宋体"/>
              </w:rPr>
            </w:pPr>
            <w:r>
              <w:rPr>
                <w:rFonts w:hint="eastAsia" w:cs="宋体"/>
              </w:rPr>
              <w:t>参加政府采购活动前三年内，在经营活动中没有环保类行政处罚记录（成立不足三年的从成立之日起计算，提供声明）</w:t>
            </w:r>
          </w:p>
        </w:tc>
      </w:tr>
      <w:tr w14:paraId="4B41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vMerge w:val="continue"/>
            <w:vAlign w:val="center"/>
          </w:tcPr>
          <w:p w14:paraId="473C87BD">
            <w:pPr>
              <w:spacing w:line="360" w:lineRule="exact"/>
              <w:rPr>
                <w:rFonts w:cs="宋体"/>
              </w:rPr>
            </w:pPr>
          </w:p>
        </w:tc>
        <w:tc>
          <w:tcPr>
            <w:tcW w:w="1417" w:type="dxa"/>
            <w:vMerge w:val="continue"/>
            <w:vAlign w:val="center"/>
          </w:tcPr>
          <w:p w14:paraId="7FC0B001">
            <w:pPr>
              <w:spacing w:line="360" w:lineRule="exact"/>
              <w:rPr>
                <w:rFonts w:cs="宋体"/>
              </w:rPr>
            </w:pPr>
          </w:p>
        </w:tc>
        <w:tc>
          <w:tcPr>
            <w:tcW w:w="7797" w:type="dxa"/>
            <w:vAlign w:val="center"/>
          </w:tcPr>
          <w:p w14:paraId="6CAC726E">
            <w:pPr>
              <w:spacing w:line="360" w:lineRule="exact"/>
              <w:rPr>
                <w:rFonts w:cs="宋体"/>
              </w:rPr>
            </w:pPr>
            <w:r>
              <w:rPr>
                <w:rFonts w:hint="eastAsia" w:cs="宋体"/>
              </w:rPr>
              <w:t>信用信息查询</w:t>
            </w:r>
          </w:p>
        </w:tc>
      </w:tr>
      <w:tr w14:paraId="7992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vMerge w:val="continue"/>
            <w:vAlign w:val="center"/>
          </w:tcPr>
          <w:p w14:paraId="159C2143">
            <w:pPr>
              <w:spacing w:line="360" w:lineRule="exact"/>
              <w:rPr>
                <w:rFonts w:cs="宋体"/>
              </w:rPr>
            </w:pPr>
          </w:p>
        </w:tc>
        <w:tc>
          <w:tcPr>
            <w:tcW w:w="1417" w:type="dxa"/>
            <w:vMerge w:val="continue"/>
            <w:vAlign w:val="center"/>
          </w:tcPr>
          <w:p w14:paraId="23281A73">
            <w:pPr>
              <w:spacing w:line="360" w:lineRule="exact"/>
              <w:rPr>
                <w:rFonts w:cs="宋体"/>
              </w:rPr>
            </w:pPr>
          </w:p>
        </w:tc>
        <w:tc>
          <w:tcPr>
            <w:tcW w:w="7797" w:type="dxa"/>
            <w:vAlign w:val="center"/>
          </w:tcPr>
          <w:p w14:paraId="426108DC">
            <w:pPr>
              <w:spacing w:line="360" w:lineRule="exact"/>
              <w:rPr>
                <w:rFonts w:cs="宋体"/>
              </w:rPr>
            </w:pPr>
            <w:r>
              <w:rPr>
                <w:rFonts w:hint="eastAsia" w:cs="宋体"/>
              </w:rPr>
              <w:t>无其他不符合招标文件资格要求的条件</w:t>
            </w:r>
          </w:p>
        </w:tc>
      </w:tr>
      <w:tr w14:paraId="550F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889" w:type="dxa"/>
            <w:gridSpan w:val="3"/>
            <w:vAlign w:val="center"/>
          </w:tcPr>
          <w:p w14:paraId="0D430362">
            <w:pPr>
              <w:spacing w:line="480" w:lineRule="exact"/>
              <w:jc w:val="center"/>
              <w:rPr>
                <w:rFonts w:hint="eastAsia" w:asciiTheme="minorEastAsia" w:hAnsiTheme="minorEastAsia" w:eastAsiaTheme="minorEastAsia"/>
                <w:sz w:val="24"/>
              </w:rPr>
            </w:pPr>
            <w:r>
              <w:rPr>
                <w:rFonts w:hint="eastAsia" w:cs="宋体"/>
              </w:rPr>
              <w:t>结论</w:t>
            </w:r>
          </w:p>
        </w:tc>
      </w:tr>
    </w:tbl>
    <w:p w14:paraId="0E1BC27C">
      <w:pPr>
        <w:jc w:val="center"/>
        <w:rPr>
          <w:sz w:val="24"/>
        </w:rPr>
      </w:pPr>
    </w:p>
    <w:p w14:paraId="31DAF8AA">
      <w:pPr>
        <w:jc w:val="both"/>
        <w:rPr>
          <w:sz w:val="24"/>
        </w:rPr>
      </w:pPr>
    </w:p>
    <w:p w14:paraId="164CD0F6">
      <w:pPr>
        <w:jc w:val="center"/>
        <w:rPr>
          <w:sz w:val="24"/>
        </w:rPr>
      </w:pPr>
      <w:r>
        <w:rPr>
          <w:rFonts w:hint="eastAsia"/>
          <w:sz w:val="24"/>
        </w:rPr>
        <w:t>符合性审查标准</w:t>
      </w:r>
    </w:p>
    <w:tbl>
      <w:tblPr>
        <w:tblStyle w:val="32"/>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91"/>
        <w:gridCol w:w="7514"/>
      </w:tblGrid>
      <w:tr w14:paraId="62BC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7" w:type="dxa"/>
            <w:vAlign w:val="center"/>
          </w:tcPr>
          <w:p w14:paraId="414778B5">
            <w:pPr>
              <w:spacing w:line="480" w:lineRule="exact"/>
              <w:jc w:val="center"/>
              <w:rPr>
                <w:b/>
                <w:bCs/>
              </w:rPr>
            </w:pPr>
            <w:r>
              <w:rPr>
                <w:rFonts w:hint="eastAsia" w:cs="宋体"/>
                <w:b/>
                <w:bCs/>
              </w:rPr>
              <w:t>序号</w:t>
            </w:r>
          </w:p>
        </w:tc>
        <w:tc>
          <w:tcPr>
            <w:tcW w:w="1491" w:type="dxa"/>
            <w:vAlign w:val="center"/>
          </w:tcPr>
          <w:p w14:paraId="413713F4">
            <w:pPr>
              <w:spacing w:line="480" w:lineRule="exact"/>
              <w:jc w:val="center"/>
              <w:rPr>
                <w:b/>
                <w:bCs/>
              </w:rPr>
            </w:pPr>
            <w:r>
              <w:rPr>
                <w:rFonts w:hint="eastAsia" w:cs="宋体"/>
                <w:b/>
                <w:bCs/>
              </w:rPr>
              <w:t>审查项目</w:t>
            </w:r>
          </w:p>
        </w:tc>
        <w:tc>
          <w:tcPr>
            <w:tcW w:w="7514" w:type="dxa"/>
            <w:vAlign w:val="center"/>
          </w:tcPr>
          <w:p w14:paraId="1979B07D">
            <w:pPr>
              <w:spacing w:line="480" w:lineRule="exact"/>
              <w:jc w:val="center"/>
              <w:rPr>
                <w:b/>
                <w:bCs/>
              </w:rPr>
            </w:pPr>
            <w:r>
              <w:rPr>
                <w:rFonts w:hint="eastAsia" w:cs="宋体"/>
                <w:b/>
                <w:bCs/>
              </w:rPr>
              <w:t>评审内容</w:t>
            </w:r>
          </w:p>
        </w:tc>
      </w:tr>
      <w:tr w14:paraId="4ED0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6B9621A">
            <w:pPr>
              <w:spacing w:line="320" w:lineRule="exact"/>
              <w:jc w:val="center"/>
              <w:rPr>
                <w:b/>
                <w:bCs/>
              </w:rPr>
            </w:pPr>
            <w:r>
              <w:rPr>
                <w:rFonts w:hint="eastAsia"/>
                <w:b/>
                <w:bCs/>
              </w:rPr>
              <w:t>1</w:t>
            </w:r>
          </w:p>
        </w:tc>
        <w:tc>
          <w:tcPr>
            <w:tcW w:w="1491" w:type="dxa"/>
            <w:vAlign w:val="center"/>
          </w:tcPr>
          <w:p w14:paraId="7C82C9C9">
            <w:pPr>
              <w:spacing w:line="320" w:lineRule="exact"/>
              <w:jc w:val="center"/>
              <w:rPr>
                <w:b/>
                <w:bCs/>
              </w:rPr>
            </w:pPr>
            <w:r>
              <w:rPr>
                <w:rFonts w:hint="eastAsia" w:cs="宋体"/>
                <w:b/>
                <w:bCs/>
              </w:rPr>
              <w:t>投标文件的有效性</w:t>
            </w:r>
          </w:p>
        </w:tc>
        <w:tc>
          <w:tcPr>
            <w:tcW w:w="7514" w:type="dxa"/>
            <w:vAlign w:val="center"/>
          </w:tcPr>
          <w:p w14:paraId="4A842DCE">
            <w:pPr>
              <w:spacing w:line="360" w:lineRule="exact"/>
            </w:pPr>
            <w:r>
              <w:rPr>
                <w:rFonts w:hint="eastAsia" w:cs="宋体"/>
              </w:rPr>
              <w:t>是否符合投标文件的式样和签署要求且内容完整无缺漏</w:t>
            </w:r>
          </w:p>
        </w:tc>
      </w:tr>
      <w:tr w14:paraId="5154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20FC1D4">
            <w:pPr>
              <w:spacing w:line="320" w:lineRule="exact"/>
              <w:jc w:val="center"/>
              <w:rPr>
                <w:b/>
                <w:bCs/>
              </w:rPr>
            </w:pPr>
            <w:r>
              <w:rPr>
                <w:rFonts w:hint="eastAsia"/>
                <w:b/>
                <w:bCs/>
              </w:rPr>
              <w:t>2</w:t>
            </w:r>
          </w:p>
        </w:tc>
        <w:tc>
          <w:tcPr>
            <w:tcW w:w="1491" w:type="dxa"/>
            <w:vAlign w:val="center"/>
          </w:tcPr>
          <w:p w14:paraId="14BA7027">
            <w:pPr>
              <w:spacing w:line="480" w:lineRule="exact"/>
              <w:jc w:val="center"/>
              <w:rPr>
                <w:b/>
                <w:bCs/>
              </w:rPr>
            </w:pPr>
            <w:r>
              <w:rPr>
                <w:rFonts w:hint="eastAsia" w:cs="宋体"/>
                <w:b/>
                <w:bCs/>
              </w:rPr>
              <w:t>投标有效期</w:t>
            </w:r>
          </w:p>
        </w:tc>
        <w:tc>
          <w:tcPr>
            <w:tcW w:w="7514" w:type="dxa"/>
            <w:vAlign w:val="center"/>
          </w:tcPr>
          <w:p w14:paraId="38EC8F51">
            <w:pPr>
              <w:spacing w:line="480" w:lineRule="exact"/>
            </w:pPr>
            <w:r>
              <w:rPr>
                <w:rFonts w:hint="eastAsia" w:cs="宋体"/>
              </w:rPr>
              <w:t>投标有效期是否满足90天</w:t>
            </w:r>
          </w:p>
        </w:tc>
      </w:tr>
      <w:tr w14:paraId="0DD3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76295965">
            <w:pPr>
              <w:spacing w:line="320" w:lineRule="exact"/>
              <w:jc w:val="center"/>
              <w:rPr>
                <w:b/>
                <w:bCs/>
              </w:rPr>
            </w:pPr>
            <w:r>
              <w:rPr>
                <w:rFonts w:hint="eastAsia"/>
                <w:b/>
                <w:bCs/>
              </w:rPr>
              <w:t>3</w:t>
            </w:r>
          </w:p>
        </w:tc>
        <w:tc>
          <w:tcPr>
            <w:tcW w:w="1491" w:type="dxa"/>
            <w:vAlign w:val="center"/>
          </w:tcPr>
          <w:p w14:paraId="23970056">
            <w:pPr>
              <w:spacing w:line="360" w:lineRule="exact"/>
              <w:jc w:val="center"/>
              <w:rPr>
                <w:b/>
                <w:bCs/>
              </w:rPr>
            </w:pPr>
            <w:r>
              <w:rPr>
                <w:rFonts w:hint="eastAsia" w:cs="宋体"/>
                <w:b/>
                <w:bCs/>
              </w:rPr>
              <w:t>投标价</w:t>
            </w:r>
          </w:p>
        </w:tc>
        <w:tc>
          <w:tcPr>
            <w:tcW w:w="7514" w:type="dxa"/>
            <w:vAlign w:val="center"/>
          </w:tcPr>
          <w:p w14:paraId="29CB9F61">
            <w:pPr>
              <w:spacing w:line="360" w:lineRule="exact"/>
            </w:pPr>
            <w:r>
              <w:rPr>
                <w:rFonts w:hint="eastAsia" w:cs="宋体"/>
              </w:rPr>
              <w:t>投标价是否唯一且不超过采购预算</w:t>
            </w:r>
          </w:p>
        </w:tc>
      </w:tr>
      <w:tr w14:paraId="513B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F683FEE">
            <w:pPr>
              <w:spacing w:line="320" w:lineRule="exact"/>
              <w:jc w:val="center"/>
              <w:rPr>
                <w:b/>
                <w:bCs/>
              </w:rPr>
            </w:pPr>
            <w:r>
              <w:rPr>
                <w:rFonts w:hint="eastAsia"/>
                <w:b/>
                <w:bCs/>
              </w:rPr>
              <w:t>4</w:t>
            </w:r>
          </w:p>
        </w:tc>
        <w:tc>
          <w:tcPr>
            <w:tcW w:w="1491" w:type="dxa"/>
            <w:vAlign w:val="center"/>
          </w:tcPr>
          <w:p w14:paraId="27734AE3">
            <w:pPr>
              <w:spacing w:line="360" w:lineRule="exact"/>
              <w:jc w:val="center"/>
              <w:rPr>
                <w:b/>
                <w:bCs/>
              </w:rPr>
            </w:pPr>
            <w:r>
              <w:rPr>
                <w:rFonts w:hint="eastAsia" w:cs="宋体"/>
                <w:b/>
                <w:bCs/>
              </w:rPr>
              <w:t>合同履行期限</w:t>
            </w:r>
          </w:p>
        </w:tc>
        <w:tc>
          <w:tcPr>
            <w:tcW w:w="7514" w:type="dxa"/>
            <w:vAlign w:val="center"/>
          </w:tcPr>
          <w:p w14:paraId="5CB8209B">
            <w:pPr>
              <w:spacing w:line="360" w:lineRule="exact"/>
            </w:pPr>
            <w:r>
              <w:rPr>
                <w:rFonts w:hint="eastAsia" w:cs="宋体"/>
              </w:rPr>
              <w:t>是否按照招标文件规定时间</w:t>
            </w:r>
          </w:p>
        </w:tc>
      </w:tr>
      <w:tr w14:paraId="0A71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13C4600">
            <w:pPr>
              <w:spacing w:line="320" w:lineRule="exact"/>
              <w:jc w:val="center"/>
              <w:rPr>
                <w:rFonts w:hint="eastAsia" w:eastAsia="宋体"/>
                <w:b/>
                <w:bCs/>
                <w:lang w:val="en-US" w:eastAsia="zh-CN"/>
              </w:rPr>
            </w:pPr>
            <w:r>
              <w:rPr>
                <w:rFonts w:hint="eastAsia"/>
                <w:b/>
                <w:bCs/>
                <w:lang w:val="en-US" w:eastAsia="zh-CN"/>
              </w:rPr>
              <w:t>5</w:t>
            </w:r>
          </w:p>
        </w:tc>
        <w:tc>
          <w:tcPr>
            <w:tcW w:w="1491" w:type="dxa"/>
            <w:vAlign w:val="center"/>
          </w:tcPr>
          <w:p w14:paraId="23527906">
            <w:pPr>
              <w:spacing w:line="360" w:lineRule="exact"/>
              <w:jc w:val="center"/>
              <w:rPr>
                <w:rFonts w:hint="eastAsia" w:eastAsia="宋体" w:cs="宋体"/>
                <w:b/>
                <w:bCs/>
                <w:lang w:eastAsia="zh-CN"/>
              </w:rPr>
            </w:pPr>
            <w:r>
              <w:rPr>
                <w:rFonts w:hint="eastAsia" w:cs="宋体"/>
                <w:b/>
                <w:bCs/>
                <w:lang w:eastAsia="zh-CN"/>
              </w:rPr>
              <w:t>实质性要求</w:t>
            </w:r>
          </w:p>
        </w:tc>
        <w:tc>
          <w:tcPr>
            <w:tcW w:w="7514" w:type="dxa"/>
            <w:vAlign w:val="center"/>
          </w:tcPr>
          <w:p w14:paraId="68E1558F">
            <w:pPr>
              <w:spacing w:line="360" w:lineRule="exact"/>
              <w:rPr>
                <w:rFonts w:hint="eastAsia" w:cs="宋体" w:eastAsiaTheme="minorEastAsia"/>
                <w:lang w:eastAsia="zh-CN"/>
              </w:rPr>
            </w:pPr>
            <w:r>
              <w:rPr>
                <w:rFonts w:hint="eastAsia" w:cs="宋体"/>
                <w:lang w:eastAsia="zh-CN"/>
              </w:rPr>
              <w:t>标注</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的参数指标是否符合要求</w:t>
            </w:r>
          </w:p>
        </w:tc>
      </w:tr>
      <w:tr w14:paraId="1C70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C8F1322">
            <w:pPr>
              <w:spacing w:line="320" w:lineRule="exact"/>
              <w:jc w:val="center"/>
              <w:rPr>
                <w:rFonts w:hint="eastAsia" w:eastAsia="宋体"/>
                <w:b/>
                <w:bCs/>
                <w:lang w:eastAsia="zh-CN"/>
              </w:rPr>
            </w:pPr>
            <w:r>
              <w:rPr>
                <w:rFonts w:hint="eastAsia"/>
                <w:b/>
                <w:bCs/>
                <w:lang w:val="en-US" w:eastAsia="zh-CN"/>
              </w:rPr>
              <w:t>6</w:t>
            </w:r>
          </w:p>
        </w:tc>
        <w:tc>
          <w:tcPr>
            <w:tcW w:w="1491" w:type="dxa"/>
            <w:vAlign w:val="center"/>
          </w:tcPr>
          <w:p w14:paraId="41476594">
            <w:pPr>
              <w:spacing w:line="360" w:lineRule="exact"/>
              <w:jc w:val="center"/>
              <w:rPr>
                <w:b/>
                <w:bCs/>
              </w:rPr>
            </w:pPr>
            <w:r>
              <w:rPr>
                <w:rFonts w:hint="eastAsia" w:cs="宋体"/>
                <w:b/>
                <w:bCs/>
              </w:rPr>
              <w:t>其它</w:t>
            </w:r>
          </w:p>
        </w:tc>
        <w:tc>
          <w:tcPr>
            <w:tcW w:w="7514" w:type="dxa"/>
            <w:vAlign w:val="center"/>
          </w:tcPr>
          <w:p w14:paraId="372AF7F1">
            <w:pPr>
              <w:spacing w:line="360" w:lineRule="exact"/>
            </w:pPr>
            <w:r>
              <w:rPr>
                <w:rFonts w:hint="eastAsia" w:cs="宋体"/>
              </w:rPr>
              <w:t>无其它符合招标文件中或相关法律法规规定的无效投标认定条件</w:t>
            </w:r>
          </w:p>
        </w:tc>
      </w:tr>
      <w:tr w14:paraId="0DD6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852" w:type="dxa"/>
            <w:gridSpan w:val="3"/>
            <w:vAlign w:val="center"/>
          </w:tcPr>
          <w:p w14:paraId="70DEDA4C">
            <w:pPr>
              <w:spacing w:line="480" w:lineRule="exact"/>
              <w:jc w:val="center"/>
            </w:pPr>
            <w:r>
              <w:rPr>
                <w:rFonts w:hint="eastAsia" w:cs="宋体"/>
                <w:b/>
                <w:bCs/>
              </w:rPr>
              <w:t>结论</w:t>
            </w:r>
          </w:p>
        </w:tc>
      </w:tr>
    </w:tbl>
    <w:p w14:paraId="5FB780BA">
      <w:pPr>
        <w:pStyle w:val="28"/>
        <w:shd w:val="clear" w:color="auto" w:fill="FFFFFF"/>
        <w:spacing w:before="156" w:beforeAutospacing="0" w:after="312" w:afterAutospacing="0" w:line="360" w:lineRule="exact"/>
        <w:rPr>
          <w:rFonts w:hint="eastAsia" w:ascii="仿宋" w:hAnsi="仿宋" w:eastAsia="仿宋"/>
          <w:b/>
          <w:bCs/>
          <w:sz w:val="27"/>
          <w:szCs w:val="27"/>
          <w:shd w:val="clear" w:color="auto" w:fill="FFFFFF"/>
        </w:rPr>
      </w:pPr>
    </w:p>
    <w:p w14:paraId="3F754213">
      <w:pPr>
        <w:pStyle w:val="28"/>
        <w:shd w:val="clear" w:color="auto" w:fill="FFFFFF"/>
        <w:spacing w:before="156" w:beforeAutospacing="0" w:after="312" w:afterAutospacing="0" w:line="360" w:lineRule="exact"/>
        <w:rPr>
          <w:rFonts w:hint="eastAsia" w:ascii="仿宋" w:hAnsi="仿宋" w:eastAsia="仿宋"/>
          <w:b/>
          <w:bCs/>
          <w:sz w:val="27"/>
          <w:szCs w:val="27"/>
          <w:shd w:val="clear" w:color="auto" w:fill="FFFFFF"/>
        </w:rPr>
      </w:pPr>
    </w:p>
    <w:p w14:paraId="71E22C7B">
      <w:pPr>
        <w:pStyle w:val="28"/>
        <w:shd w:val="clear" w:color="auto" w:fill="FFFFFF"/>
        <w:spacing w:before="156" w:beforeAutospacing="0" w:after="312" w:afterAutospacing="0" w:line="360" w:lineRule="exact"/>
        <w:jc w:val="both"/>
        <w:rPr>
          <w:rFonts w:hint="eastAsia" w:ascii="仿宋" w:hAnsi="仿宋" w:eastAsia="仿宋"/>
          <w:b/>
          <w:bCs/>
          <w:sz w:val="27"/>
          <w:szCs w:val="27"/>
          <w:shd w:val="clear" w:color="auto" w:fill="FFFFFF"/>
        </w:rPr>
      </w:pPr>
    </w:p>
    <w:p w14:paraId="6808794C">
      <w:pPr>
        <w:pStyle w:val="4"/>
        <w:jc w:val="center"/>
      </w:pPr>
      <w:r>
        <w:rPr>
          <w:rFonts w:hint="eastAsia"/>
        </w:rPr>
        <w:t>详细评审标准</w:t>
      </w:r>
    </w:p>
    <w:tbl>
      <w:tblPr>
        <w:tblStyle w:val="32"/>
        <w:tblW w:w="499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1"/>
        <w:gridCol w:w="915"/>
        <w:gridCol w:w="7181"/>
        <w:gridCol w:w="1097"/>
      </w:tblGrid>
      <w:tr w14:paraId="6C753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791" w:type="pct"/>
            <w:gridSpan w:val="2"/>
            <w:tcBorders>
              <w:tl2br w:val="nil"/>
              <w:tr2bl w:val="nil"/>
            </w:tcBorders>
            <w:shd w:val="clear" w:color="auto" w:fill="auto"/>
            <w:vAlign w:val="bottom"/>
          </w:tcPr>
          <w:p w14:paraId="6846E93E">
            <w:pPr>
              <w:widowControl/>
              <w:jc w:val="center"/>
              <w:textAlignment w:val="bottom"/>
              <w:rPr>
                <w:rFonts w:hint="eastAsia" w:ascii="宋体" w:hAnsi="宋体" w:cs="宋体"/>
                <w:b/>
                <w:bCs/>
                <w:color w:val="000000"/>
                <w:sz w:val="24"/>
              </w:rPr>
            </w:pPr>
            <w:r>
              <w:rPr>
                <w:rFonts w:hint="eastAsia" w:ascii="宋体" w:hAnsi="宋体" w:cs="宋体"/>
                <w:b/>
                <w:bCs/>
                <w:color w:val="000000"/>
                <w:kern w:val="0"/>
                <w:sz w:val="24"/>
              </w:rPr>
              <w:t>评审项目</w:t>
            </w:r>
          </w:p>
        </w:tc>
        <w:tc>
          <w:tcPr>
            <w:tcW w:w="3650" w:type="pct"/>
            <w:tcBorders>
              <w:tl2br w:val="nil"/>
              <w:tr2bl w:val="nil"/>
            </w:tcBorders>
            <w:shd w:val="clear" w:color="auto" w:fill="auto"/>
            <w:vAlign w:val="bottom"/>
          </w:tcPr>
          <w:p w14:paraId="76422BC0">
            <w:pPr>
              <w:widowControl/>
              <w:jc w:val="center"/>
              <w:textAlignment w:val="bottom"/>
              <w:rPr>
                <w:rFonts w:hint="eastAsia" w:ascii="宋体" w:hAnsi="宋体" w:cs="宋体"/>
                <w:b/>
                <w:bCs/>
                <w:color w:val="000000"/>
                <w:sz w:val="24"/>
              </w:rPr>
            </w:pPr>
            <w:r>
              <w:rPr>
                <w:rFonts w:hint="eastAsia" w:ascii="宋体" w:hAnsi="宋体" w:cs="宋体"/>
                <w:b/>
                <w:bCs/>
                <w:color w:val="000000"/>
                <w:kern w:val="0"/>
                <w:sz w:val="24"/>
              </w:rPr>
              <w:t>评分标准</w:t>
            </w:r>
          </w:p>
        </w:tc>
        <w:tc>
          <w:tcPr>
            <w:tcW w:w="558" w:type="pct"/>
            <w:tcBorders>
              <w:tl2br w:val="nil"/>
              <w:tr2bl w:val="nil"/>
            </w:tcBorders>
            <w:shd w:val="clear" w:color="auto" w:fill="auto"/>
            <w:vAlign w:val="bottom"/>
          </w:tcPr>
          <w:p w14:paraId="182A71EA">
            <w:pPr>
              <w:widowControl/>
              <w:jc w:val="center"/>
              <w:textAlignment w:val="bottom"/>
              <w:rPr>
                <w:rFonts w:hint="eastAsia" w:ascii="宋体" w:hAnsi="宋体" w:cs="宋体"/>
                <w:b/>
                <w:bCs/>
                <w:color w:val="000000"/>
                <w:sz w:val="24"/>
              </w:rPr>
            </w:pPr>
            <w:r>
              <w:rPr>
                <w:rFonts w:hint="eastAsia" w:ascii="宋体" w:hAnsi="宋体" w:cs="宋体"/>
                <w:b/>
                <w:bCs/>
                <w:color w:val="000000"/>
                <w:kern w:val="0"/>
                <w:sz w:val="24"/>
              </w:rPr>
              <w:t>分值</w:t>
            </w:r>
          </w:p>
        </w:tc>
      </w:tr>
      <w:tr w14:paraId="2FA45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326" w:type="pct"/>
            <w:tcBorders>
              <w:tl2br w:val="nil"/>
              <w:tr2bl w:val="nil"/>
            </w:tcBorders>
            <w:shd w:val="clear" w:color="auto" w:fill="auto"/>
            <w:vAlign w:val="center"/>
          </w:tcPr>
          <w:p w14:paraId="2FDD05E3">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1</w:t>
            </w:r>
          </w:p>
        </w:tc>
        <w:tc>
          <w:tcPr>
            <w:tcW w:w="465" w:type="pct"/>
            <w:tcBorders>
              <w:tl2br w:val="nil"/>
              <w:tr2bl w:val="nil"/>
            </w:tcBorders>
            <w:shd w:val="clear" w:color="auto" w:fill="auto"/>
            <w:vAlign w:val="center"/>
          </w:tcPr>
          <w:p w14:paraId="5FB136F5">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技术参数响应情况</w:t>
            </w:r>
          </w:p>
        </w:tc>
        <w:tc>
          <w:tcPr>
            <w:tcW w:w="3650" w:type="pct"/>
            <w:tcBorders>
              <w:tl2br w:val="nil"/>
              <w:tr2bl w:val="nil"/>
            </w:tcBorders>
            <w:shd w:val="clear" w:color="auto" w:fill="auto"/>
            <w:vAlign w:val="center"/>
          </w:tcPr>
          <w:p w14:paraId="0186B9B1">
            <w:pPr>
              <w:widowControl/>
              <w:jc w:val="left"/>
              <w:textAlignment w:val="center"/>
              <w:rPr>
                <w:rFonts w:hint="eastAsia" w:ascii="宋体" w:hAnsi="宋体" w:cs="宋体"/>
                <w:color w:val="000000"/>
                <w:kern w:val="0"/>
                <w:sz w:val="24"/>
              </w:rPr>
            </w:pPr>
            <w:r>
              <w:rPr>
                <w:rFonts w:hint="eastAsia" w:ascii="宋体" w:hAnsi="宋体" w:cs="宋体"/>
                <w:color w:val="auto"/>
                <w:kern w:val="0"/>
                <w:sz w:val="24"/>
              </w:rPr>
              <w:t>评审小组根据供应商对招标文件中的每条技术参数的响应情况进行评</w:t>
            </w:r>
            <w:r>
              <w:rPr>
                <w:rFonts w:hint="eastAsia" w:ascii="宋体" w:hAnsi="宋体" w:cs="宋体"/>
                <w:color w:val="auto"/>
                <w:kern w:val="0"/>
                <w:sz w:val="24"/>
                <w:lang w:val="en-US" w:eastAsia="zh-CN"/>
              </w:rPr>
              <w:t>参数</w:t>
            </w:r>
            <w:r>
              <w:rPr>
                <w:rFonts w:hint="eastAsia" w:ascii="宋体" w:hAnsi="宋体" w:cs="宋体"/>
                <w:color w:val="auto"/>
                <w:kern w:val="0"/>
                <w:sz w:val="24"/>
              </w:rPr>
              <w:t>分，具体条款详见“采购需求清单”。本项分值为52分，其中标注▲</w:t>
            </w:r>
            <w:r>
              <w:rPr>
                <w:rFonts w:hint="eastAsia" w:ascii="宋体" w:hAnsi="宋体" w:cs="宋体"/>
                <w:color w:val="auto"/>
                <w:kern w:val="0"/>
                <w:sz w:val="24"/>
                <w:lang w:val="en-US" w:eastAsia="zh-CN"/>
              </w:rPr>
              <w:t>参数</w:t>
            </w:r>
            <w:r>
              <w:rPr>
                <w:rFonts w:hint="eastAsia" w:ascii="宋体" w:hAnsi="宋体" w:cs="宋体"/>
                <w:color w:val="auto"/>
                <w:kern w:val="0"/>
                <w:sz w:val="24"/>
              </w:rPr>
              <w:t>的</w:t>
            </w:r>
            <w:r>
              <w:rPr>
                <w:rFonts w:hint="eastAsia" w:ascii="宋体" w:hAnsi="宋体" w:cs="宋体"/>
                <w:color w:val="auto"/>
                <w:kern w:val="0"/>
                <w:sz w:val="24"/>
                <w:lang w:val="en-US" w:eastAsia="zh-CN"/>
              </w:rPr>
              <w:t>24</w:t>
            </w:r>
            <w:r>
              <w:rPr>
                <w:rFonts w:hint="eastAsia" w:ascii="宋体" w:hAnsi="宋体" w:cs="宋体"/>
                <w:color w:val="auto"/>
                <w:kern w:val="0"/>
                <w:sz w:val="24"/>
              </w:rPr>
              <w:t>分，未标注▲</w:t>
            </w:r>
            <w:r>
              <w:rPr>
                <w:rFonts w:hint="eastAsia" w:ascii="宋体" w:hAnsi="宋体" w:cs="宋体"/>
                <w:color w:val="auto"/>
                <w:kern w:val="0"/>
                <w:sz w:val="24"/>
                <w:lang w:val="en-US" w:eastAsia="zh-CN"/>
              </w:rPr>
              <w:t>参数及未标注★参数</w:t>
            </w:r>
            <w:r>
              <w:rPr>
                <w:rFonts w:hint="eastAsia" w:ascii="宋体" w:hAnsi="宋体" w:cs="宋体"/>
                <w:color w:val="auto"/>
                <w:kern w:val="0"/>
                <w:sz w:val="24"/>
              </w:rPr>
              <w:t>的</w:t>
            </w:r>
            <w:r>
              <w:rPr>
                <w:rFonts w:hint="eastAsia" w:ascii="宋体" w:hAnsi="宋体" w:cs="宋体"/>
                <w:color w:val="auto"/>
                <w:kern w:val="0"/>
                <w:sz w:val="24"/>
                <w:lang w:val="en-US" w:eastAsia="zh-CN"/>
              </w:rPr>
              <w:t>28</w:t>
            </w:r>
            <w:r>
              <w:rPr>
                <w:rFonts w:hint="eastAsia" w:ascii="宋体" w:hAnsi="宋体" w:cs="宋体"/>
                <w:color w:val="auto"/>
                <w:kern w:val="0"/>
                <w:sz w:val="24"/>
              </w:rPr>
              <w:t>分。投标人提供的技术参数与招标文件中的参数进行点对点比较：（1）完全满足招标文件参数要求，得52分；（2)带▲</w:t>
            </w:r>
            <w:r>
              <w:rPr>
                <w:rFonts w:hint="eastAsia" w:ascii="宋体" w:hAnsi="宋体" w:cs="宋体"/>
                <w:color w:val="auto"/>
                <w:kern w:val="0"/>
                <w:sz w:val="24"/>
                <w:lang w:val="en-US" w:eastAsia="zh-CN"/>
              </w:rPr>
              <w:t>参数共计12项，</w:t>
            </w:r>
            <w:r>
              <w:rPr>
                <w:rFonts w:hint="eastAsia" w:ascii="宋体" w:hAnsi="宋体" w:cs="宋体"/>
                <w:color w:val="auto"/>
                <w:kern w:val="0"/>
                <w:sz w:val="24"/>
              </w:rPr>
              <w:t>不能满足带▲参数要求的每项扣2分，扣完为止；（3)未带▲参数</w:t>
            </w:r>
            <w:r>
              <w:rPr>
                <w:rFonts w:hint="eastAsia" w:ascii="宋体" w:hAnsi="宋体" w:cs="宋体"/>
                <w:color w:val="auto"/>
                <w:kern w:val="0"/>
                <w:sz w:val="24"/>
                <w:lang w:val="en-US" w:eastAsia="zh-CN"/>
              </w:rPr>
              <w:t>及</w:t>
            </w:r>
            <w:r>
              <w:rPr>
                <w:rFonts w:hint="eastAsia" w:ascii="宋体" w:hAnsi="宋体" w:cs="宋体"/>
                <w:color w:val="auto"/>
                <w:kern w:val="0"/>
                <w:sz w:val="24"/>
              </w:rPr>
              <w:t>未带</w:t>
            </w:r>
            <w:r>
              <w:rPr>
                <w:rFonts w:hint="eastAsia" w:ascii="宋体" w:hAnsi="宋体" w:cs="宋体"/>
                <w:color w:val="auto"/>
                <w:kern w:val="0"/>
                <w:sz w:val="24"/>
                <w:lang w:val="en-US" w:eastAsia="zh-CN"/>
              </w:rPr>
              <w:t>★的参数共计355项，</w:t>
            </w:r>
            <w:r>
              <w:rPr>
                <w:rFonts w:hint="eastAsia" w:ascii="宋体" w:hAnsi="宋体" w:cs="宋体"/>
                <w:color w:val="auto"/>
                <w:kern w:val="0"/>
                <w:sz w:val="24"/>
              </w:rPr>
              <w:t>不能满足未带▲参数及未带★参数要求的每项扣</w:t>
            </w:r>
            <w:r>
              <w:rPr>
                <w:rFonts w:hint="eastAsia" w:ascii="宋体" w:hAnsi="宋体" w:cs="宋体"/>
                <w:color w:val="auto"/>
                <w:kern w:val="0"/>
                <w:sz w:val="24"/>
                <w:lang w:val="en-US" w:eastAsia="zh-CN"/>
              </w:rPr>
              <w:t>0.08</w:t>
            </w:r>
            <w:r>
              <w:rPr>
                <w:rFonts w:hint="eastAsia" w:ascii="宋体" w:hAnsi="宋体" w:cs="宋体"/>
                <w:color w:val="auto"/>
                <w:kern w:val="0"/>
                <w:sz w:val="24"/>
              </w:rPr>
              <w:t>分，扣完为止</w:t>
            </w:r>
            <w:r>
              <w:rPr>
                <w:rFonts w:hint="eastAsia" w:ascii="宋体" w:hAnsi="宋体" w:cs="宋体"/>
                <w:color w:val="000000"/>
                <w:kern w:val="0"/>
                <w:sz w:val="24"/>
              </w:rPr>
              <w:t>。</w:t>
            </w:r>
          </w:p>
        </w:tc>
        <w:tc>
          <w:tcPr>
            <w:tcW w:w="558" w:type="pct"/>
            <w:tcBorders>
              <w:tl2br w:val="nil"/>
              <w:tr2bl w:val="nil"/>
            </w:tcBorders>
            <w:shd w:val="clear" w:color="auto" w:fill="auto"/>
            <w:vAlign w:val="center"/>
          </w:tcPr>
          <w:p w14:paraId="4C6B80A9">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52分</w:t>
            </w:r>
          </w:p>
        </w:tc>
      </w:tr>
      <w:tr w14:paraId="0673F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326" w:type="pct"/>
            <w:tcBorders>
              <w:tl2br w:val="nil"/>
              <w:tr2bl w:val="nil"/>
            </w:tcBorders>
            <w:shd w:val="clear" w:color="auto" w:fill="auto"/>
            <w:vAlign w:val="center"/>
          </w:tcPr>
          <w:p w14:paraId="1BF0A0C6">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2</w:t>
            </w:r>
          </w:p>
        </w:tc>
        <w:tc>
          <w:tcPr>
            <w:tcW w:w="465" w:type="pct"/>
            <w:tcBorders>
              <w:tl2br w:val="nil"/>
              <w:tr2bl w:val="nil"/>
            </w:tcBorders>
            <w:shd w:val="clear" w:color="auto" w:fill="auto"/>
            <w:vAlign w:val="center"/>
          </w:tcPr>
          <w:p w14:paraId="67BA5F25">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业绩</w:t>
            </w:r>
          </w:p>
        </w:tc>
        <w:tc>
          <w:tcPr>
            <w:tcW w:w="3650" w:type="pct"/>
            <w:tcBorders>
              <w:tl2br w:val="nil"/>
              <w:tr2bl w:val="nil"/>
            </w:tcBorders>
            <w:shd w:val="clear" w:color="auto" w:fill="auto"/>
            <w:vAlign w:val="center"/>
          </w:tcPr>
          <w:p w14:paraId="2A75C13E">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提供202</w:t>
            </w:r>
            <w:r>
              <w:rPr>
                <w:rFonts w:hint="eastAsia" w:ascii="宋体" w:hAnsi="宋体" w:cs="宋体"/>
                <w:color w:val="000000"/>
                <w:kern w:val="0"/>
                <w:sz w:val="24"/>
                <w:lang w:val="en-US" w:eastAsia="zh-CN"/>
              </w:rPr>
              <w:t>2</w:t>
            </w:r>
            <w:r>
              <w:rPr>
                <w:rFonts w:hint="eastAsia" w:ascii="宋体" w:hAnsi="宋体" w:cs="宋体"/>
                <w:color w:val="000000"/>
                <w:kern w:val="0"/>
                <w:sz w:val="24"/>
              </w:rPr>
              <w:t>年（含）以后（以合同签订日期为准）投标人承担过类似项目的业绩。证明材料：提供项目合同复印件、中标（成交）通知书复印件（加盖公章），每提供一个业绩证明得</w:t>
            </w:r>
            <w:r>
              <w:rPr>
                <w:rFonts w:ascii="宋体" w:hAnsi="宋体" w:cs="宋体"/>
                <w:color w:val="000000"/>
                <w:kern w:val="0"/>
                <w:sz w:val="24"/>
              </w:rPr>
              <w:t>1</w:t>
            </w:r>
            <w:r>
              <w:rPr>
                <w:rFonts w:hint="eastAsia" w:ascii="宋体" w:hAnsi="宋体" w:cs="宋体"/>
                <w:color w:val="000000"/>
                <w:kern w:val="0"/>
                <w:sz w:val="24"/>
              </w:rPr>
              <w:t>分，满分3分。</w:t>
            </w:r>
          </w:p>
        </w:tc>
        <w:tc>
          <w:tcPr>
            <w:tcW w:w="558" w:type="pct"/>
            <w:tcBorders>
              <w:tl2br w:val="nil"/>
              <w:tr2bl w:val="nil"/>
            </w:tcBorders>
            <w:shd w:val="clear" w:color="auto" w:fill="auto"/>
            <w:vAlign w:val="center"/>
          </w:tcPr>
          <w:p w14:paraId="46DADC5F">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3分</w:t>
            </w:r>
          </w:p>
        </w:tc>
      </w:tr>
      <w:tr w14:paraId="4A3F1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restart"/>
            <w:tcBorders>
              <w:tl2br w:val="nil"/>
              <w:tr2bl w:val="nil"/>
            </w:tcBorders>
            <w:shd w:val="clear" w:color="auto" w:fill="auto"/>
            <w:vAlign w:val="center"/>
          </w:tcPr>
          <w:p w14:paraId="56C97A3D">
            <w:pPr>
              <w:widowControl/>
              <w:jc w:val="center"/>
              <w:textAlignment w:val="center"/>
              <w:rPr>
                <w:rFonts w:hint="eastAsia" w:ascii="宋体" w:hAnsi="宋体" w:cs="宋体"/>
                <w:color w:val="000000"/>
                <w:sz w:val="24"/>
              </w:rPr>
            </w:pPr>
            <w:r>
              <w:rPr>
                <w:rFonts w:hint="eastAsia" w:ascii="宋体" w:hAnsi="宋体" w:cs="宋体"/>
                <w:color w:val="000000"/>
                <w:kern w:val="0"/>
                <w:sz w:val="24"/>
              </w:rPr>
              <w:t>3</w:t>
            </w:r>
          </w:p>
        </w:tc>
        <w:tc>
          <w:tcPr>
            <w:tcW w:w="465" w:type="pct"/>
            <w:vMerge w:val="restart"/>
            <w:tcBorders>
              <w:tl2br w:val="nil"/>
              <w:tr2bl w:val="nil"/>
            </w:tcBorders>
            <w:shd w:val="clear" w:color="auto" w:fill="auto"/>
            <w:vAlign w:val="center"/>
          </w:tcPr>
          <w:p w14:paraId="223184BD">
            <w:pPr>
              <w:widowControl/>
              <w:jc w:val="center"/>
              <w:textAlignment w:val="center"/>
              <w:rPr>
                <w:rFonts w:hint="eastAsia" w:ascii="宋体" w:hAnsi="宋体" w:cs="宋体"/>
                <w:color w:val="000000"/>
                <w:sz w:val="24"/>
              </w:rPr>
            </w:pPr>
            <w:r>
              <w:rPr>
                <w:rFonts w:hint="eastAsia" w:ascii="宋体" w:hAnsi="宋体" w:cs="宋体"/>
                <w:color w:val="000000"/>
                <w:kern w:val="0"/>
                <w:sz w:val="24"/>
              </w:rPr>
              <w:t>项目实施方案</w:t>
            </w:r>
          </w:p>
        </w:tc>
        <w:tc>
          <w:tcPr>
            <w:tcW w:w="3650" w:type="pct"/>
            <w:vMerge w:val="restart"/>
            <w:tcBorders>
              <w:tl2br w:val="nil"/>
              <w:tr2bl w:val="nil"/>
            </w:tcBorders>
            <w:shd w:val="clear" w:color="auto" w:fill="auto"/>
            <w:vAlign w:val="center"/>
          </w:tcPr>
          <w:p w14:paraId="10BF16CB">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评审小组根据供应商提供的实施方案进行评比赋分，供应商必须制定科学、完整的项目整体执行方案，方案应包含但不限于：①供货计划、②运输实施计划、③货物配送计划、④</w:t>
            </w:r>
            <w:r>
              <w:rPr>
                <w:rFonts w:hint="eastAsia" w:ascii="宋体" w:hAnsi="宋体" w:cs="宋体"/>
                <w:color w:val="000000"/>
                <w:kern w:val="0"/>
                <w:sz w:val="24"/>
                <w:lang w:val="en-US" w:eastAsia="zh-CN"/>
              </w:rPr>
              <w:t>施工安装</w:t>
            </w:r>
            <w:r>
              <w:rPr>
                <w:rFonts w:hint="eastAsia" w:ascii="宋体" w:hAnsi="宋体" w:cs="宋体"/>
                <w:color w:val="000000"/>
                <w:kern w:val="0"/>
                <w:sz w:val="24"/>
              </w:rPr>
              <w:t>计划等方案。</w:t>
            </w:r>
          </w:p>
          <w:p w14:paraId="16854AFD">
            <w:pPr>
              <w:widowControl/>
              <w:jc w:val="left"/>
              <w:textAlignment w:val="center"/>
              <w:rPr>
                <w:rFonts w:hint="eastAsia" w:ascii="宋体" w:hAnsi="宋体" w:cs="宋体"/>
                <w:color w:val="000000"/>
                <w:sz w:val="24"/>
              </w:rPr>
            </w:pPr>
            <w:r>
              <w:rPr>
                <w:rFonts w:hint="eastAsia" w:ascii="宋体" w:hAnsi="宋体" w:cs="宋体"/>
                <w:color w:val="000000"/>
                <w:kern w:val="0"/>
                <w:sz w:val="24"/>
              </w:rPr>
              <w:t>（1）以上每项内容1分，满分4分，方案涵盖上述所有内容且方案内容符合或优于采购需求条件的得4分； （2）以上内容存在一处缺陷（内容缺陷是指：内容不符合采购需求或不适用项目特性的情形、内容不完整或缺少关键节点、套用其他项目方案、内容前 后矛盾、涉及的规范及标准错误、不利于项目实施、不可能实现的情形等任意一种情形）相应项扣0.5分，扣完为止。（3）不提供方案的，不得分。</w:t>
            </w:r>
          </w:p>
        </w:tc>
        <w:tc>
          <w:tcPr>
            <w:tcW w:w="558" w:type="pct"/>
            <w:vMerge w:val="restart"/>
            <w:tcBorders>
              <w:tl2br w:val="nil"/>
              <w:tr2bl w:val="nil"/>
            </w:tcBorders>
            <w:shd w:val="clear" w:color="auto" w:fill="auto"/>
            <w:vAlign w:val="center"/>
          </w:tcPr>
          <w:p w14:paraId="01EADA6F">
            <w:pPr>
              <w:widowControl/>
              <w:jc w:val="center"/>
              <w:textAlignment w:val="center"/>
              <w:rPr>
                <w:rFonts w:hint="eastAsia" w:ascii="宋体" w:hAnsi="宋体" w:cs="宋体"/>
                <w:color w:val="000000"/>
                <w:sz w:val="24"/>
              </w:rPr>
            </w:pPr>
            <w:r>
              <w:rPr>
                <w:rFonts w:hint="eastAsia" w:ascii="宋体" w:hAnsi="宋体" w:cs="宋体"/>
                <w:color w:val="000000"/>
                <w:kern w:val="0"/>
                <w:sz w:val="24"/>
              </w:rPr>
              <w:t>4分</w:t>
            </w:r>
          </w:p>
        </w:tc>
      </w:tr>
      <w:tr w14:paraId="27AD4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75DADD2D">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3D7C212F">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56CE26AF">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17EDE7CD">
            <w:pPr>
              <w:jc w:val="center"/>
              <w:rPr>
                <w:rFonts w:hint="eastAsia" w:ascii="宋体" w:hAnsi="宋体" w:cs="宋体"/>
                <w:color w:val="000000"/>
                <w:sz w:val="24"/>
              </w:rPr>
            </w:pPr>
          </w:p>
        </w:tc>
      </w:tr>
      <w:tr w14:paraId="37FD4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150D050E">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1D189881">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7A737295">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151C624A">
            <w:pPr>
              <w:jc w:val="center"/>
              <w:rPr>
                <w:rFonts w:hint="eastAsia" w:ascii="宋体" w:hAnsi="宋体" w:cs="宋体"/>
                <w:color w:val="000000"/>
                <w:sz w:val="24"/>
              </w:rPr>
            </w:pPr>
          </w:p>
        </w:tc>
      </w:tr>
      <w:tr w14:paraId="23F8D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114A69E6">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35157295">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36B5C6D9">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19ACFC19">
            <w:pPr>
              <w:jc w:val="center"/>
              <w:rPr>
                <w:rFonts w:hint="eastAsia" w:ascii="宋体" w:hAnsi="宋体" w:cs="宋体"/>
                <w:color w:val="000000"/>
                <w:sz w:val="24"/>
              </w:rPr>
            </w:pPr>
          </w:p>
        </w:tc>
      </w:tr>
      <w:tr w14:paraId="51D9B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5448F3EE">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0D156DC4">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538248A8">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35FF97BB">
            <w:pPr>
              <w:jc w:val="center"/>
              <w:rPr>
                <w:rFonts w:hint="eastAsia" w:ascii="宋体" w:hAnsi="宋体" w:cs="宋体"/>
                <w:color w:val="000000"/>
                <w:sz w:val="24"/>
              </w:rPr>
            </w:pPr>
          </w:p>
        </w:tc>
      </w:tr>
      <w:tr w14:paraId="4E448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6B4E7FE7">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6D50F031">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7F6BE015">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698A3F6C">
            <w:pPr>
              <w:jc w:val="center"/>
              <w:rPr>
                <w:rFonts w:hint="eastAsia" w:ascii="宋体" w:hAnsi="宋体" w:cs="宋体"/>
                <w:color w:val="000000"/>
                <w:sz w:val="24"/>
              </w:rPr>
            </w:pPr>
          </w:p>
        </w:tc>
      </w:tr>
      <w:tr w14:paraId="77BB8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173F6F9F">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58B0C970">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6FF22985">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4C1C7980">
            <w:pPr>
              <w:jc w:val="center"/>
              <w:rPr>
                <w:rFonts w:hint="eastAsia" w:ascii="宋体" w:hAnsi="宋体" w:cs="宋体"/>
                <w:color w:val="000000"/>
                <w:sz w:val="24"/>
              </w:rPr>
            </w:pPr>
          </w:p>
        </w:tc>
      </w:tr>
      <w:tr w14:paraId="7D10E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2BA815F5">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5DEA3733">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51A53652">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40A2B593">
            <w:pPr>
              <w:jc w:val="center"/>
              <w:rPr>
                <w:rFonts w:hint="eastAsia" w:ascii="宋体" w:hAnsi="宋体" w:cs="宋体"/>
                <w:color w:val="000000"/>
                <w:sz w:val="24"/>
              </w:rPr>
            </w:pPr>
          </w:p>
        </w:tc>
      </w:tr>
      <w:tr w14:paraId="0724F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3BEB0794">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391709AE">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49F9625C">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791C4FBE">
            <w:pPr>
              <w:jc w:val="center"/>
              <w:rPr>
                <w:rFonts w:hint="eastAsia" w:ascii="宋体" w:hAnsi="宋体" w:cs="宋体"/>
                <w:color w:val="000000"/>
                <w:sz w:val="24"/>
              </w:rPr>
            </w:pPr>
          </w:p>
        </w:tc>
      </w:tr>
      <w:tr w14:paraId="5FA8A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7D8B30AA">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7CEBDA92">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1E41B90A">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3B3A900D">
            <w:pPr>
              <w:jc w:val="center"/>
              <w:rPr>
                <w:rFonts w:hint="eastAsia" w:ascii="宋体" w:hAnsi="宋体" w:cs="宋体"/>
                <w:color w:val="000000"/>
                <w:sz w:val="24"/>
              </w:rPr>
            </w:pPr>
          </w:p>
        </w:tc>
      </w:tr>
      <w:tr w14:paraId="5CD01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restart"/>
            <w:tcBorders>
              <w:tl2br w:val="nil"/>
              <w:tr2bl w:val="nil"/>
            </w:tcBorders>
            <w:shd w:val="clear" w:color="auto" w:fill="auto"/>
            <w:vAlign w:val="center"/>
          </w:tcPr>
          <w:p w14:paraId="14C80162">
            <w:pPr>
              <w:widowControl/>
              <w:jc w:val="center"/>
              <w:textAlignment w:val="center"/>
              <w:rPr>
                <w:rFonts w:hint="eastAsia" w:ascii="宋体" w:hAnsi="宋体" w:cs="宋体"/>
                <w:color w:val="000000"/>
                <w:sz w:val="24"/>
              </w:rPr>
            </w:pPr>
            <w:r>
              <w:rPr>
                <w:rFonts w:hint="eastAsia" w:ascii="宋体" w:hAnsi="宋体" w:cs="宋体"/>
                <w:color w:val="000000"/>
                <w:kern w:val="0"/>
                <w:sz w:val="24"/>
              </w:rPr>
              <w:t>4</w:t>
            </w:r>
          </w:p>
        </w:tc>
        <w:tc>
          <w:tcPr>
            <w:tcW w:w="465" w:type="pct"/>
            <w:vMerge w:val="restart"/>
            <w:tcBorders>
              <w:tl2br w:val="nil"/>
              <w:tr2bl w:val="nil"/>
            </w:tcBorders>
            <w:shd w:val="clear" w:color="auto" w:fill="auto"/>
            <w:vAlign w:val="center"/>
          </w:tcPr>
          <w:p w14:paraId="0169D2DB">
            <w:pPr>
              <w:widowControl/>
              <w:jc w:val="center"/>
              <w:textAlignment w:val="center"/>
              <w:rPr>
                <w:rFonts w:hint="eastAsia" w:ascii="宋体" w:hAnsi="宋体" w:cs="宋体"/>
                <w:color w:val="000000"/>
                <w:sz w:val="24"/>
              </w:rPr>
            </w:pPr>
            <w:r>
              <w:rPr>
                <w:rFonts w:hint="eastAsia" w:ascii="宋体" w:hAnsi="宋体" w:cs="宋体"/>
                <w:color w:val="000000"/>
                <w:kern w:val="0"/>
                <w:sz w:val="24"/>
              </w:rPr>
              <w:t>售后服务方案</w:t>
            </w:r>
          </w:p>
        </w:tc>
        <w:tc>
          <w:tcPr>
            <w:tcW w:w="3650" w:type="pct"/>
            <w:vMerge w:val="restart"/>
            <w:tcBorders>
              <w:tl2br w:val="nil"/>
              <w:tr2bl w:val="nil"/>
            </w:tcBorders>
            <w:shd w:val="clear" w:color="auto" w:fill="auto"/>
            <w:vAlign w:val="center"/>
          </w:tcPr>
          <w:p w14:paraId="6D9729E3">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评审小组根据供应商提供的售后服务方案进行评比赋分，供应商必须制定科学、完整的售后服务方案，方案应包含不限于：①售后服务体系、②售后服务承诺、③售后工作流程、④售后服务团队配备、⑤售后故障处理、⑥售后业务恢复响应承诺、⑦应急预案处理方式、⑧售后运维管理体系等方案。</w:t>
            </w:r>
          </w:p>
          <w:p w14:paraId="08920264">
            <w:pPr>
              <w:widowControl/>
              <w:jc w:val="left"/>
              <w:textAlignment w:val="center"/>
              <w:rPr>
                <w:rFonts w:hint="eastAsia" w:ascii="宋体" w:hAnsi="宋体" w:cs="宋体"/>
                <w:color w:val="000000"/>
                <w:sz w:val="24"/>
              </w:rPr>
            </w:pPr>
            <w:r>
              <w:rPr>
                <w:rFonts w:hint="eastAsia" w:ascii="宋体" w:hAnsi="宋体" w:cs="宋体"/>
                <w:color w:val="000000"/>
                <w:kern w:val="0"/>
                <w:sz w:val="24"/>
              </w:rPr>
              <w:t>1）以上每项内容1分，满分8分，方案涵盖上述所有内容且方案内容符合或优于采购需求条件的得8分； （2）以上内容存在一处缺陷（内容缺陷是指：内容不符合采购需求或不适用项目特性的情形、内容不完整或缺少关键节点、套用其他项目方案、内容前 后矛盾、涉及的规范及标准错误、不利于项目实施、不可能实现的情形等任意一种情形）相应项扣0.5分，扣完为止。（3）不提供方案的，不得分。</w:t>
            </w:r>
          </w:p>
        </w:tc>
        <w:tc>
          <w:tcPr>
            <w:tcW w:w="558" w:type="pct"/>
            <w:vMerge w:val="restart"/>
            <w:tcBorders>
              <w:tl2br w:val="nil"/>
              <w:tr2bl w:val="nil"/>
            </w:tcBorders>
            <w:shd w:val="clear" w:color="auto" w:fill="auto"/>
            <w:vAlign w:val="center"/>
          </w:tcPr>
          <w:p w14:paraId="7E3102EB">
            <w:pPr>
              <w:widowControl/>
              <w:jc w:val="center"/>
              <w:textAlignment w:val="center"/>
              <w:rPr>
                <w:rFonts w:hint="eastAsia" w:ascii="宋体" w:hAnsi="宋体" w:cs="宋体"/>
                <w:color w:val="000000"/>
                <w:sz w:val="24"/>
              </w:rPr>
            </w:pPr>
            <w:r>
              <w:rPr>
                <w:rFonts w:hint="eastAsia" w:ascii="宋体" w:hAnsi="宋体" w:cs="宋体"/>
                <w:color w:val="000000"/>
                <w:kern w:val="0"/>
                <w:sz w:val="24"/>
              </w:rPr>
              <w:t>8分</w:t>
            </w:r>
          </w:p>
        </w:tc>
      </w:tr>
      <w:tr w14:paraId="433B7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5A4D0A95">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59D2F7C7">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136C3C43">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2B372DAA">
            <w:pPr>
              <w:jc w:val="center"/>
              <w:rPr>
                <w:rFonts w:hint="eastAsia" w:ascii="宋体" w:hAnsi="宋体" w:cs="宋体"/>
                <w:color w:val="000000"/>
                <w:sz w:val="24"/>
              </w:rPr>
            </w:pPr>
          </w:p>
        </w:tc>
      </w:tr>
      <w:tr w14:paraId="449EB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02A7C374">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2A9D682E">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5592BCEF">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1B5AC6E7">
            <w:pPr>
              <w:jc w:val="center"/>
              <w:rPr>
                <w:rFonts w:hint="eastAsia" w:ascii="宋体" w:hAnsi="宋体" w:cs="宋体"/>
                <w:color w:val="000000"/>
                <w:sz w:val="24"/>
              </w:rPr>
            </w:pPr>
          </w:p>
        </w:tc>
      </w:tr>
      <w:tr w14:paraId="50527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68AE244C">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26904026">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22CAC6B0">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322394C5">
            <w:pPr>
              <w:jc w:val="center"/>
              <w:rPr>
                <w:rFonts w:hint="eastAsia" w:ascii="宋体" w:hAnsi="宋体" w:cs="宋体"/>
                <w:color w:val="000000"/>
                <w:sz w:val="24"/>
              </w:rPr>
            </w:pPr>
          </w:p>
        </w:tc>
      </w:tr>
      <w:tr w14:paraId="368D0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3C321B29">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0FBF0E6A">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635F88EE">
            <w:pPr>
              <w:jc w:val="left"/>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477DBED1">
            <w:pPr>
              <w:jc w:val="center"/>
              <w:rPr>
                <w:rFonts w:hint="eastAsia" w:ascii="宋体" w:hAnsi="宋体" w:cs="宋体"/>
                <w:color w:val="000000"/>
                <w:sz w:val="24"/>
              </w:rPr>
            </w:pPr>
          </w:p>
        </w:tc>
      </w:tr>
      <w:tr w14:paraId="12F35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restart"/>
            <w:tcBorders>
              <w:tl2br w:val="nil"/>
              <w:tr2bl w:val="nil"/>
            </w:tcBorders>
            <w:shd w:val="clear" w:color="auto" w:fill="auto"/>
            <w:vAlign w:val="center"/>
          </w:tcPr>
          <w:p w14:paraId="42347D97">
            <w:pPr>
              <w:widowControl/>
              <w:jc w:val="center"/>
              <w:textAlignment w:val="center"/>
              <w:rPr>
                <w:rFonts w:hint="eastAsia" w:ascii="宋体" w:hAnsi="宋体" w:cs="宋体"/>
                <w:color w:val="000000"/>
                <w:sz w:val="24"/>
              </w:rPr>
            </w:pPr>
            <w:r>
              <w:rPr>
                <w:rFonts w:hint="eastAsia" w:ascii="宋体" w:hAnsi="宋体" w:cs="宋体"/>
                <w:color w:val="000000"/>
                <w:sz w:val="24"/>
              </w:rPr>
              <w:t>5</w:t>
            </w:r>
          </w:p>
        </w:tc>
        <w:tc>
          <w:tcPr>
            <w:tcW w:w="465" w:type="pct"/>
            <w:vMerge w:val="restart"/>
            <w:tcBorders>
              <w:tl2br w:val="nil"/>
              <w:tr2bl w:val="nil"/>
            </w:tcBorders>
            <w:shd w:val="clear" w:color="auto" w:fill="auto"/>
            <w:vAlign w:val="center"/>
          </w:tcPr>
          <w:p w14:paraId="78196B67">
            <w:pPr>
              <w:widowControl/>
              <w:jc w:val="center"/>
              <w:textAlignment w:val="center"/>
              <w:rPr>
                <w:rFonts w:hint="eastAsia" w:ascii="宋体" w:hAnsi="宋体" w:cs="宋体"/>
                <w:color w:val="000000"/>
                <w:sz w:val="24"/>
              </w:rPr>
            </w:pPr>
            <w:r>
              <w:rPr>
                <w:rFonts w:hint="eastAsia" w:ascii="宋体" w:hAnsi="宋体" w:cs="宋体"/>
                <w:color w:val="000000"/>
                <w:sz w:val="24"/>
              </w:rPr>
              <w:t>延保服务</w:t>
            </w:r>
          </w:p>
        </w:tc>
        <w:tc>
          <w:tcPr>
            <w:tcW w:w="3650" w:type="pct"/>
            <w:vMerge w:val="restart"/>
            <w:tcBorders>
              <w:tl2br w:val="nil"/>
              <w:tr2bl w:val="nil"/>
            </w:tcBorders>
            <w:shd w:val="clear" w:color="auto" w:fill="auto"/>
            <w:vAlign w:val="center"/>
          </w:tcPr>
          <w:p w14:paraId="366A1BC2">
            <w:pPr>
              <w:widowControl/>
              <w:jc w:val="left"/>
              <w:textAlignment w:val="center"/>
              <w:rPr>
                <w:rFonts w:hint="eastAsia" w:ascii="宋体" w:hAnsi="宋体" w:cs="宋体"/>
                <w:color w:val="000000"/>
                <w:sz w:val="24"/>
              </w:rPr>
            </w:pPr>
            <w:r>
              <w:rPr>
                <w:rFonts w:hint="eastAsia" w:ascii="宋体" w:hAnsi="宋体" w:cs="宋体"/>
                <w:color w:val="000000"/>
                <w:sz w:val="24"/>
              </w:rPr>
              <w:t>项目整体三年免费维保期过后，每提供延保服务1年得1分，满分3分。（提供生产厂家售后服务承诺函）</w:t>
            </w:r>
          </w:p>
        </w:tc>
        <w:tc>
          <w:tcPr>
            <w:tcW w:w="558" w:type="pct"/>
            <w:vMerge w:val="restart"/>
            <w:tcBorders>
              <w:tl2br w:val="nil"/>
              <w:tr2bl w:val="nil"/>
            </w:tcBorders>
            <w:shd w:val="clear" w:color="auto" w:fill="auto"/>
            <w:vAlign w:val="center"/>
          </w:tcPr>
          <w:p w14:paraId="4A6E5BBB">
            <w:pPr>
              <w:widowControl/>
              <w:jc w:val="center"/>
              <w:textAlignment w:val="center"/>
              <w:rPr>
                <w:rFonts w:hint="eastAsia" w:ascii="宋体" w:hAnsi="宋体" w:cs="宋体"/>
                <w:color w:val="000000"/>
                <w:sz w:val="24"/>
              </w:rPr>
            </w:pPr>
            <w:r>
              <w:rPr>
                <w:rFonts w:hint="eastAsia" w:ascii="宋体" w:hAnsi="宋体" w:cs="宋体"/>
                <w:color w:val="000000"/>
                <w:sz w:val="24"/>
              </w:rPr>
              <w:t>3分</w:t>
            </w:r>
          </w:p>
        </w:tc>
      </w:tr>
      <w:tr w14:paraId="0391A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3CB935C2">
            <w:pPr>
              <w:jc w:val="center"/>
              <w:rPr>
                <w:rFonts w:hint="eastAsia" w:ascii="宋体" w:hAnsi="宋体" w:cs="宋体"/>
                <w:color w:val="000000"/>
                <w:sz w:val="24"/>
              </w:rPr>
            </w:pPr>
          </w:p>
        </w:tc>
        <w:tc>
          <w:tcPr>
            <w:tcW w:w="465" w:type="pct"/>
            <w:vMerge w:val="continue"/>
            <w:tcBorders>
              <w:tl2br w:val="nil"/>
              <w:tr2bl w:val="nil"/>
            </w:tcBorders>
            <w:shd w:val="clear" w:color="auto" w:fill="auto"/>
            <w:vAlign w:val="center"/>
          </w:tcPr>
          <w:p w14:paraId="4A57A458">
            <w:pPr>
              <w:jc w:val="center"/>
              <w:rPr>
                <w:rFonts w:hint="eastAsia" w:ascii="宋体" w:hAnsi="宋体" w:cs="宋体"/>
                <w:color w:val="000000"/>
                <w:sz w:val="24"/>
              </w:rPr>
            </w:pPr>
          </w:p>
        </w:tc>
        <w:tc>
          <w:tcPr>
            <w:tcW w:w="3650" w:type="pct"/>
            <w:vMerge w:val="continue"/>
            <w:tcBorders>
              <w:tl2br w:val="nil"/>
              <w:tr2bl w:val="nil"/>
            </w:tcBorders>
            <w:shd w:val="clear" w:color="auto" w:fill="auto"/>
            <w:vAlign w:val="center"/>
          </w:tcPr>
          <w:p w14:paraId="3AF849EE">
            <w:pPr>
              <w:jc w:val="center"/>
              <w:rPr>
                <w:rFonts w:hint="eastAsia" w:ascii="宋体" w:hAnsi="宋体" w:cs="宋体"/>
                <w:color w:val="000000"/>
                <w:sz w:val="24"/>
              </w:rPr>
            </w:pPr>
          </w:p>
        </w:tc>
        <w:tc>
          <w:tcPr>
            <w:tcW w:w="558" w:type="pct"/>
            <w:vMerge w:val="continue"/>
            <w:tcBorders>
              <w:tl2br w:val="nil"/>
              <w:tr2bl w:val="nil"/>
            </w:tcBorders>
            <w:shd w:val="clear" w:color="auto" w:fill="auto"/>
            <w:vAlign w:val="center"/>
          </w:tcPr>
          <w:p w14:paraId="197015EB">
            <w:pPr>
              <w:jc w:val="center"/>
              <w:rPr>
                <w:rFonts w:hint="eastAsia" w:ascii="宋体" w:hAnsi="宋体" w:cs="宋体"/>
                <w:color w:val="000000"/>
                <w:sz w:val="24"/>
              </w:rPr>
            </w:pPr>
          </w:p>
        </w:tc>
      </w:tr>
      <w:tr w14:paraId="56026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tcBorders>
              <w:tl2br w:val="nil"/>
              <w:tr2bl w:val="nil"/>
            </w:tcBorders>
            <w:shd w:val="clear" w:color="auto" w:fill="auto"/>
            <w:vAlign w:val="center"/>
          </w:tcPr>
          <w:p w14:paraId="7E284EDF">
            <w:pPr>
              <w:widowControl/>
              <w:jc w:val="center"/>
              <w:textAlignment w:val="center"/>
              <w:rPr>
                <w:rFonts w:hint="eastAsia" w:ascii="宋体" w:hAnsi="宋体" w:cs="宋体"/>
                <w:color w:val="000000"/>
                <w:sz w:val="24"/>
              </w:rPr>
            </w:pPr>
            <w:r>
              <w:rPr>
                <w:rFonts w:hint="eastAsia" w:ascii="宋体" w:hAnsi="宋体" w:cs="宋体"/>
                <w:color w:val="000000"/>
                <w:kern w:val="0"/>
                <w:sz w:val="24"/>
              </w:rPr>
              <w:t>6</w:t>
            </w:r>
          </w:p>
        </w:tc>
        <w:tc>
          <w:tcPr>
            <w:tcW w:w="465" w:type="pct"/>
            <w:tcBorders>
              <w:tl2br w:val="nil"/>
              <w:tr2bl w:val="nil"/>
            </w:tcBorders>
            <w:shd w:val="clear" w:color="auto" w:fill="auto"/>
            <w:vAlign w:val="center"/>
          </w:tcPr>
          <w:p w14:paraId="78CE1092">
            <w:pPr>
              <w:widowControl/>
              <w:jc w:val="center"/>
              <w:textAlignment w:val="center"/>
              <w:rPr>
                <w:rFonts w:hint="eastAsia" w:ascii="宋体" w:hAnsi="宋体" w:cs="宋体"/>
                <w:color w:val="000000"/>
                <w:sz w:val="24"/>
              </w:rPr>
            </w:pPr>
            <w:r>
              <w:rPr>
                <w:rFonts w:hint="eastAsia" w:ascii="宋体" w:hAnsi="宋体" w:cs="宋体"/>
                <w:color w:val="000000"/>
                <w:kern w:val="0"/>
                <w:sz w:val="24"/>
              </w:rPr>
              <w:t>报价</w:t>
            </w:r>
          </w:p>
        </w:tc>
        <w:tc>
          <w:tcPr>
            <w:tcW w:w="3650" w:type="pct"/>
            <w:tcBorders>
              <w:tl2br w:val="nil"/>
              <w:tr2bl w:val="nil"/>
            </w:tcBorders>
            <w:shd w:val="clear" w:color="auto" w:fill="auto"/>
            <w:vAlign w:val="center"/>
          </w:tcPr>
          <w:p w14:paraId="78C227BB">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满足招标文件要求且最后报价最低的供应商的价格为基准价，其价格分为满分。其他供应商的价格分统一按照下列公式计算：</w:t>
            </w:r>
          </w:p>
          <w:p w14:paraId="21D8E137">
            <w:pPr>
              <w:widowControl/>
              <w:jc w:val="left"/>
              <w:textAlignment w:val="center"/>
              <w:rPr>
                <w:rFonts w:hint="eastAsia" w:ascii="宋体" w:hAnsi="宋体" w:cs="宋体"/>
                <w:color w:val="000000"/>
                <w:sz w:val="24"/>
              </w:rPr>
            </w:pPr>
            <w:r>
              <w:rPr>
                <w:rFonts w:hint="eastAsia" w:ascii="宋体" w:hAnsi="宋体" w:cs="宋体"/>
                <w:color w:val="000000"/>
                <w:kern w:val="0"/>
                <w:sz w:val="24"/>
              </w:rPr>
              <w:t>投标报价得分=（投标基准价/投标报价）×价格权值×100</w:t>
            </w:r>
          </w:p>
        </w:tc>
        <w:tc>
          <w:tcPr>
            <w:tcW w:w="558" w:type="pct"/>
            <w:tcBorders>
              <w:tl2br w:val="nil"/>
              <w:tr2bl w:val="nil"/>
            </w:tcBorders>
            <w:shd w:val="clear" w:color="auto" w:fill="auto"/>
            <w:vAlign w:val="center"/>
          </w:tcPr>
          <w:p w14:paraId="0BC64135">
            <w:pPr>
              <w:widowControl/>
              <w:jc w:val="center"/>
              <w:textAlignment w:val="center"/>
              <w:rPr>
                <w:rFonts w:hint="eastAsia" w:ascii="宋体" w:hAnsi="宋体" w:cs="宋体"/>
                <w:color w:val="000000"/>
                <w:sz w:val="24"/>
              </w:rPr>
            </w:pPr>
            <w:r>
              <w:rPr>
                <w:rFonts w:hint="eastAsia" w:ascii="宋体" w:hAnsi="宋体" w:cs="宋体"/>
                <w:color w:val="000000"/>
                <w:kern w:val="0"/>
                <w:sz w:val="24"/>
              </w:rPr>
              <w:t>30分</w:t>
            </w:r>
          </w:p>
        </w:tc>
      </w:tr>
    </w:tbl>
    <w:p w14:paraId="75AB1E50">
      <w:pPr>
        <w:rPr>
          <w:b/>
          <w:sz w:val="32"/>
          <w:szCs w:val="32"/>
        </w:rPr>
      </w:pPr>
    </w:p>
    <w:p w14:paraId="4594920D">
      <w:pPr>
        <w:ind w:firstLine="4498" w:firstLineChars="1400"/>
        <w:rPr>
          <w:b/>
          <w:sz w:val="32"/>
          <w:szCs w:val="32"/>
        </w:rPr>
      </w:pPr>
    </w:p>
    <w:p w14:paraId="45E15602">
      <w:pPr>
        <w:ind w:firstLine="4498" w:firstLineChars="1400"/>
        <w:rPr>
          <w:b/>
          <w:sz w:val="32"/>
          <w:szCs w:val="32"/>
        </w:rPr>
      </w:pPr>
      <w:r>
        <w:rPr>
          <w:rFonts w:hint="eastAsia"/>
          <w:b/>
          <w:sz w:val="32"/>
          <w:szCs w:val="32"/>
        </w:rPr>
        <w:t>正文部分</w:t>
      </w:r>
    </w:p>
    <w:p w14:paraId="37A4E0D0">
      <w:pPr>
        <w:spacing w:line="360" w:lineRule="exact"/>
        <w:ind w:firstLine="480" w:firstLineChars="200"/>
        <w:rPr>
          <w:rFonts w:hint="eastAsia" w:ascii="宋体" w:hAnsi="宋体"/>
          <w:sz w:val="24"/>
        </w:rPr>
      </w:pPr>
      <w:r>
        <w:rPr>
          <w:rFonts w:hint="eastAsia" w:ascii="宋体" w:hAnsi="宋体"/>
          <w:sz w:val="24"/>
        </w:rPr>
        <w:t>1、评标原则和方法</w:t>
      </w:r>
    </w:p>
    <w:p w14:paraId="4F5F4C12">
      <w:pPr>
        <w:spacing w:line="360" w:lineRule="exact"/>
        <w:ind w:firstLine="480" w:firstLineChars="200"/>
        <w:rPr>
          <w:rFonts w:hint="eastAsia" w:ascii="宋体" w:hAnsi="宋体"/>
          <w:sz w:val="24"/>
        </w:rPr>
      </w:pPr>
      <w:r>
        <w:rPr>
          <w:rFonts w:hint="eastAsia" w:ascii="宋体" w:hAnsi="宋体"/>
          <w:sz w:val="24"/>
        </w:rPr>
        <w:t>1.1 评标基本原则：评标工作应依据《中华人民共和国政府采购法》以及国家及地方政府有关政府采购的有关规定，按照客观、公正、审慎的原则进行，评委会对所有投标人的投标评估，都采用相同的程序和标准。本次综合评分的主要因素是：价格、技术、信誉、服务、对招标文件的响应程度以及环保、节能等。</w:t>
      </w:r>
    </w:p>
    <w:p w14:paraId="4B633E6F">
      <w:pPr>
        <w:spacing w:line="360" w:lineRule="exact"/>
        <w:ind w:firstLine="480" w:firstLineChars="200"/>
        <w:rPr>
          <w:rFonts w:hint="eastAsia" w:ascii="宋体" w:hAnsi="宋体"/>
          <w:sz w:val="24"/>
        </w:rPr>
      </w:pPr>
      <w:r>
        <w:rPr>
          <w:rFonts w:hint="eastAsia" w:ascii="宋体" w:hAnsi="宋体"/>
          <w:sz w:val="24"/>
        </w:rPr>
        <w:t>1</w:t>
      </w:r>
      <w:r>
        <w:rPr>
          <w:rFonts w:ascii="宋体" w:hAnsi="宋体"/>
          <w:sz w:val="24"/>
        </w:rPr>
        <w:t>.2</w:t>
      </w:r>
      <w:r>
        <w:rPr>
          <w:rFonts w:hint="eastAsia" w:ascii="宋体" w:hAnsi="宋体"/>
          <w:sz w:val="24"/>
        </w:rPr>
        <w:t>评委会对每个“投标文件”的投标报价进行比较。</w:t>
      </w:r>
    </w:p>
    <w:p w14:paraId="163A2231">
      <w:pPr>
        <w:spacing w:line="360" w:lineRule="exact"/>
        <w:ind w:firstLine="480" w:firstLineChars="200"/>
        <w:rPr>
          <w:rFonts w:hint="eastAsia" w:ascii="宋体" w:hAnsi="宋体"/>
          <w:sz w:val="24"/>
        </w:rPr>
      </w:pPr>
      <w:r>
        <w:rPr>
          <w:rFonts w:hint="eastAsia" w:ascii="宋体" w:hAnsi="宋体"/>
          <w:sz w:val="24"/>
        </w:rPr>
        <w:t>1</w:t>
      </w:r>
      <w:r>
        <w:rPr>
          <w:rFonts w:ascii="宋体" w:hAnsi="宋体"/>
          <w:sz w:val="24"/>
        </w:rPr>
        <w:t>.3</w:t>
      </w:r>
      <w:r>
        <w:rPr>
          <w:rFonts w:hint="eastAsia" w:ascii="宋体" w:hAnsi="宋体"/>
          <w:sz w:val="24"/>
        </w:rPr>
        <w:t>对各投标者所报技术性能进行比较。</w:t>
      </w:r>
    </w:p>
    <w:p w14:paraId="1FE26BF3">
      <w:pPr>
        <w:spacing w:line="360" w:lineRule="exact"/>
        <w:ind w:firstLine="480" w:firstLineChars="200"/>
        <w:rPr>
          <w:rFonts w:hint="eastAsia" w:ascii="宋体" w:hAnsi="宋体"/>
          <w:sz w:val="24"/>
        </w:rPr>
      </w:pPr>
      <w:r>
        <w:rPr>
          <w:rFonts w:hint="eastAsia" w:ascii="宋体" w:hAnsi="宋体"/>
          <w:sz w:val="24"/>
        </w:rPr>
        <w:t>1.4对其他内容进行分析比较</w:t>
      </w:r>
    </w:p>
    <w:p w14:paraId="2C49C673">
      <w:pPr>
        <w:spacing w:line="360" w:lineRule="exact"/>
        <w:ind w:firstLine="480" w:firstLineChars="200"/>
        <w:rPr>
          <w:rFonts w:hint="eastAsia" w:ascii="宋体" w:hAnsi="宋体"/>
          <w:sz w:val="24"/>
        </w:rPr>
      </w:pPr>
      <w:r>
        <w:rPr>
          <w:rFonts w:hint="eastAsia" w:ascii="宋体" w:hAnsi="宋体"/>
          <w:sz w:val="24"/>
        </w:rPr>
        <w:t>1</w:t>
      </w:r>
      <w:r>
        <w:rPr>
          <w:rFonts w:ascii="宋体" w:hAnsi="宋体"/>
          <w:sz w:val="24"/>
        </w:rPr>
        <w:t>.5</w:t>
      </w:r>
      <w:r>
        <w:rPr>
          <w:rFonts w:hint="eastAsia" w:ascii="宋体" w:hAnsi="宋体"/>
          <w:sz w:val="24"/>
        </w:rPr>
        <w:t>采用综合评分法，以不公开方式进行评标。评委会成员应依据投标文件规定的评分标准和方法独立对其他因素进行比较打分。评标过程中不允许投标人与评委之间有可能影响到评标结果公正性的会面和谈话，以体现公平、公正的基本原则。</w:t>
      </w:r>
    </w:p>
    <w:p w14:paraId="0A894C2F">
      <w:pPr>
        <w:spacing w:line="360" w:lineRule="exact"/>
        <w:ind w:firstLine="480" w:firstLineChars="200"/>
        <w:rPr>
          <w:rFonts w:hint="eastAsia" w:ascii="宋体" w:hAnsi="宋体"/>
          <w:sz w:val="24"/>
        </w:rPr>
      </w:pPr>
      <w:r>
        <w:rPr>
          <w:rFonts w:hint="eastAsia" w:ascii="宋体" w:hAnsi="宋体"/>
          <w:sz w:val="24"/>
        </w:rPr>
        <w:t>1.6分值权重分配（具体见评分细则）评标委员会按得分高低顺序确定候中标人。</w:t>
      </w:r>
    </w:p>
    <w:p w14:paraId="366624A3">
      <w:pPr>
        <w:spacing w:line="360" w:lineRule="exact"/>
        <w:ind w:firstLine="480" w:firstLineChars="200"/>
        <w:rPr>
          <w:rFonts w:hint="eastAsia" w:ascii="宋体" w:hAnsi="宋体"/>
          <w:sz w:val="24"/>
        </w:rPr>
      </w:pPr>
      <w:r>
        <w:rPr>
          <w:rFonts w:hint="eastAsia" w:ascii="宋体" w:hAnsi="宋体"/>
          <w:sz w:val="24"/>
        </w:rPr>
        <w:t>1.7综合以上分析比较最后做出评标结论。</w:t>
      </w:r>
    </w:p>
    <w:p w14:paraId="357F8322">
      <w:pPr>
        <w:spacing w:line="360" w:lineRule="exact"/>
        <w:ind w:firstLine="480" w:firstLineChars="200"/>
        <w:rPr>
          <w:rFonts w:hint="eastAsia" w:ascii="宋体" w:hAnsi="宋体"/>
          <w:sz w:val="24"/>
        </w:rPr>
      </w:pPr>
      <w:r>
        <w:rPr>
          <w:rFonts w:hint="eastAsia" w:ascii="宋体" w:hAnsi="宋体"/>
          <w:sz w:val="24"/>
        </w:rPr>
        <w:t>2、保密及其它注意事项</w:t>
      </w:r>
    </w:p>
    <w:p w14:paraId="3D938AD6">
      <w:pPr>
        <w:spacing w:line="360" w:lineRule="exact"/>
        <w:ind w:firstLine="480" w:firstLineChars="200"/>
        <w:rPr>
          <w:rFonts w:hint="eastAsia" w:ascii="宋体" w:hAnsi="宋体"/>
          <w:sz w:val="24"/>
        </w:rPr>
      </w:pPr>
      <w:r>
        <w:rPr>
          <w:rFonts w:hint="eastAsia" w:ascii="宋体" w:hAnsi="宋体"/>
          <w:sz w:val="24"/>
        </w:rPr>
        <w:t>2.1评标是招标工作的重要环节，评标工作在评委会内独立进行。评委会将遵照评标原则，客观、公正、审慎地对待所有投标人。</w:t>
      </w:r>
    </w:p>
    <w:p w14:paraId="4BE04193">
      <w:pPr>
        <w:spacing w:line="360" w:lineRule="exact"/>
        <w:ind w:firstLine="480" w:firstLineChars="200"/>
        <w:rPr>
          <w:rFonts w:hint="eastAsia" w:ascii="宋体" w:hAnsi="宋体"/>
          <w:sz w:val="24"/>
        </w:rPr>
      </w:pPr>
      <w:r>
        <w:rPr>
          <w:rFonts w:hint="eastAsia" w:ascii="宋体" w:hAnsi="宋体"/>
          <w:sz w:val="24"/>
        </w:rPr>
        <w:t>2.2评标后，评委会可能对投标文件中有关问题分别向投标人进行询问。各投标人应予以认真答复。重要或复杂问题的答复需以书面形式，并经法定代表人或授权人签署。澄清文件将作为“投标文件”的组成部份。</w:t>
      </w:r>
    </w:p>
    <w:p w14:paraId="392A7BBF">
      <w:pPr>
        <w:spacing w:line="360" w:lineRule="exact"/>
        <w:ind w:firstLine="480" w:firstLineChars="200"/>
        <w:rPr>
          <w:rFonts w:hint="eastAsia" w:ascii="宋体" w:hAnsi="宋体"/>
          <w:sz w:val="24"/>
        </w:rPr>
      </w:pPr>
      <w:r>
        <w:rPr>
          <w:rFonts w:hint="eastAsia" w:ascii="宋体" w:hAnsi="宋体"/>
          <w:sz w:val="24"/>
        </w:rPr>
        <w:t>2.3在开标、评标期间，投标人不得向评委询问评标情况，不得进行旨在影响评标结果的活动。</w:t>
      </w:r>
    </w:p>
    <w:p w14:paraId="27100EE8">
      <w:pPr>
        <w:spacing w:line="360" w:lineRule="exact"/>
        <w:ind w:firstLine="480" w:firstLineChars="200"/>
        <w:rPr>
          <w:rFonts w:hint="eastAsia" w:ascii="宋体" w:hAnsi="宋体"/>
          <w:sz w:val="24"/>
        </w:rPr>
      </w:pPr>
      <w:r>
        <w:rPr>
          <w:rFonts w:hint="eastAsia" w:ascii="宋体" w:hAnsi="宋体"/>
          <w:sz w:val="24"/>
        </w:rPr>
        <w:t>2.4为保证定标的公正性，在评标过程中，评委不得与投标人私下交换意见。在招标工作结束后，凡与评标情况有接触的任何人，不得也不应将评标情况扩散出评委人员之外。</w:t>
      </w:r>
    </w:p>
    <w:p w14:paraId="63171131">
      <w:pPr>
        <w:spacing w:line="360" w:lineRule="exact"/>
        <w:ind w:firstLine="480" w:firstLineChars="200"/>
        <w:rPr>
          <w:rFonts w:hint="eastAsia" w:ascii="宋体" w:hAnsi="宋体"/>
          <w:sz w:val="24"/>
        </w:rPr>
      </w:pPr>
      <w:r>
        <w:rPr>
          <w:rFonts w:hint="eastAsia" w:ascii="宋体" w:hAnsi="宋体"/>
          <w:sz w:val="24"/>
        </w:rPr>
        <w:t>2</w:t>
      </w:r>
      <w:r>
        <w:rPr>
          <w:rFonts w:ascii="宋体" w:hAnsi="宋体"/>
          <w:sz w:val="24"/>
        </w:rPr>
        <w:t xml:space="preserve">.5 </w:t>
      </w:r>
      <w:r>
        <w:rPr>
          <w:rFonts w:hint="eastAsia" w:ascii="宋体" w:hAnsi="宋体"/>
          <w:sz w:val="24"/>
        </w:rPr>
        <w:t>评委会不向落标方解释落标原因，不退还投标文件。</w:t>
      </w:r>
    </w:p>
    <w:p w14:paraId="535C49AB">
      <w:pPr>
        <w:spacing w:line="360" w:lineRule="exact"/>
        <w:ind w:firstLine="480" w:firstLineChars="200"/>
        <w:rPr>
          <w:rFonts w:hint="eastAsia" w:ascii="宋体" w:hAnsi="宋体"/>
          <w:sz w:val="24"/>
        </w:rPr>
      </w:pPr>
      <w:r>
        <w:rPr>
          <w:rFonts w:hint="eastAsia" w:ascii="宋体" w:hAnsi="宋体"/>
          <w:sz w:val="24"/>
        </w:rPr>
        <w:t>3、评标步骤及评标方法</w:t>
      </w:r>
    </w:p>
    <w:p w14:paraId="21E1D704">
      <w:pPr>
        <w:spacing w:line="360" w:lineRule="exact"/>
        <w:ind w:firstLine="480" w:firstLineChars="20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1评标步骤：先进行投标人初步评审，再进行技术、商务及价格的详细评审。只有通过初步评审的投标人才能进入详细的评审。</w:t>
      </w:r>
    </w:p>
    <w:p w14:paraId="6BDE0752">
      <w:pPr>
        <w:spacing w:line="360" w:lineRule="exact"/>
        <w:ind w:firstLine="480" w:firstLineChars="20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2本项目评标采用综合评分法。</w:t>
      </w:r>
    </w:p>
    <w:p w14:paraId="0AA849CC">
      <w:pPr>
        <w:spacing w:line="360" w:lineRule="exact"/>
        <w:ind w:firstLine="480" w:firstLineChars="200"/>
        <w:rPr>
          <w:rFonts w:hint="eastAsia" w:ascii="宋体" w:hAnsi="宋体"/>
          <w:sz w:val="24"/>
        </w:rPr>
      </w:pPr>
      <w:r>
        <w:rPr>
          <w:rFonts w:hint="eastAsia" w:ascii="宋体" w:hAnsi="宋体"/>
          <w:sz w:val="24"/>
        </w:rPr>
        <w:t>综合得分按由高到低顺序排列。综合得分相同时，按投标报价由低到高顺序排列。综合得分和投标报价均相同的，按技术指标由优至劣顺序排列。综合得分最高的投标人为第一中标候选供应商，综合得分次高的投标人为第二中标候选供应商。本项目仅推荐3名中标候选供应商。</w:t>
      </w:r>
    </w:p>
    <w:p w14:paraId="25D1FCD3">
      <w:pPr>
        <w:spacing w:line="360" w:lineRule="exact"/>
        <w:ind w:firstLine="480" w:firstLineChars="200"/>
        <w:rPr>
          <w:rFonts w:hint="eastAsia" w:ascii="宋体" w:hAnsi="宋体"/>
          <w:b/>
          <w:sz w:val="24"/>
        </w:rPr>
      </w:pPr>
      <w:r>
        <w:rPr>
          <w:rFonts w:hint="eastAsia" w:ascii="宋体" w:hAnsi="宋体"/>
          <w:sz w:val="24"/>
        </w:rPr>
        <w:t>4、初步评审</w:t>
      </w:r>
    </w:p>
    <w:p w14:paraId="7A102DE1">
      <w:pPr>
        <w:spacing w:line="360" w:lineRule="exact"/>
        <w:ind w:left="1" w:firstLine="480" w:firstLineChars="200"/>
        <w:jc w:val="lef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1采购人和代理机构根据资格性审查表对投标人的资格进行审查。</w:t>
      </w:r>
    </w:p>
    <w:p w14:paraId="77400DD4">
      <w:pPr>
        <w:spacing w:line="500" w:lineRule="exact"/>
        <w:ind w:left="1" w:firstLine="480" w:firstLineChars="200"/>
        <w:jc w:val="left"/>
        <w:rPr>
          <w:rFonts w:hint="eastAsia" w:ascii="宋体" w:hAnsi="宋体"/>
          <w:sz w:val="24"/>
        </w:rPr>
      </w:pPr>
      <w:r>
        <w:rPr>
          <w:rFonts w:hint="eastAsia" w:ascii="宋体" w:hAnsi="宋体"/>
          <w:sz w:val="24"/>
        </w:rPr>
        <w:t>4.2评标委员会根据符合性审查表对投标文件符合性进行评审，以确定其是否满足招标文件中的实质性要求。</w:t>
      </w:r>
    </w:p>
    <w:p w14:paraId="1875B37A">
      <w:pPr>
        <w:spacing w:line="500" w:lineRule="exact"/>
        <w:ind w:firstLine="480" w:firstLineChars="200"/>
        <w:jc w:val="lef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3无效投标的认定</w:t>
      </w:r>
    </w:p>
    <w:p w14:paraId="13D65334">
      <w:pPr>
        <w:spacing w:line="360" w:lineRule="exact"/>
        <w:ind w:firstLine="480" w:firstLineChars="200"/>
        <w:rPr>
          <w:rFonts w:hint="eastAsia" w:ascii="宋体" w:hAnsi="宋体"/>
          <w:sz w:val="24"/>
        </w:rPr>
      </w:pPr>
      <w:r>
        <w:rPr>
          <w:rFonts w:hint="eastAsia" w:ascii="宋体" w:hAnsi="宋体"/>
          <w:sz w:val="24"/>
        </w:rPr>
        <w:t>投标文件出现但不限于下列情况的将被认定为无效投标：</w:t>
      </w:r>
    </w:p>
    <w:p w14:paraId="246AF404">
      <w:pPr>
        <w:spacing w:line="360" w:lineRule="exact"/>
        <w:ind w:firstLine="480" w:firstLineChars="200"/>
        <w:rPr>
          <w:rFonts w:hint="eastAsia" w:ascii="宋体" w:hAnsi="宋体"/>
          <w:sz w:val="24"/>
        </w:rPr>
      </w:pPr>
      <w:r>
        <w:rPr>
          <w:rFonts w:hint="eastAsia" w:ascii="宋体" w:hAnsi="宋体"/>
          <w:sz w:val="24"/>
        </w:rPr>
        <w:t>1）未按照招标文件的规定提交投标保证金的；</w:t>
      </w:r>
    </w:p>
    <w:p w14:paraId="58531770">
      <w:pPr>
        <w:spacing w:line="360" w:lineRule="exact"/>
        <w:ind w:firstLine="480" w:firstLineChars="200"/>
        <w:rPr>
          <w:rFonts w:hint="eastAsia" w:ascii="宋体" w:hAnsi="宋体"/>
          <w:sz w:val="24"/>
        </w:rPr>
      </w:pPr>
      <w:r>
        <w:rPr>
          <w:rFonts w:hint="eastAsia" w:ascii="宋体" w:hAnsi="宋体"/>
          <w:sz w:val="24"/>
        </w:rPr>
        <w:t>2）投标文件未按招标文件要求签署、盖章的；</w:t>
      </w:r>
    </w:p>
    <w:p w14:paraId="4AD8BB95">
      <w:pPr>
        <w:spacing w:line="360" w:lineRule="exact"/>
        <w:ind w:firstLine="480" w:firstLineChars="200"/>
        <w:rPr>
          <w:rFonts w:hint="eastAsia" w:ascii="宋体" w:hAnsi="宋体"/>
          <w:sz w:val="24"/>
        </w:rPr>
      </w:pPr>
      <w:r>
        <w:rPr>
          <w:rFonts w:hint="eastAsia" w:ascii="宋体" w:hAnsi="宋体"/>
          <w:sz w:val="24"/>
        </w:rPr>
        <w:t>3）不具备招标文件中规定的资格要求的；</w:t>
      </w:r>
    </w:p>
    <w:p w14:paraId="1DA3B76D">
      <w:pPr>
        <w:spacing w:line="360" w:lineRule="exact"/>
        <w:ind w:firstLine="480" w:firstLineChars="200"/>
        <w:rPr>
          <w:rFonts w:hint="eastAsia" w:ascii="宋体" w:hAnsi="宋体"/>
          <w:sz w:val="24"/>
        </w:rPr>
      </w:pPr>
      <w:r>
        <w:rPr>
          <w:rFonts w:hint="eastAsia" w:ascii="宋体" w:hAnsi="宋体"/>
          <w:sz w:val="24"/>
        </w:rPr>
        <w:t>4）报价超过招标文件中规定的预算金额或者最高限价的；</w:t>
      </w:r>
    </w:p>
    <w:p w14:paraId="49A6A679">
      <w:pPr>
        <w:spacing w:line="360" w:lineRule="exact"/>
        <w:ind w:firstLine="480" w:firstLineChars="200"/>
        <w:rPr>
          <w:rFonts w:hint="eastAsia" w:ascii="宋体" w:hAnsi="宋体"/>
          <w:sz w:val="24"/>
        </w:rPr>
      </w:pPr>
      <w:r>
        <w:rPr>
          <w:rFonts w:hint="eastAsia" w:ascii="宋体" w:hAnsi="宋体"/>
          <w:sz w:val="24"/>
        </w:rPr>
        <w:t>5）投标文件含有采购人不能接受的附加条件的;</w:t>
      </w:r>
    </w:p>
    <w:p w14:paraId="5DFBAE90">
      <w:pPr>
        <w:spacing w:line="360" w:lineRule="exact"/>
        <w:ind w:firstLine="480" w:firstLineChars="200"/>
        <w:rPr>
          <w:rFonts w:hint="eastAsia" w:ascii="宋体" w:hAnsi="宋体"/>
          <w:sz w:val="24"/>
        </w:rPr>
      </w:pPr>
      <w:r>
        <w:rPr>
          <w:rFonts w:hint="eastAsia" w:ascii="宋体" w:hAnsi="宋体"/>
          <w:sz w:val="24"/>
        </w:rPr>
        <w:t>6）法律、法规和招标文件规定的其他无效情形。</w:t>
      </w:r>
    </w:p>
    <w:p w14:paraId="2F5BAC21">
      <w:pPr>
        <w:spacing w:line="360" w:lineRule="exact"/>
        <w:ind w:firstLine="480" w:firstLineChars="200"/>
        <w:rPr>
          <w:rFonts w:hint="eastAsia" w:ascii="宋体" w:hAnsi="宋体"/>
          <w:sz w:val="24"/>
        </w:rPr>
      </w:pPr>
      <w:r>
        <w:rPr>
          <w:rFonts w:hint="eastAsia" w:ascii="宋体" w:hAnsi="宋体"/>
          <w:sz w:val="24"/>
        </w:rPr>
        <w:t>7）投标报价明显低于其他投标报价而投标人不能合理说明的。</w:t>
      </w:r>
    </w:p>
    <w:p w14:paraId="64B41C0E">
      <w:pPr>
        <w:spacing w:line="360" w:lineRule="exact"/>
        <w:ind w:firstLine="480" w:firstLineChars="200"/>
        <w:rPr>
          <w:rFonts w:hint="eastAsia" w:ascii="宋体" w:hAnsi="宋体"/>
          <w:sz w:val="24"/>
        </w:rPr>
      </w:pPr>
      <w:r>
        <w:rPr>
          <w:rFonts w:hint="eastAsia" w:ascii="宋体" w:hAnsi="宋体"/>
          <w:sz w:val="24"/>
        </w:rPr>
        <w:t>8）不同投标人的投标文件由同一单位或者个人编制；</w:t>
      </w:r>
    </w:p>
    <w:p w14:paraId="033D8520">
      <w:pPr>
        <w:spacing w:line="360" w:lineRule="exact"/>
        <w:ind w:firstLine="480" w:firstLineChars="200"/>
        <w:rPr>
          <w:rFonts w:hint="eastAsia" w:ascii="宋体" w:hAnsi="宋体"/>
          <w:sz w:val="24"/>
        </w:rPr>
      </w:pPr>
      <w:r>
        <w:rPr>
          <w:rFonts w:hint="eastAsia" w:ascii="宋体" w:hAnsi="宋体"/>
          <w:sz w:val="24"/>
        </w:rPr>
        <w:t>9）不同投标人委托同一单位或者个人办理投标事宜；</w:t>
      </w:r>
    </w:p>
    <w:p w14:paraId="62BE4A79">
      <w:pPr>
        <w:spacing w:line="360" w:lineRule="exact"/>
        <w:ind w:firstLine="480" w:firstLineChars="200"/>
        <w:rPr>
          <w:rFonts w:hint="eastAsia" w:ascii="宋体" w:hAnsi="宋体"/>
          <w:sz w:val="24"/>
        </w:rPr>
      </w:pPr>
      <w:r>
        <w:rPr>
          <w:rFonts w:hint="eastAsia" w:ascii="宋体" w:hAnsi="宋体"/>
          <w:sz w:val="24"/>
        </w:rPr>
        <w:t>10）不同投标人的投标文件载明的项目管理成员或者联系人员为同一人；</w:t>
      </w:r>
    </w:p>
    <w:p w14:paraId="6407CE59">
      <w:pPr>
        <w:spacing w:line="360" w:lineRule="exact"/>
        <w:ind w:firstLine="480" w:firstLineChars="200"/>
        <w:rPr>
          <w:rFonts w:hint="eastAsia" w:ascii="宋体" w:hAnsi="宋体"/>
          <w:sz w:val="24"/>
        </w:rPr>
      </w:pPr>
      <w:r>
        <w:rPr>
          <w:rFonts w:hint="eastAsia" w:ascii="宋体" w:hAnsi="宋体"/>
          <w:sz w:val="24"/>
        </w:rPr>
        <w:t>11）不同投标人的投标文件异常一致或者投标报价呈规律性差异；</w:t>
      </w:r>
    </w:p>
    <w:p w14:paraId="59624358">
      <w:pPr>
        <w:spacing w:line="360" w:lineRule="exact"/>
        <w:ind w:firstLine="480" w:firstLineChars="200"/>
        <w:rPr>
          <w:rFonts w:hint="eastAsia" w:ascii="宋体" w:hAnsi="宋体"/>
          <w:sz w:val="24"/>
        </w:rPr>
      </w:pPr>
      <w:r>
        <w:rPr>
          <w:rFonts w:hint="eastAsia" w:ascii="宋体" w:hAnsi="宋体"/>
          <w:sz w:val="24"/>
        </w:rPr>
        <w:t>12）不同投标人的投标文件相互混装；</w:t>
      </w:r>
    </w:p>
    <w:p w14:paraId="7508ADBA">
      <w:pPr>
        <w:spacing w:line="360" w:lineRule="exact"/>
        <w:ind w:firstLine="480" w:firstLineChars="200"/>
        <w:rPr>
          <w:rFonts w:hint="eastAsia" w:ascii="宋体" w:hAnsi="宋体"/>
          <w:sz w:val="24"/>
        </w:rPr>
      </w:pPr>
      <w:r>
        <w:rPr>
          <w:rFonts w:hint="eastAsia" w:ascii="宋体" w:hAnsi="宋体"/>
          <w:sz w:val="24"/>
        </w:rPr>
        <w:t>13）不同投标人的投标保证金从同一单位或者个人的账户转出。</w:t>
      </w:r>
    </w:p>
    <w:p w14:paraId="32E7DD90">
      <w:pPr>
        <w:spacing w:line="360" w:lineRule="exact"/>
        <w:ind w:firstLine="480" w:firstLineChars="200"/>
        <w:rPr>
          <w:rFonts w:hint="eastAsia" w:ascii="宋体" w:hAnsi="宋体"/>
          <w:sz w:val="24"/>
        </w:rPr>
      </w:pPr>
      <w:r>
        <w:rPr>
          <w:rFonts w:hint="eastAsia" w:ascii="宋体" w:hAnsi="宋体"/>
          <w:sz w:val="24"/>
        </w:rPr>
        <w:t>14）如投标人提交的投标文件为虚假材料的，按无效标处理</w:t>
      </w:r>
    </w:p>
    <w:p w14:paraId="702A6D15">
      <w:pPr>
        <w:spacing w:line="360" w:lineRule="exact"/>
        <w:ind w:firstLine="480" w:firstLineChars="200"/>
        <w:rPr>
          <w:rFonts w:hint="eastAsia" w:ascii="宋体" w:hAnsi="宋体"/>
          <w:sz w:val="24"/>
        </w:rPr>
      </w:pPr>
      <w:r>
        <w:rPr>
          <w:rFonts w:hint="eastAsia" w:ascii="宋体" w:hAnsi="宋体"/>
          <w:sz w:val="24"/>
        </w:rPr>
        <w:t>5、详细评审</w:t>
      </w:r>
    </w:p>
    <w:p w14:paraId="3BB7F266">
      <w:pPr>
        <w:spacing w:line="360" w:lineRule="exact"/>
        <w:ind w:left="1"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1详细评审是对通过初步评审的投标进行技术、商务（授权）、售后服务及信誉、价格的评审。</w:t>
      </w:r>
    </w:p>
    <w:p w14:paraId="790BB045">
      <w:pPr>
        <w:spacing w:line="360" w:lineRule="exact"/>
        <w:ind w:firstLine="477" w:firstLineChars="199"/>
        <w:jc w:val="left"/>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2价格评分标准：价格分采用低价优先法计算，即满足招标文件要求且投标价格最低的投标报价为评标基准价，其价格分为满分。其他投标人的价格分统一按：投标报价得分＝（评标基准价/投标报价）×价格权值。小数点后保留两位。</w:t>
      </w:r>
    </w:p>
    <w:p w14:paraId="52B48234">
      <w:pPr>
        <w:spacing w:line="360" w:lineRule="auto"/>
        <w:jc w:val="left"/>
        <w:outlineLvl w:val="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3根据评审方法计算进入详细评审的各投标人的综合得分，计算得分保留小数点后两位（两位后四舍五入）并按得分从高到低排名。综合得分相同的，按投标报价由低到高顺序排列。综合得分且投标报价相同的，按技术指标优劣顺序排列。</w:t>
      </w:r>
    </w:p>
    <w:p w14:paraId="50F6377A">
      <w:pPr>
        <w:spacing w:line="360" w:lineRule="auto"/>
        <w:ind w:firstLine="470" w:firstLineChars="196"/>
        <w:rPr>
          <w:rFonts w:hint="eastAsia" w:ascii="宋体" w:eastAsia="宋体"/>
          <w:sz w:val="24"/>
          <w:lang w:eastAsia="zh-CN"/>
        </w:rPr>
      </w:pPr>
      <w:r>
        <w:rPr>
          <w:rFonts w:hint="eastAsia" w:ascii="宋体" w:hAnsi="宋体"/>
          <w:sz w:val="24"/>
        </w:rPr>
        <w:t>5</w:t>
      </w:r>
      <w:r>
        <w:rPr>
          <w:rFonts w:ascii="宋体" w:hAnsi="宋体"/>
          <w:sz w:val="24"/>
        </w:rPr>
        <w:t>.</w:t>
      </w:r>
      <w:r>
        <w:rPr>
          <w:rFonts w:hint="eastAsia" w:ascii="宋体" w:hAnsi="宋体"/>
          <w:sz w:val="24"/>
        </w:rPr>
        <w:t>4</w:t>
      </w:r>
      <w:r>
        <w:rPr>
          <w:rFonts w:hint="eastAsia" w:ascii="宋体"/>
          <w:sz w:val="24"/>
        </w:rPr>
        <w:t>评标委员会认为投标人的报价明显低于其他通过符合性审查投标人，有可能影响产品质量或者不能诚信履约的，且投标人不能按评标委员会的要求证明其报价合理性的；根据《关于在相关自由贸易试验区和自由贸易港开展推动解决政府采购异常低价问题试点工作的通知》，试点地区政府采购评审中出现的异常低价情形如下：（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宋体"/>
          <w:sz w:val="24"/>
          <w:lang w:eastAsia="zh-CN"/>
        </w:rPr>
        <w:t>。</w:t>
      </w:r>
    </w:p>
    <w:p w14:paraId="5B43F62A">
      <w:pPr>
        <w:spacing w:line="360" w:lineRule="auto"/>
        <w:ind w:firstLine="470" w:firstLineChars="196"/>
        <w:rPr>
          <w:rFonts w:hint="eastAsia" w:ascii="宋体" w:hAnsi="宋体"/>
          <w:b/>
          <w:sz w:val="32"/>
          <w:szCs w:val="32"/>
        </w:rPr>
      </w:pPr>
      <w:r>
        <w:rPr>
          <w:rFonts w:hint="eastAsia" w:ascii="宋体" w:hAnsi="宋体"/>
          <w:sz w:val="24"/>
        </w:rPr>
        <w:t>5</w:t>
      </w:r>
      <w:r>
        <w:rPr>
          <w:rFonts w:ascii="宋体" w:hAnsi="宋体"/>
          <w:sz w:val="24"/>
        </w:rPr>
        <w:t>.</w:t>
      </w:r>
      <w:r>
        <w:rPr>
          <w:rFonts w:hint="eastAsia" w:ascii="宋体" w:hAnsi="宋体"/>
          <w:sz w:val="24"/>
        </w:rPr>
        <w:t>5</w:t>
      </w:r>
      <w:r>
        <w:rPr>
          <w:rFonts w:hint="eastAsia" w:ascii="宋体"/>
          <w:kern w:val="0"/>
          <w:sz w:val="24"/>
        </w:rPr>
        <w:t>供应商应在投标（响应）文件中如实描述技术商务情况，真实填写响应（偏离）情况。除采购文件有特殊规定外，对主要技术商务或响应（偏离）情况不如实描述的，可按无效投标（响应）处理，涉及提供虚假材料谋取中标中标的，按相关法律规定处理。资格性审查、符合性审查不通过或投标无效的，采购人、采购代理机构或评审专家应在评审报告中注明不通过或投标无效的具体原因。除价格评审外，其他评审扣分的，评审专家应在评审报告中注明扣分分值、扣分理由和依据。除客观评审项外，针对同一供应商的同一评审项，评审专家的评分分值偏离幅度不得超过该评审项平均分值的30%，否则，该项评审意见无效。</w:t>
      </w:r>
    </w:p>
    <w:p w14:paraId="370B65F5">
      <w:pPr>
        <w:jc w:val="center"/>
        <w:rPr>
          <w:rFonts w:hint="eastAsia" w:ascii="宋体" w:hAnsi="宋体"/>
          <w:b/>
          <w:sz w:val="32"/>
          <w:szCs w:val="32"/>
        </w:rPr>
      </w:pPr>
    </w:p>
    <w:p w14:paraId="10AE7F2C">
      <w:pPr>
        <w:jc w:val="center"/>
        <w:rPr>
          <w:rFonts w:hint="eastAsia" w:ascii="宋体" w:hAnsi="宋体"/>
          <w:b/>
          <w:sz w:val="32"/>
          <w:szCs w:val="32"/>
        </w:rPr>
      </w:pPr>
    </w:p>
    <w:p w14:paraId="75F9FF42">
      <w:pPr>
        <w:jc w:val="center"/>
        <w:rPr>
          <w:rFonts w:hint="eastAsia" w:ascii="宋体" w:hAnsi="宋体"/>
          <w:b/>
          <w:sz w:val="32"/>
          <w:szCs w:val="32"/>
        </w:rPr>
      </w:pPr>
    </w:p>
    <w:p w14:paraId="426B68C9">
      <w:pPr>
        <w:jc w:val="center"/>
        <w:rPr>
          <w:rFonts w:hint="eastAsia" w:ascii="宋体" w:hAnsi="宋体"/>
          <w:b/>
          <w:sz w:val="32"/>
          <w:szCs w:val="32"/>
        </w:rPr>
      </w:pPr>
    </w:p>
    <w:p w14:paraId="25C4ECC9">
      <w:pPr>
        <w:jc w:val="center"/>
        <w:rPr>
          <w:rFonts w:hint="eastAsia" w:ascii="宋体" w:hAnsi="宋体"/>
          <w:b/>
          <w:sz w:val="32"/>
          <w:szCs w:val="32"/>
        </w:rPr>
      </w:pPr>
    </w:p>
    <w:p w14:paraId="20172CB1">
      <w:pPr>
        <w:jc w:val="center"/>
        <w:rPr>
          <w:rFonts w:hint="eastAsia" w:ascii="宋体" w:hAnsi="宋体"/>
          <w:b/>
          <w:sz w:val="32"/>
          <w:szCs w:val="32"/>
        </w:rPr>
      </w:pPr>
    </w:p>
    <w:p w14:paraId="13113FF6">
      <w:pPr>
        <w:jc w:val="center"/>
        <w:rPr>
          <w:rFonts w:hint="eastAsia" w:ascii="宋体" w:hAnsi="宋体"/>
          <w:b/>
          <w:sz w:val="32"/>
          <w:szCs w:val="32"/>
        </w:rPr>
      </w:pPr>
    </w:p>
    <w:p w14:paraId="24B65BFE">
      <w:pPr>
        <w:jc w:val="center"/>
        <w:rPr>
          <w:rFonts w:hint="eastAsia" w:ascii="宋体" w:hAnsi="宋体"/>
          <w:b/>
          <w:sz w:val="32"/>
          <w:szCs w:val="32"/>
        </w:rPr>
      </w:pPr>
    </w:p>
    <w:p w14:paraId="1722A3CB">
      <w:pPr>
        <w:jc w:val="center"/>
        <w:rPr>
          <w:rFonts w:hint="eastAsia" w:ascii="宋体" w:hAnsi="宋体"/>
          <w:b/>
          <w:sz w:val="32"/>
          <w:szCs w:val="32"/>
        </w:rPr>
      </w:pPr>
    </w:p>
    <w:p w14:paraId="28A12574">
      <w:pPr>
        <w:jc w:val="center"/>
        <w:rPr>
          <w:rFonts w:hint="eastAsia" w:ascii="宋体" w:hAnsi="宋体"/>
          <w:b/>
          <w:sz w:val="32"/>
          <w:szCs w:val="32"/>
        </w:rPr>
      </w:pPr>
    </w:p>
    <w:p w14:paraId="32F793DF">
      <w:pPr>
        <w:jc w:val="center"/>
        <w:rPr>
          <w:rFonts w:hint="eastAsia" w:ascii="宋体" w:hAnsi="宋体"/>
          <w:b/>
          <w:sz w:val="32"/>
          <w:szCs w:val="32"/>
        </w:rPr>
      </w:pPr>
    </w:p>
    <w:p w14:paraId="22F04520">
      <w:pPr>
        <w:jc w:val="center"/>
        <w:rPr>
          <w:rFonts w:hint="eastAsia" w:ascii="宋体" w:hAnsi="宋体"/>
          <w:b/>
          <w:sz w:val="32"/>
          <w:szCs w:val="32"/>
        </w:rPr>
      </w:pPr>
    </w:p>
    <w:p w14:paraId="2A3B5075">
      <w:pPr>
        <w:jc w:val="center"/>
        <w:rPr>
          <w:rFonts w:hint="eastAsia" w:ascii="宋体" w:hAnsi="宋体"/>
          <w:b/>
          <w:sz w:val="32"/>
          <w:szCs w:val="32"/>
        </w:rPr>
      </w:pPr>
    </w:p>
    <w:p w14:paraId="42B3C26A">
      <w:pPr>
        <w:jc w:val="center"/>
        <w:rPr>
          <w:rFonts w:hint="eastAsia" w:ascii="宋体" w:hAnsi="宋体"/>
          <w:b/>
          <w:sz w:val="32"/>
          <w:szCs w:val="32"/>
        </w:rPr>
      </w:pPr>
    </w:p>
    <w:p w14:paraId="3F927A02">
      <w:pPr>
        <w:jc w:val="center"/>
        <w:rPr>
          <w:rFonts w:hint="eastAsia" w:ascii="宋体" w:hAnsi="宋体"/>
          <w:b/>
          <w:sz w:val="32"/>
          <w:szCs w:val="32"/>
        </w:rPr>
      </w:pPr>
    </w:p>
    <w:p w14:paraId="31B258BD">
      <w:pPr>
        <w:jc w:val="center"/>
        <w:rPr>
          <w:rFonts w:hint="eastAsia" w:ascii="宋体" w:hAnsi="宋体"/>
          <w:b/>
          <w:sz w:val="32"/>
          <w:szCs w:val="32"/>
        </w:rPr>
      </w:pPr>
      <w:r>
        <w:rPr>
          <w:rFonts w:hint="eastAsia" w:ascii="宋体" w:hAnsi="宋体"/>
          <w:b/>
          <w:sz w:val="32"/>
          <w:szCs w:val="32"/>
        </w:rPr>
        <w:t>第五章合同</w:t>
      </w:r>
      <w:r>
        <w:rPr>
          <w:rFonts w:ascii="宋体" w:hAnsi="宋体"/>
          <w:b/>
          <w:sz w:val="32"/>
          <w:szCs w:val="32"/>
        </w:rPr>
        <w:t>文本</w:t>
      </w:r>
    </w:p>
    <w:p w14:paraId="05D92A41">
      <w:pPr>
        <w:spacing w:line="360" w:lineRule="exact"/>
        <w:ind w:firstLine="7710" w:firstLineChars="3200"/>
        <w:rPr>
          <w:rFonts w:hint="eastAsia" w:ascii="宋体" w:hAnsi="宋体"/>
          <w:b/>
          <w:color w:val="000000"/>
          <w:sz w:val="24"/>
        </w:rPr>
      </w:pPr>
      <w:r>
        <w:rPr>
          <w:rFonts w:hint="eastAsia" w:ascii="宋体" w:hAnsi="宋体"/>
          <w:b/>
          <w:color w:val="000000"/>
          <w:sz w:val="24"/>
        </w:rPr>
        <w:t xml:space="preserve">合同编号：     </w:t>
      </w:r>
    </w:p>
    <w:p w14:paraId="0E7F096D">
      <w:pPr>
        <w:spacing w:line="360" w:lineRule="exact"/>
        <w:rPr>
          <w:rFonts w:ascii="黑体" w:eastAsia="黑体"/>
          <w:b/>
          <w:color w:val="000000"/>
          <w:sz w:val="52"/>
          <w:szCs w:val="52"/>
        </w:rPr>
      </w:pPr>
    </w:p>
    <w:p w14:paraId="59746903">
      <w:pPr>
        <w:spacing w:line="940" w:lineRule="exact"/>
        <w:jc w:val="center"/>
        <w:rPr>
          <w:rFonts w:ascii="黑体" w:eastAsia="黑体"/>
          <w:b/>
          <w:color w:val="000000" w:themeColor="text1"/>
          <w:sz w:val="36"/>
          <w:szCs w:val="36"/>
          <w14:textFill>
            <w14:solidFill>
              <w14:schemeClr w14:val="tx1"/>
            </w14:solidFill>
          </w14:textFill>
        </w:rPr>
      </w:pPr>
      <w:r>
        <w:rPr>
          <w:rFonts w:hint="eastAsia" w:ascii="黑体" w:eastAsia="黑体"/>
          <w:b/>
          <w:color w:val="000000" w:themeColor="text1"/>
          <w:sz w:val="36"/>
          <w:szCs w:val="36"/>
          <w14:textFill>
            <w14:solidFill>
              <w14:schemeClr w14:val="tx1"/>
            </w14:solidFill>
          </w14:textFill>
        </w:rPr>
        <w:t>采 购 合 同</w:t>
      </w:r>
    </w:p>
    <w:p w14:paraId="2D1078D2">
      <w:pPr>
        <w:spacing w:line="940" w:lineRule="exact"/>
        <w:jc w:val="center"/>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（此合同为模版，具体合同细节条款以双方最终协商为准）</w:t>
      </w:r>
    </w:p>
    <w:p w14:paraId="07FA66E2">
      <w:pPr>
        <w:spacing w:line="620" w:lineRule="exact"/>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项目名称：</w:t>
      </w:r>
    </w:p>
    <w:p w14:paraId="79F73B29">
      <w:pPr>
        <w:spacing w:line="620" w:lineRule="exact"/>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项目编号：</w:t>
      </w:r>
    </w:p>
    <w:p w14:paraId="7F204BC6">
      <w:pPr>
        <w:spacing w:line="620" w:lineRule="exact"/>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甲方（采购人）：</w:t>
      </w:r>
    </w:p>
    <w:p w14:paraId="346B8A56">
      <w:pPr>
        <w:spacing w:line="620" w:lineRule="exact"/>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乙方（中标人）： </w:t>
      </w:r>
    </w:p>
    <w:p w14:paraId="66E6CED9">
      <w:pPr>
        <w:spacing w:line="620" w:lineRule="exact"/>
        <w:ind w:firstLine="643"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签订时间：    年  月   日</w:t>
      </w:r>
    </w:p>
    <w:p w14:paraId="57C3487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甲方（采购人）：</w:t>
      </w:r>
    </w:p>
    <w:p w14:paraId="1B49CB2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p>
    <w:p w14:paraId="60E6F22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p w14:paraId="5939A54D">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乙方（中标人）： </w:t>
      </w:r>
    </w:p>
    <w:p w14:paraId="4FB6C768">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地址： </w:t>
      </w:r>
    </w:p>
    <w:p w14:paraId="5C64F912">
      <w:pPr>
        <w:pStyle w:val="17"/>
        <w:tabs>
          <w:tab w:val="left" w:pos="600"/>
          <w:tab w:val="left" w:pos="960"/>
          <w:tab w:val="left" w:pos="1080"/>
        </w:tabs>
        <w:autoSpaceDE/>
        <w:autoSpaceDN/>
        <w:adjustRightInd/>
        <w:spacing w:line="360" w:lineRule="auto"/>
        <w:ind w:firstLine="480" w:firstLineChars="200"/>
        <w:jc w:val="left"/>
        <w:textAlignment w:val="auto"/>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法定代表人：</w:t>
      </w:r>
    </w:p>
    <w:p w14:paraId="72ADB7E0">
      <w:pPr>
        <w:pStyle w:val="17"/>
        <w:tabs>
          <w:tab w:val="left" w:pos="600"/>
          <w:tab w:val="left" w:pos="960"/>
          <w:tab w:val="left" w:pos="1080"/>
        </w:tabs>
        <w:autoSpaceDE/>
        <w:autoSpaceDN/>
        <w:adjustRightInd/>
        <w:spacing w:line="360" w:lineRule="auto"/>
        <w:ind w:firstLine="480" w:firstLineChars="200"/>
        <w:jc w:val="left"/>
        <w:textAlignment w:val="auto"/>
        <w:rPr>
          <w:rFonts w:hint="eastAsia"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联系电话：</w:t>
      </w:r>
    </w:p>
    <w:p w14:paraId="53D8481D">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7D8E1C1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根据《中华人民共和国政府采购法》</w:t>
      </w:r>
      <w:r>
        <w:rPr>
          <w:rFonts w:hint="eastAsia" w:ascii="宋体" w:hAnsi="宋体" w:cs="宋体"/>
          <w:color w:val="000000" w:themeColor="text1"/>
          <w:w w:val="105"/>
          <w:sz w:val="24"/>
          <w:szCs w:val="28"/>
          <w14:textFill>
            <w14:solidFill>
              <w14:schemeClr w14:val="tx1"/>
            </w14:solidFill>
          </w14:textFill>
        </w:rPr>
        <w:t>《政府采购货物和服务招标投标管理办法》（财政部令第87号）</w:t>
      </w:r>
      <w:r>
        <w:rPr>
          <w:rFonts w:hint="eastAsia" w:ascii="宋体" w:hAnsi="宋体" w:cs="宋体"/>
          <w:color w:val="000000" w:themeColor="text1"/>
          <w:sz w:val="24"/>
          <w14:textFill>
            <w14:solidFill>
              <w14:schemeClr w14:val="tx1"/>
            </w14:solidFill>
          </w14:textFill>
        </w:rPr>
        <w:t>《中华人民共和国民法典》及项目名称： （项目编号： ）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12428F6E">
      <w:pPr>
        <w:pStyle w:val="220"/>
        <w:spacing w:line="360" w:lineRule="auto"/>
        <w:ind w:firstLine="482"/>
        <w:rPr>
          <w:rFonts w:hint="eastAsia" w:ascii="宋体" w:hAnsi="宋体" w:cs="宋体"/>
          <w:b/>
          <w:color w:val="000000" w:themeColor="text1"/>
          <w:sz w:val="24"/>
          <w14:textFill>
            <w14:solidFill>
              <w14:schemeClr w14:val="tx1"/>
            </w14:solidFill>
          </w14:textFill>
        </w:rPr>
      </w:pPr>
      <w:bookmarkStart w:id="35" w:name="_Toc217446108"/>
      <w:r>
        <w:rPr>
          <w:rFonts w:hint="eastAsia" w:ascii="宋体" w:hAnsi="宋体" w:cs="宋体"/>
          <w:b/>
          <w:color w:val="000000" w:themeColor="text1"/>
          <w:sz w:val="24"/>
          <w14:textFill>
            <w14:solidFill>
              <w14:schemeClr w14:val="tx1"/>
            </w14:solidFill>
          </w14:textFill>
        </w:rPr>
        <w:t>一、定义</w:t>
      </w:r>
    </w:p>
    <w:p w14:paraId="55764B9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本合同下列术语应解释为：</w:t>
      </w:r>
    </w:p>
    <w:p w14:paraId="078F44E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（一）“合同”系指甲乙双方签署的、载明甲乙双方各种权利义务的协议，包括所有的附件、附录和上述文件所提到的构成合同的所有文件。</w:t>
      </w:r>
    </w:p>
    <w:p w14:paraId="53ADEDC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合同总价”系指根据本合同约定，乙方在正确履行完毕全部合同义务后甲方应支付给乙方的价款。包括使用人员培训、货物设计、材料、制造、包装、运输、安装、调试、检测、验收合格交付使用之前及保修期内保修服务与备用物件等所有其他有关各项的含税价格。</w:t>
      </w:r>
    </w:p>
    <w:p w14:paraId="7468231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（三）“采购标的物”系指乙方根据本合同约定，须向甲方提供的全部产品及其它相关材料。</w:t>
      </w:r>
    </w:p>
    <w:p w14:paraId="5A030A90">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二、合同文件</w:t>
      </w:r>
    </w:p>
    <w:p w14:paraId="75A8365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（一）本合同(包括附件)与下列文件一起构成合同文件(本合同如有未约定事项，则依下列文件约定)：</w:t>
      </w:r>
    </w:p>
    <w:p w14:paraId="0C8E6D5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1.甲方的招标文件</w:t>
      </w:r>
    </w:p>
    <w:p w14:paraId="14CBDBA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2.乙方的投标文件</w:t>
      </w:r>
    </w:p>
    <w:p w14:paraId="6E740CB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3.中标通知书</w:t>
      </w:r>
    </w:p>
    <w:p w14:paraId="3DF16BD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4.中标清单</w:t>
      </w:r>
    </w:p>
    <w:p w14:paraId="0D143F9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5.其他相关文件（如有）</w:t>
      </w:r>
    </w:p>
    <w:p w14:paraId="5D4FB2A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在合同订立及履行过程中形成的与合同有关的文件一经双方共同确认，均构成合同文件组成部分。</w:t>
      </w:r>
    </w:p>
    <w:p w14:paraId="272D725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（二）上述各项合同文件包括合同当事人就该项合同文件所作出的补充和修改，属于同一类内容的文件</w:t>
      </w:r>
      <w:bookmarkStart w:id="36" w:name="_Hlk34034103"/>
      <w:r>
        <w:rPr>
          <w:rFonts w:hint="eastAsia" w:ascii="宋体" w:hAnsi="宋体" w:cs="宋体"/>
          <w:color w:val="000000" w:themeColor="text1"/>
          <w:sz w:val="24"/>
          <w14:textFill>
            <w14:solidFill>
              <w14:schemeClr w14:val="tx1"/>
            </w14:solidFill>
          </w14:textFill>
        </w:rPr>
        <w:t>，</w:t>
      </w:r>
      <w:bookmarkEnd w:id="36"/>
      <w:r>
        <w:rPr>
          <w:rFonts w:hint="eastAsia" w:ascii="宋体" w:hAnsi="宋体" w:cs="宋体"/>
          <w:color w:val="000000" w:themeColor="text1"/>
          <w:sz w:val="24"/>
          <w14:textFill>
            <w14:solidFill>
              <w14:schemeClr w14:val="tx1"/>
            </w14:solidFill>
          </w14:textFill>
        </w:rPr>
        <w:t>以最新签署的为准。</w:t>
      </w:r>
    </w:p>
    <w:p w14:paraId="45993D59">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三、合同总价</w:t>
      </w:r>
      <w:bookmarkEnd w:id="35"/>
    </w:p>
    <w:p w14:paraId="4FAA99F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合同总价为人民币大写：</w:t>
      </w:r>
      <w:r>
        <w:rPr>
          <w:rFonts w:hint="eastAsia" w:ascii="宋体" w:hAnsi="宋体" w:cs="宋体"/>
          <w:b/>
          <w:color w:val="000000" w:themeColor="text1"/>
          <w:sz w:val="24"/>
          <w:u w:val="single"/>
          <w14:textFill>
            <w14:solidFill>
              <w14:schemeClr w14:val="tx1"/>
            </w14:solidFill>
          </w14:textFill>
        </w:rPr>
        <w:t>元整</w:t>
      </w:r>
      <w:r>
        <w:rPr>
          <w:rFonts w:hint="eastAsia" w:ascii="宋体" w:hAnsi="宋体" w:cs="宋体"/>
          <w:color w:val="000000" w:themeColor="text1"/>
          <w:sz w:val="24"/>
          <w14:textFill>
            <w14:solidFill>
              <w14:schemeClr w14:val="tx1"/>
            </w14:solidFill>
          </w14:textFill>
        </w:rPr>
        <w:t>，即</w:t>
      </w:r>
      <w:r>
        <w:rPr>
          <w:rFonts w:hint="eastAsia" w:ascii="宋体" w:hAnsi="宋体" w:cs="宋体"/>
          <w:b/>
          <w:bCs/>
          <w:color w:val="000000" w:themeColor="text1"/>
          <w:sz w:val="24"/>
          <w14:textFill>
            <w14:solidFill>
              <w14:schemeClr w14:val="tx1"/>
            </w14:solidFill>
          </w14:textFill>
        </w:rPr>
        <w:t>RMB</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元。在合同总价外，甲方不再另行支付任何费用。</w:t>
      </w:r>
    </w:p>
    <w:p w14:paraId="41FF0D7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如合同涉及部分施工的工程量的，施工费用原则上包含在以上总价内；如需在合同总价外另行结算的，双方应另行签订补充协议，且最终结算金额以甲方审定结果为准。</w:t>
      </w:r>
    </w:p>
    <w:p w14:paraId="74D39C5B">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37" w:name="_Toc217446109"/>
      <w:r>
        <w:rPr>
          <w:rFonts w:hint="eastAsia" w:ascii="宋体" w:hAnsi="宋体" w:cs="宋体"/>
          <w:b/>
          <w:color w:val="000000" w:themeColor="text1"/>
          <w:sz w:val="24"/>
          <w14:textFill>
            <w14:solidFill>
              <w14:schemeClr w14:val="tx1"/>
            </w14:solidFill>
          </w14:textFill>
        </w:rPr>
        <w:t>四、采购标的物数量、种类及价格</w:t>
      </w:r>
    </w:p>
    <w:p w14:paraId="711145D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甲方向乙方采购的采购标的物数量、种类及价格及附送的备件等见合同附件《中标清单》。</w:t>
      </w:r>
    </w:p>
    <w:p w14:paraId="366A632B">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五、质量要求</w:t>
      </w:r>
      <w:bookmarkEnd w:id="37"/>
    </w:p>
    <w:p w14:paraId="6271FB7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1.乙方须提供全新的货物（含零部件、配件等），表面无划伤、无碰撞痕迹，且权属清楚，不得侵害他人的知识产权。</w:t>
      </w:r>
    </w:p>
    <w:p w14:paraId="7501024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标的物须符合本项目招标文件的质量要求和技术指标与出厂标准；如果没有附件或者该附件没有提及技术标准，则应符合中国国家标准；如果没有前述标准，则应符合国内行业标准或通用标准。这些标准必须是有关国家机构或行业机构发布的最新版本。中标清单中标的物须标注技术、行业、通用或国家标准代号。</w:t>
      </w:r>
    </w:p>
    <w:p w14:paraId="5C19975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产品的塑料包装材料应符合海南禁塑制品名录要求，优先使用低（无）挥发性有机物（VOCs）含量油墨印刷标识和全生物降解塑料，对于采购产品的运输优先使用清洁能源汽车。如违反则乙方支付甲方合同标的总额10%的违约金。</w:t>
      </w:r>
    </w:p>
    <w:p w14:paraId="50A50AB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标的物质量出现问题，乙方应承担三包责任（包修、包换、包退），费用由乙方负担。如两次修理、更换仍然有问题，乙方须无条件退款、退货。并由乙方自行运输，自行承担全部费用。乙方因此需承担产品质量瑕疵担保责任，向甲方支付合同总额15%。</w:t>
      </w:r>
    </w:p>
    <w:p w14:paraId="26FE326B">
      <w:pPr>
        <w:pStyle w:val="1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bookmarkStart w:id="38" w:name="_Toc217446110"/>
      <w:r>
        <w:rPr>
          <w:rFonts w:hint="eastAsia" w:ascii="宋体" w:hAnsi="宋体" w:cs="宋体"/>
          <w:color w:val="000000" w:themeColor="text1"/>
          <w:sz w:val="24"/>
          <w14:textFill>
            <w14:solidFill>
              <w14:schemeClr w14:val="tx1"/>
            </w14:solidFill>
          </w14:textFill>
        </w:rPr>
        <w:t>货到现场后由于甲方保管不当造成的质量问题，乙方亦承担三包责任（包修、包换、包退）。</w:t>
      </w:r>
    </w:p>
    <w:p w14:paraId="5A078E9B">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六、交货及验收</w:t>
      </w:r>
      <w:bookmarkEnd w:id="38"/>
    </w:p>
    <w:p w14:paraId="3A2B94D8">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1.甲方项目负责人：     ，联系电话：</w:t>
      </w:r>
    </w:p>
    <w:p w14:paraId="60BEC37A">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2.乙方项目负责人：     ，联系电话：</w:t>
      </w:r>
    </w:p>
    <w:p w14:paraId="6EC3694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3.乙方在合同签订生效之日起</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天 </w:t>
      </w:r>
      <w:r>
        <w:rPr>
          <w:rFonts w:hint="eastAsia" w:ascii="宋体" w:hAnsi="宋体" w:cs="宋体"/>
          <w:color w:val="000000" w:themeColor="text1"/>
          <w:sz w:val="24"/>
          <w14:textFill>
            <w14:solidFill>
              <w14:schemeClr w14:val="tx1"/>
            </w14:solidFill>
          </w14:textFill>
        </w:rPr>
        <w:t>内交货到甲方指定地点，所有运费由乙方承担，需全部完成安装调试并经甲方验收认为已合格交付使用，如由于甲方的原因造成合同延迟签订或验收的，时间可以顺延。如因乙方原因造成合同延迟履行的，每逾期一天，乙方需按合同</w:t>
      </w:r>
      <w:r>
        <w:rPr>
          <w:rFonts w:hint="eastAsia" w:ascii="宋体" w:hAnsi="宋体" w:cs="宋体"/>
          <w:color w:val="000000" w:themeColor="text1"/>
          <w:sz w:val="24"/>
          <w:u w:val="single"/>
          <w14:textFill>
            <w14:solidFill>
              <w14:schemeClr w14:val="tx1"/>
            </w14:solidFill>
          </w14:textFill>
        </w:rPr>
        <w:t>总价千分之五</w:t>
      </w:r>
      <w:r>
        <w:rPr>
          <w:rFonts w:hint="eastAsia" w:ascii="宋体" w:hAnsi="宋体" w:cs="宋体"/>
          <w:color w:val="000000" w:themeColor="text1"/>
          <w:sz w:val="24"/>
          <w14:textFill>
            <w14:solidFill>
              <w14:schemeClr w14:val="tx1"/>
            </w14:solidFill>
          </w14:textFill>
        </w:rPr>
        <w:t>向甲方支付违约金。乙方延迟履行，甲方可以催告其在合理期间内履行。如乙方在此合理期限内仍未履行，甲方可以单方解除该合同，但需通知乙方。</w:t>
      </w:r>
    </w:p>
    <w:p w14:paraId="5B3201D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进行综合布线施工必须符合国家及有关部门的施工规范、规程和标准。施工人员须持相应资质资格，需提供综合布线施工图并经过甲方同意后方可施工，否则甲方有权拒绝验收，标的物毁损、丢失及产生一切费用的风险由乙方承担。施工期间，施工人员的各种安全风险均由乙方负责。</w:t>
      </w:r>
    </w:p>
    <w:p w14:paraId="1881ED8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为确认货物是否符合合同约定的技术要求，甲方有权检验、测试货物，检验、测试的费用由乙方承担。如果任何被检验、测试的货物不能满足技术要求，甲方可以拒收该货物。乙方应更换被拒收的货物，或者在甲方规定的合理时间内免费进行修改以满足技术要求。甲方在货物到达项目现场后对货物进行检验、测试及拒收货物的权利不因货物在启运前通过了甲方检验、测试和认可而受到任何限制或放弃。</w:t>
      </w:r>
    </w:p>
    <w:p w14:paraId="45B47A4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6.对国外进口的货物，乙方应提供中国国家出入境检验检疫局出具的检验证书等相关文件。</w:t>
      </w:r>
    </w:p>
    <w:p w14:paraId="63BCE89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7.验收由甲方组织，乙方配合进行：</w:t>
      </w:r>
    </w:p>
    <w:p w14:paraId="10849EC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(1)货物在乙方通知安装调试完毕后，乙方就所供货物的安装、试运行、运行、维护或修理对甲方人员进行培训，甲方在</w:t>
      </w:r>
      <w:r>
        <w:rPr>
          <w:rFonts w:hint="eastAsia" w:ascii="宋体" w:hAnsi="宋体" w:cs="宋体"/>
          <w:color w:val="000000" w:themeColor="text1"/>
          <w:sz w:val="24"/>
          <w:u w:val="single"/>
          <w14:textFill>
            <w14:solidFill>
              <w14:schemeClr w14:val="tx1"/>
            </w14:solidFill>
          </w14:textFill>
        </w:rPr>
        <w:t xml:space="preserve"> 7</w:t>
      </w:r>
      <w:r>
        <w:rPr>
          <w:rFonts w:hint="eastAsia" w:ascii="宋体" w:hAnsi="宋体" w:cs="宋体"/>
          <w:color w:val="000000" w:themeColor="text1"/>
          <w:sz w:val="24"/>
          <w14:textFill>
            <w14:solidFill>
              <w14:schemeClr w14:val="tx1"/>
            </w14:solidFill>
          </w14:textFill>
        </w:rPr>
        <w:t>个工作日内初步验收。初步验收合格后，进入</w:t>
      </w:r>
      <w:r>
        <w:rPr>
          <w:rFonts w:hint="eastAsia" w:ascii="宋体" w:hAnsi="宋体" w:cs="宋体"/>
          <w:color w:val="000000" w:themeColor="text1"/>
          <w:sz w:val="24"/>
          <w:u w:val="single"/>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个工作日试用期；试用期间发生重大质量问题，修复后试用相应顺延；试用期结束后</w:t>
      </w:r>
      <w:r>
        <w:rPr>
          <w:rFonts w:hint="eastAsia" w:ascii="宋体" w:hAnsi="宋体" w:cs="宋体"/>
          <w:color w:val="000000" w:themeColor="text1"/>
          <w:sz w:val="24"/>
          <w:u w:val="single"/>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个工作日内完成最终验收；</w:t>
      </w:r>
    </w:p>
    <w:p w14:paraId="6F5C4A2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467B217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4A9F5C7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如质量验收合格，双方签署质量验收报告。</w:t>
      </w:r>
    </w:p>
    <w:p w14:paraId="117A78F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8.乙方应将所提供货物的装箱清单、配件、随机工具、用户使用手册、原厂保修卡等资料交付给甲方；乙方不能完整交付货物及本款规定的单证和工具的，必须负责补齐，否则视为未按合同约定交货。</w:t>
      </w:r>
    </w:p>
    <w:p w14:paraId="1AB8CBB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9.如货物经乙方</w:t>
      </w:r>
      <w:r>
        <w:rPr>
          <w:rFonts w:hint="eastAsia" w:ascii="宋体" w:hAnsi="宋体" w:cs="宋体"/>
          <w:b/>
          <w:color w:val="000000" w:themeColor="text1"/>
          <w:sz w:val="24"/>
          <w:u w:val="single"/>
          <w14:textFill>
            <w14:solidFill>
              <w14:schemeClr w14:val="tx1"/>
            </w14:solidFill>
          </w14:textFill>
        </w:rPr>
        <w:t xml:space="preserve"> 2 </w:t>
      </w:r>
      <w:r>
        <w:rPr>
          <w:rFonts w:hint="eastAsia" w:ascii="宋体" w:hAnsi="宋体" w:cs="宋体"/>
          <w:color w:val="000000" w:themeColor="text1"/>
          <w:sz w:val="24"/>
          <w14:textFill>
            <w14:solidFill>
              <w14:schemeClr w14:val="tx1"/>
            </w14:solidFill>
          </w14:textFill>
        </w:rPr>
        <w:t>次维修仍不能达到合同约定的质量标准，甲方有权退货，并视作乙方不能交付货物而须支付违约赔偿金给甲方，甲方还可依法追究乙方的违约责任。 </w:t>
      </w:r>
    </w:p>
    <w:p w14:paraId="7DF3332D">
      <w:pPr>
        <w:spacing w:line="360" w:lineRule="auto"/>
        <w:ind w:firstLine="482" w:firstLineChars="200"/>
        <w:rPr>
          <w:rFonts w:hint="eastAsia" w:ascii="宋体" w:hAnsi="宋体" w:cs="宋体"/>
          <w:b/>
          <w:color w:val="000000" w:themeColor="text1"/>
          <w:sz w:val="24"/>
          <w14:textFill>
            <w14:solidFill>
              <w14:schemeClr w14:val="tx1"/>
            </w14:solidFill>
          </w14:textFill>
        </w:rPr>
      </w:pPr>
      <w:bookmarkStart w:id="39" w:name="_Toc217446111"/>
      <w:r>
        <w:rPr>
          <w:rFonts w:hint="eastAsia" w:ascii="宋体" w:hAnsi="宋体" w:cs="宋体"/>
          <w:b/>
          <w:color w:val="000000" w:themeColor="text1"/>
          <w:sz w:val="24"/>
          <w14:textFill>
            <w14:solidFill>
              <w14:schemeClr w14:val="tx1"/>
            </w14:solidFill>
          </w14:textFill>
        </w:rPr>
        <w:t>七、付款方式</w:t>
      </w:r>
      <w:bookmarkEnd w:id="39"/>
      <w:r>
        <w:rPr>
          <w:rFonts w:hint="eastAsia" w:ascii="宋体" w:hAnsi="宋体" w:cs="宋体"/>
          <w:b/>
          <w:color w:val="000000" w:themeColor="text1"/>
          <w:sz w:val="24"/>
          <w14:textFill>
            <w14:solidFill>
              <w14:schemeClr w14:val="tx1"/>
            </w14:solidFill>
          </w14:textFill>
        </w:rPr>
        <w:t>及发票开具</w:t>
      </w:r>
    </w:p>
    <w:p w14:paraId="612AFE01">
      <w:pPr>
        <w:pStyle w:val="81"/>
        <w:spacing w:line="360" w:lineRule="auto"/>
        <w:ind w:firstLine="480" w:firstLineChars="200"/>
        <w:rPr>
          <w:rFonts w:hint="eastAsia" w:ascii="宋体" w:hAnsi="宋体" w:cs="宋体"/>
          <w:color w:val="FF0000"/>
          <w:sz w:val="24"/>
          <w:szCs w:val="24"/>
        </w:rPr>
      </w:pPr>
      <w:bookmarkStart w:id="40" w:name="_Toc217446112"/>
      <w:r>
        <w:rPr>
          <w:rFonts w:hint="eastAsia" w:ascii="宋体" w:hAnsi="宋体" w:cs="宋体"/>
          <w:color w:val="000000" w:themeColor="text1"/>
          <w:sz w:val="24"/>
          <w:szCs w:val="24"/>
          <w14:textFill>
            <w14:solidFill>
              <w14:schemeClr w14:val="tx1"/>
            </w14:solidFill>
          </w14:textFill>
        </w:rPr>
        <w:t>预付款为中标合同金额的67%，剩余货款凭货物验收完成后乙方开具的发票支付完成。</w:t>
      </w:r>
    </w:p>
    <w:p w14:paraId="35A4058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2.乙方账号信息</w:t>
      </w:r>
    </w:p>
    <w:p w14:paraId="2E075F3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p>
    <w:p w14:paraId="2FE22BD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税  号： </w:t>
      </w:r>
    </w:p>
    <w:p w14:paraId="5E0679A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  址： </w:t>
      </w:r>
    </w:p>
    <w:p w14:paraId="25FD5CE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  话： </w:t>
      </w:r>
    </w:p>
    <w:p w14:paraId="1704C0C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开户行： </w:t>
      </w:r>
    </w:p>
    <w:p w14:paraId="456A6D4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账  号： </w:t>
      </w:r>
    </w:p>
    <w:p w14:paraId="0320727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3.甲方的开票信息</w:t>
      </w:r>
    </w:p>
    <w:p w14:paraId="4FFF1EE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名  称： </w:t>
      </w:r>
    </w:p>
    <w:p w14:paraId="59156A1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税  号：</w:t>
      </w:r>
    </w:p>
    <w:p w14:paraId="0065F70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  址： </w:t>
      </w:r>
    </w:p>
    <w:p w14:paraId="420C0F3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  话： </w:t>
      </w:r>
    </w:p>
    <w:p w14:paraId="4B1D617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  注：项目名称：  （招标采购文件编号： ）</w:t>
      </w:r>
    </w:p>
    <w:p w14:paraId="632B461C">
      <w:pPr>
        <w:pStyle w:val="13"/>
        <w:autoSpaceDE w:val="0"/>
        <w:autoSpaceDN w:val="0"/>
        <w:spacing w:line="360" w:lineRule="auto"/>
        <w:ind w:left="0" w:leftChars="0"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w:t>
      </w:r>
      <w:bookmarkEnd w:id="40"/>
      <w:bookmarkStart w:id="41" w:name="_Toc217446113"/>
      <w:r>
        <w:rPr>
          <w:rFonts w:hint="eastAsia" w:ascii="宋体" w:hAnsi="宋体" w:cs="宋体"/>
          <w:b/>
          <w:color w:val="000000" w:themeColor="text1"/>
          <w:sz w:val="24"/>
          <w14:textFill>
            <w14:solidFill>
              <w14:schemeClr w14:val="tx1"/>
            </w14:solidFill>
          </w14:textFill>
        </w:rPr>
        <w:t>货物验收，保修和技术服务</w:t>
      </w:r>
    </w:p>
    <w:p w14:paraId="5F2F104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（1）按照国家有关标准和招标文件的规定由采购人或委托第三方机构进行验收，由中标人承担验收费用。</w:t>
      </w:r>
    </w:p>
    <w:p w14:paraId="59C36CE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（2）验收过程中产生纠纷的，采购人认为需要检验机构进行检验的，由中标人承担检验费用。</w:t>
      </w:r>
    </w:p>
    <w:p w14:paraId="0BB3658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（3）供应商应保证货物是全新、未使用过、通过合法渠道获得，并完全符合规定的质量、规格和性能的要求。</w:t>
      </w:r>
    </w:p>
    <w:p w14:paraId="045A1CF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（4）项目验收不合格，由中标供应商返工直至合格，有关返工、再行验收以及给采购人造成损失等费用由中标供应商承担。</w:t>
      </w:r>
    </w:p>
    <w:p w14:paraId="4177C0C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（5）质保期限​</w:t>
      </w:r>
    </w:p>
    <w:p w14:paraId="0A4A41C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原厂质保为3 年。可延保（报价需含 3 年后续维保方案）。（提供生产厂家售后服务承诺函）​</w:t>
      </w:r>
    </w:p>
    <w:p w14:paraId="2366B46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质保期内免费更换故障硬件，不限次数。</w:t>
      </w:r>
    </w:p>
    <w:p w14:paraId="690C0AA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6.由甲方根据项目特点选择如下第</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种承诺方式：</w:t>
      </w:r>
    </w:p>
    <w:p w14:paraId="27E8163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（1）无。</w:t>
      </w:r>
    </w:p>
    <w:p w14:paraId="216BBA6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pacing w:val="3"/>
          <w:sz w:val="24"/>
          <w14:textFill>
            <w14:solidFill>
              <w14:schemeClr w14:val="tx1"/>
            </w14:solidFill>
          </w14:textFill>
        </w:rPr>
        <w:t>甲方到货验收合格后，</w:t>
      </w:r>
      <w:r>
        <w:rPr>
          <w:rFonts w:hint="eastAsia" w:ascii="宋体" w:hAnsi="宋体" w:cs="宋体"/>
          <w:color w:val="000000" w:themeColor="text1"/>
          <w:sz w:val="24"/>
          <w14:textFill>
            <w14:solidFill>
              <w14:schemeClr w14:val="tx1"/>
            </w14:solidFill>
          </w14:textFill>
        </w:rPr>
        <w:t>乙方提供银行出具的以甲方为受益人的《保函》（保函金额为合同总价款的3%，合计人民币： 元，大写： 元整），质保期内乙方未按照合同约定履行义务，甲方可以凭《保函》等相关材料向担保银行索偿，不足部分，甲方有权向乙方追偿。</w:t>
      </w:r>
    </w:p>
    <w:p w14:paraId="38A0FDC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7.保修期满后，乙方应保证以最优惠的价格，长期提供备件和保养服务，当发生故障时，乙方应该按质保期内同样的要求进行维修，可以合理收取维修费。</w:t>
      </w:r>
    </w:p>
    <w:p w14:paraId="727FBA1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在质保期内，发现货物的质量或规格与合同要求不符或货物被证实有缺陷，包括但不限于潜在的缺陷或使用不合适的材料，乙方应承担三包责任（包修、包换、包退），具体费用由乙方负担。乙方还应向甲方支付合同总价款15%的违约赔偿金。</w:t>
      </w:r>
    </w:p>
    <w:p w14:paraId="3E7900FC">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九、违约责任</w:t>
      </w:r>
      <w:bookmarkEnd w:id="41"/>
    </w:p>
    <w:p w14:paraId="160B69E1">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42" w:name="_Toc217446114"/>
      <w:r>
        <w:rPr>
          <w:rFonts w:hint="eastAsia" w:ascii="宋体" w:hAnsi="宋体" w:cs="宋体"/>
          <w:color w:val="000000" w:themeColor="text1"/>
          <w:sz w:val="24"/>
          <w14:textFill>
            <w14:solidFill>
              <w14:schemeClr w14:val="tx1"/>
            </w14:solidFill>
          </w14:textFill>
        </w:rPr>
        <w:t>1.本合同正式签订后，任何一方不履行或不完全履行本合同约定条款的，构成违约。</w:t>
      </w:r>
    </w:p>
    <w:p w14:paraId="6FB055D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一方违反本合同规定，守约方有权单方面终止本合同；违约方除给未违约方赔偿损失外，赔偿损失范围包括但不限于：已实际发生的支出及利息；已经或将要向有关权利人承担的侵权责任、违约赔偿责任；因履行本协议预期可得利益；解决争议，实现债权所需的诉讼或仲裁费、保全费、担保费、鉴定费、评估费、差旅费、律师费、公告费等另支付违约金，违约金为本合同总价款的15%。</w:t>
      </w:r>
    </w:p>
    <w:p w14:paraId="3341962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3.乙方违约，三年内不得参加甲方任何项目的投标。</w:t>
      </w:r>
    </w:p>
    <w:p w14:paraId="059A38FA">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十、争议解决办法</w:t>
      </w:r>
      <w:bookmarkEnd w:id="42"/>
    </w:p>
    <w:p w14:paraId="22AD87CF">
      <w:pPr>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43" w:name="_Toc217446115"/>
      <w:r>
        <w:rPr>
          <w:rFonts w:hint="eastAsia" w:ascii="宋体" w:hAnsi="宋体" w:cs="宋体"/>
          <w:color w:val="000000" w:themeColor="text1"/>
          <w:sz w:val="24"/>
          <w14:textFill>
            <w14:solidFill>
              <w14:schemeClr w14:val="tx1"/>
            </w14:solidFill>
          </w14:textFill>
        </w:rPr>
        <w:t>本合同执行过程中如发生纠纷，双方选择如下第</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种方式处理：</w:t>
      </w:r>
    </w:p>
    <w:p w14:paraId="2A199A58">
      <w:pPr>
        <w:spacing w:line="360" w:lineRule="auto"/>
        <w:ind w:firstLine="480" w:firstLineChars="200"/>
        <w:rPr>
          <w:rFonts w:hint="eastAsia" w:ascii="宋体" w:hAnsi="宋体" w:cs="宋体"/>
          <w:color w:val="000000" w:themeColor="text1"/>
          <w:kern w:val="2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kern w:val="20"/>
          <w:sz w:val="24"/>
          <w:lang w:val="zh-CN"/>
          <w14:textFill>
            <w14:solidFill>
              <w14:schemeClr w14:val="tx1"/>
            </w14:solidFill>
          </w14:textFill>
        </w:rPr>
        <w:t>申请仲裁。仲裁机构为海南仲裁委员会。</w:t>
      </w:r>
    </w:p>
    <w:p w14:paraId="7D81D09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2.提起诉讼。诉讼地点为采购人（甲方）所在地人民法院。</w:t>
      </w:r>
    </w:p>
    <w:p w14:paraId="23FDAB4C">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十一、其他</w:t>
      </w:r>
      <w:bookmarkEnd w:id="43"/>
    </w:p>
    <w:p w14:paraId="3A72B36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1.非经甲方同意，乙方不得部分或全部转让其应履行的合同义务、乙方不得对本合同进行分包。否则甲方有权解除本合同，并要求乙方赔偿甲方全部损失。</w:t>
      </w:r>
    </w:p>
    <w:p w14:paraId="5B258FD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2.如有未尽事宜，由双方依法订立补充合同。</w:t>
      </w:r>
    </w:p>
    <w:p w14:paraId="25AD611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3.本合同经双方法定代表人或其授权代表签字并盖公章后立即生效；</w:t>
      </w:r>
    </w:p>
    <w:p w14:paraId="12C9157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4.本合同壹式陆份，甲方执肆份，乙方、招标代理机构各执壹份，均具同等效力。</w:t>
      </w:r>
    </w:p>
    <w:p w14:paraId="3D49E576">
      <w:pPr>
        <w:pStyle w:val="81"/>
        <w:widowControl/>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4B582B8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附：中标通知书、中标清单</w:t>
      </w:r>
    </w:p>
    <w:p w14:paraId="2A2EDD81">
      <w:pPr>
        <w:pStyle w:val="81"/>
        <w:widowControl/>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7466F76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甲方：（盖章）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乙方：  （盖章）</w:t>
      </w:r>
    </w:p>
    <w:p w14:paraId="10A44EB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                            法定代表：</w:t>
      </w:r>
    </w:p>
    <w:p w14:paraId="190EAF9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                            授权代表：</w:t>
      </w:r>
    </w:p>
    <w:p w14:paraId="5BA0762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                            电    话：</w:t>
      </w:r>
    </w:p>
    <w:p w14:paraId="6F12029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    真：                            传    真：</w:t>
      </w:r>
    </w:p>
    <w:p w14:paraId="31F63D7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2025年  月 日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2025年   月   日</w:t>
      </w:r>
    </w:p>
    <w:p w14:paraId="78DF1D36">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60771195">
      <w:pPr>
        <w:pStyle w:val="81"/>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130442B3">
      <w:pPr>
        <w:snapToGrid w:val="0"/>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招标代理机构：</w:t>
      </w:r>
    </w:p>
    <w:p w14:paraId="113831FA">
      <w:pPr>
        <w:snapToGrid w:val="0"/>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地  址：</w:t>
      </w:r>
    </w:p>
    <w:p w14:paraId="52983F94">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法定代表人（签字或盖章）：</w:t>
      </w:r>
    </w:p>
    <w:p w14:paraId="7968D84D">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电  话：</w:t>
      </w:r>
    </w:p>
    <w:p w14:paraId="16636B48">
      <w:pPr>
        <w:pStyle w:val="31"/>
        <w:spacing w:line="360" w:lineRule="auto"/>
        <w:ind w:left="0" w:leftChars="0" w:firstLine="480"/>
        <w:rPr>
          <w:rFonts w:hint="eastAsia"/>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2025</w:t>
      </w:r>
      <w:r>
        <w:rPr>
          <w:rFonts w:hint="eastAsia"/>
          <w:color w:val="000000" w:themeColor="text1"/>
          <w:sz w:val="24"/>
          <w:szCs w:val="24"/>
          <w14:textFill>
            <w14:solidFill>
              <w14:schemeClr w14:val="tx1"/>
            </w14:solidFill>
          </w14:textFill>
        </w:rPr>
        <w:t>年     月     日</w:t>
      </w:r>
    </w:p>
    <w:p w14:paraId="48B023E4">
      <w:pPr>
        <w:snapToGrid w:val="0"/>
        <w:spacing w:line="360" w:lineRule="auto"/>
        <w:ind w:firstLine="482" w:firstLineChars="200"/>
        <w:rPr>
          <w:rFonts w:hint="eastAsia" w:ascii="宋体" w:hAnsi="宋体" w:cs="宋体"/>
          <w:b/>
          <w:bCs/>
          <w:color w:val="000000" w:themeColor="text1"/>
          <w:sz w:val="24"/>
          <w14:textFill>
            <w14:solidFill>
              <w14:schemeClr w14:val="tx1"/>
            </w14:solidFill>
          </w14:textFill>
        </w:rPr>
      </w:pPr>
    </w:p>
    <w:p w14:paraId="537B6A5E">
      <w:pPr>
        <w:snapToGrid w:val="0"/>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本项目经海南省教学仪器设备招标中心有限公司依政府采购程序组织招标，合同主要条款内容与招、投标文件的内容一致。</w:t>
      </w:r>
    </w:p>
    <w:p w14:paraId="08D478A7"/>
    <w:p w14:paraId="6632307C">
      <w:pPr>
        <w:spacing w:line="360" w:lineRule="exact"/>
        <w:rPr>
          <w:rFonts w:hint="eastAsia" w:ascii="宋体" w:hAnsi="宋体"/>
          <w:b/>
          <w:sz w:val="32"/>
          <w:szCs w:val="32"/>
        </w:rPr>
      </w:pPr>
    </w:p>
    <w:p w14:paraId="290CEF85">
      <w:pPr>
        <w:spacing w:line="360" w:lineRule="exact"/>
        <w:jc w:val="center"/>
        <w:rPr>
          <w:rFonts w:hint="eastAsia" w:ascii="宋体" w:hAnsi="宋体"/>
          <w:b/>
          <w:sz w:val="32"/>
          <w:szCs w:val="32"/>
        </w:rPr>
      </w:pPr>
    </w:p>
    <w:p w14:paraId="72BCB313">
      <w:pPr>
        <w:spacing w:line="360" w:lineRule="exact"/>
        <w:jc w:val="center"/>
        <w:rPr>
          <w:rFonts w:hint="eastAsia" w:ascii="宋体" w:hAnsi="宋体"/>
          <w:b/>
          <w:sz w:val="32"/>
          <w:szCs w:val="32"/>
        </w:rPr>
      </w:pPr>
    </w:p>
    <w:p w14:paraId="166AE044">
      <w:pPr>
        <w:spacing w:line="360" w:lineRule="exact"/>
        <w:jc w:val="center"/>
        <w:rPr>
          <w:rFonts w:hint="eastAsia" w:ascii="宋体" w:hAnsi="宋体"/>
          <w:b/>
          <w:sz w:val="32"/>
          <w:szCs w:val="32"/>
        </w:rPr>
      </w:pPr>
    </w:p>
    <w:p w14:paraId="75818C71">
      <w:pPr>
        <w:spacing w:line="360" w:lineRule="exact"/>
        <w:jc w:val="center"/>
        <w:rPr>
          <w:rFonts w:hint="eastAsia" w:ascii="宋体" w:hAnsi="宋体"/>
          <w:b/>
          <w:sz w:val="32"/>
          <w:szCs w:val="32"/>
        </w:rPr>
      </w:pPr>
    </w:p>
    <w:p w14:paraId="02FC543A">
      <w:pPr>
        <w:spacing w:line="360" w:lineRule="exact"/>
        <w:jc w:val="center"/>
        <w:rPr>
          <w:rFonts w:hint="eastAsia" w:ascii="宋体" w:hAnsi="宋体"/>
          <w:b/>
          <w:sz w:val="32"/>
          <w:szCs w:val="32"/>
        </w:rPr>
      </w:pPr>
    </w:p>
    <w:p w14:paraId="4587ED6A">
      <w:pPr>
        <w:spacing w:line="360" w:lineRule="exact"/>
        <w:jc w:val="center"/>
        <w:rPr>
          <w:rFonts w:hint="eastAsia" w:ascii="宋体" w:hAnsi="宋体"/>
          <w:b/>
          <w:sz w:val="32"/>
          <w:szCs w:val="32"/>
        </w:rPr>
      </w:pPr>
    </w:p>
    <w:p w14:paraId="70539354">
      <w:pPr>
        <w:spacing w:line="360" w:lineRule="exact"/>
        <w:jc w:val="center"/>
        <w:rPr>
          <w:rFonts w:hint="eastAsia" w:ascii="宋体" w:hAnsi="宋体"/>
          <w:b/>
          <w:sz w:val="32"/>
          <w:szCs w:val="32"/>
        </w:rPr>
      </w:pPr>
    </w:p>
    <w:p w14:paraId="1DA7CA00">
      <w:pPr>
        <w:spacing w:line="360" w:lineRule="exact"/>
        <w:jc w:val="center"/>
        <w:rPr>
          <w:rFonts w:hint="eastAsia" w:ascii="宋体" w:hAnsi="宋体"/>
          <w:b/>
          <w:sz w:val="32"/>
          <w:szCs w:val="32"/>
        </w:rPr>
      </w:pPr>
    </w:p>
    <w:p w14:paraId="33EDCCF7">
      <w:pPr>
        <w:spacing w:line="360" w:lineRule="exact"/>
        <w:jc w:val="center"/>
        <w:rPr>
          <w:rFonts w:hint="eastAsia" w:ascii="宋体" w:hAnsi="宋体"/>
          <w:b/>
          <w:sz w:val="32"/>
          <w:szCs w:val="32"/>
        </w:rPr>
      </w:pPr>
    </w:p>
    <w:p w14:paraId="1EC2923D">
      <w:pPr>
        <w:spacing w:line="360" w:lineRule="exact"/>
        <w:jc w:val="center"/>
        <w:rPr>
          <w:rFonts w:hint="eastAsia" w:ascii="宋体" w:hAnsi="宋体"/>
          <w:b/>
          <w:sz w:val="32"/>
          <w:szCs w:val="32"/>
        </w:rPr>
      </w:pPr>
    </w:p>
    <w:p w14:paraId="703371C4">
      <w:pPr>
        <w:spacing w:line="360" w:lineRule="exact"/>
        <w:jc w:val="center"/>
        <w:rPr>
          <w:rFonts w:hint="eastAsia" w:ascii="宋体" w:hAnsi="宋体"/>
          <w:b/>
          <w:sz w:val="32"/>
          <w:szCs w:val="32"/>
        </w:rPr>
      </w:pPr>
    </w:p>
    <w:p w14:paraId="49773C16">
      <w:pPr>
        <w:spacing w:line="360" w:lineRule="exact"/>
        <w:jc w:val="center"/>
        <w:rPr>
          <w:rFonts w:hint="eastAsia" w:ascii="宋体" w:hAnsi="宋体"/>
          <w:b/>
          <w:sz w:val="32"/>
          <w:szCs w:val="32"/>
        </w:rPr>
      </w:pPr>
    </w:p>
    <w:p w14:paraId="1AA8F8EC">
      <w:pPr>
        <w:spacing w:line="360" w:lineRule="exact"/>
        <w:jc w:val="center"/>
        <w:rPr>
          <w:rFonts w:hint="eastAsia" w:ascii="宋体" w:hAnsi="宋体"/>
          <w:b/>
          <w:sz w:val="32"/>
          <w:szCs w:val="32"/>
        </w:rPr>
      </w:pPr>
    </w:p>
    <w:p w14:paraId="685BA8C6">
      <w:pPr>
        <w:spacing w:line="360" w:lineRule="exact"/>
        <w:jc w:val="center"/>
        <w:rPr>
          <w:rFonts w:hint="eastAsia" w:ascii="宋体" w:hAnsi="宋体"/>
          <w:b/>
          <w:sz w:val="32"/>
          <w:szCs w:val="32"/>
        </w:rPr>
      </w:pPr>
    </w:p>
    <w:p w14:paraId="6E1E57D5">
      <w:pPr>
        <w:spacing w:line="360" w:lineRule="exact"/>
        <w:jc w:val="center"/>
        <w:rPr>
          <w:rFonts w:hint="eastAsia" w:ascii="宋体" w:hAnsi="宋体"/>
          <w:b/>
          <w:sz w:val="32"/>
          <w:szCs w:val="32"/>
        </w:rPr>
      </w:pPr>
    </w:p>
    <w:p w14:paraId="005183EC">
      <w:pPr>
        <w:spacing w:line="360" w:lineRule="exact"/>
        <w:jc w:val="center"/>
        <w:rPr>
          <w:rFonts w:hint="eastAsia" w:ascii="宋体" w:hAnsi="宋体"/>
          <w:b/>
          <w:sz w:val="32"/>
          <w:szCs w:val="32"/>
        </w:rPr>
      </w:pPr>
    </w:p>
    <w:p w14:paraId="2AF4B866">
      <w:pPr>
        <w:spacing w:line="360" w:lineRule="exact"/>
        <w:jc w:val="center"/>
        <w:rPr>
          <w:rFonts w:hint="eastAsia" w:ascii="宋体" w:hAnsi="宋体"/>
          <w:b/>
          <w:sz w:val="32"/>
          <w:szCs w:val="32"/>
        </w:rPr>
      </w:pPr>
    </w:p>
    <w:p w14:paraId="02A251F2">
      <w:pPr>
        <w:spacing w:line="360" w:lineRule="exact"/>
        <w:jc w:val="center"/>
        <w:rPr>
          <w:rFonts w:hint="eastAsia" w:ascii="宋体" w:hAnsi="宋体"/>
          <w:b/>
          <w:sz w:val="32"/>
          <w:szCs w:val="32"/>
        </w:rPr>
      </w:pPr>
      <w:r>
        <w:rPr>
          <w:rFonts w:hint="eastAsia" w:ascii="宋体" w:hAnsi="宋体"/>
          <w:b/>
          <w:sz w:val="32"/>
          <w:szCs w:val="32"/>
        </w:rPr>
        <w:t>第六部分投标文件格式</w:t>
      </w:r>
    </w:p>
    <w:p w14:paraId="37A87EE9">
      <w:pPr>
        <w:snapToGrid w:val="0"/>
        <w:spacing w:line="240" w:lineRule="atLeast"/>
        <w:jc w:val="center"/>
        <w:rPr>
          <w:rStyle w:val="219"/>
          <w:b/>
          <w:kern w:val="0"/>
          <w:sz w:val="32"/>
          <w:szCs w:val="32"/>
        </w:rPr>
      </w:pPr>
    </w:p>
    <w:p w14:paraId="13FF107B">
      <w:pPr>
        <w:snapToGrid w:val="0"/>
        <w:spacing w:line="240" w:lineRule="atLeast"/>
        <w:jc w:val="center"/>
        <w:rPr>
          <w:rStyle w:val="219"/>
          <w:b/>
          <w:kern w:val="0"/>
          <w:sz w:val="32"/>
          <w:szCs w:val="32"/>
        </w:rPr>
      </w:pPr>
      <w:r>
        <w:rPr>
          <w:rStyle w:val="219"/>
          <w:b/>
          <w:kern w:val="0"/>
          <w:sz w:val="32"/>
          <w:szCs w:val="32"/>
        </w:rPr>
        <w:t>项目名称：</w:t>
      </w:r>
    </w:p>
    <w:p w14:paraId="797D0C5E">
      <w:pPr>
        <w:snapToGrid w:val="0"/>
        <w:spacing w:line="240" w:lineRule="atLeast"/>
        <w:rPr>
          <w:rStyle w:val="219"/>
          <w:b/>
          <w:kern w:val="0"/>
          <w:sz w:val="32"/>
          <w:szCs w:val="32"/>
        </w:rPr>
      </w:pPr>
    </w:p>
    <w:p w14:paraId="1C7EFE8D">
      <w:pPr>
        <w:snapToGrid w:val="0"/>
        <w:spacing w:line="240" w:lineRule="atLeast"/>
        <w:jc w:val="center"/>
        <w:rPr>
          <w:rStyle w:val="219"/>
          <w:b/>
          <w:kern w:val="0"/>
          <w:sz w:val="32"/>
          <w:szCs w:val="32"/>
        </w:rPr>
      </w:pPr>
      <w:r>
        <w:rPr>
          <w:rStyle w:val="219"/>
          <w:b/>
          <w:kern w:val="0"/>
          <w:sz w:val="32"/>
          <w:szCs w:val="32"/>
        </w:rPr>
        <w:t>项目编号: HNJY202</w:t>
      </w:r>
      <w:r>
        <w:rPr>
          <w:rStyle w:val="219"/>
          <w:rFonts w:hint="eastAsia"/>
          <w:b/>
          <w:kern w:val="0"/>
          <w:sz w:val="32"/>
          <w:szCs w:val="32"/>
        </w:rPr>
        <w:t>5</w:t>
      </w:r>
      <w:r>
        <w:rPr>
          <w:rStyle w:val="219"/>
          <w:b/>
          <w:kern w:val="0"/>
          <w:sz w:val="32"/>
          <w:szCs w:val="32"/>
        </w:rPr>
        <w:t>-</w:t>
      </w:r>
    </w:p>
    <w:p w14:paraId="2EDF2712">
      <w:pPr>
        <w:pStyle w:val="222"/>
        <w:snapToGrid w:val="0"/>
        <w:rPr>
          <w:rStyle w:val="219"/>
          <w:b/>
          <w:kern w:val="0"/>
          <w:sz w:val="32"/>
          <w:szCs w:val="32"/>
        </w:rPr>
      </w:pPr>
    </w:p>
    <w:p w14:paraId="5B914628">
      <w:pPr>
        <w:snapToGrid w:val="0"/>
        <w:spacing w:line="320" w:lineRule="exact"/>
        <w:ind w:right="2278"/>
        <w:rPr>
          <w:rStyle w:val="219"/>
          <w:b/>
          <w:kern w:val="0"/>
          <w:sz w:val="32"/>
          <w:szCs w:val="32"/>
        </w:rPr>
      </w:pPr>
    </w:p>
    <w:p w14:paraId="6895F065">
      <w:pPr>
        <w:snapToGrid w:val="0"/>
        <w:ind w:right="2279"/>
        <w:jc w:val="center"/>
        <w:rPr>
          <w:rStyle w:val="219"/>
          <w:b/>
          <w:kern w:val="0"/>
          <w:sz w:val="32"/>
          <w:szCs w:val="32"/>
        </w:rPr>
      </w:pPr>
      <w:r>
        <w:rPr>
          <w:rStyle w:val="219"/>
          <w:rFonts w:hint="eastAsia"/>
          <w:b/>
          <w:kern w:val="0"/>
          <w:sz w:val="32"/>
          <w:szCs w:val="32"/>
        </w:rPr>
        <w:t xml:space="preserve">           投标</w:t>
      </w:r>
      <w:r>
        <w:rPr>
          <w:rStyle w:val="219"/>
          <w:b/>
          <w:kern w:val="0"/>
          <w:sz w:val="32"/>
          <w:szCs w:val="32"/>
        </w:rPr>
        <w:t>文件</w:t>
      </w:r>
    </w:p>
    <w:p w14:paraId="1B945068">
      <w:pPr>
        <w:snapToGrid w:val="0"/>
        <w:spacing w:line="320" w:lineRule="exact"/>
        <w:ind w:right="2278"/>
        <w:rPr>
          <w:rStyle w:val="219"/>
          <w:b/>
          <w:sz w:val="30"/>
          <w:szCs w:val="30"/>
        </w:rPr>
      </w:pPr>
    </w:p>
    <w:p w14:paraId="003DEE47">
      <w:pPr>
        <w:snapToGrid w:val="0"/>
        <w:spacing w:line="320" w:lineRule="exact"/>
        <w:ind w:right="2278"/>
        <w:rPr>
          <w:rStyle w:val="219"/>
          <w:b/>
          <w:sz w:val="30"/>
          <w:szCs w:val="30"/>
        </w:rPr>
      </w:pPr>
    </w:p>
    <w:p w14:paraId="24D324B8">
      <w:pPr>
        <w:snapToGrid w:val="0"/>
        <w:spacing w:line="320" w:lineRule="exact"/>
        <w:ind w:right="2278"/>
        <w:rPr>
          <w:rStyle w:val="219"/>
          <w:b/>
          <w:sz w:val="30"/>
          <w:szCs w:val="30"/>
        </w:rPr>
      </w:pPr>
    </w:p>
    <w:p w14:paraId="68B85425">
      <w:pPr>
        <w:pStyle w:val="222"/>
      </w:pPr>
    </w:p>
    <w:p w14:paraId="01C6AE9D">
      <w:pPr>
        <w:pStyle w:val="222"/>
      </w:pPr>
    </w:p>
    <w:p w14:paraId="623CBDD5">
      <w:pPr>
        <w:pStyle w:val="222"/>
      </w:pPr>
    </w:p>
    <w:p w14:paraId="45B55CEF">
      <w:pPr>
        <w:snapToGrid w:val="0"/>
        <w:spacing w:line="320" w:lineRule="exact"/>
        <w:ind w:right="2278"/>
        <w:rPr>
          <w:rStyle w:val="219"/>
          <w:b/>
          <w:sz w:val="30"/>
          <w:szCs w:val="30"/>
        </w:rPr>
      </w:pPr>
    </w:p>
    <w:p w14:paraId="19F2572D">
      <w:pPr>
        <w:snapToGrid w:val="0"/>
        <w:spacing w:line="320" w:lineRule="exact"/>
        <w:ind w:right="2278"/>
        <w:rPr>
          <w:rStyle w:val="219"/>
          <w:b/>
          <w:sz w:val="30"/>
          <w:szCs w:val="30"/>
        </w:rPr>
      </w:pPr>
    </w:p>
    <w:p w14:paraId="3D997F39">
      <w:pPr>
        <w:snapToGrid w:val="0"/>
        <w:spacing w:line="320" w:lineRule="exact"/>
        <w:ind w:right="2278"/>
        <w:rPr>
          <w:rStyle w:val="219"/>
          <w:b/>
          <w:sz w:val="30"/>
          <w:szCs w:val="30"/>
        </w:rPr>
      </w:pPr>
    </w:p>
    <w:p w14:paraId="21773063">
      <w:pPr>
        <w:snapToGrid w:val="0"/>
        <w:spacing w:line="320" w:lineRule="exact"/>
        <w:ind w:right="2278"/>
        <w:rPr>
          <w:rStyle w:val="219"/>
          <w:b/>
          <w:sz w:val="30"/>
          <w:szCs w:val="30"/>
        </w:rPr>
      </w:pPr>
    </w:p>
    <w:p w14:paraId="68945C37">
      <w:pPr>
        <w:snapToGrid w:val="0"/>
        <w:spacing w:line="320" w:lineRule="exact"/>
        <w:ind w:right="2278"/>
        <w:rPr>
          <w:rStyle w:val="219"/>
          <w:b/>
          <w:sz w:val="30"/>
          <w:szCs w:val="30"/>
        </w:rPr>
      </w:pPr>
    </w:p>
    <w:p w14:paraId="14316554">
      <w:pPr>
        <w:snapToGrid w:val="0"/>
        <w:spacing w:line="320" w:lineRule="exact"/>
        <w:ind w:right="2278"/>
        <w:rPr>
          <w:rStyle w:val="219"/>
          <w:b/>
          <w:sz w:val="30"/>
          <w:szCs w:val="30"/>
        </w:rPr>
      </w:pPr>
    </w:p>
    <w:p w14:paraId="284870B5">
      <w:pPr>
        <w:snapToGrid w:val="0"/>
        <w:ind w:right="2279"/>
        <w:rPr>
          <w:rStyle w:val="219"/>
          <w:b/>
          <w:sz w:val="30"/>
          <w:szCs w:val="30"/>
        </w:rPr>
      </w:pPr>
      <w:r>
        <w:rPr>
          <w:rStyle w:val="219"/>
          <w:b/>
          <w:sz w:val="30"/>
          <w:szCs w:val="30"/>
        </w:rPr>
        <w:t>供应商名称：               （盖章）</w:t>
      </w:r>
    </w:p>
    <w:p w14:paraId="2E151941">
      <w:pPr>
        <w:snapToGrid w:val="0"/>
        <w:ind w:right="2279"/>
        <w:rPr>
          <w:rStyle w:val="219"/>
          <w:b/>
          <w:sz w:val="30"/>
          <w:szCs w:val="30"/>
        </w:rPr>
      </w:pPr>
      <w:r>
        <w:rPr>
          <w:rStyle w:val="219"/>
          <w:b/>
          <w:sz w:val="30"/>
          <w:szCs w:val="30"/>
        </w:rPr>
        <w:t>公司地址：</w:t>
      </w:r>
    </w:p>
    <w:p w14:paraId="64991F5F">
      <w:pPr>
        <w:snapToGrid w:val="0"/>
        <w:ind w:right="2279"/>
        <w:rPr>
          <w:rStyle w:val="219"/>
          <w:b/>
          <w:sz w:val="30"/>
          <w:szCs w:val="30"/>
        </w:rPr>
      </w:pPr>
      <w:r>
        <w:rPr>
          <w:rStyle w:val="219"/>
          <w:b/>
          <w:sz w:val="30"/>
          <w:szCs w:val="30"/>
        </w:rPr>
        <w:t>联系人：</w:t>
      </w:r>
    </w:p>
    <w:p w14:paraId="670C7CC2">
      <w:pPr>
        <w:snapToGrid w:val="0"/>
        <w:ind w:right="2279"/>
        <w:rPr>
          <w:rStyle w:val="219"/>
          <w:b/>
          <w:sz w:val="30"/>
          <w:szCs w:val="30"/>
        </w:rPr>
      </w:pPr>
      <w:r>
        <w:rPr>
          <w:rStyle w:val="219"/>
          <w:b/>
          <w:sz w:val="30"/>
          <w:szCs w:val="30"/>
        </w:rPr>
        <w:t>联系电话：</w:t>
      </w:r>
    </w:p>
    <w:p w14:paraId="2E79EF04">
      <w:pPr>
        <w:pStyle w:val="3"/>
      </w:pPr>
      <w:r>
        <w:rPr>
          <w:rStyle w:val="219"/>
          <w:sz w:val="30"/>
          <w:szCs w:val="30"/>
        </w:rPr>
        <w:t>日期：</w:t>
      </w:r>
    </w:p>
    <w:p w14:paraId="5FE9F3E3">
      <w:pPr>
        <w:spacing w:line="360" w:lineRule="exact"/>
        <w:jc w:val="center"/>
        <w:rPr>
          <w:rFonts w:hint="eastAsia" w:ascii="宋体" w:hAnsi="宋体"/>
          <w:b/>
          <w:sz w:val="32"/>
          <w:szCs w:val="32"/>
        </w:rPr>
      </w:pPr>
    </w:p>
    <w:p w14:paraId="356F5F40">
      <w:pPr>
        <w:spacing w:line="360" w:lineRule="exact"/>
        <w:rPr>
          <w:rFonts w:hint="eastAsia" w:ascii="宋体" w:hAnsi="宋体"/>
          <w:b/>
          <w:sz w:val="28"/>
          <w:szCs w:val="28"/>
        </w:rPr>
      </w:pPr>
    </w:p>
    <w:p w14:paraId="3F762F01">
      <w:pPr>
        <w:spacing w:line="360" w:lineRule="exact"/>
        <w:rPr>
          <w:rFonts w:hint="eastAsia" w:ascii="宋体" w:hAnsi="宋体"/>
          <w:b/>
          <w:sz w:val="28"/>
          <w:szCs w:val="28"/>
        </w:rPr>
      </w:pPr>
    </w:p>
    <w:p w14:paraId="0437D507">
      <w:pPr>
        <w:spacing w:line="360" w:lineRule="exact"/>
        <w:rPr>
          <w:rFonts w:hint="eastAsia" w:ascii="宋体" w:hAnsi="宋体"/>
          <w:b/>
          <w:sz w:val="28"/>
          <w:szCs w:val="28"/>
        </w:rPr>
      </w:pPr>
    </w:p>
    <w:p w14:paraId="5A3772D9">
      <w:pPr>
        <w:spacing w:line="360" w:lineRule="exact"/>
        <w:rPr>
          <w:rFonts w:hint="eastAsia" w:ascii="宋体" w:hAnsi="宋体"/>
          <w:b/>
          <w:sz w:val="28"/>
          <w:szCs w:val="28"/>
        </w:rPr>
      </w:pPr>
    </w:p>
    <w:p w14:paraId="34EA9AE0">
      <w:pPr>
        <w:spacing w:line="360" w:lineRule="exact"/>
        <w:rPr>
          <w:rFonts w:hint="eastAsia" w:ascii="宋体" w:hAnsi="宋体"/>
          <w:b/>
          <w:sz w:val="28"/>
          <w:szCs w:val="28"/>
        </w:rPr>
      </w:pPr>
    </w:p>
    <w:p w14:paraId="2F7BA6EA">
      <w:pPr>
        <w:spacing w:line="360" w:lineRule="exact"/>
        <w:rPr>
          <w:rFonts w:hint="eastAsia" w:ascii="宋体" w:hAnsi="宋体"/>
          <w:b/>
          <w:sz w:val="28"/>
          <w:szCs w:val="28"/>
        </w:rPr>
      </w:pPr>
    </w:p>
    <w:p w14:paraId="64B6842D">
      <w:pPr>
        <w:spacing w:line="360" w:lineRule="exact"/>
        <w:rPr>
          <w:rFonts w:hint="eastAsia" w:ascii="宋体" w:hAnsi="宋体"/>
          <w:b/>
          <w:sz w:val="28"/>
          <w:szCs w:val="28"/>
        </w:rPr>
      </w:pPr>
    </w:p>
    <w:p w14:paraId="4AD28676">
      <w:pPr>
        <w:spacing w:line="360" w:lineRule="exact"/>
        <w:rPr>
          <w:rFonts w:hint="eastAsia" w:ascii="宋体" w:hAnsi="宋体"/>
          <w:b/>
          <w:sz w:val="28"/>
          <w:szCs w:val="28"/>
        </w:rPr>
      </w:pPr>
    </w:p>
    <w:p w14:paraId="3C1BD239">
      <w:pPr>
        <w:spacing w:line="360" w:lineRule="exact"/>
        <w:rPr>
          <w:rFonts w:hint="eastAsia" w:ascii="宋体" w:hAnsi="宋体"/>
          <w:b/>
          <w:sz w:val="28"/>
          <w:szCs w:val="28"/>
        </w:rPr>
      </w:pPr>
    </w:p>
    <w:p w14:paraId="381DE168">
      <w:pPr>
        <w:spacing w:line="360" w:lineRule="exact"/>
        <w:rPr>
          <w:rFonts w:hint="eastAsia" w:ascii="宋体" w:hAnsi="宋体"/>
          <w:b/>
          <w:sz w:val="28"/>
          <w:szCs w:val="28"/>
        </w:rPr>
      </w:pPr>
    </w:p>
    <w:p w14:paraId="00623AD1">
      <w:pPr>
        <w:spacing w:line="360" w:lineRule="exact"/>
        <w:rPr>
          <w:rFonts w:hint="eastAsia" w:ascii="宋体" w:hAnsi="宋体"/>
          <w:b/>
          <w:sz w:val="28"/>
          <w:szCs w:val="28"/>
        </w:rPr>
      </w:pPr>
    </w:p>
    <w:p w14:paraId="307DB36B">
      <w:pPr>
        <w:pStyle w:val="17"/>
        <w:adjustRightInd/>
        <w:spacing w:line="360" w:lineRule="exact"/>
        <w:textAlignment w:val="auto"/>
        <w:outlineLvl w:val="0"/>
        <w:rPr>
          <w:rFonts w:hint="eastAsia" w:hAnsi="宋体"/>
          <w:b/>
          <w:kern w:val="2"/>
          <w:sz w:val="24"/>
          <w:szCs w:val="24"/>
        </w:rPr>
      </w:pPr>
      <w:r>
        <w:rPr>
          <w:rFonts w:hint="eastAsia"/>
          <w:b/>
          <w:kern w:val="2"/>
          <w:sz w:val="24"/>
          <w:szCs w:val="24"/>
        </w:rPr>
        <w:t>附件：1</w:t>
      </w:r>
    </w:p>
    <w:p w14:paraId="46E68065">
      <w:pPr>
        <w:spacing w:line="360" w:lineRule="exact"/>
        <w:ind w:firstLine="3510"/>
        <w:outlineLvl w:val="0"/>
        <w:rPr>
          <w:rFonts w:hint="eastAsia" w:ascii="宋体" w:hAnsi="宋体"/>
          <w:b/>
          <w:sz w:val="24"/>
        </w:rPr>
      </w:pPr>
    </w:p>
    <w:p w14:paraId="355A0803">
      <w:pPr>
        <w:spacing w:line="360" w:lineRule="exact"/>
        <w:jc w:val="center"/>
        <w:outlineLvl w:val="0"/>
        <w:rPr>
          <w:rFonts w:hint="eastAsia" w:ascii="宋体" w:hAnsi="宋体"/>
          <w:b/>
          <w:sz w:val="32"/>
          <w:szCs w:val="32"/>
        </w:rPr>
      </w:pPr>
      <w:r>
        <w:rPr>
          <w:rFonts w:hint="eastAsia" w:ascii="宋体" w:hAnsi="宋体"/>
          <w:b/>
          <w:sz w:val="32"/>
          <w:szCs w:val="32"/>
        </w:rPr>
        <w:t>投标函</w:t>
      </w:r>
    </w:p>
    <w:p w14:paraId="36E10B3F">
      <w:pPr>
        <w:spacing w:line="360" w:lineRule="exact"/>
        <w:ind w:firstLine="3510"/>
        <w:outlineLvl w:val="0"/>
        <w:rPr>
          <w:rFonts w:hint="eastAsia" w:ascii="宋体" w:hAnsi="宋体"/>
          <w:b/>
          <w:sz w:val="24"/>
        </w:rPr>
      </w:pPr>
    </w:p>
    <w:p w14:paraId="3B20FE5C">
      <w:pPr>
        <w:spacing w:line="360" w:lineRule="exact"/>
        <w:outlineLvl w:val="0"/>
        <w:rPr>
          <w:rFonts w:hint="eastAsia" w:ascii="宋体" w:hAnsi="宋体"/>
          <w:sz w:val="24"/>
        </w:rPr>
      </w:pPr>
      <w:r>
        <w:rPr>
          <w:rFonts w:hint="eastAsia" w:ascii="宋体" w:hAnsi="宋体"/>
          <w:sz w:val="24"/>
        </w:rPr>
        <w:t>致：海南省教学仪器设备招标中心有限公司：</w:t>
      </w:r>
    </w:p>
    <w:p w14:paraId="13B9B6A7">
      <w:pPr>
        <w:spacing w:line="360" w:lineRule="auto"/>
        <w:ind w:firstLine="480" w:firstLineChars="200"/>
        <w:rPr>
          <w:rFonts w:hint="eastAsia" w:ascii="宋体" w:hAnsi="宋体" w:cs="宋体"/>
          <w:sz w:val="24"/>
        </w:rPr>
      </w:pPr>
      <w:r>
        <w:rPr>
          <w:rFonts w:hint="eastAsia" w:ascii="宋体" w:hAnsi="宋体" w:cs="宋体"/>
          <w:sz w:val="24"/>
        </w:rPr>
        <w:t>根据贵方项目编号为的</w:t>
      </w:r>
      <w:r>
        <w:rPr>
          <w:rFonts w:hint="eastAsia" w:ascii="宋体" w:hAnsi="宋体" w:cs="宋体"/>
          <w:sz w:val="24"/>
          <w:u w:val="single"/>
        </w:rPr>
        <w:t xml:space="preserve">   （项目名称）  、 （标包名称） </w:t>
      </w:r>
      <w:r>
        <w:rPr>
          <w:rFonts w:hint="eastAsia" w:ascii="宋体" w:hAnsi="宋体" w:cs="宋体"/>
          <w:sz w:val="24"/>
        </w:rPr>
        <w:t>招标文件，经研究招标文件的投标须知、技术要求等文件后，我方愿意参加该项  目的投标。为此，我方郑重声明以下诸点，并负法律责任。</w:t>
      </w:r>
    </w:p>
    <w:p w14:paraId="0926C0DB">
      <w:pPr>
        <w:spacing w:line="360" w:lineRule="auto"/>
        <w:ind w:firstLine="480" w:firstLineChars="200"/>
        <w:rPr>
          <w:rFonts w:hint="eastAsia" w:ascii="宋体" w:hAnsi="宋体" w:cs="宋体"/>
          <w:sz w:val="24"/>
        </w:rPr>
      </w:pPr>
      <w:r>
        <w:rPr>
          <w:rFonts w:hint="eastAsia" w:ascii="宋体" w:hAnsi="宋体" w:cs="宋体"/>
          <w:sz w:val="24"/>
        </w:rPr>
        <w:t>1、我方已详细审核全部招标文件，包括修改文件及有关附件。我方放弃对 招标文件有不明和误解的权利。</w:t>
      </w:r>
    </w:p>
    <w:p w14:paraId="0007D2EF">
      <w:pPr>
        <w:spacing w:line="360" w:lineRule="auto"/>
        <w:ind w:firstLine="480" w:firstLineChars="200"/>
        <w:rPr>
          <w:rFonts w:hint="eastAsia" w:ascii="宋体" w:hAnsi="宋体" w:cs="宋体"/>
          <w:sz w:val="24"/>
        </w:rPr>
      </w:pPr>
      <w:r>
        <w:rPr>
          <w:rFonts w:hint="eastAsia" w:ascii="宋体" w:hAnsi="宋体" w:cs="宋体"/>
          <w:sz w:val="24"/>
        </w:rPr>
        <w:t>2、我方承认投标函及相关文件是我方投标文件的组成部分。</w:t>
      </w:r>
    </w:p>
    <w:p w14:paraId="2F356B16">
      <w:pPr>
        <w:spacing w:line="360" w:lineRule="auto"/>
        <w:ind w:firstLine="480" w:firstLineChars="200"/>
        <w:rPr>
          <w:rFonts w:hint="eastAsia" w:ascii="宋体" w:hAnsi="宋体" w:cs="宋体"/>
          <w:sz w:val="24"/>
        </w:rPr>
      </w:pPr>
      <w:r>
        <w:rPr>
          <w:rFonts w:hint="eastAsia" w:ascii="宋体" w:hAnsi="宋体" w:cs="宋体"/>
          <w:sz w:val="24"/>
        </w:rPr>
        <w:t>3、如果我方中标，我方将按照招标书和合同的规定履行责任和义务。如果 未中标，我方不争辩、不要求解释。</w:t>
      </w:r>
    </w:p>
    <w:p w14:paraId="0E35D665">
      <w:pPr>
        <w:tabs>
          <w:tab w:val="left" w:pos="7560"/>
        </w:tabs>
        <w:spacing w:line="360" w:lineRule="auto"/>
        <w:ind w:right="2" w:firstLine="480"/>
        <w:rPr>
          <w:rFonts w:hint="eastAsia" w:ascii="宋体" w:hAnsi="宋体" w:cs="宋体"/>
          <w:color w:val="FF0000"/>
          <w:sz w:val="24"/>
        </w:rPr>
      </w:pPr>
      <w:r>
        <w:rPr>
          <w:rFonts w:hint="eastAsia" w:ascii="宋体" w:hAnsi="宋体" w:cs="宋体"/>
          <w:sz w:val="24"/>
        </w:rPr>
        <w:t>4</w:t>
      </w:r>
      <w:r>
        <w:rPr>
          <w:rFonts w:hint="eastAsia" w:ascii="宋体" w:hAnsi="宋体" w:cs="宋体"/>
          <w:sz w:val="24"/>
          <w:lang w:val="zh-CN"/>
        </w:rPr>
        <w:t>、我方同意所提交的投标文件</w:t>
      </w:r>
      <w:r>
        <w:rPr>
          <w:rFonts w:hint="eastAsia" w:ascii="宋体" w:hAnsi="宋体" w:cs="宋体"/>
          <w:b/>
          <w:bCs/>
          <w:sz w:val="24"/>
          <w:lang w:val="zh-CN"/>
        </w:rPr>
        <w:t>在</w:t>
      </w:r>
      <w:r>
        <w:rPr>
          <w:rFonts w:hint="eastAsia" w:ascii="宋体" w:hAnsi="宋体" w:cs="宋体"/>
          <w:b/>
          <w:bCs/>
          <w:sz w:val="24"/>
          <w:u w:val="single"/>
        </w:rPr>
        <w:t xml:space="preserve">  90 </w:t>
      </w:r>
      <w:r>
        <w:rPr>
          <w:rFonts w:hint="eastAsia" w:ascii="宋体" w:hAnsi="宋体" w:cs="宋体"/>
          <w:b/>
          <w:bCs/>
          <w:sz w:val="24"/>
          <w:lang w:val="zh-CN"/>
        </w:rPr>
        <w:t>天（日历天）的投标有效期内有效</w:t>
      </w:r>
      <w:r>
        <w:rPr>
          <w:rFonts w:hint="eastAsia" w:ascii="宋体" w:hAnsi="宋体" w:cs="宋体"/>
          <w:sz w:val="24"/>
          <w:lang w:val="zh-CN"/>
        </w:rPr>
        <w:t>，在此期间内如果中标，我方将受此约束。如我方在该投标有效期内撤回投标，我公司愿承担相应法律责任；</w:t>
      </w:r>
    </w:p>
    <w:p w14:paraId="3A9B0C97">
      <w:pPr>
        <w:tabs>
          <w:tab w:val="left" w:pos="7560"/>
        </w:tabs>
        <w:spacing w:line="360" w:lineRule="auto"/>
        <w:ind w:right="2" w:firstLine="480"/>
        <w:rPr>
          <w:rFonts w:hint="eastAsia" w:ascii="宋体" w:hAnsi="宋体" w:cs="宋体"/>
          <w:sz w:val="24"/>
          <w:lang w:val="zh-CN"/>
        </w:rPr>
      </w:pPr>
      <w:r>
        <w:rPr>
          <w:rFonts w:hint="eastAsia" w:ascii="宋体" w:hAnsi="宋体" w:cs="宋体"/>
          <w:sz w:val="24"/>
        </w:rPr>
        <w:t>5</w:t>
      </w:r>
      <w:r>
        <w:rPr>
          <w:rFonts w:hint="eastAsia" w:ascii="宋体" w:hAnsi="宋体" w:cs="宋体"/>
          <w:sz w:val="24"/>
          <w:lang w:val="zh-CN"/>
        </w:rPr>
        <w:t>、除非另外达成协议并生效，贵方的招标文件、中标通知书和本投标文件将成为约束双方的合同文件的组成部分。</w:t>
      </w:r>
    </w:p>
    <w:p w14:paraId="4067BB4D">
      <w:pPr>
        <w:tabs>
          <w:tab w:val="left" w:pos="7560"/>
        </w:tabs>
        <w:spacing w:line="360" w:lineRule="auto"/>
        <w:ind w:right="2" w:firstLine="480"/>
        <w:rPr>
          <w:rFonts w:hint="eastAsia" w:ascii="宋体" w:hAnsi="宋体" w:cs="宋体"/>
          <w:sz w:val="24"/>
          <w:lang w:val="zh-CN"/>
        </w:rPr>
      </w:pPr>
      <w:r>
        <w:rPr>
          <w:rFonts w:hint="eastAsia" w:ascii="宋体" w:hAnsi="宋体" w:cs="宋体"/>
          <w:sz w:val="24"/>
        </w:rPr>
        <w:t>6</w:t>
      </w:r>
      <w:r>
        <w:rPr>
          <w:rFonts w:hint="eastAsia" w:ascii="宋体" w:hAnsi="宋体" w:cs="宋体"/>
          <w:sz w:val="24"/>
          <w:lang w:val="zh-CN"/>
        </w:rPr>
        <w:t>、我公司承诺，本次招标投标活动中提交的所有资料都是真实、准确、完整、合法的，如果未达到上述要求，我公司同意按照无效投标处理，如果违反相关法律、法规、规章的，我公司愿承担相应法律责任；</w:t>
      </w:r>
    </w:p>
    <w:p w14:paraId="703FED66">
      <w:pPr>
        <w:tabs>
          <w:tab w:val="left" w:pos="7560"/>
        </w:tabs>
        <w:spacing w:line="360" w:lineRule="auto"/>
        <w:ind w:right="2" w:firstLine="480"/>
        <w:rPr>
          <w:rFonts w:hint="eastAsia" w:ascii="宋体" w:hAnsi="宋体" w:cs="宋体"/>
          <w:sz w:val="24"/>
          <w:lang w:val="zh-CN"/>
        </w:rPr>
      </w:pPr>
      <w:r>
        <w:rPr>
          <w:rFonts w:hint="eastAsia" w:ascii="宋体" w:hAnsi="宋体" w:cs="宋体"/>
          <w:sz w:val="24"/>
        </w:rPr>
        <w:t>7</w:t>
      </w:r>
      <w:r>
        <w:rPr>
          <w:rFonts w:hint="eastAsia" w:ascii="宋体" w:hAnsi="宋体" w:cs="宋体"/>
          <w:sz w:val="24"/>
          <w:lang w:val="zh-CN"/>
        </w:rPr>
        <w:t>、我方同意如若中标，向海南省教学仪器设备招标中心有限公司支付采购代理服务费。</w:t>
      </w:r>
    </w:p>
    <w:p w14:paraId="22FE502A">
      <w:pPr>
        <w:tabs>
          <w:tab w:val="left" w:pos="7560"/>
        </w:tabs>
        <w:spacing w:line="360" w:lineRule="auto"/>
        <w:ind w:right="2" w:firstLine="480"/>
        <w:rPr>
          <w:rFonts w:hint="default"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cs="宋体"/>
          <w:sz w:val="24"/>
          <w:lang w:val="zh-CN"/>
        </w:rPr>
        <w:t>我方同意如若中标，</w:t>
      </w:r>
      <w:r>
        <w:rPr>
          <w:rFonts w:hint="eastAsia" w:ascii="宋体" w:hAnsi="宋体" w:cs="宋体"/>
          <w:sz w:val="24"/>
          <w:lang w:val="en-US" w:eastAsia="zh-CN"/>
        </w:rPr>
        <w:t>我方将按照采购人指定地点交货（服务）。</w:t>
      </w:r>
    </w:p>
    <w:p w14:paraId="5B04EC39">
      <w:pPr>
        <w:spacing w:line="360" w:lineRule="auto"/>
        <w:ind w:firstLine="480" w:firstLineChars="200"/>
        <w:rPr>
          <w:rFonts w:hint="eastAsia" w:ascii="宋体" w:hAnsi="宋体" w:cs="宋体"/>
          <w:sz w:val="24"/>
        </w:rPr>
      </w:pPr>
      <w:r>
        <w:rPr>
          <w:rFonts w:hint="eastAsia" w:ascii="宋体" w:hAnsi="宋体" w:cs="宋体"/>
          <w:sz w:val="24"/>
        </w:rPr>
        <w:t>注：若未提供投标函声明内容视为无效投标处理。</w:t>
      </w:r>
    </w:p>
    <w:p w14:paraId="650A80C8">
      <w:pPr>
        <w:spacing w:before="78" w:line="360" w:lineRule="auto"/>
        <w:ind w:firstLine="1481"/>
        <w:rPr>
          <w:rFonts w:hint="eastAsia" w:ascii="宋体" w:hAnsi="宋体" w:cs="宋体"/>
          <w:sz w:val="24"/>
        </w:rPr>
      </w:pPr>
      <w:r>
        <w:rPr>
          <w:rFonts w:hint="eastAsia" w:ascii="宋体" w:hAnsi="宋体" w:cs="宋体"/>
          <w:spacing w:val="-13"/>
          <w:sz w:val="24"/>
        </w:rPr>
        <w:t>投标单位：</w:t>
      </w:r>
      <w:r>
        <w:rPr>
          <w:rFonts w:hint="eastAsia" w:ascii="宋体" w:hAnsi="宋体" w:cs="宋体"/>
          <w:spacing w:val="-13"/>
          <w:sz w:val="24"/>
          <w:u w:val="single"/>
        </w:rPr>
        <w:t>________（公章）____</w:t>
      </w:r>
    </w:p>
    <w:p w14:paraId="4F225A86">
      <w:pPr>
        <w:spacing w:before="78" w:line="360" w:lineRule="auto"/>
        <w:ind w:firstLine="1481"/>
        <w:rPr>
          <w:rFonts w:hint="eastAsia" w:ascii="宋体" w:hAnsi="宋体" w:cs="宋体"/>
          <w:spacing w:val="-13"/>
          <w:sz w:val="24"/>
        </w:rPr>
      </w:pPr>
      <w:r>
        <w:rPr>
          <w:rFonts w:hint="eastAsia" w:ascii="宋体" w:hAnsi="宋体" w:cs="宋体"/>
          <w:spacing w:val="-13"/>
          <w:sz w:val="24"/>
        </w:rPr>
        <w:t>法定代表人（或授权代理人）： ___（签字或盖章） _________</w:t>
      </w:r>
    </w:p>
    <w:p w14:paraId="65FA532F">
      <w:pPr>
        <w:spacing w:before="78" w:line="360" w:lineRule="auto"/>
        <w:ind w:firstLine="1481"/>
        <w:rPr>
          <w:rFonts w:hint="eastAsia" w:ascii="宋体" w:hAnsi="宋体" w:cs="宋体"/>
          <w:spacing w:val="-13"/>
          <w:sz w:val="24"/>
        </w:rPr>
      </w:pPr>
      <w:r>
        <w:rPr>
          <w:rFonts w:hint="eastAsia" w:ascii="宋体" w:hAnsi="宋体" w:cs="宋体"/>
          <w:spacing w:val="-13"/>
          <w:sz w:val="24"/>
        </w:rPr>
        <w:t>日期：____________</w:t>
      </w:r>
    </w:p>
    <w:p w14:paraId="03C265C0">
      <w:pPr>
        <w:spacing w:line="360" w:lineRule="exact"/>
        <w:ind w:firstLine="480" w:firstLineChars="200"/>
        <w:rPr>
          <w:rFonts w:hint="eastAsia" w:ascii="宋体" w:hAnsi="宋体"/>
          <w:sz w:val="24"/>
        </w:rPr>
      </w:pPr>
      <w:bookmarkStart w:id="44" w:name="_bookmark176"/>
      <w:bookmarkEnd w:id="44"/>
      <w:bookmarkStart w:id="45" w:name="_bookmark177"/>
      <w:bookmarkEnd w:id="45"/>
      <w:bookmarkStart w:id="46" w:name="_bookmark175"/>
      <w:bookmarkEnd w:id="46"/>
    </w:p>
    <w:p w14:paraId="29115FAF"/>
    <w:p w14:paraId="578E8A55">
      <w:pPr>
        <w:pStyle w:val="17"/>
        <w:adjustRightInd/>
        <w:spacing w:line="360" w:lineRule="exact"/>
        <w:textAlignment w:val="auto"/>
        <w:outlineLvl w:val="0"/>
        <w:rPr>
          <w:rFonts w:hint="eastAsia" w:hAnsi="宋体"/>
          <w:kern w:val="2"/>
          <w:sz w:val="24"/>
          <w:szCs w:val="24"/>
        </w:rPr>
      </w:pPr>
    </w:p>
    <w:p w14:paraId="176F1C04">
      <w:pPr>
        <w:pStyle w:val="17"/>
        <w:adjustRightInd/>
        <w:spacing w:line="360" w:lineRule="exact"/>
        <w:textAlignment w:val="auto"/>
        <w:outlineLvl w:val="0"/>
        <w:rPr>
          <w:rFonts w:hint="eastAsia" w:hAnsi="宋体"/>
          <w:b/>
          <w:kern w:val="2"/>
          <w:sz w:val="24"/>
          <w:szCs w:val="24"/>
        </w:rPr>
      </w:pPr>
    </w:p>
    <w:p w14:paraId="49960FA8">
      <w:pPr>
        <w:pStyle w:val="17"/>
        <w:adjustRightInd/>
        <w:spacing w:line="360" w:lineRule="exact"/>
        <w:textAlignment w:val="auto"/>
        <w:outlineLvl w:val="0"/>
        <w:rPr>
          <w:rFonts w:hint="eastAsia" w:hAnsi="宋体"/>
          <w:b/>
          <w:kern w:val="2"/>
          <w:sz w:val="24"/>
          <w:szCs w:val="24"/>
        </w:rPr>
      </w:pPr>
    </w:p>
    <w:p w14:paraId="6C18F05E">
      <w:pPr>
        <w:pStyle w:val="17"/>
        <w:adjustRightInd/>
        <w:spacing w:line="360" w:lineRule="exact"/>
        <w:textAlignment w:val="auto"/>
        <w:outlineLvl w:val="0"/>
        <w:rPr>
          <w:rFonts w:hint="eastAsia" w:hAnsi="宋体"/>
          <w:b/>
          <w:kern w:val="2"/>
          <w:sz w:val="24"/>
          <w:szCs w:val="24"/>
        </w:rPr>
      </w:pPr>
    </w:p>
    <w:p w14:paraId="5679A219">
      <w:pPr>
        <w:pStyle w:val="17"/>
        <w:adjustRightInd/>
        <w:spacing w:line="360" w:lineRule="exact"/>
        <w:textAlignment w:val="auto"/>
        <w:outlineLvl w:val="0"/>
        <w:rPr>
          <w:rFonts w:hint="eastAsia" w:hAnsi="宋体"/>
          <w:b/>
          <w:kern w:val="2"/>
          <w:sz w:val="24"/>
          <w:szCs w:val="24"/>
        </w:rPr>
      </w:pPr>
    </w:p>
    <w:p w14:paraId="0BAF6F4D">
      <w:pPr>
        <w:pStyle w:val="17"/>
        <w:adjustRightInd/>
        <w:spacing w:line="360" w:lineRule="exact"/>
        <w:textAlignment w:val="auto"/>
        <w:outlineLvl w:val="0"/>
        <w:rPr>
          <w:rFonts w:hint="eastAsia" w:hAnsi="宋体"/>
          <w:b/>
          <w:kern w:val="2"/>
          <w:sz w:val="24"/>
          <w:szCs w:val="24"/>
        </w:rPr>
      </w:pPr>
      <w:r>
        <w:rPr>
          <w:rFonts w:hint="eastAsia" w:hAnsi="宋体"/>
          <w:b/>
          <w:kern w:val="2"/>
          <w:sz w:val="24"/>
          <w:szCs w:val="24"/>
        </w:rPr>
        <w:t>附件：2</w:t>
      </w:r>
    </w:p>
    <w:p w14:paraId="7DBD4477">
      <w:pPr>
        <w:spacing w:line="360" w:lineRule="exact"/>
        <w:ind w:right="2278"/>
        <w:jc w:val="center"/>
        <w:outlineLvl w:val="0"/>
        <w:rPr>
          <w:sz w:val="28"/>
          <w:szCs w:val="28"/>
        </w:rPr>
      </w:pPr>
      <w:bookmarkStart w:id="47" w:name="_Toc373100990"/>
      <w:r>
        <w:rPr>
          <w:b/>
          <w:sz w:val="28"/>
          <w:szCs w:val="28"/>
        </w:rPr>
        <w:t>开标一览表</w:t>
      </w:r>
      <w:bookmarkEnd w:id="47"/>
    </w:p>
    <w:p w14:paraId="7647B9FA">
      <w:pPr>
        <w:spacing w:line="360" w:lineRule="exact"/>
        <w:outlineLvl w:val="0"/>
        <w:rPr>
          <w:rFonts w:hint="eastAsia" w:ascii="宋体" w:hAnsi="宋体"/>
          <w:sz w:val="24"/>
        </w:rPr>
      </w:pPr>
      <w:r>
        <w:rPr>
          <w:rFonts w:hint="eastAsia" w:ascii="宋体" w:hAnsi="宋体"/>
          <w:sz w:val="24"/>
        </w:rPr>
        <w:t>项目名称：</w:t>
      </w:r>
    </w:p>
    <w:p w14:paraId="57E79658">
      <w:pPr>
        <w:spacing w:line="360" w:lineRule="exact"/>
        <w:rPr>
          <w:rFonts w:hint="eastAsia" w:ascii="宋体" w:hAnsi="宋体"/>
          <w:sz w:val="24"/>
        </w:rPr>
      </w:pPr>
      <w:r>
        <w:rPr>
          <w:rFonts w:hint="eastAsia" w:ascii="宋体" w:hAnsi="宋体"/>
          <w:sz w:val="24"/>
        </w:rPr>
        <w:t>投标人名称：（盖章）</w:t>
      </w:r>
    </w:p>
    <w:p w14:paraId="3BAAF79D">
      <w:pPr>
        <w:spacing w:line="360" w:lineRule="exact"/>
        <w:rPr>
          <w:rFonts w:hint="eastAsia" w:ascii="宋体" w:hAnsi="宋体"/>
          <w:sz w:val="24"/>
        </w:rPr>
      </w:pPr>
    </w:p>
    <w:tbl>
      <w:tblPr>
        <w:tblStyle w:val="32"/>
        <w:tblW w:w="9977" w:type="dxa"/>
        <w:tblInd w:w="0" w:type="dxa"/>
        <w:tblLayout w:type="fixed"/>
        <w:tblCellMar>
          <w:top w:w="0" w:type="dxa"/>
          <w:left w:w="54" w:type="dxa"/>
          <w:bottom w:w="0" w:type="dxa"/>
          <w:right w:w="54" w:type="dxa"/>
        </w:tblCellMar>
      </w:tblPr>
      <w:tblGrid>
        <w:gridCol w:w="597"/>
        <w:gridCol w:w="1224"/>
        <w:gridCol w:w="1210"/>
        <w:gridCol w:w="1418"/>
        <w:gridCol w:w="850"/>
        <w:gridCol w:w="851"/>
        <w:gridCol w:w="850"/>
        <w:gridCol w:w="1276"/>
        <w:gridCol w:w="850"/>
        <w:gridCol w:w="851"/>
      </w:tblGrid>
      <w:tr w14:paraId="2288E5C3">
        <w:tblPrEx>
          <w:tblCellMar>
            <w:top w:w="0" w:type="dxa"/>
            <w:left w:w="54" w:type="dxa"/>
            <w:bottom w:w="0" w:type="dxa"/>
            <w:right w:w="54" w:type="dxa"/>
          </w:tblCellMar>
        </w:tblPrEx>
        <w:trPr>
          <w:cantSplit/>
          <w:trHeight w:val="499" w:hRule="atLeast"/>
        </w:trPr>
        <w:tc>
          <w:tcPr>
            <w:tcW w:w="597" w:type="dxa"/>
            <w:tcBorders>
              <w:top w:val="single" w:color="auto" w:sz="6" w:space="0"/>
              <w:left w:val="single" w:color="auto" w:sz="6" w:space="0"/>
              <w:bottom w:val="single" w:color="auto" w:sz="6" w:space="0"/>
              <w:right w:val="single" w:color="auto" w:sz="6" w:space="0"/>
            </w:tcBorders>
            <w:vAlign w:val="center"/>
          </w:tcPr>
          <w:p w14:paraId="4BE88F3F">
            <w:pPr>
              <w:spacing w:line="360" w:lineRule="exact"/>
              <w:jc w:val="center"/>
              <w:rPr>
                <w:rFonts w:hint="eastAsia" w:ascii="宋体" w:hAnsi="宋体"/>
                <w:sz w:val="24"/>
              </w:rPr>
            </w:pPr>
            <w:r>
              <w:rPr>
                <w:rFonts w:hint="eastAsia" w:ascii="宋体" w:hAnsi="宋体"/>
                <w:sz w:val="24"/>
              </w:rPr>
              <w:t>1</w:t>
            </w:r>
          </w:p>
        </w:tc>
        <w:tc>
          <w:tcPr>
            <w:tcW w:w="1224" w:type="dxa"/>
            <w:tcBorders>
              <w:top w:val="single" w:color="auto" w:sz="6" w:space="0"/>
              <w:left w:val="single" w:color="auto" w:sz="6" w:space="0"/>
              <w:bottom w:val="single" w:color="auto" w:sz="6" w:space="0"/>
              <w:right w:val="single" w:color="auto" w:sz="6" w:space="0"/>
            </w:tcBorders>
            <w:vAlign w:val="center"/>
          </w:tcPr>
          <w:p w14:paraId="774AC86A">
            <w:pPr>
              <w:spacing w:line="360" w:lineRule="exact"/>
              <w:jc w:val="center"/>
              <w:rPr>
                <w:rFonts w:hint="eastAsia" w:ascii="宋体" w:hAnsi="宋体"/>
                <w:sz w:val="24"/>
              </w:rPr>
            </w:pPr>
            <w:r>
              <w:rPr>
                <w:rFonts w:hint="eastAsia" w:ascii="宋体" w:hAnsi="宋体"/>
                <w:sz w:val="24"/>
              </w:rPr>
              <w:t>2</w:t>
            </w:r>
          </w:p>
        </w:tc>
        <w:tc>
          <w:tcPr>
            <w:tcW w:w="1210" w:type="dxa"/>
            <w:tcBorders>
              <w:top w:val="single" w:color="auto" w:sz="6" w:space="0"/>
              <w:left w:val="single" w:color="auto" w:sz="6" w:space="0"/>
              <w:bottom w:val="single" w:color="auto" w:sz="6" w:space="0"/>
              <w:right w:val="single" w:color="auto" w:sz="6" w:space="0"/>
            </w:tcBorders>
            <w:vAlign w:val="center"/>
          </w:tcPr>
          <w:p w14:paraId="344FB3DE">
            <w:pPr>
              <w:spacing w:line="360" w:lineRule="exact"/>
              <w:jc w:val="center"/>
              <w:rPr>
                <w:rFonts w:hint="eastAsia" w:ascii="宋体" w:hAnsi="宋体"/>
                <w:sz w:val="24"/>
              </w:rPr>
            </w:pPr>
            <w:r>
              <w:rPr>
                <w:rFonts w:hint="eastAsia" w:ascii="宋体" w:hAnsi="宋体"/>
                <w:sz w:val="24"/>
              </w:rPr>
              <w:t>3</w:t>
            </w:r>
          </w:p>
        </w:tc>
        <w:tc>
          <w:tcPr>
            <w:tcW w:w="1418" w:type="dxa"/>
            <w:tcBorders>
              <w:top w:val="single" w:color="auto" w:sz="6" w:space="0"/>
              <w:left w:val="single" w:color="auto" w:sz="6" w:space="0"/>
              <w:bottom w:val="single" w:color="auto" w:sz="6" w:space="0"/>
              <w:right w:val="single" w:color="auto" w:sz="6" w:space="0"/>
            </w:tcBorders>
            <w:vAlign w:val="center"/>
          </w:tcPr>
          <w:p w14:paraId="33330CEE">
            <w:pPr>
              <w:spacing w:line="360" w:lineRule="exact"/>
              <w:jc w:val="center"/>
              <w:rPr>
                <w:rFonts w:hint="eastAsia" w:ascii="宋体" w:hAnsi="宋体"/>
                <w:sz w:val="24"/>
              </w:rPr>
            </w:pPr>
            <w:r>
              <w:rPr>
                <w:rFonts w:hint="eastAsia" w:ascii="宋体" w:hAnsi="宋体"/>
                <w:sz w:val="24"/>
              </w:rPr>
              <w:t>4</w:t>
            </w:r>
          </w:p>
        </w:tc>
        <w:tc>
          <w:tcPr>
            <w:tcW w:w="850" w:type="dxa"/>
            <w:tcBorders>
              <w:top w:val="single" w:color="auto" w:sz="6" w:space="0"/>
              <w:left w:val="single" w:color="auto" w:sz="6" w:space="0"/>
              <w:bottom w:val="single" w:color="auto" w:sz="6" w:space="0"/>
              <w:right w:val="single" w:color="auto" w:sz="4" w:space="0"/>
            </w:tcBorders>
            <w:vAlign w:val="center"/>
          </w:tcPr>
          <w:p w14:paraId="725B65B4">
            <w:pPr>
              <w:spacing w:line="360" w:lineRule="exact"/>
              <w:jc w:val="center"/>
              <w:rPr>
                <w:rFonts w:hint="eastAsia" w:ascii="宋体" w:hAnsi="宋体"/>
                <w:sz w:val="24"/>
              </w:rPr>
            </w:pPr>
            <w:r>
              <w:rPr>
                <w:rFonts w:hint="eastAsia" w:ascii="宋体" w:hAnsi="宋体"/>
                <w:sz w:val="24"/>
              </w:rPr>
              <w:t>5</w:t>
            </w:r>
          </w:p>
        </w:tc>
        <w:tc>
          <w:tcPr>
            <w:tcW w:w="851" w:type="dxa"/>
            <w:tcBorders>
              <w:top w:val="single" w:color="auto" w:sz="6" w:space="0"/>
              <w:left w:val="single" w:color="auto" w:sz="4" w:space="0"/>
              <w:bottom w:val="single" w:color="auto" w:sz="6" w:space="0"/>
              <w:right w:val="single" w:color="auto" w:sz="4" w:space="0"/>
            </w:tcBorders>
            <w:vAlign w:val="center"/>
          </w:tcPr>
          <w:p w14:paraId="1D6D72B2">
            <w:pPr>
              <w:spacing w:line="360" w:lineRule="exact"/>
              <w:jc w:val="center"/>
              <w:rPr>
                <w:rFonts w:hint="eastAsia" w:ascii="宋体" w:hAnsi="宋体"/>
                <w:sz w:val="24"/>
              </w:rPr>
            </w:pPr>
            <w:r>
              <w:rPr>
                <w:rFonts w:hint="eastAsia" w:ascii="宋体" w:hAnsi="宋体"/>
                <w:sz w:val="24"/>
              </w:rPr>
              <w:t>6</w:t>
            </w:r>
          </w:p>
        </w:tc>
        <w:tc>
          <w:tcPr>
            <w:tcW w:w="850" w:type="dxa"/>
            <w:tcBorders>
              <w:top w:val="single" w:color="auto" w:sz="6" w:space="0"/>
              <w:left w:val="single" w:color="auto" w:sz="4" w:space="0"/>
              <w:bottom w:val="single" w:color="auto" w:sz="6" w:space="0"/>
              <w:right w:val="single" w:color="auto" w:sz="6" w:space="0"/>
            </w:tcBorders>
            <w:vAlign w:val="center"/>
          </w:tcPr>
          <w:p w14:paraId="49475F82">
            <w:pPr>
              <w:spacing w:line="360" w:lineRule="exact"/>
              <w:jc w:val="center"/>
              <w:rPr>
                <w:rFonts w:hint="eastAsia" w:ascii="宋体" w:hAnsi="宋体"/>
                <w:sz w:val="24"/>
              </w:rPr>
            </w:pPr>
            <w:r>
              <w:rPr>
                <w:rFonts w:hint="eastAsia" w:ascii="宋体" w:hAnsi="宋体"/>
                <w:sz w:val="24"/>
              </w:rPr>
              <w:t>7</w:t>
            </w:r>
          </w:p>
        </w:tc>
        <w:tc>
          <w:tcPr>
            <w:tcW w:w="1276" w:type="dxa"/>
            <w:tcBorders>
              <w:top w:val="single" w:color="auto" w:sz="6" w:space="0"/>
              <w:left w:val="single" w:color="auto" w:sz="6" w:space="0"/>
              <w:bottom w:val="single" w:color="auto" w:sz="6" w:space="0"/>
              <w:right w:val="single" w:color="auto" w:sz="4" w:space="0"/>
            </w:tcBorders>
            <w:vAlign w:val="center"/>
          </w:tcPr>
          <w:p w14:paraId="5884E993">
            <w:pPr>
              <w:spacing w:line="360" w:lineRule="exact"/>
              <w:jc w:val="center"/>
              <w:rPr>
                <w:rFonts w:hint="eastAsia" w:ascii="宋体" w:hAnsi="宋体"/>
                <w:sz w:val="24"/>
              </w:rPr>
            </w:pPr>
            <w:r>
              <w:rPr>
                <w:rFonts w:hint="eastAsia" w:ascii="宋体" w:hAnsi="宋体"/>
                <w:sz w:val="24"/>
              </w:rPr>
              <w:t>8</w:t>
            </w:r>
          </w:p>
        </w:tc>
        <w:tc>
          <w:tcPr>
            <w:tcW w:w="850" w:type="dxa"/>
            <w:tcBorders>
              <w:top w:val="single" w:color="auto" w:sz="6" w:space="0"/>
              <w:left w:val="single" w:color="auto" w:sz="4" w:space="0"/>
              <w:bottom w:val="single" w:color="auto" w:sz="6" w:space="0"/>
              <w:right w:val="single" w:color="auto" w:sz="4" w:space="0"/>
            </w:tcBorders>
            <w:vAlign w:val="center"/>
          </w:tcPr>
          <w:p w14:paraId="33C12ACB">
            <w:pPr>
              <w:spacing w:line="360" w:lineRule="exact"/>
              <w:jc w:val="center"/>
              <w:rPr>
                <w:rFonts w:hint="eastAsia" w:ascii="宋体" w:hAnsi="宋体"/>
                <w:sz w:val="24"/>
              </w:rPr>
            </w:pPr>
            <w:r>
              <w:rPr>
                <w:rFonts w:hint="eastAsia" w:ascii="宋体" w:hAnsi="宋体"/>
                <w:sz w:val="24"/>
              </w:rPr>
              <w:t>9</w:t>
            </w:r>
          </w:p>
        </w:tc>
        <w:tc>
          <w:tcPr>
            <w:tcW w:w="851" w:type="dxa"/>
            <w:tcBorders>
              <w:top w:val="single" w:color="auto" w:sz="6" w:space="0"/>
              <w:left w:val="single" w:color="auto" w:sz="4" w:space="0"/>
              <w:bottom w:val="single" w:color="auto" w:sz="6" w:space="0"/>
              <w:right w:val="single" w:color="auto" w:sz="4" w:space="0"/>
            </w:tcBorders>
            <w:vAlign w:val="center"/>
          </w:tcPr>
          <w:p w14:paraId="59FA782C">
            <w:pPr>
              <w:spacing w:line="360" w:lineRule="exact"/>
              <w:jc w:val="center"/>
              <w:rPr>
                <w:rFonts w:hint="eastAsia" w:ascii="宋体" w:hAnsi="宋体"/>
                <w:sz w:val="24"/>
              </w:rPr>
            </w:pPr>
            <w:r>
              <w:rPr>
                <w:rFonts w:hint="eastAsia" w:ascii="宋体" w:hAnsi="宋体"/>
                <w:sz w:val="24"/>
              </w:rPr>
              <w:t>10</w:t>
            </w:r>
          </w:p>
        </w:tc>
      </w:tr>
      <w:tr w14:paraId="700AFB8F">
        <w:tblPrEx>
          <w:tblCellMar>
            <w:top w:w="0" w:type="dxa"/>
            <w:left w:w="54" w:type="dxa"/>
            <w:bottom w:w="0" w:type="dxa"/>
            <w:right w:w="54" w:type="dxa"/>
          </w:tblCellMar>
        </w:tblPrEx>
        <w:trPr>
          <w:cantSplit/>
          <w:trHeight w:val="499" w:hRule="atLeast"/>
        </w:trPr>
        <w:tc>
          <w:tcPr>
            <w:tcW w:w="597" w:type="dxa"/>
            <w:tcBorders>
              <w:top w:val="single" w:color="auto" w:sz="6" w:space="0"/>
              <w:left w:val="single" w:color="auto" w:sz="6" w:space="0"/>
              <w:bottom w:val="single" w:color="auto" w:sz="6" w:space="0"/>
              <w:right w:val="single" w:color="auto" w:sz="6" w:space="0"/>
            </w:tcBorders>
            <w:vAlign w:val="center"/>
          </w:tcPr>
          <w:p w14:paraId="3A80681D">
            <w:pPr>
              <w:spacing w:line="360" w:lineRule="exact"/>
              <w:jc w:val="center"/>
              <w:rPr>
                <w:rFonts w:hint="eastAsia" w:ascii="宋体" w:hAnsi="宋体"/>
                <w:sz w:val="24"/>
              </w:rPr>
            </w:pPr>
            <w:r>
              <w:rPr>
                <w:rFonts w:hint="eastAsia" w:ascii="宋体" w:hAnsi="宋体"/>
                <w:sz w:val="24"/>
              </w:rPr>
              <w:t>序号</w:t>
            </w:r>
          </w:p>
        </w:tc>
        <w:tc>
          <w:tcPr>
            <w:tcW w:w="1224" w:type="dxa"/>
            <w:tcBorders>
              <w:top w:val="single" w:color="auto" w:sz="6" w:space="0"/>
              <w:left w:val="single" w:color="auto" w:sz="6" w:space="0"/>
              <w:bottom w:val="single" w:color="auto" w:sz="6" w:space="0"/>
              <w:right w:val="single" w:color="auto" w:sz="6" w:space="0"/>
            </w:tcBorders>
            <w:vAlign w:val="center"/>
          </w:tcPr>
          <w:p w14:paraId="47989436">
            <w:pPr>
              <w:spacing w:line="360" w:lineRule="exact"/>
              <w:jc w:val="center"/>
              <w:rPr>
                <w:rFonts w:hint="eastAsia" w:ascii="宋体" w:hAnsi="宋体"/>
                <w:sz w:val="24"/>
              </w:rPr>
            </w:pPr>
            <w:r>
              <w:rPr>
                <w:rFonts w:hint="eastAsia" w:ascii="宋体" w:hAnsi="宋体"/>
                <w:sz w:val="24"/>
              </w:rPr>
              <w:t>货物名称</w:t>
            </w:r>
          </w:p>
        </w:tc>
        <w:tc>
          <w:tcPr>
            <w:tcW w:w="1210" w:type="dxa"/>
            <w:tcBorders>
              <w:top w:val="single" w:color="auto" w:sz="6" w:space="0"/>
              <w:left w:val="single" w:color="auto" w:sz="6" w:space="0"/>
              <w:bottom w:val="single" w:color="auto" w:sz="6" w:space="0"/>
              <w:right w:val="single" w:color="auto" w:sz="6" w:space="0"/>
            </w:tcBorders>
            <w:vAlign w:val="center"/>
          </w:tcPr>
          <w:p w14:paraId="3450D005">
            <w:pPr>
              <w:spacing w:line="360" w:lineRule="exact"/>
              <w:jc w:val="center"/>
              <w:rPr>
                <w:rFonts w:hint="eastAsia" w:ascii="宋体" w:hAnsi="宋体"/>
                <w:sz w:val="24"/>
              </w:rPr>
            </w:pPr>
            <w:r>
              <w:rPr>
                <w:rFonts w:hint="eastAsia" w:ascii="宋体" w:hAnsi="宋体"/>
                <w:sz w:val="24"/>
              </w:rPr>
              <w:t>厂家及厂地</w:t>
            </w:r>
          </w:p>
        </w:tc>
        <w:tc>
          <w:tcPr>
            <w:tcW w:w="1418" w:type="dxa"/>
            <w:tcBorders>
              <w:top w:val="single" w:color="auto" w:sz="6" w:space="0"/>
              <w:left w:val="single" w:color="auto" w:sz="6" w:space="0"/>
              <w:bottom w:val="single" w:color="auto" w:sz="6" w:space="0"/>
              <w:right w:val="single" w:color="auto" w:sz="6" w:space="0"/>
            </w:tcBorders>
            <w:vAlign w:val="center"/>
          </w:tcPr>
          <w:p w14:paraId="468C5638">
            <w:pPr>
              <w:spacing w:line="360" w:lineRule="exact"/>
              <w:jc w:val="center"/>
              <w:rPr>
                <w:rFonts w:hint="eastAsia" w:ascii="宋体" w:hAnsi="宋体"/>
                <w:sz w:val="24"/>
              </w:rPr>
            </w:pPr>
            <w:r>
              <w:rPr>
                <w:rFonts w:hint="eastAsia" w:ascii="宋体" w:hAnsi="宋体"/>
                <w:sz w:val="24"/>
              </w:rPr>
              <w:t>品牌型号及技术参数</w:t>
            </w:r>
          </w:p>
        </w:tc>
        <w:tc>
          <w:tcPr>
            <w:tcW w:w="850" w:type="dxa"/>
            <w:tcBorders>
              <w:top w:val="single" w:color="auto" w:sz="6" w:space="0"/>
              <w:left w:val="single" w:color="auto" w:sz="6" w:space="0"/>
              <w:bottom w:val="single" w:color="auto" w:sz="6" w:space="0"/>
              <w:right w:val="single" w:color="auto" w:sz="4" w:space="0"/>
            </w:tcBorders>
            <w:vAlign w:val="center"/>
          </w:tcPr>
          <w:p w14:paraId="6398565D">
            <w:pPr>
              <w:spacing w:line="360" w:lineRule="exact"/>
              <w:jc w:val="center"/>
              <w:rPr>
                <w:rFonts w:hint="eastAsia" w:ascii="宋体" w:hAnsi="宋体"/>
                <w:sz w:val="24"/>
              </w:rPr>
            </w:pPr>
            <w:r>
              <w:rPr>
                <w:rFonts w:hint="eastAsia" w:ascii="宋体" w:hAnsi="宋体"/>
                <w:sz w:val="24"/>
              </w:rPr>
              <w:t>数量</w:t>
            </w:r>
          </w:p>
        </w:tc>
        <w:tc>
          <w:tcPr>
            <w:tcW w:w="851" w:type="dxa"/>
            <w:tcBorders>
              <w:top w:val="single" w:color="auto" w:sz="6" w:space="0"/>
              <w:left w:val="single" w:color="auto" w:sz="4" w:space="0"/>
              <w:bottom w:val="single" w:color="auto" w:sz="6" w:space="0"/>
              <w:right w:val="single" w:color="auto" w:sz="4" w:space="0"/>
            </w:tcBorders>
            <w:vAlign w:val="center"/>
          </w:tcPr>
          <w:p w14:paraId="76A4FFBA">
            <w:pPr>
              <w:spacing w:line="360" w:lineRule="exact"/>
              <w:jc w:val="center"/>
              <w:rPr>
                <w:rFonts w:hint="eastAsia" w:ascii="宋体" w:hAnsi="宋体"/>
                <w:sz w:val="24"/>
              </w:rPr>
            </w:pPr>
            <w:r>
              <w:rPr>
                <w:rFonts w:hint="eastAsia" w:ascii="宋体" w:hAnsi="宋体"/>
                <w:sz w:val="24"/>
              </w:rPr>
              <w:t>单位</w:t>
            </w:r>
          </w:p>
        </w:tc>
        <w:tc>
          <w:tcPr>
            <w:tcW w:w="850" w:type="dxa"/>
            <w:tcBorders>
              <w:top w:val="single" w:color="auto" w:sz="6" w:space="0"/>
              <w:left w:val="single" w:color="auto" w:sz="4" w:space="0"/>
              <w:bottom w:val="single" w:color="auto" w:sz="6" w:space="0"/>
              <w:right w:val="single" w:color="auto" w:sz="6" w:space="0"/>
            </w:tcBorders>
            <w:vAlign w:val="center"/>
          </w:tcPr>
          <w:p w14:paraId="026925F7">
            <w:pPr>
              <w:spacing w:line="360" w:lineRule="exact"/>
              <w:jc w:val="center"/>
              <w:rPr>
                <w:rFonts w:hint="eastAsia" w:ascii="宋体" w:hAnsi="宋体"/>
                <w:sz w:val="24"/>
              </w:rPr>
            </w:pPr>
            <w:r>
              <w:rPr>
                <w:rFonts w:hint="eastAsia" w:ascii="宋体" w:hAnsi="宋体"/>
                <w:sz w:val="24"/>
              </w:rPr>
              <w:t>单价</w:t>
            </w:r>
          </w:p>
        </w:tc>
        <w:tc>
          <w:tcPr>
            <w:tcW w:w="1276" w:type="dxa"/>
            <w:tcBorders>
              <w:top w:val="single" w:color="auto" w:sz="6" w:space="0"/>
              <w:left w:val="single" w:color="auto" w:sz="6" w:space="0"/>
              <w:bottom w:val="single" w:color="auto" w:sz="6" w:space="0"/>
              <w:right w:val="single" w:color="auto" w:sz="4" w:space="0"/>
            </w:tcBorders>
            <w:vAlign w:val="center"/>
          </w:tcPr>
          <w:p w14:paraId="73B073DA">
            <w:pPr>
              <w:spacing w:line="360" w:lineRule="exact"/>
              <w:jc w:val="center"/>
              <w:rPr>
                <w:rFonts w:hint="eastAsia" w:ascii="宋体" w:hAnsi="宋体"/>
                <w:sz w:val="24"/>
              </w:rPr>
            </w:pPr>
            <w:r>
              <w:rPr>
                <w:rFonts w:hint="eastAsia" w:ascii="宋体" w:hAnsi="宋体"/>
                <w:sz w:val="24"/>
              </w:rPr>
              <w:t>投标单项总价</w:t>
            </w:r>
          </w:p>
        </w:tc>
        <w:tc>
          <w:tcPr>
            <w:tcW w:w="850" w:type="dxa"/>
            <w:tcBorders>
              <w:top w:val="single" w:color="auto" w:sz="6" w:space="0"/>
              <w:left w:val="single" w:color="auto" w:sz="4" w:space="0"/>
              <w:bottom w:val="single" w:color="auto" w:sz="6" w:space="0"/>
              <w:right w:val="single" w:color="auto" w:sz="4" w:space="0"/>
            </w:tcBorders>
          </w:tcPr>
          <w:p w14:paraId="1DC14754">
            <w:pPr>
              <w:spacing w:line="360" w:lineRule="exact"/>
              <w:jc w:val="center"/>
              <w:rPr>
                <w:rFonts w:hint="eastAsia" w:ascii="宋体" w:hAnsi="宋体"/>
                <w:sz w:val="24"/>
              </w:rPr>
            </w:pPr>
          </w:p>
          <w:p w14:paraId="46FEB647">
            <w:pPr>
              <w:spacing w:line="360" w:lineRule="exact"/>
              <w:jc w:val="center"/>
              <w:rPr>
                <w:rFonts w:hint="eastAsia" w:ascii="宋体" w:hAnsi="宋体"/>
                <w:sz w:val="24"/>
              </w:rPr>
            </w:pPr>
          </w:p>
          <w:p w14:paraId="330FA698">
            <w:pPr>
              <w:spacing w:line="360" w:lineRule="exact"/>
              <w:jc w:val="center"/>
              <w:rPr>
                <w:rFonts w:hint="eastAsia" w:ascii="宋体" w:hAnsi="宋体"/>
                <w:sz w:val="24"/>
              </w:rPr>
            </w:pPr>
            <w:r>
              <w:rPr>
                <w:rFonts w:hint="eastAsia" w:ascii="宋体" w:hAnsi="宋体" w:cs="宋体"/>
                <w:bCs/>
                <w:kern w:val="0"/>
                <w:sz w:val="24"/>
              </w:rPr>
              <w:t>合同履行期限</w:t>
            </w:r>
          </w:p>
        </w:tc>
        <w:tc>
          <w:tcPr>
            <w:tcW w:w="851" w:type="dxa"/>
            <w:tcBorders>
              <w:top w:val="single" w:color="auto" w:sz="6" w:space="0"/>
              <w:left w:val="single" w:color="auto" w:sz="4" w:space="0"/>
              <w:bottom w:val="single" w:color="auto" w:sz="6" w:space="0"/>
              <w:right w:val="single" w:color="auto" w:sz="4" w:space="0"/>
            </w:tcBorders>
            <w:vAlign w:val="center"/>
          </w:tcPr>
          <w:p w14:paraId="0039BBA2">
            <w:pPr>
              <w:spacing w:line="360" w:lineRule="exact"/>
              <w:jc w:val="center"/>
              <w:rPr>
                <w:rFonts w:hint="eastAsia" w:ascii="宋体" w:hAnsi="宋体"/>
                <w:sz w:val="24"/>
              </w:rPr>
            </w:pPr>
            <w:r>
              <w:rPr>
                <w:rFonts w:hint="eastAsia" w:ascii="宋体" w:hAnsi="宋体"/>
                <w:sz w:val="24"/>
              </w:rPr>
              <w:t>优惠政策产品扣除2%后单项总价</w:t>
            </w:r>
          </w:p>
        </w:tc>
      </w:tr>
      <w:tr w14:paraId="5674BAA7">
        <w:tblPrEx>
          <w:tblCellMar>
            <w:top w:w="0" w:type="dxa"/>
            <w:left w:w="54" w:type="dxa"/>
            <w:bottom w:w="0" w:type="dxa"/>
            <w:right w:w="54" w:type="dxa"/>
          </w:tblCellMar>
        </w:tblPrEx>
        <w:trPr>
          <w:cantSplit/>
          <w:trHeight w:val="120" w:hRule="atLeast"/>
        </w:trPr>
        <w:tc>
          <w:tcPr>
            <w:tcW w:w="597" w:type="dxa"/>
            <w:tcBorders>
              <w:top w:val="single" w:color="auto" w:sz="6" w:space="0"/>
              <w:left w:val="single" w:color="auto" w:sz="6" w:space="0"/>
              <w:bottom w:val="single" w:color="auto" w:sz="4" w:space="0"/>
              <w:right w:val="single" w:color="auto" w:sz="6" w:space="0"/>
            </w:tcBorders>
          </w:tcPr>
          <w:p w14:paraId="17F5ACCC">
            <w:pPr>
              <w:spacing w:line="360" w:lineRule="exact"/>
              <w:rPr>
                <w:rFonts w:hint="eastAsia" w:ascii="宋体" w:hAnsi="宋体"/>
                <w:sz w:val="24"/>
              </w:rPr>
            </w:pPr>
          </w:p>
        </w:tc>
        <w:tc>
          <w:tcPr>
            <w:tcW w:w="1224" w:type="dxa"/>
            <w:tcBorders>
              <w:top w:val="single" w:color="auto" w:sz="6" w:space="0"/>
              <w:left w:val="single" w:color="auto" w:sz="6" w:space="0"/>
              <w:bottom w:val="single" w:color="auto" w:sz="4" w:space="0"/>
              <w:right w:val="single" w:color="auto" w:sz="6" w:space="0"/>
            </w:tcBorders>
          </w:tcPr>
          <w:p w14:paraId="7F747347">
            <w:pPr>
              <w:spacing w:line="360" w:lineRule="exact"/>
              <w:rPr>
                <w:rFonts w:hint="eastAsia" w:ascii="宋体" w:hAnsi="宋体"/>
                <w:sz w:val="24"/>
              </w:rPr>
            </w:pPr>
          </w:p>
        </w:tc>
        <w:tc>
          <w:tcPr>
            <w:tcW w:w="1210" w:type="dxa"/>
            <w:tcBorders>
              <w:top w:val="single" w:color="auto" w:sz="6" w:space="0"/>
              <w:left w:val="single" w:color="auto" w:sz="6" w:space="0"/>
              <w:bottom w:val="single" w:color="auto" w:sz="4" w:space="0"/>
              <w:right w:val="single" w:color="auto" w:sz="6" w:space="0"/>
            </w:tcBorders>
          </w:tcPr>
          <w:p w14:paraId="09563D6C">
            <w:pPr>
              <w:spacing w:line="360" w:lineRule="exact"/>
              <w:rPr>
                <w:rFonts w:hint="eastAsia" w:ascii="宋体" w:hAnsi="宋体"/>
                <w:sz w:val="24"/>
              </w:rPr>
            </w:pPr>
          </w:p>
        </w:tc>
        <w:tc>
          <w:tcPr>
            <w:tcW w:w="1418" w:type="dxa"/>
            <w:tcBorders>
              <w:top w:val="single" w:color="auto" w:sz="6" w:space="0"/>
              <w:left w:val="single" w:color="auto" w:sz="6" w:space="0"/>
              <w:bottom w:val="single" w:color="auto" w:sz="4" w:space="0"/>
              <w:right w:val="single" w:color="auto" w:sz="6" w:space="0"/>
            </w:tcBorders>
          </w:tcPr>
          <w:p w14:paraId="38701F33">
            <w:pPr>
              <w:spacing w:line="360" w:lineRule="exact"/>
              <w:rPr>
                <w:rFonts w:hint="eastAsia" w:ascii="宋体" w:hAnsi="宋体"/>
                <w:sz w:val="24"/>
              </w:rPr>
            </w:pPr>
          </w:p>
        </w:tc>
        <w:tc>
          <w:tcPr>
            <w:tcW w:w="850" w:type="dxa"/>
            <w:tcBorders>
              <w:top w:val="single" w:color="auto" w:sz="6" w:space="0"/>
              <w:left w:val="single" w:color="auto" w:sz="6" w:space="0"/>
              <w:bottom w:val="single" w:color="auto" w:sz="4" w:space="0"/>
              <w:right w:val="single" w:color="auto" w:sz="4" w:space="0"/>
            </w:tcBorders>
          </w:tcPr>
          <w:p w14:paraId="6B85F68B">
            <w:pPr>
              <w:spacing w:line="360" w:lineRule="exact"/>
              <w:rPr>
                <w:rFonts w:hint="eastAsia" w:ascii="宋体" w:hAnsi="宋体"/>
                <w:sz w:val="24"/>
              </w:rPr>
            </w:pPr>
          </w:p>
        </w:tc>
        <w:tc>
          <w:tcPr>
            <w:tcW w:w="851" w:type="dxa"/>
            <w:tcBorders>
              <w:top w:val="single" w:color="auto" w:sz="6" w:space="0"/>
              <w:left w:val="single" w:color="auto" w:sz="4" w:space="0"/>
              <w:bottom w:val="single" w:color="auto" w:sz="4" w:space="0"/>
              <w:right w:val="single" w:color="auto" w:sz="4" w:space="0"/>
            </w:tcBorders>
          </w:tcPr>
          <w:p w14:paraId="7D6BAE15">
            <w:pPr>
              <w:spacing w:line="360" w:lineRule="exact"/>
              <w:rPr>
                <w:rFonts w:hint="eastAsia" w:ascii="宋体" w:hAnsi="宋体"/>
                <w:sz w:val="24"/>
              </w:rPr>
            </w:pPr>
          </w:p>
        </w:tc>
        <w:tc>
          <w:tcPr>
            <w:tcW w:w="850" w:type="dxa"/>
            <w:tcBorders>
              <w:top w:val="single" w:color="auto" w:sz="6" w:space="0"/>
              <w:left w:val="single" w:color="auto" w:sz="4" w:space="0"/>
              <w:bottom w:val="single" w:color="auto" w:sz="4" w:space="0"/>
              <w:right w:val="single" w:color="auto" w:sz="6" w:space="0"/>
            </w:tcBorders>
          </w:tcPr>
          <w:p w14:paraId="058C7C37">
            <w:pPr>
              <w:spacing w:line="360" w:lineRule="exact"/>
              <w:rPr>
                <w:rFonts w:hint="eastAsia" w:ascii="宋体" w:hAnsi="宋体"/>
                <w:sz w:val="24"/>
              </w:rPr>
            </w:pPr>
          </w:p>
        </w:tc>
        <w:tc>
          <w:tcPr>
            <w:tcW w:w="1276" w:type="dxa"/>
            <w:tcBorders>
              <w:top w:val="single" w:color="auto" w:sz="6" w:space="0"/>
              <w:left w:val="single" w:color="auto" w:sz="6" w:space="0"/>
              <w:bottom w:val="single" w:color="auto" w:sz="4" w:space="0"/>
              <w:right w:val="single" w:color="auto" w:sz="4" w:space="0"/>
            </w:tcBorders>
          </w:tcPr>
          <w:p w14:paraId="367D8B4A">
            <w:pPr>
              <w:spacing w:line="360" w:lineRule="exact"/>
              <w:rPr>
                <w:rFonts w:hint="eastAsia" w:ascii="宋体" w:hAnsi="宋体"/>
                <w:sz w:val="24"/>
              </w:rPr>
            </w:pPr>
          </w:p>
        </w:tc>
        <w:tc>
          <w:tcPr>
            <w:tcW w:w="850" w:type="dxa"/>
            <w:tcBorders>
              <w:top w:val="single" w:color="auto" w:sz="6" w:space="0"/>
              <w:left w:val="single" w:color="auto" w:sz="4" w:space="0"/>
              <w:bottom w:val="single" w:color="auto" w:sz="4" w:space="0"/>
              <w:right w:val="single" w:color="auto" w:sz="4" w:space="0"/>
            </w:tcBorders>
          </w:tcPr>
          <w:p w14:paraId="5BA2E57C">
            <w:pPr>
              <w:spacing w:line="360" w:lineRule="exact"/>
              <w:rPr>
                <w:rFonts w:hint="eastAsia" w:ascii="宋体" w:hAnsi="宋体"/>
                <w:sz w:val="24"/>
              </w:rPr>
            </w:pPr>
          </w:p>
        </w:tc>
        <w:tc>
          <w:tcPr>
            <w:tcW w:w="851" w:type="dxa"/>
            <w:tcBorders>
              <w:top w:val="single" w:color="auto" w:sz="6" w:space="0"/>
              <w:left w:val="single" w:color="auto" w:sz="4" w:space="0"/>
              <w:bottom w:val="single" w:color="auto" w:sz="4" w:space="0"/>
              <w:right w:val="single" w:color="auto" w:sz="4" w:space="0"/>
            </w:tcBorders>
          </w:tcPr>
          <w:p w14:paraId="572A06C2">
            <w:pPr>
              <w:spacing w:line="360" w:lineRule="exact"/>
              <w:rPr>
                <w:rFonts w:hint="eastAsia" w:ascii="宋体" w:hAnsi="宋体"/>
                <w:sz w:val="24"/>
              </w:rPr>
            </w:pPr>
          </w:p>
        </w:tc>
      </w:tr>
      <w:tr w14:paraId="5A2F241F">
        <w:tblPrEx>
          <w:tblCellMar>
            <w:top w:w="0" w:type="dxa"/>
            <w:left w:w="54" w:type="dxa"/>
            <w:bottom w:w="0" w:type="dxa"/>
            <w:right w:w="54" w:type="dxa"/>
          </w:tblCellMar>
        </w:tblPrEx>
        <w:trPr>
          <w:cantSplit/>
          <w:trHeight w:val="150" w:hRule="atLeast"/>
        </w:trPr>
        <w:tc>
          <w:tcPr>
            <w:tcW w:w="597" w:type="dxa"/>
            <w:tcBorders>
              <w:top w:val="single" w:color="auto" w:sz="4" w:space="0"/>
              <w:left w:val="single" w:color="auto" w:sz="6" w:space="0"/>
              <w:bottom w:val="single" w:color="auto" w:sz="4" w:space="0"/>
              <w:right w:val="single" w:color="auto" w:sz="6" w:space="0"/>
            </w:tcBorders>
          </w:tcPr>
          <w:p w14:paraId="77D81F64">
            <w:pPr>
              <w:spacing w:line="360" w:lineRule="exact"/>
              <w:rPr>
                <w:rFonts w:hint="eastAsia" w:ascii="宋体" w:hAnsi="宋体"/>
                <w:sz w:val="24"/>
              </w:rPr>
            </w:pPr>
          </w:p>
        </w:tc>
        <w:tc>
          <w:tcPr>
            <w:tcW w:w="1224" w:type="dxa"/>
            <w:tcBorders>
              <w:top w:val="single" w:color="auto" w:sz="4" w:space="0"/>
              <w:left w:val="single" w:color="auto" w:sz="6" w:space="0"/>
              <w:bottom w:val="single" w:color="auto" w:sz="4" w:space="0"/>
              <w:right w:val="single" w:color="auto" w:sz="6" w:space="0"/>
            </w:tcBorders>
          </w:tcPr>
          <w:p w14:paraId="496417AA">
            <w:pPr>
              <w:spacing w:line="360" w:lineRule="exact"/>
              <w:rPr>
                <w:rFonts w:hint="eastAsia" w:ascii="宋体" w:hAnsi="宋体"/>
                <w:sz w:val="24"/>
              </w:rPr>
            </w:pPr>
          </w:p>
        </w:tc>
        <w:tc>
          <w:tcPr>
            <w:tcW w:w="1210" w:type="dxa"/>
            <w:tcBorders>
              <w:top w:val="single" w:color="auto" w:sz="4" w:space="0"/>
              <w:left w:val="single" w:color="auto" w:sz="6" w:space="0"/>
              <w:bottom w:val="single" w:color="auto" w:sz="4" w:space="0"/>
              <w:right w:val="single" w:color="auto" w:sz="6" w:space="0"/>
            </w:tcBorders>
          </w:tcPr>
          <w:p w14:paraId="18C2736F">
            <w:pPr>
              <w:spacing w:line="360" w:lineRule="exact"/>
              <w:rPr>
                <w:rFonts w:hint="eastAsia" w:ascii="宋体" w:hAnsi="宋体"/>
                <w:sz w:val="24"/>
              </w:rPr>
            </w:pPr>
          </w:p>
        </w:tc>
        <w:tc>
          <w:tcPr>
            <w:tcW w:w="1418" w:type="dxa"/>
            <w:tcBorders>
              <w:top w:val="single" w:color="auto" w:sz="4" w:space="0"/>
              <w:left w:val="single" w:color="auto" w:sz="6" w:space="0"/>
              <w:bottom w:val="single" w:color="auto" w:sz="4" w:space="0"/>
              <w:right w:val="single" w:color="auto" w:sz="6" w:space="0"/>
            </w:tcBorders>
          </w:tcPr>
          <w:p w14:paraId="0F6BEB62">
            <w:pPr>
              <w:spacing w:line="360" w:lineRule="exact"/>
              <w:rPr>
                <w:rFonts w:hint="eastAsia" w:ascii="宋体" w:hAnsi="宋体"/>
                <w:sz w:val="24"/>
              </w:rPr>
            </w:pPr>
          </w:p>
        </w:tc>
        <w:tc>
          <w:tcPr>
            <w:tcW w:w="850" w:type="dxa"/>
            <w:tcBorders>
              <w:top w:val="single" w:color="auto" w:sz="4" w:space="0"/>
              <w:left w:val="single" w:color="auto" w:sz="6" w:space="0"/>
              <w:bottom w:val="single" w:color="auto" w:sz="4" w:space="0"/>
              <w:right w:val="single" w:color="auto" w:sz="4" w:space="0"/>
            </w:tcBorders>
          </w:tcPr>
          <w:p w14:paraId="18CF9B1E">
            <w:pPr>
              <w:spacing w:line="360" w:lineRule="exact"/>
              <w:rPr>
                <w:rFonts w:hint="eastAsia"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2496CCE8">
            <w:pPr>
              <w:spacing w:line="360" w:lineRule="exact"/>
              <w:rPr>
                <w:rFonts w:hint="eastAsia" w:ascii="宋体" w:hAnsi="宋体"/>
                <w:sz w:val="24"/>
              </w:rPr>
            </w:pPr>
          </w:p>
        </w:tc>
        <w:tc>
          <w:tcPr>
            <w:tcW w:w="850" w:type="dxa"/>
            <w:tcBorders>
              <w:top w:val="single" w:color="auto" w:sz="4" w:space="0"/>
              <w:left w:val="single" w:color="auto" w:sz="4" w:space="0"/>
              <w:bottom w:val="single" w:color="auto" w:sz="4" w:space="0"/>
              <w:right w:val="single" w:color="auto" w:sz="6" w:space="0"/>
            </w:tcBorders>
          </w:tcPr>
          <w:p w14:paraId="221700C5">
            <w:pPr>
              <w:spacing w:line="360" w:lineRule="exact"/>
              <w:rPr>
                <w:rFonts w:hint="eastAsia" w:ascii="宋体" w:hAnsi="宋体"/>
                <w:sz w:val="24"/>
              </w:rPr>
            </w:pPr>
          </w:p>
        </w:tc>
        <w:tc>
          <w:tcPr>
            <w:tcW w:w="1276" w:type="dxa"/>
            <w:tcBorders>
              <w:top w:val="single" w:color="auto" w:sz="4" w:space="0"/>
              <w:left w:val="single" w:color="auto" w:sz="6" w:space="0"/>
              <w:bottom w:val="single" w:color="auto" w:sz="4" w:space="0"/>
              <w:right w:val="single" w:color="auto" w:sz="4" w:space="0"/>
            </w:tcBorders>
          </w:tcPr>
          <w:p w14:paraId="7ADE62B7">
            <w:pPr>
              <w:spacing w:line="360" w:lineRule="exact"/>
              <w:rPr>
                <w:rFonts w:hint="eastAsia"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30776793">
            <w:pPr>
              <w:spacing w:line="360" w:lineRule="exact"/>
              <w:rPr>
                <w:rFonts w:hint="eastAsia"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683A2FE6">
            <w:pPr>
              <w:spacing w:line="360" w:lineRule="exact"/>
              <w:rPr>
                <w:rFonts w:hint="eastAsia" w:ascii="宋体" w:hAnsi="宋体"/>
                <w:sz w:val="24"/>
              </w:rPr>
            </w:pPr>
          </w:p>
        </w:tc>
      </w:tr>
      <w:tr w14:paraId="66CE8643">
        <w:tblPrEx>
          <w:tblCellMar>
            <w:top w:w="0" w:type="dxa"/>
            <w:left w:w="54" w:type="dxa"/>
            <w:bottom w:w="0" w:type="dxa"/>
            <w:right w:w="54" w:type="dxa"/>
          </w:tblCellMar>
        </w:tblPrEx>
        <w:trPr>
          <w:cantSplit/>
          <w:trHeight w:val="150" w:hRule="atLeast"/>
        </w:trPr>
        <w:tc>
          <w:tcPr>
            <w:tcW w:w="597" w:type="dxa"/>
            <w:tcBorders>
              <w:top w:val="single" w:color="auto" w:sz="4" w:space="0"/>
              <w:left w:val="single" w:color="auto" w:sz="6" w:space="0"/>
              <w:bottom w:val="single" w:color="auto" w:sz="4" w:space="0"/>
              <w:right w:val="single" w:color="auto" w:sz="6" w:space="0"/>
            </w:tcBorders>
          </w:tcPr>
          <w:p w14:paraId="1F726129">
            <w:pPr>
              <w:spacing w:line="360" w:lineRule="exact"/>
              <w:rPr>
                <w:rFonts w:hint="eastAsia" w:ascii="宋体" w:hAnsi="宋体"/>
                <w:sz w:val="24"/>
              </w:rPr>
            </w:pPr>
          </w:p>
        </w:tc>
        <w:tc>
          <w:tcPr>
            <w:tcW w:w="1224" w:type="dxa"/>
            <w:tcBorders>
              <w:top w:val="single" w:color="auto" w:sz="4" w:space="0"/>
              <w:left w:val="single" w:color="auto" w:sz="6" w:space="0"/>
              <w:bottom w:val="single" w:color="auto" w:sz="4" w:space="0"/>
              <w:right w:val="single" w:color="auto" w:sz="6" w:space="0"/>
            </w:tcBorders>
          </w:tcPr>
          <w:p w14:paraId="3FF18395">
            <w:pPr>
              <w:spacing w:line="360" w:lineRule="exact"/>
              <w:rPr>
                <w:rFonts w:hint="eastAsia" w:ascii="宋体" w:hAnsi="宋体"/>
                <w:sz w:val="24"/>
              </w:rPr>
            </w:pPr>
          </w:p>
        </w:tc>
        <w:tc>
          <w:tcPr>
            <w:tcW w:w="1210" w:type="dxa"/>
            <w:tcBorders>
              <w:top w:val="single" w:color="auto" w:sz="4" w:space="0"/>
              <w:left w:val="single" w:color="auto" w:sz="6" w:space="0"/>
              <w:bottom w:val="single" w:color="auto" w:sz="4" w:space="0"/>
              <w:right w:val="single" w:color="auto" w:sz="6" w:space="0"/>
            </w:tcBorders>
          </w:tcPr>
          <w:p w14:paraId="7C64B25A">
            <w:pPr>
              <w:spacing w:line="360" w:lineRule="exact"/>
              <w:rPr>
                <w:rFonts w:hint="eastAsia" w:ascii="宋体" w:hAnsi="宋体"/>
                <w:sz w:val="24"/>
              </w:rPr>
            </w:pPr>
          </w:p>
        </w:tc>
        <w:tc>
          <w:tcPr>
            <w:tcW w:w="1418" w:type="dxa"/>
            <w:tcBorders>
              <w:top w:val="single" w:color="auto" w:sz="4" w:space="0"/>
              <w:left w:val="single" w:color="auto" w:sz="6" w:space="0"/>
              <w:bottom w:val="single" w:color="auto" w:sz="4" w:space="0"/>
              <w:right w:val="single" w:color="auto" w:sz="6" w:space="0"/>
            </w:tcBorders>
          </w:tcPr>
          <w:p w14:paraId="5EA4F8BA">
            <w:pPr>
              <w:spacing w:line="360" w:lineRule="exact"/>
              <w:rPr>
                <w:rFonts w:hint="eastAsia" w:ascii="宋体" w:hAnsi="宋体"/>
                <w:sz w:val="24"/>
              </w:rPr>
            </w:pPr>
          </w:p>
        </w:tc>
        <w:tc>
          <w:tcPr>
            <w:tcW w:w="850" w:type="dxa"/>
            <w:tcBorders>
              <w:top w:val="single" w:color="auto" w:sz="4" w:space="0"/>
              <w:left w:val="single" w:color="auto" w:sz="6" w:space="0"/>
              <w:bottom w:val="single" w:color="auto" w:sz="4" w:space="0"/>
              <w:right w:val="single" w:color="auto" w:sz="4" w:space="0"/>
            </w:tcBorders>
          </w:tcPr>
          <w:p w14:paraId="017857D1">
            <w:pPr>
              <w:spacing w:line="360" w:lineRule="exact"/>
              <w:rPr>
                <w:rFonts w:hint="eastAsia"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00178103">
            <w:pPr>
              <w:spacing w:line="360" w:lineRule="exact"/>
              <w:rPr>
                <w:rFonts w:hint="eastAsia" w:ascii="宋体" w:hAnsi="宋体"/>
                <w:sz w:val="24"/>
              </w:rPr>
            </w:pPr>
          </w:p>
        </w:tc>
        <w:tc>
          <w:tcPr>
            <w:tcW w:w="850" w:type="dxa"/>
            <w:tcBorders>
              <w:top w:val="single" w:color="auto" w:sz="4" w:space="0"/>
              <w:left w:val="single" w:color="auto" w:sz="4" w:space="0"/>
              <w:bottom w:val="single" w:color="auto" w:sz="4" w:space="0"/>
              <w:right w:val="single" w:color="auto" w:sz="6" w:space="0"/>
            </w:tcBorders>
          </w:tcPr>
          <w:p w14:paraId="5AFB04DD">
            <w:pPr>
              <w:spacing w:line="360" w:lineRule="exact"/>
              <w:rPr>
                <w:rFonts w:hint="eastAsia" w:ascii="宋体" w:hAnsi="宋体"/>
                <w:sz w:val="24"/>
              </w:rPr>
            </w:pPr>
          </w:p>
        </w:tc>
        <w:tc>
          <w:tcPr>
            <w:tcW w:w="1276" w:type="dxa"/>
            <w:tcBorders>
              <w:top w:val="single" w:color="auto" w:sz="4" w:space="0"/>
              <w:left w:val="single" w:color="auto" w:sz="6" w:space="0"/>
              <w:bottom w:val="single" w:color="auto" w:sz="4" w:space="0"/>
              <w:right w:val="single" w:color="auto" w:sz="4" w:space="0"/>
            </w:tcBorders>
          </w:tcPr>
          <w:p w14:paraId="75D45C4A">
            <w:pPr>
              <w:spacing w:line="360" w:lineRule="exact"/>
              <w:rPr>
                <w:rFonts w:hint="eastAsia"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7AB96005">
            <w:pPr>
              <w:spacing w:line="360" w:lineRule="exact"/>
              <w:rPr>
                <w:rFonts w:hint="eastAsia"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4B3934E1">
            <w:pPr>
              <w:spacing w:line="360" w:lineRule="exact"/>
              <w:rPr>
                <w:rFonts w:hint="eastAsia" w:ascii="宋体" w:hAnsi="宋体"/>
                <w:sz w:val="24"/>
              </w:rPr>
            </w:pPr>
          </w:p>
        </w:tc>
      </w:tr>
      <w:tr w14:paraId="3AF88C8B">
        <w:tblPrEx>
          <w:tblCellMar>
            <w:top w:w="0" w:type="dxa"/>
            <w:left w:w="54" w:type="dxa"/>
            <w:bottom w:w="0" w:type="dxa"/>
            <w:right w:w="54" w:type="dxa"/>
          </w:tblCellMar>
        </w:tblPrEx>
        <w:trPr>
          <w:cantSplit/>
          <w:trHeight w:val="195" w:hRule="atLeast"/>
        </w:trPr>
        <w:tc>
          <w:tcPr>
            <w:tcW w:w="597" w:type="dxa"/>
            <w:tcBorders>
              <w:top w:val="single" w:color="auto" w:sz="4" w:space="0"/>
              <w:left w:val="single" w:color="auto" w:sz="6" w:space="0"/>
              <w:bottom w:val="single" w:color="auto" w:sz="4" w:space="0"/>
              <w:right w:val="single" w:color="auto" w:sz="6" w:space="0"/>
            </w:tcBorders>
          </w:tcPr>
          <w:p w14:paraId="2883D257">
            <w:pPr>
              <w:spacing w:line="360" w:lineRule="exact"/>
              <w:rPr>
                <w:rFonts w:hint="eastAsia" w:ascii="宋体" w:hAnsi="宋体"/>
                <w:sz w:val="24"/>
              </w:rPr>
            </w:pPr>
          </w:p>
        </w:tc>
        <w:tc>
          <w:tcPr>
            <w:tcW w:w="1224" w:type="dxa"/>
            <w:tcBorders>
              <w:top w:val="single" w:color="auto" w:sz="4" w:space="0"/>
              <w:left w:val="single" w:color="auto" w:sz="6" w:space="0"/>
              <w:bottom w:val="single" w:color="auto" w:sz="4" w:space="0"/>
              <w:right w:val="single" w:color="auto" w:sz="6" w:space="0"/>
            </w:tcBorders>
          </w:tcPr>
          <w:p w14:paraId="0B0E88C4">
            <w:pPr>
              <w:spacing w:line="360" w:lineRule="exact"/>
              <w:rPr>
                <w:rFonts w:hint="eastAsia" w:ascii="宋体" w:hAnsi="宋体"/>
                <w:sz w:val="24"/>
              </w:rPr>
            </w:pPr>
          </w:p>
        </w:tc>
        <w:tc>
          <w:tcPr>
            <w:tcW w:w="1210" w:type="dxa"/>
            <w:tcBorders>
              <w:top w:val="single" w:color="auto" w:sz="4" w:space="0"/>
              <w:left w:val="single" w:color="auto" w:sz="6" w:space="0"/>
              <w:bottom w:val="single" w:color="auto" w:sz="4" w:space="0"/>
              <w:right w:val="single" w:color="auto" w:sz="6" w:space="0"/>
            </w:tcBorders>
          </w:tcPr>
          <w:p w14:paraId="452FDFB1">
            <w:pPr>
              <w:spacing w:line="360" w:lineRule="exact"/>
              <w:rPr>
                <w:rFonts w:hint="eastAsia" w:ascii="宋体" w:hAnsi="宋体"/>
                <w:sz w:val="24"/>
              </w:rPr>
            </w:pPr>
          </w:p>
        </w:tc>
        <w:tc>
          <w:tcPr>
            <w:tcW w:w="1418" w:type="dxa"/>
            <w:tcBorders>
              <w:top w:val="single" w:color="auto" w:sz="4" w:space="0"/>
              <w:left w:val="single" w:color="auto" w:sz="6" w:space="0"/>
              <w:bottom w:val="single" w:color="auto" w:sz="4" w:space="0"/>
              <w:right w:val="single" w:color="auto" w:sz="6" w:space="0"/>
            </w:tcBorders>
          </w:tcPr>
          <w:p w14:paraId="2AF58D3B">
            <w:pPr>
              <w:spacing w:line="360" w:lineRule="exact"/>
              <w:rPr>
                <w:rFonts w:hint="eastAsia" w:ascii="宋体" w:hAnsi="宋体"/>
                <w:sz w:val="24"/>
              </w:rPr>
            </w:pPr>
          </w:p>
        </w:tc>
        <w:tc>
          <w:tcPr>
            <w:tcW w:w="850" w:type="dxa"/>
            <w:tcBorders>
              <w:top w:val="single" w:color="auto" w:sz="4" w:space="0"/>
              <w:left w:val="single" w:color="auto" w:sz="6" w:space="0"/>
              <w:bottom w:val="single" w:color="auto" w:sz="4" w:space="0"/>
              <w:right w:val="single" w:color="auto" w:sz="4" w:space="0"/>
            </w:tcBorders>
          </w:tcPr>
          <w:p w14:paraId="28D56F98">
            <w:pPr>
              <w:spacing w:line="360" w:lineRule="exact"/>
              <w:rPr>
                <w:rFonts w:hint="eastAsia"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60EF0192">
            <w:pPr>
              <w:spacing w:line="360" w:lineRule="exact"/>
              <w:rPr>
                <w:rFonts w:hint="eastAsia" w:ascii="宋体" w:hAnsi="宋体"/>
                <w:sz w:val="24"/>
              </w:rPr>
            </w:pPr>
          </w:p>
        </w:tc>
        <w:tc>
          <w:tcPr>
            <w:tcW w:w="850" w:type="dxa"/>
            <w:tcBorders>
              <w:top w:val="single" w:color="auto" w:sz="4" w:space="0"/>
              <w:left w:val="single" w:color="auto" w:sz="4" w:space="0"/>
              <w:bottom w:val="single" w:color="auto" w:sz="4" w:space="0"/>
              <w:right w:val="single" w:color="auto" w:sz="6" w:space="0"/>
            </w:tcBorders>
          </w:tcPr>
          <w:p w14:paraId="101E0837">
            <w:pPr>
              <w:spacing w:line="360" w:lineRule="exact"/>
              <w:rPr>
                <w:rFonts w:hint="eastAsia" w:ascii="宋体" w:hAnsi="宋体"/>
                <w:sz w:val="24"/>
              </w:rPr>
            </w:pPr>
          </w:p>
        </w:tc>
        <w:tc>
          <w:tcPr>
            <w:tcW w:w="1276" w:type="dxa"/>
            <w:tcBorders>
              <w:top w:val="single" w:color="auto" w:sz="4" w:space="0"/>
              <w:left w:val="single" w:color="auto" w:sz="6" w:space="0"/>
              <w:bottom w:val="single" w:color="auto" w:sz="4" w:space="0"/>
              <w:right w:val="single" w:color="auto" w:sz="4" w:space="0"/>
            </w:tcBorders>
          </w:tcPr>
          <w:p w14:paraId="06761BD4">
            <w:pPr>
              <w:spacing w:line="360" w:lineRule="exact"/>
              <w:rPr>
                <w:rFonts w:hint="eastAsia"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22B2A989">
            <w:pPr>
              <w:spacing w:line="360" w:lineRule="exact"/>
              <w:rPr>
                <w:rFonts w:hint="eastAsia"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637EFDC5">
            <w:pPr>
              <w:spacing w:line="360" w:lineRule="exact"/>
              <w:rPr>
                <w:rFonts w:hint="eastAsia" w:ascii="宋体" w:hAnsi="宋体"/>
                <w:sz w:val="24"/>
              </w:rPr>
            </w:pPr>
          </w:p>
        </w:tc>
      </w:tr>
      <w:tr w14:paraId="27430BF2">
        <w:tblPrEx>
          <w:tblCellMar>
            <w:top w:w="0" w:type="dxa"/>
            <w:left w:w="54" w:type="dxa"/>
            <w:bottom w:w="0" w:type="dxa"/>
            <w:right w:w="54" w:type="dxa"/>
          </w:tblCellMar>
        </w:tblPrEx>
        <w:trPr>
          <w:cantSplit/>
          <w:trHeight w:val="150" w:hRule="atLeast"/>
        </w:trPr>
        <w:tc>
          <w:tcPr>
            <w:tcW w:w="597" w:type="dxa"/>
            <w:tcBorders>
              <w:top w:val="single" w:color="auto" w:sz="4" w:space="0"/>
              <w:left w:val="single" w:color="auto" w:sz="6" w:space="0"/>
              <w:bottom w:val="single" w:color="auto" w:sz="4" w:space="0"/>
              <w:right w:val="single" w:color="auto" w:sz="6" w:space="0"/>
            </w:tcBorders>
          </w:tcPr>
          <w:p w14:paraId="1F2DD191">
            <w:pPr>
              <w:spacing w:line="360" w:lineRule="exact"/>
              <w:rPr>
                <w:rFonts w:hint="eastAsia" w:ascii="宋体" w:hAnsi="宋体"/>
                <w:sz w:val="24"/>
              </w:rPr>
            </w:pPr>
          </w:p>
        </w:tc>
        <w:tc>
          <w:tcPr>
            <w:tcW w:w="1224" w:type="dxa"/>
            <w:tcBorders>
              <w:top w:val="single" w:color="auto" w:sz="4" w:space="0"/>
              <w:left w:val="single" w:color="auto" w:sz="6" w:space="0"/>
              <w:bottom w:val="single" w:color="auto" w:sz="4" w:space="0"/>
              <w:right w:val="single" w:color="auto" w:sz="6" w:space="0"/>
            </w:tcBorders>
          </w:tcPr>
          <w:p w14:paraId="4B630995">
            <w:pPr>
              <w:spacing w:line="360" w:lineRule="exact"/>
              <w:rPr>
                <w:rFonts w:hint="eastAsia" w:ascii="宋体" w:hAnsi="宋体"/>
                <w:sz w:val="24"/>
              </w:rPr>
            </w:pPr>
          </w:p>
        </w:tc>
        <w:tc>
          <w:tcPr>
            <w:tcW w:w="1210" w:type="dxa"/>
            <w:tcBorders>
              <w:top w:val="single" w:color="auto" w:sz="4" w:space="0"/>
              <w:left w:val="single" w:color="auto" w:sz="6" w:space="0"/>
              <w:bottom w:val="single" w:color="auto" w:sz="4" w:space="0"/>
              <w:right w:val="single" w:color="auto" w:sz="6" w:space="0"/>
            </w:tcBorders>
          </w:tcPr>
          <w:p w14:paraId="3A14CD5A">
            <w:pPr>
              <w:spacing w:line="360" w:lineRule="exact"/>
              <w:rPr>
                <w:rFonts w:hint="eastAsia" w:ascii="宋体" w:hAnsi="宋体"/>
                <w:sz w:val="24"/>
              </w:rPr>
            </w:pPr>
          </w:p>
        </w:tc>
        <w:tc>
          <w:tcPr>
            <w:tcW w:w="1418" w:type="dxa"/>
            <w:tcBorders>
              <w:top w:val="single" w:color="auto" w:sz="4" w:space="0"/>
              <w:left w:val="single" w:color="auto" w:sz="6" w:space="0"/>
              <w:bottom w:val="single" w:color="auto" w:sz="4" w:space="0"/>
              <w:right w:val="single" w:color="auto" w:sz="6" w:space="0"/>
            </w:tcBorders>
          </w:tcPr>
          <w:p w14:paraId="0058E04B">
            <w:pPr>
              <w:spacing w:line="360" w:lineRule="exact"/>
              <w:rPr>
                <w:rFonts w:hint="eastAsia" w:ascii="宋体" w:hAnsi="宋体"/>
                <w:sz w:val="24"/>
              </w:rPr>
            </w:pPr>
          </w:p>
        </w:tc>
        <w:tc>
          <w:tcPr>
            <w:tcW w:w="850" w:type="dxa"/>
            <w:tcBorders>
              <w:top w:val="single" w:color="auto" w:sz="4" w:space="0"/>
              <w:left w:val="single" w:color="auto" w:sz="6" w:space="0"/>
              <w:bottom w:val="single" w:color="auto" w:sz="4" w:space="0"/>
              <w:right w:val="single" w:color="auto" w:sz="4" w:space="0"/>
            </w:tcBorders>
          </w:tcPr>
          <w:p w14:paraId="5BA5FD53">
            <w:pPr>
              <w:spacing w:line="360" w:lineRule="exact"/>
              <w:rPr>
                <w:rFonts w:hint="eastAsia"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5EE25E5D">
            <w:pPr>
              <w:spacing w:line="360" w:lineRule="exact"/>
              <w:rPr>
                <w:rFonts w:hint="eastAsia" w:ascii="宋体" w:hAnsi="宋体"/>
                <w:sz w:val="24"/>
              </w:rPr>
            </w:pPr>
          </w:p>
        </w:tc>
        <w:tc>
          <w:tcPr>
            <w:tcW w:w="850" w:type="dxa"/>
            <w:tcBorders>
              <w:top w:val="single" w:color="auto" w:sz="4" w:space="0"/>
              <w:left w:val="single" w:color="auto" w:sz="4" w:space="0"/>
              <w:bottom w:val="single" w:color="auto" w:sz="4" w:space="0"/>
              <w:right w:val="single" w:color="auto" w:sz="6" w:space="0"/>
            </w:tcBorders>
          </w:tcPr>
          <w:p w14:paraId="6C190422">
            <w:pPr>
              <w:spacing w:line="360" w:lineRule="exact"/>
              <w:rPr>
                <w:rFonts w:hint="eastAsia" w:ascii="宋体" w:hAnsi="宋体"/>
                <w:sz w:val="24"/>
              </w:rPr>
            </w:pPr>
          </w:p>
        </w:tc>
        <w:tc>
          <w:tcPr>
            <w:tcW w:w="1276" w:type="dxa"/>
            <w:tcBorders>
              <w:top w:val="single" w:color="auto" w:sz="4" w:space="0"/>
              <w:left w:val="single" w:color="auto" w:sz="6" w:space="0"/>
              <w:bottom w:val="single" w:color="auto" w:sz="4" w:space="0"/>
              <w:right w:val="single" w:color="auto" w:sz="4" w:space="0"/>
            </w:tcBorders>
          </w:tcPr>
          <w:p w14:paraId="2F2F7EFE">
            <w:pPr>
              <w:spacing w:line="360" w:lineRule="exact"/>
              <w:rPr>
                <w:rFonts w:hint="eastAsia"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207DB90C">
            <w:pPr>
              <w:spacing w:line="360" w:lineRule="exact"/>
              <w:rPr>
                <w:rFonts w:hint="eastAsia"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1449BE06">
            <w:pPr>
              <w:spacing w:line="360" w:lineRule="exact"/>
              <w:rPr>
                <w:rFonts w:hint="eastAsia" w:ascii="宋体" w:hAnsi="宋体"/>
                <w:sz w:val="24"/>
              </w:rPr>
            </w:pPr>
          </w:p>
        </w:tc>
      </w:tr>
      <w:tr w14:paraId="680D4F81">
        <w:tblPrEx>
          <w:tblCellMar>
            <w:top w:w="0" w:type="dxa"/>
            <w:left w:w="54" w:type="dxa"/>
            <w:bottom w:w="0" w:type="dxa"/>
            <w:right w:w="54" w:type="dxa"/>
          </w:tblCellMar>
        </w:tblPrEx>
        <w:trPr>
          <w:cantSplit/>
          <w:trHeight w:val="150" w:hRule="atLeast"/>
        </w:trPr>
        <w:tc>
          <w:tcPr>
            <w:tcW w:w="597" w:type="dxa"/>
            <w:tcBorders>
              <w:top w:val="single" w:color="auto" w:sz="4" w:space="0"/>
              <w:left w:val="single" w:color="auto" w:sz="6" w:space="0"/>
              <w:bottom w:val="single" w:color="auto" w:sz="4" w:space="0"/>
              <w:right w:val="single" w:color="auto" w:sz="6" w:space="0"/>
            </w:tcBorders>
          </w:tcPr>
          <w:p w14:paraId="447CFC00">
            <w:pPr>
              <w:spacing w:line="360" w:lineRule="exact"/>
              <w:rPr>
                <w:rFonts w:hint="eastAsia" w:ascii="宋体" w:hAnsi="宋体"/>
                <w:sz w:val="24"/>
              </w:rPr>
            </w:pPr>
          </w:p>
        </w:tc>
        <w:tc>
          <w:tcPr>
            <w:tcW w:w="1224" w:type="dxa"/>
            <w:tcBorders>
              <w:top w:val="single" w:color="auto" w:sz="4" w:space="0"/>
              <w:left w:val="single" w:color="auto" w:sz="6" w:space="0"/>
              <w:bottom w:val="single" w:color="auto" w:sz="4" w:space="0"/>
              <w:right w:val="single" w:color="auto" w:sz="6" w:space="0"/>
            </w:tcBorders>
          </w:tcPr>
          <w:p w14:paraId="18C20738">
            <w:pPr>
              <w:spacing w:line="360" w:lineRule="exact"/>
              <w:rPr>
                <w:rFonts w:hint="eastAsia" w:ascii="宋体" w:hAnsi="宋体"/>
                <w:sz w:val="24"/>
              </w:rPr>
            </w:pPr>
          </w:p>
        </w:tc>
        <w:tc>
          <w:tcPr>
            <w:tcW w:w="1210" w:type="dxa"/>
            <w:tcBorders>
              <w:top w:val="single" w:color="auto" w:sz="4" w:space="0"/>
              <w:left w:val="single" w:color="auto" w:sz="6" w:space="0"/>
              <w:bottom w:val="single" w:color="auto" w:sz="4" w:space="0"/>
              <w:right w:val="single" w:color="auto" w:sz="6" w:space="0"/>
            </w:tcBorders>
          </w:tcPr>
          <w:p w14:paraId="300F2BEC">
            <w:pPr>
              <w:spacing w:line="360" w:lineRule="exact"/>
              <w:rPr>
                <w:rFonts w:hint="eastAsia" w:ascii="宋体" w:hAnsi="宋体"/>
                <w:sz w:val="24"/>
              </w:rPr>
            </w:pPr>
          </w:p>
        </w:tc>
        <w:tc>
          <w:tcPr>
            <w:tcW w:w="1418" w:type="dxa"/>
            <w:tcBorders>
              <w:top w:val="single" w:color="auto" w:sz="4" w:space="0"/>
              <w:left w:val="single" w:color="auto" w:sz="6" w:space="0"/>
              <w:bottom w:val="single" w:color="auto" w:sz="4" w:space="0"/>
              <w:right w:val="single" w:color="auto" w:sz="6" w:space="0"/>
            </w:tcBorders>
          </w:tcPr>
          <w:p w14:paraId="6343795A">
            <w:pPr>
              <w:spacing w:line="360" w:lineRule="exact"/>
              <w:rPr>
                <w:rFonts w:hint="eastAsia" w:ascii="宋体" w:hAnsi="宋体"/>
                <w:sz w:val="24"/>
              </w:rPr>
            </w:pPr>
          </w:p>
        </w:tc>
        <w:tc>
          <w:tcPr>
            <w:tcW w:w="850" w:type="dxa"/>
            <w:tcBorders>
              <w:top w:val="single" w:color="auto" w:sz="4" w:space="0"/>
              <w:left w:val="single" w:color="auto" w:sz="6" w:space="0"/>
              <w:bottom w:val="single" w:color="auto" w:sz="4" w:space="0"/>
              <w:right w:val="single" w:color="auto" w:sz="4" w:space="0"/>
            </w:tcBorders>
          </w:tcPr>
          <w:p w14:paraId="37151B8E">
            <w:pPr>
              <w:spacing w:line="360" w:lineRule="exact"/>
              <w:rPr>
                <w:rFonts w:hint="eastAsia"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72C6104E">
            <w:pPr>
              <w:spacing w:line="360" w:lineRule="exact"/>
              <w:rPr>
                <w:rFonts w:hint="eastAsia" w:ascii="宋体" w:hAnsi="宋体"/>
                <w:sz w:val="24"/>
              </w:rPr>
            </w:pPr>
          </w:p>
        </w:tc>
        <w:tc>
          <w:tcPr>
            <w:tcW w:w="850" w:type="dxa"/>
            <w:tcBorders>
              <w:top w:val="single" w:color="auto" w:sz="4" w:space="0"/>
              <w:left w:val="single" w:color="auto" w:sz="4" w:space="0"/>
              <w:bottom w:val="single" w:color="auto" w:sz="4" w:space="0"/>
              <w:right w:val="single" w:color="auto" w:sz="6" w:space="0"/>
            </w:tcBorders>
          </w:tcPr>
          <w:p w14:paraId="060ACAA3">
            <w:pPr>
              <w:spacing w:line="360" w:lineRule="exact"/>
              <w:rPr>
                <w:rFonts w:hint="eastAsia" w:ascii="宋体" w:hAnsi="宋体"/>
                <w:sz w:val="24"/>
              </w:rPr>
            </w:pPr>
          </w:p>
        </w:tc>
        <w:tc>
          <w:tcPr>
            <w:tcW w:w="1276" w:type="dxa"/>
            <w:tcBorders>
              <w:top w:val="single" w:color="auto" w:sz="4" w:space="0"/>
              <w:left w:val="single" w:color="auto" w:sz="6" w:space="0"/>
              <w:bottom w:val="single" w:color="auto" w:sz="4" w:space="0"/>
              <w:right w:val="single" w:color="auto" w:sz="4" w:space="0"/>
            </w:tcBorders>
          </w:tcPr>
          <w:p w14:paraId="60A1F523">
            <w:pPr>
              <w:spacing w:line="360" w:lineRule="exact"/>
              <w:rPr>
                <w:rFonts w:hint="eastAsia"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45261423">
            <w:pPr>
              <w:spacing w:line="360" w:lineRule="exact"/>
              <w:rPr>
                <w:rFonts w:hint="eastAsia"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55A5B470">
            <w:pPr>
              <w:spacing w:line="360" w:lineRule="exact"/>
              <w:rPr>
                <w:rFonts w:hint="eastAsia" w:ascii="宋体" w:hAnsi="宋体"/>
                <w:sz w:val="24"/>
              </w:rPr>
            </w:pPr>
          </w:p>
        </w:tc>
      </w:tr>
    </w:tbl>
    <w:p w14:paraId="418B7B2D">
      <w:pPr>
        <w:spacing w:line="360" w:lineRule="exact"/>
        <w:rPr>
          <w:rFonts w:hint="eastAsia" w:ascii="宋体" w:hAnsi="宋体"/>
          <w:sz w:val="24"/>
        </w:rPr>
      </w:pPr>
    </w:p>
    <w:p w14:paraId="17A39AB6">
      <w:pPr>
        <w:spacing w:line="360" w:lineRule="exact"/>
        <w:rPr>
          <w:rFonts w:hint="eastAsia" w:ascii="宋体" w:hAnsi="宋体"/>
          <w:sz w:val="24"/>
        </w:rPr>
      </w:pPr>
      <w:r>
        <w:rPr>
          <w:rFonts w:hint="eastAsia" w:ascii="宋体" w:hAnsi="宋体"/>
          <w:sz w:val="24"/>
        </w:rPr>
        <w:t>1、供应商是否小微型企业产品:是（   ）；否（   ）。</w:t>
      </w:r>
    </w:p>
    <w:p w14:paraId="20B80FC9">
      <w:pPr>
        <w:spacing w:line="360" w:lineRule="exact"/>
        <w:rPr>
          <w:rFonts w:hint="eastAsia" w:ascii="宋体" w:hAnsi="宋体"/>
          <w:sz w:val="24"/>
        </w:rPr>
      </w:pPr>
      <w:r>
        <w:rPr>
          <w:rFonts w:hint="eastAsia" w:ascii="宋体" w:hAnsi="宋体"/>
          <w:sz w:val="24"/>
        </w:rPr>
        <w:t>2、供应商是否为监狱企业：是（    ）    否（    ）</w:t>
      </w:r>
    </w:p>
    <w:p w14:paraId="26F4CC07">
      <w:pPr>
        <w:spacing w:line="360" w:lineRule="exact"/>
        <w:rPr>
          <w:rFonts w:hint="eastAsia" w:ascii="宋体" w:hAnsi="宋体"/>
          <w:sz w:val="24"/>
        </w:rPr>
      </w:pPr>
      <w:r>
        <w:rPr>
          <w:rFonts w:hint="eastAsia" w:ascii="宋体" w:hAnsi="宋体"/>
          <w:sz w:val="24"/>
        </w:rPr>
        <w:t>3、供应商是否为残疾人福利性单位：是（    ）    否（    ）</w:t>
      </w:r>
    </w:p>
    <w:p w14:paraId="0927640D">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p>
    <w:p w14:paraId="47D629F0">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 xml:space="preserve">总价：                              大写：                         </w:t>
      </w:r>
    </w:p>
    <w:p w14:paraId="7BD42211">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优惠政策产品扣除后总价：            大写：</w:t>
      </w:r>
    </w:p>
    <w:p w14:paraId="71BFC9A7">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p>
    <w:p w14:paraId="38AEACC3">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供应商代表签名：             职务：         联系电话：           日期：</w:t>
      </w:r>
    </w:p>
    <w:p w14:paraId="14AE6756">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14:paraId="1EEAE64E">
      <w:pPr>
        <w:tabs>
          <w:tab w:val="left" w:pos="654"/>
          <w:tab w:val="left" w:pos="1734"/>
          <w:tab w:val="left" w:pos="2814"/>
          <w:tab w:val="left" w:pos="3894"/>
          <w:tab w:val="left" w:pos="5334"/>
          <w:tab w:val="left" w:pos="6414"/>
          <w:tab w:val="left" w:pos="7254"/>
          <w:tab w:val="left" w:pos="8574"/>
          <w:tab w:val="left" w:pos="9654"/>
        </w:tabs>
        <w:spacing w:line="360" w:lineRule="exact"/>
        <w:outlineLvl w:val="0"/>
        <w:rPr>
          <w:rFonts w:hint="eastAsia" w:ascii="宋体" w:hAnsi="宋体"/>
          <w:bCs/>
          <w:sz w:val="24"/>
        </w:rPr>
      </w:pPr>
      <w:r>
        <w:rPr>
          <w:rFonts w:hint="eastAsia" w:ascii="宋体" w:hAnsi="宋体"/>
          <w:sz w:val="24"/>
        </w:rPr>
        <w:t>注：</w:t>
      </w:r>
      <w:r>
        <w:rPr>
          <w:rFonts w:hint="eastAsia" w:ascii="宋体" w:hAnsi="宋体"/>
          <w:bCs/>
          <w:sz w:val="24"/>
        </w:rPr>
        <w:t>1、设备用人民币报价。</w:t>
      </w:r>
    </w:p>
    <w:p w14:paraId="5B232879">
      <w:pPr>
        <w:spacing w:line="360" w:lineRule="exact"/>
        <w:ind w:firstLine="480" w:firstLineChars="200"/>
        <w:rPr>
          <w:rFonts w:hint="eastAsia" w:ascii="宋体" w:hAnsi="宋体"/>
          <w:bCs/>
          <w:sz w:val="24"/>
        </w:rPr>
      </w:pPr>
      <w:r>
        <w:rPr>
          <w:rFonts w:hint="eastAsia" w:ascii="宋体" w:hAnsi="宋体"/>
          <w:bCs/>
          <w:sz w:val="24"/>
        </w:rPr>
        <w:t>2、第6栏的单价应包括全部安装、调试、培训、技术服务、必不可少的部件、标准备件、专用工具等费用。</w:t>
      </w:r>
    </w:p>
    <w:p w14:paraId="262F07CA">
      <w:pPr>
        <w:spacing w:line="360" w:lineRule="exact"/>
        <w:ind w:firstLine="480" w:firstLineChars="200"/>
        <w:rPr>
          <w:rFonts w:hint="eastAsia" w:ascii="宋体" w:hAnsi="宋体"/>
          <w:bCs/>
          <w:sz w:val="24"/>
        </w:rPr>
      </w:pPr>
      <w:r>
        <w:rPr>
          <w:rFonts w:hint="eastAsia" w:ascii="宋体" w:hAnsi="宋体"/>
          <w:bCs/>
          <w:sz w:val="24"/>
        </w:rPr>
        <w:t>3、单价{单价=（货价+运抵用户指定地点运、保、税、）}和响应总价。如果单价与总价有出入，以单价为准；大写金额与小写金额不一致的，以大写金额为准；总价金额与按单价汇总金额不一致的，以单价金额计算结果金额为准；单价金额小数点有明显错位的，应以总价为准并修改单价。</w:t>
      </w:r>
    </w:p>
    <w:p w14:paraId="4311B02C">
      <w:pPr>
        <w:spacing w:line="360" w:lineRule="exact"/>
        <w:ind w:firstLine="480" w:firstLineChars="200"/>
        <w:rPr>
          <w:rFonts w:hint="eastAsia" w:ascii="宋体" w:hAnsi="宋体"/>
          <w:bCs/>
          <w:sz w:val="24"/>
        </w:rPr>
      </w:pPr>
      <w:r>
        <w:rPr>
          <w:rFonts w:hint="eastAsia" w:ascii="宋体" w:hAnsi="宋体"/>
          <w:bCs/>
          <w:sz w:val="24"/>
        </w:rPr>
        <w:t>4、第8栏中的优惠政策产品指节能产品、信息安全产品、环境标志产品、绿色产品。</w:t>
      </w:r>
    </w:p>
    <w:p w14:paraId="65D0B8B1">
      <w:pPr>
        <w:spacing w:line="360" w:lineRule="exact"/>
        <w:ind w:firstLine="480" w:firstLineChars="200"/>
        <w:rPr>
          <w:rFonts w:hint="eastAsia" w:ascii="宋体" w:hAnsi="宋体"/>
          <w:bCs/>
          <w:sz w:val="24"/>
        </w:rPr>
      </w:pPr>
      <w:r>
        <w:rPr>
          <w:rFonts w:hint="eastAsia" w:ascii="宋体" w:hAnsi="宋体"/>
          <w:bCs/>
          <w:sz w:val="24"/>
        </w:rPr>
        <w:t>5、供应商企业类型、是否监狱企业栏和是否残疾人福利性单位栏，供应商须在相应的括弧里打勾（√），否则承担不利后果。</w:t>
      </w:r>
    </w:p>
    <w:p w14:paraId="730F6047">
      <w:pPr>
        <w:spacing w:line="360" w:lineRule="exact"/>
        <w:jc w:val="left"/>
        <w:rPr>
          <w:rFonts w:hint="eastAsia" w:ascii="宋体" w:hAnsi="宋体"/>
          <w:bCs/>
          <w:sz w:val="24"/>
        </w:rPr>
      </w:pPr>
    </w:p>
    <w:p w14:paraId="4CD29CC6">
      <w:pPr>
        <w:spacing w:line="360" w:lineRule="exact"/>
        <w:rPr>
          <w:rFonts w:hint="eastAsia" w:ascii="宋体" w:hAnsi="宋体"/>
          <w:sz w:val="24"/>
        </w:rPr>
      </w:pPr>
    </w:p>
    <w:p w14:paraId="4B050181">
      <w:pPr>
        <w:spacing w:line="360" w:lineRule="exact"/>
        <w:rPr>
          <w:rFonts w:hint="eastAsia" w:ascii="宋体" w:hAnsi="宋体"/>
          <w:b/>
          <w:sz w:val="24"/>
        </w:rPr>
      </w:pPr>
      <w:r>
        <w:rPr>
          <w:rFonts w:hint="eastAsia" w:ascii="宋体" w:hAnsi="宋体"/>
          <w:b/>
          <w:sz w:val="24"/>
        </w:rPr>
        <w:t>附件：3</w:t>
      </w:r>
    </w:p>
    <w:p w14:paraId="0BB8B62E">
      <w:pPr>
        <w:spacing w:line="360" w:lineRule="exact"/>
        <w:jc w:val="center"/>
        <w:rPr>
          <w:rFonts w:hint="eastAsia" w:ascii="宋体" w:hAnsi="宋体"/>
          <w:b/>
          <w:sz w:val="32"/>
          <w:szCs w:val="32"/>
        </w:rPr>
      </w:pPr>
      <w:r>
        <w:rPr>
          <w:rFonts w:hint="eastAsia" w:ascii="宋体" w:hAnsi="宋体"/>
          <w:b/>
          <w:sz w:val="32"/>
          <w:szCs w:val="32"/>
        </w:rPr>
        <w:t>规格响应表</w:t>
      </w:r>
    </w:p>
    <w:p w14:paraId="23E45BCF">
      <w:pPr>
        <w:spacing w:line="360" w:lineRule="exact"/>
        <w:jc w:val="center"/>
        <w:rPr>
          <w:rFonts w:hint="eastAsia" w:ascii="宋体" w:hAnsi="宋体"/>
          <w:b/>
          <w:sz w:val="32"/>
          <w:szCs w:val="32"/>
        </w:rPr>
      </w:pPr>
    </w:p>
    <w:p w14:paraId="7EEDE980">
      <w:pPr>
        <w:tabs>
          <w:tab w:val="left" w:pos="9654"/>
        </w:tabs>
        <w:spacing w:line="360" w:lineRule="exact"/>
        <w:rPr>
          <w:rFonts w:hint="eastAsia" w:ascii="宋体" w:hAnsi="宋体"/>
          <w:sz w:val="24"/>
        </w:rPr>
      </w:pPr>
      <w:r>
        <w:rPr>
          <w:rFonts w:hint="eastAsia" w:ascii="宋体" w:hAnsi="宋体"/>
          <w:sz w:val="24"/>
        </w:rPr>
        <w:t>说明：投标人必须仔细阅读招标文件中所有技术规范条款和相关功能要求，并对所有技术规范和功能偏离的条目列入下表，未列入下表的视作投标人不响应。投标人必须根据所投产品的实际情况如实填写，</w:t>
      </w:r>
      <w:r>
        <w:rPr>
          <w:rFonts w:hint="eastAsia" w:ascii="宋体" w:hAnsi="宋体"/>
          <w:sz w:val="24"/>
          <w:u w:val="single"/>
        </w:rPr>
        <w:t>评委会如发现有虚假描述，</w:t>
      </w:r>
      <w:r>
        <w:rPr>
          <w:rFonts w:ascii="ˎ̥" w:hAnsi="ˎ̥" w:cs="宋体"/>
          <w:kern w:val="0"/>
          <w:sz w:val="24"/>
          <w:u w:val="single"/>
        </w:rPr>
        <w:t>提供虚假材料谋取中标、</w:t>
      </w:r>
      <w:r>
        <w:rPr>
          <w:rFonts w:hint="eastAsia" w:ascii="ˎ̥" w:hAnsi="ˎ̥" w:cs="宋体"/>
          <w:kern w:val="0"/>
          <w:sz w:val="24"/>
          <w:u w:val="single"/>
        </w:rPr>
        <w:t>中标</w:t>
      </w:r>
      <w:r>
        <w:rPr>
          <w:rFonts w:ascii="ˎ̥" w:hAnsi="ˎ̥" w:cs="宋体"/>
          <w:kern w:val="0"/>
          <w:sz w:val="24"/>
          <w:u w:val="single"/>
        </w:rPr>
        <w:t>的</w:t>
      </w:r>
      <w:r>
        <w:rPr>
          <w:rFonts w:hint="eastAsia" w:ascii="ˎ̥" w:hAnsi="ˎ̥" w:cs="宋体"/>
          <w:kern w:val="0"/>
          <w:sz w:val="24"/>
          <w:u w:val="single"/>
        </w:rPr>
        <w:t>，属违反政府采购法相关规定，</w:t>
      </w:r>
      <w:r>
        <w:rPr>
          <w:rFonts w:hint="eastAsia" w:ascii="宋体" w:hAnsi="宋体"/>
          <w:sz w:val="24"/>
          <w:u w:val="single"/>
        </w:rPr>
        <w:t>该投标文件作废标处理。</w:t>
      </w:r>
      <w:r>
        <w:rPr>
          <w:rFonts w:ascii="宋体" w:hAnsi="宋体"/>
          <w:sz w:val="24"/>
        </w:rPr>
        <w:tab/>
      </w:r>
    </w:p>
    <w:p w14:paraId="1A2C939E">
      <w:pPr>
        <w:tabs>
          <w:tab w:val="left" w:pos="9654"/>
        </w:tabs>
        <w:spacing w:line="360" w:lineRule="exact"/>
        <w:rPr>
          <w:rFonts w:hint="eastAsia" w:ascii="宋体" w:hAnsi="宋体"/>
          <w:sz w:val="24"/>
        </w:rPr>
      </w:pPr>
    </w:p>
    <w:p w14:paraId="7E015CC4">
      <w:pPr>
        <w:tabs>
          <w:tab w:val="left" w:pos="9654"/>
        </w:tabs>
        <w:spacing w:line="360" w:lineRule="exact"/>
        <w:rPr>
          <w:rFonts w:hint="eastAsia" w:ascii="宋体" w:hAnsi="宋体"/>
          <w:sz w:val="24"/>
        </w:rPr>
      </w:pPr>
      <w:r>
        <w:rPr>
          <w:rFonts w:hint="eastAsia" w:ascii="宋体" w:hAnsi="宋体"/>
          <w:sz w:val="24"/>
        </w:rPr>
        <w:t>投标人名称</w:t>
      </w:r>
      <w:r>
        <w:rPr>
          <w:rFonts w:ascii="宋体" w:hAnsi="宋体"/>
          <w:sz w:val="24"/>
        </w:rPr>
        <w:t>:</w:t>
      </w:r>
      <w:r>
        <w:rPr>
          <w:rFonts w:hint="eastAsia" w:ascii="宋体" w:hAnsi="宋体"/>
          <w:sz w:val="24"/>
        </w:rPr>
        <w:t>（盖章）</w:t>
      </w:r>
    </w:p>
    <w:tbl>
      <w:tblPr>
        <w:tblStyle w:val="32"/>
        <w:tblW w:w="9885" w:type="dxa"/>
        <w:tblInd w:w="-66" w:type="dxa"/>
        <w:tblLayout w:type="fixed"/>
        <w:tblCellMar>
          <w:top w:w="0" w:type="dxa"/>
          <w:left w:w="54" w:type="dxa"/>
          <w:bottom w:w="0" w:type="dxa"/>
          <w:right w:w="54" w:type="dxa"/>
        </w:tblCellMar>
      </w:tblPr>
      <w:tblGrid>
        <w:gridCol w:w="660"/>
        <w:gridCol w:w="3261"/>
        <w:gridCol w:w="3439"/>
        <w:gridCol w:w="2525"/>
      </w:tblGrid>
      <w:tr w14:paraId="6C952D5A">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vAlign w:val="center"/>
          </w:tcPr>
          <w:p w14:paraId="673E7682">
            <w:pPr>
              <w:spacing w:line="360" w:lineRule="exact"/>
              <w:jc w:val="center"/>
              <w:rPr>
                <w:rFonts w:hint="eastAsia" w:ascii="宋体" w:hAnsi="宋体"/>
                <w:sz w:val="24"/>
              </w:rPr>
            </w:pPr>
            <w:r>
              <w:rPr>
                <w:rFonts w:ascii="宋体" w:hAnsi="宋体"/>
                <w:sz w:val="24"/>
              </w:rPr>
              <w:tab/>
            </w:r>
            <w:r>
              <w:rPr>
                <w:rFonts w:hint="eastAsia" w:ascii="宋体" w:hAnsi="宋体"/>
                <w:sz w:val="24"/>
              </w:rPr>
              <w:t>序号</w:t>
            </w:r>
          </w:p>
        </w:tc>
        <w:tc>
          <w:tcPr>
            <w:tcW w:w="3261" w:type="dxa"/>
            <w:tcBorders>
              <w:top w:val="single" w:color="auto" w:sz="6" w:space="0"/>
              <w:left w:val="single" w:color="auto" w:sz="4" w:space="0"/>
              <w:bottom w:val="single" w:color="auto" w:sz="6" w:space="0"/>
              <w:right w:val="single" w:color="auto" w:sz="6" w:space="0"/>
            </w:tcBorders>
            <w:vAlign w:val="center"/>
          </w:tcPr>
          <w:p w14:paraId="02F07330">
            <w:pPr>
              <w:spacing w:line="360" w:lineRule="exact"/>
              <w:jc w:val="center"/>
              <w:rPr>
                <w:rFonts w:hint="eastAsia" w:ascii="宋体" w:hAnsi="宋体"/>
                <w:sz w:val="24"/>
              </w:rPr>
            </w:pPr>
            <w:r>
              <w:rPr>
                <w:rFonts w:hint="eastAsia" w:ascii="宋体" w:hAnsi="宋体"/>
                <w:sz w:val="24"/>
              </w:rPr>
              <w:t>招标规格</w:t>
            </w:r>
          </w:p>
        </w:tc>
        <w:tc>
          <w:tcPr>
            <w:tcW w:w="3439" w:type="dxa"/>
            <w:tcBorders>
              <w:top w:val="single" w:color="auto" w:sz="6" w:space="0"/>
              <w:left w:val="single" w:color="auto" w:sz="6" w:space="0"/>
              <w:bottom w:val="single" w:color="auto" w:sz="6" w:space="0"/>
              <w:right w:val="single" w:color="auto" w:sz="6" w:space="0"/>
            </w:tcBorders>
            <w:vAlign w:val="center"/>
          </w:tcPr>
          <w:p w14:paraId="3396D0B7">
            <w:pPr>
              <w:spacing w:line="360" w:lineRule="exact"/>
              <w:jc w:val="center"/>
              <w:rPr>
                <w:rFonts w:hint="eastAsia" w:ascii="宋体" w:hAnsi="宋体"/>
                <w:sz w:val="24"/>
              </w:rPr>
            </w:pPr>
            <w:r>
              <w:rPr>
                <w:rFonts w:hint="eastAsia" w:ascii="宋体" w:hAnsi="宋体"/>
                <w:sz w:val="24"/>
              </w:rPr>
              <w:t>投标规格</w:t>
            </w:r>
          </w:p>
        </w:tc>
        <w:tc>
          <w:tcPr>
            <w:tcW w:w="2525" w:type="dxa"/>
            <w:tcBorders>
              <w:top w:val="single" w:color="auto" w:sz="6" w:space="0"/>
              <w:left w:val="single" w:color="auto" w:sz="4" w:space="0"/>
              <w:bottom w:val="single" w:color="auto" w:sz="6" w:space="0"/>
              <w:right w:val="single" w:color="auto" w:sz="6" w:space="0"/>
            </w:tcBorders>
            <w:vAlign w:val="center"/>
          </w:tcPr>
          <w:p w14:paraId="396CD74C">
            <w:pPr>
              <w:spacing w:line="360" w:lineRule="exact"/>
              <w:jc w:val="center"/>
              <w:rPr>
                <w:rFonts w:hint="eastAsia" w:ascii="宋体" w:hAnsi="宋体"/>
                <w:sz w:val="24"/>
              </w:rPr>
            </w:pPr>
            <w:r>
              <w:rPr>
                <w:rFonts w:ascii="宋体" w:hAnsi="宋体"/>
                <w:sz w:val="24"/>
              </w:rPr>
              <w:t>偏离情况</w:t>
            </w:r>
          </w:p>
          <w:p w14:paraId="169A88D7">
            <w:pPr>
              <w:spacing w:line="360" w:lineRule="exact"/>
              <w:jc w:val="center"/>
              <w:rPr>
                <w:rFonts w:hint="eastAsia" w:ascii="宋体" w:hAnsi="宋体"/>
                <w:sz w:val="24"/>
              </w:rPr>
            </w:pPr>
            <w:r>
              <w:rPr>
                <w:rFonts w:ascii="宋体" w:hAnsi="宋体"/>
                <w:sz w:val="24"/>
              </w:rPr>
              <w:t>（无偏离，正/负偏离）</w:t>
            </w:r>
          </w:p>
          <w:p w14:paraId="1FEDB0BE">
            <w:pPr>
              <w:spacing w:line="360" w:lineRule="exact"/>
              <w:jc w:val="center"/>
              <w:rPr>
                <w:rFonts w:hint="eastAsia" w:ascii="宋体" w:hAnsi="宋体"/>
                <w:sz w:val="24"/>
              </w:rPr>
            </w:pPr>
            <w:r>
              <w:rPr>
                <w:rFonts w:hint="eastAsia" w:ascii="宋体" w:hAnsi="宋体"/>
                <w:sz w:val="24"/>
              </w:rPr>
              <w:t>证明材料页码</w:t>
            </w:r>
          </w:p>
        </w:tc>
      </w:tr>
      <w:tr w14:paraId="6A407125">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tcPr>
          <w:p w14:paraId="5328CB06">
            <w:pPr>
              <w:spacing w:line="360" w:lineRule="exact"/>
              <w:rPr>
                <w:rFonts w:hint="eastAsia" w:ascii="宋体" w:hAnsi="宋体"/>
                <w:sz w:val="24"/>
              </w:rPr>
            </w:pPr>
          </w:p>
        </w:tc>
        <w:tc>
          <w:tcPr>
            <w:tcW w:w="3261" w:type="dxa"/>
            <w:tcBorders>
              <w:top w:val="single" w:color="auto" w:sz="6" w:space="0"/>
              <w:left w:val="single" w:color="auto" w:sz="4" w:space="0"/>
              <w:bottom w:val="single" w:color="auto" w:sz="4" w:space="0"/>
              <w:right w:val="single" w:color="auto" w:sz="6" w:space="0"/>
            </w:tcBorders>
          </w:tcPr>
          <w:p w14:paraId="6318970A">
            <w:pPr>
              <w:spacing w:line="360" w:lineRule="exact"/>
              <w:rPr>
                <w:rFonts w:hint="eastAsia" w:ascii="宋体" w:hAnsi="宋体"/>
                <w:sz w:val="24"/>
              </w:rPr>
            </w:pPr>
          </w:p>
        </w:tc>
        <w:tc>
          <w:tcPr>
            <w:tcW w:w="3439" w:type="dxa"/>
            <w:tcBorders>
              <w:top w:val="single" w:color="auto" w:sz="6" w:space="0"/>
              <w:left w:val="single" w:color="auto" w:sz="6" w:space="0"/>
              <w:bottom w:val="single" w:color="auto" w:sz="4" w:space="0"/>
              <w:right w:val="single" w:color="auto" w:sz="6" w:space="0"/>
            </w:tcBorders>
          </w:tcPr>
          <w:p w14:paraId="30A97949">
            <w:pPr>
              <w:spacing w:line="360" w:lineRule="exact"/>
              <w:rPr>
                <w:rFonts w:hint="eastAsia" w:ascii="宋体" w:hAnsi="宋体"/>
                <w:sz w:val="24"/>
              </w:rPr>
            </w:pPr>
          </w:p>
        </w:tc>
        <w:tc>
          <w:tcPr>
            <w:tcW w:w="2525" w:type="dxa"/>
            <w:tcBorders>
              <w:top w:val="single" w:color="auto" w:sz="6" w:space="0"/>
              <w:left w:val="single" w:color="auto" w:sz="4" w:space="0"/>
              <w:bottom w:val="single" w:color="auto" w:sz="4" w:space="0"/>
              <w:right w:val="single" w:color="auto" w:sz="6" w:space="0"/>
            </w:tcBorders>
          </w:tcPr>
          <w:p w14:paraId="0B914428">
            <w:pPr>
              <w:spacing w:line="360" w:lineRule="exact"/>
              <w:rPr>
                <w:rFonts w:hint="eastAsia" w:ascii="宋体" w:hAnsi="宋体"/>
                <w:sz w:val="24"/>
              </w:rPr>
            </w:pPr>
          </w:p>
        </w:tc>
      </w:tr>
      <w:tr w14:paraId="2BD2C87C">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tcPr>
          <w:p w14:paraId="762E1E61">
            <w:pPr>
              <w:spacing w:line="360" w:lineRule="exact"/>
              <w:rPr>
                <w:rFonts w:hint="eastAsia" w:ascii="宋体" w:hAnsi="宋体"/>
                <w:sz w:val="24"/>
              </w:rPr>
            </w:pPr>
          </w:p>
        </w:tc>
        <w:tc>
          <w:tcPr>
            <w:tcW w:w="3261" w:type="dxa"/>
            <w:tcBorders>
              <w:top w:val="single" w:color="auto" w:sz="4" w:space="0"/>
              <w:left w:val="single" w:color="auto" w:sz="4" w:space="0"/>
              <w:bottom w:val="single" w:color="auto" w:sz="4" w:space="0"/>
              <w:right w:val="single" w:color="auto" w:sz="6" w:space="0"/>
            </w:tcBorders>
          </w:tcPr>
          <w:p w14:paraId="2B0F3A64">
            <w:pPr>
              <w:spacing w:line="360" w:lineRule="exact"/>
              <w:rPr>
                <w:rFonts w:hint="eastAsia" w:ascii="宋体" w:hAnsi="宋体"/>
                <w:sz w:val="24"/>
              </w:rPr>
            </w:pPr>
          </w:p>
        </w:tc>
        <w:tc>
          <w:tcPr>
            <w:tcW w:w="3439" w:type="dxa"/>
            <w:tcBorders>
              <w:top w:val="single" w:color="auto" w:sz="4" w:space="0"/>
              <w:left w:val="single" w:color="auto" w:sz="6" w:space="0"/>
              <w:bottom w:val="single" w:color="auto" w:sz="4" w:space="0"/>
              <w:right w:val="single" w:color="auto" w:sz="6" w:space="0"/>
            </w:tcBorders>
          </w:tcPr>
          <w:p w14:paraId="7B08D73E">
            <w:pPr>
              <w:spacing w:line="360" w:lineRule="exact"/>
              <w:rPr>
                <w:rFonts w:hint="eastAsia" w:ascii="宋体" w:hAnsi="宋体"/>
                <w:sz w:val="24"/>
              </w:rPr>
            </w:pPr>
          </w:p>
        </w:tc>
        <w:tc>
          <w:tcPr>
            <w:tcW w:w="2525" w:type="dxa"/>
            <w:tcBorders>
              <w:top w:val="single" w:color="auto" w:sz="4" w:space="0"/>
              <w:left w:val="single" w:color="auto" w:sz="4" w:space="0"/>
              <w:bottom w:val="single" w:color="auto" w:sz="4" w:space="0"/>
              <w:right w:val="single" w:color="auto" w:sz="6" w:space="0"/>
            </w:tcBorders>
          </w:tcPr>
          <w:p w14:paraId="155A1890">
            <w:pPr>
              <w:spacing w:line="360" w:lineRule="exact"/>
              <w:rPr>
                <w:rFonts w:hint="eastAsia" w:ascii="宋体" w:hAnsi="宋体"/>
                <w:sz w:val="24"/>
              </w:rPr>
            </w:pPr>
          </w:p>
        </w:tc>
      </w:tr>
      <w:tr w14:paraId="7DEC49AB">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tcPr>
          <w:p w14:paraId="29AAFB96">
            <w:pPr>
              <w:spacing w:line="360" w:lineRule="exact"/>
              <w:rPr>
                <w:rFonts w:hint="eastAsia" w:ascii="宋体" w:hAnsi="宋体"/>
                <w:sz w:val="24"/>
              </w:rPr>
            </w:pPr>
          </w:p>
        </w:tc>
        <w:tc>
          <w:tcPr>
            <w:tcW w:w="3261" w:type="dxa"/>
            <w:tcBorders>
              <w:top w:val="single" w:color="auto" w:sz="4" w:space="0"/>
              <w:left w:val="single" w:color="auto" w:sz="4" w:space="0"/>
              <w:bottom w:val="single" w:color="auto" w:sz="6" w:space="0"/>
              <w:right w:val="single" w:color="auto" w:sz="6" w:space="0"/>
            </w:tcBorders>
          </w:tcPr>
          <w:p w14:paraId="432BF43F">
            <w:pPr>
              <w:spacing w:line="360" w:lineRule="exact"/>
              <w:rPr>
                <w:rFonts w:hint="eastAsia" w:ascii="宋体" w:hAnsi="宋体"/>
                <w:sz w:val="24"/>
              </w:rPr>
            </w:pPr>
          </w:p>
        </w:tc>
        <w:tc>
          <w:tcPr>
            <w:tcW w:w="3439" w:type="dxa"/>
            <w:tcBorders>
              <w:top w:val="single" w:color="auto" w:sz="4" w:space="0"/>
              <w:left w:val="single" w:color="auto" w:sz="6" w:space="0"/>
              <w:bottom w:val="single" w:color="auto" w:sz="6" w:space="0"/>
              <w:right w:val="single" w:color="auto" w:sz="6" w:space="0"/>
            </w:tcBorders>
          </w:tcPr>
          <w:p w14:paraId="329630F0">
            <w:pPr>
              <w:spacing w:line="360" w:lineRule="exact"/>
              <w:rPr>
                <w:rFonts w:hint="eastAsia" w:ascii="宋体" w:hAnsi="宋体"/>
                <w:sz w:val="24"/>
              </w:rPr>
            </w:pPr>
          </w:p>
        </w:tc>
        <w:tc>
          <w:tcPr>
            <w:tcW w:w="2525" w:type="dxa"/>
            <w:tcBorders>
              <w:top w:val="single" w:color="auto" w:sz="4" w:space="0"/>
              <w:left w:val="single" w:color="auto" w:sz="4" w:space="0"/>
              <w:bottom w:val="single" w:color="auto" w:sz="6" w:space="0"/>
              <w:right w:val="single" w:color="auto" w:sz="6" w:space="0"/>
            </w:tcBorders>
          </w:tcPr>
          <w:p w14:paraId="24962AAC">
            <w:pPr>
              <w:spacing w:line="360" w:lineRule="exact"/>
              <w:rPr>
                <w:rFonts w:hint="eastAsia" w:ascii="宋体" w:hAnsi="宋体"/>
                <w:sz w:val="24"/>
              </w:rPr>
            </w:pPr>
          </w:p>
        </w:tc>
      </w:tr>
      <w:tr w14:paraId="0178FDA3">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tcPr>
          <w:p w14:paraId="41D058FF">
            <w:pPr>
              <w:spacing w:line="360" w:lineRule="exact"/>
              <w:rPr>
                <w:rFonts w:hint="eastAsia" w:ascii="宋体" w:hAnsi="宋体"/>
                <w:sz w:val="24"/>
              </w:rPr>
            </w:pPr>
          </w:p>
        </w:tc>
        <w:tc>
          <w:tcPr>
            <w:tcW w:w="3261" w:type="dxa"/>
            <w:tcBorders>
              <w:top w:val="single" w:color="auto" w:sz="6" w:space="0"/>
              <w:left w:val="single" w:color="auto" w:sz="4" w:space="0"/>
              <w:bottom w:val="single" w:color="auto" w:sz="4" w:space="0"/>
              <w:right w:val="single" w:color="auto" w:sz="6" w:space="0"/>
            </w:tcBorders>
          </w:tcPr>
          <w:p w14:paraId="72514EE8">
            <w:pPr>
              <w:spacing w:line="360" w:lineRule="exact"/>
              <w:rPr>
                <w:rFonts w:hint="eastAsia" w:ascii="宋体" w:hAnsi="宋体"/>
                <w:sz w:val="24"/>
              </w:rPr>
            </w:pPr>
          </w:p>
        </w:tc>
        <w:tc>
          <w:tcPr>
            <w:tcW w:w="3439" w:type="dxa"/>
            <w:tcBorders>
              <w:top w:val="single" w:color="auto" w:sz="6" w:space="0"/>
              <w:left w:val="single" w:color="auto" w:sz="6" w:space="0"/>
              <w:bottom w:val="single" w:color="auto" w:sz="4" w:space="0"/>
              <w:right w:val="single" w:color="auto" w:sz="6" w:space="0"/>
            </w:tcBorders>
          </w:tcPr>
          <w:p w14:paraId="5F639ED6">
            <w:pPr>
              <w:spacing w:line="360" w:lineRule="exact"/>
              <w:rPr>
                <w:rFonts w:hint="eastAsia" w:ascii="宋体" w:hAnsi="宋体"/>
                <w:sz w:val="24"/>
              </w:rPr>
            </w:pPr>
          </w:p>
        </w:tc>
        <w:tc>
          <w:tcPr>
            <w:tcW w:w="2525" w:type="dxa"/>
            <w:tcBorders>
              <w:top w:val="single" w:color="auto" w:sz="6" w:space="0"/>
              <w:left w:val="single" w:color="auto" w:sz="4" w:space="0"/>
              <w:bottom w:val="single" w:color="auto" w:sz="4" w:space="0"/>
              <w:right w:val="single" w:color="auto" w:sz="6" w:space="0"/>
            </w:tcBorders>
          </w:tcPr>
          <w:p w14:paraId="1BA2EAD8">
            <w:pPr>
              <w:spacing w:line="360" w:lineRule="exact"/>
              <w:rPr>
                <w:rFonts w:hint="eastAsia" w:ascii="宋体" w:hAnsi="宋体"/>
                <w:sz w:val="24"/>
              </w:rPr>
            </w:pPr>
          </w:p>
        </w:tc>
      </w:tr>
      <w:tr w14:paraId="2030876A">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tcPr>
          <w:p w14:paraId="4D59337C">
            <w:pPr>
              <w:spacing w:line="360" w:lineRule="exact"/>
              <w:rPr>
                <w:rFonts w:hint="eastAsia" w:ascii="宋体" w:hAnsi="宋体"/>
                <w:sz w:val="24"/>
              </w:rPr>
            </w:pPr>
          </w:p>
        </w:tc>
        <w:tc>
          <w:tcPr>
            <w:tcW w:w="3261" w:type="dxa"/>
            <w:tcBorders>
              <w:top w:val="single" w:color="auto" w:sz="4" w:space="0"/>
              <w:left w:val="single" w:color="auto" w:sz="4" w:space="0"/>
              <w:bottom w:val="single" w:color="auto" w:sz="4" w:space="0"/>
              <w:right w:val="single" w:color="auto" w:sz="6" w:space="0"/>
            </w:tcBorders>
          </w:tcPr>
          <w:p w14:paraId="64908265">
            <w:pPr>
              <w:spacing w:line="360" w:lineRule="exact"/>
              <w:rPr>
                <w:rFonts w:hint="eastAsia" w:ascii="宋体" w:hAnsi="宋体"/>
                <w:sz w:val="24"/>
              </w:rPr>
            </w:pPr>
          </w:p>
        </w:tc>
        <w:tc>
          <w:tcPr>
            <w:tcW w:w="3439" w:type="dxa"/>
            <w:tcBorders>
              <w:top w:val="single" w:color="auto" w:sz="4" w:space="0"/>
              <w:left w:val="single" w:color="auto" w:sz="6" w:space="0"/>
              <w:bottom w:val="single" w:color="auto" w:sz="4" w:space="0"/>
              <w:right w:val="single" w:color="auto" w:sz="6" w:space="0"/>
            </w:tcBorders>
          </w:tcPr>
          <w:p w14:paraId="3D342F16">
            <w:pPr>
              <w:spacing w:line="360" w:lineRule="exact"/>
              <w:rPr>
                <w:rFonts w:hint="eastAsia" w:ascii="宋体" w:hAnsi="宋体"/>
                <w:sz w:val="24"/>
              </w:rPr>
            </w:pPr>
          </w:p>
        </w:tc>
        <w:tc>
          <w:tcPr>
            <w:tcW w:w="2525" w:type="dxa"/>
            <w:tcBorders>
              <w:top w:val="single" w:color="auto" w:sz="4" w:space="0"/>
              <w:left w:val="single" w:color="auto" w:sz="4" w:space="0"/>
              <w:bottom w:val="single" w:color="auto" w:sz="4" w:space="0"/>
              <w:right w:val="single" w:color="auto" w:sz="6" w:space="0"/>
            </w:tcBorders>
          </w:tcPr>
          <w:p w14:paraId="17A9BF5A">
            <w:pPr>
              <w:spacing w:line="360" w:lineRule="exact"/>
              <w:rPr>
                <w:rFonts w:hint="eastAsia" w:ascii="宋体" w:hAnsi="宋体"/>
                <w:sz w:val="24"/>
              </w:rPr>
            </w:pPr>
          </w:p>
        </w:tc>
      </w:tr>
      <w:tr w14:paraId="108284DD">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6" w:space="0"/>
              <w:right w:val="single" w:color="auto" w:sz="4" w:space="0"/>
            </w:tcBorders>
          </w:tcPr>
          <w:p w14:paraId="03F2A965">
            <w:pPr>
              <w:spacing w:line="360" w:lineRule="exact"/>
              <w:rPr>
                <w:rFonts w:hint="eastAsia" w:ascii="宋体" w:hAnsi="宋体"/>
                <w:sz w:val="24"/>
              </w:rPr>
            </w:pPr>
          </w:p>
        </w:tc>
        <w:tc>
          <w:tcPr>
            <w:tcW w:w="3261" w:type="dxa"/>
            <w:tcBorders>
              <w:top w:val="single" w:color="auto" w:sz="4" w:space="0"/>
              <w:left w:val="single" w:color="auto" w:sz="4" w:space="0"/>
              <w:bottom w:val="single" w:color="auto" w:sz="6" w:space="0"/>
              <w:right w:val="single" w:color="auto" w:sz="6" w:space="0"/>
            </w:tcBorders>
          </w:tcPr>
          <w:p w14:paraId="00894477">
            <w:pPr>
              <w:spacing w:line="360" w:lineRule="exact"/>
              <w:rPr>
                <w:rFonts w:hint="eastAsia" w:ascii="宋体" w:hAnsi="宋体"/>
                <w:sz w:val="24"/>
              </w:rPr>
            </w:pPr>
          </w:p>
        </w:tc>
        <w:tc>
          <w:tcPr>
            <w:tcW w:w="3439" w:type="dxa"/>
            <w:tcBorders>
              <w:top w:val="single" w:color="auto" w:sz="4" w:space="0"/>
              <w:left w:val="single" w:color="auto" w:sz="6" w:space="0"/>
              <w:bottom w:val="single" w:color="auto" w:sz="6" w:space="0"/>
              <w:right w:val="single" w:color="auto" w:sz="6" w:space="0"/>
            </w:tcBorders>
          </w:tcPr>
          <w:p w14:paraId="3F0A78BD">
            <w:pPr>
              <w:spacing w:line="360" w:lineRule="exact"/>
              <w:rPr>
                <w:rFonts w:hint="eastAsia" w:ascii="宋体" w:hAnsi="宋体"/>
                <w:sz w:val="24"/>
              </w:rPr>
            </w:pPr>
          </w:p>
        </w:tc>
        <w:tc>
          <w:tcPr>
            <w:tcW w:w="2525" w:type="dxa"/>
            <w:tcBorders>
              <w:top w:val="single" w:color="auto" w:sz="4" w:space="0"/>
              <w:left w:val="single" w:color="auto" w:sz="4" w:space="0"/>
              <w:bottom w:val="single" w:color="auto" w:sz="6" w:space="0"/>
              <w:right w:val="single" w:color="auto" w:sz="6" w:space="0"/>
            </w:tcBorders>
          </w:tcPr>
          <w:p w14:paraId="4AE9154A">
            <w:pPr>
              <w:spacing w:line="360" w:lineRule="exact"/>
              <w:rPr>
                <w:rFonts w:hint="eastAsia" w:ascii="宋体" w:hAnsi="宋体"/>
                <w:sz w:val="24"/>
              </w:rPr>
            </w:pPr>
          </w:p>
        </w:tc>
      </w:tr>
      <w:tr w14:paraId="60A4BD76">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tcPr>
          <w:p w14:paraId="6B9CA121">
            <w:pPr>
              <w:spacing w:line="360" w:lineRule="exact"/>
              <w:rPr>
                <w:rFonts w:hint="eastAsia" w:ascii="宋体" w:hAnsi="宋体"/>
                <w:sz w:val="24"/>
              </w:rPr>
            </w:pPr>
          </w:p>
        </w:tc>
        <w:tc>
          <w:tcPr>
            <w:tcW w:w="3261" w:type="dxa"/>
            <w:tcBorders>
              <w:top w:val="single" w:color="auto" w:sz="6" w:space="0"/>
              <w:left w:val="single" w:color="auto" w:sz="4" w:space="0"/>
              <w:bottom w:val="single" w:color="auto" w:sz="4" w:space="0"/>
              <w:right w:val="single" w:color="auto" w:sz="6" w:space="0"/>
            </w:tcBorders>
          </w:tcPr>
          <w:p w14:paraId="40FDA1DD">
            <w:pPr>
              <w:spacing w:line="360" w:lineRule="exact"/>
              <w:rPr>
                <w:rFonts w:hint="eastAsia" w:ascii="宋体" w:hAnsi="宋体"/>
                <w:sz w:val="24"/>
              </w:rPr>
            </w:pPr>
          </w:p>
        </w:tc>
        <w:tc>
          <w:tcPr>
            <w:tcW w:w="3439" w:type="dxa"/>
            <w:tcBorders>
              <w:top w:val="single" w:color="auto" w:sz="6" w:space="0"/>
              <w:left w:val="single" w:color="auto" w:sz="6" w:space="0"/>
              <w:bottom w:val="single" w:color="auto" w:sz="4" w:space="0"/>
              <w:right w:val="single" w:color="auto" w:sz="6" w:space="0"/>
            </w:tcBorders>
          </w:tcPr>
          <w:p w14:paraId="45D6846E">
            <w:pPr>
              <w:spacing w:line="360" w:lineRule="exact"/>
              <w:rPr>
                <w:rFonts w:hint="eastAsia" w:ascii="宋体" w:hAnsi="宋体"/>
                <w:sz w:val="24"/>
              </w:rPr>
            </w:pPr>
          </w:p>
        </w:tc>
        <w:tc>
          <w:tcPr>
            <w:tcW w:w="2525" w:type="dxa"/>
            <w:tcBorders>
              <w:top w:val="single" w:color="auto" w:sz="6" w:space="0"/>
              <w:left w:val="single" w:color="auto" w:sz="4" w:space="0"/>
              <w:bottom w:val="single" w:color="auto" w:sz="4" w:space="0"/>
              <w:right w:val="single" w:color="auto" w:sz="6" w:space="0"/>
            </w:tcBorders>
          </w:tcPr>
          <w:p w14:paraId="32A576B8">
            <w:pPr>
              <w:spacing w:line="360" w:lineRule="exact"/>
              <w:rPr>
                <w:rFonts w:hint="eastAsia" w:ascii="宋体" w:hAnsi="宋体"/>
                <w:sz w:val="24"/>
              </w:rPr>
            </w:pPr>
          </w:p>
        </w:tc>
      </w:tr>
      <w:tr w14:paraId="65F108C3">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tcPr>
          <w:p w14:paraId="3A73333A">
            <w:pPr>
              <w:spacing w:line="360" w:lineRule="exact"/>
              <w:rPr>
                <w:rFonts w:hint="eastAsia" w:ascii="宋体" w:hAnsi="宋体"/>
                <w:sz w:val="24"/>
              </w:rPr>
            </w:pPr>
          </w:p>
        </w:tc>
        <w:tc>
          <w:tcPr>
            <w:tcW w:w="3261" w:type="dxa"/>
            <w:tcBorders>
              <w:top w:val="single" w:color="auto" w:sz="4" w:space="0"/>
              <w:left w:val="single" w:color="auto" w:sz="4" w:space="0"/>
              <w:bottom w:val="single" w:color="auto" w:sz="4" w:space="0"/>
              <w:right w:val="single" w:color="auto" w:sz="6" w:space="0"/>
            </w:tcBorders>
          </w:tcPr>
          <w:p w14:paraId="078B18A2">
            <w:pPr>
              <w:spacing w:line="360" w:lineRule="exact"/>
              <w:rPr>
                <w:rFonts w:hint="eastAsia" w:ascii="宋体" w:hAnsi="宋体"/>
                <w:sz w:val="24"/>
              </w:rPr>
            </w:pPr>
          </w:p>
        </w:tc>
        <w:tc>
          <w:tcPr>
            <w:tcW w:w="3439" w:type="dxa"/>
            <w:tcBorders>
              <w:top w:val="single" w:color="auto" w:sz="4" w:space="0"/>
              <w:left w:val="single" w:color="auto" w:sz="6" w:space="0"/>
              <w:bottom w:val="single" w:color="auto" w:sz="4" w:space="0"/>
              <w:right w:val="single" w:color="auto" w:sz="6" w:space="0"/>
            </w:tcBorders>
          </w:tcPr>
          <w:p w14:paraId="7DDAAD28">
            <w:pPr>
              <w:spacing w:line="360" w:lineRule="exact"/>
              <w:rPr>
                <w:rFonts w:hint="eastAsia" w:ascii="宋体" w:hAnsi="宋体"/>
                <w:sz w:val="24"/>
              </w:rPr>
            </w:pPr>
          </w:p>
        </w:tc>
        <w:tc>
          <w:tcPr>
            <w:tcW w:w="2525" w:type="dxa"/>
            <w:tcBorders>
              <w:top w:val="single" w:color="auto" w:sz="4" w:space="0"/>
              <w:left w:val="single" w:color="auto" w:sz="4" w:space="0"/>
              <w:bottom w:val="single" w:color="auto" w:sz="4" w:space="0"/>
              <w:right w:val="single" w:color="auto" w:sz="6" w:space="0"/>
            </w:tcBorders>
          </w:tcPr>
          <w:p w14:paraId="4AFCC06D">
            <w:pPr>
              <w:spacing w:line="360" w:lineRule="exact"/>
              <w:rPr>
                <w:rFonts w:hint="eastAsia" w:ascii="宋体" w:hAnsi="宋体"/>
                <w:sz w:val="24"/>
              </w:rPr>
            </w:pPr>
          </w:p>
        </w:tc>
      </w:tr>
      <w:tr w14:paraId="43925F10">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6" w:space="0"/>
              <w:right w:val="single" w:color="auto" w:sz="4" w:space="0"/>
            </w:tcBorders>
          </w:tcPr>
          <w:p w14:paraId="104F199E">
            <w:pPr>
              <w:spacing w:line="360" w:lineRule="exact"/>
              <w:rPr>
                <w:rFonts w:hint="eastAsia" w:ascii="宋体" w:hAnsi="宋体"/>
                <w:sz w:val="24"/>
              </w:rPr>
            </w:pPr>
          </w:p>
        </w:tc>
        <w:tc>
          <w:tcPr>
            <w:tcW w:w="3261" w:type="dxa"/>
            <w:tcBorders>
              <w:top w:val="single" w:color="auto" w:sz="4" w:space="0"/>
              <w:left w:val="single" w:color="auto" w:sz="4" w:space="0"/>
              <w:bottom w:val="single" w:color="auto" w:sz="6" w:space="0"/>
              <w:right w:val="single" w:color="auto" w:sz="6" w:space="0"/>
            </w:tcBorders>
          </w:tcPr>
          <w:p w14:paraId="3275FA59">
            <w:pPr>
              <w:spacing w:line="360" w:lineRule="exact"/>
              <w:rPr>
                <w:rFonts w:hint="eastAsia" w:ascii="宋体" w:hAnsi="宋体"/>
                <w:sz w:val="24"/>
              </w:rPr>
            </w:pPr>
          </w:p>
        </w:tc>
        <w:tc>
          <w:tcPr>
            <w:tcW w:w="3439" w:type="dxa"/>
            <w:tcBorders>
              <w:top w:val="single" w:color="auto" w:sz="4" w:space="0"/>
              <w:left w:val="single" w:color="auto" w:sz="6" w:space="0"/>
              <w:bottom w:val="single" w:color="auto" w:sz="6" w:space="0"/>
              <w:right w:val="single" w:color="auto" w:sz="6" w:space="0"/>
            </w:tcBorders>
          </w:tcPr>
          <w:p w14:paraId="4FD7FA8D">
            <w:pPr>
              <w:spacing w:line="360" w:lineRule="exact"/>
              <w:rPr>
                <w:rFonts w:hint="eastAsia" w:ascii="宋体" w:hAnsi="宋体"/>
                <w:sz w:val="24"/>
              </w:rPr>
            </w:pPr>
          </w:p>
        </w:tc>
        <w:tc>
          <w:tcPr>
            <w:tcW w:w="2525" w:type="dxa"/>
            <w:tcBorders>
              <w:top w:val="single" w:color="auto" w:sz="4" w:space="0"/>
              <w:left w:val="single" w:color="auto" w:sz="4" w:space="0"/>
              <w:bottom w:val="single" w:color="auto" w:sz="6" w:space="0"/>
              <w:right w:val="single" w:color="auto" w:sz="6" w:space="0"/>
            </w:tcBorders>
          </w:tcPr>
          <w:p w14:paraId="138278B8">
            <w:pPr>
              <w:spacing w:line="360" w:lineRule="exact"/>
              <w:rPr>
                <w:rFonts w:hint="eastAsia" w:ascii="宋体" w:hAnsi="宋体"/>
                <w:sz w:val="24"/>
              </w:rPr>
            </w:pPr>
          </w:p>
        </w:tc>
      </w:tr>
    </w:tbl>
    <w:p w14:paraId="53F54E04">
      <w:pPr>
        <w:spacing w:line="360" w:lineRule="exact"/>
        <w:outlineLvl w:val="0"/>
        <w:rPr>
          <w:rFonts w:hint="eastAsia" w:ascii="宋体" w:hAnsi="宋体"/>
          <w:b/>
          <w:sz w:val="24"/>
        </w:rPr>
      </w:pPr>
    </w:p>
    <w:p w14:paraId="2B216B35">
      <w:pPr>
        <w:spacing w:line="360" w:lineRule="exact"/>
        <w:outlineLvl w:val="0"/>
        <w:rPr>
          <w:rFonts w:hint="eastAsia" w:ascii="宋体" w:hAnsi="宋体"/>
          <w:b/>
          <w:sz w:val="24"/>
        </w:rPr>
      </w:pPr>
      <w:r>
        <w:rPr>
          <w:rFonts w:hint="eastAsia" w:ascii="宋体" w:hAnsi="宋体"/>
          <w:b/>
          <w:sz w:val="24"/>
        </w:rPr>
        <w:t>注：1、招标规格填写招标文件要求。</w:t>
      </w:r>
    </w:p>
    <w:p w14:paraId="0593E6A5">
      <w:pPr>
        <w:spacing w:line="360" w:lineRule="exact"/>
        <w:ind w:firstLine="482" w:firstLineChars="200"/>
        <w:outlineLvl w:val="0"/>
        <w:rPr>
          <w:rFonts w:hint="eastAsia" w:ascii="宋体" w:hAnsi="宋体"/>
          <w:b/>
          <w:sz w:val="24"/>
        </w:rPr>
      </w:pPr>
      <w:r>
        <w:rPr>
          <w:rFonts w:hint="eastAsia" w:ascii="宋体" w:hAnsi="宋体"/>
          <w:b/>
          <w:sz w:val="24"/>
        </w:rPr>
        <w:t>2、</w:t>
      </w:r>
      <w:r>
        <w:rPr>
          <w:rFonts w:hint="eastAsia" w:ascii="宋体" w:hAnsi="宋体"/>
          <w:b/>
          <w:bCs/>
          <w:sz w:val="24"/>
        </w:rPr>
        <w:t>投标规格填写所投产品参数，所投参数须明确，不接受选择性的参数</w:t>
      </w:r>
      <w:r>
        <w:rPr>
          <w:rFonts w:hint="eastAsia" w:ascii="宋体" w:hAnsi="宋体"/>
          <w:b/>
          <w:sz w:val="24"/>
        </w:rPr>
        <w:t>。</w:t>
      </w:r>
    </w:p>
    <w:p w14:paraId="1CA5081F">
      <w:pPr>
        <w:spacing w:line="360" w:lineRule="exact"/>
        <w:ind w:firstLine="480"/>
        <w:jc w:val="left"/>
        <w:outlineLvl w:val="0"/>
        <w:rPr>
          <w:rFonts w:hint="eastAsia" w:ascii="宋体" w:hAnsi="宋体"/>
          <w:b/>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1724025</wp:posOffset>
                </wp:positionH>
                <wp:positionV relativeFrom="paragraph">
                  <wp:posOffset>142875</wp:posOffset>
                </wp:positionV>
                <wp:extent cx="1600200" cy="635"/>
                <wp:effectExtent l="0" t="0" r="0" b="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1600200" cy="635"/>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135.75pt;margin-top:11.25pt;height:0.05pt;width:126pt;z-index:251660288;mso-width-relative:page;mso-height-relative:page;" filled="f" stroked="t" coordsize="21600,21600" o:gfxdata="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&#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jYf1gAAAAkBAAAPAAAAAAAAAAEAIAAAACIAAABk&#10;cnMvZG93bnJldi54bWxQSwECFAAUAAAACACHTuJA0hbJr88BAACvAwAADgAAAAAAAAABACAAAAAl&#10;AQAAZHJzL2Uyb0RvYy54bWxQSwUGAAAAAAYABgBZAQAAZgUAAAAA&#10;">
                <v:fill on="f" focussize="0,0"/>
                <v:stroke color="#000000" joinstyle="round"/>
                <v:imagedata o:title=""/>
                <o:lock v:ext="edit" aspectratio="f"/>
              </v:line>
            </w:pict>
          </mc:Fallback>
        </mc:AlternateContent>
      </w:r>
      <w:r>
        <w:rPr>
          <w:rFonts w:hint="eastAsia" w:ascii="宋体" w:hAnsi="宋体"/>
          <w:b/>
          <w:sz w:val="24"/>
        </w:rPr>
        <w:t>投标人代表签名：</w:t>
      </w:r>
    </w:p>
    <w:p w14:paraId="03B77B87">
      <w:pPr>
        <w:spacing w:line="360" w:lineRule="exact"/>
        <w:outlineLvl w:val="0"/>
        <w:rPr>
          <w:rFonts w:hint="eastAsia" w:ascii="宋体" w:hAnsi="宋体"/>
          <w:b/>
          <w:sz w:val="24"/>
        </w:rPr>
      </w:pPr>
    </w:p>
    <w:p w14:paraId="1FA07DBD">
      <w:pPr>
        <w:spacing w:line="360" w:lineRule="exact"/>
        <w:rPr>
          <w:rFonts w:hint="eastAsia" w:ascii="宋体" w:hAnsi="宋体"/>
          <w:sz w:val="24"/>
        </w:rPr>
      </w:pPr>
    </w:p>
    <w:p w14:paraId="27938265">
      <w:pPr>
        <w:spacing w:line="360" w:lineRule="exact"/>
        <w:rPr>
          <w:rFonts w:hint="eastAsia" w:ascii="宋体" w:hAnsi="宋体"/>
          <w:sz w:val="24"/>
        </w:rPr>
      </w:pPr>
    </w:p>
    <w:p w14:paraId="715953E0">
      <w:pPr>
        <w:spacing w:line="360" w:lineRule="exact"/>
        <w:rPr>
          <w:rFonts w:hint="eastAsia" w:ascii="宋体" w:hAnsi="宋体"/>
          <w:sz w:val="24"/>
        </w:rPr>
      </w:pPr>
    </w:p>
    <w:p w14:paraId="285E259A">
      <w:pPr>
        <w:spacing w:line="360" w:lineRule="exact"/>
        <w:rPr>
          <w:rFonts w:hint="eastAsia" w:ascii="宋体" w:hAnsi="宋体"/>
          <w:sz w:val="24"/>
        </w:rPr>
      </w:pPr>
    </w:p>
    <w:p w14:paraId="298032A4">
      <w:pPr>
        <w:spacing w:line="360" w:lineRule="exact"/>
        <w:rPr>
          <w:rFonts w:hint="eastAsia" w:ascii="宋体" w:hAnsi="宋体"/>
          <w:sz w:val="24"/>
        </w:rPr>
      </w:pPr>
    </w:p>
    <w:p w14:paraId="0851F2A3">
      <w:pPr>
        <w:spacing w:line="360" w:lineRule="exact"/>
        <w:rPr>
          <w:rFonts w:hint="eastAsia" w:ascii="宋体" w:hAnsi="宋体"/>
          <w:sz w:val="24"/>
        </w:rPr>
      </w:pPr>
    </w:p>
    <w:p w14:paraId="5699A190">
      <w:pPr>
        <w:spacing w:line="360" w:lineRule="exact"/>
        <w:rPr>
          <w:rFonts w:hint="eastAsia" w:ascii="宋体" w:hAnsi="宋体"/>
          <w:sz w:val="24"/>
        </w:rPr>
      </w:pPr>
    </w:p>
    <w:p w14:paraId="57EF0C43">
      <w:pPr>
        <w:spacing w:line="360" w:lineRule="exact"/>
        <w:rPr>
          <w:rFonts w:hint="eastAsia" w:ascii="宋体" w:hAnsi="宋体"/>
          <w:sz w:val="24"/>
        </w:rPr>
      </w:pPr>
    </w:p>
    <w:p w14:paraId="36657E03">
      <w:pPr>
        <w:spacing w:line="360" w:lineRule="exact"/>
        <w:rPr>
          <w:rFonts w:hint="eastAsia" w:ascii="宋体" w:hAnsi="宋体"/>
          <w:sz w:val="24"/>
        </w:rPr>
      </w:pPr>
    </w:p>
    <w:p w14:paraId="28F32527">
      <w:pPr>
        <w:spacing w:line="360" w:lineRule="exact"/>
        <w:rPr>
          <w:rFonts w:hint="eastAsia" w:ascii="宋体" w:hAnsi="宋体"/>
          <w:sz w:val="24"/>
        </w:rPr>
      </w:pPr>
    </w:p>
    <w:p w14:paraId="3D84011E">
      <w:pPr>
        <w:spacing w:line="360" w:lineRule="exact"/>
        <w:rPr>
          <w:rFonts w:hint="eastAsia" w:ascii="宋体" w:hAnsi="宋体"/>
          <w:sz w:val="24"/>
        </w:rPr>
      </w:pPr>
    </w:p>
    <w:p w14:paraId="02896070">
      <w:pPr>
        <w:spacing w:line="360" w:lineRule="exact"/>
        <w:rPr>
          <w:rFonts w:hint="eastAsia" w:ascii="宋体" w:hAnsi="宋体"/>
          <w:sz w:val="24"/>
        </w:rPr>
      </w:pPr>
    </w:p>
    <w:p w14:paraId="11C00C4A">
      <w:pPr>
        <w:spacing w:line="360" w:lineRule="exact"/>
        <w:rPr>
          <w:rFonts w:hint="eastAsia" w:ascii="宋体" w:hAnsi="宋体"/>
          <w:sz w:val="24"/>
        </w:rPr>
      </w:pPr>
    </w:p>
    <w:p w14:paraId="07D1E09E">
      <w:pPr>
        <w:spacing w:line="360" w:lineRule="exact"/>
        <w:rPr>
          <w:rFonts w:hint="eastAsia" w:ascii="宋体" w:hAnsi="宋体"/>
          <w:sz w:val="24"/>
        </w:rPr>
      </w:pPr>
    </w:p>
    <w:p w14:paraId="2EEF96AB">
      <w:pPr>
        <w:spacing w:line="360" w:lineRule="exact"/>
        <w:rPr>
          <w:rFonts w:hint="eastAsia" w:ascii="宋体" w:hAnsi="宋体"/>
          <w:b/>
          <w:sz w:val="24"/>
        </w:rPr>
      </w:pPr>
      <w:r>
        <w:rPr>
          <w:rFonts w:hint="eastAsia" w:ascii="宋体" w:hAnsi="宋体"/>
          <w:b/>
          <w:sz w:val="24"/>
        </w:rPr>
        <w:t>附件：4</w:t>
      </w:r>
    </w:p>
    <w:p w14:paraId="499CCC68">
      <w:pPr>
        <w:spacing w:line="360" w:lineRule="exact"/>
        <w:jc w:val="center"/>
        <w:rPr>
          <w:rFonts w:hint="eastAsia" w:ascii="宋体" w:hAnsi="宋体"/>
          <w:b/>
          <w:sz w:val="32"/>
          <w:szCs w:val="32"/>
        </w:rPr>
      </w:pPr>
      <w:r>
        <w:rPr>
          <w:rFonts w:hint="eastAsia" w:ascii="宋体" w:hAnsi="宋体"/>
          <w:b/>
          <w:sz w:val="32"/>
          <w:szCs w:val="32"/>
        </w:rPr>
        <w:t>售后服务计划</w:t>
      </w:r>
    </w:p>
    <w:p w14:paraId="7FFDFFFB">
      <w:pPr>
        <w:spacing w:line="360" w:lineRule="exact"/>
        <w:jc w:val="center"/>
        <w:rPr>
          <w:rFonts w:hint="eastAsia" w:ascii="宋体" w:hAnsi="宋体"/>
          <w:b/>
          <w:sz w:val="24"/>
        </w:rPr>
      </w:pPr>
    </w:p>
    <w:p w14:paraId="22BCB1E7">
      <w:pPr>
        <w:adjustRightInd w:val="0"/>
        <w:snapToGrid w:val="0"/>
        <w:spacing w:line="360" w:lineRule="auto"/>
        <w:rPr>
          <w:rFonts w:hint="eastAsia" w:ascii="宋体" w:hAnsi="宋体"/>
          <w:sz w:val="24"/>
        </w:rPr>
      </w:pPr>
      <w:r>
        <w:rPr>
          <w:rFonts w:hint="eastAsia" w:ascii="宋体" w:hAnsi="宋体"/>
          <w:sz w:val="24"/>
        </w:rPr>
        <w:t>主要内容可包括：</w:t>
      </w:r>
    </w:p>
    <w:p w14:paraId="32BB516D">
      <w:pPr>
        <w:adjustRightInd w:val="0"/>
        <w:snapToGrid w:val="0"/>
        <w:spacing w:line="360" w:lineRule="auto"/>
        <w:ind w:firstLine="480" w:firstLineChars="200"/>
        <w:rPr>
          <w:rFonts w:hint="eastAsia" w:ascii="宋体" w:hAnsi="宋体"/>
          <w:sz w:val="24"/>
        </w:rPr>
      </w:pPr>
      <w:r>
        <w:rPr>
          <w:rFonts w:hint="eastAsia" w:ascii="宋体" w:hAnsi="宋体"/>
          <w:sz w:val="24"/>
        </w:rPr>
        <w:t>1、公司简介；</w:t>
      </w:r>
    </w:p>
    <w:p w14:paraId="40ABC2A5">
      <w:pPr>
        <w:adjustRightInd w:val="0"/>
        <w:snapToGrid w:val="0"/>
        <w:spacing w:line="360" w:lineRule="auto"/>
        <w:ind w:firstLine="480" w:firstLineChars="200"/>
        <w:rPr>
          <w:rFonts w:hint="eastAsia" w:ascii="宋体" w:hAnsi="宋体"/>
          <w:sz w:val="24"/>
        </w:rPr>
      </w:pPr>
      <w:r>
        <w:rPr>
          <w:rFonts w:hint="eastAsia" w:ascii="宋体" w:hAnsi="宋体"/>
          <w:sz w:val="24"/>
        </w:rPr>
        <w:t>2、已做工程简介；</w:t>
      </w:r>
    </w:p>
    <w:p w14:paraId="39CAB80D">
      <w:pPr>
        <w:adjustRightInd w:val="0"/>
        <w:snapToGrid w:val="0"/>
        <w:spacing w:line="360" w:lineRule="auto"/>
        <w:ind w:firstLine="480" w:firstLineChars="200"/>
        <w:rPr>
          <w:rFonts w:hint="eastAsia" w:ascii="宋体" w:hAnsi="宋体"/>
          <w:sz w:val="24"/>
        </w:rPr>
      </w:pPr>
      <w:r>
        <w:rPr>
          <w:rFonts w:hint="eastAsia" w:ascii="宋体" w:hAnsi="宋体"/>
          <w:sz w:val="24"/>
        </w:rPr>
        <w:t>3、维修技术人员情况；</w:t>
      </w:r>
    </w:p>
    <w:p w14:paraId="24C254BC">
      <w:pPr>
        <w:adjustRightInd w:val="0"/>
        <w:snapToGrid w:val="0"/>
        <w:spacing w:line="360" w:lineRule="auto"/>
        <w:ind w:firstLine="480" w:firstLineChars="200"/>
        <w:rPr>
          <w:rFonts w:hint="eastAsia" w:ascii="宋体" w:hAnsi="宋体"/>
          <w:sz w:val="24"/>
        </w:rPr>
      </w:pPr>
      <w:r>
        <w:rPr>
          <w:rFonts w:hint="eastAsia" w:ascii="宋体" w:hAnsi="宋体"/>
          <w:sz w:val="24"/>
        </w:rPr>
        <w:t>4、应急维修时间安排；</w:t>
      </w:r>
    </w:p>
    <w:p w14:paraId="6F905CD9">
      <w:pPr>
        <w:adjustRightInd w:val="0"/>
        <w:snapToGrid w:val="0"/>
        <w:spacing w:line="360" w:lineRule="auto"/>
        <w:ind w:firstLine="480" w:firstLineChars="200"/>
        <w:rPr>
          <w:rFonts w:hint="eastAsia" w:ascii="宋体" w:hAnsi="宋体"/>
          <w:sz w:val="24"/>
        </w:rPr>
      </w:pPr>
      <w:r>
        <w:rPr>
          <w:rFonts w:hint="eastAsia" w:ascii="宋体" w:hAnsi="宋体"/>
          <w:sz w:val="24"/>
        </w:rPr>
        <w:t>5、维修服务收费标准；</w:t>
      </w:r>
    </w:p>
    <w:p w14:paraId="3D7302D4">
      <w:pPr>
        <w:adjustRightInd w:val="0"/>
        <w:snapToGrid w:val="0"/>
        <w:spacing w:line="360" w:lineRule="auto"/>
        <w:ind w:firstLine="480" w:firstLineChars="200"/>
        <w:rPr>
          <w:rFonts w:hint="eastAsia" w:ascii="宋体" w:hAnsi="宋体"/>
          <w:sz w:val="24"/>
        </w:rPr>
      </w:pPr>
      <w:r>
        <w:rPr>
          <w:rFonts w:hint="eastAsia" w:ascii="宋体" w:hAnsi="宋体"/>
          <w:sz w:val="24"/>
        </w:rPr>
        <w:t>6、主要零配件价格；</w:t>
      </w:r>
    </w:p>
    <w:p w14:paraId="04C115F7">
      <w:pPr>
        <w:adjustRightInd w:val="0"/>
        <w:snapToGrid w:val="0"/>
        <w:spacing w:line="360" w:lineRule="auto"/>
        <w:ind w:firstLine="480" w:firstLineChars="200"/>
        <w:rPr>
          <w:rFonts w:hint="eastAsia" w:ascii="宋体" w:hAnsi="宋体"/>
          <w:sz w:val="24"/>
        </w:rPr>
      </w:pPr>
      <w:r>
        <w:rPr>
          <w:rFonts w:hint="eastAsia" w:ascii="宋体" w:hAnsi="宋体"/>
          <w:sz w:val="24"/>
        </w:rPr>
        <w:t>7、其它服务承诺。</w:t>
      </w:r>
    </w:p>
    <w:p w14:paraId="0673FDE1">
      <w:pPr>
        <w:spacing w:line="360" w:lineRule="exact"/>
        <w:outlineLvl w:val="0"/>
        <w:rPr>
          <w:rFonts w:hint="eastAsia" w:ascii="宋体" w:hAnsi="宋体"/>
          <w:sz w:val="24"/>
        </w:rPr>
      </w:pPr>
    </w:p>
    <w:p w14:paraId="45258A8F">
      <w:pPr>
        <w:spacing w:line="360" w:lineRule="exact"/>
        <w:outlineLvl w:val="0"/>
        <w:rPr>
          <w:rFonts w:hint="eastAsia" w:ascii="宋体" w:hAnsi="宋体"/>
          <w:sz w:val="24"/>
        </w:rPr>
      </w:pPr>
    </w:p>
    <w:p w14:paraId="29ACAFD6">
      <w:pPr>
        <w:spacing w:line="360" w:lineRule="exact"/>
        <w:outlineLvl w:val="0"/>
        <w:rPr>
          <w:rFonts w:hint="eastAsia" w:ascii="宋体" w:hAnsi="宋体"/>
          <w:sz w:val="24"/>
        </w:rPr>
      </w:pPr>
    </w:p>
    <w:p w14:paraId="3F68245A">
      <w:pPr>
        <w:spacing w:line="360" w:lineRule="exact"/>
        <w:outlineLvl w:val="0"/>
        <w:rPr>
          <w:rFonts w:hint="eastAsia" w:ascii="宋体" w:hAnsi="宋体"/>
          <w:b/>
          <w:sz w:val="24"/>
        </w:rPr>
      </w:pPr>
      <w:r>
        <w:rPr>
          <w:rFonts w:hint="eastAsia" w:ascii="宋体" w:hAnsi="宋体"/>
          <w:b/>
          <w:sz w:val="24"/>
        </w:rPr>
        <w:t>附件：5</w:t>
      </w:r>
    </w:p>
    <w:p w14:paraId="133F8AA2">
      <w:pPr>
        <w:spacing w:line="360" w:lineRule="exact"/>
        <w:jc w:val="center"/>
        <w:outlineLvl w:val="0"/>
        <w:rPr>
          <w:rFonts w:hint="eastAsia" w:ascii="宋体" w:hAnsi="宋体"/>
          <w:b/>
          <w:sz w:val="32"/>
          <w:szCs w:val="32"/>
        </w:rPr>
      </w:pPr>
      <w:r>
        <w:rPr>
          <w:rFonts w:hint="eastAsia" w:ascii="宋体" w:hAnsi="宋体"/>
          <w:b/>
          <w:sz w:val="32"/>
          <w:szCs w:val="32"/>
        </w:rPr>
        <w:t>关于资格的声明函</w:t>
      </w:r>
    </w:p>
    <w:p w14:paraId="1781094B">
      <w:pPr>
        <w:spacing w:line="360" w:lineRule="exact"/>
        <w:outlineLvl w:val="0"/>
        <w:rPr>
          <w:rFonts w:hint="eastAsia" w:ascii="宋体" w:hAnsi="宋体"/>
          <w:sz w:val="24"/>
        </w:rPr>
      </w:pPr>
      <w:r>
        <w:rPr>
          <w:rFonts w:hint="eastAsia" w:ascii="宋体" w:hAnsi="宋体"/>
          <w:sz w:val="24"/>
        </w:rPr>
        <w:t>海南省教学仪器设备招标中心有限公司</w:t>
      </w:r>
    </w:p>
    <w:p w14:paraId="13885FCA">
      <w:pPr>
        <w:spacing w:line="360" w:lineRule="exact"/>
        <w:jc w:val="left"/>
        <w:rPr>
          <w:rFonts w:hint="eastAsia" w:ascii="宋体" w:hAnsi="宋体"/>
          <w:sz w:val="24"/>
        </w:rPr>
      </w:pPr>
      <w:r>
        <w:rPr>
          <w:rFonts w:hint="eastAsia" w:ascii="宋体" w:hAnsi="宋体"/>
          <w:sz w:val="24"/>
        </w:rPr>
        <w:t>关于贵方年月日（招标编号）投标邀请，本签字人愿意参加投标，提供招标货物一览表中规定的货物，并证明提交的下列文件和说明是准确的和真实的。</w:t>
      </w:r>
    </w:p>
    <w:p w14:paraId="6E90137A">
      <w:pPr>
        <w:spacing w:line="360" w:lineRule="exact"/>
        <w:ind w:left="570"/>
        <w:rPr>
          <w:rFonts w:hint="eastAsia" w:ascii="宋体" w:hAnsi="宋体"/>
          <w:sz w:val="24"/>
        </w:rPr>
      </w:pPr>
      <w:r>
        <w:rPr>
          <w:rFonts w:hint="eastAsia" w:ascii="宋体" w:hAnsi="宋体"/>
          <w:sz w:val="24"/>
        </w:rPr>
        <w:t>本签字人确认资格文件中的说明是真实的、准确的。</w:t>
      </w:r>
    </w:p>
    <w:p w14:paraId="0750A057">
      <w:pPr>
        <w:spacing w:before="240" w:line="360" w:lineRule="exact"/>
        <w:rPr>
          <w:rFonts w:hint="eastAsia" w:ascii="宋体" w:hAnsi="宋体"/>
          <w:sz w:val="24"/>
        </w:rPr>
      </w:pPr>
      <w:r>
        <w:rPr>
          <w:rFonts w:hint="eastAsia" w:ascii="宋体" w:hAnsi="宋体"/>
          <w:sz w:val="24"/>
        </w:rPr>
        <w:t>投标人的名称：（盖章）受权签署本资格文件人：（签字）</w:t>
      </w:r>
    </w:p>
    <w:p w14:paraId="2D21B539">
      <w:pPr>
        <w:spacing w:line="360" w:lineRule="exact"/>
        <w:rPr>
          <w:rFonts w:hint="eastAsia" w:ascii="宋体" w:hAnsi="宋体"/>
          <w:sz w:val="24"/>
          <w:u w:val="single"/>
        </w:rPr>
      </w:pPr>
    </w:p>
    <w:p w14:paraId="32B86A27">
      <w:pPr>
        <w:spacing w:line="360" w:lineRule="exact"/>
        <w:rPr>
          <w:rFonts w:hint="eastAsia" w:ascii="宋体" w:hAnsi="宋体"/>
          <w:sz w:val="24"/>
          <w:u w:val="single"/>
        </w:rPr>
      </w:pPr>
    </w:p>
    <w:p w14:paraId="123E9536">
      <w:pPr>
        <w:spacing w:line="360" w:lineRule="exact"/>
        <w:rPr>
          <w:rFonts w:hint="eastAsia" w:ascii="宋体" w:hAnsi="宋体"/>
          <w:sz w:val="24"/>
          <w:u w:val="single"/>
        </w:rPr>
      </w:pPr>
    </w:p>
    <w:p w14:paraId="0A345178">
      <w:pPr>
        <w:spacing w:line="360" w:lineRule="exact"/>
        <w:rPr>
          <w:rFonts w:hint="eastAsia" w:ascii="宋体" w:hAnsi="宋体"/>
          <w:sz w:val="24"/>
          <w:u w:val="single"/>
        </w:rPr>
      </w:pPr>
    </w:p>
    <w:p w14:paraId="588261F7">
      <w:pPr>
        <w:spacing w:line="360" w:lineRule="exact"/>
        <w:rPr>
          <w:rFonts w:hint="eastAsia" w:ascii="宋体" w:hAnsi="宋体"/>
          <w:sz w:val="24"/>
          <w:u w:val="single"/>
        </w:rPr>
      </w:pPr>
    </w:p>
    <w:p w14:paraId="0F81F04C">
      <w:pPr>
        <w:spacing w:line="360" w:lineRule="exact"/>
        <w:rPr>
          <w:rFonts w:hint="eastAsia" w:ascii="宋体" w:hAnsi="宋体"/>
          <w:sz w:val="24"/>
          <w:u w:val="single"/>
        </w:rPr>
      </w:pPr>
    </w:p>
    <w:p w14:paraId="731AA28E">
      <w:pPr>
        <w:spacing w:line="360" w:lineRule="exact"/>
        <w:rPr>
          <w:rFonts w:hint="eastAsia" w:ascii="宋体" w:hAnsi="宋体"/>
          <w:sz w:val="24"/>
          <w:u w:val="single"/>
        </w:rPr>
      </w:pPr>
    </w:p>
    <w:p w14:paraId="1CC0ED4E">
      <w:pPr>
        <w:pStyle w:val="3"/>
      </w:pPr>
    </w:p>
    <w:p w14:paraId="075E8A8F"/>
    <w:p w14:paraId="0972F68E"/>
    <w:p w14:paraId="543F1EA8"/>
    <w:p w14:paraId="2E1F468D">
      <w:pPr>
        <w:spacing w:line="360" w:lineRule="exact"/>
        <w:rPr>
          <w:rFonts w:hint="eastAsia" w:ascii="宋体" w:hAnsi="宋体"/>
          <w:sz w:val="24"/>
          <w:u w:val="single"/>
        </w:rPr>
      </w:pPr>
    </w:p>
    <w:p w14:paraId="3D373E60">
      <w:pPr>
        <w:spacing w:line="360" w:lineRule="exact"/>
        <w:rPr>
          <w:rFonts w:hint="eastAsia" w:ascii="宋体" w:hAnsi="宋体"/>
          <w:sz w:val="24"/>
          <w:u w:val="single"/>
        </w:rPr>
      </w:pPr>
    </w:p>
    <w:p w14:paraId="19A35202">
      <w:pPr>
        <w:spacing w:line="360" w:lineRule="exact"/>
        <w:rPr>
          <w:rFonts w:hint="eastAsia" w:ascii="宋体" w:hAnsi="宋体"/>
          <w:sz w:val="24"/>
          <w:u w:val="single"/>
        </w:rPr>
      </w:pPr>
    </w:p>
    <w:p w14:paraId="28BFA45F">
      <w:pPr>
        <w:spacing w:line="360" w:lineRule="exact"/>
        <w:rPr>
          <w:rFonts w:hint="eastAsia" w:ascii="宋体" w:hAnsi="宋体"/>
          <w:b/>
          <w:sz w:val="24"/>
        </w:rPr>
      </w:pPr>
      <w:r>
        <w:rPr>
          <w:rFonts w:hint="eastAsia" w:ascii="宋体" w:hAnsi="宋体"/>
          <w:b/>
          <w:sz w:val="24"/>
        </w:rPr>
        <w:t>附件：6</w:t>
      </w:r>
    </w:p>
    <w:p w14:paraId="54E21331">
      <w:pPr>
        <w:spacing w:line="360" w:lineRule="exact"/>
        <w:ind w:firstLine="360" w:firstLineChars="150"/>
        <w:rPr>
          <w:rFonts w:hint="eastAsia" w:ascii="宋体" w:hAnsi="宋体"/>
          <w:b/>
          <w:sz w:val="24"/>
        </w:rPr>
      </w:pPr>
      <w:r>
        <w:rPr>
          <w:rFonts w:hint="eastAsia" w:ascii="宋体" w:hAnsi="宋体"/>
          <w:sz w:val="24"/>
        </w:rPr>
        <w:t>资格证明文件格式（仅提供给投标人作为投标格式使用，不作为评标依据）</w:t>
      </w:r>
    </w:p>
    <w:p w14:paraId="53142D58">
      <w:pPr>
        <w:pStyle w:val="16"/>
        <w:tabs>
          <w:tab w:val="left" w:pos="5160"/>
        </w:tabs>
        <w:spacing w:line="360" w:lineRule="exact"/>
        <w:ind w:left="2820" w:firstLine="640"/>
        <w:rPr>
          <w:rFonts w:hint="eastAsia" w:hAnsi="宋体"/>
          <w:sz w:val="32"/>
          <w:szCs w:val="32"/>
        </w:rPr>
      </w:pPr>
    </w:p>
    <w:p w14:paraId="10B04460">
      <w:pPr>
        <w:pStyle w:val="16"/>
        <w:tabs>
          <w:tab w:val="left" w:pos="5160"/>
        </w:tabs>
        <w:spacing w:line="360" w:lineRule="exact"/>
        <w:ind w:left="2820" w:firstLine="640"/>
        <w:rPr>
          <w:rFonts w:hint="eastAsia" w:hAnsi="宋体"/>
          <w:sz w:val="32"/>
          <w:szCs w:val="32"/>
        </w:rPr>
      </w:pPr>
      <w:r>
        <w:rPr>
          <w:rFonts w:hint="eastAsia" w:hAnsi="宋体"/>
          <w:sz w:val="32"/>
          <w:szCs w:val="32"/>
        </w:rPr>
        <w:t>目录</w:t>
      </w:r>
      <w:r>
        <w:rPr>
          <w:rFonts w:hAnsi="宋体"/>
          <w:sz w:val="32"/>
          <w:szCs w:val="32"/>
        </w:rPr>
        <w:tab/>
      </w:r>
    </w:p>
    <w:p w14:paraId="563FA03A">
      <w:pPr>
        <w:pStyle w:val="16"/>
        <w:tabs>
          <w:tab w:val="left" w:pos="5160"/>
        </w:tabs>
        <w:spacing w:line="360" w:lineRule="exact"/>
        <w:ind w:left="2820" w:firstLine="480"/>
        <w:rPr>
          <w:rFonts w:hint="eastAsia" w:hAnsi="宋体"/>
          <w:sz w:val="24"/>
        </w:rPr>
      </w:pPr>
    </w:p>
    <w:p w14:paraId="489E61C3">
      <w:pPr>
        <w:tabs>
          <w:tab w:val="left" w:pos="5580"/>
        </w:tabs>
        <w:spacing w:line="360" w:lineRule="exact"/>
        <w:ind w:left="362"/>
        <w:rPr>
          <w:rFonts w:hint="eastAsia" w:ascii="宋体" w:hAnsi="宋体"/>
          <w:sz w:val="24"/>
        </w:rPr>
      </w:pPr>
      <w:r>
        <w:rPr>
          <w:rFonts w:hint="eastAsia" w:ascii="宋体" w:hAnsi="宋体"/>
          <w:sz w:val="24"/>
        </w:rPr>
        <w:t>6.1 法人营业执照的复印件（须加盖公章）</w:t>
      </w:r>
    </w:p>
    <w:p w14:paraId="70D2D86E">
      <w:pPr>
        <w:tabs>
          <w:tab w:val="left" w:pos="5580"/>
        </w:tabs>
        <w:spacing w:line="360" w:lineRule="exact"/>
        <w:ind w:left="362"/>
        <w:rPr>
          <w:rFonts w:hint="eastAsia" w:ascii="宋体" w:hAnsi="宋体"/>
          <w:sz w:val="24"/>
        </w:rPr>
      </w:pPr>
      <w:r>
        <w:rPr>
          <w:rFonts w:hint="eastAsia" w:ascii="宋体" w:hAnsi="宋体"/>
          <w:sz w:val="24"/>
        </w:rPr>
        <w:t>6.2法定代表人授权书（格式）</w:t>
      </w:r>
    </w:p>
    <w:p w14:paraId="41C36C3F">
      <w:pPr>
        <w:adjustRightInd w:val="0"/>
        <w:snapToGrid w:val="0"/>
        <w:spacing w:line="380" w:lineRule="exact"/>
        <w:ind w:firstLine="360" w:firstLineChars="150"/>
        <w:rPr>
          <w:rFonts w:hint="eastAsia" w:ascii="宋体" w:hAnsi="宋体"/>
          <w:sz w:val="24"/>
        </w:rPr>
      </w:pPr>
      <w:r>
        <w:rPr>
          <w:rFonts w:hint="eastAsia" w:ascii="宋体" w:hAnsi="宋体"/>
          <w:sz w:val="24"/>
        </w:rPr>
        <w:t>6.3投标人</w:t>
      </w:r>
      <w:r>
        <w:rPr>
          <w:rFonts w:ascii="宋体" w:hAnsi="宋体"/>
          <w:sz w:val="24"/>
        </w:rPr>
        <w:t>基本情况</w:t>
      </w:r>
      <w:r>
        <w:rPr>
          <w:rFonts w:hint="eastAsia" w:ascii="宋体" w:hAnsi="宋体"/>
          <w:sz w:val="24"/>
        </w:rPr>
        <w:t>（格式）</w:t>
      </w:r>
    </w:p>
    <w:p w14:paraId="1402DF00">
      <w:pPr>
        <w:spacing w:line="380" w:lineRule="exact"/>
        <w:ind w:firstLine="360" w:firstLineChars="15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6.4具有良好的商业信誉和健全的财务会计制度（提供承诺函加盖公章）</w:t>
      </w:r>
    </w:p>
    <w:p w14:paraId="4951FC4D">
      <w:pPr>
        <w:spacing w:line="380" w:lineRule="exact"/>
        <w:ind w:firstLine="360" w:firstLineChars="150"/>
        <w:rPr>
          <w:color w:val="000000" w:themeColor="text1"/>
          <w14:textFill>
            <w14:solidFill>
              <w14:schemeClr w14:val="tx1"/>
            </w14:solidFill>
          </w14:textFill>
        </w:rPr>
      </w:pPr>
      <w:r>
        <w:rPr>
          <w:rFonts w:hint="eastAsia" w:ascii="宋体" w:hAnsi="宋体"/>
          <w:bCs/>
          <w:color w:val="000000" w:themeColor="text1"/>
          <w:sz w:val="24"/>
          <w14:textFill>
            <w14:solidFill>
              <w14:schemeClr w14:val="tx1"/>
            </w14:solidFill>
          </w14:textFill>
        </w:rPr>
        <w:t>6.5</w:t>
      </w:r>
      <w:r>
        <w:rPr>
          <w:rFonts w:ascii="宋体" w:hAnsi="宋体"/>
          <w:color w:val="000000" w:themeColor="text1"/>
          <w:sz w:val="24"/>
          <w14:textFill>
            <w14:solidFill>
              <w14:schemeClr w14:val="tx1"/>
            </w14:solidFill>
          </w14:textFill>
        </w:rPr>
        <w:t>具有履行合同所必需的设备和专业技术能力</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承诺书</w:t>
      </w:r>
      <w:r>
        <w:rPr>
          <w:rFonts w:hint="eastAsia" w:ascii="宋体" w:hAnsi="宋体"/>
          <w:color w:val="000000" w:themeColor="text1"/>
          <w:sz w:val="24"/>
          <w14:textFill>
            <w14:solidFill>
              <w14:schemeClr w14:val="tx1"/>
            </w14:solidFill>
          </w14:textFill>
        </w:rPr>
        <w:t>)</w:t>
      </w:r>
    </w:p>
    <w:p w14:paraId="4A6C5069">
      <w:pPr>
        <w:spacing w:line="380" w:lineRule="exact"/>
        <w:ind w:firstLine="360" w:firstLineChars="15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6.6有依法缴纳税收和社会保障资金的良好记录（提供承诺函加盖公章）</w:t>
      </w:r>
    </w:p>
    <w:p w14:paraId="243F8D1A">
      <w:pPr>
        <w:spacing w:line="380" w:lineRule="exact"/>
        <w:ind w:firstLine="360" w:firstLineChars="150"/>
        <w:rPr>
          <w:rFonts w:hint="eastAsia" w:ascii="宋体" w:hAnsi="宋体"/>
          <w:sz w:val="24"/>
        </w:rPr>
      </w:pPr>
      <w:r>
        <w:rPr>
          <w:rFonts w:hint="eastAsia" w:ascii="宋体" w:hAnsi="宋体"/>
          <w:sz w:val="24"/>
        </w:rPr>
        <w:t>6.7投标人参加政府采购活动近三年内，在经营活动中没有重大事故、违法记录的声明（须加盖本单位公章）</w:t>
      </w:r>
    </w:p>
    <w:p w14:paraId="49DD3744">
      <w:pPr>
        <w:spacing w:line="380" w:lineRule="exact"/>
        <w:ind w:firstLine="480" w:firstLineChars="200"/>
        <w:rPr>
          <w:rFonts w:hint="eastAsia" w:ascii="宋体" w:hAnsi="宋体"/>
          <w:bCs/>
          <w:sz w:val="24"/>
        </w:rPr>
      </w:pPr>
      <w:r>
        <w:rPr>
          <w:rFonts w:hint="eastAsia" w:ascii="宋体" w:hAnsi="宋体"/>
          <w:bCs/>
          <w:sz w:val="24"/>
        </w:rPr>
        <w:t>6.8供应商参加政府采购活动前三年内，在经营活动中没有环保类行政处罚记录</w:t>
      </w:r>
    </w:p>
    <w:p w14:paraId="6A36AFC7">
      <w:pPr>
        <w:spacing w:line="380" w:lineRule="exact"/>
        <w:ind w:firstLine="480" w:firstLineChars="200"/>
        <w:rPr>
          <w:rFonts w:hint="eastAsia" w:ascii="宋体" w:hAnsi="宋体"/>
          <w:sz w:val="24"/>
        </w:rPr>
      </w:pPr>
      <w:r>
        <w:rPr>
          <w:rFonts w:hint="eastAsia" w:ascii="宋体" w:hAnsi="宋体"/>
          <w:sz w:val="24"/>
        </w:rPr>
        <w:t>6.9中标服务费承诺书</w:t>
      </w:r>
    </w:p>
    <w:p w14:paraId="7EBDAE3E">
      <w:pPr>
        <w:spacing w:line="380" w:lineRule="exact"/>
        <w:ind w:firstLine="480" w:firstLineChars="200"/>
        <w:rPr>
          <w:rFonts w:hint="eastAsia" w:ascii="宋体" w:hAnsi="宋体"/>
          <w:bCs/>
          <w:sz w:val="24"/>
        </w:rPr>
      </w:pPr>
      <w:r>
        <w:rPr>
          <w:rFonts w:hint="eastAsia" w:ascii="宋体" w:hAnsi="宋体"/>
          <w:bCs/>
          <w:sz w:val="24"/>
        </w:rPr>
        <w:t>6.10其他资格证明文件</w:t>
      </w:r>
    </w:p>
    <w:p w14:paraId="3B16A03B">
      <w:pPr>
        <w:pStyle w:val="3"/>
      </w:pPr>
    </w:p>
    <w:p w14:paraId="6676C0D1">
      <w:pPr>
        <w:pStyle w:val="3"/>
        <w:pageBreakBefore/>
        <w:spacing w:line="360" w:lineRule="exact"/>
        <w:rPr>
          <w:rFonts w:hint="eastAsia" w:ascii="宋体" w:hAnsi="宋体" w:eastAsia="宋体"/>
          <w:sz w:val="24"/>
          <w:szCs w:val="24"/>
        </w:rPr>
      </w:pPr>
      <w:r>
        <w:rPr>
          <w:rFonts w:hint="eastAsia" w:ascii="宋体" w:hAnsi="宋体" w:eastAsia="宋体"/>
          <w:sz w:val="24"/>
          <w:szCs w:val="24"/>
        </w:rPr>
        <w:t>附件6.1  法人营业执照的复印件</w:t>
      </w:r>
    </w:p>
    <w:p w14:paraId="2969C0F5">
      <w:pPr>
        <w:pStyle w:val="16"/>
        <w:tabs>
          <w:tab w:val="left" w:pos="5580"/>
        </w:tabs>
        <w:spacing w:line="360" w:lineRule="exact"/>
        <w:ind w:firstLine="482"/>
        <w:jc w:val="center"/>
        <w:rPr>
          <w:rFonts w:hint="eastAsia" w:hAnsi="宋体"/>
          <w:b/>
          <w:sz w:val="24"/>
        </w:rPr>
      </w:pPr>
    </w:p>
    <w:p w14:paraId="043CBFC8">
      <w:pPr>
        <w:pStyle w:val="16"/>
        <w:spacing w:line="360" w:lineRule="exact"/>
        <w:ind w:firstLine="480"/>
        <w:jc w:val="center"/>
        <w:rPr>
          <w:rFonts w:hint="eastAsia" w:hAnsi="宋体"/>
          <w:sz w:val="24"/>
        </w:rPr>
      </w:pPr>
      <w:r>
        <w:rPr>
          <w:rFonts w:hint="eastAsia" w:hAnsi="宋体"/>
          <w:sz w:val="24"/>
        </w:rPr>
        <w:t>提供工商年检合格的营业执照副本复印件</w:t>
      </w:r>
    </w:p>
    <w:p w14:paraId="1F192CA7">
      <w:pPr>
        <w:pStyle w:val="16"/>
        <w:tabs>
          <w:tab w:val="left" w:pos="5580"/>
        </w:tabs>
        <w:spacing w:line="360" w:lineRule="exact"/>
        <w:ind w:firstLine="482"/>
        <w:jc w:val="center"/>
        <w:rPr>
          <w:rFonts w:hint="eastAsia" w:hAnsi="宋体"/>
          <w:b/>
          <w:sz w:val="24"/>
        </w:rPr>
      </w:pPr>
    </w:p>
    <w:p w14:paraId="041B65EC">
      <w:pPr>
        <w:pStyle w:val="16"/>
        <w:tabs>
          <w:tab w:val="left" w:pos="5580"/>
        </w:tabs>
        <w:spacing w:line="360" w:lineRule="exact"/>
        <w:ind w:firstLine="482"/>
        <w:jc w:val="center"/>
        <w:rPr>
          <w:rFonts w:hint="eastAsia" w:hAnsi="宋体"/>
          <w:b/>
          <w:sz w:val="24"/>
        </w:rPr>
      </w:pPr>
      <w:r>
        <w:rPr>
          <w:rFonts w:hint="eastAsia" w:hAnsi="宋体"/>
          <w:b/>
          <w:sz w:val="24"/>
        </w:rPr>
        <w:t>（须加盖公章）</w:t>
      </w:r>
    </w:p>
    <w:p w14:paraId="44898AA3">
      <w:pPr>
        <w:pStyle w:val="3"/>
        <w:spacing w:line="360" w:lineRule="exact"/>
        <w:rPr>
          <w:rFonts w:hint="eastAsia" w:ascii="宋体" w:hAnsi="宋体" w:eastAsia="宋体"/>
          <w:sz w:val="24"/>
          <w:szCs w:val="24"/>
        </w:rPr>
      </w:pPr>
      <w:r>
        <w:rPr>
          <w:rFonts w:hint="eastAsia" w:ascii="宋体" w:hAnsi="宋体" w:eastAsia="宋体"/>
          <w:sz w:val="24"/>
          <w:szCs w:val="24"/>
        </w:rPr>
        <w:t>附件6.2  法定代表人授权书</w:t>
      </w:r>
      <w:r>
        <w:rPr>
          <w:rFonts w:ascii="宋体" w:hAnsi="宋体" w:eastAsia="宋体"/>
          <w:sz w:val="24"/>
          <w:szCs w:val="24"/>
        </w:rPr>
        <w:t>(</w:t>
      </w:r>
      <w:r>
        <w:rPr>
          <w:rFonts w:hint="eastAsia" w:ascii="宋体" w:hAnsi="宋体" w:eastAsia="宋体"/>
          <w:sz w:val="24"/>
          <w:szCs w:val="24"/>
        </w:rPr>
        <w:t>格式</w:t>
      </w:r>
      <w:r>
        <w:rPr>
          <w:rFonts w:ascii="宋体" w:hAnsi="宋体" w:eastAsia="宋体"/>
          <w:sz w:val="24"/>
          <w:szCs w:val="24"/>
        </w:rPr>
        <w:t>)</w:t>
      </w:r>
    </w:p>
    <w:p w14:paraId="6E195FF6">
      <w:pPr>
        <w:pStyle w:val="7"/>
        <w:spacing w:line="360" w:lineRule="exact"/>
        <w:ind w:firstLine="480"/>
        <w:jc w:val="center"/>
        <w:rPr>
          <w:rFonts w:hint="eastAsia" w:ascii="宋体" w:hAnsi="宋体"/>
          <w:sz w:val="24"/>
        </w:rPr>
      </w:pPr>
      <w:r>
        <w:rPr>
          <w:rFonts w:hint="eastAsia" w:ascii="宋体" w:hAnsi="宋体"/>
          <w:sz w:val="24"/>
        </w:rPr>
        <w:t>法定代表人授权书</w:t>
      </w:r>
    </w:p>
    <w:p w14:paraId="086ECABE">
      <w:pPr>
        <w:pStyle w:val="7"/>
        <w:spacing w:line="360" w:lineRule="exact"/>
        <w:ind w:firstLine="480"/>
        <w:jc w:val="center"/>
        <w:rPr>
          <w:rFonts w:hint="eastAsia" w:hAnsi="宋体"/>
          <w:sz w:val="24"/>
        </w:rPr>
      </w:pPr>
    </w:p>
    <w:p w14:paraId="6202B508">
      <w:pPr>
        <w:pStyle w:val="16"/>
        <w:spacing w:line="360" w:lineRule="exact"/>
        <w:ind w:firstLine="480"/>
        <w:rPr>
          <w:rFonts w:hint="eastAsia" w:hAnsi="宋体"/>
          <w:sz w:val="24"/>
        </w:rPr>
      </w:pPr>
      <w:r>
        <w:rPr>
          <w:rFonts w:hint="eastAsia" w:hAnsi="宋体"/>
          <w:sz w:val="24"/>
        </w:rPr>
        <w:t>本授权书声明：注册于</w:t>
      </w:r>
      <w:r>
        <w:rPr>
          <w:rFonts w:hint="eastAsia" w:hAnsi="宋体"/>
          <w:sz w:val="24"/>
          <w:u w:val="single"/>
        </w:rPr>
        <w:t>（国家或地区的名称）</w:t>
      </w:r>
      <w:r>
        <w:rPr>
          <w:rFonts w:hint="eastAsia" w:hAnsi="宋体"/>
          <w:sz w:val="24"/>
        </w:rPr>
        <w:t>的（</w:t>
      </w:r>
      <w:r>
        <w:rPr>
          <w:rFonts w:hint="eastAsia" w:hAnsi="宋体"/>
          <w:sz w:val="24"/>
          <w:u w:val="single"/>
        </w:rPr>
        <w:t>公司名称</w:t>
      </w:r>
      <w:r>
        <w:rPr>
          <w:rFonts w:hint="eastAsia" w:hAnsi="宋体"/>
          <w:sz w:val="24"/>
        </w:rPr>
        <w:t>）的在下面签字的（法人代表姓名、职务）代表本公司授权（</w:t>
      </w:r>
      <w:r>
        <w:rPr>
          <w:rFonts w:hint="eastAsia" w:hAnsi="宋体"/>
          <w:sz w:val="24"/>
          <w:u w:val="single"/>
        </w:rPr>
        <w:t>单位名称</w:t>
      </w:r>
      <w:r>
        <w:rPr>
          <w:rFonts w:hint="eastAsia" w:hAnsi="宋体"/>
          <w:sz w:val="24"/>
        </w:rPr>
        <w:t>）的在下面签字的（</w:t>
      </w:r>
      <w:r>
        <w:rPr>
          <w:rFonts w:hint="eastAsia" w:hAnsi="宋体"/>
          <w:sz w:val="24"/>
          <w:u w:val="single"/>
        </w:rPr>
        <w:t>被授权人的姓名、职务</w:t>
      </w:r>
      <w:r>
        <w:rPr>
          <w:rFonts w:hint="eastAsia" w:hAnsi="宋体"/>
          <w:sz w:val="24"/>
        </w:rPr>
        <w:t>）为本公司的合法代理人，就（</w:t>
      </w:r>
      <w:r>
        <w:rPr>
          <w:rFonts w:hint="eastAsia" w:hAnsi="宋体"/>
          <w:sz w:val="24"/>
          <w:u w:val="single"/>
        </w:rPr>
        <w:t>项目名称</w:t>
      </w:r>
      <w:r>
        <w:rPr>
          <w:rFonts w:hint="eastAsia" w:hAnsi="宋体"/>
          <w:sz w:val="24"/>
        </w:rPr>
        <w:t>）的投标，以本公司名义处理一切与之有关的事务。</w:t>
      </w:r>
      <w:r>
        <w:rPr>
          <w:rFonts w:hint="eastAsia" w:hAnsi="宋体"/>
          <w:sz w:val="24"/>
        </w:rPr>
        <w:cr/>
      </w:r>
      <w:r>
        <w:rPr>
          <w:rFonts w:hint="eastAsia" w:hAnsi="宋体"/>
          <w:sz w:val="24"/>
        </w:rPr>
        <w:t>　　</w:t>
      </w:r>
    </w:p>
    <w:p w14:paraId="2C855ADC">
      <w:pPr>
        <w:pStyle w:val="16"/>
        <w:tabs>
          <w:tab w:val="left" w:pos="5580"/>
        </w:tabs>
        <w:spacing w:line="360" w:lineRule="exact"/>
        <w:ind w:firstLine="480"/>
        <w:rPr>
          <w:rFonts w:hint="eastAsia" w:hAnsi="宋体"/>
          <w:sz w:val="24"/>
        </w:rPr>
      </w:pPr>
      <w:r>
        <w:rPr>
          <w:rFonts w:hint="eastAsia" w:hAnsi="宋体"/>
          <w:sz w:val="24"/>
        </w:rPr>
        <w:t>本授权书于__________年_____月______日签字生效,特此声明。</w:t>
      </w:r>
      <w:r>
        <w:rPr>
          <w:rFonts w:hint="eastAsia" w:hAnsi="宋体"/>
          <w:sz w:val="24"/>
        </w:rPr>
        <w:cr/>
      </w:r>
      <w:r>
        <w:rPr>
          <w:rFonts w:hint="eastAsia" w:hAnsi="宋体"/>
          <w:sz w:val="24"/>
        </w:rPr>
        <w:cr/>
      </w:r>
      <w:r>
        <w:rPr>
          <w:rFonts w:hint="eastAsia" w:hAnsi="宋体"/>
          <w:sz w:val="24"/>
        </w:rPr>
        <w:cr/>
      </w:r>
      <w:r>
        <w:rPr>
          <w:rFonts w:hint="eastAsia" w:hAnsi="宋体"/>
          <w:sz w:val="24"/>
        </w:rPr>
        <w:t>法定代表人签字_______________________________</w:t>
      </w:r>
    </w:p>
    <w:p w14:paraId="2C59938B">
      <w:pPr>
        <w:pStyle w:val="16"/>
        <w:tabs>
          <w:tab w:val="left" w:pos="5580"/>
        </w:tabs>
        <w:spacing w:line="360" w:lineRule="exact"/>
        <w:ind w:firstLine="480"/>
        <w:rPr>
          <w:rFonts w:hint="eastAsia" w:hAnsi="宋体"/>
          <w:sz w:val="24"/>
        </w:rPr>
      </w:pPr>
      <w:r>
        <w:rPr>
          <w:rFonts w:hint="eastAsia" w:hAnsi="宋体"/>
          <w:sz w:val="24"/>
        </w:rPr>
        <w:cr/>
      </w:r>
      <w:r>
        <w:rPr>
          <w:rFonts w:hint="eastAsia" w:hAnsi="宋体"/>
          <w:sz w:val="24"/>
        </w:rPr>
        <w:t>被授权人签字_______________________________</w:t>
      </w:r>
    </w:p>
    <w:p w14:paraId="58BC47BD">
      <w:pPr>
        <w:pStyle w:val="16"/>
        <w:tabs>
          <w:tab w:val="left" w:pos="5580"/>
        </w:tabs>
        <w:spacing w:line="360" w:lineRule="exact"/>
        <w:ind w:firstLine="480"/>
        <w:rPr>
          <w:rFonts w:hint="eastAsia" w:hAnsi="宋体"/>
          <w:sz w:val="24"/>
        </w:rPr>
      </w:pPr>
      <w:r>
        <w:rPr>
          <w:rFonts w:hint="eastAsia" w:hAnsi="宋体"/>
          <w:sz w:val="24"/>
        </w:rPr>
        <w:cr/>
      </w:r>
      <w:r>
        <w:rPr>
          <w:rFonts w:hint="eastAsia" w:hAnsi="宋体"/>
          <w:sz w:val="24"/>
        </w:rPr>
        <w:t>公司盖章：</w:t>
      </w:r>
    </w:p>
    <w:p w14:paraId="7ED5CFDA">
      <w:pPr>
        <w:pStyle w:val="16"/>
        <w:tabs>
          <w:tab w:val="left" w:pos="5580"/>
        </w:tabs>
        <w:spacing w:line="360" w:lineRule="exact"/>
        <w:ind w:firstLine="480"/>
        <w:rPr>
          <w:rFonts w:hint="eastAsia" w:hAnsi="宋体"/>
          <w:sz w:val="24"/>
        </w:rPr>
      </w:pPr>
    </w:p>
    <w:p w14:paraId="5C70C205">
      <w:pPr>
        <w:pStyle w:val="16"/>
        <w:tabs>
          <w:tab w:val="left" w:pos="5580"/>
        </w:tabs>
        <w:spacing w:line="360" w:lineRule="exact"/>
        <w:ind w:firstLine="480"/>
        <w:rPr>
          <w:rFonts w:hint="eastAsia" w:hAnsi="宋体"/>
          <w:sz w:val="24"/>
        </w:rPr>
      </w:pPr>
    </w:p>
    <w:p w14:paraId="131BF231">
      <w:pPr>
        <w:pStyle w:val="16"/>
        <w:tabs>
          <w:tab w:val="left" w:pos="5580"/>
        </w:tabs>
        <w:spacing w:line="360" w:lineRule="exact"/>
        <w:ind w:firstLine="480"/>
        <w:rPr>
          <w:rFonts w:hint="eastAsia" w:hAnsi="宋体"/>
          <w:sz w:val="24"/>
        </w:rPr>
      </w:pPr>
      <w:r>
        <w:rPr>
          <w:rFonts w:hint="eastAsia" w:hAnsi="宋体"/>
          <w:sz w:val="24"/>
        </w:rPr>
        <w:t>附：</w:t>
      </w:r>
    </w:p>
    <w:p w14:paraId="37898336">
      <w:pPr>
        <w:pStyle w:val="16"/>
        <w:tabs>
          <w:tab w:val="left" w:pos="5580"/>
        </w:tabs>
        <w:spacing w:line="360" w:lineRule="exact"/>
        <w:ind w:firstLine="480"/>
        <w:rPr>
          <w:rFonts w:hint="eastAsia" w:hAnsi="宋体"/>
          <w:sz w:val="24"/>
        </w:rPr>
      </w:pPr>
      <w:r>
        <w:rPr>
          <w:rFonts w:hint="eastAsia" w:hAnsi="宋体"/>
          <w:sz w:val="24"/>
        </w:rPr>
        <w:t>被授权人姓名：</w:t>
      </w:r>
    </w:p>
    <w:p w14:paraId="06A0C1F5">
      <w:pPr>
        <w:pStyle w:val="16"/>
        <w:tabs>
          <w:tab w:val="left" w:pos="5580"/>
        </w:tabs>
        <w:spacing w:line="360" w:lineRule="exact"/>
        <w:ind w:firstLine="480"/>
        <w:rPr>
          <w:rFonts w:hint="eastAsia" w:hAnsi="宋体"/>
          <w:sz w:val="24"/>
        </w:rPr>
      </w:pPr>
      <w:r>
        <w:rPr>
          <w:rFonts w:hint="eastAsia" w:hAnsi="宋体"/>
          <w:sz w:val="24"/>
        </w:rPr>
        <w:t>职　　　　务：</w:t>
      </w:r>
    </w:p>
    <w:p w14:paraId="263A703B">
      <w:pPr>
        <w:pStyle w:val="16"/>
        <w:tabs>
          <w:tab w:val="left" w:pos="5580"/>
        </w:tabs>
        <w:spacing w:line="360" w:lineRule="exact"/>
        <w:ind w:firstLine="480"/>
        <w:rPr>
          <w:rFonts w:hint="eastAsia" w:hAnsi="宋体"/>
          <w:sz w:val="24"/>
        </w:rPr>
      </w:pPr>
      <w:r>
        <w:rPr>
          <w:rFonts w:hint="eastAsia" w:hAnsi="宋体"/>
          <w:sz w:val="24"/>
        </w:rPr>
        <w:t>详细通讯地址：</w:t>
      </w:r>
    </w:p>
    <w:p w14:paraId="65A00782">
      <w:pPr>
        <w:pStyle w:val="16"/>
        <w:tabs>
          <w:tab w:val="left" w:pos="5580"/>
        </w:tabs>
        <w:spacing w:line="360" w:lineRule="exact"/>
        <w:ind w:firstLine="480"/>
        <w:rPr>
          <w:rFonts w:hint="eastAsia" w:hAnsi="宋体"/>
          <w:sz w:val="24"/>
        </w:rPr>
      </w:pPr>
      <w:r>
        <w:rPr>
          <w:rFonts w:hint="eastAsia" w:hAnsi="宋体"/>
          <w:sz w:val="24"/>
        </w:rPr>
        <w:t>邮政编码　　：</w:t>
      </w:r>
    </w:p>
    <w:p w14:paraId="2B23ABA2">
      <w:pPr>
        <w:pStyle w:val="16"/>
        <w:tabs>
          <w:tab w:val="left" w:pos="5580"/>
        </w:tabs>
        <w:spacing w:line="360" w:lineRule="exact"/>
        <w:ind w:firstLine="480"/>
        <w:rPr>
          <w:rFonts w:hint="eastAsia" w:hAnsi="宋体"/>
          <w:sz w:val="24"/>
        </w:rPr>
      </w:pPr>
      <w:r>
        <w:rPr>
          <w:rFonts w:hint="eastAsia" w:hAnsi="宋体"/>
          <w:sz w:val="24"/>
        </w:rPr>
        <w:t>传　　　　真：</w:t>
      </w:r>
    </w:p>
    <w:p w14:paraId="041AB712">
      <w:pPr>
        <w:pStyle w:val="16"/>
        <w:tabs>
          <w:tab w:val="left" w:pos="5580"/>
        </w:tabs>
        <w:spacing w:line="360" w:lineRule="exact"/>
        <w:ind w:firstLine="480"/>
        <w:rPr>
          <w:rFonts w:hint="eastAsia" w:hAnsi="宋体"/>
          <w:sz w:val="24"/>
        </w:rPr>
      </w:pPr>
      <w:r>
        <w:rPr>
          <w:rFonts w:hint="eastAsia" w:hAnsi="宋体"/>
          <w:sz w:val="24"/>
        </w:rPr>
        <w:t>电　　　　话：</w:t>
      </w:r>
    </w:p>
    <w:tbl>
      <w:tblPr>
        <w:tblStyle w:val="32"/>
        <w:tblpPr w:leftFromText="180" w:rightFromText="180" w:vertAnchor="text" w:horzAnchor="margin" w:tblpY="242"/>
        <w:tblW w:w="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5B9E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3992" w:type="dxa"/>
            <w:vAlign w:val="center"/>
          </w:tcPr>
          <w:p w14:paraId="6008187A">
            <w:pPr>
              <w:spacing w:line="360" w:lineRule="exact"/>
              <w:jc w:val="center"/>
              <w:rPr>
                <w:rFonts w:hint="eastAsia" w:ascii="宋体" w:hAnsi="宋体"/>
                <w:sz w:val="24"/>
              </w:rPr>
            </w:pPr>
            <w:r>
              <w:rPr>
                <w:rFonts w:hint="eastAsia" w:ascii="宋体" w:hAnsi="宋体"/>
                <w:sz w:val="24"/>
              </w:rPr>
              <w:t>粘贴</w:t>
            </w:r>
          </w:p>
          <w:p w14:paraId="6C708224">
            <w:pPr>
              <w:spacing w:line="360" w:lineRule="exact"/>
              <w:jc w:val="center"/>
              <w:rPr>
                <w:rFonts w:hint="eastAsia" w:ascii="宋体" w:hAnsi="宋体"/>
                <w:sz w:val="24"/>
              </w:rPr>
            </w:pPr>
            <w:r>
              <w:rPr>
                <w:rFonts w:hint="eastAsia" w:ascii="宋体" w:hAnsi="宋体"/>
                <w:sz w:val="24"/>
              </w:rPr>
              <w:t>法人及投标方代表身份证复印件(正反面)</w:t>
            </w:r>
          </w:p>
        </w:tc>
      </w:tr>
    </w:tbl>
    <w:p w14:paraId="3DAF04D6">
      <w:pPr>
        <w:pStyle w:val="16"/>
        <w:tabs>
          <w:tab w:val="left" w:pos="5580"/>
        </w:tabs>
        <w:spacing w:line="360" w:lineRule="exact"/>
        <w:ind w:firstLine="480"/>
        <w:rPr>
          <w:rFonts w:hint="eastAsia" w:hAnsi="宋体"/>
          <w:sz w:val="24"/>
        </w:rPr>
      </w:pPr>
    </w:p>
    <w:p w14:paraId="03AFE640">
      <w:pPr>
        <w:pStyle w:val="16"/>
        <w:tabs>
          <w:tab w:val="left" w:pos="5580"/>
        </w:tabs>
        <w:spacing w:line="360" w:lineRule="exact"/>
        <w:ind w:firstLine="480"/>
        <w:rPr>
          <w:rFonts w:hint="eastAsia" w:hAnsi="宋体"/>
          <w:sz w:val="24"/>
        </w:rPr>
      </w:pPr>
    </w:p>
    <w:p w14:paraId="191786CD">
      <w:pPr>
        <w:pStyle w:val="16"/>
        <w:tabs>
          <w:tab w:val="left" w:pos="5580"/>
        </w:tabs>
        <w:spacing w:line="360" w:lineRule="exact"/>
        <w:ind w:firstLine="480"/>
        <w:rPr>
          <w:rFonts w:hint="eastAsia" w:hAnsi="宋体"/>
          <w:sz w:val="24"/>
        </w:rPr>
      </w:pPr>
    </w:p>
    <w:p w14:paraId="17C5D489">
      <w:pPr>
        <w:pStyle w:val="3"/>
        <w:spacing w:line="360" w:lineRule="exact"/>
        <w:rPr>
          <w:rFonts w:hint="eastAsia" w:ascii="宋体" w:hAnsi="宋体" w:eastAsia="宋体"/>
          <w:sz w:val="21"/>
          <w:szCs w:val="21"/>
        </w:rPr>
      </w:pPr>
    </w:p>
    <w:p w14:paraId="13CBA46E">
      <w:pPr>
        <w:pStyle w:val="7"/>
        <w:spacing w:line="360" w:lineRule="exact"/>
        <w:rPr>
          <w:rFonts w:hint="eastAsia" w:hAnsi="宋体"/>
          <w:szCs w:val="21"/>
        </w:rPr>
      </w:pPr>
    </w:p>
    <w:p w14:paraId="3BB9EF16">
      <w:pPr>
        <w:pStyle w:val="7"/>
        <w:spacing w:line="360" w:lineRule="exact"/>
        <w:rPr>
          <w:rFonts w:hint="eastAsia" w:hAnsi="宋体"/>
          <w:szCs w:val="21"/>
        </w:rPr>
      </w:pPr>
    </w:p>
    <w:p w14:paraId="775C2ED2">
      <w:pPr>
        <w:spacing w:line="360" w:lineRule="exact"/>
      </w:pPr>
    </w:p>
    <w:p w14:paraId="6F5D4905">
      <w:pPr>
        <w:spacing w:line="360" w:lineRule="auto"/>
        <w:ind w:left="2787"/>
        <w:rPr>
          <w:b/>
          <w:sz w:val="24"/>
        </w:rPr>
      </w:pPr>
      <w:r>
        <w:rPr>
          <w:rFonts w:hint="eastAsia" w:ascii="宋体" w:hAnsi="宋体" w:cs="宋体"/>
          <w:b/>
          <w:bCs/>
          <w:sz w:val="24"/>
        </w:rPr>
        <w:t>附件</w:t>
      </w:r>
      <w:r>
        <w:rPr>
          <w:rFonts w:eastAsia="Times New Roman"/>
          <w:b/>
          <w:bCs/>
          <w:sz w:val="24"/>
        </w:rPr>
        <w:t>6.3</w:t>
      </w:r>
      <w:r>
        <w:rPr>
          <w:rFonts w:ascii="宋体" w:hAnsi="宋体" w:cs="宋体"/>
          <w:b/>
          <w:sz w:val="24"/>
        </w:rPr>
        <w:t>、</w:t>
      </w:r>
      <w:r>
        <w:rPr>
          <w:rFonts w:hint="eastAsia" w:ascii="宋体" w:hAnsi="宋体" w:cs="宋体"/>
          <w:b/>
          <w:sz w:val="24"/>
        </w:rPr>
        <w:t>投标人</w:t>
      </w:r>
      <w:r>
        <w:rPr>
          <w:rFonts w:ascii="宋体" w:hAnsi="宋体" w:cs="宋体"/>
          <w:b/>
          <w:sz w:val="24"/>
        </w:rPr>
        <w:t>基本情况</w:t>
      </w:r>
    </w:p>
    <w:tbl>
      <w:tblPr>
        <w:tblStyle w:val="32"/>
        <w:tblW w:w="9465" w:type="dxa"/>
        <w:tblInd w:w="5" w:type="dxa"/>
        <w:tblLayout w:type="autofit"/>
        <w:tblCellMar>
          <w:top w:w="14" w:type="dxa"/>
          <w:left w:w="108" w:type="dxa"/>
          <w:bottom w:w="14" w:type="dxa"/>
          <w:right w:w="0" w:type="dxa"/>
        </w:tblCellMar>
      </w:tblPr>
      <w:tblGrid>
        <w:gridCol w:w="1702"/>
        <w:gridCol w:w="1241"/>
        <w:gridCol w:w="1135"/>
        <w:gridCol w:w="845"/>
        <w:gridCol w:w="149"/>
        <w:gridCol w:w="283"/>
        <w:gridCol w:w="1133"/>
        <w:gridCol w:w="284"/>
        <w:gridCol w:w="307"/>
        <w:gridCol w:w="667"/>
        <w:gridCol w:w="1719"/>
      </w:tblGrid>
      <w:tr w14:paraId="5B526E5D">
        <w:tblPrEx>
          <w:tblCellMar>
            <w:top w:w="14" w:type="dxa"/>
            <w:left w:w="108" w:type="dxa"/>
            <w:bottom w:w="14" w:type="dxa"/>
            <w:right w:w="0" w:type="dxa"/>
          </w:tblCellMar>
        </w:tblPrEx>
        <w:trPr>
          <w:trHeight w:val="569" w:hRule="atLeast"/>
        </w:trPr>
        <w:tc>
          <w:tcPr>
            <w:tcW w:w="1702" w:type="dxa"/>
            <w:tcBorders>
              <w:top w:val="single" w:color="000000" w:sz="4" w:space="0"/>
              <w:left w:val="single" w:color="000000" w:sz="4" w:space="0"/>
              <w:bottom w:val="single" w:color="000000" w:sz="6" w:space="0"/>
              <w:right w:val="single" w:color="000000" w:sz="6" w:space="0"/>
            </w:tcBorders>
            <w:vAlign w:val="center"/>
          </w:tcPr>
          <w:p w14:paraId="1D9D3CD3">
            <w:pPr>
              <w:spacing w:line="360" w:lineRule="auto"/>
              <w:ind w:left="216"/>
            </w:pPr>
            <w:r>
              <w:rPr>
                <w:rFonts w:ascii="宋体" w:hAnsi="宋体" w:cs="宋体"/>
              </w:rPr>
              <w:t xml:space="preserve">投标人名称 </w:t>
            </w:r>
          </w:p>
        </w:tc>
        <w:tc>
          <w:tcPr>
            <w:tcW w:w="1241" w:type="dxa"/>
            <w:tcBorders>
              <w:top w:val="single" w:color="000000" w:sz="4" w:space="0"/>
              <w:left w:val="single" w:color="000000" w:sz="6" w:space="0"/>
              <w:bottom w:val="single" w:color="000000" w:sz="6" w:space="0"/>
              <w:right w:val="nil"/>
            </w:tcBorders>
          </w:tcPr>
          <w:p w14:paraId="5A5BF7FE">
            <w:pPr>
              <w:spacing w:line="360" w:lineRule="auto"/>
            </w:pPr>
          </w:p>
        </w:tc>
        <w:tc>
          <w:tcPr>
            <w:tcW w:w="6522" w:type="dxa"/>
            <w:gridSpan w:val="9"/>
            <w:tcBorders>
              <w:top w:val="single" w:color="000000" w:sz="4" w:space="0"/>
              <w:left w:val="nil"/>
              <w:bottom w:val="single" w:color="000000" w:sz="6" w:space="0"/>
              <w:right w:val="single" w:color="000000" w:sz="4" w:space="0"/>
            </w:tcBorders>
            <w:vAlign w:val="center"/>
          </w:tcPr>
          <w:p w14:paraId="029D7417">
            <w:pPr>
              <w:spacing w:line="360" w:lineRule="auto"/>
              <w:ind w:left="2532"/>
            </w:pPr>
          </w:p>
        </w:tc>
      </w:tr>
      <w:tr w14:paraId="5372A984">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222B3838">
            <w:pPr>
              <w:spacing w:line="360" w:lineRule="auto"/>
              <w:ind w:right="109"/>
              <w:jc w:val="center"/>
            </w:pPr>
            <w:r>
              <w:rPr>
                <w:rFonts w:ascii="宋体" w:hAnsi="宋体" w:cs="宋体"/>
              </w:rPr>
              <w:t xml:space="preserve">注册地址 </w:t>
            </w:r>
          </w:p>
        </w:tc>
        <w:tc>
          <w:tcPr>
            <w:tcW w:w="1241" w:type="dxa"/>
            <w:tcBorders>
              <w:top w:val="single" w:color="000000" w:sz="6" w:space="0"/>
              <w:left w:val="single" w:color="000000" w:sz="6" w:space="0"/>
              <w:bottom w:val="single" w:color="000000" w:sz="6" w:space="0"/>
              <w:right w:val="nil"/>
            </w:tcBorders>
          </w:tcPr>
          <w:p w14:paraId="40B0D2ED">
            <w:pPr>
              <w:spacing w:line="360" w:lineRule="auto"/>
            </w:pPr>
          </w:p>
        </w:tc>
        <w:tc>
          <w:tcPr>
            <w:tcW w:w="1980" w:type="dxa"/>
            <w:gridSpan w:val="2"/>
            <w:tcBorders>
              <w:top w:val="single" w:color="000000" w:sz="6" w:space="0"/>
              <w:left w:val="nil"/>
              <w:bottom w:val="single" w:color="000000" w:sz="6" w:space="0"/>
              <w:right w:val="single" w:color="000000" w:sz="6" w:space="0"/>
            </w:tcBorders>
            <w:vAlign w:val="center"/>
          </w:tcPr>
          <w:p w14:paraId="0492588D">
            <w:pPr>
              <w:spacing w:line="360" w:lineRule="auto"/>
              <w:ind w:left="262"/>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2475A7D1">
            <w:pPr>
              <w:spacing w:line="360" w:lineRule="auto"/>
              <w:ind w:left="254"/>
            </w:pPr>
            <w:r>
              <w:rPr>
                <w:rFonts w:ascii="宋体" w:hAnsi="宋体" w:cs="宋体"/>
              </w:rPr>
              <w:t xml:space="preserve">邮政编码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71D01C59">
            <w:pPr>
              <w:spacing w:line="360" w:lineRule="auto"/>
              <w:ind w:right="3"/>
              <w:jc w:val="center"/>
            </w:pPr>
          </w:p>
        </w:tc>
      </w:tr>
      <w:tr w14:paraId="02498621">
        <w:tblPrEx>
          <w:tblCellMar>
            <w:top w:w="14" w:type="dxa"/>
            <w:left w:w="108" w:type="dxa"/>
            <w:bottom w:w="14" w:type="dxa"/>
            <w:right w:w="0" w:type="dxa"/>
          </w:tblCellMar>
        </w:tblPrEx>
        <w:trPr>
          <w:trHeight w:val="566" w:hRule="atLeast"/>
        </w:trPr>
        <w:tc>
          <w:tcPr>
            <w:tcW w:w="1702" w:type="dxa"/>
            <w:vMerge w:val="restart"/>
            <w:tcBorders>
              <w:top w:val="single" w:color="000000" w:sz="6" w:space="0"/>
              <w:left w:val="single" w:color="000000" w:sz="4" w:space="0"/>
              <w:bottom w:val="single" w:color="000000" w:sz="6" w:space="0"/>
              <w:right w:val="single" w:color="000000" w:sz="6" w:space="0"/>
            </w:tcBorders>
            <w:vAlign w:val="center"/>
          </w:tcPr>
          <w:p w14:paraId="26CA3B84">
            <w:pPr>
              <w:spacing w:line="360" w:lineRule="auto"/>
              <w:ind w:right="109"/>
              <w:jc w:val="center"/>
            </w:pPr>
            <w:r>
              <w:rPr>
                <w:rFonts w:ascii="宋体" w:hAnsi="宋体" w:cs="宋体"/>
              </w:rPr>
              <w:t xml:space="preserve">联系方式 </w:t>
            </w:r>
          </w:p>
        </w:tc>
        <w:tc>
          <w:tcPr>
            <w:tcW w:w="1241" w:type="dxa"/>
            <w:tcBorders>
              <w:top w:val="single" w:color="000000" w:sz="6" w:space="0"/>
              <w:left w:val="single" w:color="000000" w:sz="6" w:space="0"/>
              <w:bottom w:val="single" w:color="000000" w:sz="6" w:space="0"/>
              <w:right w:val="single" w:color="000000" w:sz="6" w:space="0"/>
            </w:tcBorders>
            <w:vAlign w:val="center"/>
          </w:tcPr>
          <w:p w14:paraId="7FDCD164">
            <w:pPr>
              <w:spacing w:line="360" w:lineRule="auto"/>
              <w:ind w:left="197"/>
            </w:pPr>
            <w:r>
              <w:rPr>
                <w:rFonts w:ascii="宋体" w:hAnsi="宋体" w:cs="宋体"/>
              </w:rPr>
              <w:t xml:space="preserve">联系人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33E638C7">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38B8A237">
            <w:pPr>
              <w:spacing w:line="360" w:lineRule="auto"/>
              <w:ind w:right="109"/>
              <w:jc w:val="center"/>
            </w:pPr>
            <w:r>
              <w:rPr>
                <w:rFonts w:ascii="宋体" w:hAnsi="宋体" w:cs="宋体"/>
              </w:rPr>
              <w:t xml:space="preserve">电话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0210524B">
            <w:pPr>
              <w:spacing w:line="360" w:lineRule="auto"/>
              <w:ind w:right="3"/>
              <w:jc w:val="center"/>
            </w:pPr>
          </w:p>
        </w:tc>
      </w:tr>
      <w:tr w14:paraId="751A0F26">
        <w:tblPrEx>
          <w:tblCellMar>
            <w:top w:w="14" w:type="dxa"/>
            <w:left w:w="108" w:type="dxa"/>
            <w:bottom w:w="14" w:type="dxa"/>
            <w:right w:w="0" w:type="dxa"/>
          </w:tblCellMar>
        </w:tblPrEx>
        <w:trPr>
          <w:trHeight w:val="569" w:hRule="atLeast"/>
        </w:trPr>
        <w:tc>
          <w:tcPr>
            <w:tcW w:w="0" w:type="auto"/>
            <w:vMerge w:val="continue"/>
            <w:tcBorders>
              <w:top w:val="nil"/>
              <w:left w:val="single" w:color="000000" w:sz="4" w:space="0"/>
              <w:bottom w:val="single" w:color="000000" w:sz="6" w:space="0"/>
              <w:right w:val="single" w:color="000000" w:sz="6" w:space="0"/>
            </w:tcBorders>
          </w:tcPr>
          <w:p w14:paraId="6059650F">
            <w:pPr>
              <w:spacing w:line="360" w:lineRule="auto"/>
            </w:pPr>
          </w:p>
        </w:tc>
        <w:tc>
          <w:tcPr>
            <w:tcW w:w="1241" w:type="dxa"/>
            <w:tcBorders>
              <w:top w:val="single" w:color="000000" w:sz="6" w:space="0"/>
              <w:left w:val="single" w:color="000000" w:sz="6" w:space="0"/>
              <w:bottom w:val="single" w:color="000000" w:sz="6" w:space="0"/>
              <w:right w:val="single" w:color="000000" w:sz="6" w:space="0"/>
            </w:tcBorders>
            <w:vAlign w:val="center"/>
          </w:tcPr>
          <w:p w14:paraId="26E8CD3E">
            <w:pPr>
              <w:spacing w:line="360" w:lineRule="auto"/>
              <w:ind w:right="106"/>
              <w:jc w:val="center"/>
            </w:pPr>
            <w:r>
              <w:rPr>
                <w:rFonts w:ascii="宋体" w:hAnsi="宋体" w:cs="宋体"/>
              </w:rPr>
              <w:t xml:space="preserve">传真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1CEDAD8D">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5429600B">
            <w:pPr>
              <w:spacing w:line="360" w:lineRule="auto"/>
              <w:ind w:right="109"/>
              <w:jc w:val="center"/>
            </w:pPr>
            <w:r>
              <w:rPr>
                <w:rFonts w:ascii="宋体" w:hAnsi="宋体" w:cs="宋体"/>
              </w:rPr>
              <w:t xml:space="preserve">网址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31DC08C1">
            <w:pPr>
              <w:spacing w:line="360" w:lineRule="auto"/>
              <w:ind w:right="3"/>
              <w:jc w:val="center"/>
            </w:pPr>
          </w:p>
        </w:tc>
      </w:tr>
      <w:tr w14:paraId="28B4E79D">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D509E7B">
            <w:pPr>
              <w:spacing w:line="360" w:lineRule="auto"/>
              <w:ind w:right="109"/>
              <w:jc w:val="center"/>
            </w:pPr>
            <w:r>
              <w:rPr>
                <w:rFonts w:ascii="宋体" w:hAnsi="宋体" w:cs="宋体"/>
              </w:rPr>
              <w:t xml:space="preserve">组织结构 </w:t>
            </w:r>
          </w:p>
        </w:tc>
        <w:tc>
          <w:tcPr>
            <w:tcW w:w="1241" w:type="dxa"/>
            <w:tcBorders>
              <w:top w:val="single" w:color="000000" w:sz="6" w:space="0"/>
              <w:left w:val="single" w:color="000000" w:sz="6" w:space="0"/>
              <w:bottom w:val="single" w:color="000000" w:sz="6" w:space="0"/>
              <w:right w:val="nil"/>
            </w:tcBorders>
          </w:tcPr>
          <w:p w14:paraId="6FED8463">
            <w:pPr>
              <w:spacing w:line="360" w:lineRule="auto"/>
            </w:pPr>
          </w:p>
        </w:tc>
        <w:tc>
          <w:tcPr>
            <w:tcW w:w="6522" w:type="dxa"/>
            <w:gridSpan w:val="9"/>
            <w:tcBorders>
              <w:top w:val="single" w:color="000000" w:sz="6" w:space="0"/>
              <w:left w:val="nil"/>
              <w:bottom w:val="single" w:color="000000" w:sz="6" w:space="0"/>
              <w:right w:val="single" w:color="000000" w:sz="4" w:space="0"/>
            </w:tcBorders>
            <w:vAlign w:val="center"/>
          </w:tcPr>
          <w:p w14:paraId="38989835">
            <w:pPr>
              <w:spacing w:line="360" w:lineRule="auto"/>
              <w:ind w:left="2324"/>
            </w:pPr>
            <w:r>
              <w:rPr>
                <w:rFonts w:ascii="宋体" w:hAnsi="宋体" w:cs="宋体"/>
              </w:rPr>
              <w:t xml:space="preserve">附后 </w:t>
            </w:r>
          </w:p>
        </w:tc>
      </w:tr>
      <w:tr w14:paraId="4668AEA1">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71323F2">
            <w:pPr>
              <w:spacing w:line="360" w:lineRule="auto"/>
              <w:ind w:left="216"/>
            </w:pPr>
            <w:r>
              <w:rPr>
                <w:rFonts w:ascii="宋体" w:hAnsi="宋体" w:cs="宋体"/>
              </w:rPr>
              <w:t xml:space="preserve">法定代表人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55260248">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349D746B">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5BA7D966">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1D9F1E76">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4ACE6BC9">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6D00F61E">
            <w:pPr>
              <w:spacing w:line="360" w:lineRule="auto"/>
              <w:ind w:right="3"/>
              <w:jc w:val="center"/>
            </w:pPr>
          </w:p>
        </w:tc>
      </w:tr>
      <w:tr w14:paraId="43992EF5">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4547B6F8">
            <w:pPr>
              <w:spacing w:line="360" w:lineRule="auto"/>
              <w:ind w:left="216"/>
            </w:pPr>
            <w:r>
              <w:rPr>
                <w:rFonts w:ascii="宋体" w:hAnsi="宋体" w:cs="宋体"/>
              </w:rPr>
              <w:t xml:space="preserve">技术负责人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189E0358">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4EB04E35">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31689229">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362122EC">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3B9440DE">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380F3387">
            <w:pPr>
              <w:spacing w:line="360" w:lineRule="auto"/>
              <w:ind w:right="3"/>
              <w:jc w:val="center"/>
            </w:pPr>
          </w:p>
        </w:tc>
      </w:tr>
      <w:tr w14:paraId="0B3A183E">
        <w:tblPrEx>
          <w:tblCellMar>
            <w:top w:w="14" w:type="dxa"/>
            <w:left w:w="108" w:type="dxa"/>
            <w:bottom w:w="14" w:type="dxa"/>
            <w:right w:w="0" w:type="dxa"/>
          </w:tblCellMar>
        </w:tblPrEx>
        <w:trPr>
          <w:trHeight w:val="569"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08713DE1">
            <w:pPr>
              <w:spacing w:line="360" w:lineRule="auto"/>
              <w:ind w:right="109"/>
              <w:jc w:val="center"/>
            </w:pPr>
            <w:r>
              <w:rPr>
                <w:rFonts w:ascii="宋体" w:hAnsi="宋体" w:cs="宋体"/>
              </w:rPr>
              <w:t xml:space="preserve">成立时间 </w:t>
            </w:r>
          </w:p>
        </w:tc>
        <w:tc>
          <w:tcPr>
            <w:tcW w:w="1241" w:type="dxa"/>
            <w:tcBorders>
              <w:top w:val="single" w:color="000000" w:sz="6" w:space="0"/>
              <w:left w:val="single" w:color="000000" w:sz="6" w:space="0"/>
              <w:bottom w:val="single" w:color="000000" w:sz="6" w:space="0"/>
              <w:right w:val="nil"/>
            </w:tcBorders>
            <w:vAlign w:val="center"/>
          </w:tcPr>
          <w:p w14:paraId="1C9CB41D">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266727B1">
            <w:pPr>
              <w:spacing w:line="360" w:lineRule="auto"/>
            </w:pPr>
          </w:p>
        </w:tc>
        <w:tc>
          <w:tcPr>
            <w:tcW w:w="5387" w:type="dxa"/>
            <w:gridSpan w:val="8"/>
            <w:tcBorders>
              <w:top w:val="single" w:color="000000" w:sz="6" w:space="0"/>
              <w:left w:val="single" w:color="000000" w:sz="6" w:space="0"/>
              <w:bottom w:val="single" w:color="000000" w:sz="6" w:space="0"/>
              <w:right w:val="single" w:color="000000" w:sz="4" w:space="0"/>
            </w:tcBorders>
            <w:vAlign w:val="center"/>
          </w:tcPr>
          <w:p w14:paraId="4DFC9E5F">
            <w:pPr>
              <w:spacing w:line="360" w:lineRule="auto"/>
              <w:ind w:right="104"/>
              <w:jc w:val="center"/>
            </w:pPr>
            <w:r>
              <w:rPr>
                <w:rFonts w:ascii="宋体" w:hAnsi="宋体" w:cs="宋体"/>
              </w:rPr>
              <w:t xml:space="preserve">员工总人数： </w:t>
            </w:r>
          </w:p>
        </w:tc>
      </w:tr>
      <w:tr w14:paraId="79B5D2FE">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C9E9F9B">
            <w:pPr>
              <w:spacing w:line="360" w:lineRule="auto"/>
              <w:ind w:left="113"/>
            </w:pPr>
            <w:r>
              <w:rPr>
                <w:rFonts w:ascii="宋体" w:hAnsi="宋体" w:cs="宋体"/>
              </w:rPr>
              <w:t xml:space="preserve">企业资质等级 </w:t>
            </w:r>
          </w:p>
        </w:tc>
        <w:tc>
          <w:tcPr>
            <w:tcW w:w="1241" w:type="dxa"/>
            <w:tcBorders>
              <w:top w:val="single" w:color="000000" w:sz="6" w:space="0"/>
              <w:left w:val="single" w:color="000000" w:sz="6" w:space="0"/>
              <w:bottom w:val="single" w:color="000000" w:sz="6" w:space="0"/>
              <w:right w:val="nil"/>
            </w:tcBorders>
            <w:vAlign w:val="center"/>
          </w:tcPr>
          <w:p w14:paraId="7F9119AB">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6B61D1A4">
            <w:pPr>
              <w:spacing w:line="360" w:lineRule="auto"/>
            </w:pPr>
          </w:p>
        </w:tc>
        <w:tc>
          <w:tcPr>
            <w:tcW w:w="994" w:type="dxa"/>
            <w:gridSpan w:val="2"/>
            <w:vMerge w:val="restart"/>
            <w:tcBorders>
              <w:top w:val="single" w:color="000000" w:sz="6" w:space="0"/>
              <w:left w:val="single" w:color="000000" w:sz="6" w:space="0"/>
              <w:bottom w:val="nil"/>
              <w:right w:val="single" w:color="000000" w:sz="6" w:space="0"/>
            </w:tcBorders>
            <w:vAlign w:val="bottom"/>
          </w:tcPr>
          <w:p w14:paraId="17DF2C38">
            <w:pPr>
              <w:spacing w:after="95" w:line="360" w:lineRule="auto"/>
              <w:ind w:right="108"/>
              <w:jc w:val="center"/>
            </w:pPr>
            <w:r>
              <w:rPr>
                <w:rFonts w:ascii="宋体" w:hAnsi="宋体" w:cs="宋体"/>
              </w:rPr>
              <w:t xml:space="preserve">其 </w:t>
            </w:r>
          </w:p>
          <w:p w14:paraId="792238E8">
            <w:pPr>
              <w:spacing w:after="92" w:line="360" w:lineRule="auto"/>
              <w:ind w:right="2"/>
              <w:jc w:val="center"/>
            </w:pPr>
          </w:p>
          <w:p w14:paraId="2FC32195">
            <w:pPr>
              <w:spacing w:line="360" w:lineRule="auto"/>
              <w:ind w:right="108"/>
              <w:jc w:val="center"/>
            </w:pPr>
            <w:r>
              <w:rPr>
                <w:rFonts w:ascii="宋体" w:hAnsi="宋体" w:cs="宋体"/>
              </w:rPr>
              <w:t xml:space="preserve">中 </w:t>
            </w: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534604CA">
            <w:pPr>
              <w:spacing w:line="360" w:lineRule="auto"/>
              <w:ind w:right="106"/>
              <w:jc w:val="center"/>
            </w:pPr>
            <w:r>
              <w:rPr>
                <w:rFonts w:ascii="宋体" w:hAnsi="宋体" w:cs="宋体"/>
              </w:rPr>
              <w:t xml:space="preserve">注册工程师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2D332E68">
            <w:pPr>
              <w:spacing w:line="360" w:lineRule="auto"/>
              <w:ind w:right="3"/>
              <w:jc w:val="center"/>
            </w:pPr>
          </w:p>
        </w:tc>
      </w:tr>
      <w:tr w14:paraId="642B27C4">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78EF1FDC">
            <w:pPr>
              <w:spacing w:line="360" w:lineRule="auto"/>
              <w:ind w:left="216"/>
            </w:pPr>
            <w:r>
              <w:rPr>
                <w:rFonts w:ascii="宋体" w:hAnsi="宋体" w:cs="宋体"/>
              </w:rPr>
              <w:t xml:space="preserve">营业执照号 </w:t>
            </w:r>
          </w:p>
        </w:tc>
        <w:tc>
          <w:tcPr>
            <w:tcW w:w="1241" w:type="dxa"/>
            <w:tcBorders>
              <w:top w:val="single" w:color="000000" w:sz="6" w:space="0"/>
              <w:left w:val="single" w:color="000000" w:sz="6" w:space="0"/>
              <w:bottom w:val="single" w:color="000000" w:sz="6" w:space="0"/>
              <w:right w:val="nil"/>
            </w:tcBorders>
            <w:vAlign w:val="center"/>
          </w:tcPr>
          <w:p w14:paraId="2EFC3851">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336FD944">
            <w:pPr>
              <w:spacing w:line="360" w:lineRule="auto"/>
            </w:pPr>
          </w:p>
        </w:tc>
        <w:tc>
          <w:tcPr>
            <w:tcW w:w="0" w:type="auto"/>
            <w:gridSpan w:val="2"/>
            <w:vMerge w:val="continue"/>
            <w:tcBorders>
              <w:top w:val="nil"/>
              <w:left w:val="single" w:color="000000" w:sz="6" w:space="0"/>
              <w:bottom w:val="nil"/>
              <w:right w:val="single" w:color="000000" w:sz="6" w:space="0"/>
            </w:tcBorders>
          </w:tcPr>
          <w:p w14:paraId="40E44632">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3D795DC3">
            <w:pPr>
              <w:spacing w:line="360" w:lineRule="auto"/>
              <w:ind w:left="264"/>
            </w:pPr>
            <w:r>
              <w:rPr>
                <w:rFonts w:ascii="宋体" w:hAnsi="宋体" w:cs="宋体"/>
              </w:rPr>
              <w:t xml:space="preserve">高级职称人员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2E5FAE21">
            <w:pPr>
              <w:spacing w:line="360" w:lineRule="auto"/>
              <w:ind w:right="3"/>
              <w:jc w:val="center"/>
            </w:pPr>
          </w:p>
        </w:tc>
      </w:tr>
      <w:tr w14:paraId="7B6CBA75">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DDC4B86">
            <w:pPr>
              <w:spacing w:line="360" w:lineRule="auto"/>
              <w:ind w:right="109"/>
              <w:jc w:val="center"/>
            </w:pPr>
            <w:r>
              <w:rPr>
                <w:rFonts w:ascii="宋体" w:hAnsi="宋体" w:cs="宋体"/>
              </w:rPr>
              <w:t xml:space="preserve">注册资金 </w:t>
            </w:r>
          </w:p>
        </w:tc>
        <w:tc>
          <w:tcPr>
            <w:tcW w:w="1241" w:type="dxa"/>
            <w:tcBorders>
              <w:top w:val="single" w:color="000000" w:sz="6" w:space="0"/>
              <w:left w:val="single" w:color="000000" w:sz="6" w:space="0"/>
              <w:bottom w:val="single" w:color="000000" w:sz="6" w:space="0"/>
              <w:right w:val="nil"/>
            </w:tcBorders>
            <w:vAlign w:val="center"/>
          </w:tcPr>
          <w:p w14:paraId="31E264BC">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07449461">
            <w:pPr>
              <w:spacing w:line="360" w:lineRule="auto"/>
            </w:pPr>
          </w:p>
        </w:tc>
        <w:tc>
          <w:tcPr>
            <w:tcW w:w="0" w:type="auto"/>
            <w:gridSpan w:val="2"/>
            <w:vMerge w:val="continue"/>
            <w:tcBorders>
              <w:top w:val="nil"/>
              <w:left w:val="single" w:color="000000" w:sz="6" w:space="0"/>
              <w:bottom w:val="nil"/>
              <w:right w:val="single" w:color="000000" w:sz="6" w:space="0"/>
            </w:tcBorders>
          </w:tcPr>
          <w:p w14:paraId="6F5E129D">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5D11A155">
            <w:pPr>
              <w:spacing w:line="360" w:lineRule="auto"/>
              <w:ind w:left="264"/>
            </w:pPr>
            <w:r>
              <w:rPr>
                <w:rFonts w:ascii="宋体" w:hAnsi="宋体" w:cs="宋体"/>
              </w:rPr>
              <w:t xml:space="preserve">中级职称人员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1D76105E">
            <w:pPr>
              <w:spacing w:line="360" w:lineRule="auto"/>
              <w:ind w:right="3"/>
              <w:jc w:val="center"/>
            </w:pPr>
          </w:p>
        </w:tc>
      </w:tr>
      <w:tr w14:paraId="577A5439">
        <w:tblPrEx>
          <w:tblCellMar>
            <w:top w:w="14" w:type="dxa"/>
            <w:left w:w="108" w:type="dxa"/>
            <w:bottom w:w="14" w:type="dxa"/>
            <w:right w:w="0" w:type="dxa"/>
          </w:tblCellMar>
        </w:tblPrEx>
        <w:trPr>
          <w:trHeight w:val="301" w:hRule="atLeast"/>
        </w:trPr>
        <w:tc>
          <w:tcPr>
            <w:tcW w:w="1702" w:type="dxa"/>
            <w:tcBorders>
              <w:top w:val="single" w:color="000000" w:sz="6" w:space="0"/>
              <w:left w:val="single" w:color="000000" w:sz="4" w:space="0"/>
              <w:bottom w:val="nil"/>
              <w:right w:val="single" w:color="000000" w:sz="6" w:space="0"/>
            </w:tcBorders>
          </w:tcPr>
          <w:p w14:paraId="05452679">
            <w:pPr>
              <w:spacing w:line="360" w:lineRule="auto"/>
            </w:pPr>
          </w:p>
        </w:tc>
        <w:tc>
          <w:tcPr>
            <w:tcW w:w="1241" w:type="dxa"/>
            <w:tcBorders>
              <w:top w:val="single" w:color="000000" w:sz="6" w:space="0"/>
              <w:left w:val="single" w:color="000000" w:sz="6" w:space="0"/>
              <w:bottom w:val="nil"/>
              <w:right w:val="nil"/>
            </w:tcBorders>
          </w:tcPr>
          <w:p w14:paraId="4D3B2397">
            <w:pPr>
              <w:spacing w:line="360" w:lineRule="auto"/>
            </w:pPr>
          </w:p>
        </w:tc>
        <w:tc>
          <w:tcPr>
            <w:tcW w:w="1135" w:type="dxa"/>
            <w:tcBorders>
              <w:top w:val="single" w:color="000000" w:sz="6" w:space="0"/>
              <w:left w:val="nil"/>
              <w:bottom w:val="nil"/>
              <w:right w:val="single" w:color="000000" w:sz="6" w:space="0"/>
            </w:tcBorders>
          </w:tcPr>
          <w:p w14:paraId="0F580B97">
            <w:pPr>
              <w:spacing w:line="360" w:lineRule="auto"/>
            </w:pPr>
          </w:p>
        </w:tc>
        <w:tc>
          <w:tcPr>
            <w:tcW w:w="0" w:type="auto"/>
            <w:gridSpan w:val="2"/>
            <w:vMerge w:val="continue"/>
            <w:tcBorders>
              <w:top w:val="nil"/>
              <w:left w:val="single" w:color="000000" w:sz="6" w:space="0"/>
              <w:bottom w:val="nil"/>
              <w:right w:val="single" w:color="000000" w:sz="6" w:space="0"/>
            </w:tcBorders>
          </w:tcPr>
          <w:p w14:paraId="370A5DA6">
            <w:pPr>
              <w:spacing w:line="360" w:lineRule="auto"/>
            </w:pPr>
          </w:p>
        </w:tc>
        <w:tc>
          <w:tcPr>
            <w:tcW w:w="2007" w:type="dxa"/>
            <w:gridSpan w:val="4"/>
            <w:tcBorders>
              <w:top w:val="single" w:color="000000" w:sz="6" w:space="0"/>
              <w:left w:val="single" w:color="000000" w:sz="6" w:space="0"/>
              <w:bottom w:val="nil"/>
              <w:right w:val="single" w:color="000000" w:sz="6" w:space="0"/>
            </w:tcBorders>
          </w:tcPr>
          <w:p w14:paraId="53AF6234">
            <w:pPr>
              <w:spacing w:line="360" w:lineRule="auto"/>
            </w:pPr>
          </w:p>
        </w:tc>
        <w:tc>
          <w:tcPr>
            <w:tcW w:w="2386" w:type="dxa"/>
            <w:gridSpan w:val="2"/>
            <w:tcBorders>
              <w:top w:val="single" w:color="000000" w:sz="6" w:space="0"/>
              <w:left w:val="single" w:color="000000" w:sz="6" w:space="0"/>
              <w:bottom w:val="nil"/>
              <w:right w:val="single" w:color="000000" w:sz="4" w:space="0"/>
            </w:tcBorders>
          </w:tcPr>
          <w:p w14:paraId="0A2B8C83">
            <w:pPr>
              <w:spacing w:line="360" w:lineRule="auto"/>
            </w:pPr>
          </w:p>
        </w:tc>
      </w:tr>
      <w:tr w14:paraId="12404EC3">
        <w:tblPrEx>
          <w:tblCellMar>
            <w:top w:w="14" w:type="dxa"/>
            <w:left w:w="108" w:type="dxa"/>
            <w:bottom w:w="14" w:type="dxa"/>
            <w:right w:w="0" w:type="dxa"/>
          </w:tblCellMar>
        </w:tblPrEx>
        <w:trPr>
          <w:trHeight w:val="539" w:hRule="atLeast"/>
        </w:trPr>
        <w:tc>
          <w:tcPr>
            <w:tcW w:w="1702" w:type="dxa"/>
            <w:tcBorders>
              <w:top w:val="nil"/>
              <w:left w:val="single" w:color="000000" w:sz="4" w:space="0"/>
              <w:bottom w:val="single" w:color="000000" w:sz="6" w:space="0"/>
              <w:right w:val="single" w:color="000000" w:sz="6" w:space="0"/>
            </w:tcBorders>
          </w:tcPr>
          <w:p w14:paraId="1A8BF0C7">
            <w:pPr>
              <w:spacing w:line="360" w:lineRule="auto"/>
              <w:ind w:right="109"/>
              <w:jc w:val="center"/>
            </w:pPr>
            <w:r>
              <w:rPr>
                <w:rFonts w:ascii="宋体" w:hAnsi="宋体" w:cs="宋体"/>
              </w:rPr>
              <w:t xml:space="preserve">开户银行 </w:t>
            </w:r>
          </w:p>
        </w:tc>
        <w:tc>
          <w:tcPr>
            <w:tcW w:w="1241" w:type="dxa"/>
            <w:tcBorders>
              <w:top w:val="nil"/>
              <w:left w:val="single" w:color="000000" w:sz="6" w:space="0"/>
              <w:bottom w:val="single" w:color="000000" w:sz="6" w:space="0"/>
              <w:right w:val="nil"/>
            </w:tcBorders>
          </w:tcPr>
          <w:p w14:paraId="2BCDA5C2">
            <w:pPr>
              <w:spacing w:line="360" w:lineRule="auto"/>
              <w:ind w:right="-53"/>
              <w:jc w:val="right"/>
            </w:pPr>
          </w:p>
        </w:tc>
        <w:tc>
          <w:tcPr>
            <w:tcW w:w="1135" w:type="dxa"/>
            <w:tcBorders>
              <w:top w:val="nil"/>
              <w:left w:val="nil"/>
              <w:bottom w:val="single" w:color="000000" w:sz="6" w:space="0"/>
              <w:right w:val="single" w:color="000000" w:sz="6" w:space="0"/>
            </w:tcBorders>
          </w:tcPr>
          <w:p w14:paraId="62632845">
            <w:pPr>
              <w:spacing w:line="360" w:lineRule="auto"/>
            </w:pPr>
          </w:p>
        </w:tc>
        <w:tc>
          <w:tcPr>
            <w:tcW w:w="994" w:type="dxa"/>
            <w:gridSpan w:val="2"/>
            <w:vMerge w:val="restart"/>
            <w:tcBorders>
              <w:top w:val="nil"/>
              <w:left w:val="single" w:color="000000" w:sz="6" w:space="0"/>
              <w:bottom w:val="single" w:color="000000" w:sz="6" w:space="0"/>
              <w:right w:val="single" w:color="000000" w:sz="6" w:space="0"/>
            </w:tcBorders>
          </w:tcPr>
          <w:p w14:paraId="507E8F4B">
            <w:pPr>
              <w:spacing w:line="360" w:lineRule="auto"/>
              <w:ind w:right="2"/>
              <w:jc w:val="center"/>
            </w:pPr>
          </w:p>
        </w:tc>
        <w:tc>
          <w:tcPr>
            <w:tcW w:w="2007" w:type="dxa"/>
            <w:gridSpan w:val="4"/>
            <w:tcBorders>
              <w:top w:val="nil"/>
              <w:left w:val="single" w:color="000000" w:sz="6" w:space="0"/>
              <w:bottom w:val="single" w:color="000000" w:sz="6" w:space="0"/>
              <w:right w:val="single" w:color="000000" w:sz="6" w:space="0"/>
            </w:tcBorders>
          </w:tcPr>
          <w:p w14:paraId="7A945870">
            <w:pPr>
              <w:spacing w:line="360" w:lineRule="auto"/>
              <w:ind w:left="264"/>
            </w:pPr>
            <w:r>
              <w:rPr>
                <w:rFonts w:ascii="宋体" w:hAnsi="宋体" w:cs="宋体"/>
              </w:rPr>
              <w:t xml:space="preserve">初级职称人员 </w:t>
            </w:r>
          </w:p>
        </w:tc>
        <w:tc>
          <w:tcPr>
            <w:tcW w:w="2386" w:type="dxa"/>
            <w:gridSpan w:val="2"/>
            <w:tcBorders>
              <w:top w:val="nil"/>
              <w:left w:val="single" w:color="000000" w:sz="6" w:space="0"/>
              <w:bottom w:val="single" w:color="000000" w:sz="6" w:space="0"/>
              <w:right w:val="single" w:color="000000" w:sz="4" w:space="0"/>
            </w:tcBorders>
          </w:tcPr>
          <w:p w14:paraId="7A853658">
            <w:pPr>
              <w:spacing w:line="360" w:lineRule="auto"/>
              <w:ind w:right="3"/>
              <w:jc w:val="center"/>
            </w:pPr>
          </w:p>
        </w:tc>
      </w:tr>
      <w:tr w14:paraId="6C42AD4B">
        <w:tblPrEx>
          <w:tblCellMar>
            <w:top w:w="14" w:type="dxa"/>
            <w:left w:w="108" w:type="dxa"/>
            <w:bottom w:w="14" w:type="dxa"/>
            <w:right w:w="0" w:type="dxa"/>
          </w:tblCellMar>
        </w:tblPrEx>
        <w:trPr>
          <w:trHeight w:val="830"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DB711A3">
            <w:pPr>
              <w:spacing w:line="360" w:lineRule="auto"/>
              <w:ind w:right="106"/>
              <w:jc w:val="center"/>
            </w:pPr>
            <w:r>
              <w:rPr>
                <w:rFonts w:ascii="宋体" w:hAnsi="宋体" w:cs="宋体"/>
              </w:rPr>
              <w:t xml:space="preserve">账号 </w:t>
            </w:r>
          </w:p>
        </w:tc>
        <w:tc>
          <w:tcPr>
            <w:tcW w:w="1241" w:type="dxa"/>
            <w:tcBorders>
              <w:top w:val="single" w:color="000000" w:sz="6" w:space="0"/>
              <w:left w:val="single" w:color="000000" w:sz="6" w:space="0"/>
              <w:bottom w:val="single" w:color="000000" w:sz="6" w:space="0"/>
              <w:right w:val="nil"/>
            </w:tcBorders>
            <w:vAlign w:val="center"/>
          </w:tcPr>
          <w:p w14:paraId="1498312D">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732F5F17">
            <w:pPr>
              <w:spacing w:line="360" w:lineRule="auto"/>
            </w:pPr>
          </w:p>
        </w:tc>
        <w:tc>
          <w:tcPr>
            <w:tcW w:w="0" w:type="auto"/>
            <w:gridSpan w:val="2"/>
            <w:vMerge w:val="continue"/>
            <w:tcBorders>
              <w:top w:val="nil"/>
              <w:left w:val="single" w:color="000000" w:sz="6" w:space="0"/>
              <w:bottom w:val="single" w:color="000000" w:sz="6" w:space="0"/>
              <w:right w:val="single" w:color="000000" w:sz="6" w:space="0"/>
            </w:tcBorders>
          </w:tcPr>
          <w:p w14:paraId="69CB377D">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287A7CC1">
            <w:pPr>
              <w:spacing w:line="360" w:lineRule="auto"/>
              <w:ind w:right="109"/>
              <w:jc w:val="center"/>
            </w:pPr>
            <w:r>
              <w:rPr>
                <w:rFonts w:ascii="宋体" w:hAnsi="宋体" w:cs="宋体"/>
              </w:rPr>
              <w:t xml:space="preserve">技工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29BD66F1">
            <w:pPr>
              <w:spacing w:line="360" w:lineRule="auto"/>
              <w:ind w:right="3"/>
              <w:jc w:val="center"/>
            </w:pPr>
          </w:p>
        </w:tc>
      </w:tr>
      <w:tr w14:paraId="183EE972">
        <w:tblPrEx>
          <w:tblCellMar>
            <w:top w:w="14" w:type="dxa"/>
            <w:left w:w="108" w:type="dxa"/>
            <w:bottom w:w="14" w:type="dxa"/>
            <w:right w:w="0" w:type="dxa"/>
          </w:tblCellMar>
        </w:tblPrEx>
        <w:trPr>
          <w:trHeight w:val="2005"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0DEB5312">
            <w:pPr>
              <w:spacing w:line="360" w:lineRule="auto"/>
              <w:ind w:right="109"/>
              <w:jc w:val="center"/>
            </w:pPr>
            <w:r>
              <w:rPr>
                <w:rFonts w:ascii="宋体" w:hAnsi="宋体" w:cs="宋体"/>
              </w:rPr>
              <w:t xml:space="preserve">经营范围 </w:t>
            </w:r>
          </w:p>
        </w:tc>
        <w:tc>
          <w:tcPr>
            <w:tcW w:w="1241" w:type="dxa"/>
            <w:tcBorders>
              <w:top w:val="single" w:color="000000" w:sz="6" w:space="0"/>
              <w:left w:val="single" w:color="000000" w:sz="6" w:space="0"/>
              <w:bottom w:val="single" w:color="000000" w:sz="6" w:space="0"/>
              <w:right w:val="nil"/>
            </w:tcBorders>
          </w:tcPr>
          <w:p w14:paraId="6784A907">
            <w:pPr>
              <w:spacing w:line="360" w:lineRule="auto"/>
              <w:ind w:left="127"/>
              <w:jc w:val="center"/>
            </w:pPr>
          </w:p>
        </w:tc>
        <w:tc>
          <w:tcPr>
            <w:tcW w:w="6522" w:type="dxa"/>
            <w:gridSpan w:val="9"/>
            <w:tcBorders>
              <w:top w:val="single" w:color="000000" w:sz="6" w:space="0"/>
              <w:left w:val="nil"/>
              <w:bottom w:val="single" w:color="000000" w:sz="6" w:space="0"/>
              <w:right w:val="single" w:color="000000" w:sz="4" w:space="0"/>
            </w:tcBorders>
          </w:tcPr>
          <w:p w14:paraId="2D9EB1E0">
            <w:pPr>
              <w:spacing w:line="360" w:lineRule="auto"/>
            </w:pPr>
          </w:p>
        </w:tc>
      </w:tr>
      <w:tr w14:paraId="1A074C84">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4" w:space="0"/>
              <w:right w:val="single" w:color="000000" w:sz="6" w:space="0"/>
            </w:tcBorders>
            <w:vAlign w:val="center"/>
          </w:tcPr>
          <w:p w14:paraId="7412B81E">
            <w:pPr>
              <w:spacing w:line="360" w:lineRule="auto"/>
              <w:ind w:right="106"/>
              <w:jc w:val="center"/>
            </w:pPr>
            <w:r>
              <w:rPr>
                <w:rFonts w:ascii="宋体" w:hAnsi="宋体" w:cs="宋体"/>
              </w:rPr>
              <w:t xml:space="preserve">备注 </w:t>
            </w:r>
          </w:p>
        </w:tc>
        <w:tc>
          <w:tcPr>
            <w:tcW w:w="1241" w:type="dxa"/>
            <w:tcBorders>
              <w:top w:val="single" w:color="000000" w:sz="6" w:space="0"/>
              <w:left w:val="single" w:color="000000" w:sz="6" w:space="0"/>
              <w:bottom w:val="single" w:color="000000" w:sz="4" w:space="0"/>
              <w:right w:val="nil"/>
            </w:tcBorders>
          </w:tcPr>
          <w:p w14:paraId="57EF0D03">
            <w:pPr>
              <w:spacing w:line="360" w:lineRule="auto"/>
            </w:pPr>
          </w:p>
        </w:tc>
        <w:tc>
          <w:tcPr>
            <w:tcW w:w="6522" w:type="dxa"/>
            <w:gridSpan w:val="9"/>
            <w:tcBorders>
              <w:top w:val="single" w:color="000000" w:sz="6" w:space="0"/>
              <w:left w:val="nil"/>
              <w:bottom w:val="single" w:color="000000" w:sz="4" w:space="0"/>
              <w:right w:val="single" w:color="000000" w:sz="4" w:space="0"/>
            </w:tcBorders>
          </w:tcPr>
          <w:p w14:paraId="086849BE">
            <w:pPr>
              <w:spacing w:line="360" w:lineRule="auto"/>
            </w:pPr>
          </w:p>
        </w:tc>
      </w:tr>
    </w:tbl>
    <w:p w14:paraId="14F32E95">
      <w:pPr>
        <w:tabs>
          <w:tab w:val="left" w:pos="5580"/>
        </w:tabs>
        <w:spacing w:before="120" w:line="360" w:lineRule="exact"/>
        <w:rPr>
          <w:sz w:val="24"/>
        </w:rPr>
      </w:pPr>
    </w:p>
    <w:p w14:paraId="42DB2D8C">
      <w:pPr>
        <w:tabs>
          <w:tab w:val="left" w:pos="5580"/>
        </w:tabs>
        <w:spacing w:before="120" w:line="360" w:lineRule="exact"/>
        <w:rPr>
          <w:sz w:val="24"/>
        </w:rPr>
      </w:pPr>
    </w:p>
    <w:p w14:paraId="53F6F0F4">
      <w:pPr>
        <w:pStyle w:val="3"/>
      </w:pPr>
    </w:p>
    <w:p w14:paraId="4407B49C"/>
    <w:p w14:paraId="5454CB08">
      <w:pPr>
        <w:spacing w:line="360" w:lineRule="exact"/>
        <w:rPr>
          <w:rFonts w:hint="eastAsia" w:ascii="宋体" w:hAnsi="宋体" w:cs="宋体"/>
          <w:b/>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附件6.4  </w:t>
      </w:r>
      <w:r>
        <w:rPr>
          <w:rFonts w:hint="eastAsia" w:ascii="宋体" w:hAnsi="宋体" w:cs="宋体"/>
          <w:b/>
          <w:color w:val="000000" w:themeColor="text1"/>
          <w:kern w:val="0"/>
          <w:sz w:val="24"/>
          <w14:textFill>
            <w14:solidFill>
              <w14:schemeClr w14:val="tx1"/>
            </w14:solidFill>
          </w14:textFill>
        </w:rPr>
        <w:t>具有良好的商业信誉和健全的财务会计制度（承诺函）</w:t>
      </w:r>
    </w:p>
    <w:p w14:paraId="2CB4F0D3">
      <w:pPr>
        <w:adjustRightInd w:val="0"/>
        <w:snapToGrid w:val="0"/>
        <w:spacing w:line="300" w:lineRule="auto"/>
        <w:rPr>
          <w:rFonts w:hint="eastAsia" w:hAnsi="宋体"/>
          <w:color w:val="000000" w:themeColor="text1"/>
          <w:sz w:val="24"/>
          <w14:textFill>
            <w14:solidFill>
              <w14:schemeClr w14:val="tx1"/>
            </w14:solidFill>
          </w14:textFill>
        </w:rPr>
      </w:pPr>
    </w:p>
    <w:p w14:paraId="1F6F424A">
      <w:pPr>
        <w:adjustRightInd w:val="0"/>
        <w:snapToGrid w:val="0"/>
        <w:spacing w:line="300" w:lineRule="auto"/>
        <w:rPr>
          <w:rFonts w:hint="eastAsia" w:ascii="宋体"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海南省教学仪器设备招标中心有限公司：</w:t>
      </w:r>
    </w:p>
    <w:p w14:paraId="64004C20">
      <w:pPr>
        <w:pStyle w:val="3"/>
        <w:rPr>
          <w:rFonts w:hint="eastAsia" w:cs="宋体" w:asciiTheme="majorEastAsia" w:hAnsiTheme="majorEastAsia" w:eastAsiaTheme="majorEastAsia"/>
          <w:b w:val="0"/>
          <w:color w:val="000000" w:themeColor="text1"/>
          <w:kern w:val="0"/>
          <w:sz w:val="24"/>
          <w14:textFill>
            <w14:solidFill>
              <w14:schemeClr w14:val="tx1"/>
            </w14:solidFill>
          </w14:textFill>
        </w:rPr>
      </w:pPr>
      <w:r>
        <w:rPr>
          <w:rFonts w:hint="eastAsia" w:asciiTheme="majorEastAsia" w:hAnsiTheme="majorEastAsia" w:eastAsiaTheme="majorEastAsia"/>
          <w:b w:val="0"/>
          <w:color w:val="000000" w:themeColor="text1"/>
          <w:sz w:val="24"/>
          <w14:textFill>
            <w14:solidFill>
              <w14:schemeClr w14:val="tx1"/>
            </w14:solidFill>
          </w14:textFill>
        </w:rPr>
        <w:t>我单位在贵公司组织的（项目名称：     ），（项目编号：</w:t>
      </w:r>
      <w:r>
        <w:rPr>
          <w:rFonts w:asciiTheme="majorEastAsia" w:hAnsiTheme="majorEastAsia" w:eastAsiaTheme="majorEastAsia"/>
          <w:b w:val="0"/>
          <w:color w:val="000000" w:themeColor="text1"/>
          <w:sz w:val="24"/>
          <w14:textFill>
            <w14:solidFill>
              <w14:schemeClr w14:val="tx1"/>
            </w14:solidFill>
          </w14:textFill>
        </w:rPr>
        <w:tab/>
      </w:r>
      <w:r>
        <w:rPr>
          <w:rFonts w:asciiTheme="majorEastAsia" w:hAnsiTheme="majorEastAsia" w:eastAsiaTheme="majorEastAsia"/>
          <w:b w:val="0"/>
          <w:color w:val="000000" w:themeColor="text1"/>
          <w:sz w:val="24"/>
          <w14:textFill>
            <w14:solidFill>
              <w14:schemeClr w14:val="tx1"/>
            </w14:solidFill>
          </w14:textFill>
        </w:rPr>
        <w:tab/>
      </w:r>
      <w:r>
        <w:rPr>
          <w:rFonts w:hint="eastAsia" w:asciiTheme="majorEastAsia" w:hAnsiTheme="majorEastAsia" w:eastAsiaTheme="majorEastAsia"/>
          <w:b w:val="0"/>
          <w:color w:val="000000" w:themeColor="text1"/>
          <w:sz w:val="24"/>
          <w14:textFill>
            <w14:solidFill>
              <w14:schemeClr w14:val="tx1"/>
            </w14:solidFill>
          </w14:textFill>
        </w:rPr>
        <w:t>）采购活动中郑重承诺</w:t>
      </w:r>
      <w:r>
        <w:rPr>
          <w:rFonts w:hint="eastAsia" w:cs="宋体" w:asciiTheme="majorEastAsia" w:hAnsiTheme="majorEastAsia" w:eastAsiaTheme="majorEastAsia"/>
          <w:b w:val="0"/>
          <w:color w:val="000000" w:themeColor="text1"/>
          <w:kern w:val="0"/>
          <w:sz w:val="24"/>
          <w14:textFill>
            <w14:solidFill>
              <w14:schemeClr w14:val="tx1"/>
            </w14:solidFill>
          </w14:textFill>
        </w:rPr>
        <w:t>具有良好的商业信誉和健全的财务会计制度。如不实，我们愿承担相应的法律责任。</w:t>
      </w:r>
    </w:p>
    <w:p w14:paraId="7FCF726D">
      <w:pPr>
        <w:adjustRightInd w:val="0"/>
        <w:spacing w:line="360" w:lineRule="auto"/>
        <w:ind w:firstLine="2880" w:firstLineChars="1200"/>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    （填写名称并加盖公章）</w:t>
      </w:r>
    </w:p>
    <w:p w14:paraId="11BC3B6E">
      <w:pPr>
        <w:adjustRightInd w:val="0"/>
        <w:spacing w:line="360" w:lineRule="auto"/>
        <w:ind w:firstLine="2400" w:firstLineChars="1000"/>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205740EA">
      <w:pPr>
        <w:adjustRightInd w:val="0"/>
        <w:spacing w:line="360" w:lineRule="auto"/>
        <w:rPr>
          <w:rFonts w:hint="eastAsia" w:ascii="宋体" w:hAnsi="宋体"/>
          <w:bCs/>
          <w:color w:val="000000" w:themeColor="text1"/>
          <w:sz w:val="24"/>
          <w14:textFill>
            <w14:solidFill>
              <w14:schemeClr w14:val="tx1"/>
            </w14:solidFill>
          </w14:textFill>
        </w:rPr>
      </w:pPr>
    </w:p>
    <w:p w14:paraId="57A6BFAB">
      <w:pPr>
        <w:ind w:firstLine="2880" w:firstLineChars="1200"/>
        <w:rPr>
          <w:rStyle w:val="92"/>
          <w:rFonts w:hint="eastAsia"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日期：2025年  月  日</w:t>
      </w:r>
    </w:p>
    <w:p w14:paraId="1762D3D4">
      <w:pPr>
        <w:rPr>
          <w:rFonts w:hint="eastAsia" w:ascii="宋体" w:hAnsi="宋体"/>
          <w:color w:val="000000" w:themeColor="text1"/>
          <w:sz w:val="24"/>
          <w14:textFill>
            <w14:solidFill>
              <w14:schemeClr w14:val="tx1"/>
            </w14:solidFill>
          </w14:textFill>
        </w:rPr>
      </w:pPr>
    </w:p>
    <w:p w14:paraId="349FCD7B">
      <w:pPr>
        <w:rPr>
          <w:rFonts w:hint="eastAsia" w:ascii="宋体" w:hAnsi="宋体"/>
          <w:color w:val="FF0000"/>
          <w:sz w:val="24"/>
        </w:rPr>
      </w:pPr>
    </w:p>
    <w:p w14:paraId="7B99285E">
      <w:pP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w:t>
      </w:r>
      <w:r>
        <w:rPr>
          <w:rFonts w:hint="eastAsia" w:ascii="宋体" w:hAnsi="宋体"/>
          <w:b/>
          <w:bCs/>
          <w:color w:val="000000" w:themeColor="text1"/>
          <w:sz w:val="24"/>
          <w14:textFill>
            <w14:solidFill>
              <w14:schemeClr w14:val="tx1"/>
            </w14:solidFill>
          </w14:textFill>
        </w:rPr>
        <w:t>6.5</w:t>
      </w:r>
      <w:r>
        <w:rPr>
          <w:rFonts w:hint="eastAsia" w:ascii="宋体" w:hAnsi="宋体"/>
          <w:b/>
          <w:color w:val="000000" w:themeColor="text1"/>
          <w:sz w:val="24"/>
          <w14:textFill>
            <w14:solidFill>
              <w14:schemeClr w14:val="tx1"/>
            </w14:solidFill>
          </w14:textFill>
        </w:rPr>
        <w:t>、</w:t>
      </w:r>
      <w:r>
        <w:rPr>
          <w:rFonts w:ascii="宋体" w:hAnsi="宋体"/>
          <w:b/>
          <w:color w:val="000000" w:themeColor="text1"/>
          <w:sz w:val="24"/>
          <w14:textFill>
            <w14:solidFill>
              <w14:schemeClr w14:val="tx1"/>
            </w14:solidFill>
          </w14:textFill>
        </w:rPr>
        <w:t>具有履行合同所必需的设备和专业技术能力承诺书</w:t>
      </w:r>
    </w:p>
    <w:p w14:paraId="056722FC">
      <w:pPr>
        <w:spacing w:line="360" w:lineRule="auto"/>
        <w:rPr>
          <w:rFonts w:hint="eastAsia" w:ascii="宋体" w:hAnsi="宋体"/>
          <w:sz w:val="24"/>
        </w:rPr>
      </w:pPr>
    </w:p>
    <w:p w14:paraId="37436FCC">
      <w:pPr>
        <w:spacing w:line="360" w:lineRule="auto"/>
        <w:rPr>
          <w:rFonts w:hint="eastAsia" w:ascii="宋体" w:hAnsi="宋体"/>
          <w:sz w:val="24"/>
          <w:u w:val="single"/>
        </w:rPr>
      </w:pPr>
      <w:r>
        <w:rPr>
          <w:rFonts w:hint="eastAsia"/>
          <w:color w:val="000000"/>
          <w:sz w:val="24"/>
        </w:rPr>
        <w:t>致</w:t>
      </w:r>
      <w:r>
        <w:rPr>
          <w:rFonts w:hint="eastAsia" w:ascii="宋体" w:hAnsi="宋体"/>
          <w:sz w:val="24"/>
        </w:rPr>
        <w:t>：</w:t>
      </w:r>
      <w:r>
        <w:rPr>
          <w:rFonts w:hint="eastAsia" w:ascii="宋体" w:hAnsi="宋体"/>
          <w:sz w:val="24"/>
          <w:u w:val="single"/>
        </w:rPr>
        <w:t>海南省教学仪器设备招标中心有限公司</w:t>
      </w:r>
    </w:p>
    <w:p w14:paraId="2D5C560F">
      <w:pPr>
        <w:spacing w:line="360" w:lineRule="auto"/>
        <w:ind w:firstLine="480" w:firstLineChars="200"/>
        <w:rPr>
          <w:rFonts w:hint="eastAsia" w:ascii="宋体" w:hAnsi="宋体"/>
          <w:sz w:val="24"/>
        </w:rPr>
      </w:pPr>
      <w:r>
        <w:rPr>
          <w:rFonts w:ascii="宋体" w:hAnsi="宋体"/>
          <w:sz w:val="24"/>
        </w:rPr>
        <w:t>我单位参与你公司组织的</w:t>
      </w:r>
      <w:r>
        <w:rPr>
          <w:rFonts w:ascii="宋体" w:hAnsi="宋体"/>
          <w:sz w:val="24"/>
          <w:u w:val="single"/>
        </w:rPr>
        <w:t xml:space="preserve">（项目名称） </w:t>
      </w:r>
      <w:r>
        <w:rPr>
          <w:rFonts w:ascii="宋体" w:hAnsi="宋体"/>
          <w:sz w:val="24"/>
        </w:rPr>
        <w:t>采购活动，现承诺具有履行合同所必需的人员</w:t>
      </w:r>
      <w:r>
        <w:rPr>
          <w:rFonts w:hint="eastAsia" w:ascii="宋体" w:hAnsi="宋体"/>
          <w:sz w:val="24"/>
        </w:rPr>
        <w:t>、</w:t>
      </w:r>
      <w:r>
        <w:rPr>
          <w:rFonts w:ascii="宋体" w:hAnsi="宋体"/>
          <w:sz w:val="24"/>
        </w:rPr>
        <w:t>设备和专业技术能力，如有虚假承诺，愿承担一切法律责任。</w:t>
      </w:r>
    </w:p>
    <w:p w14:paraId="00D03347">
      <w:pPr>
        <w:spacing w:line="360" w:lineRule="auto"/>
        <w:rPr>
          <w:rFonts w:hint="eastAsia" w:ascii="宋体" w:hAnsi="宋体"/>
          <w:sz w:val="24"/>
        </w:rPr>
      </w:pPr>
      <w:r>
        <w:rPr>
          <w:rFonts w:ascii="宋体" w:hAnsi="宋体"/>
          <w:sz w:val="24"/>
        </w:rPr>
        <w:t>特此承诺</w:t>
      </w:r>
      <w:r>
        <w:rPr>
          <w:rFonts w:hint="eastAsia" w:ascii="宋体" w:hAnsi="宋体"/>
          <w:sz w:val="24"/>
        </w:rPr>
        <w:t>。</w:t>
      </w:r>
    </w:p>
    <w:p w14:paraId="530CA2E6">
      <w:pPr>
        <w:spacing w:line="360" w:lineRule="auto"/>
        <w:rPr>
          <w:rFonts w:hint="eastAsia" w:ascii="宋体" w:hAnsi="宋体"/>
          <w:sz w:val="24"/>
        </w:rPr>
      </w:pPr>
    </w:p>
    <w:p w14:paraId="1C3F1B7E">
      <w:pPr>
        <w:spacing w:line="360" w:lineRule="auto"/>
        <w:rPr>
          <w:rFonts w:hint="eastAsia" w:ascii="宋体" w:hAnsi="宋体"/>
          <w:iCs/>
          <w:sz w:val="24"/>
        </w:rPr>
      </w:pPr>
      <w:r>
        <w:rPr>
          <w:rFonts w:hint="eastAsia" w:ascii="宋体" w:hAnsi="宋体"/>
          <w:sz w:val="24"/>
        </w:rPr>
        <w:t>供应商</w:t>
      </w:r>
      <w:r>
        <w:rPr>
          <w:rFonts w:ascii="宋体" w:hAnsi="宋体"/>
          <w:sz w:val="24"/>
        </w:rPr>
        <w:t>：（填写名称并盖章）</w:t>
      </w:r>
    </w:p>
    <w:p w14:paraId="6C765282">
      <w:pPr>
        <w:spacing w:line="360" w:lineRule="auto"/>
        <w:rPr>
          <w:rFonts w:hint="eastAsia" w:ascii="宋体" w:hAnsi="宋体"/>
          <w:sz w:val="24"/>
        </w:rPr>
      </w:pPr>
    </w:p>
    <w:p w14:paraId="0490D1B2">
      <w:pPr>
        <w:spacing w:line="360" w:lineRule="auto"/>
        <w:rPr>
          <w:rFonts w:hint="eastAsia" w:ascii="宋体" w:hAnsi="宋体"/>
          <w:sz w:val="24"/>
        </w:rPr>
      </w:pPr>
      <w:r>
        <w:rPr>
          <w:rFonts w:ascii="宋体" w:hAnsi="宋体"/>
          <w:sz w:val="24"/>
        </w:rPr>
        <w:t>法定代表人或其授权委托人：</w:t>
      </w:r>
      <w:r>
        <w:rPr>
          <w:rFonts w:ascii="宋体" w:hAnsi="宋体"/>
          <w:iCs/>
          <w:sz w:val="24"/>
        </w:rPr>
        <w:t>（签字或盖章）</w:t>
      </w:r>
    </w:p>
    <w:p w14:paraId="43516C01">
      <w:pPr>
        <w:spacing w:line="360" w:lineRule="auto"/>
        <w:rPr>
          <w:rFonts w:hint="eastAsia" w:ascii="宋体" w:hAnsi="宋体"/>
          <w:sz w:val="24"/>
        </w:rPr>
      </w:pPr>
    </w:p>
    <w:p w14:paraId="42942246">
      <w:pPr>
        <w:rPr>
          <w:rFonts w:hint="eastAsia" w:ascii="宋体" w:hAnsi="宋体"/>
          <w:sz w:val="24"/>
        </w:rPr>
      </w:pPr>
      <w:r>
        <w:rPr>
          <w:rFonts w:ascii="宋体" w:hAnsi="宋体"/>
          <w:sz w:val="24"/>
        </w:rPr>
        <w:t>日期：</w:t>
      </w:r>
      <w:r>
        <w:rPr>
          <w:rFonts w:hint="eastAsia" w:ascii="宋体" w:hAnsi="宋体"/>
          <w:sz w:val="24"/>
        </w:rPr>
        <w:t>2025年   月   日</w:t>
      </w:r>
    </w:p>
    <w:p w14:paraId="3FDF15ED">
      <w:pPr>
        <w:adjustRightInd w:val="0"/>
        <w:snapToGrid w:val="0"/>
        <w:spacing w:line="360" w:lineRule="auto"/>
        <w:ind w:firstLine="480" w:firstLineChars="200"/>
        <w:rPr>
          <w:color w:val="FF0000"/>
          <w:sz w:val="24"/>
        </w:rPr>
      </w:pPr>
    </w:p>
    <w:p w14:paraId="6DB3BD92">
      <w:pPr>
        <w:pStyle w:val="3"/>
        <w:adjustRightInd w:val="0"/>
        <w:snapToGrid w:val="0"/>
        <w:spacing w:before="0" w:after="0" w:line="300" w:lineRule="auto"/>
        <w:rPr>
          <w:rFonts w:hint="eastAsia" w:ascii="宋体" w:hAnsi="宋体" w:eastAsia="宋体"/>
          <w:color w:val="FF0000"/>
          <w:sz w:val="24"/>
          <w:szCs w:val="24"/>
        </w:rPr>
      </w:pPr>
    </w:p>
    <w:p w14:paraId="4EBE6129">
      <w:pPr>
        <w:pStyle w:val="3"/>
        <w:adjustRightInd w:val="0"/>
        <w:snapToGrid w:val="0"/>
        <w:spacing w:before="0" w:after="0" w:line="300" w:lineRule="auto"/>
        <w:rPr>
          <w:rFonts w:hint="eastAsia" w:ascii="宋体" w:hAnsi="宋体" w:eastAsia="宋体"/>
          <w:color w:val="000000" w:themeColor="text1"/>
          <w:sz w:val="24"/>
          <w:szCs w:val="24"/>
          <w14:textFill>
            <w14:solidFill>
              <w14:schemeClr w14:val="tx1"/>
            </w14:solidFill>
          </w14:textFill>
        </w:rPr>
      </w:pPr>
    </w:p>
    <w:p w14:paraId="6711DF29">
      <w:pPr>
        <w:pStyle w:val="3"/>
        <w:adjustRightInd w:val="0"/>
        <w:snapToGrid w:val="0"/>
        <w:spacing w:before="0" w:after="0" w:line="300" w:lineRule="auto"/>
        <w:rPr>
          <w:rFonts w:hint="eastAsia" w:ascii="宋体" w:hAnsi="宋体" w:eastAsia="宋体"/>
          <w:color w:val="000000" w:themeColor="text1"/>
          <w:sz w:val="24"/>
          <w:szCs w:val="24"/>
          <w14:textFill>
            <w14:solidFill>
              <w14:schemeClr w14:val="tx1"/>
            </w14:solidFill>
          </w14:textFill>
        </w:rPr>
      </w:pPr>
    </w:p>
    <w:p w14:paraId="10812C00">
      <w:pPr>
        <w:pStyle w:val="3"/>
        <w:adjustRightInd w:val="0"/>
        <w:snapToGrid w:val="0"/>
        <w:spacing w:before="0" w:after="0" w:line="300" w:lineRule="auto"/>
        <w:rPr>
          <w:rFonts w:hint="eastAsia" w:ascii="宋体" w:hAnsi="宋体" w:eastAsia="宋体"/>
          <w:color w:val="000000" w:themeColor="text1"/>
          <w:sz w:val="24"/>
          <w:szCs w:val="24"/>
          <w14:textFill>
            <w14:solidFill>
              <w14:schemeClr w14:val="tx1"/>
            </w14:solidFill>
          </w14:textFill>
        </w:rPr>
      </w:pPr>
    </w:p>
    <w:p w14:paraId="5C924BC9">
      <w:pPr>
        <w:pStyle w:val="3"/>
        <w:adjustRightInd w:val="0"/>
        <w:snapToGrid w:val="0"/>
        <w:spacing w:before="0" w:after="0" w:line="300" w:lineRule="auto"/>
        <w:rPr>
          <w:rFonts w:hint="eastAsia" w:ascii="宋体" w:hAnsi="宋体" w:eastAsia="宋体"/>
          <w:color w:val="000000" w:themeColor="text1"/>
          <w:sz w:val="24"/>
          <w:szCs w:val="24"/>
          <w14:textFill>
            <w14:solidFill>
              <w14:schemeClr w14:val="tx1"/>
            </w14:solidFill>
          </w14:textFill>
        </w:rPr>
      </w:pPr>
    </w:p>
    <w:p w14:paraId="088EFF3C">
      <w:pPr>
        <w:pStyle w:val="3"/>
        <w:adjustRightInd w:val="0"/>
        <w:snapToGrid w:val="0"/>
        <w:spacing w:before="0" w:after="0" w:line="300" w:lineRule="auto"/>
        <w:rPr>
          <w:rFonts w:hint="eastAsia" w:ascii="宋体" w:hAnsi="宋体" w:eastAsia="宋体"/>
          <w:color w:val="000000" w:themeColor="text1"/>
          <w:sz w:val="24"/>
          <w:szCs w:val="24"/>
          <w14:textFill>
            <w14:solidFill>
              <w14:schemeClr w14:val="tx1"/>
            </w14:solidFill>
          </w14:textFill>
        </w:rPr>
      </w:pPr>
    </w:p>
    <w:p w14:paraId="0AE861D3">
      <w:pPr>
        <w:rPr>
          <w:rFonts w:hint="eastAsia" w:ascii="宋体" w:hAnsi="宋体"/>
          <w:color w:val="000000" w:themeColor="text1"/>
          <w:sz w:val="24"/>
          <w14:textFill>
            <w14:solidFill>
              <w14:schemeClr w14:val="tx1"/>
            </w14:solidFill>
          </w14:textFill>
        </w:rPr>
      </w:pPr>
    </w:p>
    <w:p w14:paraId="2264EDB3">
      <w:pPr>
        <w:rPr>
          <w:rFonts w:hint="eastAsia" w:ascii="宋体" w:hAnsi="宋体"/>
          <w:color w:val="000000" w:themeColor="text1"/>
          <w:sz w:val="24"/>
          <w14:textFill>
            <w14:solidFill>
              <w14:schemeClr w14:val="tx1"/>
            </w14:solidFill>
          </w14:textFill>
        </w:rPr>
      </w:pPr>
    </w:p>
    <w:p w14:paraId="40F796EC">
      <w:pPr>
        <w:pStyle w:val="3"/>
        <w:adjustRightInd w:val="0"/>
        <w:snapToGrid w:val="0"/>
        <w:spacing w:before="0" w:after="0" w:line="300" w:lineRule="auto"/>
        <w:rPr>
          <w:rFonts w:hint="eastAsia" w:ascii="宋体" w:hAnsi="宋体" w:eastAsia="宋体"/>
          <w:color w:val="000000" w:themeColor="text1"/>
          <w:sz w:val="24"/>
          <w:szCs w:val="24"/>
          <w14:textFill>
            <w14:solidFill>
              <w14:schemeClr w14:val="tx1"/>
            </w14:solidFill>
          </w14:textFill>
        </w:rPr>
      </w:pPr>
    </w:p>
    <w:p w14:paraId="4DBE380B">
      <w:pPr>
        <w:pStyle w:val="3"/>
        <w:adjustRightInd w:val="0"/>
        <w:snapToGrid w:val="0"/>
        <w:spacing w:before="0" w:after="0" w:line="300" w:lineRule="auto"/>
        <w:rPr>
          <w:rFonts w:hint="eastAsia" w:ascii="宋体" w:hAnsi="宋体" w:eastAsia="宋体"/>
          <w:bCs w:val="0"/>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附件</w:t>
      </w:r>
      <w:r>
        <w:rPr>
          <w:rFonts w:hint="eastAsia" w:ascii="宋体" w:hAnsi="宋体" w:eastAsia="宋体"/>
          <w:bCs w:val="0"/>
          <w:color w:val="000000" w:themeColor="text1"/>
          <w:sz w:val="24"/>
          <w:szCs w:val="24"/>
          <w14:textFill>
            <w14:solidFill>
              <w14:schemeClr w14:val="tx1"/>
            </w14:solidFill>
          </w14:textFill>
        </w:rPr>
        <w:t>6.6</w:t>
      </w:r>
      <w:r>
        <w:rPr>
          <w:rFonts w:hint="eastAsia" w:ascii="宋体" w:hAnsi="宋体" w:cs="宋体"/>
          <w:color w:val="000000" w:themeColor="text1"/>
          <w:kern w:val="0"/>
          <w:sz w:val="24"/>
          <w14:textFill>
            <w14:solidFill>
              <w14:schemeClr w14:val="tx1"/>
            </w14:solidFill>
          </w14:textFill>
        </w:rPr>
        <w:t>具有依法缴纳税收和社会保障资金的良好记录（承诺函）</w:t>
      </w:r>
    </w:p>
    <w:p w14:paraId="5A0985B1">
      <w:pPr>
        <w:adjustRightInd w:val="0"/>
        <w:snapToGrid w:val="0"/>
        <w:spacing w:line="300" w:lineRule="auto"/>
        <w:rPr>
          <w:rFonts w:hint="eastAsia" w:hAnsi="宋体"/>
          <w:color w:val="000000" w:themeColor="text1"/>
          <w:sz w:val="24"/>
          <w14:textFill>
            <w14:solidFill>
              <w14:schemeClr w14:val="tx1"/>
            </w14:solidFill>
          </w14:textFill>
        </w:rPr>
      </w:pPr>
    </w:p>
    <w:p w14:paraId="186DC1E3">
      <w:pPr>
        <w:adjustRightInd w:val="0"/>
        <w:snapToGrid w:val="0"/>
        <w:spacing w:line="300" w:lineRule="auto"/>
        <w:rPr>
          <w:rFonts w:hint="eastAsia" w:ascii="宋体" w:hAnsi="宋体"/>
          <w:color w:val="000000" w:themeColor="text1"/>
          <w:sz w:val="24"/>
          <w14:textFill>
            <w14:solidFill>
              <w14:schemeClr w14:val="tx1"/>
            </w14:solidFill>
          </w14:textFill>
        </w:rPr>
      </w:pPr>
      <w:r>
        <w:rPr>
          <w:rFonts w:hint="eastAsia"/>
          <w:color w:val="000000"/>
          <w:sz w:val="24"/>
        </w:rPr>
        <w:t>致</w:t>
      </w:r>
      <w:r>
        <w:rPr>
          <w:rFonts w:hint="eastAsia" w:ascii="宋体"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海南省教学仪器设备招标中心有限公司：</w:t>
      </w:r>
    </w:p>
    <w:p w14:paraId="107D29FE">
      <w:pPr>
        <w:pStyle w:val="3"/>
        <w:rPr>
          <w:rFonts w:hint="eastAsia" w:cs="宋体" w:asciiTheme="majorEastAsia" w:hAnsiTheme="majorEastAsia" w:eastAsiaTheme="majorEastAsia"/>
          <w:b w:val="0"/>
          <w:color w:val="000000" w:themeColor="text1"/>
          <w:kern w:val="0"/>
          <w:sz w:val="24"/>
          <w14:textFill>
            <w14:solidFill>
              <w14:schemeClr w14:val="tx1"/>
            </w14:solidFill>
          </w14:textFill>
        </w:rPr>
      </w:pPr>
      <w:r>
        <w:rPr>
          <w:rFonts w:hint="eastAsia" w:asciiTheme="majorEastAsia" w:hAnsiTheme="majorEastAsia" w:eastAsiaTheme="majorEastAsia"/>
          <w:b w:val="0"/>
          <w:color w:val="000000" w:themeColor="text1"/>
          <w:sz w:val="24"/>
          <w14:textFill>
            <w14:solidFill>
              <w14:schemeClr w14:val="tx1"/>
            </w14:solidFill>
          </w14:textFill>
        </w:rPr>
        <w:t>我单位在贵公司组织的（项目名称：     ），（项目编号：</w:t>
      </w:r>
      <w:r>
        <w:rPr>
          <w:rFonts w:asciiTheme="majorEastAsia" w:hAnsiTheme="majorEastAsia" w:eastAsiaTheme="majorEastAsia"/>
          <w:b w:val="0"/>
          <w:color w:val="000000" w:themeColor="text1"/>
          <w:sz w:val="24"/>
          <w14:textFill>
            <w14:solidFill>
              <w14:schemeClr w14:val="tx1"/>
            </w14:solidFill>
          </w14:textFill>
        </w:rPr>
        <w:tab/>
      </w:r>
      <w:r>
        <w:rPr>
          <w:rFonts w:asciiTheme="majorEastAsia" w:hAnsiTheme="majorEastAsia" w:eastAsiaTheme="majorEastAsia"/>
          <w:b w:val="0"/>
          <w:color w:val="000000" w:themeColor="text1"/>
          <w:sz w:val="24"/>
          <w14:textFill>
            <w14:solidFill>
              <w14:schemeClr w14:val="tx1"/>
            </w14:solidFill>
          </w14:textFill>
        </w:rPr>
        <w:tab/>
      </w:r>
      <w:r>
        <w:rPr>
          <w:rFonts w:hint="eastAsia" w:asciiTheme="majorEastAsia" w:hAnsiTheme="majorEastAsia" w:eastAsiaTheme="majorEastAsia"/>
          <w:b w:val="0"/>
          <w:color w:val="000000" w:themeColor="text1"/>
          <w:sz w:val="24"/>
          <w14:textFill>
            <w14:solidFill>
              <w14:schemeClr w14:val="tx1"/>
            </w14:solidFill>
          </w14:textFill>
        </w:rPr>
        <w:t>）采购活动中郑重承诺</w:t>
      </w:r>
      <w:r>
        <w:rPr>
          <w:rFonts w:hint="eastAsia" w:cs="宋体" w:asciiTheme="majorEastAsia" w:hAnsiTheme="majorEastAsia" w:eastAsiaTheme="majorEastAsia"/>
          <w:b w:val="0"/>
          <w:color w:val="000000" w:themeColor="text1"/>
          <w:kern w:val="0"/>
          <w:sz w:val="24"/>
          <w14:textFill>
            <w14:solidFill>
              <w14:schemeClr w14:val="tx1"/>
            </w14:solidFill>
          </w14:textFill>
        </w:rPr>
        <w:t>具有依法缴纳税收和社会保障资金的良好记录。如不实，我们愿承担相应的法律责任。</w:t>
      </w:r>
    </w:p>
    <w:p w14:paraId="5657F1E8">
      <w:pPr>
        <w:pStyle w:val="3"/>
        <w:ind w:firstLine="2822" w:firstLineChars="1176"/>
        <w:rPr>
          <w:rFonts w:hint="eastAsia" w:ascii="宋体" w:hAnsi="宋体"/>
          <w:b w:val="0"/>
          <w:bCs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承诺人：    （填写名称并加盖公章）</w:t>
      </w:r>
    </w:p>
    <w:p w14:paraId="76FAFE93">
      <w:pPr>
        <w:adjustRightInd w:val="0"/>
        <w:spacing w:line="360" w:lineRule="auto"/>
        <w:ind w:firstLine="2640" w:firstLineChars="1100"/>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6224E85A">
      <w:pPr>
        <w:adjustRightInd w:val="0"/>
        <w:spacing w:line="360" w:lineRule="auto"/>
        <w:ind w:firstLine="480" w:firstLineChars="200"/>
        <w:rPr>
          <w:rFonts w:hint="eastAsia" w:ascii="宋体" w:hAnsi="宋体"/>
          <w:bCs/>
          <w:color w:val="000000" w:themeColor="text1"/>
          <w:sz w:val="24"/>
          <w14:textFill>
            <w14:solidFill>
              <w14:schemeClr w14:val="tx1"/>
            </w14:solidFill>
          </w14:textFill>
        </w:rPr>
      </w:pPr>
    </w:p>
    <w:p w14:paraId="6A6D8952">
      <w:pPr>
        <w:ind w:firstLine="3240" w:firstLineChars="1350"/>
        <w:rPr>
          <w:rStyle w:val="92"/>
          <w:rFonts w:hint="eastAsia"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日期：2025年  月  日</w:t>
      </w:r>
    </w:p>
    <w:p w14:paraId="6F4AEABD">
      <w:pPr>
        <w:pStyle w:val="3"/>
        <w:adjustRightInd w:val="0"/>
        <w:snapToGrid w:val="0"/>
        <w:spacing w:before="0" w:after="0" w:line="300" w:lineRule="auto"/>
        <w:rPr>
          <w:rFonts w:hint="eastAsia" w:ascii="宋体" w:hAnsi="宋体" w:eastAsia="宋体"/>
          <w:bCs w:val="0"/>
          <w:color w:val="000000" w:themeColor="text1"/>
          <w:sz w:val="24"/>
          <w:szCs w:val="24"/>
          <w14:textFill>
            <w14:solidFill>
              <w14:schemeClr w14:val="tx1"/>
            </w14:solidFill>
          </w14:textFill>
        </w:rPr>
      </w:pPr>
    </w:p>
    <w:p w14:paraId="355262A2">
      <w:pPr>
        <w:pStyle w:val="3"/>
        <w:adjustRightInd w:val="0"/>
        <w:snapToGrid w:val="0"/>
        <w:spacing w:before="0" w:after="0" w:line="300" w:lineRule="auto"/>
        <w:rPr>
          <w:rFonts w:hint="eastAsia" w:ascii="宋体" w:hAnsi="宋体" w:eastAsia="宋体"/>
          <w:bCs w:val="0"/>
          <w:sz w:val="24"/>
          <w:szCs w:val="24"/>
        </w:rPr>
      </w:pPr>
    </w:p>
    <w:p w14:paraId="06F408A5">
      <w:pPr>
        <w:pStyle w:val="3"/>
        <w:adjustRightInd w:val="0"/>
        <w:snapToGrid w:val="0"/>
        <w:spacing w:before="0" w:after="0" w:line="300" w:lineRule="auto"/>
        <w:rPr>
          <w:rFonts w:hint="eastAsia" w:ascii="宋体" w:hAnsi="宋体" w:eastAsia="宋体"/>
          <w:bCs w:val="0"/>
          <w:sz w:val="24"/>
          <w:szCs w:val="24"/>
        </w:rPr>
      </w:pPr>
    </w:p>
    <w:p w14:paraId="130B2945">
      <w:pPr>
        <w:pStyle w:val="3"/>
        <w:rPr>
          <w:rFonts w:hint="eastAsia" w:ascii="宋体" w:hAnsi="宋体" w:eastAsia="宋体"/>
          <w:bCs w:val="0"/>
          <w:sz w:val="24"/>
          <w:szCs w:val="24"/>
        </w:rPr>
      </w:pPr>
      <w:r>
        <w:rPr>
          <w:rFonts w:hint="eastAsia" w:ascii="宋体" w:hAnsi="宋体" w:eastAsia="宋体"/>
          <w:bCs w:val="0"/>
          <w:sz w:val="24"/>
          <w:szCs w:val="24"/>
        </w:rPr>
        <w:t>附件6.7  投标人参加政府采购活动近三年内，在经营活动中没有重大事故、违法记录声明</w:t>
      </w:r>
      <w:r>
        <w:rPr>
          <w:rFonts w:hint="eastAsia" w:ascii="宋体" w:hAnsi="宋体" w:cs="宋体"/>
          <w:b w:val="0"/>
          <w:kern w:val="0"/>
          <w:sz w:val="24"/>
        </w:rPr>
        <w:t>（</w:t>
      </w:r>
      <w:r>
        <w:rPr>
          <w:rFonts w:ascii="宋体" w:hAnsi="宋体" w:cs="宋体"/>
          <w:b w:val="0"/>
          <w:kern w:val="0"/>
          <w:sz w:val="24"/>
        </w:rPr>
        <w:t>成立不足三年的从成立之日起计算）</w:t>
      </w:r>
    </w:p>
    <w:p w14:paraId="69FFC48B">
      <w:pPr>
        <w:adjustRightInd w:val="0"/>
        <w:snapToGrid w:val="0"/>
        <w:spacing w:line="300" w:lineRule="auto"/>
        <w:jc w:val="center"/>
        <w:rPr>
          <w:rFonts w:hint="eastAsia" w:ascii="宋体" w:hAnsi="宋体"/>
          <w:sz w:val="24"/>
        </w:rPr>
      </w:pPr>
      <w:r>
        <w:rPr>
          <w:rFonts w:hint="eastAsia" w:ascii="宋体" w:hAnsi="宋体"/>
          <w:sz w:val="24"/>
        </w:rPr>
        <w:t>（须加盖本公章）</w:t>
      </w:r>
    </w:p>
    <w:p w14:paraId="0B6168F7">
      <w:pPr>
        <w:adjustRightInd w:val="0"/>
        <w:snapToGrid w:val="0"/>
        <w:spacing w:line="300" w:lineRule="auto"/>
        <w:rPr>
          <w:rFonts w:hint="eastAsia" w:ascii="宋体" w:hAnsi="宋体"/>
          <w:sz w:val="24"/>
        </w:rPr>
      </w:pPr>
      <w:r>
        <w:rPr>
          <w:rFonts w:hint="eastAsia" w:hAnsi="宋体"/>
          <w:sz w:val="24"/>
        </w:rPr>
        <w:t>海南省教学仪器设备招标中心有限公司：</w:t>
      </w:r>
    </w:p>
    <w:p w14:paraId="6CD57484">
      <w:pPr>
        <w:adjustRightInd w:val="0"/>
        <w:snapToGrid w:val="0"/>
        <w:spacing w:line="300" w:lineRule="auto"/>
        <w:rPr>
          <w:rFonts w:hint="eastAsia" w:ascii="宋体" w:hAnsi="宋体"/>
          <w:sz w:val="24"/>
        </w:rPr>
      </w:pPr>
    </w:p>
    <w:p w14:paraId="7590DEF1">
      <w:pPr>
        <w:adjustRightInd w:val="0"/>
        <w:snapToGrid w:val="0"/>
        <w:spacing w:line="300" w:lineRule="auto"/>
        <w:ind w:firstLine="560" w:firstLineChars="200"/>
        <w:rPr>
          <w:rFonts w:hint="eastAsia" w:ascii="宋体" w:hAnsi="宋体"/>
          <w:sz w:val="24"/>
        </w:rPr>
      </w:pPr>
      <w:r>
        <w:rPr>
          <w:rFonts w:hint="eastAsia" w:ascii="宋体" w:hAnsi="宋体"/>
          <w:sz w:val="28"/>
        </w:rPr>
        <w:t>我公</w:t>
      </w:r>
      <w:r>
        <w:rPr>
          <w:rFonts w:hint="eastAsia" w:ascii="宋体" w:hAnsi="宋体"/>
          <w:sz w:val="24"/>
        </w:rPr>
        <w:t>司在参加本次政府采购活动前三年内，在经营活动中没有重大事故、违法记录（</w:t>
      </w:r>
      <w:r>
        <w:rPr>
          <w:rFonts w:ascii="宋体" w:hAnsi="宋体"/>
          <w:sz w:val="24"/>
        </w:rPr>
        <w:t>是指供应商因违法经营受到刑事处罚或者责令停产停业、吊销许可证或者执照、较大数额罚款等行政处罚</w:t>
      </w:r>
      <w:r>
        <w:rPr>
          <w:rFonts w:hint="eastAsia" w:ascii="宋体" w:hAnsi="宋体"/>
          <w:sz w:val="24"/>
        </w:rPr>
        <w:t>）</w:t>
      </w:r>
      <w:r>
        <w:rPr>
          <w:rFonts w:hint="eastAsia" w:ascii="宋体" w:hAnsi="宋体"/>
          <w:bCs/>
          <w:sz w:val="24"/>
        </w:rPr>
        <w:t>。</w:t>
      </w:r>
    </w:p>
    <w:p w14:paraId="65188393">
      <w:pPr>
        <w:adjustRightInd w:val="0"/>
        <w:snapToGrid w:val="0"/>
        <w:spacing w:line="300" w:lineRule="auto"/>
        <w:rPr>
          <w:rFonts w:hint="eastAsia" w:ascii="宋体" w:hAnsi="宋体"/>
          <w:sz w:val="24"/>
        </w:rPr>
      </w:pPr>
    </w:p>
    <w:p w14:paraId="03063F51">
      <w:pPr>
        <w:adjustRightInd w:val="0"/>
        <w:snapToGrid w:val="0"/>
        <w:spacing w:line="300" w:lineRule="auto"/>
        <w:ind w:firstLine="480" w:firstLineChars="200"/>
        <w:rPr>
          <w:rFonts w:hint="eastAsia" w:ascii="宋体" w:hAnsi="宋体"/>
          <w:sz w:val="24"/>
        </w:rPr>
      </w:pPr>
      <w:r>
        <w:rPr>
          <w:rFonts w:hint="eastAsia" w:ascii="宋体" w:hAnsi="宋体"/>
          <w:sz w:val="24"/>
        </w:rPr>
        <w:t>特此声明。</w:t>
      </w:r>
    </w:p>
    <w:p w14:paraId="240B2AFC">
      <w:pPr>
        <w:adjustRightInd w:val="0"/>
        <w:snapToGrid w:val="0"/>
        <w:spacing w:line="300" w:lineRule="auto"/>
        <w:rPr>
          <w:rFonts w:hint="eastAsia" w:ascii="宋体" w:hAnsi="宋体"/>
          <w:sz w:val="24"/>
        </w:rPr>
      </w:pPr>
    </w:p>
    <w:p w14:paraId="33D7F94F">
      <w:pPr>
        <w:adjustRightInd w:val="0"/>
        <w:snapToGrid w:val="0"/>
        <w:spacing w:line="300" w:lineRule="auto"/>
        <w:ind w:firstLine="3600" w:firstLineChars="1500"/>
        <w:rPr>
          <w:rFonts w:hint="eastAsia" w:ascii="宋体" w:hAnsi="宋体"/>
          <w:sz w:val="24"/>
        </w:rPr>
      </w:pPr>
      <w:r>
        <w:rPr>
          <w:rFonts w:hint="eastAsia" w:ascii="宋体" w:hAnsi="宋体"/>
          <w:sz w:val="24"/>
        </w:rPr>
        <w:t>法定代表人或被授权人签字：</w:t>
      </w:r>
    </w:p>
    <w:p w14:paraId="003A3392">
      <w:pPr>
        <w:adjustRightInd w:val="0"/>
        <w:snapToGrid w:val="0"/>
        <w:spacing w:line="300" w:lineRule="auto"/>
        <w:ind w:firstLine="3600" w:firstLineChars="1500"/>
        <w:rPr>
          <w:rFonts w:hint="eastAsia" w:ascii="宋体" w:hAnsi="宋体"/>
          <w:sz w:val="24"/>
        </w:rPr>
      </w:pPr>
    </w:p>
    <w:p w14:paraId="351DF7E9">
      <w:pPr>
        <w:adjustRightInd w:val="0"/>
        <w:snapToGrid w:val="0"/>
        <w:spacing w:line="300" w:lineRule="auto"/>
        <w:ind w:firstLine="7920" w:firstLineChars="3300"/>
        <w:rPr>
          <w:rFonts w:hint="eastAsia" w:ascii="宋体" w:hAnsi="宋体"/>
          <w:sz w:val="24"/>
        </w:rPr>
      </w:pPr>
      <w:r>
        <w:rPr>
          <w:rFonts w:hint="eastAsia" w:ascii="宋体" w:hAnsi="宋体"/>
          <w:sz w:val="24"/>
        </w:rPr>
        <w:t>投标人公章：</w:t>
      </w:r>
    </w:p>
    <w:p w14:paraId="0952BB03">
      <w:pPr>
        <w:adjustRightInd w:val="0"/>
        <w:snapToGrid w:val="0"/>
        <w:spacing w:line="300" w:lineRule="auto"/>
        <w:ind w:firstLine="7920" w:firstLineChars="3300"/>
        <w:rPr>
          <w:rFonts w:hint="eastAsia" w:ascii="宋体" w:hAnsi="宋体"/>
          <w:b/>
          <w:sz w:val="24"/>
        </w:rPr>
      </w:pPr>
      <w:r>
        <w:rPr>
          <w:rFonts w:hint="eastAsia" w:ascii="宋体" w:hAnsi="宋体"/>
          <w:sz w:val="24"/>
        </w:rPr>
        <w:t>年月日</w:t>
      </w:r>
    </w:p>
    <w:p w14:paraId="73DC3CBA">
      <w:pPr>
        <w:pStyle w:val="3"/>
        <w:rPr>
          <w:rFonts w:hint="eastAsia" w:ascii="宋体" w:hAnsi="宋体" w:eastAsia="宋体"/>
          <w:szCs w:val="24"/>
        </w:rPr>
      </w:pPr>
    </w:p>
    <w:p w14:paraId="0FBE2A57"/>
    <w:p w14:paraId="1F051711">
      <w:pPr>
        <w:pStyle w:val="3"/>
        <w:rPr>
          <w:rFonts w:hint="eastAsia" w:ascii="宋体" w:hAnsi="宋体" w:eastAsia="宋体"/>
          <w:sz w:val="28"/>
          <w:szCs w:val="28"/>
        </w:rPr>
      </w:pPr>
    </w:p>
    <w:p w14:paraId="0D5ECE9C"/>
    <w:p w14:paraId="1179B899">
      <w:pPr>
        <w:pStyle w:val="3"/>
        <w:rPr>
          <w:rStyle w:val="92"/>
          <w:rFonts w:hint="eastAsia" w:hAnsi="宋体"/>
          <w:sz w:val="28"/>
          <w:szCs w:val="28"/>
        </w:rPr>
      </w:pPr>
      <w:r>
        <w:rPr>
          <w:rFonts w:hint="eastAsia" w:ascii="宋体" w:hAnsi="宋体" w:eastAsia="宋体"/>
          <w:sz w:val="28"/>
          <w:szCs w:val="28"/>
        </w:rPr>
        <w:t>附件6.8 参加政府采购活动前三年内，在经营活动中没有环保类行政处罚记录</w:t>
      </w:r>
      <w:r>
        <w:rPr>
          <w:rFonts w:hint="eastAsia" w:ascii="宋体" w:hAnsi="宋体" w:cs="宋体"/>
          <w:kern w:val="0"/>
          <w:sz w:val="24"/>
        </w:rPr>
        <w:t>（</w:t>
      </w:r>
      <w:r>
        <w:rPr>
          <w:rFonts w:ascii="宋体" w:hAnsi="宋体" w:cs="宋体"/>
          <w:kern w:val="0"/>
          <w:sz w:val="24"/>
        </w:rPr>
        <w:t>成立不足三年的从成立之日起计算）</w:t>
      </w:r>
    </w:p>
    <w:p w14:paraId="13325D2E">
      <w:pPr>
        <w:pStyle w:val="7"/>
        <w:overflowPunct w:val="0"/>
        <w:spacing w:line="560" w:lineRule="exact"/>
        <w:ind w:firstLine="562"/>
        <w:jc w:val="center"/>
        <w:rPr>
          <w:b/>
          <w:color w:val="000000"/>
          <w:sz w:val="28"/>
          <w:szCs w:val="28"/>
        </w:rPr>
      </w:pPr>
      <w:r>
        <w:rPr>
          <w:b/>
          <w:color w:val="000000"/>
          <w:sz w:val="28"/>
          <w:szCs w:val="28"/>
        </w:rPr>
        <w:t>环保类行政处罚记录声明函</w:t>
      </w:r>
    </w:p>
    <w:p w14:paraId="2B40DE86">
      <w:pPr>
        <w:spacing w:line="480" w:lineRule="auto"/>
        <w:rPr>
          <w:color w:val="000000"/>
          <w:sz w:val="24"/>
        </w:rPr>
      </w:pPr>
      <w:r>
        <w:rPr>
          <w:rFonts w:hint="eastAsia"/>
          <w:color w:val="000000"/>
          <w:sz w:val="24"/>
        </w:rPr>
        <w:t>致：</w:t>
      </w:r>
      <w:r>
        <w:rPr>
          <w:rFonts w:hint="eastAsia"/>
          <w:color w:val="000000"/>
          <w:sz w:val="24"/>
          <w:u w:val="single"/>
        </w:rPr>
        <w:t xml:space="preserve"> （采购人名称） </w:t>
      </w:r>
    </w:p>
    <w:p w14:paraId="538814DD">
      <w:pPr>
        <w:spacing w:line="480" w:lineRule="auto"/>
        <w:ind w:firstLine="480" w:firstLineChars="200"/>
        <w:rPr>
          <w:color w:val="000000"/>
          <w:sz w:val="24"/>
        </w:rPr>
      </w:pPr>
      <w:r>
        <w:rPr>
          <w:rFonts w:hint="eastAsia"/>
          <w:color w:val="000000"/>
          <w:sz w:val="24"/>
        </w:rPr>
        <w:t>我单位（供应商名称）郑重声明：</w:t>
      </w:r>
    </w:p>
    <w:p w14:paraId="33B183E0">
      <w:pPr>
        <w:spacing w:line="480" w:lineRule="auto"/>
        <w:ind w:firstLine="480" w:firstLineChars="200"/>
        <w:rPr>
          <w:color w:val="000000"/>
        </w:rPr>
      </w:pPr>
      <w:r>
        <w:rPr>
          <w:rFonts w:hint="eastAsia"/>
          <w:color w:val="000000"/>
          <w:sz w:val="24"/>
        </w:rPr>
        <w:t>我单位参加政府采购活动前三年内，在经营活动中</w:t>
      </w:r>
      <w:r>
        <w:rPr>
          <w:rFonts w:hint="eastAsia"/>
          <w:b/>
          <w:bCs/>
          <w:color w:val="000000"/>
          <w:sz w:val="24"/>
          <w:u w:val="single"/>
        </w:rPr>
        <w:t xml:space="preserve"> 没有 </w:t>
      </w:r>
      <w:r>
        <w:rPr>
          <w:rFonts w:hint="eastAsia"/>
          <w:color w:val="000000"/>
          <w:sz w:val="24"/>
        </w:rPr>
        <w:t>（在下划线上如实填写：有或没有）环保类行政处罚记录，特此声明。</w:t>
      </w:r>
    </w:p>
    <w:p w14:paraId="586FB04A">
      <w:pPr>
        <w:adjustRightInd w:val="0"/>
        <w:spacing w:line="360" w:lineRule="auto"/>
        <w:ind w:firstLine="3240" w:firstLineChars="1350"/>
        <w:rPr>
          <w:bCs/>
          <w:color w:val="000000"/>
          <w:sz w:val="24"/>
        </w:rPr>
      </w:pPr>
      <w:r>
        <w:rPr>
          <w:rFonts w:hint="eastAsia"/>
          <w:color w:val="000000"/>
          <w:sz w:val="24"/>
        </w:rPr>
        <w:t>声明人：（填写名称并盖章）</w:t>
      </w:r>
    </w:p>
    <w:p w14:paraId="0BC5E069">
      <w:pPr>
        <w:adjustRightInd w:val="0"/>
        <w:spacing w:line="360" w:lineRule="auto"/>
        <w:ind w:firstLine="480" w:firstLineChars="200"/>
        <w:rPr>
          <w:color w:val="000000"/>
          <w:sz w:val="24"/>
        </w:rPr>
      </w:pPr>
    </w:p>
    <w:p w14:paraId="15012628">
      <w:pPr>
        <w:adjustRightInd w:val="0"/>
        <w:spacing w:line="360" w:lineRule="auto"/>
        <w:ind w:firstLine="3240" w:firstLineChars="1350"/>
        <w:rPr>
          <w:bCs/>
          <w:color w:val="000000"/>
          <w:sz w:val="24"/>
        </w:rPr>
      </w:pPr>
      <w:r>
        <w:rPr>
          <w:rFonts w:hint="eastAsia"/>
          <w:color w:val="000000"/>
          <w:sz w:val="24"/>
        </w:rPr>
        <w:t>法定代表人或授权代表</w:t>
      </w:r>
      <w:r>
        <w:rPr>
          <w:rFonts w:hint="eastAsia"/>
          <w:bCs/>
          <w:color w:val="000000"/>
          <w:sz w:val="24"/>
        </w:rPr>
        <w:t>：</w:t>
      </w:r>
      <w:r>
        <w:rPr>
          <w:rFonts w:hint="eastAsia"/>
          <w:iCs/>
          <w:color w:val="000000"/>
          <w:sz w:val="24"/>
          <w:szCs w:val="21"/>
        </w:rPr>
        <w:t>（签字或盖章）</w:t>
      </w:r>
    </w:p>
    <w:p w14:paraId="2C3E34C1">
      <w:pPr>
        <w:adjustRightInd w:val="0"/>
        <w:spacing w:line="360" w:lineRule="auto"/>
        <w:ind w:firstLine="480" w:firstLineChars="200"/>
        <w:rPr>
          <w:bCs/>
          <w:color w:val="000000"/>
          <w:sz w:val="24"/>
        </w:rPr>
      </w:pPr>
    </w:p>
    <w:p w14:paraId="1BEA6D68">
      <w:pPr>
        <w:ind w:firstLine="4320" w:firstLineChars="1800"/>
        <w:rPr>
          <w:rFonts w:hint="eastAsia" w:ascii="宋体" w:hAnsi="宋体"/>
          <w:b/>
        </w:rPr>
      </w:pPr>
      <w:r>
        <w:rPr>
          <w:rFonts w:hint="eastAsia"/>
          <w:bCs/>
          <w:color w:val="000000"/>
          <w:sz w:val="24"/>
        </w:rPr>
        <w:t>日期：2025年  月  日</w:t>
      </w:r>
    </w:p>
    <w:p w14:paraId="58A76147"/>
    <w:p w14:paraId="6650D86C">
      <w:pPr>
        <w:pStyle w:val="3"/>
        <w:pageBreakBefore/>
        <w:adjustRightInd w:val="0"/>
        <w:snapToGrid w:val="0"/>
        <w:spacing w:before="0" w:after="0" w:line="300" w:lineRule="auto"/>
        <w:jc w:val="left"/>
        <w:rPr>
          <w:rFonts w:hint="eastAsia" w:ascii="宋体" w:hAnsi="宋体" w:eastAsia="宋体"/>
          <w:sz w:val="24"/>
          <w:szCs w:val="24"/>
        </w:rPr>
      </w:pPr>
      <w:r>
        <w:rPr>
          <w:rFonts w:hint="eastAsia" w:ascii="宋体" w:hAnsi="宋体" w:eastAsia="宋体"/>
          <w:sz w:val="24"/>
          <w:szCs w:val="24"/>
        </w:rPr>
        <w:t>附件6.9  中标服务费承诺书（格式）</w:t>
      </w:r>
    </w:p>
    <w:p w14:paraId="6F4643A5">
      <w:pPr>
        <w:pStyle w:val="7"/>
        <w:adjustRightInd w:val="0"/>
        <w:snapToGrid w:val="0"/>
        <w:spacing w:line="300" w:lineRule="auto"/>
        <w:ind w:firstLine="480"/>
        <w:rPr>
          <w:rFonts w:hint="eastAsia" w:hAnsi="宋体"/>
          <w:sz w:val="24"/>
        </w:rPr>
      </w:pPr>
    </w:p>
    <w:p w14:paraId="4E23020A">
      <w:pPr>
        <w:pStyle w:val="16"/>
        <w:adjustRightInd w:val="0"/>
        <w:snapToGrid w:val="0"/>
        <w:spacing w:line="300" w:lineRule="auto"/>
        <w:ind w:firstLine="480" w:firstLineChars="200"/>
        <w:rPr>
          <w:rFonts w:hint="eastAsia" w:hAnsi="宋体"/>
          <w:sz w:val="24"/>
        </w:rPr>
      </w:pPr>
      <w:r>
        <w:rPr>
          <w:rFonts w:hint="eastAsia" w:hAnsi="宋体"/>
          <w:sz w:val="24"/>
        </w:rPr>
        <w:t>致：海南省教学仪器设备招标中心有限公司：</w:t>
      </w:r>
    </w:p>
    <w:p w14:paraId="7C97E874">
      <w:pPr>
        <w:pStyle w:val="16"/>
        <w:adjustRightInd w:val="0"/>
        <w:snapToGrid w:val="0"/>
        <w:spacing w:line="300" w:lineRule="auto"/>
        <w:ind w:firstLine="480" w:firstLineChars="200"/>
        <w:rPr>
          <w:rFonts w:hint="eastAsia" w:hAnsi="宋体"/>
          <w:sz w:val="24"/>
        </w:rPr>
      </w:pPr>
    </w:p>
    <w:p w14:paraId="151E6D42">
      <w:pPr>
        <w:pStyle w:val="16"/>
        <w:adjustRightInd w:val="0"/>
        <w:snapToGrid w:val="0"/>
        <w:spacing w:line="300" w:lineRule="auto"/>
        <w:ind w:firstLine="480" w:firstLineChars="200"/>
        <w:rPr>
          <w:rFonts w:hint="eastAsia" w:hAnsi="宋体"/>
          <w:sz w:val="24"/>
        </w:rPr>
      </w:pPr>
      <w:r>
        <w:rPr>
          <w:rFonts w:hAnsi="宋体"/>
          <w:sz w:val="24"/>
        </w:rPr>
        <w:tab/>
      </w:r>
      <w:r>
        <w:rPr>
          <w:rFonts w:hint="eastAsia" w:hAnsi="宋体"/>
          <w:sz w:val="24"/>
        </w:rPr>
        <w:t>我们在贵公司组织的</w:t>
      </w:r>
      <w:r>
        <w:rPr>
          <w:rFonts w:hAnsi="宋体"/>
          <w:sz w:val="24"/>
        </w:rPr>
        <w:tab/>
      </w:r>
      <w:r>
        <w:rPr>
          <w:rFonts w:hAnsi="宋体"/>
          <w:sz w:val="24"/>
        </w:rPr>
        <w:tab/>
      </w:r>
      <w:r>
        <w:rPr>
          <w:rFonts w:hint="eastAsia" w:hAnsi="宋体"/>
          <w:sz w:val="24"/>
        </w:rPr>
        <w:t>项目（设备）招标中若获中标（招标文件编号：</w:t>
      </w:r>
      <w:r>
        <w:rPr>
          <w:rFonts w:hAnsi="宋体"/>
          <w:sz w:val="24"/>
        </w:rPr>
        <w:tab/>
      </w:r>
      <w:r>
        <w:rPr>
          <w:rFonts w:hAnsi="宋体"/>
          <w:sz w:val="24"/>
        </w:rPr>
        <w:tab/>
      </w:r>
      <w:r>
        <w:rPr>
          <w:rFonts w:hint="eastAsia" w:hAnsi="宋体"/>
          <w:sz w:val="24"/>
        </w:rPr>
        <w:t>），我们保证在签定合同的同时按招标文件的规定，以支票、汇票或现金方式，向贵中心一次性支付应该交纳的中标服务费，中标服务费参照“计价格【2002】1980 号”规定收取。</w:t>
      </w:r>
    </w:p>
    <w:p w14:paraId="7C8F7C1E">
      <w:pPr>
        <w:pStyle w:val="16"/>
        <w:adjustRightInd w:val="0"/>
        <w:snapToGrid w:val="0"/>
        <w:spacing w:line="300" w:lineRule="auto"/>
        <w:ind w:firstLine="480" w:firstLineChars="200"/>
        <w:rPr>
          <w:rFonts w:hint="eastAsia" w:hAnsi="宋体"/>
          <w:sz w:val="24"/>
        </w:rPr>
      </w:pPr>
    </w:p>
    <w:p w14:paraId="23B7AF34">
      <w:pPr>
        <w:pStyle w:val="16"/>
        <w:adjustRightInd w:val="0"/>
        <w:snapToGrid w:val="0"/>
        <w:spacing w:line="300" w:lineRule="auto"/>
        <w:ind w:firstLine="480" w:firstLineChars="200"/>
        <w:rPr>
          <w:rFonts w:hint="eastAsia" w:hAnsi="宋体"/>
          <w:sz w:val="24"/>
        </w:rPr>
      </w:pPr>
      <w:r>
        <w:rPr>
          <w:rFonts w:hAnsi="宋体"/>
          <w:sz w:val="24"/>
        </w:rPr>
        <w:tab/>
      </w:r>
      <w:r>
        <w:rPr>
          <w:rFonts w:hAnsi="宋体"/>
          <w:sz w:val="24"/>
        </w:rPr>
        <w:tab/>
      </w:r>
      <w:r>
        <w:rPr>
          <w:rFonts w:hint="eastAsia" w:hAnsi="宋体"/>
          <w:sz w:val="24"/>
        </w:rPr>
        <w:t>特此承诺！</w:t>
      </w:r>
    </w:p>
    <w:p w14:paraId="44CD82F2">
      <w:pPr>
        <w:pStyle w:val="3"/>
        <w:adjustRightInd w:val="0"/>
        <w:snapToGrid w:val="0"/>
        <w:spacing w:before="0" w:after="0" w:line="300" w:lineRule="auto"/>
        <w:rPr>
          <w:rFonts w:hint="eastAsia" w:ascii="宋体" w:hAnsi="宋体" w:eastAsia="宋体"/>
          <w:b w:val="0"/>
          <w:bCs w:val="0"/>
          <w:sz w:val="24"/>
          <w:szCs w:val="24"/>
        </w:rPr>
      </w:pPr>
    </w:p>
    <w:p w14:paraId="0972D2AA">
      <w:pPr>
        <w:pStyle w:val="3"/>
        <w:adjustRightInd w:val="0"/>
        <w:snapToGrid w:val="0"/>
        <w:spacing w:before="0" w:after="0" w:line="300" w:lineRule="auto"/>
        <w:rPr>
          <w:rFonts w:hint="eastAsia" w:ascii="宋体" w:hAnsi="宋体" w:eastAsia="宋体"/>
          <w:bCs w:val="0"/>
          <w:sz w:val="24"/>
          <w:szCs w:val="24"/>
        </w:rPr>
      </w:pPr>
      <w:r>
        <w:rPr>
          <w:rFonts w:hint="eastAsia" w:ascii="宋体" w:hAnsi="宋体" w:eastAsia="宋体"/>
          <w:bCs w:val="0"/>
          <w:sz w:val="24"/>
          <w:szCs w:val="24"/>
        </w:rPr>
        <w:t>附件：</w:t>
      </w:r>
      <w:r>
        <w:rPr>
          <w:rFonts w:hint="eastAsia" w:ascii="宋体" w:hAnsi="宋体" w:eastAsia="宋体"/>
          <w:b w:val="0"/>
          <w:bCs w:val="0"/>
          <w:sz w:val="24"/>
          <w:szCs w:val="24"/>
        </w:rPr>
        <w:t>7</w:t>
      </w:r>
      <w:r>
        <w:rPr>
          <w:rFonts w:hint="eastAsia" w:ascii="宋体" w:hAnsi="宋体" w:eastAsia="宋体"/>
          <w:bCs w:val="0"/>
          <w:sz w:val="24"/>
          <w:szCs w:val="24"/>
        </w:rPr>
        <w:t>、投标人认为需要提供的用于参与评审其他相关资料</w:t>
      </w:r>
    </w:p>
    <w:p w14:paraId="68A5CE6F">
      <w:pPr>
        <w:adjustRightInd w:val="0"/>
        <w:snapToGrid w:val="0"/>
        <w:spacing w:line="300" w:lineRule="auto"/>
        <w:rPr>
          <w:rFonts w:hint="eastAsia" w:ascii="宋体" w:hAnsi="宋体"/>
          <w:b/>
          <w:sz w:val="32"/>
          <w:szCs w:val="32"/>
        </w:rPr>
      </w:pPr>
    </w:p>
    <w:p w14:paraId="2784070C">
      <w:pPr>
        <w:autoSpaceDE w:val="0"/>
        <w:autoSpaceDN w:val="0"/>
        <w:adjustRightInd w:val="0"/>
        <w:jc w:val="left"/>
        <w:rPr>
          <w:rFonts w:hint="eastAsia" w:ascii="宋体" w:hAnsi="宋体"/>
          <w:b/>
          <w:sz w:val="24"/>
        </w:rPr>
      </w:pPr>
      <w:r>
        <w:rPr>
          <w:rFonts w:hint="eastAsia" w:ascii="宋体" w:hAnsi="宋体"/>
          <w:b/>
          <w:sz w:val="24"/>
        </w:rPr>
        <w:t>附件8中小企业声明函</w:t>
      </w:r>
    </w:p>
    <w:p w14:paraId="05CFDB6A">
      <w:pPr>
        <w:autoSpaceDE w:val="0"/>
        <w:autoSpaceDN w:val="0"/>
        <w:adjustRightInd w:val="0"/>
        <w:spacing w:line="520" w:lineRule="exact"/>
        <w:jc w:val="center"/>
        <w:rPr>
          <w:rFonts w:hint="eastAsia" w:ascii="宋体" w:hAnsi="宋体" w:cs="宋体"/>
          <w:kern w:val="0"/>
          <w:sz w:val="24"/>
        </w:rPr>
      </w:pPr>
      <w:r>
        <w:rPr>
          <w:rFonts w:hint="eastAsia" w:ascii="宋体" w:hAnsi="宋体" w:cs="宋体"/>
          <w:kern w:val="0"/>
          <w:sz w:val="24"/>
        </w:rPr>
        <w:t>中小企业声明函（货物）</w:t>
      </w:r>
    </w:p>
    <w:p w14:paraId="6810D5D4">
      <w:pPr>
        <w:autoSpaceDE w:val="0"/>
        <w:autoSpaceDN w:val="0"/>
        <w:adjustRightInd w:val="0"/>
        <w:spacing w:line="520" w:lineRule="exact"/>
        <w:ind w:firstLine="480" w:firstLineChars="200"/>
        <w:jc w:val="left"/>
        <w:rPr>
          <w:rFonts w:hint="eastAsia" w:ascii="宋体" w:hAnsi="宋体" w:cs="仿宋"/>
          <w:kern w:val="0"/>
          <w:sz w:val="24"/>
        </w:rPr>
      </w:pPr>
      <w:r>
        <w:rPr>
          <w:rFonts w:hint="eastAsia" w:ascii="宋体" w:hAnsi="宋体" w:cs="仿宋"/>
          <w:kern w:val="0"/>
          <w:sz w:val="24"/>
        </w:rPr>
        <w:t>本公司（联合体）郑重声明，根据《政府采购促进中小企业发展管理办法》（财库</w:t>
      </w:r>
      <w:r>
        <w:rPr>
          <w:rFonts w:hint="eastAsia" w:ascii="宋体" w:hAnsi="宋体" w:cs="宋体"/>
          <w:kern w:val="0"/>
          <w:sz w:val="24"/>
        </w:rPr>
        <w:t>﹝</w:t>
      </w:r>
      <w:r>
        <w:rPr>
          <w:rFonts w:ascii="宋体" w:hAnsi="宋体" w:cs="仿宋"/>
          <w:kern w:val="0"/>
          <w:sz w:val="24"/>
        </w:rPr>
        <w:t>2020</w:t>
      </w:r>
      <w:r>
        <w:rPr>
          <w:rFonts w:hint="eastAsia" w:ascii="宋体" w:hAnsi="宋体" w:cs="宋体"/>
          <w:kern w:val="0"/>
          <w:sz w:val="24"/>
        </w:rPr>
        <w:t>﹞</w:t>
      </w:r>
      <w:r>
        <w:rPr>
          <w:rFonts w:ascii="宋体" w:hAnsi="宋体" w:cs="仿宋"/>
          <w:kern w:val="0"/>
          <w:sz w:val="24"/>
        </w:rPr>
        <w:t xml:space="preserve">46 </w:t>
      </w:r>
      <w:r>
        <w:rPr>
          <w:rFonts w:hint="eastAsia" w:ascii="宋体" w:hAnsi="宋体" w:cs="仿宋"/>
          <w:kern w:val="0"/>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A1998AD">
      <w:pPr>
        <w:autoSpaceDE w:val="0"/>
        <w:autoSpaceDN w:val="0"/>
        <w:adjustRightInd w:val="0"/>
        <w:spacing w:line="520" w:lineRule="exact"/>
        <w:jc w:val="left"/>
        <w:rPr>
          <w:rFonts w:hint="eastAsia" w:ascii="宋体" w:hAnsi="宋体" w:cs="仿宋"/>
          <w:kern w:val="0"/>
          <w:sz w:val="24"/>
        </w:rPr>
      </w:pPr>
      <w:r>
        <w:rPr>
          <w:rFonts w:ascii="宋体" w:hAnsi="宋体" w:cs="仿宋"/>
          <w:kern w:val="0"/>
          <w:sz w:val="24"/>
        </w:rPr>
        <w:t xml:space="preserve">1. </w:t>
      </w:r>
      <w:r>
        <w:rPr>
          <w:rFonts w:hint="eastAsia" w:ascii="宋体" w:hAnsi="宋体" w:cs="仿宋"/>
          <w:kern w:val="0"/>
          <w:sz w:val="24"/>
          <w:u w:val="single"/>
        </w:rPr>
        <w:t>（标的名称）</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，从业人员人，营业收入为万元，资产总额为万元，属于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541B3C44">
      <w:pPr>
        <w:autoSpaceDE w:val="0"/>
        <w:autoSpaceDN w:val="0"/>
        <w:adjustRightInd w:val="0"/>
        <w:spacing w:line="520" w:lineRule="exact"/>
        <w:jc w:val="left"/>
        <w:rPr>
          <w:rFonts w:hint="eastAsia" w:ascii="宋体" w:hAnsi="宋体" w:cs="仿宋"/>
          <w:kern w:val="0"/>
          <w:sz w:val="24"/>
        </w:rPr>
      </w:pPr>
      <w:r>
        <w:rPr>
          <w:rFonts w:ascii="宋体" w:hAnsi="宋体" w:cs="仿宋"/>
          <w:kern w:val="0"/>
          <w:sz w:val="24"/>
        </w:rPr>
        <w:t xml:space="preserve">2. </w:t>
      </w:r>
      <w:r>
        <w:rPr>
          <w:rFonts w:hint="eastAsia" w:ascii="宋体" w:hAnsi="宋体" w:cs="仿宋"/>
          <w:kern w:val="0"/>
          <w:sz w:val="24"/>
          <w:u w:val="single"/>
        </w:rPr>
        <w:t>（标的名称）</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，从业人员人，营业收入为万元，资产总额为万元，属于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11FC5837">
      <w:pPr>
        <w:autoSpaceDE w:val="0"/>
        <w:autoSpaceDN w:val="0"/>
        <w:adjustRightInd w:val="0"/>
        <w:spacing w:line="520" w:lineRule="exact"/>
        <w:jc w:val="left"/>
        <w:rPr>
          <w:rFonts w:hint="eastAsia" w:ascii="宋体" w:hAnsi="宋体" w:cs="仿宋"/>
          <w:kern w:val="0"/>
          <w:sz w:val="24"/>
        </w:rPr>
      </w:pPr>
      <w:r>
        <w:rPr>
          <w:rFonts w:hint="eastAsia" w:ascii="宋体" w:hAnsi="宋体" w:cs="仿宋"/>
          <w:kern w:val="0"/>
          <w:sz w:val="24"/>
        </w:rPr>
        <w:t>……</w:t>
      </w:r>
    </w:p>
    <w:p w14:paraId="2B78FFB2">
      <w:pPr>
        <w:autoSpaceDE w:val="0"/>
        <w:autoSpaceDN w:val="0"/>
        <w:adjustRightInd w:val="0"/>
        <w:spacing w:line="520" w:lineRule="exact"/>
        <w:ind w:firstLine="480" w:firstLineChars="200"/>
        <w:jc w:val="left"/>
        <w:rPr>
          <w:rFonts w:hint="eastAsia" w:ascii="宋体" w:hAnsi="宋体" w:cs="仿宋"/>
          <w:kern w:val="0"/>
          <w:sz w:val="24"/>
        </w:rPr>
      </w:pPr>
      <w:r>
        <w:rPr>
          <w:rFonts w:hint="eastAsia" w:ascii="宋体" w:hAnsi="宋体" w:cs="仿宋"/>
          <w:kern w:val="0"/>
          <w:sz w:val="24"/>
        </w:rPr>
        <w:t>以上企业，不属于大企业的分支机构，不存在控股股东为大企业的情形，也不存在与大企业的负责人为同一人的情形。</w:t>
      </w:r>
    </w:p>
    <w:p w14:paraId="4EEB874D">
      <w:pPr>
        <w:autoSpaceDE w:val="0"/>
        <w:autoSpaceDN w:val="0"/>
        <w:adjustRightInd w:val="0"/>
        <w:spacing w:line="520" w:lineRule="exact"/>
        <w:ind w:firstLine="480" w:firstLineChars="200"/>
        <w:jc w:val="left"/>
        <w:rPr>
          <w:rFonts w:hint="eastAsia" w:ascii="宋体" w:hAnsi="宋体" w:cs="仿宋"/>
          <w:kern w:val="0"/>
          <w:sz w:val="24"/>
        </w:rPr>
      </w:pPr>
      <w:r>
        <w:rPr>
          <w:rFonts w:hint="eastAsia" w:ascii="宋体" w:hAnsi="宋体" w:cs="仿宋"/>
          <w:kern w:val="0"/>
          <w:sz w:val="24"/>
        </w:rPr>
        <w:t>本企业对上述声明内容的真实性负责。如有虚假，将依法承担相应责任。</w:t>
      </w:r>
    </w:p>
    <w:p w14:paraId="19E4B85E">
      <w:pPr>
        <w:autoSpaceDE w:val="0"/>
        <w:autoSpaceDN w:val="0"/>
        <w:adjustRightInd w:val="0"/>
        <w:spacing w:line="520" w:lineRule="exact"/>
        <w:ind w:firstLine="3480" w:firstLineChars="1450"/>
        <w:jc w:val="left"/>
        <w:rPr>
          <w:rFonts w:hint="eastAsia" w:ascii="宋体" w:hAnsi="宋体" w:cs="仿宋"/>
          <w:kern w:val="0"/>
          <w:sz w:val="24"/>
        </w:rPr>
      </w:pPr>
      <w:r>
        <w:rPr>
          <w:rFonts w:hint="eastAsia" w:ascii="宋体" w:hAnsi="宋体" w:cs="仿宋"/>
          <w:kern w:val="0"/>
          <w:sz w:val="24"/>
        </w:rPr>
        <w:t>企业名称（盖章）：</w:t>
      </w:r>
    </w:p>
    <w:p w14:paraId="7136919B">
      <w:pPr>
        <w:spacing w:line="500" w:lineRule="exact"/>
        <w:ind w:firstLine="5040" w:firstLineChars="2100"/>
        <w:jc w:val="left"/>
        <w:rPr>
          <w:rFonts w:hint="eastAsia" w:hAnsi="宋体"/>
          <w:sz w:val="24"/>
        </w:rPr>
      </w:pPr>
      <w:r>
        <w:rPr>
          <w:rFonts w:hint="eastAsia" w:hAnsi="宋体" w:cs="仿宋"/>
          <w:kern w:val="0"/>
          <w:sz w:val="24"/>
        </w:rPr>
        <w:t>日期：</w:t>
      </w:r>
    </w:p>
    <w:p w14:paraId="59B7162D">
      <w:pPr>
        <w:rPr>
          <w:rFonts w:hint="eastAsia" w:ascii="宋体" w:hAnsi="宋体"/>
          <w:b/>
          <w:sz w:val="24"/>
        </w:rPr>
      </w:pPr>
    </w:p>
    <w:p w14:paraId="50B03DAF">
      <w:pPr>
        <w:rPr>
          <w:rFonts w:hint="eastAsia" w:ascii="宋体" w:hAnsi="宋体"/>
          <w:b/>
          <w:sz w:val="24"/>
        </w:rPr>
      </w:pPr>
    </w:p>
    <w:p w14:paraId="6E22C42D">
      <w:pPr>
        <w:rPr>
          <w:rFonts w:hint="eastAsia" w:ascii="宋体" w:hAnsi="宋体"/>
          <w:b/>
          <w:sz w:val="24"/>
        </w:rPr>
      </w:pPr>
    </w:p>
    <w:p w14:paraId="2DE220D5">
      <w:pPr>
        <w:rPr>
          <w:rFonts w:hint="eastAsia" w:ascii="宋体" w:hAnsi="宋体"/>
          <w:b/>
          <w:sz w:val="24"/>
        </w:rPr>
      </w:pPr>
    </w:p>
    <w:p w14:paraId="515667FD">
      <w:pPr>
        <w:rPr>
          <w:rFonts w:hint="eastAsia" w:ascii="宋体" w:hAnsi="宋体"/>
          <w:b/>
          <w:sz w:val="24"/>
        </w:rPr>
      </w:pPr>
    </w:p>
    <w:p w14:paraId="55AAE02E">
      <w:pPr>
        <w:rPr>
          <w:rFonts w:hint="eastAsia" w:ascii="宋体" w:hAnsi="宋体"/>
          <w:b/>
          <w:sz w:val="24"/>
        </w:rPr>
      </w:pPr>
      <w:r>
        <w:rPr>
          <w:rFonts w:hint="eastAsia" w:ascii="宋体" w:hAnsi="宋体"/>
          <w:b/>
          <w:sz w:val="24"/>
        </w:rPr>
        <w:t>附件9投标人投标承诺书</w:t>
      </w:r>
    </w:p>
    <w:p w14:paraId="31F5C2A9">
      <w:pPr>
        <w:rPr>
          <w:rFonts w:hint="eastAsia" w:ascii="宋体" w:hAnsi="宋体"/>
          <w:sz w:val="24"/>
        </w:rPr>
      </w:pPr>
      <w:r>
        <w:rPr>
          <w:rFonts w:hint="eastAsia" w:ascii="宋体" w:hAnsi="宋体"/>
          <w:sz w:val="24"/>
        </w:rPr>
        <w:t>我公司在参加项目的投标活动中，郑重承诺如下：</w:t>
      </w:r>
    </w:p>
    <w:p w14:paraId="5BEA8B54">
      <w:pPr>
        <w:ind w:firstLine="480" w:firstLineChars="200"/>
        <w:rPr>
          <w:rFonts w:hint="eastAsia" w:ascii="宋体" w:hAnsi="宋体"/>
          <w:sz w:val="24"/>
        </w:rPr>
      </w:pPr>
      <w:r>
        <w:rPr>
          <w:rFonts w:hint="eastAsia" w:ascii="宋体" w:hAnsi="宋体"/>
          <w:sz w:val="24"/>
        </w:rPr>
        <w:t>1、我公司承诺，本次招标投标活动中提交的所有资料都是真实、准确、完整、合法的，如果未达到上述要求，我公司同意按照无效投标处理，如果违反相关法律、法规、规章的，我公司愿承担相应法律责任；我方承诺未为本</w:t>
      </w:r>
      <w:r>
        <w:rPr>
          <w:rFonts w:ascii="宋体" w:hAnsi="宋体"/>
          <w:sz w:val="24"/>
        </w:rPr>
        <w:t>采购项目提供整体设计、规范编制或者项目管理、监理、检测等服务</w:t>
      </w:r>
      <w:r>
        <w:rPr>
          <w:rFonts w:hint="eastAsia" w:ascii="宋体" w:hAnsi="宋体"/>
          <w:sz w:val="24"/>
        </w:rPr>
        <w:t>；</w:t>
      </w:r>
    </w:p>
    <w:p w14:paraId="39AEAF6C">
      <w:pPr>
        <w:ind w:firstLine="480" w:firstLineChars="200"/>
        <w:rPr>
          <w:rFonts w:hint="eastAsia" w:ascii="宋体" w:hAnsi="宋体"/>
          <w:sz w:val="24"/>
        </w:rPr>
      </w:pPr>
      <w:r>
        <w:rPr>
          <w:rFonts w:hint="eastAsia" w:ascii="宋体" w:hAnsi="宋体"/>
          <w:sz w:val="24"/>
        </w:rPr>
        <w:t>2、我公司承诺符合《中华人民共和国政府采购法》第二十二条规定；</w:t>
      </w:r>
    </w:p>
    <w:p w14:paraId="0ED543F3">
      <w:pPr>
        <w:ind w:firstLine="480" w:firstLineChars="200"/>
        <w:rPr>
          <w:rFonts w:hint="eastAsia" w:ascii="宋体" w:hAnsi="宋体"/>
          <w:sz w:val="24"/>
        </w:rPr>
      </w:pPr>
      <w:r>
        <w:rPr>
          <w:rFonts w:hint="eastAsia" w:ascii="宋体" w:hAnsi="宋体"/>
          <w:sz w:val="24"/>
        </w:rPr>
        <w:t>3、我方未被地市级及其以上行政主管部门做出取消投标资格的处罚且该处罚在有效期内的；</w:t>
      </w:r>
    </w:p>
    <w:p w14:paraId="0B82C76B">
      <w:pPr>
        <w:ind w:firstLine="480" w:firstLineChars="200"/>
        <w:rPr>
          <w:rFonts w:hint="eastAsia" w:ascii="宋体" w:hAnsi="宋体"/>
          <w:sz w:val="24"/>
        </w:rPr>
      </w:pPr>
      <w:r>
        <w:rPr>
          <w:rFonts w:hint="eastAsia" w:ascii="宋体" w:hAnsi="宋体"/>
          <w:sz w:val="24"/>
        </w:rPr>
        <w:t>4、我方一旦中标，将严格按照投标文件中所承诺的报价、质量、工期、措施、项目负责人等内容组织实施；</w:t>
      </w:r>
    </w:p>
    <w:p w14:paraId="2DC37D58">
      <w:pPr>
        <w:ind w:firstLine="480" w:firstLineChars="200"/>
        <w:rPr>
          <w:rFonts w:hint="eastAsia" w:ascii="宋体" w:hAnsi="宋体"/>
          <w:sz w:val="24"/>
        </w:rPr>
      </w:pPr>
      <w:r>
        <w:rPr>
          <w:rFonts w:hint="eastAsia" w:ascii="宋体" w:hAnsi="宋体"/>
          <w:sz w:val="24"/>
        </w:rPr>
        <w:t>5、我方一旦中标，将按规定及时与采购人签订合同；</w:t>
      </w:r>
    </w:p>
    <w:p w14:paraId="6F4FCA05">
      <w:pPr>
        <w:ind w:firstLine="480" w:firstLineChars="200"/>
        <w:rPr>
          <w:rFonts w:hint="eastAsia" w:ascii="宋体" w:hAnsi="宋体"/>
          <w:sz w:val="24"/>
        </w:rPr>
      </w:pPr>
      <w:r>
        <w:rPr>
          <w:rFonts w:hint="eastAsia" w:ascii="宋体" w:hAnsi="宋体"/>
          <w:sz w:val="24"/>
        </w:rPr>
        <w:t>6、</w:t>
      </w:r>
      <w:r>
        <w:rPr>
          <w:rFonts w:hint="eastAsia" w:ascii="宋体" w:hAnsi="宋体"/>
          <w:sz w:val="24"/>
          <w:szCs w:val="20"/>
        </w:rPr>
        <w:t>我公司如果中标本项目，对本项目提供的所有货物保证货源全新正品，保质保量，按时供货，否则按合同赔偿违约金，并自愿接受监管部门的相关处罚；</w:t>
      </w:r>
    </w:p>
    <w:p w14:paraId="2792DF35">
      <w:pPr>
        <w:ind w:firstLine="480" w:firstLineChars="200"/>
        <w:rPr>
          <w:rFonts w:hint="eastAsia" w:ascii="宋体" w:hAnsi="宋体"/>
          <w:sz w:val="24"/>
        </w:rPr>
      </w:pPr>
      <w:r>
        <w:rPr>
          <w:rFonts w:hint="eastAsia" w:ascii="宋体" w:hAnsi="宋体"/>
          <w:sz w:val="24"/>
        </w:rPr>
        <w:t>7、如我方中标，保证具备履行合同所必需的设备和专业技术能力；</w:t>
      </w:r>
    </w:p>
    <w:p w14:paraId="5D7E16FC">
      <w:pPr>
        <w:ind w:firstLine="480" w:firstLineChars="200"/>
        <w:rPr>
          <w:rFonts w:hint="eastAsia" w:ascii="宋体" w:hAnsi="宋体"/>
          <w:sz w:val="24"/>
        </w:rPr>
      </w:pPr>
      <w:r>
        <w:rPr>
          <w:rFonts w:hint="eastAsia" w:ascii="宋体" w:hAnsi="宋体"/>
          <w:sz w:val="24"/>
        </w:rPr>
        <w:t>8、我方在本次投标活动中绝无资质挂靠、串标、围标情形，若出现下列情形，立即取消我方投标资格并承担相应的法律责任；</w:t>
      </w:r>
    </w:p>
    <w:p w14:paraId="04C58C11">
      <w:pPr>
        <w:ind w:firstLine="480" w:firstLineChars="200"/>
        <w:rPr>
          <w:rFonts w:hint="eastAsia" w:ascii="宋体" w:hAnsi="宋体"/>
          <w:sz w:val="24"/>
        </w:rPr>
      </w:pPr>
      <w:r>
        <w:rPr>
          <w:rFonts w:hint="eastAsia" w:ascii="宋体" w:hAnsi="宋体"/>
          <w:sz w:val="24"/>
        </w:rPr>
        <w:t>（1）不同投标人的投标文件由同一单位或者个人编制；</w:t>
      </w:r>
    </w:p>
    <w:p w14:paraId="0739AE5D">
      <w:pPr>
        <w:ind w:firstLine="480" w:firstLineChars="200"/>
        <w:rPr>
          <w:rFonts w:hint="eastAsia" w:ascii="宋体" w:hAnsi="宋体"/>
          <w:sz w:val="24"/>
        </w:rPr>
      </w:pPr>
      <w:r>
        <w:rPr>
          <w:rFonts w:hint="eastAsia" w:ascii="宋体" w:hAnsi="宋体"/>
          <w:sz w:val="24"/>
        </w:rPr>
        <w:t>（2）不同投标人委托同一单位或者个人办理投标事宜；</w:t>
      </w:r>
    </w:p>
    <w:p w14:paraId="0E80D14E">
      <w:pPr>
        <w:ind w:firstLine="480" w:firstLineChars="200"/>
        <w:rPr>
          <w:rFonts w:hint="eastAsia" w:ascii="宋体" w:hAnsi="宋体"/>
          <w:sz w:val="24"/>
        </w:rPr>
      </w:pPr>
      <w:r>
        <w:rPr>
          <w:rFonts w:hint="eastAsia" w:ascii="宋体" w:hAnsi="宋体"/>
          <w:sz w:val="24"/>
        </w:rPr>
        <w:t>（3）不同投标人的投标文件载明的项目管理成员或者联系人员为同一人；</w:t>
      </w:r>
    </w:p>
    <w:p w14:paraId="54323DCF">
      <w:pPr>
        <w:ind w:firstLine="480" w:firstLineChars="200"/>
        <w:rPr>
          <w:rFonts w:hint="eastAsia" w:ascii="宋体" w:hAnsi="宋体"/>
          <w:sz w:val="24"/>
        </w:rPr>
      </w:pPr>
      <w:r>
        <w:rPr>
          <w:rFonts w:hint="eastAsia" w:ascii="宋体" w:hAnsi="宋体"/>
          <w:sz w:val="24"/>
        </w:rPr>
        <w:t>（4）不同投标人的投标文件异常一致或者投标报价呈规律性差异；</w:t>
      </w:r>
    </w:p>
    <w:p w14:paraId="7BF8858B">
      <w:pPr>
        <w:ind w:firstLine="480" w:firstLineChars="200"/>
        <w:rPr>
          <w:rFonts w:hint="eastAsia" w:ascii="宋体" w:hAnsi="宋体"/>
          <w:sz w:val="24"/>
        </w:rPr>
      </w:pPr>
      <w:r>
        <w:rPr>
          <w:rFonts w:hint="eastAsia" w:ascii="宋体" w:hAnsi="宋体"/>
          <w:sz w:val="24"/>
        </w:rPr>
        <w:t>（5）不同投标人的投标文件相互混装；</w:t>
      </w:r>
    </w:p>
    <w:p w14:paraId="544D833F">
      <w:pPr>
        <w:ind w:firstLine="480" w:firstLineChars="200"/>
        <w:rPr>
          <w:rFonts w:hint="eastAsia" w:ascii="宋体" w:hAnsi="宋体"/>
          <w:sz w:val="24"/>
        </w:rPr>
      </w:pPr>
      <w:r>
        <w:rPr>
          <w:rFonts w:hint="eastAsia" w:ascii="宋体" w:hAnsi="宋体"/>
          <w:sz w:val="24"/>
        </w:rPr>
        <w:t>（6）不同投标人的投标保证金从同一单位或者个人的账户转出。</w:t>
      </w:r>
    </w:p>
    <w:p w14:paraId="5E61583C">
      <w:pPr>
        <w:ind w:firstLine="480" w:firstLineChars="200"/>
        <w:rPr>
          <w:rFonts w:hint="eastAsia" w:ascii="宋体" w:hAnsi="宋体"/>
          <w:sz w:val="24"/>
        </w:rPr>
      </w:pPr>
      <w:r>
        <w:rPr>
          <w:rFonts w:hint="eastAsia" w:ascii="宋体" w:hAnsi="宋体"/>
          <w:sz w:val="24"/>
        </w:rPr>
        <w:t>（7）单位负责人为同一人或者存在直接控股、管理关系的不同供应商，同时参加本项目采购活动；</w:t>
      </w:r>
    </w:p>
    <w:p w14:paraId="0D7E2B3C">
      <w:pPr>
        <w:ind w:firstLine="480" w:firstLineChars="200"/>
        <w:rPr>
          <w:rFonts w:hint="eastAsia" w:ascii="宋体" w:hAnsi="宋体"/>
          <w:sz w:val="24"/>
        </w:rPr>
      </w:pPr>
      <w:r>
        <w:rPr>
          <w:rFonts w:hint="eastAsia" w:ascii="宋体" w:hAnsi="宋体"/>
          <w:sz w:val="24"/>
        </w:rPr>
        <w:t>根据国家企业信用信息公示系统（</w:t>
      </w:r>
      <w:r>
        <w:fldChar w:fldCharType="begin"/>
      </w:r>
      <w:r>
        <w:instrText xml:space="preserve"> HYPERLINK "http://www.gsxt.gov.cn/" </w:instrText>
      </w:r>
      <w:r>
        <w:fldChar w:fldCharType="separate"/>
      </w:r>
      <w:r>
        <w:rPr>
          <w:rFonts w:ascii="宋体" w:hAnsi="宋体"/>
          <w:sz w:val="24"/>
        </w:rPr>
        <w:t>http://www.gsxt.gov.cn/</w:t>
      </w:r>
      <w:r>
        <w:rPr>
          <w:rFonts w:ascii="宋体" w:hAnsi="宋体"/>
          <w:sz w:val="24"/>
        </w:rPr>
        <w:fldChar w:fldCharType="end"/>
      </w:r>
      <w:r>
        <w:rPr>
          <w:rFonts w:hint="eastAsia" w:ascii="宋体" w:hAnsi="宋体"/>
          <w:sz w:val="24"/>
        </w:rPr>
        <w:t>）登记信息提供以下内容：</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74BA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374E2149">
            <w:pPr>
              <w:spacing w:line="400" w:lineRule="exact"/>
              <w:jc w:val="center"/>
              <w:rPr>
                <w:rFonts w:hint="eastAsia" w:ascii="宋体" w:hAnsi="宋体"/>
                <w:szCs w:val="21"/>
              </w:rPr>
            </w:pPr>
            <w:r>
              <w:rPr>
                <w:rFonts w:hint="eastAsia" w:ascii="宋体" w:hAnsi="宋体"/>
                <w:szCs w:val="21"/>
              </w:rPr>
              <w:t>序号</w:t>
            </w:r>
          </w:p>
        </w:tc>
        <w:tc>
          <w:tcPr>
            <w:tcW w:w="2319" w:type="dxa"/>
            <w:vAlign w:val="center"/>
          </w:tcPr>
          <w:p w14:paraId="671A1055">
            <w:pPr>
              <w:jc w:val="center"/>
              <w:rPr>
                <w:rFonts w:hint="eastAsia" w:ascii="宋体" w:hAnsi="宋体"/>
                <w:szCs w:val="21"/>
              </w:rPr>
            </w:pPr>
            <w:r>
              <w:rPr>
                <w:rFonts w:hint="eastAsia" w:ascii="宋体" w:hAnsi="宋体"/>
                <w:szCs w:val="21"/>
              </w:rPr>
              <w:t>股东名称</w:t>
            </w:r>
          </w:p>
        </w:tc>
        <w:tc>
          <w:tcPr>
            <w:tcW w:w="2410" w:type="dxa"/>
            <w:vAlign w:val="center"/>
          </w:tcPr>
          <w:p w14:paraId="45DE1F25">
            <w:pPr>
              <w:jc w:val="center"/>
              <w:rPr>
                <w:rFonts w:hint="eastAsia" w:ascii="宋体" w:hAnsi="宋体"/>
                <w:szCs w:val="21"/>
              </w:rPr>
            </w:pPr>
            <w:r>
              <w:rPr>
                <w:rFonts w:hint="eastAsia" w:ascii="宋体" w:hAnsi="宋体"/>
                <w:szCs w:val="21"/>
              </w:rPr>
              <w:t>股东类型</w:t>
            </w:r>
          </w:p>
        </w:tc>
        <w:tc>
          <w:tcPr>
            <w:tcW w:w="1559" w:type="dxa"/>
          </w:tcPr>
          <w:p w14:paraId="1B4D432F">
            <w:pPr>
              <w:spacing w:line="400" w:lineRule="exact"/>
              <w:jc w:val="center"/>
              <w:rPr>
                <w:rFonts w:hint="eastAsia" w:ascii="宋体" w:hAnsi="宋体"/>
                <w:szCs w:val="21"/>
              </w:rPr>
            </w:pPr>
            <w:r>
              <w:rPr>
                <w:rFonts w:hint="eastAsia" w:ascii="宋体" w:hAnsi="宋体"/>
                <w:szCs w:val="21"/>
              </w:rPr>
              <w:t>占股比例</w:t>
            </w:r>
          </w:p>
        </w:tc>
        <w:tc>
          <w:tcPr>
            <w:tcW w:w="1468" w:type="dxa"/>
            <w:vAlign w:val="center"/>
          </w:tcPr>
          <w:p w14:paraId="0A6D6914">
            <w:pPr>
              <w:spacing w:line="400" w:lineRule="exact"/>
              <w:jc w:val="center"/>
              <w:rPr>
                <w:rFonts w:hint="eastAsia" w:ascii="宋体" w:hAnsi="宋体"/>
                <w:szCs w:val="21"/>
              </w:rPr>
            </w:pPr>
            <w:r>
              <w:rPr>
                <w:rFonts w:hint="eastAsia" w:ascii="宋体" w:hAnsi="宋体"/>
                <w:szCs w:val="21"/>
              </w:rPr>
              <w:t>备注</w:t>
            </w:r>
          </w:p>
        </w:tc>
      </w:tr>
      <w:tr w14:paraId="0D6D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11204A8A">
            <w:pPr>
              <w:jc w:val="center"/>
              <w:rPr>
                <w:rFonts w:hint="eastAsia" w:ascii="宋体" w:hAnsi="宋体"/>
                <w:szCs w:val="21"/>
              </w:rPr>
            </w:pPr>
            <w:r>
              <w:rPr>
                <w:rFonts w:hint="eastAsia" w:ascii="宋体" w:hAnsi="宋体"/>
                <w:szCs w:val="21"/>
              </w:rPr>
              <w:t>1</w:t>
            </w:r>
          </w:p>
        </w:tc>
        <w:tc>
          <w:tcPr>
            <w:tcW w:w="2319" w:type="dxa"/>
            <w:vAlign w:val="center"/>
          </w:tcPr>
          <w:p w14:paraId="3D84F3A0">
            <w:pPr>
              <w:jc w:val="center"/>
              <w:rPr>
                <w:rFonts w:hint="eastAsia" w:ascii="宋体" w:hAnsi="宋体"/>
                <w:szCs w:val="21"/>
              </w:rPr>
            </w:pPr>
          </w:p>
        </w:tc>
        <w:tc>
          <w:tcPr>
            <w:tcW w:w="2410" w:type="dxa"/>
            <w:vAlign w:val="center"/>
          </w:tcPr>
          <w:p w14:paraId="699C97FE">
            <w:pPr>
              <w:jc w:val="center"/>
              <w:rPr>
                <w:rFonts w:hint="eastAsia" w:ascii="宋体" w:hAnsi="宋体"/>
                <w:szCs w:val="21"/>
              </w:rPr>
            </w:pPr>
          </w:p>
        </w:tc>
        <w:tc>
          <w:tcPr>
            <w:tcW w:w="1559" w:type="dxa"/>
          </w:tcPr>
          <w:p w14:paraId="4C406A50">
            <w:pPr>
              <w:jc w:val="center"/>
              <w:rPr>
                <w:rFonts w:hint="eastAsia" w:ascii="宋体" w:hAnsi="宋体"/>
                <w:szCs w:val="21"/>
              </w:rPr>
            </w:pPr>
          </w:p>
        </w:tc>
        <w:tc>
          <w:tcPr>
            <w:tcW w:w="1468" w:type="dxa"/>
            <w:vAlign w:val="center"/>
          </w:tcPr>
          <w:p w14:paraId="3B77CB17">
            <w:pPr>
              <w:jc w:val="center"/>
              <w:rPr>
                <w:rFonts w:hint="eastAsia" w:ascii="宋体" w:hAnsi="宋体"/>
                <w:szCs w:val="21"/>
              </w:rPr>
            </w:pPr>
          </w:p>
        </w:tc>
      </w:tr>
      <w:tr w14:paraId="634D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33751470">
            <w:pPr>
              <w:jc w:val="center"/>
              <w:rPr>
                <w:rFonts w:hint="eastAsia" w:ascii="宋体" w:hAnsi="宋体"/>
                <w:szCs w:val="21"/>
              </w:rPr>
            </w:pPr>
            <w:r>
              <w:rPr>
                <w:rFonts w:hint="eastAsia" w:ascii="宋体" w:hAnsi="宋体"/>
                <w:szCs w:val="21"/>
              </w:rPr>
              <w:t>2</w:t>
            </w:r>
          </w:p>
        </w:tc>
        <w:tc>
          <w:tcPr>
            <w:tcW w:w="2319" w:type="dxa"/>
            <w:vAlign w:val="center"/>
          </w:tcPr>
          <w:p w14:paraId="6B1DB9AD">
            <w:pPr>
              <w:jc w:val="center"/>
              <w:rPr>
                <w:rFonts w:hint="eastAsia" w:ascii="宋体" w:hAnsi="宋体"/>
                <w:szCs w:val="21"/>
              </w:rPr>
            </w:pPr>
          </w:p>
        </w:tc>
        <w:tc>
          <w:tcPr>
            <w:tcW w:w="2410" w:type="dxa"/>
            <w:vAlign w:val="center"/>
          </w:tcPr>
          <w:p w14:paraId="0FB26184">
            <w:pPr>
              <w:jc w:val="center"/>
              <w:rPr>
                <w:rFonts w:hint="eastAsia" w:ascii="宋体" w:hAnsi="宋体"/>
                <w:szCs w:val="21"/>
              </w:rPr>
            </w:pPr>
          </w:p>
        </w:tc>
        <w:tc>
          <w:tcPr>
            <w:tcW w:w="1559" w:type="dxa"/>
          </w:tcPr>
          <w:p w14:paraId="4EB6BFD8">
            <w:pPr>
              <w:jc w:val="center"/>
              <w:rPr>
                <w:rFonts w:hint="eastAsia" w:ascii="宋体" w:hAnsi="宋体"/>
                <w:szCs w:val="21"/>
              </w:rPr>
            </w:pPr>
          </w:p>
        </w:tc>
        <w:tc>
          <w:tcPr>
            <w:tcW w:w="1468" w:type="dxa"/>
            <w:vAlign w:val="center"/>
          </w:tcPr>
          <w:p w14:paraId="7191805C">
            <w:pPr>
              <w:jc w:val="center"/>
              <w:rPr>
                <w:rFonts w:hint="eastAsia" w:ascii="宋体" w:hAnsi="宋体"/>
                <w:szCs w:val="21"/>
              </w:rPr>
            </w:pPr>
          </w:p>
        </w:tc>
      </w:tr>
      <w:tr w14:paraId="3C53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62102D91">
            <w:pPr>
              <w:jc w:val="center"/>
              <w:rPr>
                <w:rFonts w:hint="eastAsia" w:ascii="宋体" w:hAnsi="宋体"/>
                <w:szCs w:val="21"/>
              </w:rPr>
            </w:pPr>
            <w:r>
              <w:rPr>
                <w:rFonts w:hint="eastAsia" w:ascii="宋体" w:hAnsi="宋体"/>
                <w:szCs w:val="21"/>
              </w:rPr>
              <w:t>……</w:t>
            </w:r>
          </w:p>
        </w:tc>
        <w:tc>
          <w:tcPr>
            <w:tcW w:w="2319" w:type="dxa"/>
            <w:vAlign w:val="center"/>
          </w:tcPr>
          <w:p w14:paraId="7FF1CB5C">
            <w:pPr>
              <w:jc w:val="center"/>
              <w:rPr>
                <w:rFonts w:hint="eastAsia" w:ascii="宋体" w:hAnsi="宋体"/>
                <w:szCs w:val="21"/>
              </w:rPr>
            </w:pPr>
          </w:p>
        </w:tc>
        <w:tc>
          <w:tcPr>
            <w:tcW w:w="2410" w:type="dxa"/>
            <w:vAlign w:val="center"/>
          </w:tcPr>
          <w:p w14:paraId="065D822B">
            <w:pPr>
              <w:jc w:val="center"/>
              <w:rPr>
                <w:rFonts w:hint="eastAsia" w:ascii="宋体" w:hAnsi="宋体"/>
                <w:szCs w:val="21"/>
              </w:rPr>
            </w:pPr>
          </w:p>
        </w:tc>
        <w:tc>
          <w:tcPr>
            <w:tcW w:w="1559" w:type="dxa"/>
          </w:tcPr>
          <w:p w14:paraId="410D50C3">
            <w:pPr>
              <w:jc w:val="center"/>
              <w:rPr>
                <w:rFonts w:hint="eastAsia" w:ascii="宋体" w:hAnsi="宋体"/>
                <w:szCs w:val="21"/>
              </w:rPr>
            </w:pPr>
          </w:p>
        </w:tc>
        <w:tc>
          <w:tcPr>
            <w:tcW w:w="1468" w:type="dxa"/>
            <w:vAlign w:val="center"/>
          </w:tcPr>
          <w:p w14:paraId="7E6721C7">
            <w:pPr>
              <w:jc w:val="center"/>
              <w:rPr>
                <w:rFonts w:hint="eastAsia" w:ascii="宋体" w:hAnsi="宋体"/>
                <w:szCs w:val="21"/>
              </w:rPr>
            </w:pPr>
          </w:p>
        </w:tc>
      </w:tr>
    </w:tbl>
    <w:p w14:paraId="046C0F28">
      <w:pPr>
        <w:rPr>
          <w:rFonts w:hint="eastAsia" w:ascii="宋体" w:hAnsi="宋体"/>
          <w:sz w:val="24"/>
        </w:rPr>
      </w:pPr>
    </w:p>
    <w:tbl>
      <w:tblPr>
        <w:tblStyle w:val="32"/>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773"/>
      </w:tblGrid>
      <w:tr w14:paraId="2783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6792D433">
            <w:pPr>
              <w:jc w:val="center"/>
              <w:rPr>
                <w:rFonts w:hint="eastAsia" w:ascii="宋体" w:hAnsi="宋体"/>
                <w:szCs w:val="21"/>
              </w:rPr>
            </w:pPr>
            <w:r>
              <w:rPr>
                <w:rFonts w:hint="eastAsia" w:ascii="宋体" w:hAnsi="宋体"/>
                <w:szCs w:val="21"/>
              </w:rPr>
              <w:t>序号</w:t>
            </w:r>
          </w:p>
        </w:tc>
        <w:tc>
          <w:tcPr>
            <w:tcW w:w="2340" w:type="dxa"/>
            <w:vAlign w:val="center"/>
          </w:tcPr>
          <w:p w14:paraId="31A153EC">
            <w:pPr>
              <w:jc w:val="center"/>
              <w:rPr>
                <w:rFonts w:hint="eastAsia" w:ascii="宋体" w:hAnsi="宋体"/>
                <w:szCs w:val="21"/>
              </w:rPr>
            </w:pPr>
            <w:r>
              <w:rPr>
                <w:rFonts w:hint="eastAsia" w:ascii="宋体" w:hAnsi="宋体"/>
                <w:szCs w:val="21"/>
              </w:rPr>
              <w:t>主要人员姓名</w:t>
            </w:r>
          </w:p>
        </w:tc>
        <w:tc>
          <w:tcPr>
            <w:tcW w:w="1440" w:type="dxa"/>
            <w:vAlign w:val="center"/>
          </w:tcPr>
          <w:p w14:paraId="6C6CDA05">
            <w:pPr>
              <w:jc w:val="center"/>
              <w:rPr>
                <w:rFonts w:hint="eastAsia" w:ascii="宋体" w:hAnsi="宋体"/>
                <w:szCs w:val="21"/>
              </w:rPr>
            </w:pPr>
            <w:r>
              <w:rPr>
                <w:rFonts w:hint="eastAsia" w:ascii="宋体" w:hAnsi="宋体"/>
                <w:szCs w:val="21"/>
              </w:rPr>
              <w:t>职务</w:t>
            </w:r>
          </w:p>
        </w:tc>
        <w:tc>
          <w:tcPr>
            <w:tcW w:w="3773" w:type="dxa"/>
            <w:vAlign w:val="center"/>
          </w:tcPr>
          <w:p w14:paraId="49BDB98A">
            <w:pPr>
              <w:jc w:val="center"/>
              <w:rPr>
                <w:rFonts w:hint="eastAsia" w:ascii="宋体" w:hAnsi="宋体"/>
                <w:szCs w:val="21"/>
              </w:rPr>
            </w:pPr>
            <w:r>
              <w:rPr>
                <w:rFonts w:hint="eastAsia" w:ascii="宋体" w:hAnsi="宋体"/>
                <w:szCs w:val="21"/>
              </w:rPr>
              <w:t>身份证号</w:t>
            </w:r>
          </w:p>
        </w:tc>
      </w:tr>
      <w:tr w14:paraId="7B2C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44AE1011">
            <w:pPr>
              <w:jc w:val="center"/>
              <w:rPr>
                <w:rFonts w:hint="eastAsia" w:ascii="宋体" w:hAnsi="宋体"/>
                <w:szCs w:val="21"/>
              </w:rPr>
            </w:pPr>
            <w:r>
              <w:rPr>
                <w:rFonts w:hint="eastAsia" w:ascii="宋体" w:hAnsi="宋体"/>
                <w:szCs w:val="21"/>
              </w:rPr>
              <w:t>1</w:t>
            </w:r>
          </w:p>
        </w:tc>
        <w:tc>
          <w:tcPr>
            <w:tcW w:w="2340" w:type="dxa"/>
            <w:vAlign w:val="center"/>
          </w:tcPr>
          <w:p w14:paraId="61E297FE">
            <w:pPr>
              <w:jc w:val="center"/>
              <w:rPr>
                <w:rFonts w:hint="eastAsia" w:ascii="宋体" w:hAnsi="宋体"/>
                <w:szCs w:val="21"/>
              </w:rPr>
            </w:pPr>
          </w:p>
        </w:tc>
        <w:tc>
          <w:tcPr>
            <w:tcW w:w="1440" w:type="dxa"/>
            <w:vAlign w:val="center"/>
          </w:tcPr>
          <w:p w14:paraId="16D51DCC">
            <w:pPr>
              <w:jc w:val="center"/>
              <w:rPr>
                <w:rFonts w:hint="eastAsia" w:ascii="宋体" w:hAnsi="宋体"/>
                <w:szCs w:val="21"/>
              </w:rPr>
            </w:pPr>
          </w:p>
        </w:tc>
        <w:tc>
          <w:tcPr>
            <w:tcW w:w="3773" w:type="dxa"/>
            <w:vAlign w:val="center"/>
          </w:tcPr>
          <w:p w14:paraId="3282A124">
            <w:pPr>
              <w:jc w:val="center"/>
              <w:rPr>
                <w:rFonts w:hint="eastAsia" w:ascii="宋体" w:hAnsi="宋体"/>
                <w:szCs w:val="21"/>
              </w:rPr>
            </w:pPr>
          </w:p>
        </w:tc>
      </w:tr>
      <w:tr w14:paraId="287C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7B2B50AB">
            <w:pPr>
              <w:jc w:val="center"/>
              <w:rPr>
                <w:rFonts w:hint="eastAsia" w:ascii="宋体" w:hAnsi="宋体"/>
                <w:szCs w:val="21"/>
              </w:rPr>
            </w:pPr>
            <w:r>
              <w:rPr>
                <w:rFonts w:hint="eastAsia" w:ascii="宋体" w:hAnsi="宋体"/>
                <w:szCs w:val="21"/>
              </w:rPr>
              <w:t>2</w:t>
            </w:r>
          </w:p>
        </w:tc>
        <w:tc>
          <w:tcPr>
            <w:tcW w:w="2340" w:type="dxa"/>
            <w:vAlign w:val="center"/>
          </w:tcPr>
          <w:p w14:paraId="1C371D9F">
            <w:pPr>
              <w:jc w:val="center"/>
              <w:rPr>
                <w:rFonts w:hint="eastAsia" w:ascii="宋体" w:hAnsi="宋体"/>
                <w:szCs w:val="21"/>
              </w:rPr>
            </w:pPr>
          </w:p>
        </w:tc>
        <w:tc>
          <w:tcPr>
            <w:tcW w:w="1440" w:type="dxa"/>
            <w:vAlign w:val="center"/>
          </w:tcPr>
          <w:p w14:paraId="4AB1BFC7">
            <w:pPr>
              <w:jc w:val="center"/>
              <w:rPr>
                <w:rFonts w:hint="eastAsia" w:ascii="宋体" w:hAnsi="宋体"/>
                <w:szCs w:val="21"/>
              </w:rPr>
            </w:pPr>
          </w:p>
        </w:tc>
        <w:tc>
          <w:tcPr>
            <w:tcW w:w="3773" w:type="dxa"/>
            <w:vAlign w:val="center"/>
          </w:tcPr>
          <w:p w14:paraId="5E11698C">
            <w:pPr>
              <w:jc w:val="center"/>
              <w:rPr>
                <w:rFonts w:hint="eastAsia" w:ascii="宋体" w:hAnsi="宋体"/>
                <w:szCs w:val="21"/>
              </w:rPr>
            </w:pPr>
          </w:p>
        </w:tc>
      </w:tr>
      <w:tr w14:paraId="32D9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4659D363">
            <w:pPr>
              <w:jc w:val="center"/>
              <w:rPr>
                <w:rFonts w:hint="eastAsia" w:ascii="宋体" w:hAnsi="宋体"/>
                <w:szCs w:val="21"/>
              </w:rPr>
            </w:pPr>
            <w:r>
              <w:rPr>
                <w:rFonts w:hint="eastAsia" w:ascii="宋体" w:hAnsi="宋体"/>
                <w:szCs w:val="21"/>
              </w:rPr>
              <w:t>……</w:t>
            </w:r>
          </w:p>
        </w:tc>
        <w:tc>
          <w:tcPr>
            <w:tcW w:w="2340" w:type="dxa"/>
            <w:vAlign w:val="center"/>
          </w:tcPr>
          <w:p w14:paraId="3226A970">
            <w:pPr>
              <w:jc w:val="center"/>
              <w:rPr>
                <w:rFonts w:hint="eastAsia" w:ascii="宋体" w:hAnsi="宋体"/>
                <w:szCs w:val="21"/>
              </w:rPr>
            </w:pPr>
          </w:p>
        </w:tc>
        <w:tc>
          <w:tcPr>
            <w:tcW w:w="1440" w:type="dxa"/>
            <w:vAlign w:val="center"/>
          </w:tcPr>
          <w:p w14:paraId="24AFCD17">
            <w:pPr>
              <w:jc w:val="center"/>
              <w:rPr>
                <w:rFonts w:hint="eastAsia" w:ascii="宋体" w:hAnsi="宋体"/>
                <w:szCs w:val="21"/>
              </w:rPr>
            </w:pPr>
          </w:p>
        </w:tc>
        <w:tc>
          <w:tcPr>
            <w:tcW w:w="3773" w:type="dxa"/>
            <w:vAlign w:val="center"/>
          </w:tcPr>
          <w:p w14:paraId="425E3AA9">
            <w:pPr>
              <w:jc w:val="center"/>
              <w:rPr>
                <w:rFonts w:hint="eastAsia" w:ascii="宋体" w:hAnsi="宋体"/>
                <w:szCs w:val="21"/>
              </w:rPr>
            </w:pPr>
          </w:p>
        </w:tc>
      </w:tr>
    </w:tbl>
    <w:p w14:paraId="1D572A52">
      <w:pPr>
        <w:rPr>
          <w:rFonts w:hint="eastAsia" w:ascii="宋体" w:hAnsi="宋体"/>
          <w:sz w:val="24"/>
        </w:rPr>
      </w:pPr>
    </w:p>
    <w:p w14:paraId="799BC1BF">
      <w:pPr>
        <w:ind w:left="2698" w:leftChars="1285"/>
        <w:rPr>
          <w:rFonts w:hint="eastAsia" w:ascii="宋体" w:hAnsi="宋体"/>
          <w:sz w:val="24"/>
        </w:rPr>
      </w:pPr>
      <w:r>
        <w:rPr>
          <w:rFonts w:hint="eastAsia" w:ascii="宋体" w:hAnsi="宋体"/>
          <w:sz w:val="24"/>
        </w:rPr>
        <w:t>投标人名称：（盖公章）</w:t>
      </w:r>
    </w:p>
    <w:p w14:paraId="5755E561">
      <w:pPr>
        <w:ind w:left="2698" w:leftChars="1285"/>
        <w:rPr>
          <w:rFonts w:hint="eastAsia" w:ascii="宋体" w:hAnsi="宋体"/>
          <w:sz w:val="24"/>
        </w:rPr>
      </w:pPr>
      <w:r>
        <w:rPr>
          <w:rFonts w:hint="eastAsia" w:ascii="宋体" w:hAnsi="宋体"/>
          <w:sz w:val="24"/>
        </w:rPr>
        <w:t>法定代表人（或授权代理人）：（签字或盖章）</w:t>
      </w:r>
    </w:p>
    <w:p w14:paraId="057315FD">
      <w:pPr>
        <w:adjustRightInd w:val="0"/>
        <w:snapToGrid w:val="0"/>
        <w:rPr>
          <w:rFonts w:hint="eastAsia" w:ascii="宋体" w:hAnsi="宋体"/>
          <w:b/>
          <w:bCs/>
          <w:sz w:val="24"/>
          <w:szCs w:val="20"/>
        </w:rPr>
      </w:pPr>
      <w:r>
        <w:rPr>
          <w:rFonts w:hint="eastAsia" w:ascii="宋体" w:hAnsi="宋体"/>
          <w:sz w:val="24"/>
        </w:rPr>
        <w:t>日期：年月日</w:t>
      </w:r>
    </w:p>
    <w:p w14:paraId="0F8257DF">
      <w:pPr>
        <w:pStyle w:val="16"/>
        <w:spacing w:line="540" w:lineRule="exact"/>
        <w:ind w:firstLine="5640" w:firstLineChars="2350"/>
        <w:jc w:val="left"/>
        <w:rPr>
          <w:rFonts w:hint="eastAsia" w:hAnsi="宋体"/>
          <w:sz w:val="24"/>
        </w:rPr>
      </w:pPr>
    </w:p>
    <w:p w14:paraId="54938388">
      <w:pPr>
        <w:pStyle w:val="16"/>
        <w:spacing w:line="540" w:lineRule="exact"/>
        <w:ind w:firstLine="5640" w:firstLineChars="2350"/>
        <w:jc w:val="left"/>
        <w:rPr>
          <w:rFonts w:hint="eastAsia" w:hAnsi="宋体"/>
          <w:sz w:val="24"/>
        </w:rPr>
      </w:pPr>
    </w:p>
    <w:p w14:paraId="3B3B5821">
      <w:pPr>
        <w:pStyle w:val="16"/>
        <w:spacing w:line="540" w:lineRule="exact"/>
        <w:ind w:firstLine="5640" w:firstLineChars="2350"/>
        <w:jc w:val="left"/>
        <w:rPr>
          <w:rFonts w:hint="eastAsia" w:hAnsi="宋体"/>
          <w:sz w:val="24"/>
        </w:rPr>
      </w:pPr>
    </w:p>
    <w:p w14:paraId="5DCC4827">
      <w:pPr>
        <w:spacing w:line="400" w:lineRule="exact"/>
        <w:rPr>
          <w:rFonts w:hint="eastAsia" w:ascii="宋体" w:hAnsi="宋体" w:cs="宋体"/>
          <w:b/>
          <w:bCs/>
          <w:sz w:val="24"/>
        </w:rPr>
      </w:pPr>
      <w:r>
        <w:rPr>
          <w:rFonts w:hint="eastAsia" w:ascii="宋体" w:hAnsi="宋体" w:cs="宋体"/>
          <w:b/>
          <w:bCs/>
          <w:sz w:val="24"/>
        </w:rPr>
        <w:t>附件10残疾人福利性单位声明函</w:t>
      </w:r>
    </w:p>
    <w:p w14:paraId="0222D17E">
      <w:pPr>
        <w:spacing w:line="400" w:lineRule="exact"/>
        <w:ind w:firstLine="360" w:firstLineChars="150"/>
        <w:rPr>
          <w:rFonts w:hint="eastAsia" w:ascii="宋体" w:hAnsi="宋体" w:cs="宋体"/>
          <w:bCs/>
          <w:sz w:val="24"/>
        </w:rPr>
      </w:pPr>
      <w:r>
        <w:rPr>
          <w:rFonts w:hint="eastAsia" w:ascii="宋体" w:hAnsi="宋体" w:cs="宋体"/>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94B3B1">
      <w:pPr>
        <w:spacing w:line="400" w:lineRule="exact"/>
        <w:rPr>
          <w:rFonts w:hint="eastAsia" w:ascii="宋体" w:hAnsi="宋体" w:cs="宋体"/>
          <w:bCs/>
          <w:sz w:val="24"/>
        </w:rPr>
      </w:pPr>
      <w:r>
        <w:rPr>
          <w:rFonts w:hint="eastAsia" w:ascii="宋体" w:hAnsi="宋体" w:cs="宋体"/>
          <w:bCs/>
          <w:sz w:val="24"/>
        </w:rPr>
        <w:t>本单位对上述声明的真实性负责。如有虚假，将依法承担相应责任。</w:t>
      </w:r>
    </w:p>
    <w:p w14:paraId="3294347B">
      <w:pPr>
        <w:spacing w:line="400" w:lineRule="exact"/>
        <w:rPr>
          <w:rFonts w:hint="eastAsia" w:ascii="宋体" w:hAnsi="宋体" w:cs="宋体"/>
          <w:bCs/>
          <w:sz w:val="24"/>
        </w:rPr>
      </w:pPr>
      <w:r>
        <w:rPr>
          <w:rFonts w:hint="eastAsia" w:ascii="宋体" w:hAnsi="宋体" w:cs="宋体"/>
          <w:bCs/>
          <w:sz w:val="24"/>
        </w:rPr>
        <w:t xml:space="preserve">                                单位名称（盖章）：             </w:t>
      </w:r>
    </w:p>
    <w:p w14:paraId="6750FD8F">
      <w:pPr>
        <w:spacing w:line="400" w:lineRule="exact"/>
        <w:rPr>
          <w:rFonts w:hint="eastAsia" w:ascii="宋体" w:hAnsi="宋体" w:cs="宋体"/>
          <w:bCs/>
          <w:sz w:val="24"/>
        </w:rPr>
      </w:pPr>
      <w:r>
        <w:rPr>
          <w:rFonts w:hint="eastAsia" w:ascii="宋体" w:hAnsi="宋体" w:cs="宋体"/>
          <w:bCs/>
          <w:sz w:val="24"/>
        </w:rPr>
        <w:t xml:space="preserve">       日  期：</w:t>
      </w:r>
    </w:p>
    <w:p w14:paraId="3159B358">
      <w:pPr>
        <w:spacing w:line="400" w:lineRule="exact"/>
        <w:rPr>
          <w:rFonts w:hint="eastAsia" w:ascii="宋体" w:hAnsi="宋体" w:cs="宋体"/>
          <w:b/>
          <w:bCs/>
          <w:sz w:val="24"/>
        </w:rPr>
      </w:pPr>
    </w:p>
    <w:p w14:paraId="25BA01BD">
      <w:pPr>
        <w:spacing w:line="400" w:lineRule="exact"/>
        <w:rPr>
          <w:rFonts w:hint="eastAsia" w:ascii="宋体" w:hAnsi="宋体" w:cs="宋体"/>
          <w:b/>
          <w:bCs/>
          <w:sz w:val="24"/>
        </w:rPr>
      </w:pPr>
    </w:p>
    <w:p w14:paraId="1E50C045">
      <w:pPr>
        <w:spacing w:line="400" w:lineRule="exact"/>
        <w:rPr>
          <w:rFonts w:hint="eastAsia" w:ascii="宋体" w:hAnsi="宋体" w:cs="宋体"/>
          <w:b/>
          <w:bCs/>
          <w:sz w:val="24"/>
        </w:rPr>
      </w:pPr>
    </w:p>
    <w:p w14:paraId="3E99AFE2">
      <w:pPr>
        <w:spacing w:line="400" w:lineRule="exact"/>
        <w:rPr>
          <w:rFonts w:hint="eastAsia" w:ascii="宋体" w:hAnsi="宋体" w:cs="宋体"/>
          <w:b/>
          <w:bCs/>
          <w:sz w:val="24"/>
        </w:rPr>
      </w:pPr>
    </w:p>
    <w:p w14:paraId="53D020E2">
      <w:pPr>
        <w:pStyle w:val="3"/>
      </w:pPr>
    </w:p>
    <w:p w14:paraId="1563AA6E">
      <w:pPr>
        <w:spacing w:line="400" w:lineRule="exact"/>
        <w:rPr>
          <w:rFonts w:hint="eastAsia" w:ascii="宋体" w:hAnsi="宋体"/>
          <w:b/>
          <w:sz w:val="24"/>
        </w:rPr>
      </w:pPr>
      <w:r>
        <w:rPr>
          <w:rFonts w:hint="eastAsia" w:ascii="宋体" w:hAnsi="宋体" w:cs="宋体"/>
          <w:b/>
          <w:bCs/>
          <w:sz w:val="24"/>
        </w:rPr>
        <w:t>附件11</w:t>
      </w:r>
      <w:r>
        <w:rPr>
          <w:rFonts w:hint="eastAsia" w:ascii="宋体" w:hAnsi="宋体"/>
          <w:b/>
          <w:sz w:val="28"/>
          <w:szCs w:val="28"/>
        </w:rPr>
        <w:t>节能产品、信息安全产品、环境标志产品一览表</w:t>
      </w:r>
      <w:r>
        <w:rPr>
          <w:rFonts w:hint="eastAsia" w:ascii="宋体" w:hAnsi="宋体"/>
          <w:b/>
          <w:sz w:val="24"/>
        </w:rPr>
        <w:t>（目录截图及货物产品相关的认证证书复印件等证明材料需装订在招标文件内按照顺序排列。）</w:t>
      </w:r>
    </w:p>
    <w:p w14:paraId="5066276A">
      <w:pPr>
        <w:spacing w:line="400" w:lineRule="exact"/>
        <w:rPr>
          <w:rFonts w:hint="eastAsia" w:ascii="宋体" w:hAnsi="宋体"/>
          <w:b/>
          <w:sz w:val="24"/>
        </w:rPr>
      </w:pPr>
    </w:p>
    <w:p w14:paraId="0438E7D7">
      <w:pPr>
        <w:spacing w:line="400" w:lineRule="exact"/>
        <w:ind w:firstLine="590" w:firstLineChars="245"/>
        <w:jc w:val="center"/>
        <w:rPr>
          <w:rFonts w:hint="eastAsia" w:ascii="宋体" w:hAnsi="宋体"/>
          <w:b/>
          <w:sz w:val="24"/>
        </w:rPr>
      </w:pPr>
      <w:r>
        <w:rPr>
          <w:rFonts w:hint="eastAsia" w:ascii="宋体" w:hAnsi="宋体"/>
          <w:b/>
          <w:sz w:val="24"/>
        </w:rPr>
        <w:t>节能产品、信息安全产品、环境标志产品一览表</w:t>
      </w:r>
    </w:p>
    <w:tbl>
      <w:tblPr>
        <w:tblStyle w:val="3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3119"/>
        <w:gridCol w:w="3259"/>
      </w:tblGrid>
      <w:tr w14:paraId="794F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14:paraId="12375F62">
            <w:pPr>
              <w:spacing w:line="400" w:lineRule="exact"/>
              <w:rPr>
                <w:rFonts w:hint="eastAsia" w:ascii="宋体" w:hAnsi="宋体"/>
                <w:sz w:val="24"/>
              </w:rPr>
            </w:pPr>
            <w:r>
              <w:rPr>
                <w:rFonts w:hint="eastAsia" w:ascii="宋体" w:hAnsi="宋体"/>
                <w:sz w:val="24"/>
              </w:rPr>
              <w:t>开标一览表中产品的序号</w:t>
            </w:r>
          </w:p>
        </w:tc>
        <w:tc>
          <w:tcPr>
            <w:tcW w:w="3119" w:type="dxa"/>
            <w:vAlign w:val="center"/>
          </w:tcPr>
          <w:p w14:paraId="0249A4A9">
            <w:pPr>
              <w:spacing w:line="400" w:lineRule="exact"/>
              <w:jc w:val="center"/>
              <w:rPr>
                <w:rFonts w:hint="eastAsia" w:ascii="宋体" w:hAnsi="宋体"/>
                <w:sz w:val="24"/>
              </w:rPr>
            </w:pPr>
            <w:r>
              <w:rPr>
                <w:rFonts w:hint="eastAsia" w:ascii="宋体" w:hAnsi="宋体"/>
                <w:sz w:val="24"/>
              </w:rPr>
              <w:t>产品名称</w:t>
            </w:r>
          </w:p>
        </w:tc>
        <w:tc>
          <w:tcPr>
            <w:tcW w:w="3259" w:type="dxa"/>
          </w:tcPr>
          <w:p w14:paraId="22A1AE31">
            <w:pPr>
              <w:spacing w:line="400" w:lineRule="exact"/>
              <w:jc w:val="center"/>
              <w:rPr>
                <w:rFonts w:hint="eastAsia" w:ascii="宋体" w:hAnsi="宋体"/>
                <w:sz w:val="24"/>
              </w:rPr>
            </w:pPr>
            <w:r>
              <w:rPr>
                <w:rFonts w:hint="eastAsia" w:ascii="宋体" w:hAnsi="宋体"/>
                <w:sz w:val="24"/>
              </w:rPr>
              <w:t>证明资料复印件在投标文件中的页码</w:t>
            </w:r>
          </w:p>
        </w:tc>
      </w:tr>
      <w:tr w14:paraId="3629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14:paraId="34E4EEE3">
            <w:pPr>
              <w:spacing w:line="400" w:lineRule="exact"/>
              <w:rPr>
                <w:rFonts w:hint="eastAsia" w:ascii="宋体" w:hAnsi="宋体"/>
                <w:sz w:val="24"/>
              </w:rPr>
            </w:pPr>
          </w:p>
        </w:tc>
        <w:tc>
          <w:tcPr>
            <w:tcW w:w="3119" w:type="dxa"/>
          </w:tcPr>
          <w:p w14:paraId="6BBBC4A6">
            <w:pPr>
              <w:spacing w:line="400" w:lineRule="exact"/>
              <w:rPr>
                <w:rFonts w:hint="eastAsia" w:ascii="宋体" w:hAnsi="宋体"/>
                <w:sz w:val="24"/>
              </w:rPr>
            </w:pPr>
          </w:p>
        </w:tc>
        <w:tc>
          <w:tcPr>
            <w:tcW w:w="3259" w:type="dxa"/>
          </w:tcPr>
          <w:p w14:paraId="73CA11EA">
            <w:pPr>
              <w:spacing w:line="400" w:lineRule="exact"/>
              <w:rPr>
                <w:rFonts w:hint="eastAsia" w:ascii="宋体" w:hAnsi="宋体"/>
                <w:sz w:val="24"/>
              </w:rPr>
            </w:pPr>
          </w:p>
        </w:tc>
      </w:tr>
      <w:tr w14:paraId="698D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14:paraId="7EB3B65F">
            <w:pPr>
              <w:spacing w:line="400" w:lineRule="exact"/>
              <w:rPr>
                <w:rFonts w:hint="eastAsia" w:ascii="宋体" w:hAnsi="宋体"/>
                <w:sz w:val="24"/>
              </w:rPr>
            </w:pPr>
          </w:p>
        </w:tc>
        <w:tc>
          <w:tcPr>
            <w:tcW w:w="3119" w:type="dxa"/>
          </w:tcPr>
          <w:p w14:paraId="19933E29">
            <w:pPr>
              <w:spacing w:line="400" w:lineRule="exact"/>
              <w:rPr>
                <w:rFonts w:hint="eastAsia" w:ascii="宋体" w:hAnsi="宋体"/>
                <w:sz w:val="24"/>
              </w:rPr>
            </w:pPr>
          </w:p>
        </w:tc>
        <w:tc>
          <w:tcPr>
            <w:tcW w:w="3259" w:type="dxa"/>
          </w:tcPr>
          <w:p w14:paraId="225DB48E">
            <w:pPr>
              <w:spacing w:line="400" w:lineRule="exact"/>
              <w:rPr>
                <w:rFonts w:hint="eastAsia" w:ascii="宋体" w:hAnsi="宋体"/>
                <w:sz w:val="24"/>
              </w:rPr>
            </w:pPr>
          </w:p>
        </w:tc>
      </w:tr>
      <w:tr w14:paraId="3202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14:paraId="2C448F96">
            <w:pPr>
              <w:spacing w:line="400" w:lineRule="exact"/>
              <w:rPr>
                <w:rFonts w:hint="eastAsia" w:ascii="宋体" w:hAnsi="宋体"/>
                <w:sz w:val="24"/>
              </w:rPr>
            </w:pPr>
          </w:p>
        </w:tc>
        <w:tc>
          <w:tcPr>
            <w:tcW w:w="3119" w:type="dxa"/>
          </w:tcPr>
          <w:p w14:paraId="3520CF72">
            <w:pPr>
              <w:spacing w:line="400" w:lineRule="exact"/>
              <w:rPr>
                <w:rFonts w:hint="eastAsia" w:ascii="宋体" w:hAnsi="宋体"/>
                <w:sz w:val="24"/>
              </w:rPr>
            </w:pPr>
          </w:p>
        </w:tc>
        <w:tc>
          <w:tcPr>
            <w:tcW w:w="3259" w:type="dxa"/>
          </w:tcPr>
          <w:p w14:paraId="7ED27CBE">
            <w:pPr>
              <w:spacing w:line="400" w:lineRule="exact"/>
              <w:rPr>
                <w:rFonts w:hint="eastAsia" w:ascii="宋体" w:hAnsi="宋体"/>
                <w:sz w:val="24"/>
              </w:rPr>
            </w:pPr>
          </w:p>
        </w:tc>
      </w:tr>
    </w:tbl>
    <w:p w14:paraId="4D19641B">
      <w:pPr>
        <w:pStyle w:val="16"/>
        <w:spacing w:line="540" w:lineRule="exact"/>
        <w:jc w:val="left"/>
        <w:rPr>
          <w:rFonts w:hint="eastAsia" w:hAnsi="宋体"/>
          <w:sz w:val="24"/>
        </w:rPr>
      </w:pPr>
    </w:p>
    <w:p w14:paraId="64A2642C">
      <w:pPr>
        <w:pStyle w:val="16"/>
        <w:spacing w:line="540" w:lineRule="exact"/>
        <w:jc w:val="left"/>
        <w:rPr>
          <w:rFonts w:hint="eastAsia" w:hAnsi="宋体"/>
          <w:sz w:val="24"/>
        </w:rPr>
      </w:pPr>
    </w:p>
    <w:p w14:paraId="30BCCB76">
      <w:pPr>
        <w:pStyle w:val="16"/>
        <w:spacing w:line="540" w:lineRule="exact"/>
        <w:jc w:val="left"/>
        <w:rPr>
          <w:rFonts w:hint="eastAsia" w:hAnsi="宋体"/>
          <w:sz w:val="24"/>
        </w:rPr>
      </w:pPr>
    </w:p>
    <w:p w14:paraId="053B2D7B">
      <w:pPr>
        <w:pStyle w:val="16"/>
        <w:spacing w:line="540" w:lineRule="exact"/>
        <w:jc w:val="left"/>
        <w:rPr>
          <w:rFonts w:hint="eastAsia" w:hAnsi="宋体"/>
          <w:sz w:val="24"/>
        </w:rPr>
      </w:pPr>
    </w:p>
    <w:p w14:paraId="0FDD6785">
      <w:pPr>
        <w:pStyle w:val="16"/>
        <w:spacing w:line="540" w:lineRule="exact"/>
        <w:jc w:val="left"/>
        <w:rPr>
          <w:rFonts w:hint="eastAsia" w:hAnsi="宋体"/>
          <w:sz w:val="24"/>
        </w:rPr>
      </w:pPr>
    </w:p>
    <w:p w14:paraId="3321D8C0">
      <w:pPr>
        <w:pStyle w:val="16"/>
        <w:spacing w:line="540" w:lineRule="exact"/>
        <w:jc w:val="left"/>
        <w:rPr>
          <w:rFonts w:hint="eastAsia" w:hAnsi="宋体"/>
          <w:sz w:val="24"/>
        </w:rPr>
      </w:pPr>
    </w:p>
    <w:p w14:paraId="02C962D8">
      <w:pPr>
        <w:pStyle w:val="16"/>
        <w:spacing w:line="540" w:lineRule="exact"/>
        <w:jc w:val="left"/>
        <w:rPr>
          <w:rFonts w:hint="eastAsia" w:hAnsi="宋体"/>
          <w:sz w:val="24"/>
        </w:rPr>
      </w:pPr>
    </w:p>
    <w:sectPr>
      <w:footerReference r:id="rId5" w:type="first"/>
      <w:footerReference r:id="rId3" w:type="default"/>
      <w:footerReference r:id="rId4" w:type="even"/>
      <w:pgSz w:w="11906" w:h="16838"/>
      <w:pgMar w:top="1134" w:right="1134" w:bottom="0"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ヒラギノ角ゴ Pro W3">
    <w:altName w:val="Yu Gothic"/>
    <w:panose1 w:val="00000000000000000000"/>
    <w:charset w:val="80"/>
    <w:family w:val="auto"/>
    <w:pitch w:val="default"/>
    <w:sig w:usb0="00000000" w:usb1="00000000" w:usb2="01000407" w:usb3="00000000" w:csb0="00020000" w:csb1="00000000"/>
  </w:font>
  <w:font w:name="Yu Gothic">
    <w:panose1 w:val="020B0400000000000000"/>
    <w:charset w:val="80"/>
    <w:family w:val="auto"/>
    <w:pitch w:val="default"/>
    <w:sig w:usb0="E00002FF" w:usb1="2AC7FDFF" w:usb2="00000016" w:usb3="00000000" w:csb0="2002009F" w:csb1="00000000"/>
  </w:font>
  <w:font w:name="汉仪中黑简">
    <w:altName w:val="黑体"/>
    <w:panose1 w:val="00000000000000000000"/>
    <w:charset w:val="86"/>
    <w:family w:val="roman"/>
    <w:pitch w:val="default"/>
    <w:sig w:usb0="00000000" w:usb1="00000000" w:usb2="00000002" w:usb3="00000000" w:csb0="0004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1B51">
    <w:pPr>
      <w:pStyle w:val="20"/>
      <w:rPr>
        <w:sz w:val="13"/>
        <w:szCs w:val="13"/>
      </w:rPr>
    </w:pPr>
    <w:ins w:id="0" w:author="HUAWEI" w:date="2025-10-30T16:41:28Z">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B341D">
                            <w:pPr>
                              <w:pStyle w:val="20"/>
                              <w:rPr>
                                <w:rStyle w:val="36"/>
                              </w:rPr>
                            </w:pPr>
                            <w:r>
                              <w:fldChar w:fldCharType="begin"/>
                            </w:r>
                            <w:r>
                              <w:rPr>
                                <w:rStyle w:val="36"/>
                              </w:rPr>
                              <w:instrText xml:space="preserve">PAGE  </w:instrText>
                            </w:r>
                            <w:r>
                              <w:fldChar w:fldCharType="separate"/>
                            </w:r>
                            <w:r>
                              <w:rPr>
                                <w:rStyle w:val="36"/>
                              </w:rPr>
                              <w:t>59</w:t>
                            </w:r>
                            <w:r>
                              <w:fldChar w:fldCharType="end"/>
                            </w:r>
                          </w:p>
                          <w:p w14:paraId="25E4DE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9B341D">
                      <w:pPr>
                        <w:pStyle w:val="20"/>
                        <w:rPr>
                          <w:rStyle w:val="36"/>
                        </w:rPr>
                      </w:pPr>
                      <w:r>
                        <w:fldChar w:fldCharType="begin"/>
                      </w:r>
                      <w:r>
                        <w:rPr>
                          <w:rStyle w:val="36"/>
                        </w:rPr>
                        <w:instrText xml:space="preserve">PAGE  </w:instrText>
                      </w:r>
                      <w:r>
                        <w:fldChar w:fldCharType="separate"/>
                      </w:r>
                      <w:r>
                        <w:rPr>
                          <w:rStyle w:val="36"/>
                        </w:rPr>
                        <w:t>59</w:t>
                      </w:r>
                      <w:r>
                        <w:fldChar w:fldCharType="end"/>
                      </w:r>
                    </w:p>
                    <w:p w14:paraId="25E4DEEB"/>
                  </w:txbxContent>
                </v:textbox>
              </v:shape>
            </w:pict>
          </mc:Fallback>
        </mc:AlternateContent>
      </w:r>
    </w:ins>
    <w:r>
      <w:rPr>
        <w:rFonts w:hint="eastAsia"/>
        <w:sz w:val="13"/>
        <w:szCs w:val="13"/>
      </w:rPr>
      <w:t>海南省教学仪器设备招标中心有限公司编制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23DF0">
    <w:pPr>
      <w:pStyle w:val="20"/>
      <w:framePr w:wrap="around" w:vAnchor="text" w:hAnchor="margin" w:xAlign="center" w:y="1"/>
      <w:rPr>
        <w:rStyle w:val="36"/>
      </w:rPr>
    </w:pPr>
    <w:r>
      <w:fldChar w:fldCharType="begin"/>
    </w:r>
    <w:r>
      <w:rPr>
        <w:rStyle w:val="36"/>
      </w:rPr>
      <w:instrText xml:space="preserve">PAGE  </w:instrText>
    </w:r>
    <w:r>
      <w:fldChar w:fldCharType="end"/>
    </w:r>
  </w:p>
  <w:p w14:paraId="1DA39E1F">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C4770">
    <w:pPr>
      <w:pStyle w:val="20"/>
    </w:pPr>
    <w:ins w:id="2" w:author="HUAWEI" w:date="2025-10-30T16:41:28Z">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84586">
                            <w:pPr>
                              <w:pStyle w:val="20"/>
                            </w:pPr>
                            <w:ins w:id="4" w:author="HUAWEI" w:date="2025-10-30T16:41:28Z">
                              <w:r>
                                <w:rPr/>
                                <w:fldChar w:fldCharType="begin"/>
                              </w:r>
                            </w:ins>
                            <w:ins w:id="5" w:author="HUAWEI" w:date="2025-10-30T16:41:28Z">
                              <w:r>
                                <w:rPr/>
                                <w:instrText xml:space="preserve"> PAGE  \* MERGEFORMAT </w:instrText>
                              </w:r>
                            </w:ins>
                            <w:ins w:id="6" w:author="HUAWEI" w:date="2025-10-30T16:41:28Z">
                              <w:r>
                                <w:rPr/>
                                <w:fldChar w:fldCharType="separate"/>
                              </w:r>
                            </w:ins>
                            <w:ins w:id="7" w:author="HUAWEI" w:date="2025-10-30T16:41:28Z">
                              <w:r>
                                <w:rPr/>
                                <w:t>1</w:t>
                              </w:r>
                            </w:ins>
                            <w:ins w:id="8" w:author="HUAWEI" w:date="2025-10-30T16:41:28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784586">
                      <w:pPr>
                        <w:pStyle w:val="20"/>
                      </w:pPr>
                      <w:ins w:id="9" w:author="HUAWEI" w:date="2025-10-30T16:41:28Z">
                        <w:r>
                          <w:rPr/>
                          <w:fldChar w:fldCharType="begin"/>
                        </w:r>
                      </w:ins>
                      <w:ins w:id="10" w:author="HUAWEI" w:date="2025-10-30T16:41:28Z">
                        <w:r>
                          <w:rPr/>
                          <w:instrText xml:space="preserve"> PAGE  \* MERGEFORMAT </w:instrText>
                        </w:r>
                      </w:ins>
                      <w:ins w:id="11" w:author="HUAWEI" w:date="2025-10-30T16:41:28Z">
                        <w:r>
                          <w:rPr/>
                          <w:fldChar w:fldCharType="separate"/>
                        </w:r>
                      </w:ins>
                      <w:ins w:id="12" w:author="HUAWEI" w:date="2025-10-30T16:41:28Z">
                        <w:r>
                          <w:rPr/>
                          <w:t>1</w:t>
                        </w:r>
                      </w:ins>
                      <w:ins w:id="13" w:author="HUAWEI" w:date="2025-10-30T16:41:28Z">
                        <w:r>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6605E"/>
    <w:multiLevelType w:val="singleLevel"/>
    <w:tmpl w:val="E576605E"/>
    <w:lvl w:ilvl="0" w:tentative="0">
      <w:start w:val="1"/>
      <w:numFmt w:val="decimal"/>
      <w:lvlText w:val="%1."/>
      <w:lvlJc w:val="left"/>
      <w:pPr>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hideSpellingErrors/>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lYzZlNDEyNzUwNmUzZDA3OGIzZGU1ZDBlZjBkOGUifQ=="/>
  </w:docVars>
  <w:rsids>
    <w:rsidRoot w:val="000F4869"/>
    <w:rsid w:val="00002012"/>
    <w:rsid w:val="00004C06"/>
    <w:rsid w:val="00005517"/>
    <w:rsid w:val="00006A8B"/>
    <w:rsid w:val="00010258"/>
    <w:rsid w:val="00013733"/>
    <w:rsid w:val="00020C42"/>
    <w:rsid w:val="00024352"/>
    <w:rsid w:val="00024439"/>
    <w:rsid w:val="0002589A"/>
    <w:rsid w:val="00030817"/>
    <w:rsid w:val="000315A7"/>
    <w:rsid w:val="00031BFB"/>
    <w:rsid w:val="00034F20"/>
    <w:rsid w:val="00037CC3"/>
    <w:rsid w:val="00037F2B"/>
    <w:rsid w:val="00037FC4"/>
    <w:rsid w:val="000473A1"/>
    <w:rsid w:val="00050A5A"/>
    <w:rsid w:val="00051374"/>
    <w:rsid w:val="000526CB"/>
    <w:rsid w:val="00054C01"/>
    <w:rsid w:val="00056BAE"/>
    <w:rsid w:val="000577D9"/>
    <w:rsid w:val="000601AB"/>
    <w:rsid w:val="00061668"/>
    <w:rsid w:val="000619AF"/>
    <w:rsid w:val="00062CA7"/>
    <w:rsid w:val="00063F2B"/>
    <w:rsid w:val="0006452E"/>
    <w:rsid w:val="000665E1"/>
    <w:rsid w:val="000667E3"/>
    <w:rsid w:val="00066C6E"/>
    <w:rsid w:val="00066E56"/>
    <w:rsid w:val="0008140B"/>
    <w:rsid w:val="00081906"/>
    <w:rsid w:val="00083771"/>
    <w:rsid w:val="000846D9"/>
    <w:rsid w:val="00090C50"/>
    <w:rsid w:val="00090F2C"/>
    <w:rsid w:val="000934EF"/>
    <w:rsid w:val="00093D95"/>
    <w:rsid w:val="0009438C"/>
    <w:rsid w:val="00095C3C"/>
    <w:rsid w:val="00095D00"/>
    <w:rsid w:val="000A2C2E"/>
    <w:rsid w:val="000A594B"/>
    <w:rsid w:val="000A5E17"/>
    <w:rsid w:val="000B00AD"/>
    <w:rsid w:val="000B00D4"/>
    <w:rsid w:val="000C0375"/>
    <w:rsid w:val="000C0910"/>
    <w:rsid w:val="000C0B8B"/>
    <w:rsid w:val="000C1F5C"/>
    <w:rsid w:val="000C2044"/>
    <w:rsid w:val="000C3446"/>
    <w:rsid w:val="000C53A8"/>
    <w:rsid w:val="000C6B1F"/>
    <w:rsid w:val="000C747D"/>
    <w:rsid w:val="000C77D8"/>
    <w:rsid w:val="000D0A08"/>
    <w:rsid w:val="000D10B1"/>
    <w:rsid w:val="000D13C5"/>
    <w:rsid w:val="000D5509"/>
    <w:rsid w:val="000D5EB5"/>
    <w:rsid w:val="000E2B15"/>
    <w:rsid w:val="000E5125"/>
    <w:rsid w:val="000E6A76"/>
    <w:rsid w:val="000F0ECD"/>
    <w:rsid w:val="000F1350"/>
    <w:rsid w:val="000F369E"/>
    <w:rsid w:val="000F4869"/>
    <w:rsid w:val="000F6100"/>
    <w:rsid w:val="000F7EEC"/>
    <w:rsid w:val="00100912"/>
    <w:rsid w:val="00101A84"/>
    <w:rsid w:val="00102302"/>
    <w:rsid w:val="0010619F"/>
    <w:rsid w:val="00110E1A"/>
    <w:rsid w:val="0011117D"/>
    <w:rsid w:val="0011220B"/>
    <w:rsid w:val="0011483A"/>
    <w:rsid w:val="00114996"/>
    <w:rsid w:val="00114CA1"/>
    <w:rsid w:val="00115D2B"/>
    <w:rsid w:val="0011614F"/>
    <w:rsid w:val="001172BC"/>
    <w:rsid w:val="00122225"/>
    <w:rsid w:val="00122DA0"/>
    <w:rsid w:val="001233DD"/>
    <w:rsid w:val="0012479C"/>
    <w:rsid w:val="00125504"/>
    <w:rsid w:val="00125E10"/>
    <w:rsid w:val="001321CB"/>
    <w:rsid w:val="0013223C"/>
    <w:rsid w:val="00132D66"/>
    <w:rsid w:val="001356F3"/>
    <w:rsid w:val="00135B4C"/>
    <w:rsid w:val="0013757D"/>
    <w:rsid w:val="0014009C"/>
    <w:rsid w:val="00141063"/>
    <w:rsid w:val="0014375D"/>
    <w:rsid w:val="00143B6A"/>
    <w:rsid w:val="00145D0E"/>
    <w:rsid w:val="001516CC"/>
    <w:rsid w:val="00152578"/>
    <w:rsid w:val="001540E5"/>
    <w:rsid w:val="00155904"/>
    <w:rsid w:val="001559F1"/>
    <w:rsid w:val="001634A2"/>
    <w:rsid w:val="001638C2"/>
    <w:rsid w:val="00164885"/>
    <w:rsid w:val="00165E00"/>
    <w:rsid w:val="00167091"/>
    <w:rsid w:val="0017019F"/>
    <w:rsid w:val="001732B2"/>
    <w:rsid w:val="00173891"/>
    <w:rsid w:val="0017484E"/>
    <w:rsid w:val="001769AA"/>
    <w:rsid w:val="00180813"/>
    <w:rsid w:val="0018404E"/>
    <w:rsid w:val="0018516C"/>
    <w:rsid w:val="001903A4"/>
    <w:rsid w:val="001907A6"/>
    <w:rsid w:val="00190D4C"/>
    <w:rsid w:val="00193814"/>
    <w:rsid w:val="00193E80"/>
    <w:rsid w:val="00194325"/>
    <w:rsid w:val="00195CE2"/>
    <w:rsid w:val="00196141"/>
    <w:rsid w:val="00197640"/>
    <w:rsid w:val="00197C2A"/>
    <w:rsid w:val="001A009A"/>
    <w:rsid w:val="001A00EF"/>
    <w:rsid w:val="001A0F85"/>
    <w:rsid w:val="001A1FD4"/>
    <w:rsid w:val="001A22B3"/>
    <w:rsid w:val="001A286B"/>
    <w:rsid w:val="001A34E6"/>
    <w:rsid w:val="001A4493"/>
    <w:rsid w:val="001B10C9"/>
    <w:rsid w:val="001B1B2F"/>
    <w:rsid w:val="001B2EAB"/>
    <w:rsid w:val="001B6C8B"/>
    <w:rsid w:val="001B7D6D"/>
    <w:rsid w:val="001C1887"/>
    <w:rsid w:val="001C21AC"/>
    <w:rsid w:val="001C5A93"/>
    <w:rsid w:val="001C5DF6"/>
    <w:rsid w:val="001C615F"/>
    <w:rsid w:val="001C63FD"/>
    <w:rsid w:val="001D12B7"/>
    <w:rsid w:val="001D32D2"/>
    <w:rsid w:val="001D399B"/>
    <w:rsid w:val="001D4DF0"/>
    <w:rsid w:val="001F07EA"/>
    <w:rsid w:val="001F3296"/>
    <w:rsid w:val="001F4A60"/>
    <w:rsid w:val="001F5921"/>
    <w:rsid w:val="001F7ADD"/>
    <w:rsid w:val="002004D8"/>
    <w:rsid w:val="0020052D"/>
    <w:rsid w:val="00200EBC"/>
    <w:rsid w:val="00201C5F"/>
    <w:rsid w:val="00201D0C"/>
    <w:rsid w:val="00205833"/>
    <w:rsid w:val="00205DCB"/>
    <w:rsid w:val="00207D59"/>
    <w:rsid w:val="0021125B"/>
    <w:rsid w:val="002127F3"/>
    <w:rsid w:val="00213EEC"/>
    <w:rsid w:val="0021458A"/>
    <w:rsid w:val="002149CB"/>
    <w:rsid w:val="00215F87"/>
    <w:rsid w:val="002164BF"/>
    <w:rsid w:val="00221EBA"/>
    <w:rsid w:val="00223457"/>
    <w:rsid w:val="00224732"/>
    <w:rsid w:val="00225E59"/>
    <w:rsid w:val="00226383"/>
    <w:rsid w:val="002271F4"/>
    <w:rsid w:val="002275F3"/>
    <w:rsid w:val="00231FD7"/>
    <w:rsid w:val="00233646"/>
    <w:rsid w:val="00235912"/>
    <w:rsid w:val="00236412"/>
    <w:rsid w:val="00237095"/>
    <w:rsid w:val="002410B5"/>
    <w:rsid w:val="002419C2"/>
    <w:rsid w:val="002420DA"/>
    <w:rsid w:val="00242E31"/>
    <w:rsid w:val="00242E34"/>
    <w:rsid w:val="00244B59"/>
    <w:rsid w:val="00245132"/>
    <w:rsid w:val="00250E22"/>
    <w:rsid w:val="00252184"/>
    <w:rsid w:val="002529F5"/>
    <w:rsid w:val="00256A92"/>
    <w:rsid w:val="002614AF"/>
    <w:rsid w:val="00262A8B"/>
    <w:rsid w:val="00263B05"/>
    <w:rsid w:val="002715A6"/>
    <w:rsid w:val="00272474"/>
    <w:rsid w:val="00272AC8"/>
    <w:rsid w:val="00273CE0"/>
    <w:rsid w:val="00275077"/>
    <w:rsid w:val="00280640"/>
    <w:rsid w:val="00284010"/>
    <w:rsid w:val="00286387"/>
    <w:rsid w:val="00287AD3"/>
    <w:rsid w:val="00290CDA"/>
    <w:rsid w:val="00291EF6"/>
    <w:rsid w:val="00292D48"/>
    <w:rsid w:val="0029449B"/>
    <w:rsid w:val="00294723"/>
    <w:rsid w:val="00294A06"/>
    <w:rsid w:val="002973F6"/>
    <w:rsid w:val="002A001F"/>
    <w:rsid w:val="002A2E49"/>
    <w:rsid w:val="002A3884"/>
    <w:rsid w:val="002A438F"/>
    <w:rsid w:val="002A750F"/>
    <w:rsid w:val="002B1603"/>
    <w:rsid w:val="002B4FAA"/>
    <w:rsid w:val="002B6792"/>
    <w:rsid w:val="002B7776"/>
    <w:rsid w:val="002C156B"/>
    <w:rsid w:val="002C18E7"/>
    <w:rsid w:val="002C3410"/>
    <w:rsid w:val="002C4D04"/>
    <w:rsid w:val="002C5FA4"/>
    <w:rsid w:val="002D020B"/>
    <w:rsid w:val="002D0D2A"/>
    <w:rsid w:val="002D1BB7"/>
    <w:rsid w:val="002D4E25"/>
    <w:rsid w:val="002D6FFD"/>
    <w:rsid w:val="002D7EC5"/>
    <w:rsid w:val="002E37BF"/>
    <w:rsid w:val="002E52E6"/>
    <w:rsid w:val="002E62E2"/>
    <w:rsid w:val="002F0489"/>
    <w:rsid w:val="002F0E68"/>
    <w:rsid w:val="002F326F"/>
    <w:rsid w:val="0030357C"/>
    <w:rsid w:val="003047FE"/>
    <w:rsid w:val="003108B7"/>
    <w:rsid w:val="0031194D"/>
    <w:rsid w:val="003146D7"/>
    <w:rsid w:val="00317631"/>
    <w:rsid w:val="0032246B"/>
    <w:rsid w:val="00323939"/>
    <w:rsid w:val="00324B56"/>
    <w:rsid w:val="003251C8"/>
    <w:rsid w:val="00326240"/>
    <w:rsid w:val="00330EC8"/>
    <w:rsid w:val="00331B8C"/>
    <w:rsid w:val="003328D0"/>
    <w:rsid w:val="00336141"/>
    <w:rsid w:val="00340A8F"/>
    <w:rsid w:val="0034147E"/>
    <w:rsid w:val="0034183A"/>
    <w:rsid w:val="0034454C"/>
    <w:rsid w:val="00347722"/>
    <w:rsid w:val="003508D0"/>
    <w:rsid w:val="00351156"/>
    <w:rsid w:val="00352EF5"/>
    <w:rsid w:val="0035333F"/>
    <w:rsid w:val="00357BF7"/>
    <w:rsid w:val="0036132C"/>
    <w:rsid w:val="00361A17"/>
    <w:rsid w:val="00361BC3"/>
    <w:rsid w:val="00362DB1"/>
    <w:rsid w:val="0037014A"/>
    <w:rsid w:val="003709B4"/>
    <w:rsid w:val="003730FC"/>
    <w:rsid w:val="0037367A"/>
    <w:rsid w:val="003742FE"/>
    <w:rsid w:val="003747AD"/>
    <w:rsid w:val="00376BB6"/>
    <w:rsid w:val="00380037"/>
    <w:rsid w:val="0038071E"/>
    <w:rsid w:val="00387908"/>
    <w:rsid w:val="00391704"/>
    <w:rsid w:val="00392492"/>
    <w:rsid w:val="00394346"/>
    <w:rsid w:val="00397147"/>
    <w:rsid w:val="003A6A69"/>
    <w:rsid w:val="003A7E66"/>
    <w:rsid w:val="003B3463"/>
    <w:rsid w:val="003B6551"/>
    <w:rsid w:val="003C13F4"/>
    <w:rsid w:val="003C1B2C"/>
    <w:rsid w:val="003C3246"/>
    <w:rsid w:val="003C36EF"/>
    <w:rsid w:val="003C60C4"/>
    <w:rsid w:val="003C6777"/>
    <w:rsid w:val="003C7BBE"/>
    <w:rsid w:val="003D1D0B"/>
    <w:rsid w:val="003D27CD"/>
    <w:rsid w:val="003D2B4E"/>
    <w:rsid w:val="003D2C76"/>
    <w:rsid w:val="003D30EB"/>
    <w:rsid w:val="003D6E81"/>
    <w:rsid w:val="003E0F42"/>
    <w:rsid w:val="003E23A3"/>
    <w:rsid w:val="003E39EE"/>
    <w:rsid w:val="003E3DAD"/>
    <w:rsid w:val="003E55A0"/>
    <w:rsid w:val="003E5651"/>
    <w:rsid w:val="003E5694"/>
    <w:rsid w:val="003F2D3D"/>
    <w:rsid w:val="003F5610"/>
    <w:rsid w:val="003F7C4C"/>
    <w:rsid w:val="00400EC5"/>
    <w:rsid w:val="00401075"/>
    <w:rsid w:val="00406173"/>
    <w:rsid w:val="00412435"/>
    <w:rsid w:val="00413439"/>
    <w:rsid w:val="004147DF"/>
    <w:rsid w:val="00415F03"/>
    <w:rsid w:val="00417A93"/>
    <w:rsid w:val="00417BF2"/>
    <w:rsid w:val="0042267B"/>
    <w:rsid w:val="00423373"/>
    <w:rsid w:val="00423565"/>
    <w:rsid w:val="004258ED"/>
    <w:rsid w:val="00425E83"/>
    <w:rsid w:val="00430407"/>
    <w:rsid w:val="0043355F"/>
    <w:rsid w:val="00433703"/>
    <w:rsid w:val="004347D2"/>
    <w:rsid w:val="00437B1C"/>
    <w:rsid w:val="00437F7F"/>
    <w:rsid w:val="00440851"/>
    <w:rsid w:val="00440F20"/>
    <w:rsid w:val="0044146E"/>
    <w:rsid w:val="00446161"/>
    <w:rsid w:val="00446237"/>
    <w:rsid w:val="0045088E"/>
    <w:rsid w:val="00452281"/>
    <w:rsid w:val="00454FDD"/>
    <w:rsid w:val="004571E3"/>
    <w:rsid w:val="00457B99"/>
    <w:rsid w:val="00463717"/>
    <w:rsid w:val="0046492D"/>
    <w:rsid w:val="0046538B"/>
    <w:rsid w:val="004708F1"/>
    <w:rsid w:val="0047110E"/>
    <w:rsid w:val="004734ED"/>
    <w:rsid w:val="004743A1"/>
    <w:rsid w:val="004756BA"/>
    <w:rsid w:val="0047661B"/>
    <w:rsid w:val="00481184"/>
    <w:rsid w:val="00484ECD"/>
    <w:rsid w:val="00485D0B"/>
    <w:rsid w:val="0048753C"/>
    <w:rsid w:val="0049110D"/>
    <w:rsid w:val="004929FA"/>
    <w:rsid w:val="004A1885"/>
    <w:rsid w:val="004A3AAE"/>
    <w:rsid w:val="004A62FE"/>
    <w:rsid w:val="004B2CCA"/>
    <w:rsid w:val="004B2E77"/>
    <w:rsid w:val="004B4283"/>
    <w:rsid w:val="004B4810"/>
    <w:rsid w:val="004B4A42"/>
    <w:rsid w:val="004B53F5"/>
    <w:rsid w:val="004B575D"/>
    <w:rsid w:val="004B601B"/>
    <w:rsid w:val="004B713B"/>
    <w:rsid w:val="004B7684"/>
    <w:rsid w:val="004C065A"/>
    <w:rsid w:val="004C4DF2"/>
    <w:rsid w:val="004C645F"/>
    <w:rsid w:val="004D2AC6"/>
    <w:rsid w:val="004D4937"/>
    <w:rsid w:val="004D5602"/>
    <w:rsid w:val="004D5676"/>
    <w:rsid w:val="004D5D19"/>
    <w:rsid w:val="004D6E27"/>
    <w:rsid w:val="004D6E75"/>
    <w:rsid w:val="004E11DD"/>
    <w:rsid w:val="004E20BA"/>
    <w:rsid w:val="004E2C52"/>
    <w:rsid w:val="004E34B2"/>
    <w:rsid w:val="004E4C1E"/>
    <w:rsid w:val="004E6140"/>
    <w:rsid w:val="004E6499"/>
    <w:rsid w:val="004E711E"/>
    <w:rsid w:val="004E7D85"/>
    <w:rsid w:val="004F3823"/>
    <w:rsid w:val="004F4C6B"/>
    <w:rsid w:val="004F57F9"/>
    <w:rsid w:val="004F6190"/>
    <w:rsid w:val="00500E81"/>
    <w:rsid w:val="00502D25"/>
    <w:rsid w:val="005049C0"/>
    <w:rsid w:val="00505134"/>
    <w:rsid w:val="00507D28"/>
    <w:rsid w:val="00521094"/>
    <w:rsid w:val="00523504"/>
    <w:rsid w:val="00523D80"/>
    <w:rsid w:val="005248E4"/>
    <w:rsid w:val="00525680"/>
    <w:rsid w:val="00530CF0"/>
    <w:rsid w:val="00530F85"/>
    <w:rsid w:val="0053165D"/>
    <w:rsid w:val="00531EEC"/>
    <w:rsid w:val="00531F01"/>
    <w:rsid w:val="00532FC2"/>
    <w:rsid w:val="0053436B"/>
    <w:rsid w:val="00536DAA"/>
    <w:rsid w:val="00537F97"/>
    <w:rsid w:val="0054277B"/>
    <w:rsid w:val="005437F9"/>
    <w:rsid w:val="0055179D"/>
    <w:rsid w:val="00551F5A"/>
    <w:rsid w:val="00552689"/>
    <w:rsid w:val="00552D5F"/>
    <w:rsid w:val="00553678"/>
    <w:rsid w:val="005550F7"/>
    <w:rsid w:val="005561F9"/>
    <w:rsid w:val="005566DE"/>
    <w:rsid w:val="00560C38"/>
    <w:rsid w:val="00561EFA"/>
    <w:rsid w:val="00563F74"/>
    <w:rsid w:val="00567588"/>
    <w:rsid w:val="005677D2"/>
    <w:rsid w:val="00570B5B"/>
    <w:rsid w:val="00571C46"/>
    <w:rsid w:val="00571E2B"/>
    <w:rsid w:val="005734D1"/>
    <w:rsid w:val="0057354A"/>
    <w:rsid w:val="00576202"/>
    <w:rsid w:val="00576B25"/>
    <w:rsid w:val="00581E59"/>
    <w:rsid w:val="00582AF6"/>
    <w:rsid w:val="00582B3F"/>
    <w:rsid w:val="0058392D"/>
    <w:rsid w:val="0058400B"/>
    <w:rsid w:val="005847A0"/>
    <w:rsid w:val="00585569"/>
    <w:rsid w:val="00586FAD"/>
    <w:rsid w:val="005878C7"/>
    <w:rsid w:val="00587A49"/>
    <w:rsid w:val="00593038"/>
    <w:rsid w:val="00593361"/>
    <w:rsid w:val="00594C5B"/>
    <w:rsid w:val="005966B6"/>
    <w:rsid w:val="005A2DB2"/>
    <w:rsid w:val="005A35DA"/>
    <w:rsid w:val="005A4B0F"/>
    <w:rsid w:val="005A698D"/>
    <w:rsid w:val="005A6E1E"/>
    <w:rsid w:val="005B35E1"/>
    <w:rsid w:val="005B3BD1"/>
    <w:rsid w:val="005B4A2D"/>
    <w:rsid w:val="005B5176"/>
    <w:rsid w:val="005B56F9"/>
    <w:rsid w:val="005B774D"/>
    <w:rsid w:val="005B7946"/>
    <w:rsid w:val="005C0336"/>
    <w:rsid w:val="005C0823"/>
    <w:rsid w:val="005C0977"/>
    <w:rsid w:val="005C2604"/>
    <w:rsid w:val="005C4570"/>
    <w:rsid w:val="005C621C"/>
    <w:rsid w:val="005C6386"/>
    <w:rsid w:val="005D33B6"/>
    <w:rsid w:val="005D6036"/>
    <w:rsid w:val="005E0D9D"/>
    <w:rsid w:val="005E148B"/>
    <w:rsid w:val="005E20ED"/>
    <w:rsid w:val="005E5056"/>
    <w:rsid w:val="005F22D4"/>
    <w:rsid w:val="005F257E"/>
    <w:rsid w:val="005F3EB6"/>
    <w:rsid w:val="005F4046"/>
    <w:rsid w:val="005F440E"/>
    <w:rsid w:val="005F60D6"/>
    <w:rsid w:val="005F67AC"/>
    <w:rsid w:val="00600228"/>
    <w:rsid w:val="006030B3"/>
    <w:rsid w:val="00603E5A"/>
    <w:rsid w:val="0060683C"/>
    <w:rsid w:val="0060686D"/>
    <w:rsid w:val="00606FA3"/>
    <w:rsid w:val="00621719"/>
    <w:rsid w:val="00622A8F"/>
    <w:rsid w:val="00622F8D"/>
    <w:rsid w:val="00624EB9"/>
    <w:rsid w:val="00625FF2"/>
    <w:rsid w:val="00631CF2"/>
    <w:rsid w:val="00633450"/>
    <w:rsid w:val="00636DB3"/>
    <w:rsid w:val="006370EF"/>
    <w:rsid w:val="00644C5F"/>
    <w:rsid w:val="006455E3"/>
    <w:rsid w:val="00645847"/>
    <w:rsid w:val="00651863"/>
    <w:rsid w:val="00654BB4"/>
    <w:rsid w:val="00656DBE"/>
    <w:rsid w:val="0065744B"/>
    <w:rsid w:val="006603C2"/>
    <w:rsid w:val="00661647"/>
    <w:rsid w:val="0066498C"/>
    <w:rsid w:val="00665776"/>
    <w:rsid w:val="006665F3"/>
    <w:rsid w:val="00672379"/>
    <w:rsid w:val="006760CC"/>
    <w:rsid w:val="00676665"/>
    <w:rsid w:val="006809EF"/>
    <w:rsid w:val="006817E5"/>
    <w:rsid w:val="006823C1"/>
    <w:rsid w:val="00682A52"/>
    <w:rsid w:val="00683609"/>
    <w:rsid w:val="006848A1"/>
    <w:rsid w:val="00685DD0"/>
    <w:rsid w:val="0068635E"/>
    <w:rsid w:val="00687B33"/>
    <w:rsid w:val="00690C04"/>
    <w:rsid w:val="006912BE"/>
    <w:rsid w:val="00691B05"/>
    <w:rsid w:val="006935E5"/>
    <w:rsid w:val="006A050A"/>
    <w:rsid w:val="006A35E2"/>
    <w:rsid w:val="006B0420"/>
    <w:rsid w:val="006B11B4"/>
    <w:rsid w:val="006B22B6"/>
    <w:rsid w:val="006B6AFA"/>
    <w:rsid w:val="006C0354"/>
    <w:rsid w:val="006C0FDF"/>
    <w:rsid w:val="006C3A04"/>
    <w:rsid w:val="006C4285"/>
    <w:rsid w:val="006C4438"/>
    <w:rsid w:val="006C46BF"/>
    <w:rsid w:val="006C513D"/>
    <w:rsid w:val="006D2768"/>
    <w:rsid w:val="006D32D1"/>
    <w:rsid w:val="006D76BF"/>
    <w:rsid w:val="006E23CE"/>
    <w:rsid w:val="006E2DF2"/>
    <w:rsid w:val="006E38FF"/>
    <w:rsid w:val="006E7197"/>
    <w:rsid w:val="006E7E88"/>
    <w:rsid w:val="006F04B5"/>
    <w:rsid w:val="006F108B"/>
    <w:rsid w:val="006F1F31"/>
    <w:rsid w:val="006F3F4D"/>
    <w:rsid w:val="006F6409"/>
    <w:rsid w:val="006F68A3"/>
    <w:rsid w:val="006F715E"/>
    <w:rsid w:val="0070259A"/>
    <w:rsid w:val="00702D78"/>
    <w:rsid w:val="00703FC2"/>
    <w:rsid w:val="007062F4"/>
    <w:rsid w:val="00706506"/>
    <w:rsid w:val="00706F0D"/>
    <w:rsid w:val="00714125"/>
    <w:rsid w:val="00716D82"/>
    <w:rsid w:val="007239AF"/>
    <w:rsid w:val="007241BB"/>
    <w:rsid w:val="00726EBE"/>
    <w:rsid w:val="007313C1"/>
    <w:rsid w:val="00732999"/>
    <w:rsid w:val="0073513E"/>
    <w:rsid w:val="007365C3"/>
    <w:rsid w:val="00742463"/>
    <w:rsid w:val="00747707"/>
    <w:rsid w:val="00747A1B"/>
    <w:rsid w:val="00747DA3"/>
    <w:rsid w:val="00751D3A"/>
    <w:rsid w:val="007537BB"/>
    <w:rsid w:val="007573BB"/>
    <w:rsid w:val="007576A6"/>
    <w:rsid w:val="00757D86"/>
    <w:rsid w:val="007600C5"/>
    <w:rsid w:val="00765846"/>
    <w:rsid w:val="007659E5"/>
    <w:rsid w:val="007669BC"/>
    <w:rsid w:val="0076767B"/>
    <w:rsid w:val="00767F1F"/>
    <w:rsid w:val="0077135A"/>
    <w:rsid w:val="00771D01"/>
    <w:rsid w:val="00773D93"/>
    <w:rsid w:val="007775DF"/>
    <w:rsid w:val="0077777F"/>
    <w:rsid w:val="0078313E"/>
    <w:rsid w:val="007866FA"/>
    <w:rsid w:val="00791999"/>
    <w:rsid w:val="00792DC2"/>
    <w:rsid w:val="007A29F8"/>
    <w:rsid w:val="007A2DE4"/>
    <w:rsid w:val="007A73B9"/>
    <w:rsid w:val="007A7E86"/>
    <w:rsid w:val="007B33A3"/>
    <w:rsid w:val="007B3E58"/>
    <w:rsid w:val="007B41F7"/>
    <w:rsid w:val="007B4329"/>
    <w:rsid w:val="007B7087"/>
    <w:rsid w:val="007C4047"/>
    <w:rsid w:val="007C42D8"/>
    <w:rsid w:val="007C67B8"/>
    <w:rsid w:val="007C709E"/>
    <w:rsid w:val="007C75F3"/>
    <w:rsid w:val="007C7A1E"/>
    <w:rsid w:val="007D2560"/>
    <w:rsid w:val="007D27A2"/>
    <w:rsid w:val="007D4C3E"/>
    <w:rsid w:val="007D516E"/>
    <w:rsid w:val="007D552C"/>
    <w:rsid w:val="007E1A67"/>
    <w:rsid w:val="007E330A"/>
    <w:rsid w:val="007E457B"/>
    <w:rsid w:val="007E69C8"/>
    <w:rsid w:val="007E70FD"/>
    <w:rsid w:val="007F375A"/>
    <w:rsid w:val="007F60EE"/>
    <w:rsid w:val="007F721B"/>
    <w:rsid w:val="00810DB2"/>
    <w:rsid w:val="008125D5"/>
    <w:rsid w:val="0081263F"/>
    <w:rsid w:val="008156C7"/>
    <w:rsid w:val="00816B5E"/>
    <w:rsid w:val="00817273"/>
    <w:rsid w:val="00824257"/>
    <w:rsid w:val="008248E0"/>
    <w:rsid w:val="00835DE7"/>
    <w:rsid w:val="00840516"/>
    <w:rsid w:val="00841508"/>
    <w:rsid w:val="008417DD"/>
    <w:rsid w:val="00845D49"/>
    <w:rsid w:val="0085067C"/>
    <w:rsid w:val="00851A9C"/>
    <w:rsid w:val="00852786"/>
    <w:rsid w:val="00861742"/>
    <w:rsid w:val="008636D0"/>
    <w:rsid w:val="008643EF"/>
    <w:rsid w:val="0086745B"/>
    <w:rsid w:val="00870C9E"/>
    <w:rsid w:val="008716E2"/>
    <w:rsid w:val="00873574"/>
    <w:rsid w:val="008750C3"/>
    <w:rsid w:val="00876FB8"/>
    <w:rsid w:val="008804C0"/>
    <w:rsid w:val="00880CA3"/>
    <w:rsid w:val="008819EC"/>
    <w:rsid w:val="00881CBE"/>
    <w:rsid w:val="008835B6"/>
    <w:rsid w:val="008879FF"/>
    <w:rsid w:val="00890D31"/>
    <w:rsid w:val="008A399A"/>
    <w:rsid w:val="008A440A"/>
    <w:rsid w:val="008A529F"/>
    <w:rsid w:val="008A56D0"/>
    <w:rsid w:val="008A63DE"/>
    <w:rsid w:val="008A6746"/>
    <w:rsid w:val="008A7885"/>
    <w:rsid w:val="008B0323"/>
    <w:rsid w:val="008B34F6"/>
    <w:rsid w:val="008B67E1"/>
    <w:rsid w:val="008C0F3B"/>
    <w:rsid w:val="008C1E6A"/>
    <w:rsid w:val="008C3C23"/>
    <w:rsid w:val="008C3F1C"/>
    <w:rsid w:val="008C4CE9"/>
    <w:rsid w:val="008D1D04"/>
    <w:rsid w:val="008D2EEF"/>
    <w:rsid w:val="008D39F9"/>
    <w:rsid w:val="008D4C03"/>
    <w:rsid w:val="008D6E54"/>
    <w:rsid w:val="008D7745"/>
    <w:rsid w:val="008E0366"/>
    <w:rsid w:val="008E0A50"/>
    <w:rsid w:val="008E591F"/>
    <w:rsid w:val="008E63BA"/>
    <w:rsid w:val="008E6C6D"/>
    <w:rsid w:val="008E6FAD"/>
    <w:rsid w:val="008F1524"/>
    <w:rsid w:val="008F5D8A"/>
    <w:rsid w:val="00900E42"/>
    <w:rsid w:val="00901D10"/>
    <w:rsid w:val="00902C3C"/>
    <w:rsid w:val="009044E1"/>
    <w:rsid w:val="0090473D"/>
    <w:rsid w:val="0090493F"/>
    <w:rsid w:val="009059A7"/>
    <w:rsid w:val="00905E70"/>
    <w:rsid w:val="009070F8"/>
    <w:rsid w:val="009071D3"/>
    <w:rsid w:val="00913642"/>
    <w:rsid w:val="0091520D"/>
    <w:rsid w:val="00916CCA"/>
    <w:rsid w:val="00922548"/>
    <w:rsid w:val="00924CB5"/>
    <w:rsid w:val="00925EFC"/>
    <w:rsid w:val="0092630C"/>
    <w:rsid w:val="00930D96"/>
    <w:rsid w:val="0093148C"/>
    <w:rsid w:val="009314AF"/>
    <w:rsid w:val="00931B65"/>
    <w:rsid w:val="0093299C"/>
    <w:rsid w:val="00935534"/>
    <w:rsid w:val="00936CE9"/>
    <w:rsid w:val="00941C97"/>
    <w:rsid w:val="00942832"/>
    <w:rsid w:val="009430DB"/>
    <w:rsid w:val="00946853"/>
    <w:rsid w:val="00947688"/>
    <w:rsid w:val="00950C40"/>
    <w:rsid w:val="0095302D"/>
    <w:rsid w:val="00953AC7"/>
    <w:rsid w:val="00953ED3"/>
    <w:rsid w:val="00957372"/>
    <w:rsid w:val="00962AF0"/>
    <w:rsid w:val="0096415A"/>
    <w:rsid w:val="00964B91"/>
    <w:rsid w:val="0096520B"/>
    <w:rsid w:val="00965EE6"/>
    <w:rsid w:val="00972270"/>
    <w:rsid w:val="00973058"/>
    <w:rsid w:val="00973CD2"/>
    <w:rsid w:val="0097726D"/>
    <w:rsid w:val="0097793A"/>
    <w:rsid w:val="00981736"/>
    <w:rsid w:val="00983696"/>
    <w:rsid w:val="00983FA2"/>
    <w:rsid w:val="00986B41"/>
    <w:rsid w:val="0098756D"/>
    <w:rsid w:val="00990B57"/>
    <w:rsid w:val="0099189D"/>
    <w:rsid w:val="00994873"/>
    <w:rsid w:val="00996F0A"/>
    <w:rsid w:val="00996FDB"/>
    <w:rsid w:val="009A6946"/>
    <w:rsid w:val="009B1D20"/>
    <w:rsid w:val="009B1FE8"/>
    <w:rsid w:val="009B220E"/>
    <w:rsid w:val="009B2553"/>
    <w:rsid w:val="009B5F9B"/>
    <w:rsid w:val="009C09CF"/>
    <w:rsid w:val="009C1C94"/>
    <w:rsid w:val="009C21A1"/>
    <w:rsid w:val="009C4B6F"/>
    <w:rsid w:val="009C4BB7"/>
    <w:rsid w:val="009C5BDE"/>
    <w:rsid w:val="009D34EE"/>
    <w:rsid w:val="009D54A3"/>
    <w:rsid w:val="009D569C"/>
    <w:rsid w:val="009D569D"/>
    <w:rsid w:val="009E1DAA"/>
    <w:rsid w:val="009E2C1E"/>
    <w:rsid w:val="009E7BCA"/>
    <w:rsid w:val="009F2B1B"/>
    <w:rsid w:val="009F3397"/>
    <w:rsid w:val="009F4087"/>
    <w:rsid w:val="009F52A4"/>
    <w:rsid w:val="00A03851"/>
    <w:rsid w:val="00A03F5E"/>
    <w:rsid w:val="00A04739"/>
    <w:rsid w:val="00A04AF7"/>
    <w:rsid w:val="00A0572C"/>
    <w:rsid w:val="00A0670F"/>
    <w:rsid w:val="00A069BF"/>
    <w:rsid w:val="00A07726"/>
    <w:rsid w:val="00A1131D"/>
    <w:rsid w:val="00A11BD3"/>
    <w:rsid w:val="00A11E36"/>
    <w:rsid w:val="00A1774C"/>
    <w:rsid w:val="00A2135E"/>
    <w:rsid w:val="00A2324D"/>
    <w:rsid w:val="00A26768"/>
    <w:rsid w:val="00A26878"/>
    <w:rsid w:val="00A26CB6"/>
    <w:rsid w:val="00A27639"/>
    <w:rsid w:val="00A309B5"/>
    <w:rsid w:val="00A3223B"/>
    <w:rsid w:val="00A33185"/>
    <w:rsid w:val="00A33C96"/>
    <w:rsid w:val="00A36C67"/>
    <w:rsid w:val="00A37C75"/>
    <w:rsid w:val="00A405FF"/>
    <w:rsid w:val="00A40C5B"/>
    <w:rsid w:val="00A43A23"/>
    <w:rsid w:val="00A43C73"/>
    <w:rsid w:val="00A469C1"/>
    <w:rsid w:val="00A47467"/>
    <w:rsid w:val="00A51E7E"/>
    <w:rsid w:val="00A51EB6"/>
    <w:rsid w:val="00A520D8"/>
    <w:rsid w:val="00A52840"/>
    <w:rsid w:val="00A52FFE"/>
    <w:rsid w:val="00A610E6"/>
    <w:rsid w:val="00A636F0"/>
    <w:rsid w:val="00A65FA9"/>
    <w:rsid w:val="00A67B4A"/>
    <w:rsid w:val="00A71BAF"/>
    <w:rsid w:val="00A71E46"/>
    <w:rsid w:val="00A80B3E"/>
    <w:rsid w:val="00A80D2D"/>
    <w:rsid w:val="00A81218"/>
    <w:rsid w:val="00A82A63"/>
    <w:rsid w:val="00A83E76"/>
    <w:rsid w:val="00A84725"/>
    <w:rsid w:val="00A858BB"/>
    <w:rsid w:val="00A85EE2"/>
    <w:rsid w:val="00A86BDA"/>
    <w:rsid w:val="00A87E04"/>
    <w:rsid w:val="00A92BE9"/>
    <w:rsid w:val="00A9378F"/>
    <w:rsid w:val="00A95BEE"/>
    <w:rsid w:val="00A9779E"/>
    <w:rsid w:val="00AA1CF8"/>
    <w:rsid w:val="00AA31BE"/>
    <w:rsid w:val="00AA724A"/>
    <w:rsid w:val="00AB0D68"/>
    <w:rsid w:val="00AB1FE4"/>
    <w:rsid w:val="00AB2084"/>
    <w:rsid w:val="00AB28E1"/>
    <w:rsid w:val="00AB3ACC"/>
    <w:rsid w:val="00AB4663"/>
    <w:rsid w:val="00AB7173"/>
    <w:rsid w:val="00AB7CB7"/>
    <w:rsid w:val="00AC242D"/>
    <w:rsid w:val="00AC5492"/>
    <w:rsid w:val="00AC66DE"/>
    <w:rsid w:val="00AC6872"/>
    <w:rsid w:val="00AD1F89"/>
    <w:rsid w:val="00AD27A8"/>
    <w:rsid w:val="00AD5A86"/>
    <w:rsid w:val="00AD60D2"/>
    <w:rsid w:val="00AE27E7"/>
    <w:rsid w:val="00AE3179"/>
    <w:rsid w:val="00AF1D3B"/>
    <w:rsid w:val="00AF1D6E"/>
    <w:rsid w:val="00AF53DB"/>
    <w:rsid w:val="00AF5FAE"/>
    <w:rsid w:val="00B002AE"/>
    <w:rsid w:val="00B01129"/>
    <w:rsid w:val="00B03A11"/>
    <w:rsid w:val="00B042A9"/>
    <w:rsid w:val="00B11563"/>
    <w:rsid w:val="00B11800"/>
    <w:rsid w:val="00B130CC"/>
    <w:rsid w:val="00B150D6"/>
    <w:rsid w:val="00B16C1E"/>
    <w:rsid w:val="00B17935"/>
    <w:rsid w:val="00B22292"/>
    <w:rsid w:val="00B25A5B"/>
    <w:rsid w:val="00B357AB"/>
    <w:rsid w:val="00B40F84"/>
    <w:rsid w:val="00B41E02"/>
    <w:rsid w:val="00B44A58"/>
    <w:rsid w:val="00B4534E"/>
    <w:rsid w:val="00B45CA9"/>
    <w:rsid w:val="00B4758E"/>
    <w:rsid w:val="00B528B3"/>
    <w:rsid w:val="00B53641"/>
    <w:rsid w:val="00B53DDB"/>
    <w:rsid w:val="00B53E10"/>
    <w:rsid w:val="00B552A0"/>
    <w:rsid w:val="00B55FE5"/>
    <w:rsid w:val="00B56FF6"/>
    <w:rsid w:val="00B61151"/>
    <w:rsid w:val="00B61687"/>
    <w:rsid w:val="00B61C29"/>
    <w:rsid w:val="00B6226B"/>
    <w:rsid w:val="00B629D4"/>
    <w:rsid w:val="00B65C48"/>
    <w:rsid w:val="00B66048"/>
    <w:rsid w:val="00B73A9E"/>
    <w:rsid w:val="00B77358"/>
    <w:rsid w:val="00B80093"/>
    <w:rsid w:val="00B847AD"/>
    <w:rsid w:val="00B85F62"/>
    <w:rsid w:val="00B944AB"/>
    <w:rsid w:val="00B94F3A"/>
    <w:rsid w:val="00B9543E"/>
    <w:rsid w:val="00B9597F"/>
    <w:rsid w:val="00B97426"/>
    <w:rsid w:val="00BA1400"/>
    <w:rsid w:val="00BA4105"/>
    <w:rsid w:val="00BA462A"/>
    <w:rsid w:val="00BA4C9D"/>
    <w:rsid w:val="00BB1129"/>
    <w:rsid w:val="00BB1745"/>
    <w:rsid w:val="00BB1968"/>
    <w:rsid w:val="00BB1CF6"/>
    <w:rsid w:val="00BB348B"/>
    <w:rsid w:val="00BC1337"/>
    <w:rsid w:val="00BC197E"/>
    <w:rsid w:val="00BC324B"/>
    <w:rsid w:val="00BC4C3D"/>
    <w:rsid w:val="00BC587D"/>
    <w:rsid w:val="00BD242B"/>
    <w:rsid w:val="00BD259B"/>
    <w:rsid w:val="00BD493A"/>
    <w:rsid w:val="00BD63A3"/>
    <w:rsid w:val="00BD6A84"/>
    <w:rsid w:val="00BD6D7A"/>
    <w:rsid w:val="00BE0D04"/>
    <w:rsid w:val="00BE2362"/>
    <w:rsid w:val="00BE27D5"/>
    <w:rsid w:val="00BE292D"/>
    <w:rsid w:val="00BE3179"/>
    <w:rsid w:val="00BF05FC"/>
    <w:rsid w:val="00BF0B34"/>
    <w:rsid w:val="00BF4036"/>
    <w:rsid w:val="00BF5DB9"/>
    <w:rsid w:val="00BF626D"/>
    <w:rsid w:val="00BF6C06"/>
    <w:rsid w:val="00C0058E"/>
    <w:rsid w:val="00C01968"/>
    <w:rsid w:val="00C03A66"/>
    <w:rsid w:val="00C0415C"/>
    <w:rsid w:val="00C07603"/>
    <w:rsid w:val="00C0798C"/>
    <w:rsid w:val="00C10916"/>
    <w:rsid w:val="00C10F54"/>
    <w:rsid w:val="00C13D6E"/>
    <w:rsid w:val="00C21C52"/>
    <w:rsid w:val="00C25358"/>
    <w:rsid w:val="00C26D88"/>
    <w:rsid w:val="00C271FA"/>
    <w:rsid w:val="00C30CBE"/>
    <w:rsid w:val="00C3250E"/>
    <w:rsid w:val="00C3416D"/>
    <w:rsid w:val="00C40C65"/>
    <w:rsid w:val="00C42387"/>
    <w:rsid w:val="00C45EE6"/>
    <w:rsid w:val="00C4661F"/>
    <w:rsid w:val="00C626F4"/>
    <w:rsid w:val="00C65676"/>
    <w:rsid w:val="00C667F0"/>
    <w:rsid w:val="00C80BCD"/>
    <w:rsid w:val="00C8102E"/>
    <w:rsid w:val="00C834B1"/>
    <w:rsid w:val="00C839E6"/>
    <w:rsid w:val="00C9082E"/>
    <w:rsid w:val="00C92264"/>
    <w:rsid w:val="00C92978"/>
    <w:rsid w:val="00C978CF"/>
    <w:rsid w:val="00CA074C"/>
    <w:rsid w:val="00CA10B3"/>
    <w:rsid w:val="00CA6C35"/>
    <w:rsid w:val="00CB184D"/>
    <w:rsid w:val="00CB2703"/>
    <w:rsid w:val="00CB2911"/>
    <w:rsid w:val="00CB3259"/>
    <w:rsid w:val="00CB3384"/>
    <w:rsid w:val="00CB5CC6"/>
    <w:rsid w:val="00CB7A9F"/>
    <w:rsid w:val="00CB7BBC"/>
    <w:rsid w:val="00CC0177"/>
    <w:rsid w:val="00CC0AB8"/>
    <w:rsid w:val="00CC0BF9"/>
    <w:rsid w:val="00CD16D0"/>
    <w:rsid w:val="00CD1AE1"/>
    <w:rsid w:val="00CD2230"/>
    <w:rsid w:val="00CD44CE"/>
    <w:rsid w:val="00CD78F0"/>
    <w:rsid w:val="00CE129D"/>
    <w:rsid w:val="00CE1F86"/>
    <w:rsid w:val="00CE3C71"/>
    <w:rsid w:val="00CE77BD"/>
    <w:rsid w:val="00CF1637"/>
    <w:rsid w:val="00CF1736"/>
    <w:rsid w:val="00CF22DC"/>
    <w:rsid w:val="00CF22E7"/>
    <w:rsid w:val="00CF2D1A"/>
    <w:rsid w:val="00CF7370"/>
    <w:rsid w:val="00D05532"/>
    <w:rsid w:val="00D0675C"/>
    <w:rsid w:val="00D11C45"/>
    <w:rsid w:val="00D12E2E"/>
    <w:rsid w:val="00D136E4"/>
    <w:rsid w:val="00D13C2E"/>
    <w:rsid w:val="00D141A5"/>
    <w:rsid w:val="00D1508F"/>
    <w:rsid w:val="00D22C9A"/>
    <w:rsid w:val="00D22D8D"/>
    <w:rsid w:val="00D23600"/>
    <w:rsid w:val="00D23E31"/>
    <w:rsid w:val="00D275A6"/>
    <w:rsid w:val="00D30FA4"/>
    <w:rsid w:val="00D3180B"/>
    <w:rsid w:val="00D33909"/>
    <w:rsid w:val="00D339D8"/>
    <w:rsid w:val="00D34C78"/>
    <w:rsid w:val="00D35785"/>
    <w:rsid w:val="00D35922"/>
    <w:rsid w:val="00D364C9"/>
    <w:rsid w:val="00D36A23"/>
    <w:rsid w:val="00D3741C"/>
    <w:rsid w:val="00D40346"/>
    <w:rsid w:val="00D40463"/>
    <w:rsid w:val="00D406E8"/>
    <w:rsid w:val="00D4080B"/>
    <w:rsid w:val="00D41BD4"/>
    <w:rsid w:val="00D508A4"/>
    <w:rsid w:val="00D51548"/>
    <w:rsid w:val="00D53E5C"/>
    <w:rsid w:val="00D547A1"/>
    <w:rsid w:val="00D569AA"/>
    <w:rsid w:val="00D571A7"/>
    <w:rsid w:val="00D57BF7"/>
    <w:rsid w:val="00D6515E"/>
    <w:rsid w:val="00D6686C"/>
    <w:rsid w:val="00D6734C"/>
    <w:rsid w:val="00D727FB"/>
    <w:rsid w:val="00D72B4B"/>
    <w:rsid w:val="00D76F61"/>
    <w:rsid w:val="00D77AF2"/>
    <w:rsid w:val="00D83A27"/>
    <w:rsid w:val="00D8742F"/>
    <w:rsid w:val="00D87AC2"/>
    <w:rsid w:val="00D929E6"/>
    <w:rsid w:val="00D92C1E"/>
    <w:rsid w:val="00D932F3"/>
    <w:rsid w:val="00D94265"/>
    <w:rsid w:val="00D94993"/>
    <w:rsid w:val="00D9654D"/>
    <w:rsid w:val="00D96A03"/>
    <w:rsid w:val="00D97A18"/>
    <w:rsid w:val="00D97ED9"/>
    <w:rsid w:val="00DA4BB3"/>
    <w:rsid w:val="00DA663C"/>
    <w:rsid w:val="00DB2A35"/>
    <w:rsid w:val="00DB2C57"/>
    <w:rsid w:val="00DC0B65"/>
    <w:rsid w:val="00DC2859"/>
    <w:rsid w:val="00DC4050"/>
    <w:rsid w:val="00DC4421"/>
    <w:rsid w:val="00DC5732"/>
    <w:rsid w:val="00DC5D15"/>
    <w:rsid w:val="00DC625C"/>
    <w:rsid w:val="00DC7C85"/>
    <w:rsid w:val="00DD2F49"/>
    <w:rsid w:val="00DD360A"/>
    <w:rsid w:val="00DD3A6D"/>
    <w:rsid w:val="00DD460B"/>
    <w:rsid w:val="00DE0B45"/>
    <w:rsid w:val="00DE1DCF"/>
    <w:rsid w:val="00DE78A5"/>
    <w:rsid w:val="00DF5D2C"/>
    <w:rsid w:val="00DF600B"/>
    <w:rsid w:val="00DF64DD"/>
    <w:rsid w:val="00E01024"/>
    <w:rsid w:val="00E017CB"/>
    <w:rsid w:val="00E02C8E"/>
    <w:rsid w:val="00E045F4"/>
    <w:rsid w:val="00E047FF"/>
    <w:rsid w:val="00E103E7"/>
    <w:rsid w:val="00E10C59"/>
    <w:rsid w:val="00E21B5A"/>
    <w:rsid w:val="00E23405"/>
    <w:rsid w:val="00E23B41"/>
    <w:rsid w:val="00E266C3"/>
    <w:rsid w:val="00E3021A"/>
    <w:rsid w:val="00E32A68"/>
    <w:rsid w:val="00E32CC4"/>
    <w:rsid w:val="00E32D93"/>
    <w:rsid w:val="00E34957"/>
    <w:rsid w:val="00E35248"/>
    <w:rsid w:val="00E35B30"/>
    <w:rsid w:val="00E406DD"/>
    <w:rsid w:val="00E41E70"/>
    <w:rsid w:val="00E43FD3"/>
    <w:rsid w:val="00E450AD"/>
    <w:rsid w:val="00E454F8"/>
    <w:rsid w:val="00E46F31"/>
    <w:rsid w:val="00E47D4D"/>
    <w:rsid w:val="00E545A4"/>
    <w:rsid w:val="00E54B09"/>
    <w:rsid w:val="00E55C4C"/>
    <w:rsid w:val="00E57EA7"/>
    <w:rsid w:val="00E608CD"/>
    <w:rsid w:val="00E60BF5"/>
    <w:rsid w:val="00E6258A"/>
    <w:rsid w:val="00E63C24"/>
    <w:rsid w:val="00E64807"/>
    <w:rsid w:val="00E703FC"/>
    <w:rsid w:val="00E7084C"/>
    <w:rsid w:val="00E7106F"/>
    <w:rsid w:val="00E72F04"/>
    <w:rsid w:val="00E73652"/>
    <w:rsid w:val="00E73CBA"/>
    <w:rsid w:val="00E76AAB"/>
    <w:rsid w:val="00E82A5E"/>
    <w:rsid w:val="00E847DE"/>
    <w:rsid w:val="00E87CD3"/>
    <w:rsid w:val="00E929FD"/>
    <w:rsid w:val="00E966A5"/>
    <w:rsid w:val="00E97169"/>
    <w:rsid w:val="00E9758B"/>
    <w:rsid w:val="00E9769D"/>
    <w:rsid w:val="00EA140F"/>
    <w:rsid w:val="00EA17A0"/>
    <w:rsid w:val="00EA2DD6"/>
    <w:rsid w:val="00EA2F9A"/>
    <w:rsid w:val="00EA4425"/>
    <w:rsid w:val="00EB08BC"/>
    <w:rsid w:val="00EB0E40"/>
    <w:rsid w:val="00EB14E7"/>
    <w:rsid w:val="00EB4AC4"/>
    <w:rsid w:val="00EB5E37"/>
    <w:rsid w:val="00EB779B"/>
    <w:rsid w:val="00EB7BBA"/>
    <w:rsid w:val="00EC0E19"/>
    <w:rsid w:val="00EC38C9"/>
    <w:rsid w:val="00EC5326"/>
    <w:rsid w:val="00EC5519"/>
    <w:rsid w:val="00EC7230"/>
    <w:rsid w:val="00EC7BCB"/>
    <w:rsid w:val="00ED7B46"/>
    <w:rsid w:val="00ED7F12"/>
    <w:rsid w:val="00EE0498"/>
    <w:rsid w:val="00EE1603"/>
    <w:rsid w:val="00EE2BC2"/>
    <w:rsid w:val="00EE648C"/>
    <w:rsid w:val="00EE78F9"/>
    <w:rsid w:val="00EF0663"/>
    <w:rsid w:val="00EF076B"/>
    <w:rsid w:val="00EF13A3"/>
    <w:rsid w:val="00EF2076"/>
    <w:rsid w:val="00EF290E"/>
    <w:rsid w:val="00EF313C"/>
    <w:rsid w:val="00EF38ED"/>
    <w:rsid w:val="00EF64B4"/>
    <w:rsid w:val="00EF735A"/>
    <w:rsid w:val="00F01DC9"/>
    <w:rsid w:val="00F02A6C"/>
    <w:rsid w:val="00F03BBE"/>
    <w:rsid w:val="00F06EC1"/>
    <w:rsid w:val="00F12171"/>
    <w:rsid w:val="00F12801"/>
    <w:rsid w:val="00F12B07"/>
    <w:rsid w:val="00F13281"/>
    <w:rsid w:val="00F14FBA"/>
    <w:rsid w:val="00F16F69"/>
    <w:rsid w:val="00F17453"/>
    <w:rsid w:val="00F21654"/>
    <w:rsid w:val="00F216A0"/>
    <w:rsid w:val="00F216DC"/>
    <w:rsid w:val="00F22FB4"/>
    <w:rsid w:val="00F23BF3"/>
    <w:rsid w:val="00F32D1A"/>
    <w:rsid w:val="00F36AB0"/>
    <w:rsid w:val="00F40D40"/>
    <w:rsid w:val="00F43A18"/>
    <w:rsid w:val="00F444C9"/>
    <w:rsid w:val="00F457FF"/>
    <w:rsid w:val="00F467B1"/>
    <w:rsid w:val="00F54235"/>
    <w:rsid w:val="00F57C62"/>
    <w:rsid w:val="00F6047D"/>
    <w:rsid w:val="00F63F1A"/>
    <w:rsid w:val="00F6483A"/>
    <w:rsid w:val="00F66615"/>
    <w:rsid w:val="00F66CA3"/>
    <w:rsid w:val="00F70B3C"/>
    <w:rsid w:val="00F7171D"/>
    <w:rsid w:val="00F71899"/>
    <w:rsid w:val="00F72C17"/>
    <w:rsid w:val="00F80EF3"/>
    <w:rsid w:val="00F81909"/>
    <w:rsid w:val="00F82D6A"/>
    <w:rsid w:val="00F82F6E"/>
    <w:rsid w:val="00F83B4C"/>
    <w:rsid w:val="00F846BF"/>
    <w:rsid w:val="00F91201"/>
    <w:rsid w:val="00F91D20"/>
    <w:rsid w:val="00F934D3"/>
    <w:rsid w:val="00F93A58"/>
    <w:rsid w:val="00FA2046"/>
    <w:rsid w:val="00FA5A76"/>
    <w:rsid w:val="00FB0230"/>
    <w:rsid w:val="00FB05D3"/>
    <w:rsid w:val="00FB2BC8"/>
    <w:rsid w:val="00FB3D8C"/>
    <w:rsid w:val="00FB4E50"/>
    <w:rsid w:val="00FB69C5"/>
    <w:rsid w:val="00FC03B9"/>
    <w:rsid w:val="00FC081F"/>
    <w:rsid w:val="00FC2776"/>
    <w:rsid w:val="00FC4D6C"/>
    <w:rsid w:val="00FC6394"/>
    <w:rsid w:val="00FC7752"/>
    <w:rsid w:val="00FD3ABA"/>
    <w:rsid w:val="00FD40E7"/>
    <w:rsid w:val="00FD432E"/>
    <w:rsid w:val="00FD46C8"/>
    <w:rsid w:val="00FD47AC"/>
    <w:rsid w:val="00FD4CF5"/>
    <w:rsid w:val="00FD5DBE"/>
    <w:rsid w:val="00FE10CA"/>
    <w:rsid w:val="00FE20A1"/>
    <w:rsid w:val="00FE4EFE"/>
    <w:rsid w:val="00FE63D5"/>
    <w:rsid w:val="00FE7545"/>
    <w:rsid w:val="00FE767C"/>
    <w:rsid w:val="00FF02BE"/>
    <w:rsid w:val="00FF45DC"/>
    <w:rsid w:val="00FF4D21"/>
    <w:rsid w:val="00FF5056"/>
    <w:rsid w:val="00FF69AA"/>
    <w:rsid w:val="00FF6D1A"/>
    <w:rsid w:val="00FF7257"/>
    <w:rsid w:val="00FF75E8"/>
    <w:rsid w:val="01536654"/>
    <w:rsid w:val="033755DF"/>
    <w:rsid w:val="03CA5580"/>
    <w:rsid w:val="04057375"/>
    <w:rsid w:val="042807E2"/>
    <w:rsid w:val="044A30F0"/>
    <w:rsid w:val="049319D9"/>
    <w:rsid w:val="056735C4"/>
    <w:rsid w:val="058A40EC"/>
    <w:rsid w:val="05FD666C"/>
    <w:rsid w:val="06D90766"/>
    <w:rsid w:val="07397B77"/>
    <w:rsid w:val="07747B21"/>
    <w:rsid w:val="07AA45FD"/>
    <w:rsid w:val="07C02047"/>
    <w:rsid w:val="07C24124"/>
    <w:rsid w:val="090C4E18"/>
    <w:rsid w:val="099459C5"/>
    <w:rsid w:val="09D11FA7"/>
    <w:rsid w:val="09E12241"/>
    <w:rsid w:val="0A5B49F6"/>
    <w:rsid w:val="0AD0794C"/>
    <w:rsid w:val="0B0D0B70"/>
    <w:rsid w:val="0B7D7FDB"/>
    <w:rsid w:val="0C051F47"/>
    <w:rsid w:val="0C2F32F7"/>
    <w:rsid w:val="0C364685"/>
    <w:rsid w:val="0CD9139B"/>
    <w:rsid w:val="0D2C5A88"/>
    <w:rsid w:val="0D3F3A0E"/>
    <w:rsid w:val="0D4C612B"/>
    <w:rsid w:val="0D772182"/>
    <w:rsid w:val="0D8614F5"/>
    <w:rsid w:val="0FD801DC"/>
    <w:rsid w:val="101F3682"/>
    <w:rsid w:val="105421D6"/>
    <w:rsid w:val="106079A9"/>
    <w:rsid w:val="106E0CD2"/>
    <w:rsid w:val="10C04692"/>
    <w:rsid w:val="110F36F7"/>
    <w:rsid w:val="118916FB"/>
    <w:rsid w:val="11D504D2"/>
    <w:rsid w:val="12B0505F"/>
    <w:rsid w:val="12E937A8"/>
    <w:rsid w:val="13EF3430"/>
    <w:rsid w:val="14305E5E"/>
    <w:rsid w:val="1430702E"/>
    <w:rsid w:val="16DE6045"/>
    <w:rsid w:val="16ED5C2A"/>
    <w:rsid w:val="179F4622"/>
    <w:rsid w:val="186C580B"/>
    <w:rsid w:val="18E0605D"/>
    <w:rsid w:val="19006747"/>
    <w:rsid w:val="195041CC"/>
    <w:rsid w:val="19AF5A77"/>
    <w:rsid w:val="19FA3B25"/>
    <w:rsid w:val="1A1B2562"/>
    <w:rsid w:val="1A2A15A2"/>
    <w:rsid w:val="1A2A4D7A"/>
    <w:rsid w:val="1A9971A9"/>
    <w:rsid w:val="1AE67260"/>
    <w:rsid w:val="1B0D3CF4"/>
    <w:rsid w:val="1B972C67"/>
    <w:rsid w:val="1BF43439"/>
    <w:rsid w:val="1D3A1AFC"/>
    <w:rsid w:val="1D422D8E"/>
    <w:rsid w:val="1DCE4116"/>
    <w:rsid w:val="1DD81E6D"/>
    <w:rsid w:val="1F62533A"/>
    <w:rsid w:val="1FF16DE9"/>
    <w:rsid w:val="202251F5"/>
    <w:rsid w:val="20C20786"/>
    <w:rsid w:val="2113002F"/>
    <w:rsid w:val="212F5B6A"/>
    <w:rsid w:val="216C4C40"/>
    <w:rsid w:val="220E58AE"/>
    <w:rsid w:val="22484CBB"/>
    <w:rsid w:val="224D1972"/>
    <w:rsid w:val="22963C78"/>
    <w:rsid w:val="229F1A9D"/>
    <w:rsid w:val="22A7378F"/>
    <w:rsid w:val="24716CB2"/>
    <w:rsid w:val="24A667FE"/>
    <w:rsid w:val="24E41216"/>
    <w:rsid w:val="25381017"/>
    <w:rsid w:val="256C0397"/>
    <w:rsid w:val="26680D97"/>
    <w:rsid w:val="26CC5EBA"/>
    <w:rsid w:val="273074EE"/>
    <w:rsid w:val="279019FD"/>
    <w:rsid w:val="27940380"/>
    <w:rsid w:val="27B16E5E"/>
    <w:rsid w:val="27BB6707"/>
    <w:rsid w:val="27DA60F6"/>
    <w:rsid w:val="298E22AF"/>
    <w:rsid w:val="29AB625B"/>
    <w:rsid w:val="2A1D4C7F"/>
    <w:rsid w:val="2B68546B"/>
    <w:rsid w:val="2B8A00F2"/>
    <w:rsid w:val="2C25727A"/>
    <w:rsid w:val="2C666469"/>
    <w:rsid w:val="2CB5119F"/>
    <w:rsid w:val="2CBA3E53"/>
    <w:rsid w:val="2D012A63"/>
    <w:rsid w:val="2E474078"/>
    <w:rsid w:val="2F4A3E20"/>
    <w:rsid w:val="2F9B467C"/>
    <w:rsid w:val="30075FDB"/>
    <w:rsid w:val="30D212DF"/>
    <w:rsid w:val="314A45AB"/>
    <w:rsid w:val="31691DCE"/>
    <w:rsid w:val="32851613"/>
    <w:rsid w:val="32917143"/>
    <w:rsid w:val="339D76A0"/>
    <w:rsid w:val="33BB3E6D"/>
    <w:rsid w:val="33DD4D9A"/>
    <w:rsid w:val="33ED35AE"/>
    <w:rsid w:val="342D3DCC"/>
    <w:rsid w:val="3454521E"/>
    <w:rsid w:val="34E47945"/>
    <w:rsid w:val="34E72111"/>
    <w:rsid w:val="35A30723"/>
    <w:rsid w:val="35D80965"/>
    <w:rsid w:val="360016DD"/>
    <w:rsid w:val="3676374D"/>
    <w:rsid w:val="36AF4EB1"/>
    <w:rsid w:val="38C8225A"/>
    <w:rsid w:val="38F62E2C"/>
    <w:rsid w:val="39C72BA1"/>
    <w:rsid w:val="3A2D05C6"/>
    <w:rsid w:val="3A556661"/>
    <w:rsid w:val="3B24000B"/>
    <w:rsid w:val="3B450D9C"/>
    <w:rsid w:val="3B5F50F7"/>
    <w:rsid w:val="3BA526EA"/>
    <w:rsid w:val="3BE41159"/>
    <w:rsid w:val="3C68747B"/>
    <w:rsid w:val="3C7D693E"/>
    <w:rsid w:val="3C9310D4"/>
    <w:rsid w:val="3C972F77"/>
    <w:rsid w:val="3CD218F9"/>
    <w:rsid w:val="3CFE679F"/>
    <w:rsid w:val="3D4C5207"/>
    <w:rsid w:val="3DB57875"/>
    <w:rsid w:val="3DC34C62"/>
    <w:rsid w:val="3E0930F8"/>
    <w:rsid w:val="3E66679D"/>
    <w:rsid w:val="3E9D059B"/>
    <w:rsid w:val="3FBE37A3"/>
    <w:rsid w:val="3FCE63A8"/>
    <w:rsid w:val="40211629"/>
    <w:rsid w:val="402507DC"/>
    <w:rsid w:val="406C796F"/>
    <w:rsid w:val="40786B90"/>
    <w:rsid w:val="40795D49"/>
    <w:rsid w:val="40DA0D7C"/>
    <w:rsid w:val="40DD2605"/>
    <w:rsid w:val="40E05EAE"/>
    <w:rsid w:val="421E7333"/>
    <w:rsid w:val="42715390"/>
    <w:rsid w:val="42FA74B4"/>
    <w:rsid w:val="43550093"/>
    <w:rsid w:val="440C122C"/>
    <w:rsid w:val="44493B6F"/>
    <w:rsid w:val="452627E2"/>
    <w:rsid w:val="469F3969"/>
    <w:rsid w:val="47ED3A8B"/>
    <w:rsid w:val="48023774"/>
    <w:rsid w:val="484E4529"/>
    <w:rsid w:val="48AC2D2F"/>
    <w:rsid w:val="48BD62E3"/>
    <w:rsid w:val="48F0738F"/>
    <w:rsid w:val="490947A1"/>
    <w:rsid w:val="4A8D0ADE"/>
    <w:rsid w:val="4AE07476"/>
    <w:rsid w:val="4BF278C2"/>
    <w:rsid w:val="4C2F49F1"/>
    <w:rsid w:val="4C60691A"/>
    <w:rsid w:val="4C8734FD"/>
    <w:rsid w:val="4CCE58CF"/>
    <w:rsid w:val="4E6506BF"/>
    <w:rsid w:val="4E753947"/>
    <w:rsid w:val="4EC1397A"/>
    <w:rsid w:val="4EC70B92"/>
    <w:rsid w:val="4ED11A10"/>
    <w:rsid w:val="4ED816DC"/>
    <w:rsid w:val="4EEF1E97"/>
    <w:rsid w:val="4F277882"/>
    <w:rsid w:val="4F7A5C04"/>
    <w:rsid w:val="4F8B7E11"/>
    <w:rsid w:val="4F960564"/>
    <w:rsid w:val="500C55B2"/>
    <w:rsid w:val="50A96CA1"/>
    <w:rsid w:val="50F87E4B"/>
    <w:rsid w:val="52102E2E"/>
    <w:rsid w:val="52F5541B"/>
    <w:rsid w:val="53005A6E"/>
    <w:rsid w:val="53857743"/>
    <w:rsid w:val="538E1C7E"/>
    <w:rsid w:val="545A4256"/>
    <w:rsid w:val="57633422"/>
    <w:rsid w:val="5783531A"/>
    <w:rsid w:val="57993463"/>
    <w:rsid w:val="57D6220E"/>
    <w:rsid w:val="583F303E"/>
    <w:rsid w:val="586B5AAC"/>
    <w:rsid w:val="58920E5F"/>
    <w:rsid w:val="58B538BA"/>
    <w:rsid w:val="596211EC"/>
    <w:rsid w:val="5A4233BA"/>
    <w:rsid w:val="5A812888"/>
    <w:rsid w:val="5DA1171F"/>
    <w:rsid w:val="5DA87DE0"/>
    <w:rsid w:val="5EC74E05"/>
    <w:rsid w:val="5EEC63F2"/>
    <w:rsid w:val="5F204DB7"/>
    <w:rsid w:val="5F337CD9"/>
    <w:rsid w:val="60067040"/>
    <w:rsid w:val="605B55DE"/>
    <w:rsid w:val="60CC7840"/>
    <w:rsid w:val="619A43A4"/>
    <w:rsid w:val="621A6DD3"/>
    <w:rsid w:val="62546789"/>
    <w:rsid w:val="628567B8"/>
    <w:rsid w:val="62CD3D66"/>
    <w:rsid w:val="63414F5F"/>
    <w:rsid w:val="639D7CBB"/>
    <w:rsid w:val="63A454EE"/>
    <w:rsid w:val="642E4C09"/>
    <w:rsid w:val="646E046B"/>
    <w:rsid w:val="64E8010F"/>
    <w:rsid w:val="657E1276"/>
    <w:rsid w:val="66FE6CC3"/>
    <w:rsid w:val="67447F21"/>
    <w:rsid w:val="677E3E5C"/>
    <w:rsid w:val="67A8670B"/>
    <w:rsid w:val="6A094512"/>
    <w:rsid w:val="6A3D3FA6"/>
    <w:rsid w:val="6AAC213F"/>
    <w:rsid w:val="6B527A6A"/>
    <w:rsid w:val="6C08019C"/>
    <w:rsid w:val="6C271258"/>
    <w:rsid w:val="6CF154D8"/>
    <w:rsid w:val="6D282CA2"/>
    <w:rsid w:val="6D5D0BE7"/>
    <w:rsid w:val="6D61020F"/>
    <w:rsid w:val="6DF07BE2"/>
    <w:rsid w:val="6F7F4719"/>
    <w:rsid w:val="6F881507"/>
    <w:rsid w:val="6FA0069D"/>
    <w:rsid w:val="6FB855AF"/>
    <w:rsid w:val="701B6B38"/>
    <w:rsid w:val="70AF25EE"/>
    <w:rsid w:val="71632544"/>
    <w:rsid w:val="71E80C9B"/>
    <w:rsid w:val="7218332F"/>
    <w:rsid w:val="731F06ED"/>
    <w:rsid w:val="733F223C"/>
    <w:rsid w:val="736E6F7E"/>
    <w:rsid w:val="73A62BED"/>
    <w:rsid w:val="7444545C"/>
    <w:rsid w:val="746740F9"/>
    <w:rsid w:val="74C95577"/>
    <w:rsid w:val="75315950"/>
    <w:rsid w:val="76CA652B"/>
    <w:rsid w:val="774A7EC4"/>
    <w:rsid w:val="777728A5"/>
    <w:rsid w:val="78787121"/>
    <w:rsid w:val="78F16688"/>
    <w:rsid w:val="7A460A2C"/>
    <w:rsid w:val="7A6D7491"/>
    <w:rsid w:val="7A8A28F0"/>
    <w:rsid w:val="7ABC1B8D"/>
    <w:rsid w:val="7AC94203"/>
    <w:rsid w:val="7C8F0A6B"/>
    <w:rsid w:val="7E770E2E"/>
    <w:rsid w:val="7EAF0B77"/>
    <w:rsid w:val="7F631961"/>
    <w:rsid w:val="7FAC50B6"/>
    <w:rsid w:val="7FFC3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5" w:lineRule="auto"/>
      <w:outlineLvl w:val="2"/>
    </w:pPr>
    <w:rPr>
      <w:b/>
      <w:bCs/>
      <w:sz w:val="32"/>
      <w:szCs w:val="32"/>
    </w:rPr>
  </w:style>
  <w:style w:type="paragraph" w:styleId="5">
    <w:name w:val="heading 4"/>
    <w:basedOn w:val="1"/>
    <w:next w:val="1"/>
    <w:link w:val="43"/>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6"/>
    <w:basedOn w:val="1"/>
    <w:next w:val="1"/>
    <w:link w:val="44"/>
    <w:qFormat/>
    <w:uiPriority w:val="0"/>
    <w:pPr>
      <w:keepNext/>
      <w:adjustRightInd w:val="0"/>
      <w:spacing w:line="240" w:lineRule="atLeast"/>
      <w:jc w:val="center"/>
      <w:textAlignment w:val="baseline"/>
      <w:outlineLvl w:val="5"/>
    </w:pPr>
    <w:rPr>
      <w:rFonts w:ascii="Courier New" w:hAnsi="Courier New"/>
      <w:b/>
      <w:kern w:val="0"/>
      <w:sz w:val="32"/>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61"/>
    <w:qFormat/>
    <w:uiPriority w:val="0"/>
    <w:pPr>
      <w:ind w:firstLine="420" w:firstLineChars="200"/>
    </w:pPr>
  </w:style>
  <w:style w:type="paragraph" w:styleId="8">
    <w:name w:val="caption"/>
    <w:basedOn w:val="1"/>
    <w:next w:val="1"/>
    <w:qFormat/>
    <w:uiPriority w:val="99"/>
    <w:rPr>
      <w:rFonts w:ascii="Arial" w:hAnsi="Arial" w:eastAsia="黑体" w:cs="Arial"/>
      <w:sz w:val="20"/>
    </w:rPr>
  </w:style>
  <w:style w:type="paragraph" w:styleId="9">
    <w:name w:val="Document Map"/>
    <w:basedOn w:val="1"/>
    <w:link w:val="46"/>
    <w:qFormat/>
    <w:uiPriority w:val="0"/>
    <w:pPr>
      <w:shd w:val="clear" w:color="auto" w:fill="000080"/>
    </w:pPr>
  </w:style>
  <w:style w:type="paragraph" w:styleId="10">
    <w:name w:val="annotation text"/>
    <w:basedOn w:val="1"/>
    <w:link w:val="45"/>
    <w:qFormat/>
    <w:uiPriority w:val="0"/>
    <w:pPr>
      <w:jc w:val="left"/>
    </w:pPr>
  </w:style>
  <w:style w:type="paragraph" w:styleId="11">
    <w:name w:val="Body Text 3"/>
    <w:basedOn w:val="1"/>
    <w:link w:val="47"/>
    <w:qFormat/>
    <w:uiPriority w:val="0"/>
    <w:pPr>
      <w:spacing w:line="240" w:lineRule="exact"/>
    </w:pPr>
    <w:rPr>
      <w:rFonts w:ascii="宋体" w:hAnsi="宋体"/>
      <w:sz w:val="18"/>
    </w:rPr>
  </w:style>
  <w:style w:type="paragraph" w:styleId="12">
    <w:name w:val="Body Text"/>
    <w:basedOn w:val="1"/>
    <w:link w:val="48"/>
    <w:qFormat/>
    <w:uiPriority w:val="0"/>
    <w:pPr>
      <w:snapToGrid w:val="0"/>
      <w:spacing w:line="400" w:lineRule="exact"/>
      <w:jc w:val="left"/>
    </w:pPr>
    <w:rPr>
      <w:rFonts w:ascii="黑体" w:eastAsia="黑体"/>
      <w:sz w:val="24"/>
      <w:szCs w:val="20"/>
    </w:rPr>
  </w:style>
  <w:style w:type="paragraph" w:styleId="13">
    <w:name w:val="Body Text Indent"/>
    <w:basedOn w:val="1"/>
    <w:next w:val="1"/>
    <w:link w:val="49"/>
    <w:qFormat/>
    <w:uiPriority w:val="0"/>
    <w:pPr>
      <w:spacing w:after="120"/>
      <w:ind w:left="420" w:leftChars="200"/>
    </w:pPr>
  </w:style>
  <w:style w:type="paragraph" w:styleId="14">
    <w:name w:val="List 2"/>
    <w:basedOn w:val="1"/>
    <w:qFormat/>
    <w:uiPriority w:val="0"/>
    <w:pPr>
      <w:ind w:left="100" w:leftChars="200" w:hanging="200" w:hangingChars="200"/>
    </w:pPr>
  </w:style>
  <w:style w:type="paragraph" w:styleId="15">
    <w:name w:val="toc 3"/>
    <w:basedOn w:val="1"/>
    <w:next w:val="1"/>
    <w:qFormat/>
    <w:uiPriority w:val="39"/>
    <w:pPr>
      <w:widowControl/>
      <w:ind w:left="420"/>
      <w:jc w:val="left"/>
    </w:pPr>
    <w:rPr>
      <w:i/>
      <w:iCs/>
      <w:kern w:val="0"/>
      <w:sz w:val="20"/>
      <w:szCs w:val="20"/>
    </w:rPr>
  </w:style>
  <w:style w:type="paragraph" w:styleId="16">
    <w:name w:val="Plain Text"/>
    <w:basedOn w:val="1"/>
    <w:link w:val="50"/>
    <w:qFormat/>
    <w:uiPriority w:val="0"/>
    <w:rPr>
      <w:rFonts w:ascii="宋体" w:hAnsi="Courier New"/>
      <w:szCs w:val="20"/>
    </w:rPr>
  </w:style>
  <w:style w:type="paragraph" w:styleId="17">
    <w:name w:val="Date"/>
    <w:basedOn w:val="1"/>
    <w:next w:val="1"/>
    <w:link w:val="51"/>
    <w:qFormat/>
    <w:uiPriority w:val="0"/>
    <w:pPr>
      <w:autoSpaceDE w:val="0"/>
      <w:autoSpaceDN w:val="0"/>
      <w:adjustRightInd w:val="0"/>
      <w:textAlignment w:val="baseline"/>
    </w:pPr>
    <w:rPr>
      <w:rFonts w:ascii="宋体"/>
      <w:kern w:val="0"/>
      <w:sz w:val="28"/>
      <w:szCs w:val="20"/>
    </w:rPr>
  </w:style>
  <w:style w:type="paragraph" w:styleId="18">
    <w:name w:val="Body Text Indent 2"/>
    <w:basedOn w:val="1"/>
    <w:link w:val="52"/>
    <w:qFormat/>
    <w:uiPriority w:val="0"/>
    <w:pPr>
      <w:spacing w:line="360" w:lineRule="auto"/>
      <w:ind w:firstLine="360"/>
    </w:pPr>
    <w:rPr>
      <w:rFonts w:ascii="宋体"/>
      <w:sz w:val="24"/>
      <w:szCs w:val="20"/>
    </w:rPr>
  </w:style>
  <w:style w:type="paragraph" w:styleId="19">
    <w:name w:val="Balloon Text"/>
    <w:basedOn w:val="1"/>
    <w:link w:val="53"/>
    <w:qFormat/>
    <w:uiPriority w:val="0"/>
    <w:rPr>
      <w:sz w:val="18"/>
      <w:szCs w:val="18"/>
    </w:rPr>
  </w:style>
  <w:style w:type="paragraph" w:styleId="20">
    <w:name w:val="footer"/>
    <w:basedOn w:val="1"/>
    <w:link w:val="54"/>
    <w:qFormat/>
    <w:uiPriority w:val="99"/>
    <w:pPr>
      <w:tabs>
        <w:tab w:val="center" w:pos="4153"/>
        <w:tab w:val="right" w:pos="8306"/>
      </w:tabs>
      <w:snapToGrid w:val="0"/>
      <w:jc w:val="left"/>
    </w:pPr>
    <w:rPr>
      <w:sz w:val="18"/>
      <w:szCs w:val="18"/>
    </w:rPr>
  </w:style>
  <w:style w:type="paragraph" w:styleId="21">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qFormat/>
    <w:uiPriority w:val="0"/>
    <w:rPr>
      <w:rFonts w:eastAsia="黑体"/>
      <w:b/>
      <w:sz w:val="28"/>
      <w:szCs w:val="20"/>
    </w:rPr>
  </w:style>
  <w:style w:type="paragraph" w:styleId="23">
    <w:name w:val="index 1"/>
    <w:basedOn w:val="1"/>
    <w:next w:val="1"/>
    <w:qFormat/>
    <w:uiPriority w:val="0"/>
  </w:style>
  <w:style w:type="paragraph" w:styleId="24">
    <w:name w:val="Body Text Indent 3"/>
    <w:basedOn w:val="1"/>
    <w:qFormat/>
    <w:uiPriority w:val="0"/>
    <w:pPr>
      <w:spacing w:line="360" w:lineRule="exact"/>
      <w:ind w:firstLine="420" w:firstLineChars="200"/>
    </w:pPr>
  </w:style>
  <w:style w:type="paragraph" w:styleId="25">
    <w:name w:val="toc 2"/>
    <w:basedOn w:val="26"/>
    <w:next w:val="26"/>
    <w:qFormat/>
    <w:uiPriority w:val="39"/>
    <w:pPr>
      <w:ind w:left="420"/>
    </w:pPr>
    <w:rPr>
      <w:rFonts w:eastAsia="仿宋_GB2312"/>
      <w:b/>
      <w:sz w:val="24"/>
      <w:szCs w:val="20"/>
    </w:rPr>
  </w:style>
  <w:style w:type="paragraph" w:styleId="26">
    <w:name w:val="index 2"/>
    <w:basedOn w:val="1"/>
    <w:next w:val="1"/>
    <w:qFormat/>
    <w:uiPriority w:val="0"/>
    <w:pPr>
      <w:ind w:left="200" w:leftChars="200"/>
    </w:pPr>
  </w:style>
  <w:style w:type="paragraph" w:styleId="27">
    <w:name w:val="Body Text 2"/>
    <w:basedOn w:val="1"/>
    <w:link w:val="56"/>
    <w:qFormat/>
    <w:uiPriority w:val="0"/>
    <w:pPr>
      <w:spacing w:after="120" w:line="480" w:lineRule="auto"/>
    </w:p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qFormat/>
    <w:uiPriority w:val="0"/>
    <w:pPr>
      <w:jc w:val="center"/>
    </w:pPr>
    <w:rPr>
      <w:sz w:val="48"/>
    </w:rPr>
  </w:style>
  <w:style w:type="paragraph" w:styleId="30">
    <w:name w:val="annotation subject"/>
    <w:basedOn w:val="10"/>
    <w:next w:val="10"/>
    <w:link w:val="148"/>
    <w:qFormat/>
    <w:uiPriority w:val="0"/>
    <w:rPr>
      <w:b/>
      <w:bCs/>
    </w:rPr>
  </w:style>
  <w:style w:type="paragraph" w:styleId="31">
    <w:name w:val="Body Text First Indent 2"/>
    <w:basedOn w:val="13"/>
    <w:link w:val="169"/>
    <w:qFormat/>
    <w:uiPriority w:val="0"/>
    <w:pPr>
      <w:autoSpaceDE w:val="0"/>
      <w:autoSpaceDN w:val="0"/>
      <w:ind w:firstLine="420" w:firstLineChars="200"/>
      <w:jc w:val="left"/>
    </w:pPr>
    <w:rPr>
      <w:rFonts w:ascii="宋体" w:hAnsi="宋体" w:cs="宋体"/>
      <w:kern w:val="0"/>
      <w:sz w:val="22"/>
      <w:szCs w:val="20"/>
      <w:lang w:val="zh-CN" w:bidi="zh-CN"/>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99"/>
    <w:rPr>
      <w:color w:val="800080"/>
      <w:u w:val="single"/>
    </w:rPr>
  </w:style>
  <w:style w:type="character" w:styleId="38">
    <w:name w:val="Emphasis"/>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2 字符1"/>
    <w:link w:val="3"/>
    <w:qFormat/>
    <w:uiPriority w:val="0"/>
    <w:rPr>
      <w:rFonts w:ascii="Arial" w:hAnsi="Arial" w:eastAsia="黑体"/>
      <w:b/>
      <w:bCs/>
      <w:kern w:val="2"/>
      <w:sz w:val="32"/>
      <w:szCs w:val="32"/>
      <w:lang w:val="en-US" w:eastAsia="zh-CN" w:bidi="ar-SA"/>
    </w:rPr>
  </w:style>
  <w:style w:type="character" w:customStyle="1" w:styleId="42">
    <w:name w:val="标题 3 字符"/>
    <w:link w:val="4"/>
    <w:qFormat/>
    <w:uiPriority w:val="0"/>
    <w:rPr>
      <w:rFonts w:eastAsia="宋体"/>
      <w:b/>
      <w:bCs/>
      <w:kern w:val="2"/>
      <w:sz w:val="32"/>
      <w:szCs w:val="32"/>
      <w:lang w:val="en-US" w:eastAsia="zh-CN" w:bidi="ar-SA"/>
    </w:rPr>
  </w:style>
  <w:style w:type="character" w:customStyle="1" w:styleId="43">
    <w:name w:val="标题 4 字符"/>
    <w:link w:val="5"/>
    <w:qFormat/>
    <w:uiPriority w:val="0"/>
    <w:rPr>
      <w:rFonts w:ascii="宋体" w:hAnsi="宋体" w:eastAsia="宋体" w:cs="宋体"/>
      <w:b/>
      <w:bCs/>
      <w:sz w:val="24"/>
      <w:szCs w:val="24"/>
      <w:lang w:val="en-US" w:eastAsia="zh-CN" w:bidi="ar-SA"/>
    </w:rPr>
  </w:style>
  <w:style w:type="character" w:customStyle="1" w:styleId="44">
    <w:name w:val="标题 6 字符"/>
    <w:link w:val="6"/>
    <w:qFormat/>
    <w:uiPriority w:val="0"/>
    <w:rPr>
      <w:rFonts w:ascii="Courier New" w:hAnsi="Courier New" w:eastAsia="宋体"/>
      <w:b/>
      <w:sz w:val="32"/>
      <w:lang w:val="en-US" w:eastAsia="zh-CN" w:bidi="ar-SA"/>
    </w:rPr>
  </w:style>
  <w:style w:type="character" w:customStyle="1" w:styleId="45">
    <w:name w:val="批注文字 字符"/>
    <w:link w:val="10"/>
    <w:qFormat/>
    <w:uiPriority w:val="0"/>
    <w:rPr>
      <w:rFonts w:eastAsia="宋体"/>
      <w:kern w:val="2"/>
      <w:sz w:val="21"/>
      <w:szCs w:val="24"/>
      <w:lang w:val="en-US" w:eastAsia="zh-CN" w:bidi="ar-SA"/>
    </w:rPr>
  </w:style>
  <w:style w:type="character" w:customStyle="1" w:styleId="46">
    <w:name w:val="文档结构图 字符"/>
    <w:link w:val="9"/>
    <w:qFormat/>
    <w:uiPriority w:val="0"/>
    <w:rPr>
      <w:rFonts w:eastAsia="宋体"/>
      <w:kern w:val="2"/>
      <w:sz w:val="21"/>
      <w:szCs w:val="24"/>
      <w:lang w:val="en-US" w:eastAsia="zh-CN" w:bidi="ar-SA"/>
    </w:rPr>
  </w:style>
  <w:style w:type="character" w:customStyle="1" w:styleId="47">
    <w:name w:val="正文文本 3 字符"/>
    <w:link w:val="11"/>
    <w:qFormat/>
    <w:uiPriority w:val="0"/>
    <w:rPr>
      <w:rFonts w:ascii="宋体" w:hAnsi="宋体" w:eastAsia="宋体"/>
      <w:kern w:val="2"/>
      <w:sz w:val="18"/>
      <w:szCs w:val="24"/>
      <w:lang w:val="en-US" w:eastAsia="zh-CN" w:bidi="ar-SA"/>
    </w:rPr>
  </w:style>
  <w:style w:type="character" w:customStyle="1" w:styleId="48">
    <w:name w:val="正文文本 字符"/>
    <w:link w:val="12"/>
    <w:qFormat/>
    <w:uiPriority w:val="0"/>
    <w:rPr>
      <w:rFonts w:ascii="黑体" w:eastAsia="黑体"/>
      <w:kern w:val="2"/>
      <w:sz w:val="24"/>
      <w:lang w:val="en-US" w:eastAsia="zh-CN" w:bidi="ar-SA"/>
    </w:rPr>
  </w:style>
  <w:style w:type="character" w:customStyle="1" w:styleId="49">
    <w:name w:val="正文文本缩进 字符"/>
    <w:link w:val="13"/>
    <w:qFormat/>
    <w:uiPriority w:val="0"/>
    <w:rPr>
      <w:rFonts w:eastAsia="宋体"/>
      <w:kern w:val="2"/>
      <w:sz w:val="21"/>
      <w:szCs w:val="24"/>
      <w:lang w:val="en-US" w:eastAsia="zh-CN" w:bidi="ar-SA"/>
    </w:rPr>
  </w:style>
  <w:style w:type="character" w:customStyle="1" w:styleId="50">
    <w:name w:val="纯文本 字符"/>
    <w:link w:val="16"/>
    <w:qFormat/>
    <w:uiPriority w:val="99"/>
    <w:rPr>
      <w:rFonts w:ascii="宋体" w:hAnsi="Courier New" w:eastAsia="宋体"/>
      <w:kern w:val="2"/>
      <w:sz w:val="21"/>
      <w:lang w:val="en-US" w:eastAsia="zh-CN" w:bidi="ar-SA"/>
    </w:rPr>
  </w:style>
  <w:style w:type="character" w:customStyle="1" w:styleId="51">
    <w:name w:val="日期 字符"/>
    <w:link w:val="17"/>
    <w:qFormat/>
    <w:uiPriority w:val="0"/>
    <w:rPr>
      <w:rFonts w:ascii="宋体" w:eastAsia="宋体"/>
      <w:sz w:val="28"/>
      <w:lang w:val="en-US" w:eastAsia="zh-CN" w:bidi="ar-SA"/>
    </w:rPr>
  </w:style>
  <w:style w:type="character" w:customStyle="1" w:styleId="52">
    <w:name w:val="正文文本缩进 2 字符"/>
    <w:link w:val="18"/>
    <w:qFormat/>
    <w:uiPriority w:val="0"/>
    <w:rPr>
      <w:rFonts w:ascii="宋体" w:eastAsia="宋体"/>
      <w:kern w:val="2"/>
      <w:sz w:val="24"/>
      <w:lang w:val="en-US" w:eastAsia="zh-CN" w:bidi="ar-SA"/>
    </w:rPr>
  </w:style>
  <w:style w:type="character" w:customStyle="1" w:styleId="53">
    <w:name w:val="批注框文本 字符"/>
    <w:link w:val="19"/>
    <w:qFormat/>
    <w:uiPriority w:val="0"/>
    <w:rPr>
      <w:rFonts w:eastAsia="宋体"/>
      <w:kern w:val="2"/>
      <w:sz w:val="18"/>
      <w:szCs w:val="18"/>
      <w:lang w:val="en-US" w:eastAsia="zh-CN" w:bidi="ar-SA"/>
    </w:rPr>
  </w:style>
  <w:style w:type="character" w:customStyle="1" w:styleId="54">
    <w:name w:val="页脚 字符"/>
    <w:link w:val="20"/>
    <w:qFormat/>
    <w:uiPriority w:val="99"/>
    <w:rPr>
      <w:rFonts w:eastAsia="宋体"/>
      <w:kern w:val="2"/>
      <w:sz w:val="18"/>
      <w:szCs w:val="18"/>
      <w:lang w:val="en-US" w:eastAsia="zh-CN" w:bidi="ar-SA"/>
    </w:rPr>
  </w:style>
  <w:style w:type="character" w:customStyle="1" w:styleId="55">
    <w:name w:val="页眉 字符"/>
    <w:link w:val="21"/>
    <w:qFormat/>
    <w:uiPriority w:val="0"/>
    <w:rPr>
      <w:kern w:val="2"/>
      <w:sz w:val="18"/>
      <w:szCs w:val="18"/>
    </w:rPr>
  </w:style>
  <w:style w:type="character" w:customStyle="1" w:styleId="56">
    <w:name w:val="正文文本 2 字符"/>
    <w:link w:val="27"/>
    <w:qFormat/>
    <w:uiPriority w:val="0"/>
    <w:rPr>
      <w:rFonts w:eastAsia="宋体"/>
      <w:kern w:val="2"/>
      <w:sz w:val="21"/>
      <w:szCs w:val="24"/>
      <w:lang w:val="en-US" w:eastAsia="zh-CN" w:bidi="ar-SA"/>
    </w:rPr>
  </w:style>
  <w:style w:type="paragraph" w:customStyle="1" w:styleId="57">
    <w:name w:val="Table Text"/>
    <w:basedOn w:val="1"/>
    <w:link w:val="58"/>
    <w:qFormat/>
    <w:uiPriority w:val="0"/>
    <w:pPr>
      <w:widowControl/>
      <w:tabs>
        <w:tab w:val="decimal" w:pos="0"/>
      </w:tabs>
      <w:autoSpaceDE w:val="0"/>
      <w:autoSpaceDN w:val="0"/>
      <w:adjustRightInd w:val="0"/>
      <w:spacing w:before="80" w:after="80"/>
    </w:pPr>
    <w:rPr>
      <w:rFonts w:ascii="Arial" w:hAnsi="Arial"/>
      <w:kern w:val="0"/>
      <w:sz w:val="18"/>
      <w:szCs w:val="20"/>
    </w:rPr>
  </w:style>
  <w:style w:type="character" w:customStyle="1" w:styleId="58">
    <w:name w:val="Table Text Char1"/>
    <w:link w:val="57"/>
    <w:qFormat/>
    <w:uiPriority w:val="0"/>
    <w:rPr>
      <w:rFonts w:ascii="Arial" w:hAnsi="Arial" w:eastAsia="宋体"/>
      <w:sz w:val="18"/>
      <w:lang w:val="en-US" w:eastAsia="zh-CN" w:bidi="ar-SA"/>
    </w:rPr>
  </w:style>
  <w:style w:type="paragraph" w:customStyle="1" w:styleId="59">
    <w:name w:val="批注主题1"/>
    <w:basedOn w:val="10"/>
    <w:next w:val="10"/>
    <w:link w:val="60"/>
    <w:qFormat/>
    <w:uiPriority w:val="0"/>
    <w:rPr>
      <w:b/>
      <w:bCs/>
      <w:kern w:val="0"/>
      <w:sz w:val="20"/>
    </w:rPr>
  </w:style>
  <w:style w:type="character" w:customStyle="1" w:styleId="60">
    <w:name w:val="批注主题 Char Char"/>
    <w:link w:val="59"/>
    <w:qFormat/>
    <w:uiPriority w:val="0"/>
    <w:rPr>
      <w:rFonts w:eastAsia="宋体"/>
      <w:b/>
      <w:bCs/>
      <w:szCs w:val="24"/>
      <w:lang w:bidi="ar-SA"/>
    </w:rPr>
  </w:style>
  <w:style w:type="paragraph" w:customStyle="1" w:styleId="61">
    <w:name w:val="正文文本缩进 31"/>
    <w:basedOn w:val="1"/>
    <w:link w:val="62"/>
    <w:qFormat/>
    <w:uiPriority w:val="0"/>
    <w:pPr>
      <w:spacing w:line="400" w:lineRule="exact"/>
      <w:ind w:left="2" w:leftChars="1"/>
    </w:pPr>
    <w:rPr>
      <w:rFonts w:ascii="宋体" w:hAnsi="宋体"/>
      <w:kern w:val="0"/>
      <w:sz w:val="20"/>
      <w:szCs w:val="20"/>
    </w:rPr>
  </w:style>
  <w:style w:type="character" w:customStyle="1" w:styleId="62">
    <w:name w:val="正文文本缩进 3 Char Char"/>
    <w:link w:val="61"/>
    <w:qFormat/>
    <w:uiPriority w:val="0"/>
    <w:rPr>
      <w:rFonts w:ascii="宋体" w:hAnsi="宋体" w:eastAsia="宋体"/>
      <w:lang w:bidi="ar-SA"/>
    </w:rPr>
  </w:style>
  <w:style w:type="paragraph" w:customStyle="1" w:styleId="63">
    <w:name w:val="Table Heading"/>
    <w:link w:val="64"/>
    <w:qFormat/>
    <w:uiPriority w:val="0"/>
    <w:pPr>
      <w:keepNext/>
      <w:snapToGrid w:val="0"/>
      <w:spacing w:before="80" w:after="80"/>
      <w:jc w:val="center"/>
    </w:pPr>
    <w:rPr>
      <w:rFonts w:ascii="Arial" w:hAnsi="Arial" w:eastAsia="黑体" w:cs="Arial"/>
      <w:sz w:val="18"/>
      <w:szCs w:val="18"/>
      <w:lang w:val="en-US" w:eastAsia="zh-CN" w:bidi="ar-SA"/>
    </w:rPr>
  </w:style>
  <w:style w:type="character" w:customStyle="1" w:styleId="64">
    <w:name w:val="Table Heading Char Char"/>
    <w:link w:val="63"/>
    <w:qFormat/>
    <w:uiPriority w:val="0"/>
    <w:rPr>
      <w:rFonts w:ascii="Arial" w:hAnsi="Arial" w:eastAsia="黑体" w:cs="Arial"/>
      <w:sz w:val="18"/>
      <w:szCs w:val="18"/>
      <w:lang w:val="en-US" w:eastAsia="zh-CN" w:bidi="ar-SA"/>
    </w:rPr>
  </w:style>
  <w:style w:type="paragraph" w:customStyle="1" w:styleId="65">
    <w:name w:val="图1"/>
    <w:basedOn w:val="1"/>
    <w:next w:val="1"/>
    <w:qFormat/>
    <w:uiPriority w:val="0"/>
    <w:pPr>
      <w:tabs>
        <w:tab w:val="left" w:pos="777"/>
      </w:tabs>
      <w:spacing w:beforeLines="50" w:afterLines="100" w:line="360" w:lineRule="auto"/>
      <w:ind w:left="2210" w:hanging="748"/>
      <w:jc w:val="center"/>
    </w:pPr>
    <w:rPr>
      <w:sz w:val="24"/>
      <w:szCs w:val="20"/>
    </w:rPr>
  </w:style>
  <w:style w:type="paragraph" w:customStyle="1" w:styleId="6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Char Char Char Char Char Char Char Char Char Char Char Char Char Char Char Char Char Char1 Char Char Char1 Char"/>
    <w:basedOn w:val="1"/>
    <w:qFormat/>
    <w:uiPriority w:val="0"/>
    <w:pPr>
      <w:tabs>
        <w:tab w:val="left" w:pos="360"/>
      </w:tabs>
      <w:ind w:left="360" w:hanging="360" w:hangingChars="200"/>
    </w:pPr>
    <w:rPr>
      <w:sz w:val="24"/>
    </w:rPr>
  </w:style>
  <w:style w:type="paragraph" w:customStyle="1" w:styleId="68">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69">
    <w:name w:val="Char Char Char Char Char Char Char Char Char Char Char Char Char Char Char Char"/>
    <w:basedOn w:val="1"/>
    <w:qFormat/>
    <w:uiPriority w:val="0"/>
    <w:pPr>
      <w:tabs>
        <w:tab w:val="left" w:pos="360"/>
      </w:tabs>
    </w:pPr>
  </w:style>
  <w:style w:type="paragraph" w:customStyle="1" w:styleId="70">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修订1"/>
    <w:semiHidden/>
    <w:qFormat/>
    <w:uiPriority w:val="0"/>
    <w:rPr>
      <w:rFonts w:ascii="Calibri" w:hAnsi="Calibri" w:eastAsia="宋体" w:cs="Times New Roman"/>
      <w:kern w:val="2"/>
      <w:sz w:val="21"/>
      <w:szCs w:val="22"/>
      <w:lang w:val="en-US" w:eastAsia="zh-CN" w:bidi="ar-SA"/>
    </w:rPr>
  </w:style>
  <w:style w:type="paragraph" w:customStyle="1" w:styleId="72">
    <w:name w:val="p0"/>
    <w:basedOn w:val="1"/>
    <w:qFormat/>
    <w:uiPriority w:val="0"/>
    <w:pPr>
      <w:widowControl/>
    </w:pPr>
    <w:rPr>
      <w:rFonts w:ascii="Calibri" w:hAnsi="Calibri" w:cs="Calibri"/>
      <w:kern w:val="0"/>
      <w:szCs w:val="21"/>
    </w:rPr>
  </w:style>
  <w:style w:type="paragraph" w:customStyle="1" w:styleId="73">
    <w:name w:val="列出段落1"/>
    <w:basedOn w:val="1"/>
    <w:qFormat/>
    <w:uiPriority w:val="34"/>
    <w:pPr>
      <w:ind w:left="720"/>
    </w:pPr>
    <w:rPr>
      <w:szCs w:val="20"/>
    </w:rPr>
  </w:style>
  <w:style w:type="paragraph" w:customStyle="1" w:styleId="74">
    <w:name w:val="样式 华文细黑 小四 加粗 自定义颜(RGB(0125218)) 行距: 固定值 14 磅"/>
    <w:basedOn w:val="1"/>
    <w:qFormat/>
    <w:uiPriority w:val="0"/>
    <w:pPr>
      <w:spacing w:beforeLines="50" w:afterLines="50" w:line="280" w:lineRule="exact"/>
    </w:pPr>
    <w:rPr>
      <w:rFonts w:ascii="华文细黑" w:hAnsi="华文细黑" w:eastAsia="华文细黑" w:cs="宋体"/>
      <w:b/>
      <w:bCs/>
      <w:color w:val="007DDA"/>
      <w:sz w:val="24"/>
      <w:szCs w:val="20"/>
    </w:rPr>
  </w:style>
  <w:style w:type="paragraph" w:customStyle="1" w:styleId="75">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76">
    <w:name w:val="Char Char Char Char Char Char Char Char Char Char Char Char Char Char Char Char Char Char1 Char Char Char1 Char1"/>
    <w:basedOn w:val="1"/>
    <w:qFormat/>
    <w:uiPriority w:val="0"/>
    <w:pPr>
      <w:tabs>
        <w:tab w:val="left" w:pos="360"/>
      </w:tabs>
      <w:ind w:left="360" w:hanging="360" w:hangingChars="200"/>
    </w:pPr>
    <w:rPr>
      <w:sz w:val="24"/>
    </w:rPr>
  </w:style>
  <w:style w:type="paragraph" w:customStyle="1" w:styleId="77">
    <w:name w:val="Char Char Char Char Char Char Char Char Char Char Char Char Char Char Char Char1"/>
    <w:basedOn w:val="1"/>
    <w:qFormat/>
    <w:uiPriority w:val="0"/>
    <w:pPr>
      <w:tabs>
        <w:tab w:val="left" w:pos="360"/>
      </w:tabs>
    </w:pPr>
  </w:style>
  <w:style w:type="paragraph" w:customStyle="1" w:styleId="78">
    <w:name w:val="正文 A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7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0">
    <w:name w:val="列出段落111"/>
    <w:basedOn w:val="1"/>
    <w:qFormat/>
    <w:uiPriority w:val="34"/>
    <w:pPr>
      <w:ind w:firstLine="420" w:firstLineChars="200"/>
    </w:pPr>
  </w:style>
  <w:style w:type="paragraph" w:customStyle="1" w:styleId="81">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2">
    <w:name w:val="List Paragraph1"/>
    <w:basedOn w:val="1"/>
    <w:qFormat/>
    <w:uiPriority w:val="0"/>
    <w:pPr>
      <w:widowControl/>
      <w:spacing w:after="200" w:line="276" w:lineRule="auto"/>
      <w:ind w:left="720"/>
      <w:jc w:val="left"/>
    </w:pPr>
    <w:rPr>
      <w:rFonts w:ascii="Calibri" w:hAnsi="Calibri" w:eastAsia="Calibri"/>
      <w:kern w:val="0"/>
      <w:sz w:val="22"/>
      <w:szCs w:val="22"/>
      <w:lang w:eastAsia="en-US"/>
    </w:rPr>
  </w:style>
  <w:style w:type="paragraph" w:customStyle="1" w:styleId="83">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4">
    <w:name w:val="Char1"/>
    <w:basedOn w:val="1"/>
    <w:qFormat/>
    <w:uiPriority w:val="0"/>
    <w:pPr>
      <w:widowControl/>
      <w:spacing w:line="400" w:lineRule="exact"/>
      <w:jc w:val="center"/>
    </w:pPr>
    <w:rPr>
      <w:rFonts w:ascii="Verdana" w:hAnsi="Verdana"/>
      <w:kern w:val="0"/>
      <w:szCs w:val="20"/>
      <w:lang w:eastAsia="en-US"/>
    </w:rPr>
  </w:style>
  <w:style w:type="paragraph" w:customStyle="1" w:styleId="8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7">
    <w:name w:val="正文文本缩进 311"/>
    <w:basedOn w:val="1"/>
    <w:qFormat/>
    <w:uiPriority w:val="0"/>
    <w:pPr>
      <w:spacing w:line="400" w:lineRule="exact"/>
      <w:ind w:left="2" w:leftChars="1"/>
    </w:pPr>
    <w:rPr>
      <w:rFonts w:ascii="宋体" w:hAnsi="宋体"/>
      <w:szCs w:val="22"/>
    </w:rPr>
  </w:style>
  <w:style w:type="paragraph" w:customStyle="1" w:styleId="88">
    <w:name w:val="批注主题11"/>
    <w:basedOn w:val="10"/>
    <w:next w:val="10"/>
    <w:qFormat/>
    <w:uiPriority w:val="0"/>
    <w:rPr>
      <w:rFonts w:ascii="Calibri" w:hAnsi="Calibri"/>
      <w:b/>
      <w:bCs/>
    </w:rPr>
  </w:style>
  <w:style w:type="paragraph" w:customStyle="1" w:styleId="8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0">
    <w:name w:val="样式3"/>
    <w:basedOn w:val="1"/>
    <w:qFormat/>
    <w:uiPriority w:val="0"/>
    <w:pPr>
      <w:widowControl/>
      <w:spacing w:line="520" w:lineRule="exact"/>
      <w:ind w:firstLine="562" w:firstLineChars="200"/>
    </w:pPr>
    <w:rPr>
      <w:rFonts w:eastAsia="黑体"/>
      <w:b/>
      <w:kern w:val="0"/>
      <w:sz w:val="28"/>
      <w:szCs w:val="28"/>
    </w:rPr>
  </w:style>
  <w:style w:type="character" w:customStyle="1" w:styleId="91">
    <w:name w:val="Char Char1"/>
    <w:qFormat/>
    <w:uiPriority w:val="0"/>
    <w:rPr>
      <w:rFonts w:ascii="宋体" w:hAnsi="Courier New" w:eastAsia="宋体"/>
      <w:kern w:val="2"/>
      <w:sz w:val="21"/>
      <w:lang w:val="en-US" w:eastAsia="zh-CN" w:bidi="ar-SA"/>
    </w:rPr>
  </w:style>
  <w:style w:type="character" w:customStyle="1" w:styleId="92">
    <w:name w:val="纯文本 Char Char"/>
    <w:qFormat/>
    <w:uiPriority w:val="0"/>
    <w:rPr>
      <w:rFonts w:ascii="宋体" w:hAnsi="Courier New" w:eastAsia="宋体"/>
      <w:kern w:val="2"/>
      <w:sz w:val="21"/>
      <w:lang w:val="en-US" w:eastAsia="zh-CN" w:bidi="ar-SA"/>
    </w:rPr>
  </w:style>
  <w:style w:type="character" w:customStyle="1" w:styleId="93">
    <w:name w:val="hui3"/>
    <w:qFormat/>
    <w:uiPriority w:val="0"/>
    <w:rPr>
      <w:color w:val="333333"/>
    </w:rPr>
  </w:style>
  <w:style w:type="character" w:customStyle="1" w:styleId="94">
    <w:name w:val="rili11"/>
    <w:qFormat/>
    <w:uiPriority w:val="0"/>
    <w:rPr>
      <w:sz w:val="21"/>
      <w:szCs w:val="21"/>
    </w:rPr>
  </w:style>
  <w:style w:type="character" w:customStyle="1" w:styleId="95">
    <w:name w:val="批注主题 Char"/>
    <w:qFormat/>
    <w:uiPriority w:val="0"/>
    <w:rPr>
      <w:rFonts w:eastAsia="宋体"/>
      <w:b/>
      <w:bCs/>
      <w:szCs w:val="24"/>
      <w:lang w:bidi="ar-SA"/>
    </w:rPr>
  </w:style>
  <w:style w:type="character" w:customStyle="1" w:styleId="96">
    <w:name w:val="Table Heading Char"/>
    <w:qFormat/>
    <w:uiPriority w:val="0"/>
    <w:rPr>
      <w:rFonts w:ascii="Arial" w:hAnsi="Arial" w:eastAsia="黑体" w:cs="Arial"/>
      <w:sz w:val="18"/>
      <w:szCs w:val="18"/>
      <w:lang w:val="en-US" w:eastAsia="zh-CN" w:bidi="ar-SA"/>
    </w:rPr>
  </w:style>
  <w:style w:type="character" w:customStyle="1" w:styleId="97">
    <w:name w:val="f-25"/>
    <w:basedOn w:val="34"/>
    <w:qFormat/>
    <w:uiPriority w:val="0"/>
  </w:style>
  <w:style w:type="character" w:customStyle="1" w:styleId="98">
    <w:name w:val="正文文本 Char"/>
    <w:qFormat/>
    <w:uiPriority w:val="0"/>
    <w:rPr>
      <w:rFonts w:ascii="黑体" w:eastAsia="黑体"/>
      <w:kern w:val="2"/>
      <w:sz w:val="24"/>
      <w:lang w:val="en-US" w:eastAsia="zh-CN" w:bidi="ar-SA"/>
    </w:rPr>
  </w:style>
  <w:style w:type="character" w:customStyle="1" w:styleId="99">
    <w:name w:val="16"/>
    <w:qFormat/>
    <w:uiPriority w:val="0"/>
    <w:rPr>
      <w:rFonts w:hint="default" w:ascii="Times New Roman" w:hAnsi="Times New Roman" w:cs="Times New Roman"/>
      <w:color w:val="0000FF"/>
      <w:u w:val="single"/>
    </w:rPr>
  </w:style>
  <w:style w:type="character" w:customStyle="1" w:styleId="100">
    <w:name w:val="纯文本 Char"/>
    <w:qFormat/>
    <w:uiPriority w:val="0"/>
    <w:rPr>
      <w:rFonts w:ascii="宋体" w:hAnsi="Courier New" w:eastAsia="宋体"/>
      <w:kern w:val="2"/>
      <w:sz w:val="21"/>
      <w:lang w:val="en-US" w:eastAsia="zh-CN" w:bidi="ar-SA"/>
    </w:rPr>
  </w:style>
  <w:style w:type="character" w:customStyle="1" w:styleId="101">
    <w:name w:val="Char Char8"/>
    <w:qFormat/>
    <w:uiPriority w:val="0"/>
    <w:rPr>
      <w:rFonts w:ascii="宋体" w:hAnsi="Courier New" w:eastAsia="宋体"/>
      <w:kern w:val="2"/>
      <w:sz w:val="21"/>
      <w:lang w:val="en-US" w:eastAsia="zh-CN" w:bidi="ar-SA"/>
    </w:rPr>
  </w:style>
  <w:style w:type="character" w:customStyle="1" w:styleId="102">
    <w:name w:val="Char Char6"/>
    <w:qFormat/>
    <w:uiPriority w:val="0"/>
    <w:rPr>
      <w:rFonts w:ascii="Arial" w:hAnsi="Arial" w:eastAsia="黑体"/>
      <w:b/>
      <w:bCs/>
      <w:kern w:val="2"/>
      <w:sz w:val="32"/>
      <w:szCs w:val="32"/>
      <w:lang w:val="en-US" w:eastAsia="zh-CN" w:bidi="ar-SA"/>
    </w:rPr>
  </w:style>
  <w:style w:type="character" w:customStyle="1" w:styleId="103">
    <w:name w:val="正文文本缩进 3 Char"/>
    <w:qFormat/>
    <w:uiPriority w:val="0"/>
    <w:rPr>
      <w:rFonts w:ascii="宋体" w:hAnsi="宋体" w:eastAsia="宋体"/>
      <w:lang w:bidi="ar-SA"/>
    </w:rPr>
  </w:style>
  <w:style w:type="character" w:customStyle="1" w:styleId="104">
    <w:name w:val="apple-style-span"/>
    <w:basedOn w:val="34"/>
    <w:qFormat/>
    <w:uiPriority w:val="0"/>
  </w:style>
  <w:style w:type="character" w:customStyle="1" w:styleId="105">
    <w:name w:val="b titlename wangputoptitle"/>
    <w:basedOn w:val="34"/>
    <w:qFormat/>
    <w:uiPriority w:val="0"/>
  </w:style>
  <w:style w:type="character" w:customStyle="1" w:styleId="106">
    <w:name w:val="正文文本 Char Char"/>
    <w:qFormat/>
    <w:uiPriority w:val="0"/>
    <w:rPr>
      <w:rFonts w:ascii="黑体" w:eastAsia="黑体"/>
      <w:kern w:val="2"/>
      <w:sz w:val="24"/>
      <w:lang w:val="en-US" w:eastAsia="zh-CN" w:bidi="ar-SA"/>
    </w:rPr>
  </w:style>
  <w:style w:type="character" w:customStyle="1" w:styleId="107">
    <w:name w:val="Char Char"/>
    <w:qFormat/>
    <w:uiPriority w:val="0"/>
    <w:rPr>
      <w:rFonts w:ascii="Arial" w:hAnsi="Arial" w:eastAsia="黑体"/>
      <w:b/>
      <w:bCs/>
      <w:kern w:val="2"/>
      <w:sz w:val="32"/>
      <w:szCs w:val="32"/>
      <w:lang w:val="en-US" w:eastAsia="zh-CN" w:bidi="ar-SA"/>
    </w:rPr>
  </w:style>
  <w:style w:type="character" w:customStyle="1" w:styleId="108">
    <w:name w:val="Char Char4"/>
    <w:qFormat/>
    <w:uiPriority w:val="0"/>
    <w:rPr>
      <w:rFonts w:ascii="Arial" w:hAnsi="Arial" w:eastAsia="黑体"/>
      <w:b/>
      <w:bCs/>
      <w:kern w:val="2"/>
      <w:sz w:val="32"/>
      <w:szCs w:val="32"/>
      <w:lang w:val="en-US" w:eastAsia="zh-CN" w:bidi="ar-SA"/>
    </w:rPr>
  </w:style>
  <w:style w:type="character" w:customStyle="1" w:styleId="109">
    <w:name w:val="Char Char2"/>
    <w:qFormat/>
    <w:uiPriority w:val="0"/>
    <w:rPr>
      <w:rFonts w:ascii="宋体" w:hAnsi="Courier New" w:eastAsia="宋体"/>
      <w:kern w:val="2"/>
      <w:sz w:val="21"/>
      <w:lang w:val="en-US" w:eastAsia="zh-CN" w:bidi="ar-SA"/>
    </w:rPr>
  </w:style>
  <w:style w:type="character" w:customStyle="1" w:styleId="110">
    <w:name w:val="Char Char18"/>
    <w:qFormat/>
    <w:uiPriority w:val="0"/>
    <w:rPr>
      <w:rFonts w:ascii="Arial" w:hAnsi="Arial" w:eastAsia="黑体"/>
      <w:b/>
      <w:bCs/>
      <w:kern w:val="2"/>
      <w:sz w:val="32"/>
      <w:szCs w:val="32"/>
      <w:lang w:val="en-US" w:eastAsia="zh-CN" w:bidi="ar-SA"/>
    </w:rPr>
  </w:style>
  <w:style w:type="character" w:customStyle="1" w:styleId="111">
    <w:name w:val="普通文字 Char Char1"/>
    <w:qFormat/>
    <w:uiPriority w:val="0"/>
    <w:rPr>
      <w:rFonts w:ascii="宋体" w:hAnsi="Courier New" w:eastAsia="宋体"/>
      <w:kern w:val="2"/>
      <w:sz w:val="21"/>
      <w:lang w:val="en-US" w:eastAsia="zh-CN" w:bidi="ar-SA"/>
    </w:rPr>
  </w:style>
  <w:style w:type="character" w:customStyle="1" w:styleId="112">
    <w:name w:val="body text Char Char"/>
    <w:qFormat/>
    <w:locked/>
    <w:uiPriority w:val="0"/>
    <w:rPr>
      <w:rFonts w:ascii="黑体" w:eastAsia="黑体"/>
      <w:kern w:val="2"/>
      <w:sz w:val="24"/>
      <w:lang w:val="en-US" w:eastAsia="zh-CN" w:bidi="ar-SA"/>
    </w:rPr>
  </w:style>
  <w:style w:type="character" w:customStyle="1" w:styleId="113">
    <w:name w:val="Char Char Char"/>
    <w:qFormat/>
    <w:uiPriority w:val="0"/>
    <w:rPr>
      <w:rFonts w:ascii="Arial" w:hAnsi="Arial" w:eastAsia="黑体"/>
      <w:b/>
      <w:bCs/>
      <w:kern w:val="2"/>
      <w:sz w:val="32"/>
      <w:szCs w:val="32"/>
      <w:lang w:val="en-US" w:eastAsia="zh-CN" w:bidi="ar-SA"/>
    </w:rPr>
  </w:style>
  <w:style w:type="character" w:customStyle="1" w:styleId="114">
    <w:name w:val="Char Char9"/>
    <w:qFormat/>
    <w:uiPriority w:val="0"/>
    <w:rPr>
      <w:kern w:val="2"/>
      <w:sz w:val="18"/>
      <w:szCs w:val="18"/>
    </w:rPr>
  </w:style>
  <w:style w:type="character" w:customStyle="1" w:styleId="115">
    <w:name w:val="Char Char11"/>
    <w:qFormat/>
    <w:uiPriority w:val="0"/>
    <w:rPr>
      <w:rFonts w:ascii="宋体" w:hAnsi="Courier New" w:eastAsia="宋体"/>
      <w:kern w:val="2"/>
      <w:sz w:val="21"/>
      <w:lang w:val="en-US" w:eastAsia="zh-CN" w:bidi="ar-SA"/>
    </w:rPr>
  </w:style>
  <w:style w:type="character" w:customStyle="1" w:styleId="116">
    <w:name w:val="Char Char81"/>
    <w:qFormat/>
    <w:uiPriority w:val="0"/>
    <w:rPr>
      <w:rFonts w:ascii="宋体" w:hAnsi="Courier New" w:eastAsia="宋体"/>
      <w:kern w:val="2"/>
      <w:sz w:val="21"/>
      <w:lang w:val="en-US" w:eastAsia="zh-CN" w:bidi="ar-SA"/>
    </w:rPr>
  </w:style>
  <w:style w:type="character" w:customStyle="1" w:styleId="117">
    <w:name w:val="Char Char3"/>
    <w:qFormat/>
    <w:uiPriority w:val="0"/>
    <w:rPr>
      <w:rFonts w:ascii="Arial" w:hAnsi="Arial" w:eastAsia="黑体"/>
      <w:b/>
      <w:bCs/>
      <w:kern w:val="2"/>
      <w:sz w:val="32"/>
      <w:szCs w:val="32"/>
      <w:lang w:val="en-US" w:eastAsia="zh-CN" w:bidi="ar-SA"/>
    </w:rPr>
  </w:style>
  <w:style w:type="character" w:customStyle="1" w:styleId="118">
    <w:name w:val="Char Char21"/>
    <w:qFormat/>
    <w:uiPriority w:val="0"/>
    <w:rPr>
      <w:rFonts w:ascii="Arial" w:hAnsi="Arial" w:eastAsia="黑体"/>
      <w:b/>
      <w:bCs/>
      <w:kern w:val="2"/>
      <w:sz w:val="32"/>
      <w:szCs w:val="32"/>
      <w:lang w:val="en-US" w:eastAsia="zh-CN" w:bidi="ar-SA"/>
    </w:rPr>
  </w:style>
  <w:style w:type="character" w:customStyle="1" w:styleId="119">
    <w:name w:val="font81"/>
    <w:qFormat/>
    <w:uiPriority w:val="0"/>
    <w:rPr>
      <w:rFonts w:hint="eastAsia" w:ascii="宋体" w:hAnsi="宋体" w:eastAsia="宋体" w:cs="宋体"/>
      <w:b/>
      <w:color w:val="000000"/>
      <w:sz w:val="20"/>
      <w:szCs w:val="20"/>
      <w:u w:val="none"/>
    </w:rPr>
  </w:style>
  <w:style w:type="character" w:customStyle="1" w:styleId="120">
    <w:name w:val="font41"/>
    <w:qFormat/>
    <w:uiPriority w:val="0"/>
    <w:rPr>
      <w:rFonts w:hint="eastAsia" w:ascii="宋体" w:hAnsi="宋体" w:eastAsia="宋体" w:cs="宋体"/>
      <w:color w:val="000000"/>
      <w:sz w:val="24"/>
      <w:szCs w:val="24"/>
      <w:u w:val="none"/>
    </w:rPr>
  </w:style>
  <w:style w:type="character" w:customStyle="1" w:styleId="121">
    <w:name w:val="font31"/>
    <w:qFormat/>
    <w:uiPriority w:val="0"/>
    <w:rPr>
      <w:rFonts w:hint="eastAsia" w:ascii="宋体" w:hAnsi="宋体" w:eastAsia="宋体" w:cs="宋体"/>
      <w:color w:val="000000"/>
      <w:sz w:val="24"/>
      <w:szCs w:val="24"/>
      <w:u w:val="none"/>
    </w:rPr>
  </w:style>
  <w:style w:type="character" w:customStyle="1" w:styleId="122">
    <w:name w:val="font61"/>
    <w:qFormat/>
    <w:uiPriority w:val="0"/>
    <w:rPr>
      <w:rFonts w:hint="default" w:ascii="Times New Roman" w:hAnsi="Times New Roman" w:cs="Times New Roman"/>
      <w:color w:val="000000"/>
      <w:sz w:val="20"/>
      <w:szCs w:val="20"/>
      <w:u w:val="none"/>
    </w:rPr>
  </w:style>
  <w:style w:type="character" w:customStyle="1" w:styleId="123">
    <w:name w:val="font71"/>
    <w:qFormat/>
    <w:uiPriority w:val="0"/>
    <w:rPr>
      <w:rFonts w:hint="default" w:ascii="Times New Roman" w:hAnsi="Times New Roman" w:cs="Times New Roman"/>
      <w:color w:val="000000"/>
      <w:sz w:val="20"/>
      <w:szCs w:val="20"/>
      <w:u w:val="none"/>
    </w:rPr>
  </w:style>
  <w:style w:type="character" w:customStyle="1" w:styleId="124">
    <w:name w:val="font91"/>
    <w:qFormat/>
    <w:uiPriority w:val="0"/>
    <w:rPr>
      <w:rFonts w:hint="default" w:ascii="Times New Roman" w:hAnsi="Times New Roman" w:cs="Times New Roman"/>
      <w:color w:val="000000"/>
      <w:sz w:val="24"/>
      <w:szCs w:val="24"/>
      <w:u w:val="none"/>
    </w:rPr>
  </w:style>
  <w:style w:type="character" w:customStyle="1" w:styleId="125">
    <w:name w:val="font101"/>
    <w:qFormat/>
    <w:uiPriority w:val="0"/>
    <w:rPr>
      <w:rFonts w:hint="eastAsia" w:ascii="宋体" w:hAnsi="宋体" w:eastAsia="宋体" w:cs="宋体"/>
      <w:color w:val="000000"/>
      <w:sz w:val="24"/>
      <w:szCs w:val="24"/>
      <w:u w:val="none"/>
    </w:rPr>
  </w:style>
  <w:style w:type="character" w:customStyle="1" w:styleId="126">
    <w:name w:val="font51"/>
    <w:qFormat/>
    <w:uiPriority w:val="0"/>
    <w:rPr>
      <w:rFonts w:hint="eastAsia" w:ascii="宋体" w:hAnsi="宋体" w:eastAsia="宋体" w:cs="宋体"/>
      <w:color w:val="auto"/>
      <w:sz w:val="20"/>
      <w:szCs w:val="20"/>
      <w:u w:val="none"/>
    </w:rPr>
  </w:style>
  <w:style w:type="character" w:customStyle="1" w:styleId="127">
    <w:name w:val="font141"/>
    <w:qFormat/>
    <w:uiPriority w:val="0"/>
    <w:rPr>
      <w:rFonts w:hint="eastAsia" w:ascii="宋体" w:hAnsi="宋体" w:eastAsia="宋体" w:cs="宋体"/>
      <w:color w:val="000000"/>
      <w:sz w:val="20"/>
      <w:szCs w:val="20"/>
      <w:u w:val="none"/>
    </w:rPr>
  </w:style>
  <w:style w:type="character" w:customStyle="1" w:styleId="128">
    <w:name w:val="A5"/>
    <w:qFormat/>
    <w:uiPriority w:val="0"/>
    <w:rPr>
      <w:rFonts w:ascii="汉仪中黑简" w:eastAsia="汉仪中黑简"/>
      <w:color w:val="6E2A90"/>
      <w:sz w:val="32"/>
    </w:rPr>
  </w:style>
  <w:style w:type="character" w:customStyle="1" w:styleId="129">
    <w:name w:val="A4"/>
    <w:qFormat/>
    <w:uiPriority w:val="0"/>
    <w:rPr>
      <w:color w:val="6E2A90"/>
      <w:sz w:val="48"/>
    </w:rPr>
  </w:style>
  <w:style w:type="character" w:customStyle="1" w:styleId="130">
    <w:name w:val="普通文字 Char Char Char1"/>
    <w:qFormat/>
    <w:uiPriority w:val="0"/>
    <w:rPr>
      <w:rFonts w:ascii="宋体" w:hAnsi="Courier New"/>
      <w:kern w:val="2"/>
      <w:sz w:val="21"/>
    </w:rPr>
  </w:style>
  <w:style w:type="character" w:customStyle="1" w:styleId="131">
    <w:name w:val="标题 2 Char1"/>
    <w:qFormat/>
    <w:uiPriority w:val="0"/>
    <w:rPr>
      <w:rFonts w:ascii="Arial" w:hAnsi="Arial" w:eastAsia="黑体"/>
      <w:b/>
      <w:bCs/>
      <w:kern w:val="2"/>
      <w:sz w:val="32"/>
      <w:szCs w:val="32"/>
    </w:rPr>
  </w:style>
  <w:style w:type="character" w:customStyle="1" w:styleId="132">
    <w:name w:val="apple-converted-space"/>
    <w:basedOn w:val="34"/>
    <w:qFormat/>
    <w:uiPriority w:val="0"/>
  </w:style>
  <w:style w:type="character" w:customStyle="1" w:styleId="133">
    <w:name w:val="表正文 Char"/>
    <w:qFormat/>
    <w:uiPriority w:val="0"/>
    <w:rPr>
      <w:rFonts w:eastAsia="宋体"/>
      <w:kern w:val="2"/>
      <w:sz w:val="21"/>
      <w:szCs w:val="24"/>
      <w:lang w:val="en-US" w:eastAsia="zh-CN" w:bidi="ar-SA"/>
    </w:rPr>
  </w:style>
  <w:style w:type="character" w:customStyle="1" w:styleId="134">
    <w:name w:val="font21"/>
    <w:qFormat/>
    <w:uiPriority w:val="0"/>
    <w:rPr>
      <w:rFonts w:hint="default" w:ascii="Times New Roman" w:hAnsi="Times New Roman" w:cs="Times New Roman"/>
      <w:b/>
      <w:color w:val="000000"/>
      <w:sz w:val="24"/>
      <w:szCs w:val="24"/>
    </w:rPr>
  </w:style>
  <w:style w:type="character" w:customStyle="1" w:styleId="135">
    <w:name w:val="font11"/>
    <w:qFormat/>
    <w:uiPriority w:val="0"/>
    <w:rPr>
      <w:rFonts w:hint="eastAsia" w:ascii="宋体" w:hAnsi="宋体" w:eastAsia="宋体" w:cs="宋体"/>
      <w:b/>
      <w:color w:val="000000"/>
      <w:sz w:val="22"/>
      <w:szCs w:val="22"/>
    </w:rPr>
  </w:style>
  <w:style w:type="character" w:customStyle="1" w:styleId="136">
    <w:name w:val="font01"/>
    <w:qFormat/>
    <w:uiPriority w:val="0"/>
    <w:rPr>
      <w:rFonts w:hint="eastAsia" w:ascii="宋体" w:hAnsi="宋体" w:eastAsia="宋体" w:cs="宋体"/>
      <w:color w:val="000000"/>
      <w:sz w:val="22"/>
      <w:szCs w:val="22"/>
    </w:rPr>
  </w:style>
  <w:style w:type="character" w:customStyle="1" w:styleId="137">
    <w:name w:val="font112"/>
    <w:qFormat/>
    <w:uiPriority w:val="0"/>
    <w:rPr>
      <w:rFonts w:hint="eastAsia" w:ascii="宋体" w:hAnsi="宋体" w:eastAsia="宋体" w:cs="宋体"/>
      <w:color w:val="000000"/>
      <w:sz w:val="20"/>
      <w:szCs w:val="20"/>
    </w:rPr>
  </w:style>
  <w:style w:type="character" w:customStyle="1" w:styleId="138">
    <w:name w:val="font131"/>
    <w:qFormat/>
    <w:uiPriority w:val="0"/>
    <w:rPr>
      <w:rFonts w:hint="eastAsia" w:ascii="宋体" w:hAnsi="宋体" w:eastAsia="宋体" w:cs="宋体"/>
      <w:color w:val="000000"/>
      <w:sz w:val="20"/>
      <w:szCs w:val="20"/>
    </w:rPr>
  </w:style>
  <w:style w:type="character" w:customStyle="1" w:styleId="139">
    <w:name w:val="font171"/>
    <w:qFormat/>
    <w:uiPriority w:val="0"/>
    <w:rPr>
      <w:rFonts w:ascii="Segoe UI Symbol" w:hAnsi="Segoe UI Symbol" w:eastAsia="Segoe UI Symbol" w:cs="Segoe UI Symbol"/>
      <w:b/>
      <w:color w:val="000000"/>
      <w:sz w:val="20"/>
      <w:szCs w:val="20"/>
    </w:rPr>
  </w:style>
  <w:style w:type="character" w:customStyle="1" w:styleId="140">
    <w:name w:val="font161"/>
    <w:qFormat/>
    <w:uiPriority w:val="0"/>
    <w:rPr>
      <w:rFonts w:ascii="Cambria Math" w:hAnsi="Cambria Math" w:eastAsia="Cambria Math" w:cs="Cambria Math"/>
      <w:b/>
      <w:color w:val="000000"/>
      <w:sz w:val="20"/>
      <w:szCs w:val="20"/>
    </w:rPr>
  </w:style>
  <w:style w:type="character" w:customStyle="1" w:styleId="141">
    <w:name w:val="font151"/>
    <w:qFormat/>
    <w:uiPriority w:val="0"/>
    <w:rPr>
      <w:rFonts w:hint="default" w:ascii="Cambria Math" w:hAnsi="Cambria Math" w:eastAsia="Cambria Math" w:cs="Cambria Math"/>
      <w:color w:val="000000"/>
      <w:sz w:val="20"/>
      <w:szCs w:val="20"/>
    </w:rPr>
  </w:style>
  <w:style w:type="character" w:customStyle="1" w:styleId="142">
    <w:name w:val="font181"/>
    <w:qFormat/>
    <w:uiPriority w:val="0"/>
    <w:rPr>
      <w:rFonts w:hint="default" w:ascii="Times New Roman" w:hAnsi="Times New Roman" w:cs="Times New Roman"/>
      <w:b/>
      <w:color w:val="000000"/>
      <w:sz w:val="20"/>
      <w:szCs w:val="20"/>
    </w:rPr>
  </w:style>
  <w:style w:type="character" w:customStyle="1" w:styleId="143">
    <w:name w:val="font111"/>
    <w:qFormat/>
    <w:uiPriority w:val="0"/>
    <w:rPr>
      <w:rFonts w:hint="eastAsia" w:ascii="宋体" w:hAnsi="宋体" w:eastAsia="宋体" w:cs="宋体"/>
      <w:color w:val="000000"/>
      <w:sz w:val="20"/>
      <w:szCs w:val="20"/>
    </w:rPr>
  </w:style>
  <w:style w:type="paragraph" w:customStyle="1" w:styleId="144">
    <w:name w:val="列出段落11"/>
    <w:basedOn w:val="1"/>
    <w:qFormat/>
    <w:uiPriority w:val="0"/>
    <w:pPr>
      <w:ind w:firstLine="420" w:firstLineChars="200"/>
    </w:pPr>
  </w:style>
  <w:style w:type="character" w:customStyle="1" w:styleId="145">
    <w:name w:val="列出段落 Char"/>
    <w:link w:val="146"/>
    <w:qFormat/>
    <w:locked/>
    <w:uiPriority w:val="34"/>
    <w:rPr>
      <w:rFonts w:ascii="Calibri" w:hAnsi="Calibri"/>
      <w:kern w:val="2"/>
      <w:sz w:val="21"/>
      <w:szCs w:val="22"/>
    </w:rPr>
  </w:style>
  <w:style w:type="paragraph" w:customStyle="1" w:styleId="146">
    <w:name w:val="列出段落2"/>
    <w:basedOn w:val="1"/>
    <w:link w:val="145"/>
    <w:qFormat/>
    <w:uiPriority w:val="0"/>
    <w:pPr>
      <w:ind w:firstLine="420" w:firstLineChars="200"/>
    </w:pPr>
    <w:rPr>
      <w:rFonts w:ascii="Calibri" w:hAnsi="Calibri"/>
      <w:szCs w:val="22"/>
    </w:rPr>
  </w:style>
  <w:style w:type="character" w:customStyle="1" w:styleId="147">
    <w:name w:val="标题 1 字符"/>
    <w:basedOn w:val="34"/>
    <w:link w:val="2"/>
    <w:qFormat/>
    <w:uiPriority w:val="0"/>
    <w:rPr>
      <w:b/>
      <w:bCs/>
      <w:kern w:val="44"/>
      <w:sz w:val="44"/>
      <w:szCs w:val="44"/>
    </w:rPr>
  </w:style>
  <w:style w:type="character" w:customStyle="1" w:styleId="148">
    <w:name w:val="批注主题 字符"/>
    <w:basedOn w:val="149"/>
    <w:link w:val="30"/>
    <w:qFormat/>
    <w:uiPriority w:val="0"/>
    <w:rPr>
      <w:b/>
      <w:bCs/>
      <w:kern w:val="2"/>
      <w:sz w:val="21"/>
      <w:szCs w:val="24"/>
    </w:rPr>
  </w:style>
  <w:style w:type="character" w:customStyle="1" w:styleId="149">
    <w:name w:val="批注文字 Char2"/>
    <w:qFormat/>
    <w:uiPriority w:val="99"/>
    <w:rPr>
      <w:kern w:val="2"/>
      <w:sz w:val="21"/>
      <w:szCs w:val="24"/>
    </w:rPr>
  </w:style>
  <w:style w:type="character" w:customStyle="1" w:styleId="150">
    <w:name w:val="time"/>
    <w:basedOn w:val="34"/>
    <w:qFormat/>
    <w:uiPriority w:val="0"/>
  </w:style>
  <w:style w:type="character" w:customStyle="1" w:styleId="151">
    <w:name w:val="批注主题 Char1"/>
    <w:qFormat/>
    <w:uiPriority w:val="0"/>
    <w:rPr>
      <w:rFonts w:ascii="Calibri" w:hAnsi="Calibri"/>
      <w:b/>
      <w:bCs/>
      <w:szCs w:val="24"/>
    </w:rPr>
  </w:style>
  <w:style w:type="character" w:customStyle="1" w:styleId="152">
    <w:name w:val="标题 2 字符"/>
    <w:qFormat/>
    <w:uiPriority w:val="0"/>
    <w:rPr>
      <w:rFonts w:ascii="宋体" w:hAnsi="宋体"/>
      <w:b/>
      <w:sz w:val="36"/>
      <w:szCs w:val="36"/>
    </w:rPr>
  </w:style>
  <w:style w:type="character" w:customStyle="1" w:styleId="153">
    <w:name w:val="正文首行缩进 2 Char1"/>
    <w:basedOn w:val="154"/>
    <w:qFormat/>
    <w:uiPriority w:val="0"/>
    <w:rPr>
      <w:kern w:val="2"/>
      <w:sz w:val="21"/>
      <w:szCs w:val="24"/>
    </w:rPr>
  </w:style>
  <w:style w:type="character" w:customStyle="1" w:styleId="154">
    <w:name w:val="正文文本缩进 Char1"/>
    <w:qFormat/>
    <w:uiPriority w:val="0"/>
    <w:rPr>
      <w:kern w:val="2"/>
      <w:sz w:val="21"/>
      <w:szCs w:val="24"/>
    </w:rPr>
  </w:style>
  <w:style w:type="character" w:customStyle="1" w:styleId="155">
    <w:name w:val="z-窗体顶端 Char"/>
    <w:qFormat/>
    <w:uiPriority w:val="0"/>
    <w:rPr>
      <w:rFonts w:ascii="Arial"/>
      <w:vanish/>
      <w:kern w:val="2"/>
      <w:sz w:val="16"/>
      <w:szCs w:val="24"/>
    </w:rPr>
  </w:style>
  <w:style w:type="paragraph" w:customStyle="1" w:styleId="156">
    <w:name w:val="z-窗体顶端1"/>
    <w:basedOn w:val="1"/>
    <w:next w:val="1"/>
    <w:link w:val="185"/>
    <w:qFormat/>
    <w:uiPriority w:val="0"/>
    <w:pPr>
      <w:pBdr>
        <w:bottom w:val="single" w:color="auto" w:sz="6" w:space="1"/>
      </w:pBdr>
      <w:jc w:val="center"/>
    </w:pPr>
    <w:rPr>
      <w:rFonts w:ascii="Arial"/>
      <w:vanish/>
      <w:sz w:val="16"/>
    </w:rPr>
  </w:style>
  <w:style w:type="character" w:customStyle="1" w:styleId="157">
    <w:name w:val="english"/>
    <w:qFormat/>
    <w:uiPriority w:val="0"/>
    <w:rPr>
      <w:rFonts w:ascii="微软雅黑" w:hAnsi="微软雅黑" w:eastAsia="微软雅黑" w:cs="微软雅黑"/>
      <w:i/>
      <w:caps/>
      <w:color w:val="9E9E9E"/>
      <w:sz w:val="21"/>
      <w:szCs w:val="21"/>
    </w:rPr>
  </w:style>
  <w:style w:type="character" w:customStyle="1" w:styleId="158">
    <w:name w:val="font132"/>
    <w:qFormat/>
    <w:uiPriority w:val="0"/>
    <w:rPr>
      <w:rFonts w:hint="eastAsia" w:ascii="宋体" w:hAnsi="宋体" w:eastAsia="宋体" w:cs="宋体"/>
      <w:color w:val="000000"/>
      <w:sz w:val="16"/>
      <w:szCs w:val="16"/>
      <w:u w:val="none"/>
    </w:rPr>
  </w:style>
  <w:style w:type="character" w:customStyle="1" w:styleId="159">
    <w:name w:val="english2"/>
    <w:qFormat/>
    <w:uiPriority w:val="0"/>
    <w:rPr>
      <w:rFonts w:hint="eastAsia" w:ascii="微软雅黑" w:hAnsi="微软雅黑" w:eastAsia="微软雅黑" w:cs="微软雅黑"/>
      <w:i/>
      <w:caps/>
      <w:color w:val="9E9E9E"/>
      <w:sz w:val="21"/>
      <w:szCs w:val="21"/>
    </w:rPr>
  </w:style>
  <w:style w:type="character" w:customStyle="1" w:styleId="160">
    <w:name w:val="批注框文本 Char1"/>
    <w:qFormat/>
    <w:uiPriority w:val="0"/>
    <w:rPr>
      <w:rFonts w:ascii="Calibri" w:hAnsi="Calibri"/>
      <w:kern w:val="2"/>
      <w:sz w:val="18"/>
      <w:szCs w:val="18"/>
    </w:rPr>
  </w:style>
  <w:style w:type="character" w:customStyle="1" w:styleId="161">
    <w:name w:val="正文缩进 字符"/>
    <w:link w:val="7"/>
    <w:qFormat/>
    <w:uiPriority w:val="0"/>
    <w:rPr>
      <w:kern w:val="2"/>
      <w:sz w:val="21"/>
      <w:szCs w:val="24"/>
    </w:rPr>
  </w:style>
  <w:style w:type="character" w:customStyle="1" w:styleId="162">
    <w:name w:val="time1"/>
    <w:basedOn w:val="34"/>
    <w:qFormat/>
    <w:uiPriority w:val="0"/>
  </w:style>
  <w:style w:type="character" w:customStyle="1" w:styleId="163">
    <w:name w:val="english1"/>
    <w:qFormat/>
    <w:uiPriority w:val="0"/>
    <w:rPr>
      <w:rFonts w:hint="eastAsia" w:ascii="微软雅黑" w:hAnsi="微软雅黑" w:eastAsia="微软雅黑" w:cs="微软雅黑"/>
      <w:color w:val="000000"/>
      <w:sz w:val="12"/>
      <w:szCs w:val="12"/>
    </w:rPr>
  </w:style>
  <w:style w:type="character" w:customStyle="1" w:styleId="164">
    <w:name w:val="time2"/>
    <w:basedOn w:val="34"/>
    <w:qFormat/>
    <w:uiPriority w:val="0"/>
  </w:style>
  <w:style w:type="character" w:customStyle="1" w:styleId="165">
    <w:name w:val="z-窗体底端 Char"/>
    <w:qFormat/>
    <w:uiPriority w:val="0"/>
    <w:rPr>
      <w:rFonts w:ascii="Arial"/>
      <w:vanish/>
      <w:kern w:val="2"/>
      <w:sz w:val="16"/>
      <w:szCs w:val="24"/>
    </w:rPr>
  </w:style>
  <w:style w:type="paragraph" w:customStyle="1" w:styleId="166">
    <w:name w:val="z-窗体底端1"/>
    <w:basedOn w:val="1"/>
    <w:next w:val="1"/>
    <w:link w:val="179"/>
    <w:qFormat/>
    <w:uiPriority w:val="0"/>
    <w:pPr>
      <w:pBdr>
        <w:top w:val="single" w:color="auto" w:sz="6" w:space="1"/>
      </w:pBdr>
      <w:jc w:val="center"/>
    </w:pPr>
    <w:rPr>
      <w:rFonts w:ascii="Arial"/>
      <w:vanish/>
      <w:sz w:val="16"/>
    </w:rPr>
  </w:style>
  <w:style w:type="character" w:customStyle="1" w:styleId="167">
    <w:name w:val="正文首行缩进 2 Char"/>
    <w:qFormat/>
    <w:uiPriority w:val="0"/>
    <w:rPr>
      <w:rFonts w:ascii="宋体" w:hAnsi="宋体" w:cs="宋体"/>
      <w:sz w:val="22"/>
      <w:lang w:val="zh-CN" w:bidi="zh-CN"/>
    </w:rPr>
  </w:style>
  <w:style w:type="character" w:customStyle="1" w:styleId="168">
    <w:name w:val="批注文字 Char1"/>
    <w:qFormat/>
    <w:uiPriority w:val="0"/>
    <w:rPr>
      <w:rFonts w:ascii="Calibri" w:hAnsi="Calibri"/>
      <w:szCs w:val="24"/>
    </w:rPr>
  </w:style>
  <w:style w:type="character" w:customStyle="1" w:styleId="169">
    <w:name w:val="正文文本首行缩进 2 字符"/>
    <w:basedOn w:val="49"/>
    <w:link w:val="31"/>
    <w:semiHidden/>
    <w:qFormat/>
    <w:uiPriority w:val="0"/>
    <w:rPr>
      <w:rFonts w:eastAsia="宋体"/>
      <w:kern w:val="2"/>
      <w:sz w:val="21"/>
      <w:szCs w:val="24"/>
      <w:lang w:val="en-US" w:eastAsia="zh-CN" w:bidi="ar-SA"/>
    </w:rPr>
  </w:style>
  <w:style w:type="paragraph" w:customStyle="1" w:styleId="17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2">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3">
    <w:name w:val="样式1"/>
    <w:basedOn w:val="1"/>
    <w:qFormat/>
    <w:uiPriority w:val="0"/>
    <w:pPr>
      <w:tabs>
        <w:tab w:val="left" w:pos="709"/>
      </w:tabs>
      <w:adjustRightInd w:val="0"/>
    </w:pPr>
    <w:rPr>
      <w:rFonts w:ascii="宋体" w:hAnsi="宋体"/>
      <w:kern w:val="0"/>
      <w:szCs w:val="21"/>
    </w:rPr>
  </w:style>
  <w:style w:type="paragraph" w:customStyle="1" w:styleId="17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7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8">
    <w:name w:val="xl77"/>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character" w:customStyle="1" w:styleId="179">
    <w:name w:val="z-窗体底端 Char1"/>
    <w:basedOn w:val="34"/>
    <w:link w:val="166"/>
    <w:semiHidden/>
    <w:qFormat/>
    <w:uiPriority w:val="99"/>
    <w:rPr>
      <w:rFonts w:ascii="Arial" w:hAnsi="Arial" w:cs="Arial"/>
      <w:vanish/>
      <w:kern w:val="2"/>
      <w:sz w:val="16"/>
      <w:szCs w:val="16"/>
    </w:rPr>
  </w:style>
  <w:style w:type="paragraph" w:customStyle="1" w:styleId="18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1">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85">
    <w:name w:val="z-窗体顶端 Char1"/>
    <w:basedOn w:val="34"/>
    <w:link w:val="156"/>
    <w:semiHidden/>
    <w:qFormat/>
    <w:uiPriority w:val="99"/>
    <w:rPr>
      <w:rFonts w:ascii="Arial" w:hAnsi="Arial" w:cs="Arial"/>
      <w:vanish/>
      <w:kern w:val="2"/>
      <w:sz w:val="16"/>
      <w:szCs w:val="16"/>
    </w:rPr>
  </w:style>
  <w:style w:type="paragraph" w:customStyle="1" w:styleId="18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1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2">
    <w:name w:val="xl75"/>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193">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9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9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0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3">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8">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1">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3">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4">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5">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7">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8">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character" w:customStyle="1" w:styleId="219">
    <w:name w:val="NormalCharacter"/>
    <w:qFormat/>
    <w:uiPriority w:val="0"/>
    <w:rPr>
      <w:rFonts w:asciiTheme="minorHAnsi" w:hAnsiTheme="minorHAnsi" w:eastAsiaTheme="minorEastAsia" w:cstheme="minorBidi"/>
      <w:kern w:val="2"/>
      <w:sz w:val="21"/>
      <w:szCs w:val="24"/>
      <w:lang w:val="en-US" w:eastAsia="zh-CN" w:bidi="ar-SA"/>
    </w:rPr>
  </w:style>
  <w:style w:type="paragraph" w:styleId="220">
    <w:name w:val="List Paragraph"/>
    <w:basedOn w:val="1"/>
    <w:unhideWhenUsed/>
    <w:qFormat/>
    <w:uiPriority w:val="34"/>
    <w:pPr>
      <w:ind w:firstLine="420" w:firstLineChars="200"/>
    </w:pPr>
  </w:style>
  <w:style w:type="paragraph" w:customStyle="1" w:styleId="221">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BodyText"/>
    <w:basedOn w:val="1"/>
    <w:qFormat/>
    <w:uiPriority w:val="0"/>
    <w:pPr>
      <w:widowControl/>
      <w:spacing w:after="120"/>
      <w:textAlignment w:val="baseline"/>
    </w:pPr>
    <w:rPr>
      <w:rFonts w:ascii="Calibri" w:hAnsi="Calibri"/>
    </w:rPr>
  </w:style>
  <w:style w:type="paragraph" w:customStyle="1" w:styleId="223">
    <w:name w:val="0629正文修订"/>
    <w:basedOn w:val="1"/>
    <w:qFormat/>
    <w:uiPriority w:val="0"/>
    <w:pPr>
      <w:spacing w:line="360" w:lineRule="exact"/>
      <w:ind w:firstLine="480" w:firstLineChars="200"/>
    </w:pPr>
    <w:rPr>
      <w:rFonts w:eastAsiaTheme="minorEastAsia"/>
      <w:color w:val="000000" w:themeColor="text1"/>
      <w:sz w:val="24"/>
      <w14:textFill>
        <w14:solidFill>
          <w14:schemeClr w14:val="tx1"/>
        </w14:solidFill>
      </w14:textFill>
    </w:rPr>
  </w:style>
  <w:style w:type="paragraph" w:customStyle="1" w:styleId="2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D4BD4-102D-4123-9D84-54DAA06C06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17253</Words>
  <Characters>18984</Characters>
  <Lines>335</Lines>
  <Paragraphs>94</Paragraphs>
  <TotalTime>23</TotalTime>
  <ScaleCrop>false</ScaleCrop>
  <LinksUpToDate>false</LinksUpToDate>
  <CharactersWithSpaces>19176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2025-09-25T03:44:00Z</dcterms:created>
  <dc:creator>User</dc:creator>
  <cp:lastModifiedBy>               W°</cp:lastModifiedBy>
  <cp:lastPrinted>2025-10-30T09:03:00Z</cp:lastPrinted>
  <dcterms:modified xsi:type="dcterms:W3CDTF">2025-11-03T02:15:55Z</dcterms:modified>
  <dc:title>2013省本级政府设备采购招标项目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8D646E0247E8413A9222105CDE5A7B59_13</vt:lpwstr>
  </property>
  <property fmtid="{D5CDD505-2E9C-101B-9397-08002B2CF9AE}" pid="4" name="KSOTemplateDocerSaveRecord">
    <vt:lpwstr>eyJoZGlkIjoiNjBhMGRkMWJjMTQ3NjczMjQ1MzJjODllNmU0NTkyZGQiLCJ1c2VySWQiOiIxNTk1MDQ5MjkwIn0=</vt:lpwstr>
  </property>
</Properties>
</file>