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421431">
      <w:pPr>
        <w:spacing w:line="240" w:lineRule="atLeast"/>
        <w:jc w:val="center"/>
        <w:rPr>
          <w:rFonts w:ascii="宋体"/>
          <w:sz w:val="32"/>
          <w:szCs w:val="32"/>
        </w:rPr>
      </w:pPr>
      <w:bookmarkStart w:id="83" w:name="_GoBack"/>
      <w:bookmarkEnd w:id="83"/>
      <w:bookmarkStart w:id="0" w:name="_Toc494875372"/>
      <w:bookmarkStart w:id="1" w:name="_Toc490832162"/>
      <w:bookmarkStart w:id="2" w:name="_Toc517502601"/>
      <w:bookmarkStart w:id="3" w:name="_Toc46738149"/>
      <w:bookmarkStart w:id="4" w:name="_Toc506628521"/>
      <w:bookmarkStart w:id="5" w:name="_Toc531987376"/>
      <w:bookmarkStart w:id="6" w:name="_Toc484827160"/>
      <w:bookmarkStart w:id="7" w:name="_Toc169338716"/>
      <w:bookmarkStart w:id="8" w:name="_Toc46738283"/>
      <w:bookmarkStart w:id="9" w:name="_Toc494597746"/>
      <w:bookmarkStart w:id="10" w:name="_Toc75917299"/>
      <w:bookmarkStart w:id="11" w:name="_Toc506611778"/>
      <w:bookmarkStart w:id="12" w:name="_Toc506611570"/>
      <w:bookmarkStart w:id="13" w:name="_Toc46738410"/>
      <w:bookmarkStart w:id="14" w:name="_Toc12118333"/>
      <w:bookmarkStart w:id="15" w:name="_Toc484848505"/>
    </w:p>
    <w:p w14:paraId="5D8A5BF8">
      <w:pPr>
        <w:spacing w:line="240" w:lineRule="atLeast"/>
        <w:jc w:val="center"/>
        <w:rPr>
          <w:rFonts w:ascii="宋体"/>
          <w:sz w:val="32"/>
          <w:szCs w:val="32"/>
        </w:rPr>
      </w:pPr>
    </w:p>
    <w:p w14:paraId="3594FDCA">
      <w:pPr>
        <w:spacing w:line="240" w:lineRule="atLeast"/>
        <w:jc w:val="center"/>
        <w:rPr>
          <w:rFonts w:ascii="宋体"/>
          <w:sz w:val="32"/>
          <w:szCs w:val="32"/>
        </w:rPr>
      </w:pPr>
    </w:p>
    <w:p w14:paraId="43E3F5B2">
      <w:pPr>
        <w:spacing w:line="240" w:lineRule="atLeast"/>
        <w:jc w:val="center"/>
        <w:rPr>
          <w:rFonts w:hint="eastAsia" w:ascii="宋体" w:eastAsia="宋体"/>
          <w:color w:val="auto"/>
          <w:sz w:val="36"/>
          <w:szCs w:val="36"/>
          <w:highlight w:val="none"/>
          <w:lang w:eastAsia="zh-CN"/>
        </w:rPr>
      </w:pPr>
      <w:r>
        <w:rPr>
          <w:rFonts w:hint="eastAsia" w:ascii="宋体"/>
          <w:color w:val="auto"/>
          <w:sz w:val="36"/>
          <w:szCs w:val="36"/>
          <w:highlight w:val="none"/>
        </w:rPr>
        <w:t>项目名称：</w:t>
      </w:r>
      <w:r>
        <w:rPr>
          <w:rFonts w:hint="eastAsia" w:ascii="宋体"/>
          <w:color w:val="auto"/>
          <w:sz w:val="36"/>
          <w:szCs w:val="36"/>
          <w:highlight w:val="none"/>
          <w:lang w:eastAsia="zh-CN"/>
        </w:rPr>
        <w:t>海南政法职业学院网站群平台建设项目</w:t>
      </w:r>
    </w:p>
    <w:p w14:paraId="6458F67E">
      <w:pPr>
        <w:spacing w:line="240" w:lineRule="atLeast"/>
        <w:jc w:val="center"/>
        <w:rPr>
          <w:rFonts w:hint="eastAsia" w:ascii="宋体"/>
          <w:color w:val="auto"/>
          <w:sz w:val="36"/>
          <w:szCs w:val="36"/>
          <w:highlight w:val="none"/>
        </w:rPr>
      </w:pPr>
    </w:p>
    <w:p w14:paraId="258DFE80">
      <w:pPr>
        <w:spacing w:line="240" w:lineRule="atLeast"/>
        <w:jc w:val="center"/>
        <w:rPr>
          <w:rFonts w:hint="eastAsia" w:ascii="宋体"/>
          <w:color w:val="auto"/>
          <w:sz w:val="36"/>
          <w:szCs w:val="36"/>
          <w:highlight w:val="none"/>
        </w:rPr>
      </w:pPr>
    </w:p>
    <w:p w14:paraId="5F75FD6E">
      <w:pPr>
        <w:spacing w:line="240" w:lineRule="atLeast"/>
        <w:jc w:val="center"/>
        <w:rPr>
          <w:rFonts w:hint="default" w:ascii="宋体" w:hAnsi="宋体" w:eastAsia="宋体"/>
          <w:b/>
          <w:color w:val="auto"/>
          <w:kern w:val="0"/>
          <w:sz w:val="32"/>
          <w:szCs w:val="32"/>
          <w:highlight w:val="none"/>
          <w:lang w:val="en-US" w:eastAsia="zh-CN"/>
        </w:rPr>
      </w:pPr>
      <w:r>
        <w:rPr>
          <w:rFonts w:hint="eastAsia" w:ascii="宋体"/>
          <w:color w:val="auto"/>
          <w:sz w:val="36"/>
          <w:szCs w:val="36"/>
          <w:highlight w:val="none"/>
        </w:rPr>
        <w:t xml:space="preserve">项目编号: </w:t>
      </w:r>
      <w:r>
        <w:rPr>
          <w:rFonts w:hint="eastAsia" w:ascii="宋体"/>
          <w:color w:val="auto"/>
          <w:sz w:val="36"/>
          <w:szCs w:val="36"/>
          <w:highlight w:val="none"/>
          <w:lang w:eastAsia="zh-CN"/>
        </w:rPr>
        <w:t>HNJY2025-14-</w:t>
      </w:r>
      <w:r>
        <w:rPr>
          <w:rFonts w:hint="eastAsia" w:ascii="宋体"/>
          <w:color w:val="auto"/>
          <w:sz w:val="36"/>
          <w:szCs w:val="36"/>
          <w:highlight w:val="none"/>
          <w:lang w:val="en-US" w:eastAsia="zh-CN"/>
        </w:rPr>
        <w:t>8</w:t>
      </w:r>
    </w:p>
    <w:p w14:paraId="2AAFC977">
      <w:pPr>
        <w:spacing w:line="240" w:lineRule="atLeast"/>
        <w:jc w:val="center"/>
        <w:rPr>
          <w:rFonts w:ascii="宋体" w:hAnsi="宋体"/>
          <w:b/>
          <w:color w:val="auto"/>
          <w:kern w:val="0"/>
          <w:sz w:val="28"/>
          <w:szCs w:val="28"/>
          <w:highlight w:val="none"/>
        </w:rPr>
      </w:pPr>
    </w:p>
    <w:p w14:paraId="565A2A21">
      <w:pPr>
        <w:spacing w:line="240" w:lineRule="atLeast"/>
        <w:jc w:val="center"/>
        <w:rPr>
          <w:b/>
          <w:color w:val="auto"/>
          <w:sz w:val="28"/>
          <w:highlight w:val="none"/>
        </w:rPr>
      </w:pPr>
    </w:p>
    <w:p w14:paraId="453617BA">
      <w:pPr>
        <w:spacing w:line="240" w:lineRule="atLeast"/>
        <w:jc w:val="center"/>
        <w:rPr>
          <w:b/>
          <w:color w:val="auto"/>
          <w:sz w:val="28"/>
          <w:highlight w:val="none"/>
        </w:rPr>
      </w:pPr>
    </w:p>
    <w:p w14:paraId="1E22F20E">
      <w:pPr>
        <w:spacing w:line="240" w:lineRule="atLeast"/>
        <w:jc w:val="center"/>
        <w:rPr>
          <w:color w:val="auto"/>
          <w:sz w:val="72"/>
          <w:szCs w:val="72"/>
          <w:highlight w:val="none"/>
        </w:rPr>
      </w:pPr>
      <w:r>
        <w:rPr>
          <w:rFonts w:hint="eastAsia"/>
          <w:color w:val="auto"/>
          <w:sz w:val="72"/>
          <w:szCs w:val="72"/>
          <w:highlight w:val="none"/>
        </w:rPr>
        <w:t>竞争性磋商采购文件</w:t>
      </w:r>
    </w:p>
    <w:p w14:paraId="1DBC4E44">
      <w:pPr>
        <w:spacing w:line="240" w:lineRule="atLeast"/>
        <w:jc w:val="center"/>
        <w:rPr>
          <w:rFonts w:ascii="宋体"/>
          <w:color w:val="auto"/>
          <w:sz w:val="72"/>
          <w:szCs w:val="72"/>
          <w:highlight w:val="none"/>
        </w:rPr>
      </w:pPr>
    </w:p>
    <w:p w14:paraId="56EA52CA">
      <w:pPr>
        <w:rPr>
          <w:color w:val="auto"/>
          <w:highlight w:val="none"/>
        </w:rPr>
      </w:pPr>
    </w:p>
    <w:p w14:paraId="02BBF9AF">
      <w:pPr>
        <w:rPr>
          <w:color w:val="auto"/>
          <w:highlight w:val="none"/>
        </w:rPr>
      </w:pPr>
    </w:p>
    <w:p w14:paraId="3EFDD923">
      <w:pPr>
        <w:pStyle w:val="4"/>
        <w:rPr>
          <w:color w:val="auto"/>
          <w:highlight w:val="none"/>
        </w:rPr>
      </w:pPr>
    </w:p>
    <w:p w14:paraId="5998D3C7">
      <w:pPr>
        <w:rPr>
          <w:color w:val="auto"/>
          <w:highlight w:val="none"/>
        </w:rPr>
      </w:pPr>
    </w:p>
    <w:p w14:paraId="2099FC4F">
      <w:pPr>
        <w:spacing w:line="240" w:lineRule="atLeast"/>
        <w:rPr>
          <w:rFonts w:ascii="宋体"/>
          <w:b/>
          <w:color w:val="auto"/>
          <w:sz w:val="32"/>
          <w:highlight w:val="none"/>
        </w:rPr>
      </w:pPr>
    </w:p>
    <w:p w14:paraId="74BEFE35">
      <w:pPr>
        <w:jc w:val="center"/>
        <w:rPr>
          <w:rFonts w:hint="eastAsia" w:ascii="宋体" w:hAnsi="宋体" w:eastAsia="宋体"/>
          <w:color w:val="auto"/>
          <w:sz w:val="32"/>
          <w:szCs w:val="32"/>
          <w:highlight w:val="none"/>
          <w:lang w:eastAsia="zh-CN"/>
        </w:rPr>
      </w:pPr>
      <w:r>
        <w:rPr>
          <w:rFonts w:hint="eastAsia" w:ascii="宋体" w:hAnsi="宋体"/>
          <w:color w:val="auto"/>
          <w:sz w:val="32"/>
          <w:szCs w:val="32"/>
          <w:highlight w:val="none"/>
        </w:rPr>
        <w:t>采购人：</w:t>
      </w:r>
      <w:r>
        <w:rPr>
          <w:rFonts w:ascii="宋体" w:hAnsi="宋体"/>
          <w:color w:val="auto"/>
          <w:sz w:val="32"/>
          <w:szCs w:val="32"/>
          <w:highlight w:val="none"/>
        </w:rPr>
        <w:t xml:space="preserve"> </w:t>
      </w:r>
      <w:r>
        <w:rPr>
          <w:rFonts w:hint="eastAsia" w:ascii="宋体" w:hAnsi="宋体"/>
          <w:color w:val="auto"/>
          <w:sz w:val="32"/>
          <w:szCs w:val="32"/>
          <w:highlight w:val="none"/>
        </w:rPr>
        <w:t>海南政法职业学院</w:t>
      </w:r>
    </w:p>
    <w:p w14:paraId="7D87F475">
      <w:pPr>
        <w:pStyle w:val="21"/>
        <w:ind w:left="834" w:leftChars="397" w:firstLineChars="160"/>
        <w:jc w:val="both"/>
        <w:outlineLvl w:val="0"/>
        <w:rPr>
          <w:b/>
          <w:color w:val="auto"/>
          <w:sz w:val="36"/>
          <w:szCs w:val="36"/>
          <w:highlight w:val="none"/>
        </w:rPr>
      </w:pPr>
      <w:r>
        <w:rPr>
          <w:rFonts w:hint="eastAsia"/>
          <w:color w:val="auto"/>
          <w:sz w:val="32"/>
          <w:szCs w:val="32"/>
          <w:highlight w:val="none"/>
        </w:rPr>
        <w:t>采购代理机构：海南省教学仪器设备招标中心有限公司</w:t>
      </w:r>
    </w:p>
    <w:p w14:paraId="3B222556">
      <w:pPr>
        <w:spacing w:line="240" w:lineRule="atLeast"/>
        <w:jc w:val="center"/>
        <w:rPr>
          <w:rFonts w:hint="eastAsia"/>
          <w:color w:val="auto"/>
          <w:sz w:val="36"/>
          <w:szCs w:val="36"/>
          <w:highlight w:val="none"/>
          <w:lang w:eastAsia="zh-CN"/>
        </w:rPr>
      </w:pPr>
    </w:p>
    <w:p w14:paraId="319ABCC9">
      <w:pPr>
        <w:spacing w:line="240" w:lineRule="atLeast"/>
        <w:jc w:val="center"/>
        <w:rPr>
          <w:rFonts w:hint="eastAsia"/>
          <w:color w:val="auto"/>
          <w:sz w:val="36"/>
          <w:szCs w:val="36"/>
          <w:highlight w:val="none"/>
        </w:rPr>
      </w:pPr>
      <w:r>
        <w:rPr>
          <w:rFonts w:hint="eastAsia"/>
          <w:color w:val="auto"/>
          <w:sz w:val="36"/>
          <w:szCs w:val="36"/>
          <w:highlight w:val="none"/>
          <w:lang w:eastAsia="zh-CN"/>
        </w:rPr>
        <w:t>2025年</w:t>
      </w:r>
      <w:r>
        <w:rPr>
          <w:rFonts w:hint="eastAsia"/>
          <w:color w:val="auto"/>
          <w:sz w:val="36"/>
          <w:szCs w:val="36"/>
          <w:highlight w:val="none"/>
          <w:lang w:val="en-US" w:eastAsia="zh-CN"/>
        </w:rPr>
        <w:t>10</w:t>
      </w:r>
      <w:r>
        <w:rPr>
          <w:rFonts w:hint="eastAsia"/>
          <w:color w:val="auto"/>
          <w:sz w:val="36"/>
          <w:szCs w:val="36"/>
          <w:highlight w:val="none"/>
        </w:rPr>
        <w:t>月</w:t>
      </w:r>
    </w:p>
    <w:p w14:paraId="5F938D15">
      <w:pPr>
        <w:jc w:val="center"/>
        <w:rPr>
          <w:b/>
          <w:bCs/>
          <w:sz w:val="36"/>
          <w:szCs w:val="36"/>
        </w:rPr>
      </w:pPr>
    </w:p>
    <w:p w14:paraId="2D597CD1">
      <w:pPr>
        <w:jc w:val="center"/>
        <w:rPr>
          <w:b/>
          <w:bCs/>
          <w:sz w:val="36"/>
          <w:szCs w:val="36"/>
        </w:rPr>
      </w:pPr>
    </w:p>
    <w:p w14:paraId="301CE533">
      <w:pPr>
        <w:jc w:val="center"/>
        <w:rPr>
          <w:b/>
          <w:bCs/>
          <w:sz w:val="36"/>
          <w:szCs w:val="36"/>
        </w:rPr>
      </w:pPr>
    </w:p>
    <w:p w14:paraId="3F042C93">
      <w:pPr>
        <w:jc w:val="center"/>
        <w:rPr>
          <w:b/>
          <w:bCs/>
          <w:sz w:val="36"/>
          <w:szCs w:val="36"/>
        </w:rPr>
      </w:pPr>
    </w:p>
    <w:p w14:paraId="11CF82B5">
      <w:pPr>
        <w:jc w:val="center"/>
        <w:rPr>
          <w:b/>
          <w:bCs/>
          <w:sz w:val="36"/>
          <w:szCs w:val="36"/>
        </w:rPr>
      </w:pPr>
      <w:r>
        <w:rPr>
          <w:rFonts w:hint="eastAsia"/>
          <w:b/>
          <w:bCs/>
          <w:sz w:val="36"/>
          <w:szCs w:val="36"/>
        </w:rPr>
        <w:t>目录</w:t>
      </w:r>
    </w:p>
    <w:p w14:paraId="2929DA22">
      <w:pPr>
        <w:pStyle w:val="21"/>
        <w:spacing w:line="360" w:lineRule="exact"/>
        <w:ind w:left="836" w:leftChars="398" w:firstLine="1918" w:firstLineChars="597"/>
        <w:jc w:val="both"/>
        <w:rPr>
          <w:b/>
          <w:bCs/>
          <w:sz w:val="32"/>
          <w:szCs w:val="32"/>
        </w:rPr>
      </w:pPr>
    </w:p>
    <w:p w14:paraId="3B42A757"/>
    <w:p w14:paraId="530B5635">
      <w:pPr>
        <w:spacing w:line="900" w:lineRule="exact"/>
        <w:rPr>
          <w:b/>
          <w:sz w:val="32"/>
          <w:szCs w:val="32"/>
        </w:rPr>
      </w:pPr>
      <w:r>
        <w:rPr>
          <w:rFonts w:hint="eastAsia"/>
          <w:b/>
          <w:sz w:val="32"/>
          <w:szCs w:val="32"/>
        </w:rPr>
        <w:t>第一部分竞争性磋商采购邀请函</w:t>
      </w:r>
    </w:p>
    <w:p w14:paraId="0E7976FF">
      <w:pPr>
        <w:spacing w:line="900" w:lineRule="exact"/>
        <w:outlineLvl w:val="0"/>
        <w:rPr>
          <w:b/>
          <w:sz w:val="32"/>
          <w:szCs w:val="32"/>
        </w:rPr>
      </w:pPr>
      <w:r>
        <w:rPr>
          <w:rFonts w:hint="eastAsia"/>
          <w:b/>
          <w:sz w:val="32"/>
          <w:szCs w:val="32"/>
        </w:rPr>
        <w:t>第二部分竞争性磋商项目需求</w:t>
      </w:r>
    </w:p>
    <w:p w14:paraId="4EA94CA9">
      <w:pPr>
        <w:tabs>
          <w:tab w:val="left" w:pos="720"/>
          <w:tab w:val="left" w:pos="1260"/>
          <w:tab w:val="left" w:pos="2160"/>
          <w:tab w:val="left" w:pos="2880"/>
          <w:tab w:val="left" w:pos="3600"/>
          <w:tab w:val="left" w:pos="4320"/>
          <w:tab w:val="left" w:pos="5040"/>
          <w:tab w:val="left" w:pos="5760"/>
        </w:tabs>
        <w:autoSpaceDE w:val="0"/>
        <w:autoSpaceDN w:val="0"/>
        <w:adjustRightInd w:val="0"/>
        <w:spacing w:line="900" w:lineRule="exact"/>
        <w:ind w:right="258" w:rightChars="123"/>
        <w:rPr>
          <w:b/>
          <w:sz w:val="32"/>
          <w:szCs w:val="32"/>
        </w:rPr>
      </w:pPr>
      <w:r>
        <w:rPr>
          <w:rFonts w:hint="eastAsia"/>
          <w:b/>
          <w:sz w:val="32"/>
          <w:szCs w:val="32"/>
        </w:rPr>
        <w:t>第三部分供应商须知</w:t>
      </w:r>
    </w:p>
    <w:p w14:paraId="684AE73E">
      <w:pPr>
        <w:spacing w:line="900" w:lineRule="exact"/>
        <w:rPr>
          <w:b/>
          <w:sz w:val="32"/>
          <w:szCs w:val="32"/>
        </w:rPr>
      </w:pPr>
      <w:r>
        <w:rPr>
          <w:rFonts w:hint="eastAsia"/>
          <w:b/>
          <w:sz w:val="32"/>
          <w:szCs w:val="32"/>
        </w:rPr>
        <w:t>第四部分评审办法</w:t>
      </w:r>
    </w:p>
    <w:p w14:paraId="076A699B">
      <w:pPr>
        <w:spacing w:line="900" w:lineRule="exact"/>
        <w:rPr>
          <w:b/>
          <w:sz w:val="32"/>
          <w:szCs w:val="32"/>
        </w:rPr>
      </w:pPr>
      <w:r>
        <w:rPr>
          <w:rFonts w:hint="eastAsia"/>
          <w:b/>
          <w:sz w:val="32"/>
          <w:szCs w:val="32"/>
        </w:rPr>
        <w:t>第五部分合同条款格式</w:t>
      </w:r>
    </w:p>
    <w:p w14:paraId="338661B1">
      <w:pPr>
        <w:spacing w:line="900" w:lineRule="exact"/>
        <w:rPr>
          <w:b/>
          <w:sz w:val="32"/>
          <w:szCs w:val="32"/>
        </w:rPr>
      </w:pPr>
      <w:r>
        <w:rPr>
          <w:rFonts w:hint="eastAsia"/>
          <w:b/>
          <w:sz w:val="32"/>
          <w:szCs w:val="32"/>
        </w:rPr>
        <w:t>第六部分响应文件格式</w:t>
      </w:r>
    </w:p>
    <w:p w14:paraId="7F36A6FB"/>
    <w:p w14:paraId="7BF6BE53"/>
    <w:p w14:paraId="272F0EF4"/>
    <w:p w14:paraId="2EEABDFF"/>
    <w:p w14:paraId="05F4897D"/>
    <w:p w14:paraId="11FB35DE"/>
    <w:p w14:paraId="5CEFE9EE"/>
    <w:p w14:paraId="45340EDE"/>
    <w:p w14:paraId="28F8487D"/>
    <w:p w14:paraId="0AC0EA16"/>
    <w:p w14:paraId="489268C2"/>
    <w:p w14:paraId="6882883E"/>
    <w:p w14:paraId="27B3E16E"/>
    <w:p w14:paraId="353BCE89"/>
    <w:p w14:paraId="26A24886"/>
    <w:p w14:paraId="34BBFCB9"/>
    <w:p w14:paraId="1870D0FA"/>
    <w:p w14:paraId="7EA1DF0B"/>
    <w:p w14:paraId="185A7BA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B31576C">
      <w:pPr>
        <w:pStyle w:val="130"/>
        <w:spacing w:line="360" w:lineRule="exact"/>
        <w:ind w:left="0" w:leftChars="0" w:firstLine="0" w:firstLineChars="0"/>
        <w:jc w:val="both"/>
        <w:rPr>
          <w:rFonts w:hint="eastAsia"/>
          <w:b/>
          <w:bCs/>
          <w:color w:val="auto"/>
          <w:sz w:val="32"/>
          <w:szCs w:val="32"/>
          <w:highlight w:val="none"/>
        </w:rPr>
      </w:pPr>
    </w:p>
    <w:p w14:paraId="3B21DF63">
      <w:pPr>
        <w:pStyle w:val="130"/>
        <w:spacing w:line="360" w:lineRule="exact"/>
        <w:ind w:left="836" w:leftChars="398" w:firstLine="1918" w:firstLineChars="597"/>
        <w:jc w:val="both"/>
        <w:rPr>
          <w:color w:val="auto"/>
          <w:highlight w:val="none"/>
        </w:rPr>
      </w:pPr>
      <w:r>
        <w:rPr>
          <w:rFonts w:hint="eastAsia"/>
          <w:b/>
          <w:bCs/>
          <w:color w:val="auto"/>
          <w:sz w:val="32"/>
          <w:szCs w:val="32"/>
          <w:highlight w:val="none"/>
        </w:rPr>
        <w:t>第一部分　采购</w:t>
      </w:r>
      <w:r>
        <w:rPr>
          <w:rFonts w:hint="eastAsia"/>
          <w:b/>
          <w:color w:val="auto"/>
          <w:sz w:val="32"/>
          <w:szCs w:val="32"/>
          <w:highlight w:val="none"/>
        </w:rPr>
        <w:t>邀请函</w:t>
      </w:r>
    </w:p>
    <w:p w14:paraId="65A617D5">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07F3AEF1">
      <w:pPr>
        <w:pBdr>
          <w:top w:val="single" w:color="auto" w:sz="4" w:space="1"/>
          <w:left w:val="single" w:color="auto" w:sz="4" w:space="4"/>
          <w:bottom w:val="single" w:color="auto" w:sz="4" w:space="1"/>
          <w:right w:val="single" w:color="auto" w:sz="4" w:space="4"/>
        </w:pBdr>
        <w:adjustRightInd w:val="0"/>
        <w:snapToGrid w:val="0"/>
        <w:spacing w:line="360" w:lineRule="auto"/>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u w:val="single"/>
          <w:lang w:eastAsia="zh-CN"/>
        </w:rPr>
        <w:t>海南政法职业学院网站群平台建设项目</w:t>
      </w:r>
      <w:r>
        <w:rPr>
          <w:rFonts w:hint="eastAsia" w:ascii="宋体" w:hAnsi="宋体" w:cs="宋体"/>
          <w:color w:val="auto"/>
          <w:kern w:val="0"/>
          <w:sz w:val="24"/>
          <w:highlight w:val="none"/>
        </w:rPr>
        <w:t>的潜在供应商应在</w:t>
      </w:r>
      <w:r>
        <w:rPr>
          <w:rFonts w:hint="eastAsia" w:ascii="宋体" w:hAnsi="宋体" w:cs="宋体"/>
          <w:color w:val="auto"/>
          <w:kern w:val="0"/>
          <w:sz w:val="24"/>
          <w:highlight w:val="none"/>
          <w:u w:val="single"/>
        </w:rPr>
        <w:t>（海南省海口市蓝天路2-8号海南省教学仪器设备招标中心有限公司）</w:t>
      </w:r>
      <w:r>
        <w:rPr>
          <w:rFonts w:hint="eastAsia" w:ascii="宋体" w:hAnsi="宋体" w:cs="宋体"/>
          <w:color w:val="auto"/>
          <w:kern w:val="0"/>
          <w:sz w:val="24"/>
          <w:highlight w:val="none"/>
        </w:rPr>
        <w:t>获取磋商文件，并于</w:t>
      </w:r>
      <w:r>
        <w:rPr>
          <w:rFonts w:hint="eastAsia" w:ascii="宋体" w:hAnsi="宋体" w:cs="宋体"/>
          <w:color w:val="auto"/>
          <w:kern w:val="0"/>
          <w:sz w:val="24"/>
          <w:highlight w:val="none"/>
          <w:u w:val="single"/>
          <w:lang w:eastAsia="zh-CN"/>
        </w:rPr>
        <w:t>2025年</w:t>
      </w:r>
      <w:r>
        <w:rPr>
          <w:rFonts w:hint="eastAsia" w:ascii="宋体" w:hAnsi="宋体" w:cs="宋体"/>
          <w:color w:val="auto"/>
          <w:kern w:val="0"/>
          <w:sz w:val="24"/>
          <w:highlight w:val="none"/>
          <w:u w:val="single"/>
          <w:lang w:val="en-US" w:eastAsia="zh-CN"/>
        </w:rPr>
        <w:t>11</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u w:val="single"/>
        </w:rPr>
        <w:t>日</w:t>
      </w:r>
      <w:r>
        <w:rPr>
          <w:rFonts w:hint="eastAsia" w:ascii="宋体" w:hAnsi="宋体" w:cs="宋体"/>
          <w:color w:val="auto"/>
          <w:kern w:val="0"/>
          <w:sz w:val="24"/>
          <w:highlight w:val="none"/>
          <w:u w:val="single"/>
          <w:lang w:val="en-US" w:eastAsia="zh-CN"/>
        </w:rPr>
        <w:t>9</w:t>
      </w:r>
      <w:r>
        <w:rPr>
          <w:rFonts w:hint="eastAsia" w:ascii="宋体" w:hAnsi="宋体" w:cs="宋体"/>
          <w:color w:val="auto"/>
          <w:kern w:val="0"/>
          <w:sz w:val="24"/>
          <w:highlight w:val="none"/>
          <w:u w:val="single"/>
        </w:rPr>
        <w:t>点</w:t>
      </w:r>
      <w:r>
        <w:rPr>
          <w:rFonts w:hint="eastAsia" w:ascii="宋体" w:hAnsi="宋体" w:cs="宋体"/>
          <w:color w:val="auto"/>
          <w:kern w:val="0"/>
          <w:sz w:val="24"/>
          <w:highlight w:val="none"/>
          <w:u w:val="single"/>
          <w:lang w:val="en-US" w:eastAsia="zh-CN"/>
        </w:rPr>
        <w:t>00</w:t>
      </w:r>
      <w:r>
        <w:rPr>
          <w:rFonts w:hint="eastAsia" w:ascii="宋体" w:hAnsi="宋体" w:cs="宋体"/>
          <w:color w:val="auto"/>
          <w:kern w:val="0"/>
          <w:sz w:val="24"/>
          <w:highlight w:val="none"/>
          <w:u w:val="single"/>
        </w:rPr>
        <w:t>分（北京时间）</w:t>
      </w:r>
      <w:r>
        <w:rPr>
          <w:rFonts w:hint="eastAsia" w:ascii="宋体" w:hAnsi="宋体" w:cs="宋体"/>
          <w:color w:val="auto"/>
          <w:kern w:val="0"/>
          <w:sz w:val="24"/>
          <w:highlight w:val="none"/>
        </w:rPr>
        <w:t>前提交响应</w:t>
      </w:r>
      <w:r>
        <w:rPr>
          <w:rFonts w:ascii="宋体" w:hAnsi="宋体" w:cs="宋体"/>
          <w:color w:val="auto"/>
          <w:kern w:val="0"/>
          <w:sz w:val="24"/>
          <w:highlight w:val="none"/>
        </w:rPr>
        <w:t>文件</w:t>
      </w:r>
      <w:r>
        <w:rPr>
          <w:rFonts w:hint="eastAsia" w:ascii="宋体" w:hAnsi="宋体" w:cs="宋体"/>
          <w:color w:val="auto"/>
          <w:kern w:val="0"/>
          <w:sz w:val="24"/>
          <w:highlight w:val="none"/>
        </w:rPr>
        <w:t>。</w:t>
      </w:r>
    </w:p>
    <w:p w14:paraId="1D7F168C">
      <w:pPr>
        <w:adjustRightInd w:val="0"/>
        <w:snapToGrid w:val="0"/>
        <w:spacing w:line="360" w:lineRule="auto"/>
        <w:rPr>
          <w:rFonts w:ascii="宋体" w:hAnsi="宋体" w:cs="宋体"/>
          <w:color w:val="auto"/>
          <w:kern w:val="0"/>
          <w:sz w:val="24"/>
          <w:highlight w:val="none"/>
        </w:rPr>
      </w:pPr>
    </w:p>
    <w:p w14:paraId="43DB7C26">
      <w:pPr>
        <w:keepNext/>
        <w:keepLines/>
        <w:autoSpaceDE w:val="0"/>
        <w:autoSpaceDN w:val="0"/>
        <w:adjustRightInd w:val="0"/>
        <w:snapToGrid w:val="0"/>
        <w:spacing w:line="360" w:lineRule="auto"/>
        <w:textAlignment w:val="baseline"/>
        <w:outlineLvl w:val="1"/>
        <w:rPr>
          <w:rFonts w:ascii="宋体" w:hAnsi="宋体" w:cs="宋体"/>
          <w:b/>
          <w:color w:val="auto"/>
          <w:kern w:val="0"/>
          <w:sz w:val="24"/>
          <w:highlight w:val="none"/>
        </w:rPr>
      </w:pPr>
      <w:bookmarkStart w:id="16" w:name="_Toc35393798"/>
      <w:bookmarkStart w:id="17" w:name="_Toc28359089"/>
      <w:bookmarkStart w:id="18" w:name="_Toc28359012"/>
      <w:bookmarkStart w:id="19" w:name="_Toc35393629"/>
      <w:r>
        <w:rPr>
          <w:rFonts w:hint="eastAsia" w:ascii="宋体" w:hAnsi="宋体" w:cs="宋体"/>
          <w:b/>
          <w:color w:val="auto"/>
          <w:kern w:val="0"/>
          <w:sz w:val="24"/>
          <w:highlight w:val="none"/>
        </w:rPr>
        <w:t>一、项目基本情况</w:t>
      </w:r>
      <w:bookmarkEnd w:id="16"/>
      <w:bookmarkEnd w:id="17"/>
      <w:bookmarkEnd w:id="18"/>
      <w:bookmarkEnd w:id="19"/>
    </w:p>
    <w:p w14:paraId="2F24B6E5">
      <w:pPr>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HNJY2025-14-8</w:t>
      </w:r>
    </w:p>
    <w:p w14:paraId="36F2E02B">
      <w:pPr>
        <w:spacing w:line="360" w:lineRule="auto"/>
        <w:ind w:left="1679" w:leftChars="228" w:hanging="1200" w:hangingChars="500"/>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kern w:val="0"/>
          <w:sz w:val="24"/>
          <w:highlight w:val="none"/>
        </w:rPr>
        <w:t>项目名称：</w:t>
      </w:r>
      <w:r>
        <w:rPr>
          <w:rFonts w:hint="eastAsia" w:ascii="宋体" w:hAnsi="宋体" w:cs="宋体"/>
          <w:b w:val="0"/>
          <w:bCs w:val="0"/>
          <w:color w:val="auto"/>
          <w:sz w:val="24"/>
          <w:szCs w:val="24"/>
          <w:highlight w:val="none"/>
          <w:lang w:val="en-US" w:eastAsia="zh-CN"/>
        </w:rPr>
        <w:t>海南政法职业学院网站群平台建设项目</w:t>
      </w:r>
    </w:p>
    <w:p w14:paraId="57C2EDD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采购方式：竞争性磋商 </w:t>
      </w:r>
    </w:p>
    <w:p w14:paraId="76E8F006">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预算金额</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含税</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42.772万元</w:t>
      </w:r>
      <w:r>
        <w:rPr>
          <w:rFonts w:hint="eastAsia" w:ascii="宋体" w:hAnsi="宋体" w:cs="宋体"/>
          <w:color w:val="auto"/>
          <w:kern w:val="0"/>
          <w:sz w:val="24"/>
          <w:highlight w:val="none"/>
        </w:rPr>
        <w:t>。</w:t>
      </w:r>
    </w:p>
    <w:p w14:paraId="729A0ABF">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最高限价</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含税</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42.772万元，</w:t>
      </w:r>
      <w:r>
        <w:rPr>
          <w:rFonts w:hint="eastAsia" w:ascii="宋体" w:hAnsi="宋体" w:cs="宋体"/>
          <w:color w:val="auto"/>
          <w:kern w:val="0"/>
          <w:sz w:val="24"/>
          <w:highlight w:val="none"/>
          <w:lang w:val="en-US" w:eastAsia="zh-CN"/>
        </w:rPr>
        <w:t>超过最高限价的响应无效</w:t>
      </w:r>
      <w:r>
        <w:rPr>
          <w:rFonts w:hint="eastAsia" w:ascii="宋体" w:hAnsi="宋体" w:cs="宋体"/>
          <w:color w:val="auto"/>
          <w:kern w:val="0"/>
          <w:sz w:val="24"/>
          <w:highlight w:val="none"/>
        </w:rPr>
        <w:t>。</w:t>
      </w:r>
    </w:p>
    <w:p w14:paraId="5C1D5E5F">
      <w:pPr>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采购需求：详见</w:t>
      </w:r>
      <w:r>
        <w:rPr>
          <w:rFonts w:hint="eastAsia" w:ascii="宋体" w:hAnsi="宋体" w:cs="宋体"/>
          <w:color w:val="auto"/>
          <w:kern w:val="0"/>
          <w:sz w:val="24"/>
          <w:highlight w:val="none"/>
          <w:lang w:eastAsia="zh-CN"/>
        </w:rPr>
        <w:t>采购文件</w:t>
      </w:r>
      <w:r>
        <w:rPr>
          <w:rFonts w:hint="eastAsia" w:ascii="宋体" w:hAnsi="宋体" w:cs="宋体"/>
          <w:color w:val="auto"/>
          <w:kern w:val="0"/>
          <w:sz w:val="24"/>
          <w:highlight w:val="none"/>
        </w:rPr>
        <w:t>采购需求清单</w:t>
      </w:r>
    </w:p>
    <w:p w14:paraId="393EAEFA">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合同履行期限：合同签订之日</w:t>
      </w:r>
      <w:r>
        <w:rPr>
          <w:rFonts w:hint="eastAsia" w:ascii="宋体" w:hAnsi="宋体" w:cs="宋体"/>
          <w:color w:val="auto"/>
          <w:kern w:val="0"/>
          <w:sz w:val="24"/>
          <w:highlight w:val="none"/>
          <w:lang w:val="en-US" w:eastAsia="zh-CN"/>
        </w:rPr>
        <w:t>起30日内</w:t>
      </w:r>
      <w:r>
        <w:rPr>
          <w:rFonts w:hint="eastAsia" w:ascii="宋体" w:hAnsi="宋体" w:cs="宋体"/>
          <w:color w:val="auto"/>
          <w:kern w:val="0"/>
          <w:sz w:val="24"/>
          <w:highlight w:val="none"/>
        </w:rPr>
        <w:t>完成项目交付</w:t>
      </w:r>
      <w:r>
        <w:rPr>
          <w:rFonts w:hint="eastAsia" w:ascii="宋体" w:hAnsi="宋体" w:cs="宋体"/>
          <w:color w:val="auto"/>
          <w:kern w:val="0"/>
          <w:sz w:val="24"/>
          <w:highlight w:val="none"/>
          <w:lang w:eastAsia="zh-CN"/>
        </w:rPr>
        <w:t>。</w:t>
      </w:r>
    </w:p>
    <w:p w14:paraId="57AE3E22">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本项目不接受联合体。</w:t>
      </w:r>
    </w:p>
    <w:p w14:paraId="188F6981">
      <w:pPr>
        <w:keepNext/>
        <w:keepLines/>
        <w:autoSpaceDE w:val="0"/>
        <w:autoSpaceDN w:val="0"/>
        <w:adjustRightInd w:val="0"/>
        <w:snapToGrid w:val="0"/>
        <w:spacing w:line="360" w:lineRule="auto"/>
        <w:textAlignment w:val="baseline"/>
        <w:outlineLvl w:val="1"/>
        <w:rPr>
          <w:rFonts w:ascii="宋体" w:hAnsi="宋体" w:cs="宋体"/>
          <w:b/>
          <w:color w:val="auto"/>
          <w:kern w:val="0"/>
          <w:sz w:val="24"/>
          <w:highlight w:val="none"/>
        </w:rPr>
      </w:pPr>
      <w:bookmarkStart w:id="20" w:name="_Toc35393630"/>
      <w:bookmarkStart w:id="21" w:name="_Toc28359013"/>
      <w:bookmarkStart w:id="22" w:name="_Toc28359090"/>
      <w:bookmarkStart w:id="23" w:name="_Toc35393799"/>
      <w:r>
        <w:rPr>
          <w:rFonts w:hint="eastAsia" w:ascii="宋体" w:hAnsi="宋体" w:cs="宋体"/>
          <w:b/>
          <w:color w:val="auto"/>
          <w:kern w:val="0"/>
          <w:sz w:val="24"/>
          <w:highlight w:val="none"/>
        </w:rPr>
        <w:t>二、申请人的资格要求：</w:t>
      </w:r>
      <w:bookmarkEnd w:id="20"/>
      <w:bookmarkEnd w:id="21"/>
      <w:bookmarkEnd w:id="22"/>
      <w:bookmarkEnd w:id="23"/>
    </w:p>
    <w:p w14:paraId="047C4139">
      <w:pPr>
        <w:adjustRightInd w:val="0"/>
        <w:snapToGrid w:val="0"/>
        <w:spacing w:line="360" w:lineRule="auto"/>
        <w:ind w:firstLine="480" w:firstLineChars="200"/>
        <w:rPr>
          <w:rFonts w:ascii="宋体" w:hAnsi="宋体" w:cs="宋体"/>
          <w:color w:val="auto"/>
          <w:kern w:val="0"/>
          <w:sz w:val="24"/>
          <w:highlight w:val="none"/>
        </w:rPr>
      </w:pPr>
      <w:bookmarkStart w:id="24" w:name="_Toc28359014"/>
      <w:bookmarkStart w:id="25" w:name="_Toc28359091"/>
      <w:r>
        <w:rPr>
          <w:rFonts w:hint="eastAsia" w:ascii="宋体" w:hAnsi="宋体" w:cs="宋体"/>
          <w:color w:val="auto"/>
          <w:kern w:val="0"/>
          <w:sz w:val="24"/>
          <w:highlight w:val="none"/>
        </w:rPr>
        <w:t xml:space="preserve">1.满足《中华人民共和国政府采购法》第二十二条规定； </w:t>
      </w:r>
    </w:p>
    <w:p w14:paraId="093E4FC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2.落实政府采购政策需满足的资格要求：无</w:t>
      </w:r>
    </w:p>
    <w:p w14:paraId="37953B53">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3.本项目的特定资格要求：无</w:t>
      </w:r>
    </w:p>
    <w:p w14:paraId="01E8A50A">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4.在中华人民共和国境内注册、具有独立承担民事责任的能力（提供营业执照或事业单位法人证书</w:t>
      </w:r>
      <w:r>
        <w:rPr>
          <w:rFonts w:hint="eastAsia" w:ascii="宋体" w:hAnsi="宋体" w:cs="宋体"/>
          <w:color w:val="auto"/>
          <w:kern w:val="0"/>
          <w:sz w:val="24"/>
          <w:highlight w:val="none"/>
          <w:lang w:val="en-US" w:eastAsia="zh-CN"/>
        </w:rPr>
        <w:t>或其他证明的复印件并加盖公章</w:t>
      </w:r>
      <w:r>
        <w:rPr>
          <w:rFonts w:hint="eastAsia" w:ascii="宋体" w:hAnsi="宋体" w:cs="宋体"/>
          <w:color w:val="auto"/>
          <w:kern w:val="0"/>
          <w:sz w:val="24"/>
          <w:highlight w:val="none"/>
        </w:rPr>
        <w:t>）；</w:t>
      </w:r>
    </w:p>
    <w:p w14:paraId="56BD3DE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5.具有良好的商业信誉和健全的财务会计制度(提供承诺函</w:t>
      </w:r>
      <w:r>
        <w:rPr>
          <w:rFonts w:hint="eastAsia" w:ascii="宋体" w:hAnsi="宋体" w:cs="宋体"/>
          <w:color w:val="auto"/>
          <w:kern w:val="0"/>
          <w:sz w:val="24"/>
          <w:highlight w:val="none"/>
          <w:lang w:val="en-US" w:eastAsia="zh-CN"/>
        </w:rPr>
        <w:t>并加盖公章</w:t>
      </w:r>
      <w:r>
        <w:rPr>
          <w:rFonts w:hint="eastAsia" w:ascii="宋体" w:hAnsi="宋体" w:cs="宋体"/>
          <w:color w:val="auto"/>
          <w:kern w:val="0"/>
          <w:sz w:val="24"/>
          <w:highlight w:val="none"/>
        </w:rPr>
        <w:t>）</w:t>
      </w:r>
    </w:p>
    <w:p w14:paraId="32F609A1">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6.具有履行合同所必需的设备和专业技术能力（提供承诺书</w:t>
      </w:r>
      <w:r>
        <w:rPr>
          <w:rFonts w:hint="eastAsia" w:ascii="宋体" w:hAnsi="宋体" w:cs="宋体"/>
          <w:color w:val="auto"/>
          <w:kern w:val="0"/>
          <w:sz w:val="24"/>
          <w:highlight w:val="none"/>
          <w:lang w:val="en-US" w:eastAsia="zh-CN"/>
        </w:rPr>
        <w:t>并加盖公章</w:t>
      </w:r>
      <w:r>
        <w:rPr>
          <w:rFonts w:hint="eastAsia" w:ascii="宋体" w:hAnsi="宋体" w:cs="宋体"/>
          <w:color w:val="auto"/>
          <w:kern w:val="0"/>
          <w:sz w:val="24"/>
          <w:highlight w:val="none"/>
        </w:rPr>
        <w:t>）；</w:t>
      </w:r>
    </w:p>
    <w:p w14:paraId="69EFA40C">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7.具有依法缴纳税收和社会保障资金的良好记录（提供承诺函</w:t>
      </w:r>
      <w:r>
        <w:rPr>
          <w:rFonts w:hint="eastAsia" w:ascii="宋体" w:hAnsi="宋体" w:cs="宋体"/>
          <w:color w:val="auto"/>
          <w:kern w:val="0"/>
          <w:sz w:val="24"/>
          <w:highlight w:val="none"/>
          <w:lang w:val="en-US" w:eastAsia="zh-CN"/>
        </w:rPr>
        <w:t>并加盖公章</w:t>
      </w:r>
      <w:r>
        <w:rPr>
          <w:rFonts w:hint="eastAsia" w:ascii="宋体" w:hAnsi="宋体" w:cs="宋体"/>
          <w:color w:val="auto"/>
          <w:kern w:val="0"/>
          <w:sz w:val="24"/>
          <w:highlight w:val="none"/>
        </w:rPr>
        <w:t>）；</w:t>
      </w:r>
    </w:p>
    <w:p w14:paraId="55034C7A">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参加本次政府采购活动前三年内，在经营活动中没有重大违法记录（</w:t>
      </w:r>
      <w:r>
        <w:rPr>
          <w:rFonts w:ascii="宋体" w:hAnsi="宋体" w:cs="宋体"/>
          <w:color w:val="auto"/>
          <w:kern w:val="0"/>
          <w:sz w:val="24"/>
          <w:highlight w:val="none"/>
        </w:rPr>
        <w:t>成立不足三年的从成立之日起计算</w:t>
      </w:r>
      <w:r>
        <w:rPr>
          <w:rFonts w:hint="eastAsia" w:ascii="宋体" w:hAnsi="宋体" w:cs="宋体"/>
          <w:color w:val="auto"/>
          <w:kern w:val="0"/>
          <w:sz w:val="24"/>
          <w:highlight w:val="none"/>
        </w:rPr>
        <w:t>，提供声明</w:t>
      </w:r>
      <w:r>
        <w:rPr>
          <w:rFonts w:hint="eastAsia" w:ascii="宋体" w:hAnsi="宋体" w:cs="宋体"/>
          <w:color w:val="auto"/>
          <w:kern w:val="0"/>
          <w:sz w:val="24"/>
          <w:highlight w:val="none"/>
          <w:lang w:val="en-US" w:eastAsia="zh-CN"/>
        </w:rPr>
        <w:t>函并加盖公章</w:t>
      </w:r>
      <w:r>
        <w:rPr>
          <w:rFonts w:hint="eastAsia" w:ascii="宋体" w:hAnsi="宋体" w:cs="宋体"/>
          <w:color w:val="auto"/>
          <w:kern w:val="0"/>
          <w:sz w:val="24"/>
          <w:highlight w:val="none"/>
        </w:rPr>
        <w:t>）；</w:t>
      </w:r>
    </w:p>
    <w:p w14:paraId="47891248">
      <w:pPr>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9</w:t>
      </w:r>
      <w:r>
        <w:rPr>
          <w:rFonts w:hint="eastAsia" w:ascii="宋体" w:hAnsi="宋体" w:cs="宋体"/>
          <w:color w:val="auto"/>
          <w:kern w:val="0"/>
          <w:sz w:val="24"/>
          <w:highlight w:val="none"/>
          <w:lang w:val="en-US" w:eastAsia="zh-CN"/>
        </w:rPr>
        <w:t>.</w:t>
      </w:r>
      <w:r>
        <w:rPr>
          <w:rFonts w:ascii="宋体" w:hAnsi="宋体" w:cs="宋体"/>
          <w:color w:val="auto"/>
          <w:kern w:val="0"/>
          <w:sz w:val="24"/>
          <w:highlight w:val="none"/>
        </w:rPr>
        <w:t>参加政府采购活动前三年内，在经营活动中没有环保类行政处罚记录（成立不足三年的从成立之日起计算</w:t>
      </w:r>
      <w:r>
        <w:rPr>
          <w:rFonts w:hint="eastAsia" w:ascii="宋体" w:hAnsi="宋体" w:cs="宋体"/>
          <w:color w:val="auto"/>
          <w:kern w:val="0"/>
          <w:sz w:val="24"/>
          <w:highlight w:val="none"/>
        </w:rPr>
        <w:t>，提供声明</w:t>
      </w:r>
      <w:r>
        <w:rPr>
          <w:rFonts w:hint="eastAsia" w:ascii="宋体" w:hAnsi="宋体" w:cs="宋体"/>
          <w:color w:val="auto"/>
          <w:kern w:val="0"/>
          <w:sz w:val="24"/>
          <w:highlight w:val="none"/>
          <w:lang w:val="en-US" w:eastAsia="zh-CN"/>
        </w:rPr>
        <w:t>函并加盖公章</w:t>
      </w:r>
      <w:r>
        <w:rPr>
          <w:rFonts w:ascii="宋体" w:hAnsi="宋体" w:cs="宋体"/>
          <w:color w:val="auto"/>
          <w:kern w:val="0"/>
          <w:sz w:val="24"/>
          <w:highlight w:val="none"/>
        </w:rPr>
        <w:t>）</w:t>
      </w:r>
      <w:r>
        <w:rPr>
          <w:rFonts w:hint="eastAsia" w:ascii="宋体" w:hAnsi="宋体" w:cs="宋体"/>
          <w:color w:val="auto"/>
          <w:kern w:val="0"/>
          <w:sz w:val="24"/>
          <w:highlight w:val="none"/>
          <w:lang w:eastAsia="zh-CN"/>
        </w:rPr>
        <w:t>；</w:t>
      </w:r>
    </w:p>
    <w:p w14:paraId="561D7DE6">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10.购买采购文件；</w:t>
      </w:r>
    </w:p>
    <w:p w14:paraId="3ED614DA">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提供供应商响应承诺书；</w:t>
      </w:r>
    </w:p>
    <w:p w14:paraId="3498341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w:t>
      </w:r>
      <w:bookmarkStart w:id="26" w:name="_Toc35393631"/>
      <w:bookmarkStart w:id="27" w:name="_Toc35393800"/>
      <w:r>
        <w:rPr>
          <w:rFonts w:hint="eastAsia" w:ascii="宋体" w:hAnsi="宋体" w:cs="宋体"/>
          <w:color w:val="auto"/>
          <w:kern w:val="0"/>
          <w:sz w:val="24"/>
          <w:highlight w:val="none"/>
        </w:rPr>
        <w:t>在“信用中国”网站（www.creditchina.gov.cn）、中国政府采购网（www.ccgp.gov.cn）没有列入失信被执行人、重大税收违法失信主体、政府采购严重违法失信行为记录名单的投标人。（注：采购人或采购代理机构将于本项目投标截止日在“信用中国”网站、“中国政府采购网”网站等渠道对供应商进行信用记录查询，凡被列入失信被执行人、重大税收违法失信主体、政府采购严重违法失信行为记录名单的，视为存在不良信用记录，参与本项目的将被拒绝。）</w:t>
      </w:r>
    </w:p>
    <w:p w14:paraId="428CE4E6">
      <w:pPr>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三、获取采购文件</w:t>
      </w:r>
      <w:bookmarkEnd w:id="24"/>
      <w:bookmarkEnd w:id="25"/>
      <w:bookmarkEnd w:id="26"/>
      <w:bookmarkEnd w:id="27"/>
    </w:p>
    <w:p w14:paraId="4C8507FA">
      <w:pPr>
        <w:adjustRightInd w:val="0"/>
        <w:snapToGrid w:val="0"/>
        <w:spacing w:line="360" w:lineRule="auto"/>
        <w:ind w:firstLine="540"/>
        <w:rPr>
          <w:rFonts w:ascii="宋体" w:hAnsi="宋体" w:cs="宋体"/>
          <w:color w:val="auto"/>
          <w:kern w:val="0"/>
          <w:sz w:val="24"/>
          <w:highlight w:val="none"/>
        </w:rPr>
      </w:pPr>
      <w:r>
        <w:rPr>
          <w:rFonts w:hint="eastAsia" w:ascii="宋体" w:hAnsi="宋体" w:cs="宋体"/>
          <w:color w:val="auto"/>
          <w:kern w:val="0"/>
          <w:sz w:val="24"/>
          <w:highlight w:val="none"/>
        </w:rPr>
        <w:t>时间：</w:t>
      </w:r>
      <w:r>
        <w:rPr>
          <w:rFonts w:hint="eastAsia" w:ascii="宋体" w:hAnsi="宋体" w:cs="宋体"/>
          <w:color w:val="auto"/>
          <w:kern w:val="0"/>
          <w:sz w:val="24"/>
          <w:highlight w:val="none"/>
          <w:lang w:eastAsia="zh-CN"/>
        </w:rPr>
        <w:t>2025年</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日至</w:t>
      </w:r>
      <w:r>
        <w:rPr>
          <w:rFonts w:hint="eastAsia" w:ascii="宋体" w:hAnsi="宋体" w:cs="宋体"/>
          <w:color w:val="auto"/>
          <w:kern w:val="0"/>
          <w:sz w:val="24"/>
          <w:highlight w:val="none"/>
          <w:lang w:eastAsia="zh-CN"/>
        </w:rPr>
        <w:t>2025年</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cs="宋体"/>
          <w:color w:val="auto"/>
          <w:kern w:val="0"/>
          <w:sz w:val="24"/>
          <w:highlight w:val="none"/>
        </w:rPr>
        <w:t>日，每天上午08:00至12:00，下午14:30至17:30（北京时间，</w:t>
      </w:r>
      <w:r>
        <w:rPr>
          <w:rFonts w:ascii="宋体" w:hAnsi="宋体" w:cs="宋体"/>
          <w:color w:val="auto"/>
          <w:kern w:val="0"/>
          <w:sz w:val="24"/>
          <w:highlight w:val="none"/>
        </w:rPr>
        <w:t>法定节假日</w:t>
      </w:r>
      <w:r>
        <w:rPr>
          <w:rFonts w:hint="eastAsia" w:ascii="宋体" w:hAnsi="宋体" w:cs="宋体"/>
          <w:color w:val="auto"/>
          <w:kern w:val="0"/>
          <w:sz w:val="24"/>
          <w:highlight w:val="none"/>
        </w:rPr>
        <w:t>除外 ）</w:t>
      </w:r>
    </w:p>
    <w:p w14:paraId="12E4A367">
      <w:pPr>
        <w:adjustRightInd w:val="0"/>
        <w:snapToGrid w:val="0"/>
        <w:spacing w:line="360" w:lineRule="auto"/>
        <w:ind w:firstLine="540"/>
        <w:rPr>
          <w:rFonts w:ascii="宋体" w:hAnsi="宋体" w:cs="宋体"/>
          <w:color w:val="auto"/>
          <w:kern w:val="0"/>
          <w:sz w:val="24"/>
          <w:highlight w:val="none"/>
        </w:rPr>
      </w:pPr>
      <w:r>
        <w:rPr>
          <w:rFonts w:hint="eastAsia" w:ascii="宋体" w:hAnsi="宋体" w:cs="宋体"/>
          <w:color w:val="auto"/>
          <w:kern w:val="0"/>
          <w:sz w:val="24"/>
          <w:highlight w:val="none"/>
        </w:rPr>
        <w:t>地点：海南省海口市蓝天路西2-8号</w:t>
      </w:r>
    </w:p>
    <w:p w14:paraId="5A936E4A">
      <w:pPr>
        <w:adjustRightInd w:val="0"/>
        <w:snapToGrid w:val="0"/>
        <w:spacing w:line="360" w:lineRule="auto"/>
        <w:ind w:firstLine="540"/>
        <w:rPr>
          <w:rFonts w:ascii="宋体" w:hAnsi="宋体" w:cs="宋体"/>
          <w:color w:val="auto"/>
          <w:kern w:val="0"/>
          <w:sz w:val="24"/>
          <w:highlight w:val="none"/>
        </w:rPr>
      </w:pPr>
      <w:r>
        <w:rPr>
          <w:rFonts w:hint="eastAsia" w:ascii="宋体" w:hAnsi="宋体" w:cs="宋体"/>
          <w:color w:val="auto"/>
          <w:kern w:val="0"/>
          <w:sz w:val="24"/>
          <w:highlight w:val="none"/>
        </w:rPr>
        <w:t>方式：现场购买</w:t>
      </w:r>
    </w:p>
    <w:p w14:paraId="2BA7F626">
      <w:pPr>
        <w:spacing w:line="360" w:lineRule="auto"/>
        <w:ind w:firstLine="540"/>
        <w:rPr>
          <w:color w:val="auto"/>
          <w:highlight w:val="none"/>
        </w:rPr>
      </w:pPr>
      <w:r>
        <w:rPr>
          <w:rFonts w:hint="eastAsia" w:ascii="宋体" w:hAnsi="宋体" w:cs="宋体"/>
          <w:color w:val="auto"/>
          <w:kern w:val="0"/>
          <w:sz w:val="24"/>
          <w:highlight w:val="none"/>
        </w:rPr>
        <w:t>售价：</w:t>
      </w:r>
      <w:r>
        <w:rPr>
          <w:rFonts w:hint="eastAsia" w:ascii="宋体" w:hAnsi="宋体" w:cs="宋体"/>
          <w:color w:val="auto"/>
          <w:kern w:val="0"/>
          <w:sz w:val="24"/>
          <w:highlight w:val="none"/>
          <w:lang w:val="en-US" w:eastAsia="zh-CN"/>
        </w:rPr>
        <w:t>300</w:t>
      </w:r>
      <w:r>
        <w:rPr>
          <w:rFonts w:hint="eastAsia" w:ascii="宋体" w:hAnsi="宋体" w:cs="宋体"/>
          <w:color w:val="auto"/>
          <w:kern w:val="0"/>
          <w:sz w:val="24"/>
          <w:highlight w:val="none"/>
        </w:rPr>
        <w:t>元</w:t>
      </w:r>
      <w:r>
        <w:rPr>
          <w:rFonts w:hint="eastAsia" w:ascii="宋体" w:hAnsi="宋体" w:cs="宋体"/>
          <w:color w:val="auto"/>
          <w:kern w:val="0"/>
          <w:sz w:val="24"/>
          <w:highlight w:val="none"/>
          <w:lang w:eastAsia="zh-CN"/>
        </w:rPr>
        <w:t>。</w:t>
      </w:r>
    </w:p>
    <w:p w14:paraId="0621299F">
      <w:pPr>
        <w:keepNext/>
        <w:keepLines/>
        <w:autoSpaceDE w:val="0"/>
        <w:autoSpaceDN w:val="0"/>
        <w:adjustRightInd w:val="0"/>
        <w:snapToGrid w:val="0"/>
        <w:spacing w:line="360" w:lineRule="auto"/>
        <w:textAlignment w:val="baseline"/>
        <w:outlineLvl w:val="1"/>
        <w:rPr>
          <w:rFonts w:ascii="宋体" w:hAnsi="宋体" w:cs="宋体"/>
          <w:b/>
          <w:color w:val="auto"/>
          <w:kern w:val="0"/>
          <w:sz w:val="24"/>
          <w:highlight w:val="none"/>
        </w:rPr>
      </w:pPr>
      <w:bookmarkStart w:id="28" w:name="_Toc35393632"/>
      <w:bookmarkStart w:id="29" w:name="_Toc28359092"/>
      <w:bookmarkStart w:id="30" w:name="_Toc28359015"/>
      <w:bookmarkStart w:id="31" w:name="_Toc35393801"/>
      <w:r>
        <w:rPr>
          <w:rFonts w:hint="eastAsia" w:ascii="宋体" w:hAnsi="宋体" w:cs="宋体"/>
          <w:b/>
          <w:color w:val="auto"/>
          <w:kern w:val="0"/>
          <w:sz w:val="24"/>
          <w:highlight w:val="none"/>
        </w:rPr>
        <w:t>四、响应文件提交</w:t>
      </w:r>
      <w:bookmarkEnd w:id="28"/>
      <w:bookmarkEnd w:id="29"/>
      <w:bookmarkEnd w:id="30"/>
      <w:bookmarkEnd w:id="31"/>
    </w:p>
    <w:p w14:paraId="4FCE1EF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截止时间：</w:t>
      </w:r>
      <w:r>
        <w:rPr>
          <w:rFonts w:hint="eastAsia" w:ascii="宋体" w:hAnsi="宋体" w:cs="宋体"/>
          <w:color w:val="auto"/>
          <w:kern w:val="0"/>
          <w:sz w:val="24"/>
          <w:highlight w:val="none"/>
          <w:lang w:eastAsia="zh-CN"/>
        </w:rPr>
        <w:t>2025年</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点</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0分（北京时间）</w:t>
      </w:r>
    </w:p>
    <w:p w14:paraId="59368D4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地点：海南省海口市蓝天路2-8号、海南省教学仪器设备招标中心有限公司开标室</w:t>
      </w:r>
    </w:p>
    <w:p w14:paraId="198A6897">
      <w:pPr>
        <w:keepNext/>
        <w:keepLines/>
        <w:autoSpaceDE w:val="0"/>
        <w:autoSpaceDN w:val="0"/>
        <w:adjustRightInd w:val="0"/>
        <w:snapToGrid w:val="0"/>
        <w:spacing w:line="360" w:lineRule="auto"/>
        <w:textAlignment w:val="baseline"/>
        <w:outlineLvl w:val="1"/>
        <w:rPr>
          <w:rFonts w:ascii="宋体" w:hAnsi="宋体" w:cs="宋体"/>
          <w:b/>
          <w:color w:val="auto"/>
          <w:kern w:val="0"/>
          <w:sz w:val="24"/>
          <w:highlight w:val="none"/>
        </w:rPr>
      </w:pPr>
      <w:bookmarkStart w:id="32" w:name="_Toc35393633"/>
      <w:bookmarkStart w:id="33" w:name="_Toc28359016"/>
      <w:bookmarkStart w:id="34" w:name="_Toc35393802"/>
      <w:bookmarkStart w:id="35" w:name="_Toc28359093"/>
      <w:r>
        <w:rPr>
          <w:rFonts w:hint="eastAsia" w:ascii="宋体" w:hAnsi="宋体" w:cs="宋体"/>
          <w:b/>
          <w:color w:val="auto"/>
          <w:kern w:val="0"/>
          <w:sz w:val="24"/>
          <w:highlight w:val="none"/>
        </w:rPr>
        <w:t>五、开启</w:t>
      </w:r>
      <w:bookmarkEnd w:id="32"/>
      <w:bookmarkEnd w:id="33"/>
      <w:bookmarkEnd w:id="34"/>
      <w:bookmarkEnd w:id="35"/>
    </w:p>
    <w:p w14:paraId="617D43E9">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时间：2025年</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日9点00分（北京时间）</w:t>
      </w:r>
    </w:p>
    <w:p w14:paraId="60047377">
      <w:pPr>
        <w:adjustRightInd w:val="0"/>
        <w:snapToGrid w:val="0"/>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地点：海南省海口市蓝天路2-8号、海南省教学仪器设备招标中心有限公司</w:t>
      </w:r>
      <w:bookmarkStart w:id="36" w:name="_Toc35393634"/>
      <w:bookmarkStart w:id="37" w:name="_Toc28359017"/>
      <w:bookmarkStart w:id="38" w:name="_Toc35393803"/>
      <w:bookmarkStart w:id="39" w:name="_Toc28359094"/>
      <w:r>
        <w:rPr>
          <w:rFonts w:hint="eastAsia" w:ascii="宋体" w:hAnsi="宋体" w:cs="宋体"/>
          <w:color w:val="auto"/>
          <w:kern w:val="0"/>
          <w:sz w:val="24"/>
          <w:highlight w:val="none"/>
        </w:rPr>
        <w:t>开标室</w:t>
      </w:r>
    </w:p>
    <w:p w14:paraId="497CC838">
      <w:pPr>
        <w:keepNext/>
        <w:keepLines/>
        <w:autoSpaceDE w:val="0"/>
        <w:autoSpaceDN w:val="0"/>
        <w:adjustRightInd w:val="0"/>
        <w:snapToGrid w:val="0"/>
        <w:spacing w:line="360" w:lineRule="auto"/>
        <w:ind w:firstLine="0" w:firstLineChars="0"/>
        <w:textAlignment w:val="baseline"/>
        <w:outlineLvl w:val="1"/>
        <w:rPr>
          <w:rFonts w:hint="eastAsia" w:ascii="宋体" w:hAnsi="宋体" w:cs="宋体"/>
          <w:b/>
          <w:bCs w:val="0"/>
          <w:color w:val="auto"/>
          <w:kern w:val="0"/>
          <w:sz w:val="24"/>
          <w:highlight w:val="none"/>
        </w:rPr>
      </w:pPr>
      <w:r>
        <w:rPr>
          <w:rFonts w:hint="eastAsia" w:ascii="宋体" w:hAnsi="宋体" w:cs="宋体"/>
          <w:b/>
          <w:bCs w:val="0"/>
          <w:color w:val="auto"/>
          <w:kern w:val="0"/>
          <w:sz w:val="24"/>
          <w:highlight w:val="none"/>
        </w:rPr>
        <w:t>六、</w:t>
      </w:r>
      <w:bookmarkEnd w:id="36"/>
      <w:bookmarkEnd w:id="37"/>
      <w:bookmarkEnd w:id="38"/>
      <w:bookmarkEnd w:id="39"/>
      <w:bookmarkStart w:id="40" w:name="_Toc35393804"/>
      <w:bookmarkStart w:id="41" w:name="_Toc35393635"/>
      <w:r>
        <w:rPr>
          <w:rFonts w:hint="eastAsia" w:ascii="宋体" w:hAnsi="宋体" w:cs="宋体"/>
          <w:b/>
          <w:bCs w:val="0"/>
          <w:color w:val="auto"/>
          <w:kern w:val="0"/>
          <w:sz w:val="24"/>
          <w:highlight w:val="none"/>
        </w:rPr>
        <w:t>其他补充事宜</w:t>
      </w:r>
      <w:bookmarkEnd w:id="40"/>
      <w:bookmarkEnd w:id="41"/>
    </w:p>
    <w:p w14:paraId="281C1301">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1、标</w:t>
      </w:r>
      <w:r>
        <w:rPr>
          <w:rFonts w:ascii="宋体" w:hAnsi="宋体" w:cs="宋体"/>
          <w:color w:val="auto"/>
          <w:sz w:val="24"/>
          <w:highlight w:val="none"/>
        </w:rPr>
        <w:t>书售后不退</w:t>
      </w:r>
      <w:r>
        <w:rPr>
          <w:rFonts w:hint="eastAsia" w:ascii="宋体" w:hAnsi="宋体" w:cs="宋体"/>
          <w:color w:val="auto"/>
          <w:sz w:val="24"/>
          <w:highlight w:val="none"/>
        </w:rPr>
        <w:t>，</w:t>
      </w:r>
      <w:r>
        <w:rPr>
          <w:rFonts w:hint="eastAsia" w:ascii="宋体" w:hAnsi="宋体" w:cs="宋体"/>
          <w:color w:val="auto"/>
          <w:kern w:val="0"/>
          <w:sz w:val="24"/>
          <w:highlight w:val="none"/>
        </w:rPr>
        <w:t>购买标书时需提供以下证明资料及备案：</w:t>
      </w:r>
    </w:p>
    <w:p w14:paraId="4957D25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.1营业执照复印件或事业单位法人证书</w:t>
      </w:r>
      <w:r>
        <w:rPr>
          <w:rFonts w:hint="eastAsia" w:ascii="宋体" w:hAnsi="宋体" w:cs="宋体"/>
          <w:color w:val="auto"/>
          <w:kern w:val="0"/>
          <w:sz w:val="24"/>
          <w:highlight w:val="none"/>
          <w:lang w:val="en-US" w:eastAsia="zh-CN"/>
        </w:rPr>
        <w:t>或其他证明的复印件</w:t>
      </w:r>
      <w:r>
        <w:rPr>
          <w:rFonts w:hint="eastAsia" w:ascii="宋体" w:hAnsi="宋体" w:cs="宋体"/>
          <w:color w:val="auto"/>
          <w:kern w:val="0"/>
          <w:sz w:val="24"/>
          <w:highlight w:val="none"/>
        </w:rPr>
        <w:t>（加盖本单位公章）</w:t>
      </w:r>
    </w:p>
    <w:p w14:paraId="20E6628C">
      <w:pPr>
        <w:adjustRightInd w:val="0"/>
        <w:snapToGrid w:val="0"/>
        <w:spacing w:line="360" w:lineRule="auto"/>
        <w:ind w:firstLine="480" w:firstLineChars="200"/>
        <w:rPr>
          <w:rFonts w:hint="default"/>
          <w:color w:val="auto"/>
          <w:highlight w:val="none"/>
          <w:lang w:val="en-US" w:eastAsia="zh-CN"/>
        </w:rPr>
      </w:pPr>
      <w:r>
        <w:rPr>
          <w:rFonts w:hint="eastAsia" w:ascii="宋体" w:hAnsi="宋体" w:cs="宋体"/>
          <w:color w:val="auto"/>
          <w:sz w:val="24"/>
          <w:highlight w:val="none"/>
          <w:lang w:val="en-US" w:eastAsia="zh-CN"/>
        </w:rPr>
        <w:t>1.2法定代表人身份证明书</w:t>
      </w:r>
    </w:p>
    <w:p w14:paraId="1294E7EA">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1.3授权委托书</w:t>
      </w:r>
    </w:p>
    <w:p w14:paraId="129F751D">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1.4法定代表人、授权代表身份证复印件</w:t>
      </w:r>
    </w:p>
    <w:p w14:paraId="3804C2B2">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、供应商应准备一份正本和</w:t>
      </w:r>
      <w:r>
        <w:rPr>
          <w:rFonts w:hint="eastAsia" w:ascii="宋体" w:hAnsi="宋体" w:cs="宋体"/>
          <w:color w:val="auto"/>
          <w:kern w:val="0"/>
          <w:sz w:val="24"/>
          <w:highlight w:val="none"/>
          <w:lang w:val="en-US" w:eastAsia="zh-CN"/>
        </w:rPr>
        <w:t>两</w:t>
      </w:r>
      <w:r>
        <w:rPr>
          <w:rFonts w:hint="eastAsia" w:ascii="宋体" w:hAnsi="宋体" w:cs="宋体"/>
          <w:color w:val="auto"/>
          <w:kern w:val="0"/>
          <w:sz w:val="24"/>
          <w:highlight w:val="none"/>
        </w:rPr>
        <w:t>份副本，并在每一份“响应文件”上要明确注明“正本”或“副本”字样。</w:t>
      </w:r>
    </w:p>
    <w:p w14:paraId="079C40B2">
      <w:pPr>
        <w:adjustRightInd w:val="0"/>
        <w:snapToGrid w:val="0"/>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供应商应将“响应文件”胶装成册。供应商应将“响应文件”正本的“报价一览表和规格响应表多备一份（加盖公章以包为单位）”单独密封于一小信封内，并在该信封上标明“报价一览表”字样，然后再装入“响应文件”正本的密封袋中。</w:t>
      </w:r>
      <w:r>
        <w:rPr>
          <w:rFonts w:hint="eastAsia" w:ascii="宋体" w:hAnsi="宋体" w:cs="宋体"/>
          <w:b/>
          <w:bCs/>
          <w:color w:val="auto"/>
          <w:kern w:val="0"/>
          <w:sz w:val="24"/>
          <w:highlight w:val="none"/>
        </w:rPr>
        <w:t>（开标时递交U盘拷贝的PDF格式正本的</w:t>
      </w:r>
      <w:r>
        <w:rPr>
          <w:rFonts w:hint="eastAsia" w:ascii="宋体" w:hAnsi="宋体" w:cs="宋体"/>
          <w:b/>
          <w:bCs/>
          <w:color w:val="auto"/>
          <w:kern w:val="0"/>
          <w:sz w:val="24"/>
          <w:highlight w:val="none"/>
          <w:lang w:eastAsia="zh-CN"/>
        </w:rPr>
        <w:t>响应文件</w:t>
      </w:r>
      <w:r>
        <w:rPr>
          <w:rFonts w:hint="eastAsia" w:ascii="宋体" w:hAnsi="宋体" w:cs="宋体"/>
          <w:b/>
          <w:bCs/>
          <w:color w:val="auto"/>
          <w:kern w:val="0"/>
          <w:sz w:val="24"/>
          <w:highlight w:val="none"/>
        </w:rPr>
        <w:t>。）</w:t>
      </w:r>
    </w:p>
    <w:p w14:paraId="6C6BE3F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、采购人不接受有任何选择的报价。</w:t>
      </w:r>
    </w:p>
    <w:p w14:paraId="34AA87EF">
      <w:pPr>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采购信息查询：</w:t>
      </w:r>
      <w:r>
        <w:rPr>
          <w:rFonts w:ascii="宋体" w:hAnsi="宋体" w:cs="宋体"/>
          <w:color w:val="auto"/>
          <w:kern w:val="0"/>
          <w:sz w:val="24"/>
          <w:highlight w:val="none"/>
        </w:rPr>
        <w:t>http://www.hainjy.com/</w:t>
      </w:r>
      <w:r>
        <w:rPr>
          <w:rFonts w:hint="eastAsia" w:ascii="宋体" w:hAnsi="宋体" w:cs="宋体"/>
          <w:color w:val="auto"/>
          <w:kern w:val="0"/>
          <w:sz w:val="24"/>
          <w:highlight w:val="none"/>
          <w:lang w:eastAsia="zh-CN"/>
        </w:rPr>
        <w:t>、www.hnzfcgxh.com。</w:t>
      </w:r>
    </w:p>
    <w:p w14:paraId="66AC6F00">
      <w:pPr>
        <w:keepNext/>
        <w:keepLines/>
        <w:autoSpaceDE w:val="0"/>
        <w:autoSpaceDN w:val="0"/>
        <w:adjustRightInd w:val="0"/>
        <w:snapToGrid w:val="0"/>
        <w:spacing w:line="360" w:lineRule="auto"/>
        <w:ind w:firstLine="0" w:firstLineChars="0"/>
        <w:textAlignment w:val="baseline"/>
        <w:outlineLvl w:val="1"/>
        <w:rPr>
          <w:rFonts w:ascii="宋体" w:hAnsi="宋体" w:cs="宋体"/>
          <w:b/>
          <w:color w:val="auto"/>
          <w:kern w:val="0"/>
          <w:sz w:val="24"/>
          <w:highlight w:val="none"/>
        </w:rPr>
      </w:pPr>
      <w:bookmarkStart w:id="42" w:name="_Toc35393636"/>
      <w:bookmarkStart w:id="43" w:name="_Toc28359018"/>
      <w:bookmarkStart w:id="44" w:name="_Toc35393805"/>
      <w:bookmarkStart w:id="45" w:name="_Toc28359095"/>
      <w:r>
        <w:rPr>
          <w:rFonts w:hint="eastAsia" w:ascii="宋体" w:hAnsi="宋体" w:cs="宋体"/>
          <w:b/>
          <w:color w:val="auto"/>
          <w:kern w:val="0"/>
          <w:sz w:val="24"/>
          <w:highlight w:val="none"/>
        </w:rPr>
        <w:t>七、凡对本次采购提出询问，请按</w:t>
      </w:r>
      <w:r>
        <w:rPr>
          <w:rFonts w:ascii="宋体" w:hAnsi="宋体" w:cs="宋体"/>
          <w:b/>
          <w:color w:val="auto"/>
          <w:kern w:val="0"/>
          <w:sz w:val="24"/>
          <w:highlight w:val="none"/>
        </w:rPr>
        <w:t>以下方式</w:t>
      </w:r>
      <w:r>
        <w:rPr>
          <w:rFonts w:hint="eastAsia" w:ascii="宋体" w:hAnsi="宋体" w:cs="宋体"/>
          <w:b/>
          <w:color w:val="auto"/>
          <w:kern w:val="0"/>
          <w:sz w:val="24"/>
          <w:highlight w:val="none"/>
        </w:rPr>
        <w:t>联系。</w:t>
      </w:r>
      <w:bookmarkEnd w:id="42"/>
      <w:bookmarkEnd w:id="43"/>
      <w:bookmarkEnd w:id="44"/>
      <w:bookmarkEnd w:id="45"/>
    </w:p>
    <w:p w14:paraId="19982FD1">
      <w:pPr>
        <w:adjustRightInd w:val="0"/>
        <w:snapToGrid w:val="0"/>
        <w:spacing w:line="360" w:lineRule="auto"/>
        <w:ind w:firstLine="480" w:firstLineChars="200"/>
        <w:rPr>
          <w:rFonts w:ascii="宋体" w:hAnsi="宋体" w:cs="宋体"/>
          <w:color w:val="auto"/>
          <w:kern w:val="0"/>
          <w:sz w:val="24"/>
          <w:highlight w:val="none"/>
        </w:rPr>
      </w:pPr>
      <w:bookmarkStart w:id="46" w:name="_Toc28359096"/>
      <w:bookmarkStart w:id="47" w:name="_Toc28359019"/>
      <w:bookmarkStart w:id="48" w:name="_Toc35393637"/>
      <w:bookmarkStart w:id="49" w:name="_Toc35393806"/>
      <w:bookmarkStart w:id="50" w:name="_Toc28359020"/>
      <w:bookmarkStart w:id="51" w:name="_Toc28359097"/>
      <w:bookmarkStart w:id="52" w:name="_Toc35393807"/>
      <w:bookmarkStart w:id="53" w:name="_Toc35393638"/>
      <w:r>
        <w:rPr>
          <w:rFonts w:hint="eastAsia" w:ascii="宋体" w:hAnsi="宋体" w:cs="宋体"/>
          <w:color w:val="auto"/>
          <w:kern w:val="0"/>
          <w:sz w:val="24"/>
          <w:highlight w:val="none"/>
        </w:rPr>
        <w:t>1.采购人信息</w:t>
      </w:r>
      <w:bookmarkEnd w:id="46"/>
      <w:bookmarkEnd w:id="47"/>
      <w:bookmarkEnd w:id="48"/>
      <w:bookmarkEnd w:id="49"/>
    </w:p>
    <w:p w14:paraId="03653B70">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名    称：　海南政法职业学院</w:t>
      </w:r>
    </w:p>
    <w:p w14:paraId="682B2583">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    址：　海南省海口市琼山区新大洲大道280号</w:t>
      </w:r>
    </w:p>
    <w:p w14:paraId="78C20BBB">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val="en-US" w:eastAsia="zh-CN"/>
        </w:rPr>
        <w:t>0898-65856935</w:t>
      </w:r>
    </w:p>
    <w:p w14:paraId="4C710C67">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50"/>
      <w:bookmarkEnd w:id="51"/>
      <w:bookmarkEnd w:id="52"/>
      <w:bookmarkEnd w:id="53"/>
    </w:p>
    <w:p w14:paraId="356F5C24">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名    称：　海南省教学仪器设备招标中心有限公司　　</w:t>
      </w:r>
    </w:p>
    <w:p w14:paraId="5B05A197">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　　址：　海南省海口市蓝天路西2-8号</w:t>
      </w:r>
    </w:p>
    <w:p w14:paraId="2169139C">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联 系 人：  林工</w:t>
      </w:r>
      <w:r>
        <w:rPr>
          <w:rFonts w:hint="eastAsia" w:ascii="宋体" w:hAnsi="宋体" w:cs="宋体"/>
          <w:color w:val="auto"/>
          <w:kern w:val="0"/>
          <w:sz w:val="24"/>
          <w:highlight w:val="none"/>
        </w:rPr>
        <w:t>　　</w:t>
      </w:r>
    </w:p>
    <w:p w14:paraId="1B124379">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联系方式：　0898-66779294　</w:t>
      </w:r>
    </w:p>
    <w:p w14:paraId="38FE8F68">
      <w:pPr>
        <w:adjustRightInd w:val="0"/>
        <w:snapToGrid w:val="0"/>
        <w:spacing w:line="360" w:lineRule="auto"/>
        <w:ind w:firstLine="480" w:firstLineChars="200"/>
        <w:rPr>
          <w:rFonts w:ascii="宋体" w:hAnsi="宋体" w:cs="宋体"/>
          <w:kern w:val="0"/>
          <w:sz w:val="24"/>
        </w:rPr>
      </w:pPr>
    </w:p>
    <w:p w14:paraId="2B969523">
      <w:pPr>
        <w:pStyle w:val="21"/>
        <w:adjustRightInd w:val="0"/>
        <w:snapToGrid w:val="0"/>
        <w:spacing w:line="300" w:lineRule="auto"/>
        <w:ind w:left="0" w:right="0" w:firstLine="0"/>
        <w:jc w:val="center"/>
        <w:rPr>
          <w:b/>
          <w:bCs/>
          <w:sz w:val="32"/>
          <w:szCs w:val="32"/>
        </w:rPr>
      </w:pPr>
      <w:r>
        <w:rPr>
          <w:b/>
          <w:bCs/>
          <w:sz w:val="32"/>
          <w:szCs w:val="32"/>
        </w:rPr>
        <w:br w:type="page"/>
      </w:r>
      <w:r>
        <w:rPr>
          <w:rFonts w:hint="eastAsia"/>
          <w:b/>
          <w:bCs/>
          <w:sz w:val="32"/>
          <w:szCs w:val="32"/>
        </w:rPr>
        <w:t>第二部分  竞争性磋商采购项目需求</w:t>
      </w:r>
    </w:p>
    <w:p w14:paraId="58FFE802">
      <w:pPr>
        <w:spacing w:line="360" w:lineRule="auto"/>
        <w:ind w:firstLine="113" w:firstLineChars="47"/>
        <w:outlineLvl w:val="0"/>
        <w:rPr>
          <w:rFonts w:ascii="宋体" w:hAnsi="宋体"/>
          <w:b/>
          <w:bCs/>
          <w:kern w:val="0"/>
          <w:sz w:val="32"/>
          <w:shd w:val="clear" w:color="auto" w:fill="FFFFFF"/>
        </w:rPr>
      </w:pPr>
      <w:bookmarkStart w:id="54" w:name="_Toc373100977"/>
      <w:r>
        <w:rPr>
          <w:rFonts w:hAnsi="宋体"/>
          <w:b/>
          <w:bCs/>
          <w:sz w:val="24"/>
          <w:shd w:val="clear" w:color="auto" w:fill="FFFFFF"/>
        </w:rPr>
        <w:t>一、</w:t>
      </w:r>
      <w:bookmarkEnd w:id="54"/>
      <w:r>
        <w:rPr>
          <w:rFonts w:hint="eastAsia" w:ascii="宋体" w:hAnsi="宋体"/>
          <w:b/>
          <w:bCs/>
          <w:kern w:val="24"/>
          <w:sz w:val="24"/>
          <w:shd w:val="clear" w:color="auto" w:fill="FFFFFF"/>
        </w:rPr>
        <w:t>供应商须知前附表</w:t>
      </w:r>
    </w:p>
    <w:tbl>
      <w:tblPr>
        <w:tblStyle w:val="37"/>
        <w:tblW w:w="9498" w:type="dxa"/>
        <w:tblInd w:w="-2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14"/>
        <w:gridCol w:w="2914"/>
        <w:gridCol w:w="5670"/>
      </w:tblGrid>
      <w:tr w14:paraId="1069DB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blHeader/>
        </w:trPr>
        <w:tc>
          <w:tcPr>
            <w:tcW w:w="914" w:type="dxa"/>
            <w:noWrap/>
            <w:vAlign w:val="center"/>
          </w:tcPr>
          <w:p w14:paraId="3F5CCFBD">
            <w:pPr>
              <w:pStyle w:val="125"/>
              <w:spacing w:line="500" w:lineRule="exact"/>
              <w:ind w:left="9"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序号</w:t>
            </w:r>
          </w:p>
        </w:tc>
        <w:tc>
          <w:tcPr>
            <w:tcW w:w="2914" w:type="dxa"/>
            <w:noWrap/>
            <w:vAlign w:val="center"/>
          </w:tcPr>
          <w:p w14:paraId="1E2A6D94">
            <w:pPr>
              <w:pStyle w:val="125"/>
              <w:spacing w:line="500" w:lineRule="exact"/>
              <w:rPr>
                <w:rFonts w:ascii="宋体" w:hAnsi="宋体"/>
                <w:sz w:val="24"/>
                <w:szCs w:val="24"/>
                <w:shd w:val="clear" w:color="auto" w:fill="FFFFFF"/>
                <w:lang w:val="zh-CN"/>
              </w:rPr>
            </w:pPr>
            <w:r>
              <w:rPr>
                <w:rFonts w:hint="eastAsia" w:ascii="宋体" w:hAnsi="宋体"/>
                <w:sz w:val="24"/>
                <w:szCs w:val="24"/>
                <w:shd w:val="clear" w:color="auto" w:fill="FFFFFF"/>
                <w:lang w:val="zh-CN"/>
              </w:rPr>
              <w:t>条款名称</w:t>
            </w:r>
          </w:p>
        </w:tc>
        <w:tc>
          <w:tcPr>
            <w:tcW w:w="5670" w:type="dxa"/>
            <w:noWrap/>
            <w:vAlign w:val="center"/>
          </w:tcPr>
          <w:p w14:paraId="2BDB10F3">
            <w:pPr>
              <w:pStyle w:val="125"/>
              <w:spacing w:line="500" w:lineRule="exact"/>
              <w:ind w:left="571" w:leftChars="272" w:firstLine="1677" w:firstLineChars="699"/>
              <w:rPr>
                <w:rFonts w:ascii="宋体" w:hAnsi="宋体"/>
                <w:sz w:val="24"/>
                <w:szCs w:val="24"/>
                <w:shd w:val="clear" w:color="auto" w:fill="FFFFFF"/>
                <w:lang w:val="zh-CN"/>
              </w:rPr>
            </w:pPr>
            <w:r>
              <w:rPr>
                <w:rFonts w:hint="eastAsia" w:ascii="宋体" w:hAnsi="宋体"/>
                <w:sz w:val="24"/>
                <w:szCs w:val="24"/>
                <w:shd w:val="clear" w:color="auto" w:fill="FFFFFF"/>
                <w:lang w:val="zh-CN"/>
              </w:rPr>
              <w:t>说明和要求</w:t>
            </w:r>
          </w:p>
        </w:tc>
      </w:tr>
      <w:tr w14:paraId="000D4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blHeader/>
        </w:trPr>
        <w:tc>
          <w:tcPr>
            <w:tcW w:w="914" w:type="dxa"/>
            <w:noWrap/>
            <w:vAlign w:val="center"/>
          </w:tcPr>
          <w:p w14:paraId="76B9CEAD">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1</w:t>
            </w:r>
          </w:p>
        </w:tc>
        <w:tc>
          <w:tcPr>
            <w:tcW w:w="2914" w:type="dxa"/>
            <w:noWrap/>
            <w:vAlign w:val="center"/>
          </w:tcPr>
          <w:p w14:paraId="2169A358">
            <w:pPr>
              <w:spacing w:line="380" w:lineRule="exact"/>
              <w:jc w:val="center"/>
              <w:rPr>
                <w:rFonts w:ascii="宋体" w:hAnsi="宋体"/>
                <w:kern w:val="0"/>
                <w:sz w:val="24"/>
                <w:shd w:val="clear" w:color="auto" w:fill="FFFFFF"/>
              </w:rPr>
            </w:pPr>
            <w:r>
              <w:rPr>
                <w:rFonts w:hint="eastAsia" w:ascii="宋体" w:hAnsi="宋体"/>
                <w:sz w:val="24"/>
                <w:shd w:val="clear" w:color="auto" w:fill="FFFFFF"/>
                <w:lang w:val="zh-CN"/>
              </w:rPr>
              <w:t>项目预算</w:t>
            </w:r>
          </w:p>
        </w:tc>
        <w:tc>
          <w:tcPr>
            <w:tcW w:w="5670" w:type="dxa"/>
            <w:noWrap/>
            <w:vAlign w:val="center"/>
          </w:tcPr>
          <w:p w14:paraId="4ABF898C">
            <w:pPr>
              <w:spacing w:line="300" w:lineRule="exact"/>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本项目采购预算为：</w:t>
            </w:r>
            <w:r>
              <w:rPr>
                <w:rFonts w:hint="eastAsia" w:ascii="宋体" w:hAnsi="宋体" w:cs="宋体"/>
                <w:color w:val="auto"/>
                <w:kern w:val="0"/>
                <w:sz w:val="24"/>
                <w:highlight w:val="none"/>
                <w:lang w:eastAsia="zh-CN"/>
              </w:rPr>
              <w:t>42.772万元</w:t>
            </w:r>
            <w:r>
              <w:rPr>
                <w:rFonts w:hint="eastAsia" w:ascii="宋体" w:hAnsi="宋体" w:cs="宋体"/>
                <w:kern w:val="0"/>
                <w:sz w:val="24"/>
              </w:rPr>
              <w:t>。</w:t>
            </w:r>
          </w:p>
          <w:p w14:paraId="66C04A65">
            <w:pPr>
              <w:spacing w:line="300" w:lineRule="exact"/>
              <w:jc w:val="left"/>
              <w:rPr>
                <w:rFonts w:ascii="宋体" w:hAnsi="宋体" w:cs="宋体"/>
                <w:kern w:val="0"/>
                <w:sz w:val="24"/>
                <w:shd w:val="clear" w:color="auto" w:fill="FFFFFF"/>
              </w:rPr>
            </w:pPr>
            <w:r>
              <w:rPr>
                <w:rFonts w:hint="eastAsia" w:ascii="宋体" w:hAnsi="宋体" w:cs="宋体"/>
                <w:kern w:val="0"/>
                <w:sz w:val="24"/>
                <w:shd w:val="clear" w:color="auto" w:fill="FFFFFF"/>
                <w:lang w:val="zh-CN"/>
              </w:rPr>
              <w:t>报价（包括第一次报价及磋商后的最后报价）不能超过采购预算，超过视为无效响应。</w:t>
            </w:r>
          </w:p>
        </w:tc>
      </w:tr>
      <w:tr w14:paraId="518D3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914" w:type="dxa"/>
            <w:noWrap/>
            <w:vAlign w:val="center"/>
          </w:tcPr>
          <w:p w14:paraId="78B36702">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2</w:t>
            </w:r>
          </w:p>
        </w:tc>
        <w:tc>
          <w:tcPr>
            <w:tcW w:w="2914" w:type="dxa"/>
            <w:noWrap/>
            <w:vAlign w:val="center"/>
          </w:tcPr>
          <w:p w14:paraId="5F254FE3">
            <w:pPr>
              <w:spacing w:line="440" w:lineRule="exact"/>
              <w:ind w:firstLine="240" w:firstLineChars="100"/>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是否接受进口产品投标</w:t>
            </w:r>
          </w:p>
        </w:tc>
        <w:tc>
          <w:tcPr>
            <w:tcW w:w="5670" w:type="dxa"/>
            <w:noWrap/>
            <w:vAlign w:val="center"/>
          </w:tcPr>
          <w:p w14:paraId="1CB8ECCB">
            <w:pPr>
              <w:spacing w:line="300" w:lineRule="exact"/>
              <w:ind w:firstLine="240" w:firstLineChars="100"/>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接受（ ）    不接受（√）</w:t>
            </w:r>
          </w:p>
        </w:tc>
      </w:tr>
      <w:tr w14:paraId="59E8FA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021352E0">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3</w:t>
            </w:r>
          </w:p>
        </w:tc>
        <w:tc>
          <w:tcPr>
            <w:tcW w:w="2914" w:type="dxa"/>
            <w:noWrap/>
            <w:vAlign w:val="center"/>
          </w:tcPr>
          <w:p w14:paraId="13F7E810">
            <w:pPr>
              <w:spacing w:line="500" w:lineRule="exact"/>
              <w:jc w:val="center"/>
              <w:rPr>
                <w:rFonts w:ascii="宋体" w:hAnsi="宋体"/>
                <w:sz w:val="24"/>
                <w:shd w:val="clear" w:color="auto" w:fill="FFFFFF"/>
              </w:rPr>
            </w:pPr>
            <w:r>
              <w:rPr>
                <w:rFonts w:hint="eastAsia" w:ascii="宋体" w:hAnsi="宋体"/>
                <w:sz w:val="24"/>
                <w:shd w:val="clear" w:color="auto" w:fill="FFFFFF"/>
              </w:rPr>
              <w:t>标前踏勘现场</w:t>
            </w:r>
          </w:p>
        </w:tc>
        <w:tc>
          <w:tcPr>
            <w:tcW w:w="5670" w:type="dxa"/>
            <w:noWrap/>
            <w:vAlign w:val="center"/>
          </w:tcPr>
          <w:p w14:paraId="079B8411">
            <w:pPr>
              <w:spacing w:line="300" w:lineRule="exact"/>
              <w:ind w:firstLine="240" w:firstLineChars="100"/>
              <w:jc w:val="left"/>
              <w:rPr>
                <w:rFonts w:ascii="宋体" w:hAnsi="宋体"/>
                <w:kern w:val="0"/>
                <w:sz w:val="24"/>
                <w:shd w:val="clear" w:color="auto" w:fill="FFFFFF"/>
                <w:lang w:val="zh-CN"/>
              </w:rPr>
            </w:pPr>
            <w:r>
              <w:rPr>
                <w:rFonts w:hint="eastAsia" w:ascii="宋体" w:hAnsi="宋体"/>
                <w:kern w:val="0"/>
                <w:sz w:val="24"/>
                <w:shd w:val="clear" w:color="auto" w:fill="FFFFFF"/>
                <w:lang w:val="zh-CN"/>
              </w:rPr>
              <w:t>组织（）   不组织（√）</w:t>
            </w:r>
          </w:p>
        </w:tc>
      </w:tr>
      <w:tr w14:paraId="117D16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05F78AB9">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4</w:t>
            </w:r>
          </w:p>
        </w:tc>
        <w:tc>
          <w:tcPr>
            <w:tcW w:w="2914" w:type="dxa"/>
            <w:noWrap/>
            <w:vAlign w:val="center"/>
          </w:tcPr>
          <w:p w14:paraId="4914ED13">
            <w:pPr>
              <w:pStyle w:val="125"/>
              <w:spacing w:line="500" w:lineRule="exact"/>
              <w:ind w:left="0" w:firstLine="0"/>
              <w:rPr>
                <w:rFonts w:ascii="宋体" w:hAnsi="宋体"/>
                <w:kern w:val="0"/>
                <w:sz w:val="24"/>
                <w:szCs w:val="24"/>
                <w:shd w:val="clear" w:color="auto" w:fill="FFFFFF"/>
                <w:lang w:val="zh-CN"/>
              </w:rPr>
            </w:pPr>
            <w:r>
              <w:rPr>
                <w:rFonts w:hint="eastAsia" w:ascii="宋体" w:hAnsi="宋体"/>
                <w:kern w:val="0"/>
                <w:sz w:val="24"/>
                <w:szCs w:val="24"/>
                <w:shd w:val="clear" w:color="auto" w:fill="FFFFFF"/>
                <w:lang w:val="zh-CN"/>
              </w:rPr>
              <w:t>述标和/或产（样）品演（展）示</w:t>
            </w:r>
          </w:p>
        </w:tc>
        <w:tc>
          <w:tcPr>
            <w:tcW w:w="5670" w:type="dxa"/>
            <w:noWrap/>
            <w:vAlign w:val="center"/>
          </w:tcPr>
          <w:p w14:paraId="0E95C05C">
            <w:pPr>
              <w:widowControl/>
              <w:tabs>
                <w:tab w:val="left" w:pos="425"/>
              </w:tabs>
              <w:spacing w:line="300" w:lineRule="exact"/>
              <w:ind w:firstLine="240" w:firstLineChars="100"/>
              <w:jc w:val="left"/>
              <w:rPr>
                <w:rFonts w:ascii="宋体" w:hAnsi="宋体"/>
                <w:kern w:val="0"/>
                <w:sz w:val="24"/>
                <w:shd w:val="clear" w:color="auto" w:fill="FFFFFF"/>
                <w:lang w:val="zh-CN"/>
              </w:rPr>
            </w:pPr>
            <w:r>
              <w:rPr>
                <w:rFonts w:hint="eastAsia" w:ascii="宋体" w:hAnsi="宋体"/>
                <w:kern w:val="0"/>
                <w:sz w:val="24"/>
                <w:shd w:val="clear" w:color="auto" w:fill="FFFFFF"/>
                <w:lang w:val="zh-CN"/>
              </w:rPr>
              <w:t>有（ √ ）       无（）</w:t>
            </w:r>
          </w:p>
        </w:tc>
      </w:tr>
      <w:tr w14:paraId="092CA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8" w:hRule="atLeast"/>
        </w:trPr>
        <w:tc>
          <w:tcPr>
            <w:tcW w:w="914" w:type="dxa"/>
            <w:noWrap/>
            <w:vAlign w:val="center"/>
          </w:tcPr>
          <w:p w14:paraId="3C3C9CDA">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5</w:t>
            </w:r>
          </w:p>
        </w:tc>
        <w:tc>
          <w:tcPr>
            <w:tcW w:w="2914" w:type="dxa"/>
            <w:noWrap/>
            <w:vAlign w:val="center"/>
          </w:tcPr>
          <w:p w14:paraId="386D589A">
            <w:pPr>
              <w:pStyle w:val="125"/>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zh-CN"/>
              </w:rPr>
              <w:t>响应有效期</w:t>
            </w:r>
          </w:p>
        </w:tc>
        <w:tc>
          <w:tcPr>
            <w:tcW w:w="5670" w:type="dxa"/>
            <w:noWrap/>
            <w:vAlign w:val="center"/>
          </w:tcPr>
          <w:p w14:paraId="1BE19854">
            <w:pPr>
              <w:pStyle w:val="125"/>
              <w:spacing w:line="300" w:lineRule="exact"/>
              <w:jc w:val="left"/>
              <w:rPr>
                <w:rFonts w:ascii="宋体" w:hAnsi="宋体"/>
                <w:sz w:val="24"/>
                <w:szCs w:val="24"/>
                <w:shd w:val="clear" w:color="auto" w:fill="FFFFFF"/>
                <w:lang w:val="zh-CN"/>
              </w:rPr>
            </w:pPr>
            <w:r>
              <w:rPr>
                <w:rFonts w:hint="eastAsia" w:ascii="宋体" w:hAnsi="宋体"/>
                <w:sz w:val="24"/>
                <w:szCs w:val="24"/>
                <w:shd w:val="clear" w:color="auto" w:fill="FFFFFF"/>
              </w:rPr>
              <w:t>自响应文件递交之日起90天内。</w:t>
            </w:r>
          </w:p>
        </w:tc>
      </w:tr>
      <w:tr w14:paraId="573C6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4" w:hRule="atLeast"/>
        </w:trPr>
        <w:tc>
          <w:tcPr>
            <w:tcW w:w="914" w:type="dxa"/>
            <w:noWrap/>
            <w:vAlign w:val="center"/>
          </w:tcPr>
          <w:p w14:paraId="7587F7B3">
            <w:pPr>
              <w:bidi w:val="0"/>
              <w:jc w:val="center"/>
              <w:rPr>
                <w:rFonts w:hint="eastAsia" w:ascii="宋体" w:hAnsi="宋体" w:eastAsia="宋体" w:cs="宋体"/>
                <w:sz w:val="28"/>
                <w:szCs w:val="28"/>
              </w:rPr>
            </w:pPr>
            <w:r>
              <w:rPr>
                <w:rFonts w:hint="eastAsia" w:ascii="宋体" w:hAnsi="宋体" w:eastAsia="宋体" w:cs="宋体"/>
                <w:sz w:val="28"/>
                <w:szCs w:val="28"/>
              </w:rPr>
              <w:t>6</w:t>
            </w:r>
          </w:p>
        </w:tc>
        <w:tc>
          <w:tcPr>
            <w:tcW w:w="2914" w:type="dxa"/>
            <w:noWrap/>
            <w:vAlign w:val="center"/>
          </w:tcPr>
          <w:p w14:paraId="7E30C0E3">
            <w:pPr>
              <w:pStyle w:val="125"/>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zh-CN"/>
              </w:rPr>
              <w:t>响应文件份数</w:t>
            </w:r>
          </w:p>
        </w:tc>
        <w:tc>
          <w:tcPr>
            <w:tcW w:w="5670" w:type="dxa"/>
            <w:noWrap/>
            <w:vAlign w:val="center"/>
          </w:tcPr>
          <w:p w14:paraId="6549867D">
            <w:pPr>
              <w:pStyle w:val="125"/>
              <w:spacing w:line="300" w:lineRule="exact"/>
              <w:ind w:firstLine="240" w:firstLineChars="100"/>
              <w:rPr>
                <w:rFonts w:ascii="宋体" w:hAnsi="宋体"/>
                <w:sz w:val="24"/>
                <w:szCs w:val="24"/>
                <w:shd w:val="clear" w:color="auto" w:fill="FFFFFF"/>
                <w:lang w:val="zh-CN"/>
              </w:rPr>
            </w:pPr>
            <w:r>
              <w:rPr>
                <w:rFonts w:hint="eastAsia" w:ascii="宋体" w:hAnsi="宋体"/>
                <w:sz w:val="24"/>
                <w:szCs w:val="24"/>
                <w:shd w:val="clear" w:color="auto" w:fill="FFFFFF"/>
                <w:lang w:val="zh-CN"/>
              </w:rPr>
              <w:t>正本</w:t>
            </w:r>
            <w:r>
              <w:rPr>
                <w:rFonts w:hint="eastAsia" w:ascii="宋体" w:hAnsi="宋体"/>
                <w:sz w:val="24"/>
                <w:szCs w:val="24"/>
                <w:u w:val="single"/>
                <w:shd w:val="clear" w:color="auto" w:fill="FFFFFF"/>
                <w:lang w:val="zh-CN"/>
              </w:rPr>
              <w:t xml:space="preserve">  壹 </w:t>
            </w:r>
            <w:r>
              <w:rPr>
                <w:rFonts w:hint="eastAsia" w:ascii="宋体" w:hAnsi="宋体"/>
                <w:sz w:val="24"/>
                <w:szCs w:val="24"/>
                <w:shd w:val="clear" w:color="auto" w:fill="FFFFFF"/>
                <w:lang w:val="zh-CN"/>
              </w:rPr>
              <w:t>份    副本</w:t>
            </w:r>
            <w:r>
              <w:rPr>
                <w:rFonts w:hint="eastAsia" w:ascii="宋体" w:hAnsi="宋体"/>
                <w:sz w:val="24"/>
                <w:szCs w:val="24"/>
                <w:u w:val="single"/>
                <w:shd w:val="clear" w:color="auto" w:fill="FFFFFF"/>
                <w:lang w:val="en-US" w:eastAsia="zh-CN"/>
              </w:rPr>
              <w:t xml:space="preserve"> 贰 </w:t>
            </w:r>
            <w:r>
              <w:rPr>
                <w:rFonts w:hint="eastAsia" w:ascii="宋体" w:hAnsi="宋体"/>
                <w:sz w:val="24"/>
                <w:szCs w:val="24"/>
                <w:shd w:val="clear" w:color="auto" w:fill="FFFFFF"/>
                <w:lang w:val="zh-CN"/>
              </w:rPr>
              <w:t>份</w:t>
            </w:r>
          </w:p>
          <w:p w14:paraId="0AFF76C3">
            <w:pPr>
              <w:pStyle w:val="125"/>
              <w:spacing w:line="300" w:lineRule="exact"/>
              <w:ind w:left="0" w:firstLine="0"/>
              <w:jc w:val="left"/>
              <w:rPr>
                <w:lang w:val="zh-CN"/>
              </w:rPr>
            </w:pPr>
            <w:r>
              <w:rPr>
                <w:rFonts w:hint="eastAsia"/>
              </w:rPr>
              <w:t>（响应时递交U盘拷贝的PDF格式正本的响应文件和报价一览表和规格响应表PDF格式并加盖公章</w:t>
            </w:r>
            <w:r>
              <w:rPr>
                <w:rFonts w:hint="eastAsia" w:ascii="宋体" w:hAnsi="宋体" w:cs="宋体"/>
                <w:b/>
                <w:bCs/>
                <w:kern w:val="0"/>
                <w:sz w:val="24"/>
              </w:rPr>
              <w:t>）</w:t>
            </w:r>
          </w:p>
          <w:p w14:paraId="0C8E6276">
            <w:pPr>
              <w:pStyle w:val="125"/>
              <w:spacing w:line="300" w:lineRule="exact"/>
              <w:ind w:left="0" w:firstLine="0"/>
              <w:rPr>
                <w:rFonts w:ascii="宋体" w:hAnsi="宋体"/>
                <w:sz w:val="18"/>
                <w:szCs w:val="18"/>
                <w:shd w:val="clear" w:color="auto" w:fill="FFFFFF"/>
                <w:lang w:val="zh-CN"/>
              </w:rPr>
            </w:pPr>
            <w:r>
              <w:rPr>
                <w:rFonts w:hint="eastAsia" w:ascii="宋体" w:hAnsi="宋体"/>
                <w:kern w:val="0"/>
                <w:sz w:val="18"/>
                <w:szCs w:val="18"/>
              </w:rPr>
              <w:t>温馨提示：为了节约能源保护环境，制作响应文件时建议双面打印</w:t>
            </w:r>
          </w:p>
        </w:tc>
      </w:tr>
      <w:tr w14:paraId="20679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2F31B463">
            <w:pPr>
              <w:bidi w:val="0"/>
              <w:jc w:val="center"/>
              <w:rPr>
                <w:rFonts w:hint="eastAsia" w:ascii="宋体" w:hAnsi="宋体" w:eastAsia="宋体" w:cs="宋体"/>
                <w:sz w:val="28"/>
                <w:szCs w:val="28"/>
              </w:rPr>
            </w:pPr>
            <w:r>
              <w:rPr>
                <w:rFonts w:hint="eastAsia" w:ascii="宋体" w:hAnsi="宋体" w:eastAsia="宋体" w:cs="宋体"/>
                <w:sz w:val="28"/>
                <w:szCs w:val="28"/>
              </w:rPr>
              <w:t>7</w:t>
            </w:r>
          </w:p>
        </w:tc>
        <w:tc>
          <w:tcPr>
            <w:tcW w:w="2914" w:type="dxa"/>
            <w:noWrap/>
            <w:vAlign w:val="center"/>
          </w:tcPr>
          <w:p w14:paraId="6995CA7E">
            <w:pPr>
              <w:pStyle w:val="125"/>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zh-CN"/>
              </w:rPr>
              <w:t>评审方法</w:t>
            </w:r>
          </w:p>
        </w:tc>
        <w:tc>
          <w:tcPr>
            <w:tcW w:w="5670" w:type="dxa"/>
            <w:noWrap/>
            <w:vAlign w:val="center"/>
          </w:tcPr>
          <w:p w14:paraId="45B151E4">
            <w:pPr>
              <w:pStyle w:val="125"/>
              <w:spacing w:line="300" w:lineRule="exact"/>
              <w:ind w:left="65" w:leftChars="31" w:firstLine="120" w:firstLineChars="50"/>
              <w:jc w:val="left"/>
              <w:rPr>
                <w:rFonts w:ascii="宋体" w:hAnsi="宋体"/>
                <w:sz w:val="24"/>
                <w:szCs w:val="24"/>
                <w:shd w:val="clear" w:color="auto" w:fill="FFFFFF"/>
                <w:lang w:val="zh-CN"/>
              </w:rPr>
            </w:pPr>
            <w:r>
              <w:rPr>
                <w:rFonts w:hint="eastAsia" w:ascii="宋体" w:hAnsi="宋体"/>
                <w:sz w:val="24"/>
                <w:szCs w:val="24"/>
                <w:shd w:val="clear" w:color="auto" w:fill="FFFFFF"/>
                <w:lang w:val="zh-CN"/>
              </w:rPr>
              <w:t>最低评标价法（  ） 综合评分法（√）</w:t>
            </w:r>
          </w:p>
        </w:tc>
      </w:tr>
      <w:tr w14:paraId="570C6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78BC8EBC">
            <w:pPr>
              <w:bidi w:val="0"/>
              <w:jc w:val="center"/>
              <w:rPr>
                <w:rFonts w:hint="eastAsia" w:ascii="宋体" w:hAnsi="宋体" w:eastAsia="宋体" w:cs="宋体"/>
                <w:sz w:val="28"/>
                <w:szCs w:val="28"/>
              </w:rPr>
            </w:pPr>
            <w:r>
              <w:rPr>
                <w:rFonts w:hint="eastAsia" w:ascii="宋体" w:hAnsi="宋体" w:eastAsia="宋体" w:cs="宋体"/>
                <w:sz w:val="28"/>
                <w:szCs w:val="28"/>
              </w:rPr>
              <w:t>8</w:t>
            </w:r>
          </w:p>
        </w:tc>
        <w:tc>
          <w:tcPr>
            <w:tcW w:w="2914" w:type="dxa"/>
            <w:noWrap/>
            <w:vAlign w:val="center"/>
          </w:tcPr>
          <w:p w14:paraId="5F51702E">
            <w:pPr>
              <w:pStyle w:val="125"/>
              <w:spacing w:line="500" w:lineRule="exact"/>
              <w:ind w:left="0" w:firstLine="0"/>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交付期</w:t>
            </w:r>
          </w:p>
        </w:tc>
        <w:tc>
          <w:tcPr>
            <w:tcW w:w="5670" w:type="dxa"/>
            <w:noWrap/>
            <w:vAlign w:val="center"/>
          </w:tcPr>
          <w:p w14:paraId="543FE234">
            <w:pPr>
              <w:adjustRightInd w:val="0"/>
              <w:snapToGrid w:val="0"/>
              <w:spacing w:line="360" w:lineRule="auto"/>
              <w:rPr>
                <w:rFonts w:hint="eastAsia" w:ascii="宋体" w:hAnsi="宋体" w:eastAsia="宋体"/>
                <w:sz w:val="24"/>
                <w:szCs w:val="24"/>
                <w:shd w:val="clear" w:color="auto" w:fill="FFFFFF"/>
                <w:lang w:val="zh-CN" w:eastAsia="zh-CN"/>
              </w:rPr>
            </w:pPr>
            <w:r>
              <w:rPr>
                <w:rFonts w:hint="eastAsia" w:ascii="宋体" w:hAnsi="宋体" w:cs="宋体"/>
                <w:color w:val="auto"/>
                <w:kern w:val="0"/>
                <w:sz w:val="24"/>
                <w:highlight w:val="none"/>
              </w:rPr>
              <w:t>合同签订之日起</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内</w:t>
            </w:r>
            <w:r>
              <w:rPr>
                <w:rFonts w:hint="eastAsia" w:ascii="宋体" w:hAnsi="宋体" w:cs="宋体"/>
                <w:color w:val="auto"/>
                <w:kern w:val="0"/>
                <w:sz w:val="24"/>
                <w:highlight w:val="none"/>
              </w:rPr>
              <w:t>完成项目交付</w:t>
            </w:r>
            <w:r>
              <w:rPr>
                <w:rFonts w:hint="eastAsia" w:ascii="宋体" w:hAnsi="宋体" w:cs="宋体"/>
                <w:color w:val="auto"/>
                <w:kern w:val="0"/>
                <w:sz w:val="24"/>
                <w:highlight w:val="none"/>
                <w:lang w:eastAsia="zh-CN"/>
              </w:rPr>
              <w:t>。</w:t>
            </w:r>
          </w:p>
        </w:tc>
      </w:tr>
      <w:tr w14:paraId="4D0329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20ED2D79">
            <w:pPr>
              <w:bidi w:val="0"/>
              <w:jc w:val="center"/>
              <w:rPr>
                <w:rFonts w:hint="eastAsia" w:ascii="宋体" w:hAnsi="宋体" w:eastAsia="宋体" w:cs="宋体"/>
                <w:sz w:val="28"/>
                <w:szCs w:val="28"/>
              </w:rPr>
            </w:pPr>
            <w:r>
              <w:rPr>
                <w:rFonts w:hint="eastAsia" w:ascii="宋体" w:hAnsi="宋体" w:eastAsia="宋体" w:cs="宋体"/>
                <w:sz w:val="28"/>
                <w:szCs w:val="28"/>
              </w:rPr>
              <w:t>9</w:t>
            </w:r>
          </w:p>
        </w:tc>
        <w:tc>
          <w:tcPr>
            <w:tcW w:w="2914" w:type="dxa"/>
            <w:noWrap/>
            <w:vAlign w:val="center"/>
          </w:tcPr>
          <w:p w14:paraId="58A41FE6">
            <w:pPr>
              <w:pStyle w:val="125"/>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en-US" w:eastAsia="zh-CN"/>
              </w:rPr>
              <w:t>服务</w:t>
            </w:r>
            <w:r>
              <w:rPr>
                <w:rFonts w:hint="eastAsia" w:ascii="宋体" w:hAnsi="宋体"/>
                <w:sz w:val="24"/>
                <w:szCs w:val="24"/>
                <w:shd w:val="clear" w:color="auto" w:fill="FFFFFF"/>
                <w:lang w:val="zh-CN"/>
              </w:rPr>
              <w:t>地点</w:t>
            </w:r>
          </w:p>
        </w:tc>
        <w:tc>
          <w:tcPr>
            <w:tcW w:w="5670" w:type="dxa"/>
            <w:noWrap/>
            <w:vAlign w:val="center"/>
          </w:tcPr>
          <w:p w14:paraId="3959765B">
            <w:pPr>
              <w:pStyle w:val="125"/>
              <w:spacing w:line="3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采购人指定地点</w:t>
            </w:r>
          </w:p>
        </w:tc>
      </w:tr>
      <w:tr w14:paraId="6CD2FF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9" w:hRule="atLeast"/>
        </w:trPr>
        <w:tc>
          <w:tcPr>
            <w:tcW w:w="914" w:type="dxa"/>
            <w:noWrap/>
            <w:vAlign w:val="center"/>
          </w:tcPr>
          <w:p w14:paraId="11C0A7D1">
            <w:pPr>
              <w:bidi w:val="0"/>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10</w:t>
            </w:r>
          </w:p>
        </w:tc>
        <w:tc>
          <w:tcPr>
            <w:tcW w:w="2914" w:type="dxa"/>
            <w:noWrap/>
            <w:vAlign w:val="center"/>
          </w:tcPr>
          <w:p w14:paraId="6B477829">
            <w:pPr>
              <w:pStyle w:val="125"/>
              <w:spacing w:line="500" w:lineRule="exact"/>
              <w:ind w:left="0" w:firstLine="0"/>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磋商保证金</w:t>
            </w:r>
          </w:p>
        </w:tc>
        <w:tc>
          <w:tcPr>
            <w:tcW w:w="5670" w:type="dxa"/>
            <w:noWrap/>
            <w:vAlign w:val="center"/>
          </w:tcPr>
          <w:p w14:paraId="2CA13975">
            <w:pPr>
              <w:pStyle w:val="125"/>
              <w:spacing w:line="300" w:lineRule="exact"/>
              <w:ind w:left="0" w:firstLine="0"/>
              <w:jc w:val="left"/>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本项目不收取</w:t>
            </w:r>
          </w:p>
        </w:tc>
      </w:tr>
      <w:tr w14:paraId="04784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46CA9842">
            <w:pPr>
              <w:bidi w:val="0"/>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1</w:t>
            </w:r>
          </w:p>
        </w:tc>
        <w:tc>
          <w:tcPr>
            <w:tcW w:w="2914" w:type="dxa"/>
            <w:noWrap/>
            <w:vAlign w:val="center"/>
          </w:tcPr>
          <w:p w14:paraId="07571C47">
            <w:pPr>
              <w:pStyle w:val="125"/>
              <w:spacing w:line="4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本项目所属行业</w:t>
            </w:r>
          </w:p>
        </w:tc>
        <w:tc>
          <w:tcPr>
            <w:tcW w:w="5670" w:type="dxa"/>
            <w:noWrap/>
            <w:vAlign w:val="center"/>
          </w:tcPr>
          <w:p w14:paraId="449C5B2E">
            <w:pPr>
              <w:pStyle w:val="125"/>
              <w:spacing w:line="3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 xml:space="preserve">根据《统计上大中小微型企业划分办法（2017）》，本项目所属行业为 </w:t>
            </w:r>
            <w:r>
              <w:rPr>
                <w:rFonts w:hint="eastAsia" w:ascii="宋体" w:hAnsi="宋体"/>
                <w:sz w:val="24"/>
                <w:szCs w:val="24"/>
                <w:u w:val="single"/>
                <w:shd w:val="clear" w:color="auto" w:fill="FFFFFF"/>
                <w:lang w:val="en-US" w:eastAsia="zh-CN"/>
              </w:rPr>
              <w:t>其他未列明行业</w:t>
            </w:r>
            <w:r>
              <w:rPr>
                <w:rFonts w:hint="eastAsia" w:ascii="宋体" w:hAnsi="宋体"/>
                <w:sz w:val="24"/>
                <w:szCs w:val="24"/>
                <w:shd w:val="clear" w:color="auto" w:fill="FFFFFF"/>
              </w:rPr>
              <w:t>。</w:t>
            </w:r>
          </w:p>
        </w:tc>
      </w:tr>
      <w:tr w14:paraId="31863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4044A418">
            <w:pPr>
              <w:jc w:val="center"/>
              <w:rPr>
                <w:rFonts w:hint="eastAsia" w:ascii="宋体" w:hAnsi="宋体" w:eastAsia="宋体"/>
                <w:sz w:val="28"/>
                <w:szCs w:val="28"/>
                <w:lang w:eastAsia="zh-CN"/>
              </w:rPr>
            </w:pPr>
            <w:r>
              <w:rPr>
                <w:rFonts w:ascii="宋体" w:hAnsi="宋体"/>
                <w:sz w:val="28"/>
                <w:szCs w:val="28"/>
              </w:rPr>
              <w:t>1</w:t>
            </w:r>
            <w:r>
              <w:rPr>
                <w:rFonts w:hint="eastAsia" w:ascii="宋体" w:hAnsi="宋体"/>
                <w:sz w:val="28"/>
                <w:szCs w:val="28"/>
                <w:lang w:val="en-US" w:eastAsia="zh-CN"/>
              </w:rPr>
              <w:t>2</w:t>
            </w:r>
          </w:p>
        </w:tc>
        <w:tc>
          <w:tcPr>
            <w:tcW w:w="2914" w:type="dxa"/>
            <w:noWrap/>
            <w:vAlign w:val="center"/>
          </w:tcPr>
          <w:p w14:paraId="670EF67B">
            <w:pPr>
              <w:pStyle w:val="125"/>
              <w:spacing w:line="400" w:lineRule="exact"/>
              <w:ind w:left="0" w:firstLine="0"/>
            </w:pPr>
            <w:r>
              <w:rPr>
                <w:rFonts w:hint="eastAsia"/>
              </w:rPr>
              <w:t>备注</w:t>
            </w:r>
          </w:p>
        </w:tc>
        <w:tc>
          <w:tcPr>
            <w:tcW w:w="5670" w:type="dxa"/>
            <w:noWrap/>
            <w:vAlign w:val="center"/>
          </w:tcPr>
          <w:p w14:paraId="1471D9FA">
            <w:pPr>
              <w:pStyle w:val="125"/>
              <w:spacing w:line="400" w:lineRule="exact"/>
              <w:ind w:left="0" w:firstLine="0"/>
            </w:pPr>
          </w:p>
        </w:tc>
      </w:tr>
    </w:tbl>
    <w:p w14:paraId="3C34855C">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rPr>
          <w:rFonts w:hint="eastAsia" w:ascii="宋体" w:hAnsi="宋体"/>
          <w:b/>
          <w:kern w:val="0"/>
          <w:sz w:val="32"/>
        </w:rPr>
      </w:pPr>
    </w:p>
    <w:p w14:paraId="02F8B50E">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rPr>
          <w:rFonts w:hint="eastAsia" w:ascii="宋体" w:hAnsi="宋体"/>
          <w:b/>
          <w:kern w:val="0"/>
          <w:sz w:val="32"/>
        </w:rPr>
      </w:pPr>
    </w:p>
    <w:p w14:paraId="5D5B0646">
      <w:pPr>
        <w:snapToGrid w:val="0"/>
        <w:spacing w:line="360" w:lineRule="auto"/>
        <w:ind w:firstLineChars="147"/>
        <w:jc w:val="both"/>
        <w:rPr>
          <w:rFonts w:hint="eastAsia" w:ascii="宋体" w:hAnsi="宋体" w:cs="宋体"/>
          <w:b/>
          <w:color w:val="auto"/>
          <w:kern w:val="0"/>
          <w:sz w:val="28"/>
          <w:szCs w:val="28"/>
          <w:highlight w:val="none"/>
          <w:lang w:val="en-US" w:eastAsia="zh-CN"/>
        </w:rPr>
      </w:pPr>
    </w:p>
    <w:p w14:paraId="22CADD60">
      <w:pPr>
        <w:snapToGrid w:val="0"/>
        <w:spacing w:line="360" w:lineRule="auto"/>
        <w:ind w:firstLineChars="147"/>
        <w:jc w:val="both"/>
        <w:rPr>
          <w:rFonts w:hint="eastAsia" w:ascii="宋体" w:hAnsi="宋体" w:cs="宋体"/>
          <w:b/>
          <w:color w:val="auto"/>
          <w:kern w:val="0"/>
          <w:sz w:val="28"/>
          <w:szCs w:val="28"/>
          <w:highlight w:val="none"/>
          <w:lang w:val="en-US" w:eastAsia="zh-CN"/>
        </w:rPr>
      </w:pPr>
    </w:p>
    <w:p w14:paraId="5E2E8735">
      <w:pPr>
        <w:snapToGrid w:val="0"/>
        <w:spacing w:line="360" w:lineRule="auto"/>
        <w:ind w:firstLineChars="147"/>
        <w:jc w:val="both"/>
        <w:rPr>
          <w:rFonts w:hint="eastAsia" w:ascii="宋体" w:hAnsi="宋体" w:cs="宋体"/>
          <w:b/>
          <w:color w:val="auto"/>
          <w:kern w:val="0"/>
          <w:sz w:val="28"/>
          <w:szCs w:val="28"/>
          <w:highlight w:val="none"/>
          <w:lang w:val="en-US" w:eastAsia="zh-CN"/>
        </w:rPr>
      </w:pPr>
    </w:p>
    <w:p w14:paraId="77467726">
      <w:pPr>
        <w:snapToGrid w:val="0"/>
        <w:spacing w:line="360" w:lineRule="auto"/>
        <w:ind w:firstLineChars="147"/>
        <w:jc w:val="both"/>
        <w:rPr>
          <w:rFonts w:hint="eastAsia" w:ascii="宋体" w:hAnsi="宋体" w:cs="宋体"/>
          <w:b/>
          <w:color w:val="auto"/>
          <w:kern w:val="0"/>
          <w:sz w:val="28"/>
          <w:szCs w:val="28"/>
          <w:highlight w:val="none"/>
          <w:lang w:val="en-US" w:eastAsia="zh-CN"/>
        </w:rPr>
      </w:pPr>
    </w:p>
    <w:p w14:paraId="273FF660">
      <w:pPr>
        <w:snapToGrid w:val="0"/>
        <w:spacing w:line="360" w:lineRule="auto"/>
        <w:ind w:firstLineChars="147"/>
        <w:jc w:val="both"/>
        <w:rPr>
          <w:color w:val="auto"/>
          <w:sz w:val="24"/>
          <w:szCs w:val="24"/>
        </w:rPr>
      </w:pPr>
      <w:r>
        <w:rPr>
          <w:rFonts w:hint="eastAsia" w:ascii="宋体" w:hAnsi="宋体" w:cs="宋体"/>
          <w:b/>
          <w:color w:val="auto"/>
          <w:kern w:val="0"/>
          <w:sz w:val="28"/>
          <w:szCs w:val="28"/>
          <w:highlight w:val="none"/>
          <w:lang w:val="en-US" w:eastAsia="zh-CN"/>
        </w:rPr>
        <w:t>二、采购需求：</w:t>
      </w:r>
      <w:bookmarkStart w:id="55" w:name="_Toc175142465"/>
    </w:p>
    <w:p w14:paraId="3E93B85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总体目标</w:t>
      </w:r>
    </w:p>
    <w:p w14:paraId="4801024A">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为进一步完善学院信息系统安全体系建设，规范信息安全管理，提高信息安全保障能力和水平，推动学院信息化建设的持续、健康发展。</w:t>
      </w:r>
    </w:p>
    <w:p w14:paraId="4657C384">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1.学校全新互联网品牌形象对外展示</w:t>
      </w:r>
    </w:p>
    <w:p w14:paraId="69BEAE13">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学校的互联网品牌形象进行全新设计输出，关注学校核心精神文化内涵，重点针对学校人文精神、校风校训、历史文化、办学理念和文化等内容进行沉淀梳理，结合当下流行的页面风格和页面技术，把学校互联网品牌形象，进行全面描绘展示，提升学校品牌影响力。</w:t>
      </w:r>
    </w:p>
    <w:p w14:paraId="62A70E1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2.构建网站群深度安全防护体系</w:t>
      </w:r>
    </w:p>
    <w:p w14:paraId="03C18972">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建网站群整体深度安全防控机制，响应国家等保2.0三级测评标准，不断升级产品的安全体系，搭建了纵深的安全防护体系，从内到外多个维度，保障站群整体安全。针对站群安全管理，采用集中管控的模式，将系统所有的安全信息以及安全管理功能，纳入统一的安全中心，进行总体管理。有效杜绝了安全管理过程中，顾此失彼的现象发生。平台整体满足国家等级保护三级的要求，完整通过测评，测评内容涉及到等保测评、渗透性测试和源代码安全性测试，确保了产品的代码级别的安全。安全建设上也融入了权限的三级分立、数据加密、身份认证、信息安全、主动管理等多种安全管理技术与概念，帮助信息中心，更好的从多维度最便捷高效的完整站群的安全管控。同时产品与时俱进融合新的安全技术，为全校网站在运行过程中提供外部危险拦截、站群自身免疫、场景化运维、网页防篡改、应用动静分离、内容安全管控等切实可行的安全防护机制，打造统一可靠的内外安全防护体系。</w:t>
      </w:r>
    </w:p>
    <w:p w14:paraId="33BB7CEA">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3.打造清晰的站群管理模式实现权责利分明</w:t>
      </w:r>
    </w:p>
    <w:p w14:paraId="6321603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构建以部门为单位的网站群管理新模式，以部门为维度，对各部门信息及网站资产，进行清晰盘点，明确各部门责任区间，真正实现谁发布、谁管理，权责利体系分明的站群管理模式。</w:t>
      </w:r>
    </w:p>
    <w:p w14:paraId="36026B6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4.提升校内业务处理效率</w:t>
      </w:r>
    </w:p>
    <w:p w14:paraId="123C159B">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打造一系列站群内部高效管理工具，根据学校实际站群业务管理需求，提供站群工作桌面、场景化运维、内容建设模板、辅助内容创作、图表处理工具、三审三校留痕等应用工具，助力于日常网站群管理及内容生产审核效能得到提升。</w:t>
      </w:r>
    </w:p>
    <w:p w14:paraId="33CEB58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5.多端发布及资源聚合管理</w:t>
      </w:r>
    </w:p>
    <w:p w14:paraId="10C76767">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以部门为管理单元，支持一个单位基于本平台完成多个网站、微信、微博等新媒体账号群的梳理绑定，从而实现本单位的全媒体分级明确管理。</w:t>
      </w:r>
    </w:p>
    <w:p w14:paraId="30CA976D">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针对多种媒体发布的内容，实现媒资的有效融合，帮助学校有序保存好校级的媒体内容资产，提供对这些资源的统一存储，通过利用清晰地分类存储技术，实现稿件、图片、视频、音频等资源的高效应用，达到对优质资源的积累。</w:t>
      </w:r>
    </w:p>
    <w:p w14:paraId="2217DAB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6.符合国家对教育行业的相关政策法规要求</w:t>
      </w:r>
    </w:p>
    <w:p w14:paraId="69DA30EF">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照《信息安全技术网络安全等级保护基本要求》、《网络信息内容生态治理规定》、《高等学校数字校园建设规范（试行）》以及国家关于信创建设等政策要求，基于学校目前网站群建设现状，充分融合目前行业内移动互联网、大数据、云计算、RASP等技术，做好与国内信创厂家之间的产品兼容互认，实现学校信息化建设内容域的创新发展，确保学校信息化体系与国家政策引导方向保持一致。</w:t>
      </w:r>
    </w:p>
    <w:p w14:paraId="74257C78">
      <w:pPr>
        <w:pStyle w:val="4"/>
        <w:numPr>
          <w:ilvl w:val="0"/>
          <w:numId w:val="2"/>
        </w:numPr>
        <w:ind w:firstLine="352" w:firstLineChars="147"/>
        <w:jc w:val="both"/>
        <w:rPr>
          <w:rFonts w:hint="eastAsia" w:asciiTheme="minorEastAsia" w:hAnsiTheme="minorEastAsia" w:eastAsiaTheme="minorEastAsia" w:cstheme="minorEastAsia"/>
          <w:b w:val="0"/>
          <w:color w:val="000000" w:themeColor="text1"/>
          <w:spacing w:val="0"/>
          <w:kern w:val="2"/>
          <w:sz w:val="24"/>
          <w:szCs w:val="24"/>
          <w14:textFill>
            <w14:solidFill>
              <w14:schemeClr w14:val="tx1"/>
            </w14:solidFill>
          </w14:textFill>
        </w:rPr>
      </w:pPr>
      <w:r>
        <w:rPr>
          <w:rFonts w:hint="eastAsia" w:asciiTheme="minorEastAsia" w:hAnsiTheme="minorEastAsia" w:eastAsiaTheme="minorEastAsia" w:cstheme="minorEastAsia"/>
          <w:b w:val="0"/>
          <w:color w:val="000000" w:themeColor="text1"/>
          <w:spacing w:val="0"/>
          <w:kern w:val="2"/>
          <w:sz w:val="24"/>
          <w:szCs w:val="24"/>
          <w14:textFill>
            <w14:solidFill>
              <w14:schemeClr w14:val="tx1"/>
            </w14:solidFill>
          </w14:textFill>
        </w:rPr>
        <w:t>总体目标</w:t>
      </w:r>
    </w:p>
    <w:p w14:paraId="4E0DFA87">
      <w:pPr>
        <w:pStyle w:val="4"/>
        <w:numPr>
          <w:ilvl w:val="-1"/>
          <w:numId w:val="0"/>
        </w:numPr>
        <w:ind w:firstLine="480" w:firstLineChars="200"/>
        <w:jc w:val="both"/>
        <w:rPr>
          <w:rFonts w:hint="eastAsia" w:asciiTheme="minorEastAsia" w:hAnsiTheme="minorEastAsia" w:eastAsiaTheme="minorEastAsia" w:cstheme="minorEastAsia"/>
          <w:b w:val="0"/>
          <w:color w:val="000000" w:themeColor="text1"/>
          <w:spacing w:val="0"/>
          <w:kern w:val="2"/>
          <w:sz w:val="24"/>
          <w:szCs w:val="24"/>
          <w14:textFill>
            <w14:solidFill>
              <w14:schemeClr w14:val="tx1"/>
            </w14:solidFill>
          </w14:textFill>
        </w:rPr>
      </w:pPr>
      <w:r>
        <w:rPr>
          <w:rFonts w:hint="eastAsia" w:asciiTheme="minorEastAsia" w:hAnsiTheme="minorEastAsia" w:eastAsiaTheme="minorEastAsia" w:cstheme="minorEastAsia"/>
          <w:b w:val="0"/>
          <w:color w:val="000000" w:themeColor="text1"/>
          <w:spacing w:val="0"/>
          <w:kern w:val="2"/>
          <w:sz w:val="24"/>
          <w:szCs w:val="24"/>
          <w14:textFill>
            <w14:solidFill>
              <w14:schemeClr w14:val="tx1"/>
            </w14:solidFill>
          </w14:textFill>
        </w:rPr>
        <w:t>本次项目建设内容主要包含：提供网站群系统（网站群系统至少具有内容安全管理和新媒体管理的平台、智能搜索、网站防篡改、网站运维管理等必要的支撑功能）及支持该系统分布式部署信创国产化适配要求，完成学院官网主页网站的定制化设计与实现，完成现有网站群的数据平滑迁移，对接学院统一身份认证系统，支持与学院数据平台对接。新建成项目需通过网络安全等级保护测评2.0，并符合国家与教育部关于IPv6技术及信创国产化的相关政策，同时，提供为期五年的系统运维保障服务。具体内容详见“</w:t>
      </w:r>
      <w:r>
        <w:rPr>
          <w:rFonts w:hint="eastAsia" w:asciiTheme="minorEastAsia" w:hAnsiTheme="minorEastAsia" w:eastAsiaTheme="minorEastAsia" w:cstheme="minorEastAsia"/>
          <w:b w:val="0"/>
          <w:color w:val="000000" w:themeColor="text1"/>
          <w:spacing w:val="0"/>
          <w:kern w:val="2"/>
          <w:sz w:val="24"/>
          <w:szCs w:val="24"/>
          <w:lang w:val="en-US" w:eastAsia="zh-CN"/>
          <w14:textFill>
            <w14:solidFill>
              <w14:schemeClr w14:val="tx1"/>
            </w14:solidFill>
          </w14:textFill>
        </w:rPr>
        <w:t>采购需求清单</w:t>
      </w:r>
      <w:r>
        <w:rPr>
          <w:rFonts w:hint="eastAsia" w:asciiTheme="minorEastAsia" w:hAnsiTheme="minorEastAsia" w:eastAsiaTheme="minorEastAsia" w:cstheme="minorEastAsia"/>
          <w:b w:val="0"/>
          <w:color w:val="000000" w:themeColor="text1"/>
          <w:spacing w:val="0"/>
          <w:kern w:val="2"/>
          <w:sz w:val="24"/>
          <w:szCs w:val="24"/>
          <w14:textFill>
            <w14:solidFill>
              <w14:schemeClr w14:val="tx1"/>
            </w14:solidFill>
          </w14:textFill>
        </w:rPr>
        <w:t>”</w:t>
      </w:r>
    </w:p>
    <w:p w14:paraId="7A69AF82">
      <w:pPr>
        <w:ind w:firstLineChars="147"/>
        <w:jc w:val="both"/>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(3)采购需求清单</w:t>
      </w:r>
    </w:p>
    <w:bookmarkEnd w:id="55"/>
    <w:tbl>
      <w:tblPr>
        <w:tblStyle w:val="3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2800"/>
        <w:gridCol w:w="3865"/>
        <w:gridCol w:w="1028"/>
        <w:gridCol w:w="1028"/>
      </w:tblGrid>
      <w:tr w14:paraId="31C9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526" w:type="pct"/>
            <w:tcBorders>
              <w:top w:val="single" w:color="000000" w:sz="8" w:space="0"/>
              <w:left w:val="single" w:color="000000" w:sz="8" w:space="0"/>
              <w:bottom w:val="single" w:color="000000" w:sz="4" w:space="0"/>
              <w:right w:val="single" w:color="000000" w:sz="4" w:space="0"/>
            </w:tcBorders>
            <w:shd w:val="clear" w:color="auto" w:fill="F2F2F2"/>
            <w:vAlign w:val="center"/>
          </w:tcPr>
          <w:p w14:paraId="3CC793A5">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序号</w:t>
            </w:r>
          </w:p>
        </w:tc>
        <w:tc>
          <w:tcPr>
            <w:tcW w:w="1436" w:type="pct"/>
            <w:tcBorders>
              <w:top w:val="single" w:color="000000" w:sz="8" w:space="0"/>
              <w:left w:val="single" w:color="000000" w:sz="4" w:space="0"/>
              <w:bottom w:val="single" w:color="000000" w:sz="4" w:space="0"/>
              <w:right w:val="single" w:color="000000" w:sz="4" w:space="0"/>
            </w:tcBorders>
            <w:shd w:val="clear" w:color="auto" w:fill="F2F2F2"/>
            <w:vAlign w:val="center"/>
          </w:tcPr>
          <w:p w14:paraId="3BE312A7">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名  称</w:t>
            </w:r>
          </w:p>
        </w:tc>
        <w:tc>
          <w:tcPr>
            <w:tcW w:w="1982" w:type="pct"/>
            <w:tcBorders>
              <w:top w:val="single" w:color="000000" w:sz="8" w:space="0"/>
              <w:left w:val="single" w:color="000000" w:sz="4" w:space="0"/>
              <w:bottom w:val="single" w:color="000000" w:sz="4" w:space="0"/>
              <w:right w:val="single" w:color="000000" w:sz="4" w:space="0"/>
            </w:tcBorders>
            <w:shd w:val="clear" w:color="auto" w:fill="F2F2F2"/>
            <w:vAlign w:val="center"/>
          </w:tcPr>
          <w:p w14:paraId="013123DC">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基本要求</w:t>
            </w:r>
          </w:p>
        </w:tc>
        <w:tc>
          <w:tcPr>
            <w:tcW w:w="527" w:type="pct"/>
            <w:tcBorders>
              <w:top w:val="single" w:color="000000" w:sz="8" w:space="0"/>
              <w:left w:val="single" w:color="000000" w:sz="4" w:space="0"/>
              <w:bottom w:val="single" w:color="000000" w:sz="4" w:space="0"/>
              <w:right w:val="single" w:color="000000" w:sz="4" w:space="0"/>
            </w:tcBorders>
            <w:shd w:val="clear" w:color="auto" w:fill="F2F2F2"/>
            <w:vAlign w:val="center"/>
          </w:tcPr>
          <w:p w14:paraId="384F5463">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单位</w:t>
            </w:r>
          </w:p>
        </w:tc>
        <w:tc>
          <w:tcPr>
            <w:tcW w:w="527" w:type="pct"/>
            <w:tcBorders>
              <w:top w:val="single" w:color="000000" w:sz="8" w:space="0"/>
              <w:left w:val="single" w:color="000000" w:sz="4" w:space="0"/>
              <w:bottom w:val="single" w:color="000000" w:sz="4" w:space="0"/>
              <w:right w:val="single" w:color="000000" w:sz="8" w:space="0"/>
            </w:tcBorders>
            <w:shd w:val="clear" w:color="auto" w:fill="F2F2F2"/>
            <w:vAlign w:val="center"/>
          </w:tcPr>
          <w:p w14:paraId="207EBFBB">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数量</w:t>
            </w:r>
          </w:p>
        </w:tc>
      </w:tr>
      <w:tr w14:paraId="4384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26" w:type="pct"/>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95228A">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一</w:t>
            </w:r>
          </w:p>
        </w:tc>
        <w:tc>
          <w:tcPr>
            <w:tcW w:w="1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9B081">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网站群管理平台</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14FC">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基础平台</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D844">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套</w:t>
            </w:r>
          </w:p>
        </w:tc>
        <w:tc>
          <w:tcPr>
            <w:tcW w:w="527"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A09D40">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p>
        </w:tc>
      </w:tr>
      <w:tr w14:paraId="67CF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26"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63C0DA">
            <w:pPr>
              <w:ind w:left="0" w:leftChars="0" w:firstLine="0" w:firstLineChars="0"/>
              <w:jc w:val="center"/>
              <w:rPr>
                <w:rFonts w:hint="eastAsia" w:asciiTheme="minorEastAsia" w:hAnsiTheme="minorEastAsia" w:eastAsiaTheme="minorEastAsia" w:cstheme="minorEastAsia"/>
                <w:sz w:val="24"/>
              </w:rPr>
            </w:pPr>
          </w:p>
        </w:tc>
        <w:tc>
          <w:tcPr>
            <w:tcW w:w="1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B20C8">
            <w:pPr>
              <w:ind w:left="0" w:leftChars="0" w:firstLine="0" w:firstLineChars="0"/>
              <w:jc w:val="center"/>
              <w:rPr>
                <w:rFonts w:hint="eastAsia" w:asciiTheme="minorEastAsia" w:hAnsiTheme="minorEastAsia" w:eastAsiaTheme="minorEastAsia" w:cstheme="minorEastAsia"/>
                <w:sz w:val="24"/>
              </w:rPr>
            </w:pP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A327">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网站群网页防篡改系统</w:t>
            </w: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FBDA">
            <w:pPr>
              <w:ind w:left="0" w:leftChars="0" w:firstLine="0" w:firstLineChars="0"/>
              <w:jc w:val="center"/>
              <w:rPr>
                <w:rFonts w:hint="eastAsia" w:asciiTheme="minorEastAsia" w:hAnsiTheme="minorEastAsia" w:eastAsiaTheme="minorEastAsia" w:cstheme="minorEastAsia"/>
                <w:sz w:val="24"/>
              </w:rPr>
            </w:pPr>
          </w:p>
        </w:tc>
        <w:tc>
          <w:tcPr>
            <w:tcW w:w="527"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C3560A">
            <w:pPr>
              <w:ind w:left="0" w:leftChars="0" w:firstLine="0" w:firstLineChars="0"/>
              <w:jc w:val="center"/>
              <w:rPr>
                <w:rFonts w:hint="eastAsia" w:asciiTheme="minorEastAsia" w:hAnsiTheme="minorEastAsia" w:eastAsiaTheme="minorEastAsia" w:cstheme="minorEastAsia"/>
                <w:sz w:val="24"/>
              </w:rPr>
            </w:pPr>
          </w:p>
        </w:tc>
      </w:tr>
      <w:tr w14:paraId="214D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26"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34150F">
            <w:pPr>
              <w:ind w:left="0" w:leftChars="0" w:firstLine="0" w:firstLineChars="0"/>
              <w:jc w:val="center"/>
              <w:rPr>
                <w:rFonts w:hint="eastAsia" w:asciiTheme="minorEastAsia" w:hAnsiTheme="minorEastAsia" w:eastAsiaTheme="minorEastAsia" w:cstheme="minorEastAsia"/>
                <w:sz w:val="24"/>
              </w:rPr>
            </w:pPr>
          </w:p>
        </w:tc>
        <w:tc>
          <w:tcPr>
            <w:tcW w:w="1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1363">
            <w:pPr>
              <w:ind w:left="0" w:leftChars="0" w:firstLine="0" w:firstLineChars="0"/>
              <w:jc w:val="center"/>
              <w:rPr>
                <w:rFonts w:hint="eastAsia" w:asciiTheme="minorEastAsia" w:hAnsiTheme="minorEastAsia" w:eastAsiaTheme="minorEastAsia" w:cstheme="minorEastAsia"/>
                <w:sz w:val="24"/>
              </w:rPr>
            </w:pP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A68E">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应用开放平台</w:t>
            </w: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613F">
            <w:pPr>
              <w:ind w:left="0" w:leftChars="0" w:firstLine="0" w:firstLineChars="0"/>
              <w:jc w:val="center"/>
              <w:rPr>
                <w:rFonts w:hint="eastAsia" w:asciiTheme="minorEastAsia" w:hAnsiTheme="minorEastAsia" w:eastAsiaTheme="minorEastAsia" w:cstheme="minorEastAsia"/>
                <w:sz w:val="24"/>
              </w:rPr>
            </w:pPr>
          </w:p>
        </w:tc>
        <w:tc>
          <w:tcPr>
            <w:tcW w:w="527"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B6CAA8">
            <w:pPr>
              <w:ind w:left="0" w:leftChars="0" w:firstLine="0" w:firstLineChars="0"/>
              <w:jc w:val="center"/>
              <w:rPr>
                <w:rFonts w:hint="eastAsia" w:asciiTheme="minorEastAsia" w:hAnsiTheme="minorEastAsia" w:eastAsiaTheme="minorEastAsia" w:cstheme="minorEastAsia"/>
                <w:sz w:val="24"/>
              </w:rPr>
            </w:pPr>
          </w:p>
        </w:tc>
      </w:tr>
      <w:tr w14:paraId="3970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26"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6E22FE">
            <w:pPr>
              <w:ind w:left="0" w:leftChars="0" w:firstLine="0" w:firstLineChars="0"/>
              <w:jc w:val="center"/>
              <w:rPr>
                <w:rFonts w:hint="eastAsia" w:asciiTheme="minorEastAsia" w:hAnsiTheme="minorEastAsia" w:eastAsiaTheme="minorEastAsia" w:cstheme="minorEastAsia"/>
                <w:sz w:val="24"/>
              </w:rPr>
            </w:pPr>
          </w:p>
        </w:tc>
        <w:tc>
          <w:tcPr>
            <w:tcW w:w="1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05331">
            <w:pPr>
              <w:ind w:left="0" w:leftChars="0" w:firstLine="0" w:firstLineChars="0"/>
              <w:jc w:val="center"/>
              <w:rPr>
                <w:rFonts w:hint="eastAsia" w:asciiTheme="minorEastAsia" w:hAnsiTheme="minorEastAsia" w:eastAsiaTheme="minorEastAsia" w:cstheme="minorEastAsia"/>
                <w:sz w:val="24"/>
              </w:rPr>
            </w:pP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D1C3">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网站群智能检索</w:t>
            </w: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3F09">
            <w:pPr>
              <w:ind w:left="0" w:leftChars="0" w:firstLine="0" w:firstLineChars="0"/>
              <w:jc w:val="center"/>
              <w:rPr>
                <w:rFonts w:hint="eastAsia" w:asciiTheme="minorEastAsia" w:hAnsiTheme="minorEastAsia" w:eastAsiaTheme="minorEastAsia" w:cstheme="minorEastAsia"/>
                <w:sz w:val="24"/>
              </w:rPr>
            </w:pPr>
          </w:p>
        </w:tc>
        <w:tc>
          <w:tcPr>
            <w:tcW w:w="527"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CFCA7A">
            <w:pPr>
              <w:ind w:left="0" w:leftChars="0" w:firstLine="0" w:firstLineChars="0"/>
              <w:jc w:val="center"/>
              <w:rPr>
                <w:rFonts w:hint="eastAsia" w:asciiTheme="minorEastAsia" w:hAnsiTheme="minorEastAsia" w:eastAsiaTheme="minorEastAsia" w:cstheme="minorEastAsia"/>
                <w:sz w:val="24"/>
              </w:rPr>
            </w:pPr>
          </w:p>
        </w:tc>
      </w:tr>
      <w:tr w14:paraId="67EC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26" w:type="pct"/>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F5FEC1">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二</w:t>
            </w:r>
          </w:p>
        </w:tc>
        <w:tc>
          <w:tcPr>
            <w:tcW w:w="1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1D08F">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系统软件</w:t>
            </w:r>
          </w:p>
        </w:tc>
        <w:tc>
          <w:tcPr>
            <w:tcW w:w="1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779E">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数据库</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4557">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套</w:t>
            </w:r>
          </w:p>
        </w:tc>
        <w:tc>
          <w:tcPr>
            <w:tcW w:w="52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9F77BC">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p>
        </w:tc>
      </w:tr>
      <w:tr w14:paraId="4CBE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26"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8D5095">
            <w:pPr>
              <w:ind w:left="0" w:leftChars="0" w:firstLine="0" w:firstLineChars="0"/>
              <w:jc w:val="center"/>
              <w:rPr>
                <w:rFonts w:hint="eastAsia" w:asciiTheme="minorEastAsia" w:hAnsiTheme="minorEastAsia" w:eastAsiaTheme="minorEastAsia" w:cstheme="minorEastAsia"/>
                <w:sz w:val="24"/>
              </w:rPr>
            </w:pPr>
          </w:p>
        </w:tc>
        <w:tc>
          <w:tcPr>
            <w:tcW w:w="1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FBB39">
            <w:pPr>
              <w:ind w:left="0" w:leftChars="0" w:firstLine="0" w:firstLineChars="0"/>
              <w:jc w:val="center"/>
              <w:rPr>
                <w:rFonts w:hint="eastAsia" w:asciiTheme="minorEastAsia" w:hAnsiTheme="minorEastAsia" w:eastAsiaTheme="minorEastAsia" w:cstheme="minorEastAsia"/>
                <w:sz w:val="24"/>
              </w:rPr>
            </w:pPr>
          </w:p>
        </w:tc>
        <w:tc>
          <w:tcPr>
            <w:tcW w:w="1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376F">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中间件</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3C0C">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套</w:t>
            </w:r>
          </w:p>
        </w:tc>
        <w:tc>
          <w:tcPr>
            <w:tcW w:w="52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A53D99">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p>
        </w:tc>
      </w:tr>
      <w:tr w14:paraId="783F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26"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047C2A">
            <w:pPr>
              <w:ind w:left="0" w:leftChars="0" w:firstLine="0" w:firstLineChars="0"/>
              <w:jc w:val="center"/>
              <w:rPr>
                <w:rFonts w:hint="eastAsia" w:asciiTheme="minorEastAsia" w:hAnsiTheme="minorEastAsia" w:eastAsiaTheme="minorEastAsia" w:cstheme="minorEastAsia"/>
                <w:sz w:val="24"/>
              </w:rPr>
            </w:pPr>
          </w:p>
        </w:tc>
        <w:tc>
          <w:tcPr>
            <w:tcW w:w="1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A3925">
            <w:pPr>
              <w:ind w:left="0" w:leftChars="0" w:firstLine="0" w:firstLineChars="0"/>
              <w:jc w:val="center"/>
              <w:rPr>
                <w:rFonts w:hint="eastAsia" w:asciiTheme="minorEastAsia" w:hAnsiTheme="minorEastAsia" w:eastAsiaTheme="minorEastAsia" w:cstheme="minorEastAsia"/>
                <w:sz w:val="24"/>
              </w:rPr>
            </w:pPr>
          </w:p>
        </w:tc>
        <w:tc>
          <w:tcPr>
            <w:tcW w:w="1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28BD">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操作系统</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635E">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套</w:t>
            </w:r>
          </w:p>
        </w:tc>
        <w:tc>
          <w:tcPr>
            <w:tcW w:w="52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A8C3EC">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p>
        </w:tc>
      </w:tr>
      <w:tr w14:paraId="43F0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26" w:type="pct"/>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569815">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三</w:t>
            </w:r>
          </w:p>
        </w:tc>
        <w:tc>
          <w:tcPr>
            <w:tcW w:w="14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D476">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其他服务</w:t>
            </w:r>
          </w:p>
        </w:tc>
        <w:tc>
          <w:tcPr>
            <w:tcW w:w="1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2A04">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学校中文官网改版服务</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F720">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套</w:t>
            </w:r>
          </w:p>
        </w:tc>
        <w:tc>
          <w:tcPr>
            <w:tcW w:w="52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F49DBB">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p>
        </w:tc>
      </w:tr>
      <w:tr w14:paraId="5A2E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26"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D8884">
            <w:pPr>
              <w:ind w:left="0" w:leftChars="0" w:firstLine="0" w:firstLineChars="0"/>
              <w:jc w:val="center"/>
              <w:rPr>
                <w:rFonts w:hint="eastAsia" w:asciiTheme="minorEastAsia" w:hAnsiTheme="minorEastAsia" w:eastAsiaTheme="minorEastAsia" w:cstheme="minorEastAsia"/>
                <w:sz w:val="24"/>
              </w:rPr>
            </w:pPr>
          </w:p>
        </w:tc>
        <w:tc>
          <w:tcPr>
            <w:tcW w:w="1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3899">
            <w:pPr>
              <w:ind w:left="0" w:leftChars="0" w:firstLine="0" w:firstLineChars="0"/>
              <w:jc w:val="center"/>
              <w:rPr>
                <w:rFonts w:hint="eastAsia" w:asciiTheme="minorEastAsia" w:hAnsiTheme="minorEastAsia" w:eastAsiaTheme="minorEastAsia" w:cstheme="minorEastAsia"/>
                <w:sz w:val="24"/>
              </w:rPr>
            </w:pPr>
          </w:p>
        </w:tc>
        <w:tc>
          <w:tcPr>
            <w:tcW w:w="1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2FA7">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内容安全监测服务</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9F44">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年</w:t>
            </w:r>
          </w:p>
        </w:tc>
        <w:tc>
          <w:tcPr>
            <w:tcW w:w="52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175843">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p>
        </w:tc>
      </w:tr>
      <w:tr w14:paraId="44E0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26"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B64F95">
            <w:pPr>
              <w:ind w:left="0" w:leftChars="0" w:firstLine="0" w:firstLineChars="0"/>
              <w:jc w:val="center"/>
              <w:rPr>
                <w:rFonts w:hint="eastAsia" w:asciiTheme="minorEastAsia" w:hAnsiTheme="minorEastAsia" w:eastAsiaTheme="minorEastAsia" w:cstheme="minorEastAsia"/>
                <w:sz w:val="24"/>
              </w:rPr>
            </w:pPr>
          </w:p>
        </w:tc>
        <w:tc>
          <w:tcPr>
            <w:tcW w:w="1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C6C6">
            <w:pPr>
              <w:ind w:left="0" w:leftChars="0" w:firstLine="0" w:firstLineChars="0"/>
              <w:jc w:val="center"/>
              <w:rPr>
                <w:rFonts w:hint="eastAsia" w:asciiTheme="minorEastAsia" w:hAnsiTheme="minorEastAsia" w:eastAsiaTheme="minorEastAsia" w:cstheme="minorEastAsia"/>
                <w:sz w:val="24"/>
              </w:rPr>
            </w:pP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C698">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集成对接服务</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0F0B">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项</w:t>
            </w:r>
          </w:p>
        </w:tc>
        <w:tc>
          <w:tcPr>
            <w:tcW w:w="52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2E2C97">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p>
        </w:tc>
      </w:tr>
      <w:tr w14:paraId="116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26"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4972452C">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四</w:t>
            </w:r>
          </w:p>
        </w:tc>
        <w:tc>
          <w:tcPr>
            <w:tcW w:w="1436"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23C1CA35">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系统集成</w:t>
            </w:r>
          </w:p>
        </w:tc>
        <w:tc>
          <w:tcPr>
            <w:tcW w:w="198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07BFCAF">
            <w:pPr>
              <w:spacing w:line="240" w:lineRule="auto"/>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系统集成实施</w:t>
            </w:r>
          </w:p>
        </w:tc>
        <w:tc>
          <w:tcPr>
            <w:tcW w:w="527"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3854612D">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项</w:t>
            </w:r>
          </w:p>
        </w:tc>
        <w:tc>
          <w:tcPr>
            <w:tcW w:w="527"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DAD196F">
            <w:pPr>
              <w:ind w:left="0" w:leftChars="0"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p>
        </w:tc>
      </w:tr>
    </w:tbl>
    <w:p w14:paraId="093FCF29">
      <w:pPr>
        <w:adjustRightInd w:val="0"/>
        <w:snapToGrid w:val="0"/>
        <w:spacing w:line="360" w:lineRule="auto"/>
        <w:ind w:firstLine="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C5762E9">
      <w:pPr>
        <w:numPr>
          <w:ilvl w:val="-1"/>
          <w:numId w:val="0"/>
        </w:num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lang w:val="en-US" w:eastAsia="zh-CN"/>
        </w:rPr>
      </w:pPr>
    </w:p>
    <w:p w14:paraId="11F21397">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p>
    <w:p w14:paraId="5C467920">
      <w:pPr>
        <w:numPr>
          <w:ilvl w:val="-1"/>
          <w:numId w:val="0"/>
        </w:num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技术要求</w:t>
      </w:r>
    </w:p>
    <w:tbl>
      <w:tblPr>
        <w:tblStyle w:val="37"/>
        <w:tblW w:w="52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991"/>
        <w:gridCol w:w="8628"/>
      </w:tblGrid>
      <w:tr w14:paraId="3242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7B24A382">
            <w:pPr>
              <w:spacing w:line="360" w:lineRule="auto"/>
              <w:ind w:firstLine="0" w:firstLineChars="0"/>
              <w:jc w:val="center"/>
              <w:rPr>
                <w:rFonts w:hint="eastAsia" w:asciiTheme="minorEastAsia" w:hAnsiTheme="minorEastAsia" w:eastAsiaTheme="minorEastAsia" w:cstheme="minorEastAsia"/>
                <w:b/>
                <w:color w:val="000000"/>
                <w:spacing w:val="0"/>
                <w:kern w:val="0"/>
                <w:sz w:val="24"/>
                <w:szCs w:val="24"/>
                <w:highlight w:val="none"/>
                <w14:ligatures w14:val="none"/>
              </w:rPr>
            </w:pPr>
            <w:r>
              <w:rPr>
                <w:rFonts w:hint="eastAsia" w:asciiTheme="minorEastAsia" w:hAnsiTheme="minorEastAsia" w:eastAsiaTheme="minorEastAsia" w:cstheme="minorEastAsia"/>
                <w:b/>
                <w:color w:val="000000"/>
                <w:spacing w:val="0"/>
                <w:kern w:val="0"/>
                <w:sz w:val="24"/>
                <w:szCs w:val="24"/>
                <w:highlight w:val="none"/>
                <w14:ligatures w14:val="none"/>
              </w:rPr>
              <w:t>序号</w:t>
            </w:r>
          </w:p>
        </w:tc>
        <w:tc>
          <w:tcPr>
            <w:tcW w:w="484" w:type="pct"/>
            <w:vAlign w:val="center"/>
          </w:tcPr>
          <w:p w14:paraId="577D2E1E">
            <w:pPr>
              <w:wordWrap w:val="0"/>
              <w:spacing w:line="360" w:lineRule="auto"/>
              <w:ind w:firstLine="0" w:firstLineChars="0"/>
              <w:jc w:val="center"/>
              <w:rPr>
                <w:rFonts w:hint="eastAsia" w:asciiTheme="minorEastAsia" w:hAnsiTheme="minorEastAsia" w:eastAsiaTheme="minorEastAsia" w:cstheme="minorEastAsia"/>
                <w:b/>
                <w:color w:val="000000"/>
                <w:spacing w:val="0"/>
                <w:kern w:val="0"/>
                <w:sz w:val="24"/>
                <w:szCs w:val="24"/>
                <w:highlight w:val="none"/>
                <w14:ligatures w14:val="none"/>
              </w:rPr>
            </w:pPr>
            <w:r>
              <w:rPr>
                <w:rFonts w:hint="eastAsia" w:asciiTheme="minorEastAsia" w:hAnsiTheme="minorEastAsia" w:eastAsiaTheme="minorEastAsia" w:cstheme="minorEastAsia"/>
                <w:b/>
                <w:color w:val="000000"/>
                <w:spacing w:val="0"/>
                <w:kern w:val="0"/>
                <w:sz w:val="24"/>
                <w:szCs w:val="24"/>
                <w:highlight w:val="none"/>
                <w14:ligatures w14:val="none"/>
              </w:rPr>
              <w:t>指标项</w:t>
            </w:r>
          </w:p>
        </w:tc>
        <w:tc>
          <w:tcPr>
            <w:tcW w:w="4212" w:type="pct"/>
            <w:vAlign w:val="center"/>
          </w:tcPr>
          <w:p w14:paraId="0639DABE">
            <w:pPr>
              <w:wordWrap w:val="0"/>
              <w:adjustRightInd w:val="0"/>
              <w:snapToGrid w:val="0"/>
              <w:spacing w:line="360" w:lineRule="auto"/>
              <w:ind w:firstLine="482" w:firstLineChars="200"/>
              <w:jc w:val="center"/>
              <w:rPr>
                <w:rFonts w:hint="eastAsia" w:asciiTheme="minorEastAsia" w:hAnsiTheme="minorEastAsia" w:eastAsiaTheme="minorEastAsia" w:cstheme="minorEastAsia"/>
                <w:b/>
                <w:color w:val="000000"/>
                <w:spacing w:val="0"/>
                <w:kern w:val="0"/>
                <w:sz w:val="24"/>
                <w:szCs w:val="24"/>
                <w:highlight w:val="none"/>
                <w14:ligatures w14:val="none"/>
              </w:rPr>
            </w:pPr>
            <w:r>
              <w:rPr>
                <w:rFonts w:hint="eastAsia" w:asciiTheme="minorEastAsia" w:hAnsiTheme="minorEastAsia" w:eastAsiaTheme="minorEastAsia" w:cstheme="minorEastAsia"/>
                <w:b/>
                <w:color w:val="000000"/>
                <w:spacing w:val="0"/>
                <w:kern w:val="0"/>
                <w:sz w:val="24"/>
                <w:szCs w:val="24"/>
                <w:highlight w:val="none"/>
                <w:lang w:val="en-US" w:eastAsia="zh-CN"/>
                <w14:ligatures w14:val="none"/>
              </w:rPr>
              <w:t>参数</w:t>
            </w:r>
            <w:r>
              <w:rPr>
                <w:rFonts w:hint="eastAsia" w:asciiTheme="minorEastAsia" w:hAnsiTheme="minorEastAsia" w:eastAsiaTheme="minorEastAsia" w:cstheme="minorEastAsia"/>
                <w:b/>
                <w:color w:val="000000"/>
                <w:spacing w:val="0"/>
                <w:kern w:val="0"/>
                <w:sz w:val="24"/>
                <w:szCs w:val="24"/>
                <w:highlight w:val="none"/>
                <w14:ligatures w14:val="none"/>
              </w:rPr>
              <w:t>要求</w:t>
            </w:r>
          </w:p>
        </w:tc>
      </w:tr>
      <w:tr w14:paraId="48CB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02843315">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553DC192">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总体技术要求</w:t>
            </w:r>
          </w:p>
        </w:tc>
        <w:tc>
          <w:tcPr>
            <w:tcW w:w="4212" w:type="pct"/>
            <w:vAlign w:val="center"/>
          </w:tcPr>
          <w:p w14:paraId="4F6A438F">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b/>
                <w:bCs/>
                <w:color w:val="000000"/>
                <w:spacing w:val="0"/>
                <w:kern w:val="0"/>
                <w:sz w:val="24"/>
                <w:szCs w:val="24"/>
                <w:highlight w:val="none"/>
                <w14:ligatures w14:val="none"/>
              </w:rPr>
            </w:pPr>
            <w:r>
              <w:rPr>
                <w:rFonts w:hint="eastAsia" w:asciiTheme="minorEastAsia" w:hAnsiTheme="minorEastAsia" w:eastAsiaTheme="minorEastAsia" w:cstheme="minorEastAsia"/>
                <w:color w:val="auto"/>
                <w:spacing w:val="0"/>
                <w:kern w:val="0"/>
                <w:sz w:val="24"/>
                <w:szCs w:val="24"/>
                <w:highlight w:val="none"/>
                <w14:ligatures w14:val="none"/>
              </w:rPr>
              <w:t>▲</w:t>
            </w:r>
            <w:r>
              <w:rPr>
                <w:rFonts w:hint="eastAsia" w:asciiTheme="minorEastAsia" w:hAnsiTheme="minorEastAsia" w:eastAsiaTheme="minorEastAsia" w:cstheme="minorEastAsia"/>
                <w:color w:val="000000"/>
                <w:spacing w:val="0"/>
                <w:kern w:val="0"/>
                <w:sz w:val="24"/>
                <w:szCs w:val="24"/>
                <w:highlight w:val="none"/>
                <w14:ligatures w14:val="none"/>
              </w:rPr>
              <w:t>全媒体管理平台软件要求采用B/S结构设计、JAVA语言开发、Java EE技术架构。</w:t>
            </w:r>
            <w:r>
              <w:rPr>
                <w:rFonts w:hint="eastAsia" w:asciiTheme="minorEastAsia" w:hAnsiTheme="minorEastAsia" w:eastAsiaTheme="minorEastAsia" w:cstheme="minorEastAsia"/>
                <w:b/>
                <w:bCs/>
                <w:color w:val="000000"/>
                <w:spacing w:val="0"/>
                <w:kern w:val="0"/>
                <w:sz w:val="24"/>
                <w:szCs w:val="24"/>
                <w:highlight w:val="none"/>
                <w14:ligatures w14:val="none"/>
              </w:rPr>
              <w:t>（</w:t>
            </w:r>
            <w:r>
              <w:rPr>
                <w:rFonts w:hint="eastAsia" w:asciiTheme="minorEastAsia" w:hAnsiTheme="minorEastAsia" w:eastAsiaTheme="minorEastAsia" w:cstheme="minorEastAsia"/>
                <w:b/>
                <w:bCs/>
                <w:color w:val="000000"/>
                <w:spacing w:val="0"/>
                <w:kern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kern w:val="0"/>
                <w:sz w:val="24"/>
                <w:szCs w:val="24"/>
                <w:highlight w:val="none"/>
                <w14:ligatures w14:val="none"/>
              </w:rPr>
              <w:t>）</w:t>
            </w:r>
          </w:p>
          <w:p w14:paraId="0594B325">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系统通过一套平台实现微信、微博、网站、大屏界面等全媒体的管理，无需重复多次登录不同后台。</w:t>
            </w:r>
          </w:p>
          <w:p w14:paraId="315AF9B8">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在国产化兼容方面，系统需支持在搭载了龙芯、兆芯、飞腾等国产CPU的服务器上进行建设。支持在麒麟、统信等国产化操作系统进行部署。支持与武汉达梦、南大通用、中电科金仓、山东瀚高、神州通用等国产化数据库进行适配。支持与中创、金蝶、东方通、宝兰德等国产化中间件进行适配，当前平台需要确保与国产主流芯片、国产操作系统、国产数据库及国产应用深度兼容适配，为系统后续安全平稳运转，提供底层信创兼容支撑。</w:t>
            </w:r>
          </w:p>
          <w:p w14:paraId="79594498">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系统需具有良好的跨平台特性，支持基于主流Linux的平台搭建；支持Tomcat应用服务器，以及Apache和Nginx等Web服务器；支持Oracle、SQL Server、MySQL、PostgreSQL等多种主流数据库。</w:t>
            </w:r>
          </w:p>
          <w:p w14:paraId="5D10CD89">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兼容微软Edge、谷歌Chrome、360浏览器、苹果Safari、QQ浏览器、火狐Firefox等多种浏览器。</w:t>
            </w:r>
          </w:p>
          <w:p w14:paraId="6087E220">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系统要求支持移动网站建设，实现网站页面和文章内容、视频、图片等资源的全适配，兼容全部主流智能手机的操作系统：包括苹果IOS、安卓Android等，兼容不同设备的分辨率。</w:t>
            </w:r>
          </w:p>
          <w:p w14:paraId="348B9E9B">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系统需要具有完善的权限和用户管理体系，可以适应单位内各类角色管理员的管理和使用，提供与统一身份认证系统的数据接口，并具有集成能力。</w:t>
            </w:r>
          </w:p>
          <w:p w14:paraId="0AC3114A">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系统安装可根据单位内实际情况选择不同的部署方式，要求支持常见的几类部署方式（单服务器部署、多服务器部署、虚拟化部署、集群化部署等），可实现动态服务器和静态服务器分开部署。</w:t>
            </w:r>
          </w:p>
          <w:p w14:paraId="695F48A2">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▲系统应支持反向代理设置，为正确获取客户端的真实IP地址，系统能够添加可信反向代理服务器IP路径，同时支持检测出未知反向代理服务器，并对其进行访问次数统计和可信列表添加。</w:t>
            </w:r>
            <w:r>
              <w:rPr>
                <w:rFonts w:hint="eastAsia" w:asciiTheme="minorEastAsia" w:hAnsiTheme="minorEastAsia" w:eastAsiaTheme="minorEastAsia" w:cstheme="minorEastAsia"/>
                <w:b/>
                <w:bCs/>
                <w:color w:val="000000"/>
                <w:spacing w:val="0"/>
                <w:kern w:val="0"/>
                <w:sz w:val="24"/>
                <w:szCs w:val="24"/>
                <w:highlight w:val="none"/>
                <w14:ligatures w14:val="none"/>
              </w:rPr>
              <w:t>（</w:t>
            </w:r>
            <w:r>
              <w:rPr>
                <w:rFonts w:hint="eastAsia" w:asciiTheme="minorEastAsia" w:hAnsiTheme="minorEastAsia" w:eastAsiaTheme="minorEastAsia" w:cstheme="minorEastAsia"/>
                <w:b/>
                <w:bCs/>
                <w:color w:val="000000"/>
                <w:spacing w:val="0"/>
                <w:kern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kern w:val="0"/>
                <w:sz w:val="24"/>
                <w:szCs w:val="24"/>
                <w:highlight w:val="none"/>
                <w14:ligatures w14:val="none"/>
              </w:rPr>
              <w:t>）</w:t>
            </w:r>
          </w:p>
          <w:p w14:paraId="4AE024C7">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系统针对IPv6提供全面访问支持，同时支持基于IPv4和IPv6地址的访问控制，访问记录及统计。</w:t>
            </w:r>
          </w:p>
          <w:p w14:paraId="376E7DD9">
            <w:pPr>
              <w:numPr>
                <w:ilvl w:val="0"/>
                <w:numId w:val="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系统全面支持HTTPS安全传输协议。</w:t>
            </w:r>
          </w:p>
        </w:tc>
      </w:tr>
      <w:tr w14:paraId="5B12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08C377A2">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0A582F12">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平台登录管理</w:t>
            </w:r>
          </w:p>
        </w:tc>
        <w:tc>
          <w:tcPr>
            <w:tcW w:w="4212" w:type="pct"/>
            <w:vAlign w:val="center"/>
          </w:tcPr>
          <w:p w14:paraId="4A16BE68">
            <w:pPr>
              <w:widowControl w:val="0"/>
              <w:numPr>
                <w:ilvl w:val="-1"/>
                <w:numId w:val="0"/>
              </w:numPr>
              <w:wordWrap w:val="0"/>
              <w:adjustRightInd w:val="0"/>
              <w:snapToGrid w:val="0"/>
              <w:spacing w:line="360" w:lineRule="auto"/>
              <w:ind w:left="420" w:leftChars="200" w:firstLine="0" w:firstLineChars="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(1)▲系统需支持部门站点、系统管理、内容管理登录入口的独立设定，为用户提供清晰的入口路径。为响应安全相关政策要求，系统内需设定系统管理员、审计管理员、安全管理员，实现三员分立。（</w:t>
            </w:r>
            <w:r>
              <w:rPr>
                <w:rFonts w:hint="eastAsia" w:asciiTheme="minorEastAsia" w:hAnsiTheme="minorEastAsia" w:eastAsiaTheme="minorEastAsia" w:cstheme="minorEastAsia"/>
                <w:b/>
                <w:bCs/>
                <w:color w:val="000000"/>
                <w:kern w:val="0"/>
                <w:sz w:val="24"/>
                <w:szCs w:val="24"/>
                <w:highlight w:val="none"/>
                <w:lang w:val="en-US" w:eastAsia="zh-CN" w:bidi="ar-SA"/>
              </w:rPr>
              <w:t>提供现场演示</w:t>
            </w:r>
            <w:r>
              <w:rPr>
                <w:rFonts w:hint="eastAsia" w:asciiTheme="minorEastAsia" w:hAnsiTheme="minorEastAsia" w:eastAsiaTheme="minorEastAsia" w:cstheme="minorEastAsia"/>
                <w:color w:val="000000"/>
                <w:kern w:val="0"/>
                <w:sz w:val="24"/>
                <w:szCs w:val="24"/>
                <w:highlight w:val="none"/>
                <w:lang w:val="en-US" w:eastAsia="zh-CN" w:bidi="ar-SA"/>
              </w:rPr>
              <w:t>）</w:t>
            </w:r>
          </w:p>
          <w:p w14:paraId="38348691">
            <w:pPr>
              <w:widowControl w:val="0"/>
              <w:numPr>
                <w:ilvl w:val="-1"/>
                <w:numId w:val="0"/>
              </w:numPr>
              <w:wordWrap w:val="0"/>
              <w:adjustRightInd w:val="0"/>
              <w:snapToGrid w:val="0"/>
              <w:spacing w:line="360" w:lineRule="auto"/>
              <w:ind w:left="420" w:leftChars="200" w:firstLine="0" w:firstLineChars="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(2)用户登录入口处需要提供专门的系统后台管理制度或站群安全制度阅览空间，帮助单位内实现标准化管理规范的宣导与展示。</w:t>
            </w:r>
          </w:p>
        </w:tc>
      </w:tr>
      <w:tr w14:paraId="6640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2F332501">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32375736">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工作桌面管理工具</w:t>
            </w:r>
          </w:p>
        </w:tc>
        <w:tc>
          <w:tcPr>
            <w:tcW w:w="4212" w:type="pct"/>
            <w:vAlign w:val="center"/>
          </w:tcPr>
          <w:p w14:paraId="15FC3596">
            <w:pPr>
              <w:numPr>
                <w:ilvl w:val="0"/>
                <w:numId w:val="5"/>
              </w:numPr>
              <w:wordWrap w:val="0"/>
              <w:adjustRightInd w:val="0"/>
              <w:snapToGrid w:val="0"/>
              <w:spacing w:line="360" w:lineRule="auto"/>
              <w:ind w:firstLine="480" w:firstLineChars="0"/>
              <w:rPr>
                <w:rFonts w:hint="eastAsia" w:asciiTheme="minorEastAsia" w:hAnsiTheme="minorEastAsia" w:eastAsiaTheme="minorEastAsia" w:cstheme="minorEastAsia"/>
                <w:b/>
                <w:bCs/>
                <w:color w:val="000000"/>
                <w:spacing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w:t>
            </w:r>
            <w:r>
              <w:rPr>
                <w:rFonts w:hint="eastAsia" w:asciiTheme="minorEastAsia" w:hAnsiTheme="minorEastAsia" w:eastAsiaTheme="minorEastAsia" w:cstheme="minorEastAsia"/>
                <w:color w:val="000000"/>
                <w:spacing w:val="0"/>
                <w:sz w:val="24"/>
                <w:szCs w:val="24"/>
                <w:highlight w:val="none"/>
                <w14:ligatures w14:val="none"/>
              </w:rPr>
              <w:t>系统工作台支持查看站点情况、异常管理员、系统运维的异常备份及磁盘空间情况，可对服务器连通性一键检测，便于管理员掌握一手站群运维信息。</w:t>
            </w:r>
            <w:r>
              <w:rPr>
                <w:rFonts w:hint="eastAsia" w:asciiTheme="minorEastAsia" w:hAnsiTheme="minorEastAsia" w:eastAsiaTheme="minorEastAsia" w:cstheme="minorEastAsia"/>
                <w:b/>
                <w:bCs/>
                <w:color w:val="000000"/>
                <w:spacing w:val="0"/>
                <w:sz w:val="24"/>
                <w:szCs w:val="24"/>
                <w:highlight w:val="none"/>
                <w14:ligatures w14:val="none"/>
              </w:rPr>
              <w:t>（</w:t>
            </w:r>
            <w:r>
              <w:rPr>
                <w:rFonts w:hint="eastAsia" w:asciiTheme="minorEastAsia" w:hAnsiTheme="minorEastAsia" w:eastAsiaTheme="minorEastAsia" w:cstheme="minorEastAsia"/>
                <w:b/>
                <w:bCs/>
                <w:color w:val="000000"/>
                <w:spacing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sz w:val="24"/>
                <w:szCs w:val="24"/>
                <w:highlight w:val="none"/>
                <w14:ligatures w14:val="none"/>
              </w:rPr>
              <w:t>）</w:t>
            </w:r>
          </w:p>
          <w:p w14:paraId="52F4D9F3">
            <w:pPr>
              <w:widowControl w:val="0"/>
              <w:numPr>
                <w:ilvl w:val="0"/>
                <w:numId w:val="5"/>
              </w:numPr>
              <w:wordWrap w:val="0"/>
              <w:adjustRightInd w:val="0"/>
              <w:snapToGrid w:val="0"/>
              <w:spacing w:after="0" w:line="360" w:lineRule="auto"/>
              <w:ind w:firstLine="48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系统工作台支持系统安全检测结果呈现，呈现内容至少包含站群安全评分、检测时间、各类检测项目数量，针对平台体检结果修复及防护日志查阅提供直达入口，确保安全问题快速处理。</w:t>
            </w:r>
          </w:p>
          <w:p w14:paraId="5A235DD6">
            <w:pPr>
              <w:widowControl w:val="0"/>
              <w:numPr>
                <w:ilvl w:val="0"/>
                <w:numId w:val="5"/>
              </w:numPr>
              <w:wordWrap w:val="0"/>
              <w:adjustRightInd w:val="0"/>
              <w:snapToGrid w:val="0"/>
              <w:spacing w:after="0" w:line="360" w:lineRule="auto"/>
              <w:ind w:firstLine="48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部门站点端提供部门工作台，需能够展示当前部门之下网站、微信号、微博号、电子屏等部门资产数量，每种资产可以查看当前所属管理员情况，上级部门管理员可查看下级部门资产。</w:t>
            </w:r>
          </w:p>
          <w:p w14:paraId="29CA6EFD">
            <w:pPr>
              <w:widowControl w:val="0"/>
              <w:numPr>
                <w:ilvl w:val="0"/>
                <w:numId w:val="5"/>
              </w:numPr>
              <w:wordWrap w:val="0"/>
              <w:adjustRightInd w:val="0"/>
              <w:snapToGrid w:val="0"/>
              <w:spacing w:after="0" w:line="360" w:lineRule="auto"/>
              <w:ind w:firstLine="48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部门工作台支持展示部门之下站点总访问量、总发文量热门搜索词云及访问趋势等关键运营数据，访问趋势需支持按照近一年、近一月等不同时间维度数据呈现。</w:t>
            </w:r>
          </w:p>
        </w:tc>
      </w:tr>
      <w:tr w14:paraId="36B6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68A96AB5">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1BD018D7">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站群管理</w:t>
            </w:r>
          </w:p>
        </w:tc>
        <w:tc>
          <w:tcPr>
            <w:tcW w:w="4212" w:type="pct"/>
            <w:vAlign w:val="center"/>
          </w:tcPr>
          <w:p w14:paraId="1F0BA0CA">
            <w:pPr>
              <w:widowControl w:val="0"/>
              <w:numPr>
                <w:ilvl w:val="0"/>
                <w:numId w:val="6"/>
              </w:numPr>
              <w:wordWrap w:val="0"/>
              <w:adjustRightInd w:val="0"/>
              <w:snapToGrid w:val="0"/>
              <w:spacing w:after="0" w:line="360" w:lineRule="auto"/>
              <w:ind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站点管理</w:t>
            </w:r>
            <w:r>
              <w:rPr>
                <w:rFonts w:hint="eastAsia" w:asciiTheme="minorEastAsia" w:hAnsiTheme="minorEastAsia" w:eastAsiaTheme="minorEastAsia" w:cstheme="minorEastAsia"/>
                <w:color w:val="000000"/>
                <w:kern w:val="2"/>
                <w:sz w:val="24"/>
                <w:szCs w:val="24"/>
                <w:highlight w:val="none"/>
                <w:lang w:val="en-US" w:eastAsia="zh-CN" w:bidi="ar-SA"/>
              </w:rPr>
              <w:tab/>
            </w:r>
            <w:r>
              <w:rPr>
                <w:rFonts w:hint="eastAsia" w:asciiTheme="minorEastAsia" w:hAnsiTheme="minorEastAsia" w:eastAsiaTheme="minorEastAsia" w:cstheme="minorEastAsia"/>
                <w:color w:val="000000"/>
                <w:kern w:val="2"/>
                <w:sz w:val="24"/>
                <w:szCs w:val="24"/>
                <w:highlight w:val="none"/>
                <w:lang w:val="en-US" w:eastAsia="zh-CN" w:bidi="ar-SA"/>
              </w:rPr>
              <w:tab/>
            </w:r>
            <w:r>
              <w:rPr>
                <w:rFonts w:hint="eastAsia" w:asciiTheme="minorEastAsia" w:hAnsiTheme="minorEastAsia" w:eastAsiaTheme="minorEastAsia" w:cstheme="minorEastAsia"/>
                <w:color w:val="000000"/>
                <w:kern w:val="2"/>
                <w:sz w:val="24"/>
                <w:szCs w:val="24"/>
                <w:highlight w:val="none"/>
                <w:lang w:val="en-US" w:eastAsia="zh-CN" w:bidi="ar-SA"/>
              </w:rPr>
              <w:t>支持按部门管理站点</w:t>
            </w:r>
            <w:r>
              <w:rPr>
                <w:rFonts w:hint="eastAsia" w:asciiTheme="minorEastAsia" w:hAnsiTheme="minorEastAsia" w:eastAsiaTheme="minorEastAsia" w:cstheme="minorEastAsia"/>
                <w:color w:val="000000"/>
                <w:kern w:val="2"/>
                <w:sz w:val="24"/>
                <w:szCs w:val="24"/>
                <w:highlight w:val="none"/>
                <w:lang w:val="en-US" w:eastAsia="zh-CN" w:bidi="ar-SA"/>
              </w:rPr>
              <w:tab/>
            </w:r>
            <w:r>
              <w:rPr>
                <w:rFonts w:hint="eastAsia" w:asciiTheme="minorEastAsia" w:hAnsiTheme="minorEastAsia" w:eastAsiaTheme="minorEastAsia" w:cstheme="minorEastAsia"/>
                <w:color w:val="000000"/>
                <w:kern w:val="2"/>
                <w:sz w:val="24"/>
                <w:szCs w:val="24"/>
                <w:highlight w:val="none"/>
                <w:lang w:val="en-US" w:eastAsia="zh-CN" w:bidi="ar-SA"/>
              </w:rPr>
              <w:t>，支持部门树的维护，可新增下级单位，针对每个部门要求能够展示部门成员数量、部门管理员联系方式等内容；能够采用部门视角盘点及管理每个部门的网站、新媒体以及大屏资产。</w:t>
            </w:r>
          </w:p>
          <w:p w14:paraId="3D9EA975">
            <w:pPr>
              <w:widowControl w:val="0"/>
              <w:numPr>
                <w:ilvl w:val="0"/>
                <w:numId w:val="6"/>
              </w:numPr>
              <w:wordWrap w:val="0"/>
              <w:adjustRightInd w:val="0"/>
              <w:snapToGrid w:val="0"/>
              <w:spacing w:after="0" w:line="360" w:lineRule="auto"/>
              <w:ind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支持部门创建站点及电子屏的申请流程实现线上化处理，可实现对部门管理员的建站申请</w:t>
            </w:r>
            <w:r>
              <w:rPr>
                <w:rFonts w:hint="eastAsia" w:asciiTheme="minorEastAsia" w:hAnsiTheme="minorEastAsia" w:eastAsiaTheme="minorEastAsia" w:cstheme="minorEastAsia"/>
                <w:color w:val="000000"/>
                <w:kern w:val="2"/>
                <w:sz w:val="24"/>
                <w:szCs w:val="24"/>
                <w:highlight w:val="none"/>
                <w:lang w:val="en-US" w:eastAsia="zh-CN" w:bidi="ar-SA"/>
              </w:rPr>
              <w:tab/>
            </w:r>
            <w:r>
              <w:rPr>
                <w:rFonts w:hint="eastAsia" w:asciiTheme="minorEastAsia" w:hAnsiTheme="minorEastAsia" w:eastAsiaTheme="minorEastAsia" w:cstheme="minorEastAsia"/>
                <w:color w:val="000000"/>
                <w:kern w:val="2"/>
                <w:sz w:val="24"/>
                <w:szCs w:val="24"/>
                <w:highlight w:val="none"/>
                <w:lang w:val="en-US" w:eastAsia="zh-CN" w:bidi="ar-SA"/>
              </w:rPr>
              <w:t>进行审批处理，可显示申请部门、申请人、申请时间及处理状态，可选择同意或驳回操作，要求对每个部门申请历史记录可查询。</w:t>
            </w:r>
          </w:p>
          <w:p w14:paraId="61E5E3EB">
            <w:pPr>
              <w:widowControl w:val="0"/>
              <w:numPr>
                <w:ilvl w:val="0"/>
                <w:numId w:val="6"/>
              </w:numPr>
              <w:wordWrap w:val="0"/>
              <w:adjustRightInd w:val="0"/>
              <w:snapToGrid w:val="0"/>
              <w:spacing w:after="0" w:line="360" w:lineRule="auto"/>
              <w:ind w:firstLine="480" w:firstLineChars="20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系统提供一键关停功能，可对当前平台站点统一进行关停，当处于一键关停状态中，外界无法针对关停站点进行访问，同时支持一键启用，对关停站点进行恢复。</w:t>
            </w:r>
          </w:p>
          <w:p w14:paraId="149FAB1C">
            <w:pPr>
              <w:widowControl w:val="0"/>
              <w:numPr>
                <w:ilvl w:val="0"/>
                <w:numId w:val="6"/>
              </w:numPr>
              <w:wordWrap w:val="0"/>
              <w:adjustRightInd w:val="0"/>
              <w:snapToGrid w:val="0"/>
              <w:spacing w:after="0" w:line="360" w:lineRule="auto"/>
              <w:ind w:firstLine="480" w:firstLineChars="200"/>
              <w:jc w:val="both"/>
              <w:rPr>
                <w:rFonts w:hint="eastAsia" w:asciiTheme="minorEastAsia" w:hAnsiTheme="minorEastAsia" w:eastAsiaTheme="minorEastAsia" w:cstheme="minorEastAsia"/>
                <w:b/>
                <w:bCs/>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▲能够实现站点批量停止维护、停止浏览、停止维护和浏览、正常运转等多种管控模式。</w:t>
            </w:r>
            <w:r>
              <w:rPr>
                <w:rFonts w:hint="eastAsia" w:asciiTheme="minorEastAsia" w:hAnsiTheme="minorEastAsia" w:eastAsiaTheme="minorEastAsia" w:cstheme="minorEastAsia"/>
                <w:b/>
                <w:bCs/>
                <w:color w:val="000000"/>
                <w:kern w:val="0"/>
                <w:sz w:val="24"/>
                <w:szCs w:val="24"/>
                <w:highlight w:val="none"/>
                <w:lang w:val="en-US" w:eastAsia="zh-CN" w:bidi="ar-SA"/>
              </w:rPr>
              <w:t>（提供现场演示）</w:t>
            </w:r>
          </w:p>
          <w:p w14:paraId="74A38DFB">
            <w:pPr>
              <w:widowControl w:val="0"/>
              <w:numPr>
                <w:ilvl w:val="0"/>
                <w:numId w:val="6"/>
              </w:numPr>
              <w:wordWrap w:val="0"/>
              <w:adjustRightInd w:val="0"/>
              <w:snapToGrid w:val="0"/>
              <w:spacing w:after="0" w:line="360" w:lineRule="auto"/>
              <w:ind w:firstLine="480" w:firstLineChars="20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支持站点启停生命周期管理，设置站点自动启停计划，系统自动执行站点的启停时间。</w:t>
            </w:r>
          </w:p>
          <w:p w14:paraId="23DAF47B">
            <w:pPr>
              <w:widowControl w:val="0"/>
              <w:numPr>
                <w:ilvl w:val="0"/>
                <w:numId w:val="6"/>
              </w:numPr>
              <w:wordWrap w:val="0"/>
              <w:adjustRightInd w:val="0"/>
              <w:snapToGrid w:val="0"/>
              <w:spacing w:after="0" w:line="360" w:lineRule="auto"/>
              <w:ind w:firstLine="480" w:firstLineChars="20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支持网站一键置灰、支持仅设置网站首页置灰。</w:t>
            </w:r>
          </w:p>
        </w:tc>
      </w:tr>
      <w:tr w14:paraId="29AB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20BB6EF9">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7878C8B9">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网站建设</w:t>
            </w:r>
          </w:p>
        </w:tc>
        <w:tc>
          <w:tcPr>
            <w:tcW w:w="4212" w:type="pct"/>
            <w:vAlign w:val="center"/>
          </w:tcPr>
          <w:p w14:paraId="7B2F97CA">
            <w:pPr>
              <w:numPr>
                <w:ilvl w:val="0"/>
                <w:numId w:val="7"/>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系统支持对信息中心官方建设网站进行标记认证，规避后续二级单位自发建站导致技术不规范且未经过安全评审的问题，经过安全评审后的网站可实现加V标记。</w:t>
            </w:r>
          </w:p>
          <w:p w14:paraId="0A88BA7F">
            <w:pPr>
              <w:numPr>
                <w:ilvl w:val="0"/>
                <w:numId w:val="7"/>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在系统使用设计好的HTML模板进行制作时，需兼容所有主流设计工具生成的HTML模板，直接选择当前HTML文件进行上传。</w:t>
            </w:r>
          </w:p>
          <w:p w14:paraId="74E5EEF5">
            <w:pPr>
              <w:numPr>
                <w:ilvl w:val="0"/>
                <w:numId w:val="7"/>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系统需提供350种以上不同类型的常用组件及移动化组件，全面支持DIV+CSS架构，用来实现网站丰富多彩的展现形式，各类组件之间可以相互复制副本或引用，便于同源数据的快速展示。</w:t>
            </w:r>
          </w:p>
          <w:p w14:paraId="426DA73A">
            <w:pPr>
              <w:numPr>
                <w:ilvl w:val="0"/>
                <w:numId w:val="7"/>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支持采用响应式技术或多屏适配技术，对网站实现多终端访问界面优化展现，原有网站组件不需要重新配置，移动化网站提供模拟器预览功能，支持多种手机分辨率展示效果，确保发布页面的准确性和兼容性。</w:t>
            </w:r>
          </w:p>
          <w:p w14:paraId="351BE29B">
            <w:pPr>
              <w:numPr>
                <w:ilvl w:val="0"/>
                <w:numId w:val="7"/>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sz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系统支持电子大屏建设与内容发布展示，需提供至少5套党建、迎新、活动等主题的电子屏</w:t>
            </w:r>
            <w:r>
              <w:rPr>
                <w:rFonts w:hint="eastAsia" w:asciiTheme="minorEastAsia" w:hAnsiTheme="minorEastAsia" w:eastAsiaTheme="minorEastAsia" w:cstheme="minorEastAsia"/>
                <w:color w:val="000000"/>
                <w:spacing w:val="0"/>
                <w:kern w:val="0"/>
                <w:sz w:val="24"/>
                <w:szCs w:val="24"/>
                <w:highlight w:val="none"/>
                <w:lang w:val="en-US" w:eastAsia="zh-CN"/>
                <w14:ligatures w14:val="none"/>
              </w:rPr>
              <w:t>模板</w:t>
            </w:r>
            <w:r>
              <w:rPr>
                <w:rFonts w:hint="eastAsia" w:asciiTheme="minorEastAsia" w:hAnsiTheme="minorEastAsia" w:eastAsiaTheme="minorEastAsia" w:cstheme="minorEastAsia"/>
                <w:color w:val="000000"/>
                <w:spacing w:val="0"/>
                <w:kern w:val="0"/>
                <w:sz w:val="24"/>
                <w:szCs w:val="24"/>
                <w:highlight w:val="none"/>
                <w14:ligatures w14:val="none"/>
              </w:rPr>
              <w:t>。</w:t>
            </w:r>
          </w:p>
        </w:tc>
      </w:tr>
      <w:tr w14:paraId="04A5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29E36612">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4917F8F7">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内容创作管理</w:t>
            </w:r>
          </w:p>
        </w:tc>
        <w:tc>
          <w:tcPr>
            <w:tcW w:w="4212" w:type="pct"/>
            <w:vAlign w:val="center"/>
          </w:tcPr>
          <w:p w14:paraId="23FBF132">
            <w:pPr>
              <w:numPr>
                <w:ilvl w:val="0"/>
                <w:numId w:val="8"/>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系统需围绕着发稿人需求搭建内容创作中心，可实现文章快速新增，对用户的发文、撤稿、暂存等多种状态的内容</w:t>
            </w:r>
            <w:r>
              <w:rPr>
                <w:rFonts w:hint="eastAsia" w:asciiTheme="minorEastAsia" w:hAnsiTheme="minorEastAsia" w:eastAsiaTheme="minorEastAsia" w:cstheme="minorEastAsia"/>
                <w:color w:val="000000"/>
                <w:spacing w:val="0"/>
                <w:kern w:val="0"/>
                <w:sz w:val="24"/>
                <w:szCs w:val="24"/>
                <w:highlight w:val="none"/>
                <w14:ligatures w14:val="none"/>
              </w:rPr>
              <w:tab/>
            </w:r>
            <w:r>
              <w:rPr>
                <w:rFonts w:hint="eastAsia" w:asciiTheme="minorEastAsia" w:hAnsiTheme="minorEastAsia" w:eastAsiaTheme="minorEastAsia" w:cstheme="minorEastAsia"/>
                <w:color w:val="000000"/>
                <w:spacing w:val="0"/>
                <w:kern w:val="0"/>
                <w:sz w:val="24"/>
                <w:szCs w:val="24"/>
                <w:highlight w:val="none"/>
                <w14:ligatures w14:val="none"/>
              </w:rPr>
              <w:tab/>
            </w:r>
            <w:r>
              <w:rPr>
                <w:rFonts w:hint="eastAsia" w:asciiTheme="minorEastAsia" w:hAnsiTheme="minorEastAsia" w:eastAsiaTheme="minorEastAsia" w:cstheme="minorEastAsia"/>
                <w:color w:val="000000"/>
                <w:spacing w:val="0"/>
                <w:kern w:val="0"/>
                <w:sz w:val="24"/>
                <w:szCs w:val="24"/>
                <w:highlight w:val="none"/>
                <w14:ligatures w14:val="none"/>
              </w:rPr>
              <w:tab/>
            </w:r>
            <w:r>
              <w:rPr>
                <w:rFonts w:hint="eastAsia" w:asciiTheme="minorEastAsia" w:hAnsiTheme="minorEastAsia" w:eastAsiaTheme="minorEastAsia" w:cstheme="minorEastAsia"/>
                <w:color w:val="000000"/>
                <w:spacing w:val="0"/>
                <w:kern w:val="0"/>
                <w:sz w:val="24"/>
                <w:szCs w:val="24"/>
                <w:highlight w:val="none"/>
                <w14:ligatures w14:val="none"/>
              </w:rPr>
              <w:t>进行管理。</w:t>
            </w:r>
          </w:p>
          <w:p w14:paraId="725F5AE6">
            <w:pPr>
              <w:numPr>
                <w:ilvl w:val="0"/>
                <w:numId w:val="8"/>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系统需提供至少6套的文章展示模板，帮助用户对一些特殊形式的文章快速实现</w:t>
            </w:r>
            <w:r>
              <w:rPr>
                <w:rFonts w:hint="eastAsia" w:asciiTheme="minorEastAsia" w:hAnsiTheme="minorEastAsia" w:eastAsiaTheme="minorEastAsia" w:cstheme="minorEastAsia"/>
                <w:color w:val="000000"/>
                <w:spacing w:val="0"/>
                <w:kern w:val="0"/>
                <w:sz w:val="24"/>
                <w:szCs w:val="24"/>
                <w:highlight w:val="none"/>
                <w:lang w:val="en-US" w:eastAsia="zh-CN"/>
                <w14:ligatures w14:val="none"/>
              </w:rPr>
              <w:t>模板</w:t>
            </w:r>
            <w:r>
              <w:rPr>
                <w:rFonts w:hint="eastAsia" w:asciiTheme="minorEastAsia" w:hAnsiTheme="minorEastAsia" w:eastAsiaTheme="minorEastAsia" w:cstheme="minorEastAsia"/>
                <w:color w:val="000000"/>
                <w:spacing w:val="0"/>
                <w:kern w:val="0"/>
                <w:sz w:val="24"/>
                <w:szCs w:val="24"/>
                <w:highlight w:val="none"/>
                <w14:ligatures w14:val="none"/>
              </w:rPr>
              <w:t>引用</w:t>
            </w:r>
            <w:r>
              <w:rPr>
                <w:rFonts w:hint="eastAsia" w:asciiTheme="minorEastAsia" w:hAnsiTheme="minorEastAsia" w:eastAsiaTheme="minorEastAsia" w:cstheme="minorEastAsia"/>
                <w:color w:val="000000"/>
                <w:spacing w:val="0"/>
                <w:kern w:val="0"/>
                <w:sz w:val="24"/>
                <w:szCs w:val="24"/>
                <w:highlight w:val="none"/>
                <w14:ligatures w14:val="none"/>
              </w:rPr>
              <w:tab/>
            </w:r>
            <w:r>
              <w:rPr>
                <w:rFonts w:hint="eastAsia" w:asciiTheme="minorEastAsia" w:hAnsiTheme="minorEastAsia" w:eastAsiaTheme="minorEastAsia" w:cstheme="minorEastAsia"/>
                <w:color w:val="000000"/>
                <w:spacing w:val="0"/>
                <w:kern w:val="0"/>
                <w:sz w:val="24"/>
                <w:szCs w:val="24"/>
                <w:highlight w:val="none"/>
                <w14:ligatures w14:val="none"/>
              </w:rPr>
              <w:tab/>
            </w:r>
            <w:r>
              <w:rPr>
                <w:rFonts w:hint="eastAsia" w:asciiTheme="minorEastAsia" w:hAnsiTheme="minorEastAsia" w:eastAsiaTheme="minorEastAsia" w:cstheme="minorEastAsia"/>
                <w:color w:val="000000"/>
                <w:spacing w:val="0"/>
                <w:kern w:val="0"/>
                <w:sz w:val="24"/>
                <w:szCs w:val="24"/>
                <w:highlight w:val="none"/>
                <w14:ligatures w14:val="none"/>
              </w:rPr>
              <w:tab/>
            </w:r>
            <w:r>
              <w:rPr>
                <w:rFonts w:hint="eastAsia" w:asciiTheme="minorEastAsia" w:hAnsiTheme="minorEastAsia" w:eastAsiaTheme="minorEastAsia" w:cstheme="minorEastAsia"/>
                <w:color w:val="000000"/>
                <w:spacing w:val="0"/>
                <w:kern w:val="0"/>
                <w:sz w:val="24"/>
                <w:szCs w:val="24"/>
                <w:highlight w:val="none"/>
                <w14:ligatures w14:val="none"/>
              </w:rPr>
              <w:t>。</w:t>
            </w:r>
          </w:p>
          <w:p w14:paraId="7E45E859">
            <w:pPr>
              <w:numPr>
                <w:ilvl w:val="0"/>
                <w:numId w:val="8"/>
              </w:numPr>
              <w:wordWrap w:val="0"/>
              <w:adjustRightInd w:val="0"/>
              <w:snapToGrid w:val="0"/>
              <w:spacing w:line="360" w:lineRule="auto"/>
              <w:ind w:left="0" w:firstLine="480" w:firstLineChars="200"/>
              <w:rPr>
                <w:rFonts w:hint="eastAsia" w:asciiTheme="minorEastAsia" w:hAnsiTheme="minorEastAsia" w:eastAsiaTheme="minorEastAsia" w:cstheme="minorEastAsia"/>
                <w:b/>
                <w:bCs/>
                <w:color w:val="000000"/>
                <w:spacing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系统应具备“云导入”功能，在不需要下载多余插件的情况下，就能够实现Word文档的直接导入。导入过程能够自动识别word的标题、关键字、发布日期、摘要等word中的关键信息，并自动填充到编辑器对应字段位置。</w:t>
            </w:r>
            <w:r>
              <w:rPr>
                <w:rFonts w:hint="eastAsia" w:asciiTheme="minorEastAsia" w:hAnsiTheme="minorEastAsia" w:eastAsiaTheme="minorEastAsia" w:cstheme="minorEastAsia"/>
                <w:b/>
                <w:bCs/>
                <w:color w:val="000000"/>
                <w:spacing w:val="0"/>
                <w:sz w:val="24"/>
                <w:szCs w:val="24"/>
                <w:highlight w:val="none"/>
                <w14:ligatures w14:val="none"/>
              </w:rPr>
              <w:t>（</w:t>
            </w:r>
            <w:r>
              <w:rPr>
                <w:rFonts w:hint="eastAsia" w:asciiTheme="minorEastAsia" w:hAnsiTheme="minorEastAsia" w:eastAsiaTheme="minorEastAsia" w:cstheme="minorEastAsia"/>
                <w:b/>
                <w:bCs/>
                <w:color w:val="000000"/>
                <w:spacing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sz w:val="24"/>
                <w:szCs w:val="24"/>
                <w:highlight w:val="none"/>
                <w14:ligatures w14:val="none"/>
              </w:rPr>
              <w:t>）</w:t>
            </w:r>
          </w:p>
          <w:p w14:paraId="28EC2068">
            <w:pPr>
              <w:numPr>
                <w:ilvl w:val="0"/>
                <w:numId w:val="8"/>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提供文章编辑一键排版工具，一键排版功能支持多种预设样式，排版过程会针对文章内容源代码进行规范化整理，确保多种浏览器更好的兼容。</w:t>
            </w:r>
          </w:p>
          <w:p w14:paraId="732B5335">
            <w:pPr>
              <w:numPr>
                <w:ilvl w:val="0"/>
                <w:numId w:val="8"/>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系统需支持组图排版设置，包括双图样式、三图样式、三图上下结构、三图左右结构、六宫格、九宫格等，并支持组图的宽度、图片间距、图片圆角设置，同时提供组图边框设置功能，包含边框圆角、边框宽度和边框颜色的自定义选项。</w:t>
            </w:r>
            <w:r>
              <w:rPr>
                <w:rFonts w:hint="eastAsia" w:asciiTheme="minorEastAsia" w:hAnsiTheme="minorEastAsia" w:eastAsiaTheme="minorEastAsia" w:cstheme="minorEastAsia"/>
                <w:b/>
                <w:bCs/>
                <w:color w:val="000000"/>
                <w:spacing w:val="0"/>
                <w:sz w:val="24"/>
                <w:szCs w:val="24"/>
                <w:highlight w:val="none"/>
                <w14:ligatures w14:val="none"/>
              </w:rPr>
              <w:t>（</w:t>
            </w:r>
            <w:r>
              <w:rPr>
                <w:rFonts w:hint="eastAsia" w:asciiTheme="minorEastAsia" w:hAnsiTheme="minorEastAsia" w:eastAsiaTheme="minorEastAsia" w:cstheme="minorEastAsia"/>
                <w:b/>
                <w:bCs/>
                <w:color w:val="000000"/>
                <w:spacing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sz w:val="24"/>
                <w:szCs w:val="24"/>
                <w:highlight w:val="none"/>
                <w14:ligatures w14:val="none"/>
              </w:rPr>
              <w:t>）</w:t>
            </w:r>
          </w:p>
          <w:p w14:paraId="17436384">
            <w:pPr>
              <w:widowControl w:val="0"/>
              <w:numPr>
                <w:ilvl w:val="0"/>
                <w:numId w:val="8"/>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系统支持pdf发布。用户可以对红头文件、重要的通知公告等这类文件在后台选择上传Word文档，系统能够自动转化成pdf文件对外进行发布。</w:t>
            </w:r>
          </w:p>
          <w:p w14:paraId="7A0EEFB0">
            <w:pPr>
              <w:widowControl w:val="0"/>
              <w:numPr>
                <w:ilvl w:val="0"/>
                <w:numId w:val="8"/>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系统支持多个标题图上传。可针对文章发布的标题图和正文图片进行在线裁剪，支持多种比例裁剪、翻转、镜像，满足新闻图片的展现需求。</w:t>
            </w:r>
          </w:p>
          <w:p w14:paraId="71457BC7">
            <w:pPr>
              <w:widowControl w:val="0"/>
              <w:numPr>
                <w:ilvl w:val="0"/>
                <w:numId w:val="8"/>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支持表格样式格式化功能，对表格的尺寸、边框、单元格对齐方式、单元格内边距、表格对齐方式等样式一键样式调整，支持内置多种基本的表格样式。</w:t>
            </w:r>
          </w:p>
          <w:p w14:paraId="445D53C0">
            <w:pPr>
              <w:numPr>
                <w:ilvl w:val="0"/>
                <w:numId w:val="8"/>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支持新闻时效性管理，可以设置新闻上线及下线时间。</w:t>
            </w:r>
          </w:p>
          <w:p w14:paraId="32912CDA">
            <w:pPr>
              <w:widowControl w:val="0"/>
              <w:numPr>
                <w:ilvl w:val="0"/>
                <w:numId w:val="8"/>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支持文章或栏目访问权限管理，可以设置配置对应的访问权限IP规则或可访问角色。</w:t>
            </w:r>
          </w:p>
          <w:p w14:paraId="2B3AA5F4">
            <w:pPr>
              <w:widowControl w:val="0"/>
              <w:numPr>
                <w:ilvl w:val="0"/>
                <w:numId w:val="8"/>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支持文章历史修改过程记录，能够针对文章的不同历史版本，任选两个进行同一界面下的双窗口内容比对，针对增删改等不同的修改位置，实现不同颜色标记，便于审核人员审核校对。</w:t>
            </w:r>
          </w:p>
          <w:p w14:paraId="2FDD01A5">
            <w:pPr>
              <w:widowControl w:val="0"/>
              <w:numPr>
                <w:ilvl w:val="0"/>
                <w:numId w:val="8"/>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文章列支持拖拽式排序，拖拽排序之后保存，无需重新发布，即可实现前端页面文章顺序同步更新。</w:t>
            </w:r>
          </w:p>
          <w:p w14:paraId="14C79F86">
            <w:pPr>
              <w:numPr>
                <w:ilvl w:val="0"/>
                <w:numId w:val="8"/>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▲系统能够记录详细的文章操作日志，可以记录站群系统中被操作文章的网站信息、操作内容、操作类型等信息，支持按照站点和操作类型进行筛选，并支持针对日志以Excel文件导出。</w:t>
            </w:r>
            <w:r>
              <w:rPr>
                <w:rFonts w:hint="eastAsia" w:asciiTheme="minorEastAsia" w:hAnsiTheme="minorEastAsia" w:eastAsiaTheme="minorEastAsia" w:cstheme="minorEastAsia"/>
                <w:b/>
                <w:bCs/>
                <w:color w:val="000000"/>
                <w:spacing w:val="0"/>
                <w:sz w:val="24"/>
                <w:szCs w:val="24"/>
                <w:highlight w:val="none"/>
                <w14:ligatures w14:val="none"/>
              </w:rPr>
              <w:t>（</w:t>
            </w:r>
            <w:r>
              <w:rPr>
                <w:rFonts w:hint="eastAsia" w:asciiTheme="minorEastAsia" w:hAnsiTheme="minorEastAsia" w:eastAsiaTheme="minorEastAsia" w:cstheme="minorEastAsia"/>
                <w:b/>
                <w:bCs/>
                <w:color w:val="000000"/>
                <w:spacing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sz w:val="24"/>
                <w:szCs w:val="24"/>
                <w:highlight w:val="none"/>
                <w14:ligatures w14:val="none"/>
              </w:rPr>
              <w:t>）</w:t>
            </w:r>
          </w:p>
          <w:p w14:paraId="0D993402">
            <w:pPr>
              <w:widowControl w:val="0"/>
              <w:numPr>
                <w:ilvl w:val="0"/>
                <w:numId w:val="8"/>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系统具有可视化审核流程配置功能，需支持以可视化拖拽的形式设置不同栏目的审核体系，亦可以对多个栏目快速设置相同的审核流程。系统内置三审三校审核流模板，能够针对网站栏目、微信、微博快速设计专属的三审三校审核流程。</w:t>
            </w:r>
          </w:p>
          <w:p w14:paraId="29AD9E81">
            <w:pPr>
              <w:numPr>
                <w:ilvl w:val="0"/>
                <w:numId w:val="8"/>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▲针对文章审核过程支持查阅文章历史审核记录，一键输入审核意见，支持审核过程附件上传，明确反馈审核信息。</w:t>
            </w:r>
            <w:r>
              <w:rPr>
                <w:rFonts w:hint="eastAsia" w:asciiTheme="minorEastAsia" w:hAnsiTheme="minorEastAsia" w:eastAsiaTheme="minorEastAsia" w:cstheme="minorEastAsia"/>
                <w:b/>
                <w:bCs/>
                <w:color w:val="000000"/>
                <w:spacing w:val="0"/>
                <w:sz w:val="24"/>
                <w:szCs w:val="24"/>
                <w:highlight w:val="none"/>
                <w14:ligatures w14:val="none"/>
              </w:rPr>
              <w:t>（</w:t>
            </w:r>
            <w:r>
              <w:rPr>
                <w:rFonts w:hint="eastAsia" w:asciiTheme="minorEastAsia" w:hAnsiTheme="minorEastAsia" w:eastAsiaTheme="minorEastAsia" w:cstheme="minorEastAsia"/>
                <w:b/>
                <w:bCs/>
                <w:color w:val="000000"/>
                <w:spacing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sz w:val="24"/>
                <w:szCs w:val="24"/>
                <w:highlight w:val="none"/>
                <w14:ligatures w14:val="none"/>
              </w:rPr>
              <w:t>）</w:t>
            </w:r>
          </w:p>
          <w:p w14:paraId="7D5F7857">
            <w:pPr>
              <w:widowControl w:val="0"/>
              <w:numPr>
                <w:ilvl w:val="0"/>
                <w:numId w:val="8"/>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网站文章提交后支持查看文章当前的审核状态及处理人、处理意见等相关信息。审核记录按照时间轴展示，可查看下一节点待审人。</w:t>
            </w:r>
          </w:p>
          <w:p w14:paraId="534F692F">
            <w:pPr>
              <w:widowControl w:val="0"/>
              <w:numPr>
                <w:ilvl w:val="0"/>
                <w:numId w:val="8"/>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系统提供云文件库功能，支持所有上传文件自动转存到文件库，可针对资源按照图片、视频、音频、文档等分类进行存储，用户可以使用或删除个人文件，同时可以查看其他管理员共享的公共文件。对文件的引用情况可实现站点、栏目、文章、地址等详细信息的查看。</w:t>
            </w:r>
          </w:p>
        </w:tc>
      </w:tr>
      <w:tr w14:paraId="144A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6420A5DC">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59FA4A8A">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系统内容检索与处理</w:t>
            </w:r>
          </w:p>
        </w:tc>
        <w:tc>
          <w:tcPr>
            <w:tcW w:w="4212" w:type="pct"/>
            <w:vAlign w:val="center"/>
          </w:tcPr>
          <w:p w14:paraId="49175A7E">
            <w:pPr>
              <w:widowControl w:val="0"/>
              <w:numPr>
                <w:ilvl w:val="0"/>
                <w:numId w:val="9"/>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系统支持自定义词汇、隐私信息、非法链接、外链、身份证、电话、证件号、邮箱、内网IP的检索与处理。</w:t>
            </w:r>
          </w:p>
          <w:p w14:paraId="2B21DAFC">
            <w:pPr>
              <w:widowControl w:val="0"/>
              <w:numPr>
                <w:ilvl w:val="0"/>
                <w:numId w:val="9"/>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支持对网站群所有站点进行自定义词汇、危险链接和隐私信息的检索，检索范围包含网站文章、资料、模板、附件、新媒体内容，同时支持检索范围自定义，在检索过程中，需展示当前检索站点信息及进度，检索完成后展示当前结果概览。</w:t>
            </w:r>
          </w:p>
          <w:p w14:paraId="649716B9">
            <w:pPr>
              <w:widowControl w:val="0"/>
              <w:numPr>
                <w:ilvl w:val="0"/>
                <w:numId w:val="9"/>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b/>
                <w:bCs/>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支持以站点视角及分类视角两种维度，查看站群下的各个站点自定义词汇、危险链接和隐私信息的检索结果，可对文章、资料、模板、附件、新媒体的检索信息进行单个或批量处理，处理过程中可对处理结果进行一键验证。</w:t>
            </w:r>
            <w:r>
              <w:rPr>
                <w:rFonts w:hint="eastAsia" w:asciiTheme="minorEastAsia" w:hAnsiTheme="minorEastAsia" w:eastAsiaTheme="minorEastAsia" w:cstheme="minorEastAsia"/>
                <w:b/>
                <w:bCs/>
                <w:color w:val="000000"/>
                <w:kern w:val="2"/>
                <w:sz w:val="24"/>
                <w:szCs w:val="24"/>
                <w:highlight w:val="none"/>
                <w:lang w:val="en-US" w:eastAsia="zh-CN" w:bidi="ar-SA"/>
              </w:rPr>
              <w:t>（提供现场演示）</w:t>
            </w:r>
          </w:p>
          <w:p w14:paraId="7B548956">
            <w:pPr>
              <w:widowControl w:val="0"/>
              <w:numPr>
                <w:ilvl w:val="0"/>
                <w:numId w:val="9"/>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检索的结果可直接按照部门站点划分并下放，支持每个站点管理员查看并处理当前站点信息检索结果。</w:t>
            </w:r>
          </w:p>
          <w:p w14:paraId="2A085165">
            <w:pPr>
              <w:widowControl w:val="0"/>
              <w:numPr>
                <w:ilvl w:val="0"/>
                <w:numId w:val="9"/>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支持对每次检索后的处理结果统计分析，包括已处理数量及未处理数量，可对单次检索后的处理结果进行本地excel导出。</w:t>
            </w:r>
          </w:p>
        </w:tc>
      </w:tr>
      <w:tr w14:paraId="7FC3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1D009781">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256D2353">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统计分析</w:t>
            </w:r>
          </w:p>
        </w:tc>
        <w:tc>
          <w:tcPr>
            <w:tcW w:w="4212" w:type="pct"/>
            <w:vAlign w:val="center"/>
          </w:tcPr>
          <w:p w14:paraId="56BA354C">
            <w:pPr>
              <w:numPr>
                <w:ilvl w:val="0"/>
                <w:numId w:val="10"/>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站点运营数据管理过程，需提供针对每一个网站的访问的相关数据统计，包括统计访问记录、页面浏览数、来访IP数、访问时间段、访问排名及来访省份统计。</w:t>
            </w:r>
          </w:p>
          <w:p w14:paraId="0909E540">
            <w:pPr>
              <w:numPr>
                <w:ilvl w:val="0"/>
                <w:numId w:val="10"/>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支持针对网站内容的相关数据统计，包括网站管理员信息量、栏目信息量、分组信息量、栏目新闻数、网站在线管理员等数据的统计。</w:t>
            </w:r>
          </w:p>
          <w:p w14:paraId="098BB879">
            <w:pPr>
              <w:numPr>
                <w:ilvl w:val="0"/>
                <w:numId w:val="10"/>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支持对微信、微博运营情况进行统计分析，包括账号数量、发文数量、粉丝数量等。需对微信、微博等各发布渠道的文章按照阅读量等进行热度统计，综合展示当前单位内各新媒体渠道的热门文章。</w:t>
            </w:r>
          </w:p>
        </w:tc>
      </w:tr>
      <w:tr w14:paraId="7F16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5002B6DE">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7C43673D">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RASP安全威胁防控体系</w:t>
            </w:r>
          </w:p>
        </w:tc>
        <w:tc>
          <w:tcPr>
            <w:tcW w:w="4212" w:type="pct"/>
            <w:vAlign w:val="center"/>
          </w:tcPr>
          <w:p w14:paraId="73EBB8CD">
            <w:pPr>
              <w:numPr>
                <w:ilvl w:val="0"/>
                <w:numId w:val="11"/>
              </w:numPr>
              <w:wordWrap w:val="0"/>
              <w:adjustRightInd w:val="0"/>
              <w:snapToGrid w:val="0"/>
              <w:spacing w:line="360" w:lineRule="auto"/>
              <w:ind w:left="0" w:firstLine="480" w:firstLineChars="200"/>
              <w:rPr>
                <w:rFonts w:hint="eastAsia" w:asciiTheme="minorEastAsia" w:hAnsiTheme="minorEastAsia" w:eastAsiaTheme="minorEastAsia" w:cstheme="minorEastAsia"/>
                <w:b/>
                <w:bCs/>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w:t>
            </w:r>
            <w:r>
              <w:rPr>
                <w:rFonts w:hint="eastAsia" w:asciiTheme="minorEastAsia" w:hAnsiTheme="minorEastAsia" w:eastAsiaTheme="minorEastAsia" w:cstheme="minorEastAsia"/>
                <w:color w:val="000000"/>
                <w:spacing w:val="0"/>
                <w:kern w:val="0"/>
                <w:sz w:val="24"/>
                <w:szCs w:val="24"/>
                <w:highlight w:val="none"/>
                <w14:ligatures w14:val="none"/>
              </w:rPr>
              <w:t>系统需引入RASP技术，深度检查系统内部访问动作，支持表层防护，业务防护和内核防护的三级防护模式，对系统的各类运维安全问题，例如规则的漏洞攻击、行为追踪的漏洞等可进行逐层把关。其中业务防护需至少包含模板修改管控、站点恢复管控、网站发布管控此3项场景业务防护，以及重定向请求伪造、非授权互联网访问、非法反射、文件上传-探针此4项标准业务防护。内核防护需至少包含XXE外部实体加载、反序列化攻击、SQL语言异常、OGNL代码执行、文件重命名、任意文件删除此6项原子级别防护。</w:t>
            </w:r>
            <w:r>
              <w:rPr>
                <w:rFonts w:hint="eastAsia" w:asciiTheme="minorEastAsia" w:hAnsiTheme="minorEastAsia" w:eastAsiaTheme="minorEastAsia" w:cstheme="minorEastAsia"/>
                <w:b/>
                <w:bCs/>
                <w:color w:val="000000"/>
                <w:spacing w:val="0"/>
                <w:kern w:val="0"/>
                <w:sz w:val="24"/>
                <w:szCs w:val="24"/>
                <w:highlight w:val="none"/>
                <w14:ligatures w14:val="none"/>
              </w:rPr>
              <w:t>（</w:t>
            </w:r>
            <w:r>
              <w:rPr>
                <w:rFonts w:hint="eastAsia" w:asciiTheme="minorEastAsia" w:hAnsiTheme="minorEastAsia" w:eastAsiaTheme="minorEastAsia" w:cstheme="minorEastAsia"/>
                <w:b/>
                <w:bCs/>
                <w:color w:val="000000"/>
                <w:spacing w:val="0"/>
                <w:kern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kern w:val="0"/>
                <w:sz w:val="24"/>
                <w:szCs w:val="24"/>
                <w:highlight w:val="none"/>
                <w14:ligatures w14:val="none"/>
              </w:rPr>
              <w:t>）</w:t>
            </w:r>
          </w:p>
          <w:p w14:paraId="417C98E0">
            <w:pPr>
              <w:numPr>
                <w:ilvl w:val="0"/>
                <w:numId w:val="11"/>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w:t>
            </w:r>
            <w:r>
              <w:rPr>
                <w:rFonts w:hint="eastAsia" w:asciiTheme="minorEastAsia" w:hAnsiTheme="minorEastAsia" w:eastAsiaTheme="minorEastAsia" w:cstheme="minorEastAsia"/>
                <w:color w:val="000000"/>
                <w:spacing w:val="0"/>
                <w:kern w:val="0"/>
                <w:sz w:val="24"/>
                <w:szCs w:val="24"/>
                <w:highlight w:val="none"/>
                <w14:ligatures w14:val="none"/>
              </w:rPr>
              <w:t>能够针对系统内部面临的不同种类的攻击情况，进行严密记录与分析，需支持具体的攻击参数、应用堆栈、请求URL及请求来源记录。</w:t>
            </w:r>
            <w:r>
              <w:rPr>
                <w:rFonts w:hint="eastAsia" w:asciiTheme="minorEastAsia" w:hAnsiTheme="minorEastAsia" w:eastAsiaTheme="minorEastAsia" w:cstheme="minorEastAsia"/>
                <w:b/>
                <w:bCs/>
                <w:color w:val="000000"/>
                <w:spacing w:val="0"/>
                <w:kern w:val="0"/>
                <w:sz w:val="24"/>
                <w:szCs w:val="24"/>
                <w:highlight w:val="none"/>
                <w14:ligatures w14:val="none"/>
              </w:rPr>
              <w:t>（</w:t>
            </w:r>
            <w:r>
              <w:rPr>
                <w:rFonts w:hint="eastAsia" w:asciiTheme="minorEastAsia" w:hAnsiTheme="minorEastAsia" w:eastAsiaTheme="minorEastAsia" w:cstheme="minorEastAsia"/>
                <w:b/>
                <w:bCs/>
                <w:color w:val="000000"/>
                <w:spacing w:val="0"/>
                <w:kern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kern w:val="0"/>
                <w:sz w:val="24"/>
                <w:szCs w:val="24"/>
                <w:highlight w:val="none"/>
                <w14:ligatures w14:val="none"/>
              </w:rPr>
              <w:t>）</w:t>
            </w:r>
          </w:p>
        </w:tc>
      </w:tr>
      <w:tr w14:paraId="53BE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27EFA787">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438F37FE">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场景化安全运维</w:t>
            </w:r>
          </w:p>
        </w:tc>
        <w:tc>
          <w:tcPr>
            <w:tcW w:w="4212" w:type="pct"/>
            <w:vAlign w:val="center"/>
          </w:tcPr>
          <w:p w14:paraId="60BA4ADE">
            <w:pPr>
              <w:numPr>
                <w:ilvl w:val="0"/>
                <w:numId w:val="12"/>
              </w:numPr>
              <w:wordWrap w:val="0"/>
              <w:adjustRightInd w:val="0"/>
              <w:snapToGrid w:val="0"/>
              <w:spacing w:line="360" w:lineRule="auto"/>
              <w:ind w:left="0" w:firstLine="480" w:firstLineChars="200"/>
              <w:rPr>
                <w:rFonts w:hint="eastAsia" w:asciiTheme="minorEastAsia" w:hAnsiTheme="minorEastAsia" w:eastAsiaTheme="minorEastAsia" w:cstheme="minorEastAsia"/>
                <w:b/>
                <w:bCs/>
                <w:color w:val="000000"/>
                <w:spacing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平台应具备场景化运维管控能力，支持按照不同场景来配置站群安全运维模式，可按不同场景进行管理员账号限制、防火墙策略设定、网站访问限制、后台维护限制等安全防护策略的详细配置，支持站点应急管理员按照站点快速设置。</w:t>
            </w:r>
            <w:r>
              <w:rPr>
                <w:rFonts w:hint="eastAsia" w:asciiTheme="minorEastAsia" w:hAnsiTheme="minorEastAsia" w:eastAsiaTheme="minorEastAsia" w:cstheme="minorEastAsia"/>
                <w:b/>
                <w:bCs/>
                <w:color w:val="000000"/>
                <w:spacing w:val="0"/>
                <w:sz w:val="24"/>
                <w:szCs w:val="24"/>
                <w:highlight w:val="none"/>
                <w14:ligatures w14:val="none"/>
              </w:rPr>
              <w:t>（</w:t>
            </w:r>
            <w:r>
              <w:rPr>
                <w:rFonts w:hint="eastAsia" w:asciiTheme="minorEastAsia" w:hAnsiTheme="minorEastAsia" w:eastAsiaTheme="minorEastAsia" w:cstheme="minorEastAsia"/>
                <w:b/>
                <w:bCs/>
                <w:color w:val="000000"/>
                <w:spacing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sz w:val="24"/>
                <w:szCs w:val="24"/>
                <w:highlight w:val="none"/>
                <w14:ligatures w14:val="none"/>
              </w:rPr>
              <w:t>）</w:t>
            </w:r>
          </w:p>
          <w:p w14:paraId="0724BC14">
            <w:pPr>
              <w:numPr>
                <w:ilvl w:val="0"/>
                <w:numId w:val="12"/>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可按需设置多种场景模式，实现对应场景之下运维模式的快速切换。</w:t>
            </w:r>
          </w:p>
          <w:p w14:paraId="60B542F5">
            <w:pPr>
              <w:numPr>
                <w:ilvl w:val="0"/>
                <w:numId w:val="12"/>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sz w:val="24"/>
                <w:szCs w:val="24"/>
                <w:highlight w:val="none"/>
                <w14:ligatures w14:val="none"/>
              </w:rPr>
              <w:t>需支持对未纳入场景规则之下的站点进行数字提示，杜绝场景化运维过程中的站点遗漏问题。</w:t>
            </w:r>
          </w:p>
          <w:p w14:paraId="1B9C5D7C">
            <w:pPr>
              <w:numPr>
                <w:ilvl w:val="0"/>
                <w:numId w:val="12"/>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▲系统需支持针对风险管理员账号进行检测和管理，支持对长期未登录用户进行监管和快速封禁，能够针对长期未登录或权限过载等风险管理员账号进行合理划分并选择性禁用。（</w:t>
            </w:r>
            <w:r>
              <w:rPr>
                <w:rFonts w:hint="eastAsia" w:asciiTheme="minorEastAsia" w:hAnsiTheme="minorEastAsia" w:eastAsiaTheme="minorEastAsia" w:cstheme="minorEastAsia"/>
                <w:b/>
                <w:bCs/>
                <w:color w:val="000000"/>
                <w:spacing w:val="0"/>
                <w:kern w:val="0"/>
                <w:sz w:val="24"/>
                <w:szCs w:val="24"/>
                <w:highlight w:val="none"/>
                <w:lang w:eastAsia="zh-CN"/>
                <w14:ligatures w14:val="none"/>
              </w:rPr>
              <w:t>提供现场演示</w:t>
            </w:r>
            <w:r>
              <w:rPr>
                <w:rFonts w:hint="eastAsia" w:asciiTheme="minorEastAsia" w:hAnsiTheme="minorEastAsia" w:eastAsiaTheme="minorEastAsia" w:cstheme="minorEastAsia"/>
                <w:color w:val="000000"/>
                <w:spacing w:val="0"/>
                <w:kern w:val="0"/>
                <w:sz w:val="24"/>
                <w:szCs w:val="24"/>
                <w:highlight w:val="none"/>
                <w14:ligatures w14:val="none"/>
              </w:rPr>
              <w:t>）</w:t>
            </w:r>
          </w:p>
        </w:tc>
      </w:tr>
      <w:tr w14:paraId="726B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18B82FE0">
            <w:pPr>
              <w:numPr>
                <w:ilvl w:val="0"/>
                <w:numId w:val="3"/>
              </w:numPr>
              <w:wordWrap/>
              <w:spacing w:line="360" w:lineRule="auto"/>
              <w:ind w:left="0" w:firstLine="0" w:firstLineChars="0"/>
              <w:jc w:val="center"/>
              <w:rPr>
                <w:rFonts w:hint="eastAsia" w:asciiTheme="minorEastAsia" w:hAnsiTheme="minorEastAsia" w:eastAsiaTheme="minorEastAsia" w:cstheme="minorEastAsia"/>
                <w:bCs/>
                <w:color w:val="000000"/>
                <w:spacing w:val="0"/>
                <w:kern w:val="0"/>
                <w:sz w:val="24"/>
                <w:szCs w:val="24"/>
                <w:highlight w:val="none"/>
                <w14:ligatures w14:val="none"/>
              </w:rPr>
            </w:pPr>
          </w:p>
        </w:tc>
        <w:tc>
          <w:tcPr>
            <w:tcW w:w="484" w:type="pct"/>
            <w:vAlign w:val="center"/>
          </w:tcPr>
          <w:p w14:paraId="3A7551C1">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安全防护功能</w:t>
            </w:r>
          </w:p>
        </w:tc>
        <w:tc>
          <w:tcPr>
            <w:tcW w:w="4212" w:type="pct"/>
            <w:vAlign w:val="center"/>
          </w:tcPr>
          <w:p w14:paraId="6688509A">
            <w:pPr>
              <w:numPr>
                <w:ilvl w:val="0"/>
                <w:numId w:val="13"/>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须具备安全概览面板，展示系统整体安全防护动态，展示内容需包含全球攻击情况的实时动态展示、部署结构运维展示、内容安全管控情况以及安全运维监控结果等，针对重点安全防护模块可提供一键直达快速访问入口。</w:t>
            </w:r>
          </w:p>
          <w:p w14:paraId="6722A886">
            <w:pPr>
              <w:numPr>
                <w:ilvl w:val="0"/>
                <w:numId w:val="13"/>
              </w:numPr>
              <w:wordWrap w:val="0"/>
              <w:adjustRightInd w:val="0"/>
              <w:snapToGrid w:val="0"/>
              <w:spacing w:line="360" w:lineRule="auto"/>
              <w:ind w:left="0" w:firstLine="480" w:firstLineChars="200"/>
              <w:rPr>
                <w:rFonts w:hint="eastAsia" w:asciiTheme="minorEastAsia" w:hAnsiTheme="minorEastAsia" w:eastAsiaTheme="minorEastAsia" w:cstheme="minorEastAsia"/>
                <w:b/>
                <w:bCs/>
                <w:color w:val="000000"/>
                <w:spacing w:val="0"/>
                <w:kern w:val="0"/>
                <w:sz w:val="24"/>
                <w:szCs w:val="24"/>
                <w:highlight w:val="none"/>
                <w14:ligatures w14:val="none"/>
              </w:rPr>
            </w:pPr>
            <w:bookmarkStart w:id="56" w:name="_Hlk106093014"/>
            <w:r>
              <w:rPr>
                <w:rFonts w:hint="eastAsia" w:asciiTheme="minorEastAsia" w:hAnsiTheme="minorEastAsia" w:eastAsiaTheme="minorEastAsia" w:cstheme="minorEastAsia"/>
                <w:color w:val="000000"/>
                <w:spacing w:val="0"/>
                <w:kern w:val="0"/>
                <w:sz w:val="24"/>
                <w:szCs w:val="24"/>
                <w:highlight w:val="none"/>
                <w14:ligatures w14:val="none"/>
              </w:rPr>
              <w:t>▲平台需支持对网站群系统底层文件进行</w:t>
            </w:r>
            <w:r>
              <w:rPr>
                <w:rFonts w:hint="eastAsia" w:asciiTheme="minorEastAsia" w:hAnsiTheme="minorEastAsia" w:eastAsiaTheme="minorEastAsia" w:cstheme="minorEastAsia"/>
                <w:color w:val="000000"/>
                <w:spacing w:val="0"/>
                <w:kern w:val="0"/>
                <w:sz w:val="24"/>
                <w:szCs w:val="24"/>
                <w:highlight w:val="none"/>
                <w:lang w:val="en-US" w:eastAsia="zh-CN"/>
                <w14:ligatures w14:val="none"/>
              </w:rPr>
              <w:t>实时</w:t>
            </w:r>
            <w:r>
              <w:rPr>
                <w:rFonts w:hint="eastAsia" w:asciiTheme="minorEastAsia" w:hAnsiTheme="minorEastAsia" w:eastAsiaTheme="minorEastAsia" w:cstheme="minorEastAsia"/>
                <w:color w:val="000000"/>
                <w:spacing w:val="0"/>
                <w:kern w:val="0"/>
                <w:sz w:val="24"/>
                <w:szCs w:val="24"/>
                <w:highlight w:val="none"/>
                <w14:ligatures w14:val="none"/>
              </w:rPr>
              <w:t>持续性监控，及时发现并阻断对网站群系统底层关键文件的篡改。</w:t>
            </w:r>
            <w:bookmarkEnd w:id="56"/>
            <w:r>
              <w:rPr>
                <w:rFonts w:hint="eastAsia" w:asciiTheme="minorEastAsia" w:hAnsiTheme="minorEastAsia" w:eastAsiaTheme="minorEastAsia" w:cstheme="minorEastAsia"/>
                <w:b/>
                <w:bCs/>
                <w:color w:val="000000"/>
                <w:spacing w:val="0"/>
                <w:kern w:val="0"/>
                <w:sz w:val="24"/>
                <w:szCs w:val="24"/>
                <w:highlight w:val="none"/>
                <w14:ligatures w14:val="none"/>
              </w:rPr>
              <w:t>（</w:t>
            </w:r>
            <w:r>
              <w:rPr>
                <w:rFonts w:hint="eastAsia" w:asciiTheme="minorEastAsia" w:hAnsiTheme="minorEastAsia" w:eastAsiaTheme="minorEastAsia" w:cstheme="minorEastAsia"/>
                <w:b/>
                <w:bCs/>
                <w:color w:val="000000"/>
                <w:spacing w:val="0"/>
                <w:kern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kern w:val="0"/>
                <w:sz w:val="24"/>
                <w:szCs w:val="24"/>
                <w:highlight w:val="none"/>
                <w14:ligatures w14:val="none"/>
              </w:rPr>
              <w:t>）</w:t>
            </w:r>
          </w:p>
          <w:p w14:paraId="3F107F1D">
            <w:pPr>
              <w:numPr>
                <w:ilvl w:val="0"/>
                <w:numId w:val="13"/>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支持密码强度规则设置，并且提供简单密码口令库，使用简单口令库中的密码在创建用户时系统会自动阻止。系统针对密码加密，采用国密算法，保障密码不被暴力猜解。</w:t>
            </w:r>
          </w:p>
          <w:p w14:paraId="14C9B1FF">
            <w:pPr>
              <w:numPr>
                <w:ilvl w:val="0"/>
                <w:numId w:val="13"/>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网站群系统要求具有IP规则设置和账号安全管理功能，管理员可以设置不同的IP范围，用来限制管理员后台登录。</w:t>
            </w:r>
          </w:p>
          <w:p w14:paraId="20B8C115">
            <w:pPr>
              <w:numPr>
                <w:ilvl w:val="0"/>
                <w:numId w:val="13"/>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应内置应用防火墙，内置被动防御策略集，针对危险行为进行IP封禁，并可管理黑名单及白名单，通过使用入侵防护日志，可以详细了解攻击者的归属地、IP地址、攻击位置、攻击特征以及攻击时间等重要信息。</w:t>
            </w:r>
          </w:p>
          <w:p w14:paraId="5DEDB7AA">
            <w:pPr>
              <w:numPr>
                <w:ilvl w:val="0"/>
                <w:numId w:val="13"/>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系统应支持危险文件</w:t>
            </w:r>
            <w:r>
              <w:rPr>
                <w:rFonts w:hint="eastAsia" w:asciiTheme="minorEastAsia" w:hAnsiTheme="minorEastAsia" w:eastAsiaTheme="minorEastAsia" w:cstheme="minorEastAsia"/>
                <w:color w:val="000000"/>
                <w:spacing w:val="0"/>
                <w:sz w:val="24"/>
                <w:szCs w:val="24"/>
                <w:highlight w:val="none"/>
                <w14:ligatures w14:val="none"/>
              </w:rPr>
              <w:t>检测</w:t>
            </w:r>
            <w:r>
              <w:rPr>
                <w:rFonts w:hint="eastAsia" w:asciiTheme="minorEastAsia" w:hAnsiTheme="minorEastAsia" w:eastAsiaTheme="minorEastAsia" w:cstheme="minorEastAsia"/>
                <w:color w:val="000000"/>
                <w:spacing w:val="0"/>
                <w:kern w:val="0"/>
                <w:sz w:val="24"/>
                <w:szCs w:val="24"/>
                <w:highlight w:val="none"/>
                <w14:ligatures w14:val="none"/>
              </w:rPr>
              <w:t>，</w:t>
            </w:r>
            <w:r>
              <w:rPr>
                <w:rFonts w:hint="eastAsia" w:asciiTheme="minorEastAsia" w:hAnsiTheme="minorEastAsia" w:eastAsiaTheme="minorEastAsia" w:cstheme="minorEastAsia"/>
                <w:color w:val="000000"/>
                <w:spacing w:val="0"/>
                <w:sz w:val="24"/>
                <w:szCs w:val="24"/>
                <w:highlight w:val="none"/>
                <w14:ligatures w14:val="none"/>
              </w:rPr>
              <w:t>检测</w:t>
            </w:r>
            <w:r>
              <w:rPr>
                <w:rFonts w:hint="eastAsia" w:asciiTheme="minorEastAsia" w:hAnsiTheme="minorEastAsia" w:eastAsiaTheme="minorEastAsia" w:cstheme="minorEastAsia"/>
                <w:color w:val="000000"/>
                <w:spacing w:val="0"/>
                <w:kern w:val="0"/>
                <w:sz w:val="24"/>
                <w:szCs w:val="24"/>
                <w:highlight w:val="none"/>
                <w14:ligatures w14:val="none"/>
              </w:rPr>
              <w:t>服务器中包含特殊代码的文件，并提供</w:t>
            </w:r>
            <w:r>
              <w:rPr>
                <w:rFonts w:hint="eastAsia" w:asciiTheme="minorEastAsia" w:hAnsiTheme="minorEastAsia" w:eastAsiaTheme="minorEastAsia" w:cstheme="minorEastAsia"/>
                <w:color w:val="000000"/>
                <w:spacing w:val="0"/>
                <w:sz w:val="24"/>
                <w:szCs w:val="24"/>
                <w:highlight w:val="none"/>
                <w14:ligatures w14:val="none"/>
              </w:rPr>
              <w:t>检测</w:t>
            </w:r>
            <w:r>
              <w:rPr>
                <w:rFonts w:hint="eastAsia" w:asciiTheme="minorEastAsia" w:hAnsiTheme="minorEastAsia" w:eastAsiaTheme="minorEastAsia" w:cstheme="minorEastAsia"/>
                <w:color w:val="000000"/>
                <w:spacing w:val="0"/>
                <w:kern w:val="0"/>
                <w:sz w:val="24"/>
                <w:szCs w:val="24"/>
                <w:highlight w:val="none"/>
                <w14:ligatures w14:val="none"/>
              </w:rPr>
              <w:t>日志，同时允许手动、自动更新危险网站黑名单及信任网站白名单。</w:t>
            </w:r>
          </w:p>
          <w:p w14:paraId="77F2A97A">
            <w:pPr>
              <w:numPr>
                <w:ilvl w:val="0"/>
                <w:numId w:val="13"/>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系统应支持网站群体检功能，提供危险项目、安全项目、其他项目的系统体检、并可以在体检结果后直接对结果进行处理操作。</w:t>
            </w:r>
          </w:p>
          <w:p w14:paraId="7DA31840">
            <w:pPr>
              <w:numPr>
                <w:ilvl w:val="0"/>
                <w:numId w:val="13"/>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在用户登录和信息传递过程中，系统支持外部SSL协议对用户名和密码的传输进行加密，保证关键信息的通信保密性。</w:t>
            </w:r>
          </w:p>
        </w:tc>
      </w:tr>
      <w:tr w14:paraId="73DF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1FD707C0">
            <w:pPr>
              <w:numPr>
                <w:ilvl w:val="0"/>
                <w:numId w:val="3"/>
              </w:numPr>
              <w:wordWrap/>
              <w:spacing w:line="360" w:lineRule="auto"/>
              <w:ind w:left="0"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p>
        </w:tc>
        <w:tc>
          <w:tcPr>
            <w:tcW w:w="484" w:type="pct"/>
            <w:vAlign w:val="center"/>
          </w:tcPr>
          <w:p w14:paraId="21AEF698">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应用开放平台</w:t>
            </w:r>
          </w:p>
        </w:tc>
        <w:tc>
          <w:tcPr>
            <w:tcW w:w="4212" w:type="pct"/>
            <w:vAlign w:val="center"/>
          </w:tcPr>
          <w:p w14:paraId="00AC1F67">
            <w:pPr>
              <w:numPr>
                <w:ilvl w:val="0"/>
                <w:numId w:val="1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应用管理系统能够与网站群无缝集成，实现网站与动态应用的动静分离。</w:t>
            </w:r>
          </w:p>
          <w:p w14:paraId="4FA3858C">
            <w:pPr>
              <w:numPr>
                <w:ilvl w:val="0"/>
                <w:numId w:val="1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系统需支持动态应用主动申请，系统当中可展示目前站点使用过和正在使用的全部应用，支持应用搜索查询，可点击查看应用详情。点击应用申请，填写申请原因，提交等待系统端审批。</w:t>
            </w:r>
          </w:p>
          <w:p w14:paraId="5A3C494D">
            <w:pPr>
              <w:numPr>
                <w:ilvl w:val="0"/>
                <w:numId w:val="1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系统需提供多款内置应用，至少包含自定义表单、问卷调研、留言板，便于应用的可视化快速搭建。</w:t>
            </w:r>
          </w:p>
          <w:p w14:paraId="54A92CA6">
            <w:pPr>
              <w:numPr>
                <w:ilvl w:val="0"/>
                <w:numId w:val="14"/>
              </w:numPr>
              <w:wordWrap w:val="0"/>
              <w:adjustRightInd w:val="0"/>
              <w:snapToGrid w:val="0"/>
              <w:spacing w:line="360" w:lineRule="auto"/>
              <w:ind w:left="0" w:firstLine="480" w:firstLineChars="200"/>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▲系统需支持针对动态应用的一键关停，对该平台所有站点的所有应用的前端进行禁用，且不影响网站群本身静态信息发布与管理，一键关停后，支持对动态应用一键启用。</w:t>
            </w:r>
            <w:r>
              <w:rPr>
                <w:rFonts w:hint="eastAsia" w:asciiTheme="minorEastAsia" w:hAnsiTheme="minorEastAsia" w:eastAsiaTheme="minorEastAsia" w:cstheme="minorEastAsia"/>
                <w:b/>
                <w:bCs/>
                <w:color w:val="000000"/>
                <w:spacing w:val="0"/>
                <w:kern w:val="0"/>
                <w:sz w:val="24"/>
                <w:szCs w:val="24"/>
                <w:highlight w:val="none"/>
                <w14:ligatures w14:val="none"/>
              </w:rPr>
              <w:t>（</w:t>
            </w:r>
            <w:r>
              <w:rPr>
                <w:rFonts w:hint="eastAsia" w:asciiTheme="minorEastAsia" w:hAnsiTheme="minorEastAsia" w:eastAsiaTheme="minorEastAsia" w:cstheme="minorEastAsia"/>
                <w:b/>
                <w:bCs/>
                <w:color w:val="000000"/>
                <w:spacing w:val="0"/>
                <w:kern w:val="0"/>
                <w:sz w:val="24"/>
                <w:szCs w:val="24"/>
                <w:highlight w:val="none"/>
                <w:lang w:eastAsia="zh-CN"/>
                <w14:ligatures w14:val="none"/>
              </w:rPr>
              <w:t>提供现场演示</w:t>
            </w:r>
            <w:r>
              <w:rPr>
                <w:rFonts w:hint="eastAsia" w:asciiTheme="minorEastAsia" w:hAnsiTheme="minorEastAsia" w:eastAsiaTheme="minorEastAsia" w:cstheme="minorEastAsia"/>
                <w:b/>
                <w:bCs/>
                <w:color w:val="000000"/>
                <w:spacing w:val="0"/>
                <w:kern w:val="0"/>
                <w:sz w:val="24"/>
                <w:szCs w:val="24"/>
                <w:highlight w:val="none"/>
                <w14:ligatures w14:val="none"/>
              </w:rPr>
              <w:t>）</w:t>
            </w:r>
          </w:p>
        </w:tc>
      </w:tr>
      <w:tr w14:paraId="7F66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jc w:val="center"/>
        </w:trPr>
        <w:tc>
          <w:tcPr>
            <w:tcW w:w="303" w:type="pct"/>
            <w:vAlign w:val="center"/>
          </w:tcPr>
          <w:p w14:paraId="494BD3B1">
            <w:pPr>
              <w:numPr>
                <w:ilvl w:val="0"/>
                <w:numId w:val="3"/>
              </w:numPr>
              <w:wordWrap/>
              <w:spacing w:line="360" w:lineRule="auto"/>
              <w:ind w:left="0"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p>
        </w:tc>
        <w:tc>
          <w:tcPr>
            <w:tcW w:w="484" w:type="pct"/>
            <w:vAlign w:val="center"/>
          </w:tcPr>
          <w:p w14:paraId="0E088BE8">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智能检索</w:t>
            </w:r>
          </w:p>
        </w:tc>
        <w:tc>
          <w:tcPr>
            <w:tcW w:w="4212" w:type="pct"/>
            <w:vAlign w:val="center"/>
          </w:tcPr>
          <w:p w14:paraId="21D9A5D0">
            <w:pPr>
              <w:widowControl w:val="0"/>
              <w:numPr>
                <w:ilvl w:val="0"/>
                <w:numId w:val="15"/>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系统需要支持跨网站搜索，搜索模式需要实现模糊搜索、目录搜索、全文搜索，有效提升搜索精准度。在前端网站搜索时，需要实现搜索输入提示、搜索结果分类展示，最终展现结果可配置模板。</w:t>
            </w:r>
          </w:p>
          <w:p w14:paraId="6D331EFD">
            <w:pPr>
              <w:widowControl w:val="0"/>
              <w:numPr>
                <w:ilvl w:val="0"/>
                <w:numId w:val="15"/>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针对搜索范围，平台需要支持站群搜索、单独站点搜索，可自由切换站点查看对应搜索结果，提升了搜索深度与范围。</w:t>
            </w:r>
          </w:p>
          <w:p w14:paraId="7993CB5B">
            <w:pPr>
              <w:widowControl w:val="0"/>
              <w:numPr>
                <w:ilvl w:val="0"/>
                <w:numId w:val="15"/>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搜索结果需配置自定义排序、统计分析等。</w:t>
            </w:r>
          </w:p>
          <w:p w14:paraId="49A29E5E">
            <w:pPr>
              <w:widowControl w:val="0"/>
              <w:numPr>
                <w:ilvl w:val="0"/>
                <w:numId w:val="15"/>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系统需要针对特定搜索结果进行二次检索，达到数据级的相关关联，为用户提供精准的智能推荐。</w:t>
            </w:r>
          </w:p>
          <w:p w14:paraId="1C5ECA3F">
            <w:pPr>
              <w:widowControl w:val="0"/>
              <w:numPr>
                <w:ilvl w:val="0"/>
                <w:numId w:val="15"/>
              </w:numPr>
              <w:wordWrap w:val="0"/>
              <w:adjustRightInd w:val="0"/>
              <w:snapToGrid w:val="0"/>
              <w:spacing w:line="360" w:lineRule="auto"/>
              <w:ind w:left="0" w:firstLine="480" w:firstLineChars="200"/>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系统需要提供搜索关键词推荐搜索等功能；系统自带搜索词库，可自定义热词排序，特定热词分类；系统支持智能引导、智能分词、智能推荐，智能推荐搜索词汇，构建了智能化的主动搜索环境。</w:t>
            </w:r>
          </w:p>
        </w:tc>
      </w:tr>
      <w:tr w14:paraId="1D37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vAlign w:val="center"/>
          </w:tcPr>
          <w:p w14:paraId="380B2A13">
            <w:pPr>
              <w:numPr>
                <w:ilvl w:val="0"/>
                <w:numId w:val="3"/>
              </w:numPr>
              <w:wordWrap/>
              <w:spacing w:line="360" w:lineRule="auto"/>
              <w:ind w:left="0"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p>
        </w:tc>
        <w:tc>
          <w:tcPr>
            <w:tcW w:w="484" w:type="pct"/>
            <w:vAlign w:val="center"/>
          </w:tcPr>
          <w:p w14:paraId="212F788B">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数据库</w:t>
            </w:r>
          </w:p>
        </w:tc>
        <w:tc>
          <w:tcPr>
            <w:tcW w:w="4212" w:type="pct"/>
            <w:vAlign w:val="center"/>
          </w:tcPr>
          <w:p w14:paraId="48CAD7E2">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国产数据库，安全可控；集中式关系型数据库，支持关系型数据存储和分析；支持国产操作系统和国产芯片；支持多语言数据库；支持数据库迁移；支持数据备份；支持数据库事务管理；支持性能监测管理;支持安全管理功能和审计功能；支持全密态等值查询功能和动态脱敏功能。</w:t>
            </w:r>
          </w:p>
        </w:tc>
      </w:tr>
      <w:tr w14:paraId="4B66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43E4A5FA">
            <w:pPr>
              <w:numPr>
                <w:ilvl w:val="0"/>
                <w:numId w:val="3"/>
              </w:numPr>
              <w:wordWrap/>
              <w:spacing w:line="360" w:lineRule="auto"/>
              <w:ind w:left="0"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p>
        </w:tc>
        <w:tc>
          <w:tcPr>
            <w:tcW w:w="484" w:type="pct"/>
            <w:vAlign w:val="center"/>
          </w:tcPr>
          <w:p w14:paraId="5B5D4AD1">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中间件</w:t>
            </w:r>
          </w:p>
        </w:tc>
        <w:tc>
          <w:tcPr>
            <w:tcW w:w="4212" w:type="pct"/>
            <w:vAlign w:val="center"/>
          </w:tcPr>
          <w:p w14:paraId="2D527BA9">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具备web应用、EJB应用、虚拟主机、应用服务器集群、身份验证、日志审计等基本工作，提供类库管理、集成环境管理、图形化监控、JVM配置、垃圾回收配置等工具，支持实例部署、数据库连接服务，为业务系统提供运行环境。</w:t>
            </w:r>
          </w:p>
        </w:tc>
      </w:tr>
      <w:tr w14:paraId="74CB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3F52927A">
            <w:pPr>
              <w:numPr>
                <w:ilvl w:val="0"/>
                <w:numId w:val="3"/>
              </w:numPr>
              <w:wordWrap/>
              <w:spacing w:line="360" w:lineRule="auto"/>
              <w:ind w:left="0"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p>
        </w:tc>
        <w:tc>
          <w:tcPr>
            <w:tcW w:w="484" w:type="pct"/>
            <w:vAlign w:val="center"/>
          </w:tcPr>
          <w:p w14:paraId="1842CC32">
            <w:pPr>
              <w:wordWrap w:val="0"/>
              <w:spacing w:line="36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操作系统</w:t>
            </w:r>
          </w:p>
        </w:tc>
        <w:tc>
          <w:tcPr>
            <w:tcW w:w="4212" w:type="pct"/>
            <w:vAlign w:val="center"/>
          </w:tcPr>
          <w:p w14:paraId="1704EE3A">
            <w:pPr>
              <w:spacing w:line="360" w:lineRule="auto"/>
              <w:ind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应虚拟化、云计算、大数据、工业互联网时代对主机系统可靠性、安全性、性能、扩展性和实时性等需求，依据CMMI5级标准研制的提供内生本质安全、云原生支持、自主平台深入优化、高性能、易管理的新一代自主服务器操作系统。</w:t>
            </w:r>
          </w:p>
          <w:p w14:paraId="4F035AAA">
            <w:pPr>
              <w:spacing w:line="360" w:lineRule="auto"/>
              <w:ind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1、支持国产主流芯片平台，包括飞腾、鲲鹏、龙芯、兆芯、海光等</w:t>
            </w:r>
          </w:p>
          <w:p w14:paraId="5486D99E">
            <w:pPr>
              <w:spacing w:line="360" w:lineRule="auto"/>
              <w:ind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2、默认提供apache http、ftp、DNS、DHCP、MariaDB、PostgreSQL、NFS、Samba、LDAP 等应用</w:t>
            </w:r>
          </w:p>
          <w:p w14:paraId="298A6EA2">
            <w:pPr>
              <w:spacing w:line="360" w:lineRule="auto"/>
              <w:ind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、支持负载均衡，支持多种网卡Bonding，提高可用性</w:t>
            </w:r>
          </w:p>
          <w:p w14:paraId="5EDF1400">
            <w:pPr>
              <w:spacing w:line="360" w:lineRule="auto"/>
              <w:ind w:firstLine="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、为保障操作系统高安全性，所投产品的安全授权管理工具、安全白名单共享库、系统安全配置修改工具、安全模块等组件功能开源率为0%</w:t>
            </w:r>
            <w:r>
              <w:rPr>
                <w:rFonts w:hint="eastAsia" w:asciiTheme="minorEastAsia" w:hAnsiTheme="minorEastAsia" w:eastAsiaTheme="minorEastAsia" w:cstheme="minorEastAsia"/>
                <w:sz w:val="24"/>
                <w:szCs w:val="24"/>
                <w:lang w:eastAsia="zh-CN"/>
              </w:rPr>
              <w:t>。</w:t>
            </w:r>
          </w:p>
          <w:p w14:paraId="710338E9">
            <w:pPr>
              <w:spacing w:line="360" w:lineRule="auto"/>
              <w:ind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、系统默认提供备份还原工具，支持全盘系统备份、系统增量备份、还原系统等功能</w:t>
            </w:r>
          </w:p>
          <w:p w14:paraId="6A75703D">
            <w:pPr>
              <w:spacing w:line="360" w:lineRule="auto"/>
              <w:ind w:firstLine="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、为确保操作系统符合安全基线标准，所投标的操作系统产品必须获得安全社区OpenSCAP的支持，并通过安全基线的审核</w:t>
            </w:r>
            <w:r>
              <w:rPr>
                <w:rFonts w:hint="eastAsia" w:asciiTheme="minorEastAsia" w:hAnsiTheme="minorEastAsia" w:eastAsiaTheme="minorEastAsia" w:cstheme="minorEastAsia"/>
                <w:sz w:val="24"/>
                <w:szCs w:val="24"/>
                <w:lang w:eastAsia="zh-CN"/>
              </w:rPr>
              <w:t>。</w:t>
            </w:r>
          </w:p>
          <w:p w14:paraId="4F93BFB6">
            <w:pPr>
              <w:widowControl w:val="0"/>
              <w:numPr>
                <w:ilvl w:val="0"/>
                <w:numId w:val="0"/>
              </w:numPr>
              <w:wordWrap w:val="0"/>
              <w:adjustRightInd w:val="0"/>
              <w:snapToGrid w:val="0"/>
              <w:spacing w:line="360" w:lineRule="auto"/>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操作系统产品满足财库（2023）34号《关于印发《操作系统政府采购需求标准（2023年版）》的通知》中《服务器操作系统政府采购需求标准》，并通过中国信息安全测评中心和国家保密科技测评中心的安全可靠测评，在安全可靠测评结果公告（2024年第1号）中。</w:t>
            </w:r>
          </w:p>
        </w:tc>
      </w:tr>
      <w:tr w14:paraId="340A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079A3E40">
            <w:pPr>
              <w:numPr>
                <w:ilvl w:val="0"/>
                <w:numId w:val="3"/>
              </w:numPr>
              <w:wordWrap/>
              <w:spacing w:line="360" w:lineRule="auto"/>
              <w:ind w:left="0"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p>
        </w:tc>
        <w:tc>
          <w:tcPr>
            <w:tcW w:w="484" w:type="pct"/>
            <w:vAlign w:val="center"/>
          </w:tcPr>
          <w:p w14:paraId="14A6BC82">
            <w:pPr>
              <w:wordWrap w:val="0"/>
              <w:spacing w:line="24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学校中文官网改版服务</w:t>
            </w:r>
          </w:p>
        </w:tc>
        <w:tc>
          <w:tcPr>
            <w:tcW w:w="4212" w:type="pct"/>
            <w:vAlign w:val="center"/>
          </w:tcPr>
          <w:p w14:paraId="335AB810">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提供资深设计师主导国内外竞品分析，精准提炼我校差异化优势；国际化团队注入前沿设计理念，本土化团队深度融合地域文化与教育特色，双轨协作确保视觉方案兼具全球视野与属地认同。全流程配备跨领域生产团队，从前端交互到后端开发紧密协同，以模块化架构实现高效落地，保障多终端适配与品牌一致性。</w:t>
            </w:r>
          </w:p>
        </w:tc>
      </w:tr>
      <w:tr w14:paraId="2FA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03" w:type="pct"/>
            <w:vAlign w:val="center"/>
          </w:tcPr>
          <w:p w14:paraId="77F00A07">
            <w:pPr>
              <w:numPr>
                <w:ilvl w:val="0"/>
                <w:numId w:val="3"/>
              </w:numPr>
              <w:wordWrap/>
              <w:spacing w:line="360" w:lineRule="auto"/>
              <w:ind w:left="0"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p>
        </w:tc>
        <w:tc>
          <w:tcPr>
            <w:tcW w:w="484" w:type="pct"/>
            <w:vAlign w:val="center"/>
          </w:tcPr>
          <w:p w14:paraId="6308D1D0">
            <w:pPr>
              <w:wordWrap w:val="0"/>
              <w:spacing w:line="24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内容安全监测服务</w:t>
            </w:r>
          </w:p>
        </w:tc>
        <w:tc>
          <w:tcPr>
            <w:tcW w:w="4212" w:type="pct"/>
            <w:vAlign w:val="center"/>
          </w:tcPr>
          <w:p w14:paraId="792F84BB">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提供Saas化的五年产品服务，对全校宣传阵地账号进行盘点，对每天新发内容进行管控，打造宣传阵地内容安全管控机制：</w:t>
            </w:r>
          </w:p>
          <w:p w14:paraId="61FC2E5A">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1.全校网站站点及新媒体账号的盘点梳理</w:t>
            </w:r>
          </w:p>
          <w:p w14:paraId="7489B302">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2.对当天所有发布内容进行内容安全监测</w:t>
            </w:r>
          </w:p>
          <w:p w14:paraId="7375F23F">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3.支持敏感词、隐私信息、表述错误等问题的监测</w:t>
            </w:r>
          </w:p>
          <w:p w14:paraId="45C6BD40">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4.人工二次审核后通过公众号、邮件、短信及时发送通知</w:t>
            </w:r>
          </w:p>
          <w:p w14:paraId="08F0A94F">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5.支持内容安全问题的下发和复验</w:t>
            </w:r>
          </w:p>
        </w:tc>
      </w:tr>
      <w:tr w14:paraId="61C6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03" w:type="pct"/>
            <w:vAlign w:val="center"/>
          </w:tcPr>
          <w:p w14:paraId="4C6F8819">
            <w:pPr>
              <w:numPr>
                <w:ilvl w:val="0"/>
                <w:numId w:val="3"/>
              </w:numPr>
              <w:wordWrap/>
              <w:spacing w:line="360" w:lineRule="auto"/>
              <w:ind w:left="0"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p>
        </w:tc>
        <w:tc>
          <w:tcPr>
            <w:tcW w:w="484" w:type="pct"/>
            <w:vAlign w:val="center"/>
          </w:tcPr>
          <w:p w14:paraId="61C4D26C">
            <w:pPr>
              <w:wordWrap w:val="0"/>
              <w:spacing w:line="24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集成对接服务</w:t>
            </w:r>
          </w:p>
        </w:tc>
        <w:tc>
          <w:tcPr>
            <w:tcW w:w="4212" w:type="pct"/>
            <w:vAlign w:val="center"/>
          </w:tcPr>
          <w:p w14:paraId="3D3B3A8C">
            <w:pPr>
              <w:widowControl w:val="0"/>
              <w:numPr>
                <w:ilvl w:val="0"/>
                <w:numId w:val="0"/>
              </w:numPr>
              <w:wordWrap w:val="0"/>
              <w:adjustRightInd w:val="0"/>
              <w:snapToGrid w:val="0"/>
              <w:spacing w:line="360" w:lineRule="auto"/>
              <w:jc w:val="both"/>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与学校统一身份认证系统集成对接，满足单点登录的需求；与学院数据平台对接，数据同步。</w:t>
            </w:r>
          </w:p>
        </w:tc>
      </w:tr>
      <w:tr w14:paraId="5A2C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3" w:type="pct"/>
            <w:vAlign w:val="center"/>
          </w:tcPr>
          <w:p w14:paraId="27E2CE21">
            <w:pPr>
              <w:numPr>
                <w:ilvl w:val="0"/>
                <w:numId w:val="3"/>
              </w:numPr>
              <w:wordWrap/>
              <w:spacing w:line="360" w:lineRule="auto"/>
              <w:ind w:left="0"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p>
        </w:tc>
        <w:tc>
          <w:tcPr>
            <w:tcW w:w="484" w:type="pct"/>
            <w:vAlign w:val="center"/>
          </w:tcPr>
          <w:p w14:paraId="2ADB2204">
            <w:pPr>
              <w:wordWrap w:val="0"/>
              <w:spacing w:line="240" w:lineRule="auto"/>
              <w:ind w:firstLine="0" w:firstLineChars="0"/>
              <w:jc w:val="center"/>
              <w:rPr>
                <w:rFonts w:hint="eastAsia" w:asciiTheme="minorEastAsia" w:hAnsiTheme="minorEastAsia" w:eastAsiaTheme="minorEastAsia" w:cstheme="minorEastAsia"/>
                <w:color w:val="000000"/>
                <w:spacing w:val="0"/>
                <w:kern w:val="0"/>
                <w:sz w:val="24"/>
                <w:szCs w:val="24"/>
                <w:highlight w:val="none"/>
                <w14:ligatures w14:val="none"/>
              </w:rPr>
            </w:pPr>
            <w:r>
              <w:rPr>
                <w:rFonts w:hint="eastAsia" w:asciiTheme="minorEastAsia" w:hAnsiTheme="minorEastAsia" w:eastAsiaTheme="minorEastAsia" w:cstheme="minorEastAsia"/>
                <w:color w:val="000000"/>
                <w:spacing w:val="0"/>
                <w:kern w:val="0"/>
                <w:sz w:val="24"/>
                <w:szCs w:val="24"/>
                <w:highlight w:val="none"/>
                <w14:ligatures w14:val="none"/>
              </w:rPr>
              <w:t>系统集成</w:t>
            </w:r>
          </w:p>
        </w:tc>
        <w:tc>
          <w:tcPr>
            <w:tcW w:w="4212" w:type="pct"/>
            <w:vAlign w:val="center"/>
          </w:tcPr>
          <w:p w14:paraId="3F122C11">
            <w:pPr>
              <w:wordWrap w:val="0"/>
              <w:spacing w:line="240" w:lineRule="auto"/>
              <w:ind w:firstLine="0" w:firstLineChars="0"/>
              <w:jc w:val="both"/>
              <w:rPr>
                <w:rFonts w:hint="eastAsia" w:asciiTheme="minorEastAsia" w:hAnsiTheme="minorEastAsia" w:eastAsiaTheme="minorEastAsia" w:cstheme="minorEastAsia"/>
                <w:color w:val="000000"/>
                <w:spacing w:val="0"/>
                <w:kern w:val="0"/>
                <w:sz w:val="24"/>
                <w:szCs w:val="24"/>
                <w:highlight w:val="none"/>
                <w:lang w:val="en-US" w:eastAsia="zh-CN"/>
                <w14:ligatures w14:val="none"/>
              </w:rPr>
            </w:pPr>
            <w:r>
              <w:rPr>
                <w:rFonts w:hint="eastAsia" w:asciiTheme="minorEastAsia" w:hAnsiTheme="minorEastAsia" w:eastAsiaTheme="minorEastAsia" w:cstheme="minorEastAsia"/>
                <w:sz w:val="24"/>
                <w:szCs w:val="24"/>
                <w:lang w:val="en-US" w:eastAsia="zh-CN"/>
              </w:rPr>
              <w:t>系统</w:t>
            </w:r>
            <w:r>
              <w:rPr>
                <w:rFonts w:hint="eastAsia" w:asciiTheme="minorEastAsia" w:hAnsiTheme="minorEastAsia" w:eastAsiaTheme="minorEastAsia" w:cstheme="minorEastAsia"/>
                <w:sz w:val="24"/>
                <w:szCs w:val="24"/>
              </w:rPr>
              <w:t>安装、系统配置、关联系统集成、</w:t>
            </w:r>
            <w:r>
              <w:rPr>
                <w:rFonts w:hint="eastAsia" w:asciiTheme="minorEastAsia" w:hAnsiTheme="minorEastAsia" w:eastAsiaTheme="minorEastAsia" w:cstheme="minorEastAsia"/>
                <w:sz w:val="24"/>
                <w:szCs w:val="24"/>
                <w:lang w:val="en-US" w:eastAsia="zh-CN"/>
              </w:rPr>
              <w:t>信创适配</w:t>
            </w:r>
            <w:r>
              <w:rPr>
                <w:rFonts w:hint="eastAsia" w:asciiTheme="minorEastAsia" w:hAnsiTheme="minorEastAsia" w:eastAsiaTheme="minorEastAsia" w:cstheme="minorEastAsia"/>
                <w:sz w:val="24"/>
                <w:szCs w:val="24"/>
              </w:rPr>
              <w:t>联试、培训、试运行、交付等</w:t>
            </w:r>
            <w:r>
              <w:rPr>
                <w:rFonts w:hint="eastAsia" w:asciiTheme="minorEastAsia" w:hAnsiTheme="minorEastAsia" w:eastAsiaTheme="minorEastAsia" w:cstheme="minorEastAsia"/>
                <w:sz w:val="24"/>
                <w:szCs w:val="24"/>
                <w:lang w:eastAsia="zh-CN"/>
              </w:rPr>
              <w:t>。</w:t>
            </w:r>
          </w:p>
        </w:tc>
      </w:tr>
    </w:tbl>
    <w:p w14:paraId="05D0D85A">
      <w:pPr>
        <w:numPr>
          <w:ilvl w:val="-1"/>
          <w:numId w:val="0"/>
        </w:num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lang w:val="en-US" w:eastAsia="zh-CN"/>
        </w:rPr>
      </w:pPr>
    </w:p>
    <w:p w14:paraId="5C38A16C">
      <w:pPr>
        <w:numPr>
          <w:ilvl w:val="-1"/>
          <w:numId w:val="0"/>
        </w:num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三、</w:t>
      </w:r>
      <w:r>
        <w:rPr>
          <w:rFonts w:ascii="仿宋_GB2312" w:hAnsi="仿宋_GB2312" w:eastAsia="仿宋_GB2312" w:cs="仿宋_GB2312"/>
        </w:rPr>
        <w:t>★</w:t>
      </w:r>
      <w:r>
        <w:rPr>
          <w:rFonts w:hint="eastAsia" w:asciiTheme="minorEastAsia" w:hAnsiTheme="minorEastAsia" w:eastAsiaTheme="minorEastAsia" w:cstheme="minorEastAsia"/>
          <w:b/>
          <w:color w:val="auto"/>
          <w:sz w:val="24"/>
          <w:szCs w:val="24"/>
          <w:lang w:val="en-US" w:eastAsia="zh-CN"/>
        </w:rPr>
        <w:t>商务要求</w:t>
      </w:r>
    </w:p>
    <w:p w14:paraId="286C58FF">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1、质保期</w:t>
      </w:r>
    </w:p>
    <w:p w14:paraId="0C732C20">
      <w:pPr>
        <w:numPr>
          <w:ilvl w:val="-1"/>
          <w:numId w:val="0"/>
        </w:numPr>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自终验合格之日起项目整体不少于五年免费维保服务，包括问题处理、安全防护、培训服务等。</w:t>
      </w:r>
    </w:p>
    <w:p w14:paraId="2FD894CB">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2、质量保证、售后服务及培训要求</w:t>
      </w:r>
    </w:p>
    <w:p w14:paraId="5C7CDC97">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成交供应商承建及负责采购文件对成交供应商要求的一切事宜及责任。包括项目产品供货、配套设备提供、运输、保管、安装、调试、验收、培训及相关服务等以及供应商认为必要的其他货物、材料、工程、服务；供应商应自行增加系统正常、合法、安全运行及使用所必需但采购文件没有包含的所有设备、版权、专利等一切费用，如果供应商在成交并签署合同后，在供货、安装、调试、培训等工作中出现货物的任何遗漏，均由成交供应商免费提供，买方将不再支付任何费用。</w:t>
      </w:r>
    </w:p>
    <w:p w14:paraId="3009D7AC">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（2）在系统质保期内，厂商应提供专业的技术支持工程师进行服务，技术支持工程师对用户的问题的响应时间不可超过30分钟。</w:t>
      </w:r>
    </w:p>
    <w:p w14:paraId="418E6D36">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（3）提供针对售后服务提供成熟的信息化客户服务系统，系统业务显示用户客户售后服务，实现客户问题处理的显性化跟踪处理，支持用户对历史服务内容进行满意度在线评价反馈。</w:t>
      </w:r>
    </w:p>
    <w:p w14:paraId="151C55BE">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4）提供服务小程序，解决服务入口统一的问题，小程序需要具备一键报修、报修任务查看等功能，能够在服务小程序上实现问题快速报修，支持语音、文字、图片方式进行问题反馈。同时集成网站群运行与管理的知识体系，满足使用者日常维护的处理操作查询需求。</w:t>
      </w:r>
    </w:p>
    <w:p w14:paraId="7A693B2C">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（5）成交人在软件安装结束后，对用户所有使用人员的现场培训不少于5个工作日，确保使用人员能够正确操作和维护设备。</w:t>
      </w:r>
    </w:p>
    <w:p w14:paraId="508EF730">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3、知识产权要求</w:t>
      </w:r>
    </w:p>
    <w:p w14:paraId="4EAB840E">
      <w:pPr>
        <w:numPr>
          <w:ilvl w:val="-1"/>
          <w:numId w:val="0"/>
        </w:numPr>
        <w:adjustRightInd w:val="0"/>
        <w:snapToGrid w:val="0"/>
        <w:spacing w:line="36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投标人应保证招标人在使用其提供的任何产品时，不会受到第三方提出侵犯专利权、商标权或工业设计权等指控。如果任何第三方提出与投标人提供的任何产品有关的侵权指控，投标人须与第三方交涉并承担因此发生的一切法律责任和费用。</w:t>
      </w:r>
    </w:p>
    <w:p w14:paraId="1D5B1233">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4、验收要求</w:t>
      </w:r>
    </w:p>
    <w:p w14:paraId="06794316">
      <w:pPr>
        <w:numPr>
          <w:ilvl w:val="-1"/>
          <w:numId w:val="0"/>
        </w:numPr>
        <w:adjustRightInd w:val="0"/>
        <w:snapToGrid w:val="0"/>
        <w:spacing w:line="36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遵循《海南省政府采购履约验收管理暂行办法》、海南省发展和改革委员会关于印发《海南省省级政务信息化项目建设管理实施细则》等相关规定开展验收工作。项目验收包括预验收和竣工验收两个阶段。预验收由项目建设单位按照《验收工作大纲》要求自行组织；竣工验收由项目审批部门组织专家或委托相关机构对建设项目进行验收，并对系统运行效率、使用效果、设备情况等进行验收评价。</w:t>
      </w:r>
    </w:p>
    <w:p w14:paraId="7031A6C5">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5、付款时间、方式及条件</w:t>
      </w:r>
    </w:p>
    <w:p w14:paraId="097AD553">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（1）付款比例最终以该项目年度预算资金安排为准</w:t>
      </w:r>
    </w:p>
    <w:p w14:paraId="6F03E454">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（2）合同签订之日起20个工作日内，甲方凭乙方开具的正式有效发票向乙方支付合同总金额的67%作为首期款；</w:t>
      </w:r>
    </w:p>
    <w:p w14:paraId="794193A7">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（3）项目通过整体竣工验收后，甲方凭乙方开具的正式有效发票向乙方支付合同总金额的33%。</w:t>
      </w:r>
    </w:p>
    <w:p w14:paraId="395E790F">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6、其他</w:t>
      </w:r>
    </w:p>
    <w:p w14:paraId="7E295A0C">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（1）供应商需承诺在成交后提供所采购软件产品的使用授权；供应商需承诺在质保期内无偿提供软件版本升级服务。</w:t>
      </w:r>
    </w:p>
    <w:p w14:paraId="252AD7C3">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（2）其他未尽事宜，以双方签订的合同约定执行。</w:t>
      </w:r>
    </w:p>
    <w:p w14:paraId="77A9FF96">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（3）投标人所投产品须提供原厂授权承诺函及售后服务承诺函。</w:t>
      </w:r>
    </w:p>
    <w:p w14:paraId="4522293D">
      <w:pPr>
        <w:adjustRightInd w:val="0"/>
        <w:snapToGrid w:val="0"/>
        <w:spacing w:line="360" w:lineRule="auto"/>
        <w:ind w:firstLine="420" w:firstLineChars="200"/>
        <w:rPr>
          <w:rFonts w:hint="eastAsia" w:ascii="宋体" w:hAnsi="宋体" w:eastAsia="宋体"/>
          <w:color w:val="auto"/>
        </w:rPr>
      </w:pPr>
    </w:p>
    <w:p w14:paraId="089ABA33">
      <w:pPr>
        <w:rPr>
          <w:rFonts w:hint="eastAsia" w:ascii="宋体" w:hAnsi="宋体"/>
          <w:b/>
          <w:kern w:val="0"/>
          <w:sz w:val="32"/>
        </w:rPr>
      </w:pPr>
    </w:p>
    <w:p w14:paraId="56BBAB8C">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b/>
          <w:kern w:val="0"/>
          <w:sz w:val="32"/>
        </w:rPr>
      </w:pPr>
    </w:p>
    <w:p w14:paraId="03194D9C">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b/>
          <w:kern w:val="0"/>
          <w:sz w:val="32"/>
        </w:rPr>
      </w:pPr>
    </w:p>
    <w:p w14:paraId="435152BD">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b/>
          <w:kern w:val="0"/>
          <w:sz w:val="32"/>
        </w:rPr>
      </w:pPr>
    </w:p>
    <w:p w14:paraId="7CFD17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b/>
          <w:kern w:val="0"/>
          <w:sz w:val="32"/>
        </w:rPr>
      </w:pPr>
    </w:p>
    <w:p w14:paraId="3E5A98CC">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b/>
          <w:kern w:val="0"/>
          <w:sz w:val="32"/>
        </w:rPr>
      </w:pPr>
    </w:p>
    <w:p w14:paraId="332C9298">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b/>
          <w:kern w:val="0"/>
          <w:sz w:val="32"/>
        </w:rPr>
      </w:pPr>
    </w:p>
    <w:p w14:paraId="3A940E4A">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b/>
          <w:kern w:val="0"/>
          <w:sz w:val="32"/>
        </w:rPr>
      </w:pPr>
    </w:p>
    <w:p w14:paraId="028B719E">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b/>
          <w:kern w:val="0"/>
          <w:sz w:val="32"/>
        </w:rPr>
      </w:pPr>
    </w:p>
    <w:p w14:paraId="18EF2929">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ascii="宋体" w:hAnsi="宋体"/>
          <w:b/>
          <w:kern w:val="0"/>
          <w:sz w:val="32"/>
        </w:rPr>
      </w:pPr>
      <w:r>
        <w:rPr>
          <w:rFonts w:hint="eastAsia" w:ascii="宋体" w:hAnsi="宋体"/>
          <w:b/>
          <w:kern w:val="0"/>
          <w:sz w:val="32"/>
        </w:rPr>
        <w:t>第三部分供应商须知</w:t>
      </w:r>
    </w:p>
    <w:p w14:paraId="7CE4FC63">
      <w:pPr>
        <w:adjustRightInd w:val="0"/>
        <w:snapToGrid w:val="0"/>
        <w:spacing w:line="300" w:lineRule="auto"/>
        <w:ind w:firstLine="480" w:firstLineChars="200"/>
        <w:rPr>
          <w:rFonts w:ascii="宋体"/>
          <w:kern w:val="0"/>
          <w:sz w:val="24"/>
        </w:rPr>
      </w:pPr>
      <w:r>
        <w:rPr>
          <w:rFonts w:hint="eastAsia" w:ascii="宋体"/>
          <w:kern w:val="0"/>
          <w:sz w:val="24"/>
        </w:rPr>
        <w:t>一、说明</w:t>
      </w:r>
    </w:p>
    <w:p w14:paraId="56358EA5">
      <w:pPr>
        <w:adjustRightInd w:val="0"/>
        <w:snapToGrid w:val="0"/>
        <w:spacing w:line="300" w:lineRule="auto"/>
        <w:ind w:firstLine="588" w:firstLineChars="245"/>
        <w:rPr>
          <w:rFonts w:hint="eastAsia" w:ascii="宋体"/>
          <w:kern w:val="0"/>
          <w:sz w:val="24"/>
        </w:rPr>
      </w:pPr>
      <w:r>
        <w:rPr>
          <w:rFonts w:hint="eastAsia" w:ascii="宋体"/>
          <w:kern w:val="0"/>
          <w:sz w:val="24"/>
        </w:rPr>
        <w:t>1、本次政府采购是按照《中华人民共和国政府采购法》和财政部财库〔2014〕214号印发《政府采购竞争性磋商采购方式管理暂行办法》组织和实施。无论过程中的做法和结果如何，竞争性磋商供应商自行承担所有与参加竞争性磋商有关的全部费用。</w:t>
      </w:r>
    </w:p>
    <w:p w14:paraId="58673951">
      <w:pPr>
        <w:adjustRightInd w:val="0"/>
        <w:snapToGrid w:val="0"/>
        <w:spacing w:line="300" w:lineRule="auto"/>
        <w:ind w:firstLine="588" w:firstLineChars="245"/>
        <w:rPr>
          <w:rFonts w:hint="eastAsia" w:ascii="宋体" w:eastAsia="宋体"/>
          <w:kern w:val="0"/>
          <w:sz w:val="24"/>
          <w:lang w:eastAsia="zh-CN"/>
        </w:rPr>
      </w:pPr>
      <w:r>
        <w:rPr>
          <w:rFonts w:hint="eastAsia" w:ascii="宋体"/>
          <w:kern w:val="0"/>
          <w:sz w:val="24"/>
          <w:lang w:val="en-US" w:eastAsia="zh-CN"/>
        </w:rPr>
        <w:t>1</w:t>
      </w:r>
      <w:r>
        <w:rPr>
          <w:rFonts w:hint="eastAsia" w:ascii="宋体"/>
          <w:kern w:val="0"/>
          <w:sz w:val="24"/>
        </w:rPr>
        <w:t>.</w:t>
      </w:r>
      <w:r>
        <w:rPr>
          <w:rFonts w:hint="eastAsia" w:ascii="宋体"/>
          <w:kern w:val="0"/>
          <w:sz w:val="24"/>
          <w:lang w:val="en-US" w:eastAsia="zh-CN"/>
        </w:rPr>
        <w:t>2标注“★”的要求和条件为不允许偏离的实质性条款。</w:t>
      </w:r>
    </w:p>
    <w:p w14:paraId="3DE5F44E">
      <w:pPr>
        <w:adjustRightInd w:val="0"/>
        <w:snapToGrid w:val="0"/>
        <w:spacing w:line="300" w:lineRule="auto"/>
        <w:ind w:firstLine="588" w:firstLineChars="245"/>
        <w:rPr>
          <w:rFonts w:ascii="宋体"/>
          <w:kern w:val="0"/>
          <w:sz w:val="24"/>
        </w:rPr>
      </w:pPr>
      <w:r>
        <w:rPr>
          <w:rFonts w:hint="eastAsia" w:ascii="宋体"/>
          <w:kern w:val="0"/>
          <w:sz w:val="24"/>
        </w:rPr>
        <w:t>2、合格的供应商</w:t>
      </w:r>
    </w:p>
    <w:p w14:paraId="3630BE45">
      <w:pPr>
        <w:adjustRightInd w:val="0"/>
        <w:snapToGrid w:val="0"/>
        <w:spacing w:line="300" w:lineRule="auto"/>
        <w:ind w:firstLine="588" w:firstLineChars="245"/>
        <w:rPr>
          <w:rFonts w:ascii="宋体"/>
          <w:kern w:val="0"/>
          <w:sz w:val="24"/>
        </w:rPr>
      </w:pPr>
      <w:r>
        <w:rPr>
          <w:rFonts w:hint="eastAsia" w:ascii="宋体"/>
          <w:kern w:val="0"/>
          <w:sz w:val="24"/>
        </w:rPr>
        <w:t>2.1是响应磋商文件，参加竞争性磋商竞争，具备竞争性磋商条件的中华人民共和国独立法人或其他组织，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且有能力提供竞争性磋商货物及服务，并通过评审委员会审核的制造厂商、供货商或代理商，均为合格的供应商。</w:t>
      </w:r>
    </w:p>
    <w:p w14:paraId="62D18359">
      <w:pPr>
        <w:adjustRightInd w:val="0"/>
        <w:snapToGrid w:val="0"/>
        <w:spacing w:line="300" w:lineRule="auto"/>
        <w:ind w:firstLine="588" w:firstLineChars="245"/>
        <w:rPr>
          <w:rFonts w:ascii="宋体"/>
          <w:kern w:val="0"/>
          <w:sz w:val="24"/>
        </w:rPr>
      </w:pPr>
      <w:r>
        <w:rPr>
          <w:rFonts w:hint="eastAsia" w:ascii="宋体" w:hAnsi="宋体" w:cs="仿宋"/>
          <w:sz w:val="24"/>
        </w:rPr>
        <w:t>补充说明：根据《政府采购法实施条例》及有关释义,</w:t>
      </w:r>
      <w:r>
        <w:rPr>
          <w:rFonts w:hint="eastAsia" w:ascii="宋体"/>
          <w:kern w:val="0"/>
          <w:sz w:val="24"/>
          <w:lang w:val="zh-TW"/>
        </w:rPr>
        <w:t>如企业为银行、保险、石油石化、电力、电信运营商等有行业特殊情况的，其分支机构可参与投标。</w:t>
      </w:r>
    </w:p>
    <w:p w14:paraId="1CD49C72">
      <w:pPr>
        <w:spacing w:line="360" w:lineRule="exact"/>
        <w:ind w:firstLine="480" w:firstLineChars="200"/>
        <w:rPr>
          <w:rFonts w:ascii="宋体" w:hAnsi="宋体"/>
          <w:sz w:val="24"/>
        </w:rPr>
      </w:pPr>
      <w:r>
        <w:rPr>
          <w:rFonts w:hint="eastAsia" w:ascii="宋体"/>
          <w:kern w:val="0"/>
          <w:sz w:val="24"/>
        </w:rPr>
        <w:t>2.2</w:t>
      </w:r>
      <w:r>
        <w:rPr>
          <w:rFonts w:hint="eastAsia" w:ascii="宋体" w:hAnsi="宋体"/>
          <w:sz w:val="24"/>
        </w:rPr>
        <w:t>如项目允许，</w:t>
      </w:r>
      <w:r>
        <w:rPr>
          <w:rFonts w:ascii="宋体" w:hAnsi="宋体"/>
          <w:sz w:val="24"/>
        </w:rPr>
        <w:t>两个以上的自然人、法人或者其他组织可以组成一个联合体，以一个供应商的身份共同参加政府采购。以联合体形式进行政府采购的，参加联合体的供应商均应当具备</w:t>
      </w:r>
      <w:r>
        <w:rPr>
          <w:rFonts w:hint="eastAsia" w:ascii="宋体" w:hAnsi="宋体"/>
          <w:sz w:val="24"/>
        </w:rPr>
        <w:t>《</w:t>
      </w:r>
      <w:r>
        <w:rPr>
          <w:rFonts w:ascii="宋体" w:hAnsi="宋体"/>
          <w:bCs/>
          <w:sz w:val="24"/>
        </w:rPr>
        <w:t>中华人民共和国政府采购法</w:t>
      </w:r>
      <w:r>
        <w:rPr>
          <w:rFonts w:hint="eastAsia" w:ascii="宋体" w:hAnsi="宋体"/>
          <w:bCs/>
          <w:sz w:val="24"/>
        </w:rPr>
        <w:t>》</w:t>
      </w:r>
      <w:r>
        <w:rPr>
          <w:rFonts w:ascii="宋体" w:hAnsi="宋体"/>
          <w:sz w:val="24"/>
        </w:rPr>
        <w:t>第二十二条规定的条件，</w:t>
      </w:r>
      <w:r>
        <w:rPr>
          <w:rFonts w:hint="eastAsia" w:ascii="宋体" w:hAnsi="宋体"/>
          <w:sz w:val="24"/>
        </w:rPr>
        <w:t>联合体各方之间应当签订共同参与</w:t>
      </w:r>
      <w:r>
        <w:rPr>
          <w:rFonts w:hint="eastAsia" w:ascii="宋体"/>
          <w:kern w:val="0"/>
          <w:sz w:val="24"/>
        </w:rPr>
        <w:t>竞争性磋商</w:t>
      </w:r>
      <w:r>
        <w:rPr>
          <w:rFonts w:hint="eastAsia" w:ascii="宋体" w:hAnsi="宋体"/>
          <w:sz w:val="24"/>
        </w:rPr>
        <w:t>协议，明确约定联合体各方承担的工作和相应的责任，并将共同参与</w:t>
      </w:r>
      <w:r>
        <w:rPr>
          <w:rFonts w:hint="eastAsia" w:ascii="宋体"/>
          <w:kern w:val="0"/>
          <w:sz w:val="24"/>
        </w:rPr>
        <w:t>竞争性磋商</w:t>
      </w:r>
      <w:r>
        <w:rPr>
          <w:rFonts w:hint="eastAsia" w:ascii="宋体" w:hAnsi="宋体"/>
          <w:sz w:val="24"/>
        </w:rPr>
        <w:t>协议连同</w:t>
      </w:r>
      <w:r>
        <w:rPr>
          <w:rFonts w:hint="eastAsia" w:ascii="宋体"/>
          <w:kern w:val="0"/>
          <w:sz w:val="24"/>
        </w:rPr>
        <w:t>响应文件</w:t>
      </w:r>
      <w:r>
        <w:rPr>
          <w:rFonts w:hint="eastAsia" w:ascii="宋体" w:hAnsi="宋体"/>
          <w:sz w:val="24"/>
        </w:rPr>
        <w:t>一并提交采购单位。联合体各方签订共同参与</w:t>
      </w:r>
      <w:r>
        <w:rPr>
          <w:rFonts w:hint="eastAsia" w:ascii="宋体"/>
          <w:kern w:val="0"/>
          <w:sz w:val="24"/>
        </w:rPr>
        <w:t>竞争性磋商</w:t>
      </w:r>
      <w:r>
        <w:rPr>
          <w:rFonts w:hint="eastAsia" w:ascii="宋体" w:hAnsi="宋体"/>
          <w:sz w:val="24"/>
        </w:rPr>
        <w:t>协议后，不得再以自己名义单独在同一合同项下参与采购活动，也不得组成新的联合体参加同一合同项下参与采购活动。</w:t>
      </w:r>
      <w:r>
        <w:rPr>
          <w:rFonts w:ascii="宋体" w:hAnsi="宋体"/>
          <w:sz w:val="24"/>
        </w:rPr>
        <w:t>联合体各方应当共同与采购人签订采购合同，就采购合同约定的事项对采购人承担连带责任。</w:t>
      </w:r>
    </w:p>
    <w:p w14:paraId="00D66414">
      <w:pPr>
        <w:adjustRightInd w:val="0"/>
        <w:snapToGrid w:val="0"/>
        <w:spacing w:line="300" w:lineRule="auto"/>
        <w:ind w:firstLine="588" w:firstLineChars="245"/>
        <w:jc w:val="left"/>
        <w:rPr>
          <w:rFonts w:ascii="宋体"/>
          <w:kern w:val="0"/>
          <w:sz w:val="24"/>
        </w:rPr>
      </w:pPr>
      <w:r>
        <w:rPr>
          <w:rFonts w:ascii="宋体" w:hAnsi="宋体"/>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17429A4E">
      <w:pPr>
        <w:adjustRightInd w:val="0"/>
        <w:snapToGrid w:val="0"/>
        <w:spacing w:line="300" w:lineRule="auto"/>
        <w:ind w:firstLine="588" w:firstLineChars="245"/>
        <w:rPr>
          <w:rFonts w:ascii="宋体"/>
          <w:kern w:val="0"/>
          <w:sz w:val="24"/>
        </w:rPr>
      </w:pPr>
      <w:r>
        <w:rPr>
          <w:rFonts w:hint="eastAsia" w:ascii="宋体"/>
          <w:kern w:val="0"/>
          <w:sz w:val="24"/>
        </w:rPr>
        <w:t>2.3竞争性磋商供应商应遵守《中华人民共和国政府采购法》和《政府采购竞争性磋商采购方式管理暂行办法》有关的法律。</w:t>
      </w:r>
    </w:p>
    <w:p w14:paraId="2D28C073">
      <w:pPr>
        <w:adjustRightInd w:val="0"/>
        <w:snapToGrid w:val="0"/>
        <w:spacing w:line="300" w:lineRule="auto"/>
        <w:ind w:firstLine="588" w:firstLineChars="245"/>
        <w:rPr>
          <w:rFonts w:ascii="宋体"/>
          <w:kern w:val="0"/>
          <w:sz w:val="24"/>
        </w:rPr>
      </w:pPr>
      <w:r>
        <w:rPr>
          <w:rFonts w:hint="eastAsia" w:ascii="宋体"/>
          <w:kern w:val="0"/>
          <w:sz w:val="24"/>
        </w:rPr>
        <w:t>2.4合同中提供的所有货物及其辅助服务，其来源均应符合响应文件要求而提供的设备、仪表、工具、备件、图纸和其他材料，本合同的支付也仅限于这些货物和服务。</w:t>
      </w:r>
    </w:p>
    <w:p w14:paraId="49A03CA7">
      <w:pPr>
        <w:spacing w:line="360" w:lineRule="exact"/>
        <w:ind w:firstLine="480" w:firstLineChars="200"/>
        <w:rPr>
          <w:rFonts w:ascii="宋体"/>
          <w:kern w:val="0"/>
          <w:sz w:val="24"/>
        </w:rPr>
      </w:pPr>
      <w:r>
        <w:rPr>
          <w:rFonts w:hint="eastAsia" w:ascii="宋体"/>
          <w:kern w:val="0"/>
          <w:sz w:val="24"/>
        </w:rPr>
        <w:t>2.5关于小微企业、监狱企业、残疾人福利性单位、强制采购节能产品、信息安全产品和优先采购环境标志产品、绿色产品的要求参与政府采购项目的政策优惠条件及要求如下：</w:t>
      </w:r>
    </w:p>
    <w:p w14:paraId="59AB7F2D">
      <w:pPr>
        <w:spacing w:line="360" w:lineRule="exact"/>
        <w:ind w:firstLine="480" w:firstLineChars="200"/>
        <w:rPr>
          <w:rFonts w:ascii="宋体"/>
          <w:kern w:val="0"/>
          <w:sz w:val="24"/>
        </w:rPr>
      </w:pPr>
      <w:r>
        <w:rPr>
          <w:rFonts w:hint="eastAsia" w:ascii="宋体"/>
          <w:kern w:val="0"/>
          <w:sz w:val="24"/>
        </w:rPr>
        <w:t>2.5.1、政策优惠条件及要求:根据财政部、工业和信息化部关于《政府采购促进中小企业发展管理办法》（财库【2020】46号）和《进一步加大政府采购支持中小企业力度》财库〔2022〕19号的要求，政府采购项目的政策优惠条件及要求如下。</w:t>
      </w:r>
    </w:p>
    <w:p w14:paraId="4E7BF912">
      <w:pPr>
        <w:spacing w:line="360" w:lineRule="exact"/>
        <w:ind w:firstLine="480" w:firstLineChars="200"/>
        <w:rPr>
          <w:rFonts w:ascii="宋体"/>
          <w:kern w:val="0"/>
          <w:sz w:val="24"/>
        </w:rPr>
      </w:pPr>
      <w:r>
        <w:rPr>
          <w:rFonts w:hint="eastAsia" w:ascii="宋体"/>
          <w:kern w:val="0"/>
          <w:sz w:val="24"/>
        </w:rPr>
        <w:t>2.5.1.1、该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D1E1141">
      <w:pPr>
        <w:spacing w:line="360" w:lineRule="exact"/>
        <w:ind w:firstLine="480" w:firstLineChars="200"/>
        <w:rPr>
          <w:rFonts w:ascii="宋体"/>
          <w:kern w:val="0"/>
          <w:sz w:val="24"/>
        </w:rPr>
      </w:pPr>
      <w:r>
        <w:rPr>
          <w:rFonts w:hint="eastAsia" w:ascii="宋体"/>
          <w:kern w:val="0"/>
          <w:sz w:val="24"/>
        </w:rPr>
        <w:t>符合中小企业划分标准的个体工商户，在政府采购活动中视同中小企业。</w:t>
      </w:r>
    </w:p>
    <w:p w14:paraId="58401A82">
      <w:pPr>
        <w:spacing w:line="360" w:lineRule="exact"/>
        <w:ind w:firstLine="480" w:firstLineChars="200"/>
        <w:rPr>
          <w:rFonts w:ascii="宋体"/>
          <w:kern w:val="0"/>
          <w:sz w:val="24"/>
        </w:rPr>
      </w:pPr>
      <w:r>
        <w:rPr>
          <w:rFonts w:hint="eastAsia" w:ascii="宋体"/>
          <w:kern w:val="0"/>
          <w:sz w:val="24"/>
        </w:rPr>
        <w:t>2.5.1.2、在政府采购活动中，供应商提供的货物、工程或者服务符合下列情形的，享受办法规定的中小企业扶持政策：</w:t>
      </w:r>
    </w:p>
    <w:p w14:paraId="35E416C3">
      <w:pPr>
        <w:spacing w:line="360" w:lineRule="exact"/>
        <w:ind w:firstLine="480" w:firstLineChars="200"/>
        <w:rPr>
          <w:rFonts w:ascii="宋体"/>
          <w:kern w:val="0"/>
          <w:sz w:val="24"/>
        </w:rPr>
      </w:pPr>
      <w:r>
        <w:rPr>
          <w:rFonts w:hint="eastAsia" w:ascii="宋体"/>
          <w:kern w:val="0"/>
          <w:sz w:val="24"/>
        </w:rPr>
        <w:t>2.5.1.2.1在货物采购项目中，货物由中小企业制造，即货物由中小企业生产且使用该中小企业商号或者注册商标；</w:t>
      </w:r>
    </w:p>
    <w:p w14:paraId="263B2E98">
      <w:pPr>
        <w:spacing w:line="360" w:lineRule="exact"/>
        <w:ind w:firstLine="480" w:firstLineChars="200"/>
        <w:rPr>
          <w:rFonts w:ascii="宋体"/>
          <w:kern w:val="0"/>
          <w:sz w:val="24"/>
        </w:rPr>
      </w:pPr>
      <w:r>
        <w:rPr>
          <w:rFonts w:hint="eastAsia" w:ascii="宋体"/>
          <w:kern w:val="0"/>
          <w:sz w:val="24"/>
        </w:rPr>
        <w:t>2.5.1.2.2在工程采购项目中，工程由中小企业承建，即工程施工单位为中小企业；</w:t>
      </w:r>
    </w:p>
    <w:p w14:paraId="4BA07E08">
      <w:pPr>
        <w:spacing w:line="360" w:lineRule="exact"/>
        <w:ind w:firstLine="480" w:firstLineChars="200"/>
        <w:rPr>
          <w:rFonts w:ascii="宋体"/>
          <w:kern w:val="0"/>
          <w:sz w:val="24"/>
        </w:rPr>
      </w:pPr>
      <w:r>
        <w:rPr>
          <w:rFonts w:hint="eastAsia" w:ascii="宋体"/>
          <w:kern w:val="0"/>
          <w:sz w:val="24"/>
        </w:rPr>
        <w:t>2.5.1.2.3在服务采购项目中，服务由中小企业承接，即提供服务的人员为中小企业依照《中华人民共和国劳动合同法》订立劳动合同的从业人员。</w:t>
      </w:r>
    </w:p>
    <w:p w14:paraId="3B1BFC06">
      <w:pPr>
        <w:spacing w:line="360" w:lineRule="exact"/>
        <w:ind w:firstLine="480" w:firstLineChars="200"/>
        <w:rPr>
          <w:rFonts w:ascii="宋体"/>
          <w:kern w:val="0"/>
          <w:sz w:val="24"/>
        </w:rPr>
      </w:pPr>
      <w:r>
        <w:rPr>
          <w:rFonts w:hint="eastAsia" w:ascii="宋体"/>
          <w:kern w:val="0"/>
          <w:sz w:val="24"/>
        </w:rPr>
        <w:t>在货物采购项目中，供应商提供的货物既有中小企业制造货物，也有大型企业制造货物的，不享受本办法规定的中小企业扶持政策。</w:t>
      </w:r>
    </w:p>
    <w:p w14:paraId="5B3AF5DD">
      <w:pPr>
        <w:spacing w:line="360" w:lineRule="exact"/>
        <w:ind w:firstLine="480" w:firstLineChars="200"/>
        <w:rPr>
          <w:rFonts w:ascii="宋体"/>
          <w:kern w:val="0"/>
          <w:sz w:val="24"/>
        </w:rPr>
      </w:pPr>
      <w:r>
        <w:rPr>
          <w:rFonts w:hint="eastAsia" w:ascii="宋体"/>
          <w:kern w:val="0"/>
          <w:sz w:val="24"/>
        </w:rPr>
        <w:t>以联合体形式参加政府采购活动，联合体各方均为中小企业的，联合体视同中小企业。其中，联合体各方均为小微企业的，联合体视同小微企业。</w:t>
      </w:r>
    </w:p>
    <w:p w14:paraId="1E3044B6">
      <w:pPr>
        <w:spacing w:line="360" w:lineRule="exact"/>
        <w:ind w:firstLine="480" w:firstLineChars="200"/>
        <w:rPr>
          <w:rFonts w:ascii="宋体"/>
          <w:kern w:val="0"/>
          <w:sz w:val="24"/>
        </w:rPr>
      </w:pPr>
      <w:r>
        <w:rPr>
          <w:rFonts w:hint="eastAsia" w:ascii="宋体"/>
          <w:kern w:val="0"/>
          <w:sz w:val="24"/>
        </w:rPr>
        <w:t>2.5.1.3、对于经主管预算单位统筹后未预留份额专门面向中小企业采购的采购项目，以及预留份额项目中的非预留部分采购包，对符合本办法规定的小微企业报价给予10%的扣除，用扣除后的价格参加评审。</w:t>
      </w:r>
    </w:p>
    <w:p w14:paraId="67562D15">
      <w:pPr>
        <w:spacing w:line="360" w:lineRule="exact"/>
        <w:ind w:firstLine="480" w:firstLineChars="200"/>
        <w:rPr>
          <w:rFonts w:ascii="宋体"/>
          <w:kern w:val="0"/>
          <w:sz w:val="24"/>
        </w:rPr>
      </w:pPr>
      <w:r>
        <w:rPr>
          <w:rFonts w:hint="eastAsia" w:ascii="宋体"/>
          <w:kern w:val="0"/>
          <w:sz w:val="24"/>
        </w:rPr>
        <w:t>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58C34BD4">
      <w:pPr>
        <w:spacing w:line="360" w:lineRule="exact"/>
        <w:ind w:firstLine="480" w:firstLineChars="200"/>
        <w:rPr>
          <w:rFonts w:ascii="宋体"/>
          <w:kern w:val="0"/>
          <w:sz w:val="24"/>
        </w:rPr>
      </w:pPr>
      <w:r>
        <w:rPr>
          <w:rFonts w:hint="eastAsia" w:ascii="宋体"/>
          <w:kern w:val="0"/>
          <w:sz w:val="24"/>
        </w:rPr>
        <w:t>组成联合体或者接受分包的小微企业与联合体内其他企业、分包企业之间存在直接控股、管理关系的，不享受价格扣除优惠政策。</w:t>
      </w:r>
    </w:p>
    <w:p w14:paraId="297B56AA">
      <w:pPr>
        <w:spacing w:line="360" w:lineRule="exact"/>
        <w:ind w:firstLine="480" w:firstLineChars="200"/>
        <w:rPr>
          <w:rFonts w:ascii="宋体"/>
          <w:kern w:val="0"/>
          <w:sz w:val="24"/>
        </w:rPr>
      </w:pPr>
      <w:r>
        <w:rPr>
          <w:rFonts w:hint="eastAsia" w:ascii="宋体"/>
          <w:kern w:val="0"/>
          <w:sz w:val="24"/>
        </w:rPr>
        <w:t>2.5.1.4、中小企业参加政府采购活动，应当出具《中小企业声明函》（附件），否则不得享受相关中小企业扶持政策。</w:t>
      </w:r>
    </w:p>
    <w:p w14:paraId="50EFA35C">
      <w:pPr>
        <w:spacing w:line="360" w:lineRule="exact"/>
        <w:ind w:firstLine="480" w:firstLineChars="200"/>
        <w:rPr>
          <w:rFonts w:ascii="宋体"/>
          <w:kern w:val="0"/>
          <w:sz w:val="24"/>
        </w:rPr>
      </w:pPr>
      <w:r>
        <w:rPr>
          <w:rFonts w:hint="eastAsia" w:ascii="宋体"/>
          <w:kern w:val="0"/>
          <w:sz w:val="24"/>
        </w:rPr>
        <w:t>2.5.2、关于监狱企业参与政府采购优惠政策 （对监狱企业视同小型、微型企业）</w:t>
      </w:r>
    </w:p>
    <w:p w14:paraId="66D240BD">
      <w:pPr>
        <w:spacing w:line="360" w:lineRule="exact"/>
        <w:ind w:firstLine="480" w:firstLineChars="200"/>
        <w:rPr>
          <w:rFonts w:ascii="宋体"/>
          <w:kern w:val="0"/>
          <w:sz w:val="24"/>
        </w:rPr>
      </w:pPr>
      <w:r>
        <w:rPr>
          <w:rFonts w:hint="eastAsia" w:ascii="宋体"/>
          <w:kern w:val="0"/>
          <w:sz w:val="24"/>
        </w:rPr>
        <w:t>对监狱企业产品的价格给予10%的扣除，用扣除后的价格参与评审。</w:t>
      </w:r>
    </w:p>
    <w:p w14:paraId="0555862F">
      <w:pPr>
        <w:spacing w:line="360" w:lineRule="exact"/>
        <w:ind w:firstLine="480" w:firstLineChars="200"/>
        <w:rPr>
          <w:rFonts w:ascii="宋体"/>
          <w:kern w:val="0"/>
          <w:sz w:val="24"/>
        </w:rPr>
      </w:pPr>
      <w:r>
        <w:rPr>
          <w:rFonts w:hint="eastAsia" w:ascii="宋体"/>
          <w:kern w:val="0"/>
          <w:sz w:val="24"/>
        </w:rPr>
        <w:t>根据关于政府采购支持监狱企业发展有关问题的通知财库[2014]68号的要求：</w:t>
      </w:r>
    </w:p>
    <w:p w14:paraId="2A5816CF">
      <w:pPr>
        <w:spacing w:line="360" w:lineRule="exact"/>
        <w:ind w:firstLine="480" w:firstLineChars="200"/>
        <w:rPr>
          <w:rFonts w:ascii="宋体"/>
          <w:kern w:val="0"/>
          <w:sz w:val="24"/>
        </w:rPr>
      </w:pPr>
      <w:r>
        <w:rPr>
          <w:rFonts w:hint="eastAsia" w:ascii="宋体"/>
          <w:kern w:val="0"/>
          <w:sz w:val="24"/>
        </w:rPr>
        <w:t>2.5.2.1、监狱企业参加政府采购活动时，应当提供由省级以上监狱管理局、戒毒管理局（含新疆生产建设兵团）出具的属于监狱企业的证明文件。</w:t>
      </w:r>
    </w:p>
    <w:p w14:paraId="228B4570">
      <w:pPr>
        <w:spacing w:line="360" w:lineRule="exact"/>
        <w:ind w:firstLine="480" w:firstLineChars="200"/>
        <w:rPr>
          <w:rFonts w:ascii="宋体"/>
          <w:kern w:val="0"/>
          <w:sz w:val="24"/>
        </w:rPr>
      </w:pPr>
      <w:r>
        <w:rPr>
          <w:rFonts w:hint="eastAsia" w:ascii="宋体"/>
          <w:kern w:val="0"/>
          <w:sz w:val="24"/>
        </w:rPr>
        <w:t>（监狱企业的证明文件格式自行拟定、响应文件递交时装订在响应文件中）</w:t>
      </w:r>
    </w:p>
    <w:p w14:paraId="2CC1E5CC">
      <w:pPr>
        <w:spacing w:line="360" w:lineRule="exact"/>
        <w:ind w:firstLine="480" w:firstLineChars="200"/>
        <w:rPr>
          <w:rFonts w:ascii="宋体"/>
          <w:kern w:val="0"/>
          <w:sz w:val="24"/>
        </w:rPr>
      </w:pPr>
      <w:r>
        <w:rPr>
          <w:rFonts w:hint="eastAsia" w:ascii="宋体"/>
          <w:kern w:val="0"/>
          <w:sz w:val="24"/>
        </w:rPr>
        <w:t>2.5.2.2、在政府采购活动中，监狱企业视同小型、微型企业，享受预留份额、评审中价格扣除等政府采购促进中小企业发展的政府采购政策。</w:t>
      </w:r>
    </w:p>
    <w:p w14:paraId="29FF447C">
      <w:pPr>
        <w:spacing w:line="360" w:lineRule="exact"/>
        <w:ind w:firstLine="480" w:firstLineChars="200"/>
        <w:rPr>
          <w:rFonts w:ascii="宋体"/>
          <w:kern w:val="0"/>
          <w:sz w:val="24"/>
        </w:rPr>
      </w:pPr>
      <w:r>
        <w:rPr>
          <w:rFonts w:hint="eastAsia" w:ascii="宋体"/>
          <w:kern w:val="0"/>
          <w:sz w:val="24"/>
        </w:rPr>
        <w:t>2.5.3、残疾人就业政府采购优惠政策（残疾人福利性单位视同小型、微型企业）</w:t>
      </w:r>
    </w:p>
    <w:p w14:paraId="2C0C050B">
      <w:pPr>
        <w:spacing w:line="360" w:lineRule="exact"/>
        <w:ind w:firstLine="480" w:firstLineChars="200"/>
        <w:rPr>
          <w:rFonts w:ascii="宋体"/>
          <w:kern w:val="0"/>
          <w:sz w:val="24"/>
        </w:rPr>
      </w:pPr>
      <w:r>
        <w:rPr>
          <w:rFonts w:hint="eastAsia" w:ascii="宋体"/>
          <w:kern w:val="0"/>
          <w:sz w:val="24"/>
        </w:rPr>
        <w:t>对残疾人福利性单位产品的价格给予10%的扣除，用扣除后的价格参与评审。</w:t>
      </w:r>
    </w:p>
    <w:p w14:paraId="437A8063">
      <w:pPr>
        <w:spacing w:line="360" w:lineRule="exact"/>
        <w:ind w:firstLine="480" w:firstLineChars="200"/>
        <w:rPr>
          <w:rFonts w:hint="default" w:ascii="宋体" w:eastAsia="宋体"/>
          <w:kern w:val="0"/>
          <w:sz w:val="24"/>
          <w:lang w:val="en-US" w:eastAsia="zh-CN"/>
        </w:rPr>
      </w:pPr>
      <w:r>
        <w:rPr>
          <w:rFonts w:hint="eastAsia" w:ascii="宋体"/>
          <w:kern w:val="0"/>
          <w:sz w:val="24"/>
        </w:rPr>
        <w:t>根据财政部 民政部 中国残疾人联合会关于促进残疾人就业政府采购政策的通知财库[2017]141号要求：</w:t>
      </w:r>
      <w:r>
        <w:rPr>
          <w:rFonts w:hint="eastAsia" w:ascii="宋体"/>
          <w:kern w:val="0"/>
          <w:sz w:val="24"/>
          <w:lang w:val="en-US" w:eastAsia="zh-CN"/>
        </w:rPr>
        <w:t xml:space="preserve">                                                                                                                                                                            </w:t>
      </w:r>
    </w:p>
    <w:p w14:paraId="5A532388">
      <w:pPr>
        <w:spacing w:line="360" w:lineRule="exact"/>
        <w:ind w:firstLine="480" w:firstLineChars="200"/>
        <w:rPr>
          <w:rFonts w:ascii="宋体"/>
          <w:kern w:val="0"/>
          <w:sz w:val="24"/>
        </w:rPr>
      </w:pPr>
      <w:r>
        <w:rPr>
          <w:rFonts w:hint="eastAsia" w:ascii="宋体"/>
          <w:kern w:val="0"/>
          <w:sz w:val="24"/>
        </w:rPr>
        <w:t>2.5.3.1、符合条件的残疾人福利性单位在参加政府采购活动时，应当提供本通知规定的《残疾人福利性单位声明函》（见附件），并对声明的真实性负责。</w:t>
      </w:r>
    </w:p>
    <w:p w14:paraId="61024B9F">
      <w:pPr>
        <w:spacing w:line="360" w:lineRule="exact"/>
        <w:ind w:firstLine="480" w:firstLineChars="200"/>
        <w:rPr>
          <w:rFonts w:ascii="宋体"/>
          <w:kern w:val="0"/>
          <w:sz w:val="24"/>
        </w:rPr>
      </w:pPr>
      <w:r>
        <w:rPr>
          <w:rFonts w:hint="eastAsia" w:ascii="宋体"/>
          <w:kern w:val="0"/>
          <w:sz w:val="24"/>
        </w:rPr>
        <w:t>2.5.3.2、</w:t>
      </w:r>
      <w:r>
        <w:rPr>
          <w:rFonts w:hint="eastAsia" w:ascii="宋体"/>
          <w:kern w:val="0"/>
          <w:sz w:val="24"/>
          <w:lang w:eastAsia="zh-CN"/>
        </w:rPr>
        <w:t>成交</w:t>
      </w:r>
      <w:r>
        <w:rPr>
          <w:rFonts w:hint="eastAsia" w:ascii="宋体"/>
          <w:kern w:val="0"/>
          <w:sz w:val="24"/>
        </w:rPr>
        <w:t>、成交供应商为残疾人福利性单位的，采购人或者其委托的采购代理机构应当随</w:t>
      </w:r>
      <w:r>
        <w:rPr>
          <w:rFonts w:hint="eastAsia" w:ascii="宋体"/>
          <w:kern w:val="0"/>
          <w:sz w:val="24"/>
          <w:lang w:eastAsia="zh-CN"/>
        </w:rPr>
        <w:t>成交</w:t>
      </w:r>
      <w:r>
        <w:rPr>
          <w:rFonts w:hint="eastAsia" w:ascii="宋体"/>
          <w:kern w:val="0"/>
          <w:sz w:val="24"/>
        </w:rPr>
        <w:t>、成交结果同时公告其《残疾人福利性单位声明函》，接受社会监督。</w:t>
      </w:r>
    </w:p>
    <w:p w14:paraId="28686BD9">
      <w:pPr>
        <w:spacing w:line="360" w:lineRule="exact"/>
        <w:ind w:firstLine="480" w:firstLineChars="200"/>
        <w:rPr>
          <w:rFonts w:ascii="宋体"/>
          <w:kern w:val="0"/>
          <w:sz w:val="24"/>
        </w:rPr>
      </w:pPr>
      <w:r>
        <w:rPr>
          <w:rFonts w:hint="eastAsia" w:ascii="宋体"/>
          <w:kern w:val="0"/>
          <w:sz w:val="24"/>
        </w:rPr>
        <w:t>2.5.3.3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86E92C9">
      <w:pPr>
        <w:spacing w:line="360" w:lineRule="exact"/>
        <w:ind w:firstLine="480" w:firstLineChars="200"/>
        <w:rPr>
          <w:rFonts w:ascii="宋体"/>
          <w:kern w:val="0"/>
          <w:sz w:val="24"/>
        </w:rPr>
      </w:pPr>
      <w:r>
        <w:rPr>
          <w:rFonts w:hint="eastAsia" w:ascii="宋体"/>
          <w:kern w:val="0"/>
          <w:sz w:val="24"/>
        </w:rPr>
        <w:t>2.5.4、关于强制采购节能产品、信息安全产品和优先采购环境标志产品、绿色产品优惠政策：</w:t>
      </w:r>
    </w:p>
    <w:p w14:paraId="14D8D4AF">
      <w:pPr>
        <w:spacing w:line="360" w:lineRule="exact"/>
        <w:ind w:firstLine="480" w:firstLineChars="200"/>
        <w:rPr>
          <w:rFonts w:ascii="宋体"/>
          <w:kern w:val="0"/>
          <w:sz w:val="24"/>
        </w:rPr>
      </w:pPr>
      <w:r>
        <w:rPr>
          <w:rFonts w:hint="eastAsia" w:ascii="宋体"/>
          <w:kern w:val="0"/>
          <w:sz w:val="24"/>
        </w:rPr>
        <w:t>供应商所投产品属于节能产品、信息安全产品、环境标志产品、绿色产品对提供产品的价格给予2%的扣除，用扣除后的价格参与评审。</w:t>
      </w:r>
    </w:p>
    <w:p w14:paraId="44D4C81E">
      <w:pPr>
        <w:spacing w:line="360" w:lineRule="exact"/>
        <w:ind w:firstLine="480" w:firstLineChars="200"/>
        <w:rPr>
          <w:rFonts w:ascii="宋体"/>
          <w:kern w:val="0"/>
          <w:sz w:val="24"/>
        </w:rPr>
      </w:pPr>
      <w:r>
        <w:rPr>
          <w:rFonts w:hint="eastAsia" w:ascii="宋体"/>
          <w:kern w:val="0"/>
          <w:sz w:val="24"/>
        </w:rPr>
        <w:t>根据财政部国家发展改革委关于印发《节能产品政府采购实施意见》的通知 财库【2004】185号的要求：</w:t>
      </w:r>
    </w:p>
    <w:p w14:paraId="0481DE6C">
      <w:pPr>
        <w:spacing w:line="360" w:lineRule="exact"/>
        <w:ind w:firstLine="480" w:firstLineChars="200"/>
        <w:rPr>
          <w:rFonts w:ascii="宋体"/>
          <w:kern w:val="0"/>
          <w:sz w:val="24"/>
        </w:rPr>
      </w:pPr>
      <w:r>
        <w:rPr>
          <w:rFonts w:hint="eastAsia" w:ascii="宋体"/>
          <w:kern w:val="0"/>
          <w:sz w:val="24"/>
        </w:rPr>
        <w:t>2.5.4.1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w:t>
      </w:r>
    </w:p>
    <w:p w14:paraId="1C30E311">
      <w:pPr>
        <w:spacing w:line="360" w:lineRule="exact"/>
        <w:ind w:firstLine="480" w:firstLineChars="200"/>
        <w:rPr>
          <w:rFonts w:ascii="宋体"/>
          <w:kern w:val="0"/>
          <w:sz w:val="24"/>
        </w:rPr>
      </w:pPr>
      <w:r>
        <w:rPr>
          <w:rFonts w:hint="eastAsia" w:ascii="宋体"/>
          <w:kern w:val="0"/>
          <w:sz w:val="24"/>
        </w:rPr>
        <w:t>2.5.4.2、提供的产品属于信息安全产品的，供应商应当选择经国家认证的信息安全产品参与竞争性磋商，并提供有效的中国国家信息安全产品认证证书复印件。</w:t>
      </w:r>
    </w:p>
    <w:p w14:paraId="5B95FDC6">
      <w:pPr>
        <w:spacing w:line="360" w:lineRule="exact"/>
        <w:ind w:firstLine="480" w:firstLineChars="200"/>
        <w:rPr>
          <w:rFonts w:ascii="宋体"/>
          <w:kern w:val="0"/>
          <w:sz w:val="24"/>
        </w:rPr>
      </w:pPr>
      <w:r>
        <w:rPr>
          <w:rFonts w:hint="eastAsia" w:ascii="宋体"/>
          <w:kern w:val="0"/>
          <w:sz w:val="24"/>
        </w:rPr>
        <w:t>2.5.4.3、提供的产品属于政府强制采购节能产品的，供应商应当选择《节能产品政府采购清单》中的产品参与竞争性磋商，并提供有效的节能产品认证证书复印件。</w:t>
      </w:r>
    </w:p>
    <w:p w14:paraId="0007E8E0">
      <w:pPr>
        <w:spacing w:line="360" w:lineRule="exact"/>
        <w:ind w:firstLine="480" w:firstLineChars="200"/>
        <w:rPr>
          <w:rFonts w:ascii="宋体"/>
          <w:kern w:val="0"/>
          <w:sz w:val="24"/>
        </w:rPr>
      </w:pPr>
      <w:r>
        <w:rPr>
          <w:rFonts w:hint="eastAsia" w:ascii="宋体"/>
          <w:kern w:val="0"/>
          <w:sz w:val="24"/>
        </w:rPr>
        <w:t>2.5.4.4、提供的产品属于优先采购环境标志产品的，供应商应当选择《环境标志产品政府采购清单》中的产品参与竞争性磋商，并提供有效的环境标志产品认证证书复印件。</w:t>
      </w:r>
    </w:p>
    <w:p w14:paraId="125376FA">
      <w:pPr>
        <w:spacing w:line="360" w:lineRule="exact"/>
        <w:ind w:firstLine="480" w:firstLineChars="200"/>
        <w:rPr>
          <w:rFonts w:ascii="宋体"/>
          <w:kern w:val="0"/>
          <w:sz w:val="24"/>
        </w:rPr>
      </w:pPr>
      <w:r>
        <w:rPr>
          <w:rFonts w:hint="eastAsia" w:ascii="宋体"/>
          <w:kern w:val="0"/>
          <w:sz w:val="24"/>
        </w:rPr>
        <w:t>2.5.4.5、提供的产品属于绿色产品的，供应商应当选择海南省政府采购网上商城建立绿色产品库中的产品参与竞争性磋商，并提供证明文件复印件。</w:t>
      </w:r>
    </w:p>
    <w:p w14:paraId="393452A5">
      <w:pPr>
        <w:spacing w:line="360" w:lineRule="exact"/>
        <w:ind w:firstLine="480" w:firstLineChars="200"/>
        <w:rPr>
          <w:rFonts w:ascii="宋体"/>
          <w:kern w:val="0"/>
          <w:sz w:val="24"/>
        </w:rPr>
      </w:pPr>
      <w:r>
        <w:rPr>
          <w:rFonts w:hint="eastAsia" w:ascii="宋体"/>
          <w:kern w:val="0"/>
          <w:sz w:val="24"/>
        </w:rPr>
        <w:t>供应商所投产品属于节能产品、信息安全产品、环境标志产品、绿色产品按照格式填写并提供目录截图及货物产品相关的认证证书复印件。</w:t>
      </w:r>
    </w:p>
    <w:p w14:paraId="4EC4FB94">
      <w:pPr>
        <w:spacing w:line="360" w:lineRule="exact"/>
        <w:ind w:firstLine="480" w:firstLineChars="200"/>
        <w:rPr>
          <w:rFonts w:ascii="宋体"/>
          <w:kern w:val="0"/>
          <w:sz w:val="24"/>
        </w:rPr>
      </w:pPr>
      <w:r>
        <w:rPr>
          <w:rFonts w:hint="eastAsia" w:ascii="宋体"/>
          <w:kern w:val="0"/>
          <w:sz w:val="24"/>
        </w:rPr>
        <w:t>特别声明:对于未能按照要求填写及未能提供证明资料或提供资料不完整的视同未提供）</w:t>
      </w:r>
    </w:p>
    <w:p w14:paraId="4CAE3036">
      <w:pPr>
        <w:adjustRightInd w:val="0"/>
        <w:snapToGrid w:val="0"/>
        <w:spacing w:line="300" w:lineRule="auto"/>
        <w:ind w:firstLine="588" w:firstLineChars="245"/>
        <w:rPr>
          <w:rFonts w:ascii="宋体"/>
          <w:kern w:val="0"/>
          <w:sz w:val="24"/>
        </w:rPr>
      </w:pPr>
      <w:r>
        <w:rPr>
          <w:rFonts w:hint="eastAsia" w:ascii="宋体"/>
          <w:kern w:val="0"/>
          <w:sz w:val="24"/>
        </w:rPr>
        <w:t>二、磋商文件</w:t>
      </w:r>
    </w:p>
    <w:p w14:paraId="29A36562">
      <w:pPr>
        <w:adjustRightInd w:val="0"/>
        <w:snapToGrid w:val="0"/>
        <w:spacing w:line="300" w:lineRule="auto"/>
        <w:ind w:firstLine="588" w:firstLineChars="245"/>
        <w:rPr>
          <w:rFonts w:ascii="宋体"/>
          <w:kern w:val="0"/>
          <w:sz w:val="24"/>
        </w:rPr>
      </w:pPr>
      <w:r>
        <w:rPr>
          <w:rFonts w:hint="eastAsia" w:ascii="宋体"/>
          <w:kern w:val="0"/>
          <w:sz w:val="24"/>
        </w:rPr>
        <w:t>（一）磋商文件：由磋商文件总目录所列内容组成。</w:t>
      </w:r>
    </w:p>
    <w:p w14:paraId="1E91F7BC">
      <w:pPr>
        <w:adjustRightInd w:val="0"/>
        <w:snapToGrid w:val="0"/>
        <w:spacing w:line="300" w:lineRule="auto"/>
        <w:ind w:firstLine="480" w:firstLineChars="200"/>
        <w:rPr>
          <w:rFonts w:ascii="宋体"/>
          <w:kern w:val="0"/>
          <w:sz w:val="24"/>
        </w:rPr>
      </w:pPr>
      <w:r>
        <w:rPr>
          <w:rFonts w:hint="eastAsia" w:ascii="宋体"/>
          <w:kern w:val="0"/>
          <w:sz w:val="24"/>
        </w:rPr>
        <w:t>1.2磋商文件采购需求中列明标的物的技术要求是采购人基于实际工作需要而提出的基本需求，如果有专利、商标、品牌、型号等信息的，仅起技术说明、参考作用，不具有任何限制型，</w:t>
      </w:r>
      <w:r>
        <w:rPr>
          <w:rFonts w:hint="eastAsia" w:ascii="宋体" w:hAnsi="宋体"/>
          <w:sz w:val="24"/>
          <w:shd w:val="clear" w:color="auto" w:fill="FFFFFF"/>
        </w:rPr>
        <w:t>参与竞争性磋商</w:t>
      </w:r>
      <w:r>
        <w:rPr>
          <w:rFonts w:hint="eastAsia" w:ascii="宋体"/>
          <w:kern w:val="0"/>
          <w:sz w:val="24"/>
        </w:rPr>
        <w:t>产品响应其指标性能要求即可。</w:t>
      </w:r>
    </w:p>
    <w:p w14:paraId="7321081B">
      <w:pPr>
        <w:adjustRightInd w:val="0"/>
        <w:snapToGrid w:val="0"/>
        <w:spacing w:line="300" w:lineRule="auto"/>
        <w:ind w:firstLine="480" w:firstLineChars="200"/>
        <w:rPr>
          <w:rFonts w:ascii="宋体"/>
          <w:kern w:val="0"/>
          <w:sz w:val="24"/>
        </w:rPr>
      </w:pPr>
      <w:r>
        <w:rPr>
          <w:rFonts w:hint="eastAsia" w:ascii="宋体"/>
          <w:kern w:val="0"/>
          <w:sz w:val="24"/>
        </w:rPr>
        <w:t>1.2所谓进口产品是指:通过中国海关报关验放进入中国境内且产自关外的产品。</w:t>
      </w:r>
    </w:p>
    <w:p w14:paraId="50B16ACD">
      <w:pPr>
        <w:adjustRightInd w:val="0"/>
        <w:snapToGrid w:val="0"/>
        <w:spacing w:line="300" w:lineRule="auto"/>
        <w:ind w:firstLine="480" w:firstLineChars="200"/>
        <w:rPr>
          <w:rFonts w:ascii="宋体"/>
          <w:kern w:val="0"/>
          <w:sz w:val="24"/>
        </w:rPr>
      </w:pPr>
      <w:r>
        <w:rPr>
          <w:rFonts w:hint="eastAsia" w:ascii="宋体"/>
          <w:kern w:val="0"/>
          <w:sz w:val="24"/>
        </w:rPr>
        <w:t>1.3如果没有特别声明或要求，</w:t>
      </w:r>
      <w:r>
        <w:rPr>
          <w:rFonts w:hint="eastAsia" w:ascii="宋体" w:hAnsi="宋体"/>
          <w:sz w:val="24"/>
          <w:shd w:val="clear" w:color="auto" w:fill="FFFFFF"/>
        </w:rPr>
        <w:t>竞争性磋商</w:t>
      </w:r>
      <w:r>
        <w:rPr>
          <w:rFonts w:hint="eastAsia" w:ascii="宋体"/>
          <w:kern w:val="0"/>
          <w:sz w:val="24"/>
        </w:rPr>
        <w:t>供应商被视为充分熟悉本竞争性磋商项目所在地与履行合同有关的各种情况，包括自然环境、气候条件、劳动力及公用设施等，本采购文件不再对上述情况进行描述。</w:t>
      </w:r>
    </w:p>
    <w:p w14:paraId="331FA48C">
      <w:pPr>
        <w:adjustRightInd w:val="0"/>
        <w:snapToGrid w:val="0"/>
        <w:spacing w:line="300" w:lineRule="auto"/>
        <w:ind w:firstLine="480" w:firstLineChars="200"/>
        <w:rPr>
          <w:rFonts w:ascii="宋体"/>
          <w:kern w:val="0"/>
          <w:sz w:val="24"/>
        </w:rPr>
      </w:pPr>
      <w:r>
        <w:rPr>
          <w:rFonts w:hint="eastAsia" w:ascii="宋体"/>
          <w:kern w:val="0"/>
          <w:sz w:val="24"/>
        </w:rPr>
        <w:t>（二）磋商文件的质疑</w:t>
      </w:r>
    </w:p>
    <w:p w14:paraId="64E7A2AF">
      <w:pPr>
        <w:adjustRightInd w:val="0"/>
        <w:snapToGrid w:val="0"/>
        <w:spacing w:line="300" w:lineRule="auto"/>
        <w:ind w:firstLine="480" w:firstLineChars="200"/>
        <w:rPr>
          <w:rFonts w:ascii="宋体"/>
          <w:kern w:val="0"/>
          <w:sz w:val="24"/>
        </w:rPr>
      </w:pPr>
      <w:r>
        <w:rPr>
          <w:rFonts w:ascii="宋体" w:hAnsi="宋体"/>
          <w:sz w:val="24"/>
          <w:shd w:val="clear" w:color="auto" w:fill="FFFFFF"/>
        </w:rPr>
        <w:t>1</w:t>
      </w:r>
      <w:r>
        <w:rPr>
          <w:rFonts w:hint="eastAsia" w:ascii="宋体" w:hAnsi="宋体"/>
          <w:sz w:val="24"/>
          <w:shd w:val="clear" w:color="auto" w:fill="FFFFFF"/>
        </w:rPr>
        <w:t>、</w:t>
      </w:r>
      <w:r>
        <w:rPr>
          <w:rFonts w:hint="eastAsia" w:ascii="宋体" w:hAnsi="宋体"/>
          <w:sz w:val="24"/>
        </w:rPr>
        <w:t>凡参加本次竞争性磋商的</w:t>
      </w:r>
      <w:r>
        <w:rPr>
          <w:rFonts w:hint="eastAsia" w:ascii="宋体"/>
          <w:kern w:val="0"/>
          <w:sz w:val="24"/>
        </w:rPr>
        <w:t>供应商</w:t>
      </w:r>
      <w:r>
        <w:rPr>
          <w:rFonts w:hint="eastAsia" w:ascii="宋体" w:hAnsi="宋体"/>
          <w:sz w:val="24"/>
        </w:rPr>
        <w:t>被视为已充分认识和理解了任何与本项目有关的影响事项和困难、风险等情况。</w:t>
      </w:r>
    </w:p>
    <w:p w14:paraId="2F74ED29">
      <w:pPr>
        <w:adjustRightInd w:val="0"/>
        <w:snapToGrid w:val="0"/>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sz w:val="24"/>
        </w:rPr>
        <w:t>2、</w:t>
      </w:r>
      <w:r>
        <w:rPr>
          <w:rFonts w:hint="eastAsia" w:ascii="宋体" w:hAnsi="宋体"/>
          <w:color w:val="000000" w:themeColor="text1"/>
          <w:sz w:val="24"/>
          <w14:textFill>
            <w14:solidFill>
              <w14:schemeClr w14:val="tx1"/>
            </w14:solidFill>
          </w14:textFill>
        </w:rPr>
        <w:t>潜在供应商如对磋商文件，</w:t>
      </w:r>
      <w:r>
        <w:rPr>
          <w:rFonts w:hint="eastAsia" w:ascii="宋体" w:hAnsi="宋体" w:cs="仿宋"/>
          <w:color w:val="000000" w:themeColor="text1"/>
          <w:sz w:val="24"/>
          <w14:textFill>
            <w14:solidFill>
              <w14:schemeClr w14:val="tx1"/>
            </w14:solidFill>
          </w14:textFill>
        </w:rPr>
        <w:t>磋商过程和成交结果使自己的权益受到损害的，应在知道或应知道其权益受到损害之日起七个工作日内</w:t>
      </w:r>
      <w:r>
        <w:rPr>
          <w:rFonts w:hint="eastAsia" w:ascii="宋体" w:hAnsi="宋体"/>
          <w:color w:val="000000" w:themeColor="text1"/>
          <w:sz w:val="24"/>
          <w14:textFill>
            <w14:solidFill>
              <w14:schemeClr w14:val="tx1"/>
            </w14:solidFill>
          </w14:textFill>
        </w:rPr>
        <w:t>按</w:t>
      </w:r>
      <w:r>
        <w:rPr>
          <w:rFonts w:hint="eastAsia" w:ascii="宋体" w:hAnsi="宋体"/>
          <w:color w:val="000000" w:themeColor="text1"/>
          <w:sz w:val="24"/>
          <w:shd w:val="clear" w:color="auto" w:fill="FFFFFF"/>
          <w14:textFill>
            <w14:solidFill>
              <w14:schemeClr w14:val="tx1"/>
            </w14:solidFill>
          </w14:textFill>
        </w:rPr>
        <w:t>竞争性磋商文件</w:t>
      </w:r>
      <w:r>
        <w:rPr>
          <w:rFonts w:hint="eastAsia" w:ascii="宋体" w:hAnsi="宋体"/>
          <w:color w:val="000000" w:themeColor="text1"/>
          <w:sz w:val="24"/>
          <w14:textFill>
            <w14:solidFill>
              <w14:schemeClr w14:val="tx1"/>
            </w14:solidFill>
          </w14:textFill>
        </w:rPr>
        <w:t>邀请函中载明的地址,以书面形式，通知到采购代理机构，</w:t>
      </w:r>
      <w:r>
        <w:rPr>
          <w:rFonts w:ascii="宋体" w:hAnsi="宋体"/>
          <w:color w:val="000000" w:themeColor="text1"/>
          <w:sz w:val="24"/>
          <w14:textFill>
            <w14:solidFill>
              <w14:schemeClr w14:val="tx1"/>
            </w14:solidFill>
          </w14:textFill>
        </w:rPr>
        <w:t>非书面形式以及匿名的质疑将不予受理。</w:t>
      </w:r>
      <w:r>
        <w:rPr>
          <w:rFonts w:hint="eastAsia" w:ascii="宋体" w:hAnsi="宋体"/>
          <w:color w:val="000000" w:themeColor="text1"/>
          <w:sz w:val="24"/>
          <w14:textFill>
            <w14:solidFill>
              <w14:schemeClr w14:val="tx1"/>
            </w14:solidFill>
          </w14:textFill>
        </w:rPr>
        <w:t>采购代理机构将按财政部第94号令进行答复。</w:t>
      </w:r>
    </w:p>
    <w:p w14:paraId="3B0DD550">
      <w:pPr>
        <w:spacing w:line="36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供应商提出质疑应当提交质疑函和必要的证明材料。质疑函应当包括下列内容：</w:t>
      </w:r>
    </w:p>
    <w:p w14:paraId="368D7019">
      <w:pPr>
        <w:spacing w:line="360" w:lineRule="exact"/>
        <w:ind w:firstLine="480" w:firstLineChars="200"/>
        <w:rPr>
          <w:rFonts w:ascii="宋体" w:hAnsi="宋体"/>
          <w:sz w:val="24"/>
        </w:rPr>
      </w:pPr>
      <w:r>
        <w:rPr>
          <w:rFonts w:hint="eastAsia" w:ascii="宋体" w:hAnsi="宋体"/>
          <w:sz w:val="24"/>
        </w:rPr>
        <w:t>　　3.1供应商的姓名或者名称、地址、邮编、联系人及联系电话；</w:t>
      </w:r>
    </w:p>
    <w:p w14:paraId="052C0602">
      <w:pPr>
        <w:spacing w:line="360" w:lineRule="exact"/>
        <w:ind w:firstLine="480" w:firstLineChars="200"/>
        <w:rPr>
          <w:rFonts w:ascii="宋体" w:hAnsi="宋体"/>
          <w:sz w:val="24"/>
        </w:rPr>
      </w:pPr>
      <w:r>
        <w:rPr>
          <w:rFonts w:hint="eastAsia" w:ascii="宋体" w:hAnsi="宋体"/>
          <w:sz w:val="24"/>
        </w:rPr>
        <w:t>　　3.2质疑项目的名称、编号；</w:t>
      </w:r>
    </w:p>
    <w:p w14:paraId="7056D20C">
      <w:pPr>
        <w:spacing w:line="360" w:lineRule="exact"/>
        <w:ind w:firstLine="480" w:firstLineChars="200"/>
        <w:rPr>
          <w:rFonts w:ascii="宋体" w:hAnsi="宋体"/>
          <w:sz w:val="24"/>
        </w:rPr>
      </w:pPr>
      <w:r>
        <w:rPr>
          <w:rFonts w:hint="eastAsia" w:ascii="宋体" w:hAnsi="宋体"/>
          <w:sz w:val="24"/>
        </w:rPr>
        <w:t>　　3.3具体、明确的质疑事项和与质疑事项相关的请求；</w:t>
      </w:r>
    </w:p>
    <w:p w14:paraId="077229BA">
      <w:pPr>
        <w:spacing w:line="360" w:lineRule="exact"/>
        <w:ind w:firstLine="480" w:firstLineChars="200"/>
        <w:rPr>
          <w:rFonts w:ascii="宋体" w:hAnsi="宋体"/>
          <w:sz w:val="24"/>
        </w:rPr>
      </w:pPr>
      <w:r>
        <w:rPr>
          <w:rFonts w:hint="eastAsia" w:ascii="宋体" w:hAnsi="宋体"/>
          <w:sz w:val="24"/>
        </w:rPr>
        <w:t>　　3.4事实依据；</w:t>
      </w:r>
    </w:p>
    <w:p w14:paraId="25858E4A">
      <w:pPr>
        <w:spacing w:line="36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3.5必要的法律依据；</w:t>
      </w:r>
    </w:p>
    <w:p w14:paraId="3F2C517F">
      <w:pPr>
        <w:spacing w:line="360" w:lineRule="exact"/>
        <w:ind w:firstLine="480" w:firstLineChars="200"/>
        <w:rPr>
          <w:rFonts w:ascii="宋体" w:hAnsi="宋体"/>
          <w:sz w:val="24"/>
        </w:rPr>
      </w:pPr>
      <w:r>
        <w:rPr>
          <w:rFonts w:hint="eastAsia" w:ascii="宋体" w:hAnsi="宋体"/>
          <w:sz w:val="24"/>
        </w:rPr>
        <w:t>　</w:t>
      </w:r>
      <w:r>
        <w:rPr>
          <w:rFonts w:hint="eastAsia" w:ascii="宋体" w:hAnsi="宋体"/>
          <w:sz w:val="24"/>
          <w:lang w:val="en-US" w:eastAsia="zh-CN"/>
        </w:rPr>
        <w:t xml:space="preserve"> </w:t>
      </w:r>
      <w:r>
        <w:rPr>
          <w:rFonts w:hint="eastAsia" w:ascii="宋体" w:hAnsi="宋体"/>
          <w:sz w:val="24"/>
        </w:rPr>
        <w:t xml:space="preserve"> 3.6提出质疑的日期。</w:t>
      </w:r>
    </w:p>
    <w:p w14:paraId="18E0ED89">
      <w:pPr>
        <w:spacing w:line="360" w:lineRule="exact"/>
        <w:ind w:firstLine="480" w:firstLineChars="200"/>
        <w:rPr>
          <w:rFonts w:ascii="宋体" w:hAnsi="宋体"/>
          <w:sz w:val="24"/>
        </w:rPr>
      </w:pPr>
      <w:r>
        <w:rPr>
          <w:rFonts w:hint="eastAsia" w:ascii="宋体" w:hAnsi="宋体"/>
          <w:sz w:val="24"/>
        </w:rPr>
        <w:t>　　供应商为自然人的，应当由本人签字；供应商为法人或者其他组织的，应当由法定代表人、主要负责人，或者其授权代表签字或者盖章，并加盖公章。</w:t>
      </w:r>
    </w:p>
    <w:p w14:paraId="778BE192">
      <w:pPr>
        <w:spacing w:line="360" w:lineRule="exact"/>
        <w:ind w:firstLine="480" w:firstLineChars="200"/>
        <w:rPr>
          <w:rFonts w:ascii="宋体" w:hAnsi="宋体"/>
          <w:sz w:val="24"/>
        </w:rPr>
      </w:pPr>
      <w:r>
        <w:rPr>
          <w:rFonts w:hint="eastAsia" w:ascii="宋体" w:hAnsi="宋体"/>
          <w:sz w:val="24"/>
        </w:rPr>
        <w:t>4、</w:t>
      </w:r>
      <w:r>
        <w:rPr>
          <w:rFonts w:ascii="宋体" w:hAnsi="宋体"/>
          <w:sz w:val="24"/>
        </w:rPr>
        <w:t>供应商</w:t>
      </w:r>
      <w:r>
        <w:rPr>
          <w:rFonts w:hint="eastAsia" w:ascii="宋体" w:hAnsi="宋体"/>
          <w:sz w:val="24"/>
        </w:rPr>
        <w:t>应</w:t>
      </w:r>
      <w:r>
        <w:rPr>
          <w:rFonts w:ascii="宋体" w:hAnsi="宋体"/>
          <w:sz w:val="24"/>
        </w:rPr>
        <w:t>在法定质疑期内一次性提出针对同一采购程序环节的质疑。</w:t>
      </w:r>
    </w:p>
    <w:p w14:paraId="749E040E">
      <w:pPr>
        <w:adjustRightInd w:val="0"/>
        <w:snapToGrid w:val="0"/>
        <w:spacing w:line="300" w:lineRule="auto"/>
        <w:ind w:firstLine="480" w:firstLineChars="200"/>
        <w:rPr>
          <w:rFonts w:ascii="宋体" w:hAnsi="宋体"/>
          <w:sz w:val="24"/>
        </w:rPr>
      </w:pPr>
      <w:r>
        <w:rPr>
          <w:rFonts w:hint="eastAsia" w:ascii="宋体" w:hAnsi="宋体"/>
          <w:sz w:val="24"/>
        </w:rPr>
        <w:t>5、</w:t>
      </w:r>
      <w:r>
        <w:rPr>
          <w:rFonts w:ascii="宋体" w:hAnsi="宋体"/>
          <w:sz w:val="24"/>
        </w:rPr>
        <w:t>质疑内容不得含有虚假、恶意成份。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50EB75A3">
      <w:pPr>
        <w:adjustRightInd w:val="0"/>
        <w:snapToGrid w:val="0"/>
        <w:spacing w:line="300" w:lineRule="auto"/>
        <w:ind w:firstLine="480" w:firstLineChars="200"/>
        <w:rPr>
          <w:rFonts w:ascii="宋体"/>
          <w:kern w:val="0"/>
          <w:sz w:val="24"/>
        </w:rPr>
      </w:pPr>
      <w:r>
        <w:rPr>
          <w:rFonts w:hint="eastAsia" w:ascii="宋体"/>
          <w:kern w:val="0"/>
          <w:sz w:val="24"/>
        </w:rPr>
        <w:t>（三）磋商文件的</w:t>
      </w:r>
      <w:r>
        <w:rPr>
          <w:rFonts w:ascii="宋体"/>
          <w:kern w:val="0"/>
          <w:sz w:val="24"/>
        </w:rPr>
        <w:t>澄清或者修改</w:t>
      </w:r>
    </w:p>
    <w:p w14:paraId="27E956B4">
      <w:pPr>
        <w:adjustRightInd w:val="0"/>
        <w:snapToGrid w:val="0"/>
        <w:spacing w:line="300" w:lineRule="auto"/>
        <w:ind w:firstLine="480" w:firstLineChars="200"/>
        <w:rPr>
          <w:rFonts w:ascii="宋体"/>
          <w:kern w:val="0"/>
          <w:sz w:val="24"/>
        </w:rPr>
      </w:pPr>
      <w:r>
        <w:rPr>
          <w:rFonts w:hint="eastAsia" w:ascii="宋体" w:hAnsi="宋体"/>
          <w:kern w:val="0"/>
          <w:sz w:val="24"/>
        </w:rPr>
        <w:t>1、</w:t>
      </w:r>
      <w:r>
        <w:rPr>
          <w:rFonts w:ascii="宋体"/>
          <w:kern w:val="0"/>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72E8E5A6">
      <w:pPr>
        <w:adjustRightInd w:val="0"/>
        <w:snapToGrid w:val="0"/>
        <w:spacing w:line="300" w:lineRule="auto"/>
        <w:ind w:firstLine="480" w:firstLineChars="200"/>
        <w:rPr>
          <w:rFonts w:ascii="宋体"/>
          <w:kern w:val="0"/>
          <w:sz w:val="24"/>
        </w:rPr>
      </w:pPr>
      <w:r>
        <w:rPr>
          <w:rFonts w:hint="eastAsia" w:ascii="宋体"/>
          <w:kern w:val="0"/>
          <w:sz w:val="24"/>
        </w:rPr>
        <w:t>2、磋商文件的修改书将构成磋商文件的一部分，对</w:t>
      </w:r>
      <w:r>
        <w:rPr>
          <w:rFonts w:hint="eastAsia" w:ascii="宋体" w:hAnsi="宋体"/>
          <w:sz w:val="24"/>
          <w:shd w:val="clear" w:color="auto" w:fill="FFFFFF"/>
        </w:rPr>
        <w:t>竞争性磋商</w:t>
      </w:r>
      <w:r>
        <w:rPr>
          <w:rFonts w:hint="eastAsia" w:ascii="宋体"/>
          <w:kern w:val="0"/>
          <w:sz w:val="24"/>
        </w:rPr>
        <w:t>供应商有约束力。</w:t>
      </w:r>
    </w:p>
    <w:p w14:paraId="43FD64D1">
      <w:pPr>
        <w:adjustRightInd w:val="0"/>
        <w:snapToGrid w:val="0"/>
        <w:spacing w:line="300" w:lineRule="auto"/>
        <w:ind w:firstLine="482" w:firstLineChars="200"/>
        <w:rPr>
          <w:rFonts w:ascii="宋体"/>
          <w:b/>
          <w:kern w:val="0"/>
          <w:sz w:val="24"/>
        </w:rPr>
      </w:pPr>
      <w:r>
        <w:rPr>
          <w:rFonts w:hint="eastAsia" w:ascii="宋体"/>
          <w:b/>
          <w:kern w:val="0"/>
          <w:sz w:val="24"/>
        </w:rPr>
        <w:t>三、响应文件</w:t>
      </w:r>
    </w:p>
    <w:p w14:paraId="6B32CF1B">
      <w:pPr>
        <w:adjustRightInd w:val="0"/>
        <w:snapToGrid w:val="0"/>
        <w:spacing w:line="300" w:lineRule="auto"/>
        <w:ind w:firstLine="480" w:firstLineChars="200"/>
        <w:rPr>
          <w:rFonts w:ascii="宋体"/>
          <w:kern w:val="0"/>
          <w:sz w:val="24"/>
        </w:rPr>
      </w:pPr>
      <w:r>
        <w:rPr>
          <w:rFonts w:hint="eastAsia" w:ascii="宋体"/>
          <w:kern w:val="0"/>
          <w:sz w:val="24"/>
        </w:rPr>
        <w:t>（一）</w:t>
      </w:r>
      <w:r>
        <w:rPr>
          <w:rFonts w:hint="eastAsia" w:ascii="宋体" w:hAnsi="宋体"/>
          <w:sz w:val="24"/>
          <w:shd w:val="clear" w:color="auto" w:fill="FFFFFF"/>
        </w:rPr>
        <w:t>响应文件</w:t>
      </w:r>
      <w:r>
        <w:rPr>
          <w:rFonts w:hint="eastAsia" w:ascii="宋体"/>
          <w:kern w:val="0"/>
          <w:sz w:val="24"/>
        </w:rPr>
        <w:t>的要求</w:t>
      </w:r>
    </w:p>
    <w:p w14:paraId="239ABEA5">
      <w:pPr>
        <w:adjustRightInd w:val="0"/>
        <w:snapToGrid w:val="0"/>
        <w:spacing w:line="300" w:lineRule="auto"/>
        <w:ind w:firstLine="480" w:firstLineChars="200"/>
        <w:rPr>
          <w:rFonts w:ascii="宋体"/>
          <w:kern w:val="0"/>
          <w:sz w:val="24"/>
        </w:rPr>
      </w:pPr>
      <w:r>
        <w:rPr>
          <w:rFonts w:ascii="宋体"/>
          <w:kern w:val="0"/>
          <w:sz w:val="24"/>
        </w:rPr>
        <w:t>1</w:t>
      </w:r>
      <w:r>
        <w:rPr>
          <w:rFonts w:hint="eastAsia" w:ascii="宋体"/>
          <w:kern w:val="0"/>
          <w:sz w:val="24"/>
        </w:rPr>
        <w:t>、</w:t>
      </w:r>
      <w:r>
        <w:rPr>
          <w:rFonts w:hint="eastAsia" w:ascii="宋体" w:hAnsi="宋体"/>
          <w:sz w:val="24"/>
          <w:shd w:val="clear" w:color="auto" w:fill="FFFFFF"/>
        </w:rPr>
        <w:t>竞争性磋商</w:t>
      </w:r>
      <w:r>
        <w:rPr>
          <w:rFonts w:hint="eastAsia" w:ascii="宋体"/>
          <w:kern w:val="0"/>
          <w:sz w:val="24"/>
        </w:rPr>
        <w:t>供应商应仔细阅读磋商文件的所有内容，按磋商文件的要求及采购设备技术规格要求，详细编制响应文件，并保证响应文件的正确性和真实性。</w:t>
      </w:r>
    </w:p>
    <w:p w14:paraId="2C05A031">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、不按磋商文件的资格要求提供的</w:t>
      </w:r>
      <w:r>
        <w:rPr>
          <w:rFonts w:hint="eastAsia" w:ascii="宋体" w:hAnsi="宋体"/>
          <w:sz w:val="24"/>
          <w:shd w:val="clear" w:color="auto" w:fill="FFFFFF"/>
        </w:rPr>
        <w:t>响应</w:t>
      </w:r>
      <w:r>
        <w:rPr>
          <w:rFonts w:hint="eastAsia" w:ascii="宋体"/>
          <w:kern w:val="0"/>
          <w:sz w:val="24"/>
        </w:rPr>
        <w:t>文件将被拒绝。</w:t>
      </w:r>
    </w:p>
    <w:p w14:paraId="45C908DD">
      <w:pPr>
        <w:adjustRightInd w:val="0"/>
        <w:snapToGrid w:val="0"/>
        <w:spacing w:line="300" w:lineRule="auto"/>
        <w:ind w:firstLine="480" w:firstLineChars="200"/>
        <w:rPr>
          <w:rFonts w:ascii="宋体"/>
          <w:kern w:val="0"/>
          <w:sz w:val="24"/>
        </w:rPr>
      </w:pPr>
      <w:r>
        <w:rPr>
          <w:rFonts w:hint="eastAsia" w:ascii="宋体"/>
          <w:kern w:val="0"/>
          <w:sz w:val="24"/>
        </w:rPr>
        <w:t>（二）</w:t>
      </w:r>
      <w:r>
        <w:rPr>
          <w:rFonts w:hint="eastAsia" w:ascii="宋体" w:hAnsi="宋体"/>
          <w:sz w:val="24"/>
          <w:shd w:val="clear" w:color="auto" w:fill="FFFFFF"/>
        </w:rPr>
        <w:t>响应文件</w:t>
      </w:r>
      <w:r>
        <w:rPr>
          <w:rFonts w:hint="eastAsia" w:ascii="宋体"/>
          <w:kern w:val="0"/>
          <w:sz w:val="24"/>
        </w:rPr>
        <w:t>的组成</w:t>
      </w:r>
    </w:p>
    <w:p w14:paraId="20D31290">
      <w:pPr>
        <w:adjustRightInd w:val="0"/>
        <w:snapToGrid w:val="0"/>
        <w:spacing w:line="300" w:lineRule="auto"/>
        <w:ind w:firstLine="480" w:firstLineChars="200"/>
        <w:rPr>
          <w:rFonts w:ascii="宋体"/>
          <w:kern w:val="0"/>
          <w:sz w:val="24"/>
        </w:rPr>
      </w:pPr>
      <w:r>
        <w:rPr>
          <w:rFonts w:hint="eastAsia" w:ascii="宋体" w:hAnsi="宋体"/>
          <w:sz w:val="24"/>
          <w:shd w:val="clear" w:color="auto" w:fill="FFFFFF"/>
        </w:rPr>
        <w:t>竞争性磋商</w:t>
      </w:r>
      <w:r>
        <w:rPr>
          <w:rFonts w:hint="eastAsia" w:ascii="宋体"/>
          <w:kern w:val="0"/>
          <w:sz w:val="24"/>
        </w:rPr>
        <w:t>供应商接到磋商文件后，按照采购人和响应文件的要求提供</w:t>
      </w:r>
      <w:r>
        <w:rPr>
          <w:rFonts w:hint="eastAsia" w:ascii="宋体" w:hAnsi="宋体"/>
          <w:sz w:val="24"/>
          <w:shd w:val="clear" w:color="auto" w:fill="FFFFFF"/>
        </w:rPr>
        <w:t>竞争性磋商</w:t>
      </w:r>
      <w:r>
        <w:rPr>
          <w:rFonts w:hint="eastAsia" w:ascii="宋体"/>
          <w:kern w:val="0"/>
          <w:sz w:val="24"/>
        </w:rPr>
        <w:t>响应文件，</w:t>
      </w:r>
    </w:p>
    <w:p w14:paraId="7B58575C">
      <w:pPr>
        <w:adjustRightInd w:val="0"/>
        <w:snapToGrid w:val="0"/>
        <w:spacing w:line="300" w:lineRule="auto"/>
        <w:ind w:firstLine="480" w:firstLineChars="200"/>
        <w:rPr>
          <w:rFonts w:ascii="宋体"/>
          <w:kern w:val="0"/>
          <w:sz w:val="24"/>
        </w:rPr>
      </w:pPr>
      <w:r>
        <w:rPr>
          <w:rFonts w:ascii="宋体"/>
          <w:kern w:val="0"/>
          <w:sz w:val="24"/>
        </w:rPr>
        <w:t>1</w:t>
      </w:r>
      <w:r>
        <w:rPr>
          <w:rFonts w:hint="eastAsia" w:ascii="宋体"/>
          <w:kern w:val="0"/>
          <w:sz w:val="24"/>
        </w:rPr>
        <w:t>、商务标书</w:t>
      </w:r>
    </w:p>
    <w:p w14:paraId="4588E107">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1</w:t>
      </w:r>
      <w:r>
        <w:rPr>
          <w:rFonts w:hint="eastAsia" w:ascii="宋体"/>
          <w:kern w:val="0"/>
          <w:sz w:val="24"/>
        </w:rPr>
        <w:t>）相关资料</w:t>
      </w:r>
    </w:p>
    <w:p w14:paraId="2B4E41F6">
      <w:pPr>
        <w:adjustRightInd w:val="0"/>
        <w:snapToGrid w:val="0"/>
        <w:spacing w:line="300" w:lineRule="auto"/>
        <w:ind w:firstLine="480" w:firstLineChars="200"/>
        <w:rPr>
          <w:rFonts w:ascii="宋体"/>
          <w:kern w:val="0"/>
          <w:sz w:val="24"/>
        </w:rPr>
      </w:pPr>
      <w:r>
        <w:rPr>
          <w:rFonts w:ascii="宋体"/>
          <w:kern w:val="0"/>
          <w:sz w:val="24"/>
        </w:rPr>
        <w:t>A</w:t>
      </w:r>
      <w:r>
        <w:rPr>
          <w:rFonts w:hint="eastAsia" w:ascii="宋体"/>
          <w:kern w:val="0"/>
          <w:sz w:val="24"/>
        </w:rPr>
        <w:t>、营业执照；</w:t>
      </w:r>
    </w:p>
    <w:p w14:paraId="24EE081D">
      <w:pPr>
        <w:adjustRightInd w:val="0"/>
        <w:snapToGrid w:val="0"/>
        <w:spacing w:line="300" w:lineRule="auto"/>
        <w:ind w:firstLine="480" w:firstLineChars="200"/>
        <w:rPr>
          <w:rFonts w:ascii="宋体"/>
          <w:kern w:val="0"/>
          <w:sz w:val="24"/>
        </w:rPr>
      </w:pPr>
      <w:r>
        <w:rPr>
          <w:rFonts w:ascii="宋体"/>
          <w:kern w:val="0"/>
          <w:sz w:val="24"/>
        </w:rPr>
        <w:t>B</w:t>
      </w:r>
      <w:r>
        <w:rPr>
          <w:rFonts w:hint="eastAsia" w:ascii="宋体"/>
          <w:kern w:val="0"/>
          <w:sz w:val="24"/>
        </w:rPr>
        <w:t>、磋商文件要求提供的证书；</w:t>
      </w:r>
    </w:p>
    <w:p w14:paraId="24A86B5A">
      <w:pPr>
        <w:adjustRightInd w:val="0"/>
        <w:snapToGrid w:val="0"/>
        <w:spacing w:line="300" w:lineRule="auto"/>
        <w:ind w:firstLine="480" w:firstLineChars="200"/>
        <w:rPr>
          <w:rFonts w:ascii="宋体"/>
          <w:kern w:val="0"/>
          <w:sz w:val="24"/>
        </w:rPr>
      </w:pPr>
      <w:r>
        <w:rPr>
          <w:rFonts w:hint="eastAsia" w:ascii="宋体"/>
          <w:kern w:val="0"/>
          <w:sz w:val="24"/>
        </w:rPr>
        <w:t>C、磋商文件要求提供的产品代理资格证明或制造商授权证书（按要求提供）；</w:t>
      </w:r>
    </w:p>
    <w:p w14:paraId="78DFA82A">
      <w:pPr>
        <w:adjustRightInd w:val="0"/>
        <w:snapToGrid w:val="0"/>
        <w:spacing w:line="300" w:lineRule="auto"/>
        <w:ind w:firstLine="480" w:firstLineChars="200"/>
        <w:rPr>
          <w:rFonts w:ascii="宋体"/>
          <w:kern w:val="0"/>
          <w:sz w:val="24"/>
        </w:rPr>
      </w:pPr>
      <w:r>
        <w:rPr>
          <w:rFonts w:hint="eastAsia" w:ascii="宋体"/>
          <w:kern w:val="0"/>
          <w:sz w:val="24"/>
        </w:rPr>
        <w:t>D、法定代表人授权；</w:t>
      </w:r>
    </w:p>
    <w:p w14:paraId="4D95B430">
      <w:pPr>
        <w:adjustRightInd w:val="0"/>
        <w:snapToGrid w:val="0"/>
        <w:spacing w:line="300" w:lineRule="auto"/>
        <w:ind w:firstLine="480" w:firstLineChars="200"/>
        <w:rPr>
          <w:rFonts w:ascii="宋体"/>
          <w:kern w:val="0"/>
          <w:sz w:val="24"/>
        </w:rPr>
      </w:pPr>
      <w:r>
        <w:rPr>
          <w:rFonts w:hint="eastAsia" w:ascii="宋体"/>
          <w:kern w:val="0"/>
          <w:sz w:val="24"/>
        </w:rPr>
        <w:t>E、</w:t>
      </w:r>
      <w:r>
        <w:rPr>
          <w:rFonts w:hint="eastAsia" w:ascii="宋体" w:hAnsi="宋体"/>
          <w:sz w:val="24"/>
        </w:rPr>
        <w:t>竞争性磋商项目服务要求。</w:t>
      </w:r>
    </w:p>
    <w:p w14:paraId="5890CC72">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2</w:t>
      </w:r>
      <w:r>
        <w:rPr>
          <w:rFonts w:hint="eastAsia" w:ascii="宋体"/>
          <w:kern w:val="0"/>
          <w:sz w:val="24"/>
        </w:rPr>
        <w:t>）报价一览表</w:t>
      </w:r>
      <w:r>
        <w:rPr>
          <w:rFonts w:hint="eastAsia" w:ascii="宋体" w:hAnsi="宋体"/>
          <w:sz w:val="24"/>
          <w:shd w:val="clear" w:color="auto" w:fill="FFFFFF"/>
        </w:rPr>
        <w:t>竞争性磋商</w:t>
      </w:r>
      <w:r>
        <w:rPr>
          <w:rFonts w:hint="eastAsia" w:ascii="宋体"/>
          <w:kern w:val="0"/>
          <w:sz w:val="24"/>
        </w:rPr>
        <w:t>供应商应按磋商文件附件中要求填写报价单，</w:t>
      </w:r>
      <w:r>
        <w:rPr>
          <w:rFonts w:hint="eastAsia" w:ascii="宋体" w:hAnsi="宋体"/>
          <w:sz w:val="24"/>
          <w:shd w:val="clear" w:color="auto" w:fill="FFFFFF"/>
        </w:rPr>
        <w:t>竞争性磋商</w:t>
      </w:r>
      <w:r>
        <w:rPr>
          <w:rFonts w:hint="eastAsia" w:ascii="宋体"/>
          <w:kern w:val="0"/>
          <w:sz w:val="24"/>
        </w:rPr>
        <w:t>供应商报价应按不同费用类别分开填写。</w:t>
      </w:r>
    </w:p>
    <w:p w14:paraId="66202E9C">
      <w:pPr>
        <w:adjustRightInd w:val="0"/>
        <w:snapToGrid w:val="0"/>
        <w:spacing w:line="300" w:lineRule="auto"/>
        <w:ind w:firstLine="480" w:firstLineChars="200"/>
        <w:rPr>
          <w:rFonts w:ascii="宋体"/>
          <w:kern w:val="0"/>
          <w:sz w:val="24"/>
        </w:rPr>
      </w:pPr>
      <w:r>
        <w:rPr>
          <w:rFonts w:hint="eastAsia" w:ascii="宋体"/>
          <w:kern w:val="0"/>
          <w:sz w:val="24"/>
        </w:rPr>
        <w:t>优惠条件：供应商承诺给予买方的各种优惠条件，包括设备价格、运输、保险、安装调试、付款条件、技术服务、售后服务、质量保证等方面的优惠可在附件写明，如无则写无（当优惠条件涉及“报价表”中的各项费用时，必须与报价表相统一）。</w:t>
      </w:r>
    </w:p>
    <w:p w14:paraId="7C46595B">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、技术标书</w:t>
      </w:r>
    </w:p>
    <w:p w14:paraId="62A7CD2A">
      <w:pPr>
        <w:adjustRightInd w:val="0"/>
        <w:snapToGrid w:val="0"/>
        <w:spacing w:line="300" w:lineRule="auto"/>
        <w:ind w:firstLine="480" w:firstLineChars="200"/>
        <w:rPr>
          <w:rFonts w:ascii="宋体"/>
          <w:kern w:val="0"/>
          <w:sz w:val="24"/>
        </w:rPr>
      </w:pPr>
      <w:r>
        <w:rPr>
          <w:rFonts w:hint="eastAsia" w:ascii="宋体"/>
          <w:kern w:val="0"/>
          <w:sz w:val="24"/>
        </w:rPr>
        <w:t>（1）供应商推荐的供选择的选配；但所提出的意见应优于磋商文件中提出的相应要求；</w:t>
      </w:r>
    </w:p>
    <w:p w14:paraId="666531AF">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2</w:t>
      </w:r>
      <w:r>
        <w:rPr>
          <w:rFonts w:hint="eastAsia" w:ascii="宋体"/>
          <w:kern w:val="0"/>
          <w:sz w:val="24"/>
        </w:rPr>
        <w:t>）本项目的技术服务和售后服务的内容和措施及承诺（保修期限、保修期限内的服务响应时间和服务内容；保修期满后的服务响应时间，能否提供及时可靠的维修服务）；</w:t>
      </w:r>
    </w:p>
    <w:p w14:paraId="6306AF67">
      <w:pPr>
        <w:adjustRightInd w:val="0"/>
        <w:snapToGrid w:val="0"/>
        <w:spacing w:line="300" w:lineRule="auto"/>
        <w:ind w:firstLine="480" w:firstLineChars="200"/>
        <w:rPr>
          <w:rFonts w:ascii="宋体"/>
          <w:kern w:val="0"/>
          <w:sz w:val="24"/>
        </w:rPr>
      </w:pPr>
      <w:r>
        <w:rPr>
          <w:rFonts w:hint="eastAsia" w:ascii="宋体"/>
          <w:kern w:val="0"/>
          <w:sz w:val="24"/>
        </w:rPr>
        <w:t>（3）其他（</w:t>
      </w:r>
      <w:r>
        <w:rPr>
          <w:rFonts w:hint="eastAsia" w:ascii="宋体" w:hAnsi="宋体"/>
          <w:sz w:val="24"/>
          <w:shd w:val="clear" w:color="auto" w:fill="FFFFFF"/>
        </w:rPr>
        <w:t>竞争性磋商</w:t>
      </w:r>
      <w:r>
        <w:rPr>
          <w:rFonts w:hint="eastAsia" w:ascii="宋体"/>
          <w:kern w:val="0"/>
          <w:sz w:val="24"/>
        </w:rPr>
        <w:t>供应商单位应说明的事项）。</w:t>
      </w:r>
    </w:p>
    <w:p w14:paraId="285C8588">
      <w:pPr>
        <w:adjustRightInd w:val="0"/>
        <w:snapToGrid w:val="0"/>
        <w:spacing w:line="300" w:lineRule="auto"/>
        <w:ind w:firstLine="480" w:firstLineChars="200"/>
        <w:rPr>
          <w:rFonts w:hint="eastAsia" w:ascii="宋体" w:eastAsia="宋体"/>
          <w:color w:val="FF0000"/>
          <w:kern w:val="0"/>
          <w:sz w:val="24"/>
          <w:lang w:eastAsia="zh-CN"/>
        </w:rPr>
      </w:pPr>
      <w:r>
        <w:rPr>
          <w:rFonts w:hint="eastAsia" w:ascii="宋体"/>
          <w:kern w:val="0"/>
          <w:sz w:val="24"/>
        </w:rPr>
        <w:t>（三）</w:t>
      </w:r>
      <w:r>
        <w:rPr>
          <w:rFonts w:hint="eastAsia" w:ascii="宋体" w:hAnsi="宋体"/>
          <w:color w:val="000000" w:themeColor="text1"/>
          <w:sz w:val="24"/>
          <w:shd w:val="clear" w:color="auto" w:fill="FFFFFF"/>
          <w14:textFill>
            <w14:solidFill>
              <w14:schemeClr w14:val="tx1"/>
            </w14:solidFill>
          </w14:textFill>
        </w:rPr>
        <w:t>竞争性磋商</w:t>
      </w:r>
      <w:r>
        <w:rPr>
          <w:rFonts w:hint="eastAsia" w:ascii="宋体"/>
          <w:color w:val="000000" w:themeColor="text1"/>
          <w:kern w:val="0"/>
          <w:sz w:val="24"/>
          <w14:textFill>
            <w14:solidFill>
              <w14:schemeClr w14:val="tx1"/>
            </w14:solidFill>
          </w14:textFill>
        </w:rPr>
        <w:t>成交服务费</w:t>
      </w:r>
      <w:r>
        <w:rPr>
          <w:rFonts w:hint="eastAsia" w:ascii="宋体"/>
          <w:color w:val="000000" w:themeColor="text1"/>
          <w:kern w:val="0"/>
          <w:sz w:val="24"/>
          <w:lang w:eastAsia="zh-CN"/>
          <w14:textFill>
            <w14:solidFill>
              <w14:schemeClr w14:val="tx1"/>
            </w14:solidFill>
          </w14:textFill>
        </w:rPr>
        <w:t>（</w:t>
      </w:r>
      <w:r>
        <w:rPr>
          <w:rFonts w:hint="eastAsia" w:ascii="宋体"/>
          <w:color w:val="000000" w:themeColor="text1"/>
          <w:kern w:val="0"/>
          <w:sz w:val="24"/>
          <w:lang w:val="en-US" w:eastAsia="zh-CN"/>
          <w14:textFill>
            <w14:solidFill>
              <w14:schemeClr w14:val="tx1"/>
            </w14:solidFill>
          </w14:textFill>
        </w:rPr>
        <w:t>本项目不收取</w:t>
      </w:r>
      <w:r>
        <w:rPr>
          <w:rFonts w:hint="eastAsia" w:ascii="宋体" w:hAnsi="宋体"/>
          <w:color w:val="000000" w:themeColor="text1"/>
          <w:sz w:val="24"/>
          <w:shd w:val="clear" w:color="auto" w:fill="FFFFFF"/>
          <w14:textFill>
            <w14:solidFill>
              <w14:schemeClr w14:val="tx1"/>
            </w14:solidFill>
          </w14:textFill>
        </w:rPr>
        <w:t>竞争性磋商</w:t>
      </w:r>
      <w:r>
        <w:rPr>
          <w:rFonts w:hint="eastAsia" w:ascii="宋体"/>
          <w:color w:val="000000" w:themeColor="text1"/>
          <w:kern w:val="0"/>
          <w:sz w:val="24"/>
          <w14:textFill>
            <w14:solidFill>
              <w14:schemeClr w14:val="tx1"/>
            </w14:solidFill>
          </w14:textFill>
        </w:rPr>
        <w:t>保证金</w:t>
      </w:r>
      <w:r>
        <w:rPr>
          <w:rFonts w:hint="eastAsia" w:ascii="宋体"/>
          <w:color w:val="000000" w:themeColor="text1"/>
          <w:kern w:val="0"/>
          <w:sz w:val="24"/>
          <w:lang w:eastAsia="zh-CN"/>
          <w14:textFill>
            <w14:solidFill>
              <w14:schemeClr w14:val="tx1"/>
            </w14:solidFill>
          </w14:textFill>
        </w:rPr>
        <w:t>）</w:t>
      </w:r>
    </w:p>
    <w:p w14:paraId="75A71D8D">
      <w:pPr>
        <w:adjustRightInd w:val="0"/>
        <w:snapToGrid w:val="0"/>
        <w:spacing w:line="300" w:lineRule="auto"/>
        <w:ind w:firstLine="482" w:firstLineChars="200"/>
        <w:rPr>
          <w:rFonts w:ascii="宋体"/>
          <w:kern w:val="0"/>
          <w:sz w:val="24"/>
        </w:rPr>
      </w:pPr>
      <w:r>
        <w:rPr>
          <w:rFonts w:hint="eastAsia" w:ascii="宋体"/>
          <w:b/>
          <w:bCs/>
          <w:color w:val="000000"/>
          <w:kern w:val="0"/>
          <w:sz w:val="24"/>
          <w:lang w:eastAsia="zh-CN"/>
        </w:rPr>
        <w:t>成交方</w:t>
      </w:r>
      <w:r>
        <w:rPr>
          <w:rFonts w:hint="eastAsia" w:ascii="宋体"/>
          <w:b/>
          <w:bCs/>
          <w:color w:val="000000"/>
          <w:kern w:val="0"/>
          <w:sz w:val="24"/>
        </w:rPr>
        <w:t>应向海南省教学仪器设备招标中心支付</w:t>
      </w:r>
      <w:r>
        <w:rPr>
          <w:rFonts w:hint="eastAsia" w:ascii="宋体"/>
          <w:b/>
          <w:bCs/>
          <w:color w:val="000000"/>
          <w:kern w:val="0"/>
          <w:sz w:val="24"/>
          <w:lang w:eastAsia="zh-CN"/>
        </w:rPr>
        <w:t>成交</w:t>
      </w:r>
      <w:r>
        <w:rPr>
          <w:rFonts w:hint="eastAsia" w:ascii="宋体"/>
          <w:b/>
          <w:bCs/>
          <w:color w:val="000000"/>
          <w:kern w:val="0"/>
          <w:sz w:val="24"/>
        </w:rPr>
        <w:t>服务费</w:t>
      </w:r>
      <w:r>
        <w:rPr>
          <w:rFonts w:hint="eastAsia" w:ascii="宋体"/>
          <w:b/>
          <w:bCs/>
          <w:color w:val="000000"/>
          <w:kern w:val="0"/>
          <w:sz w:val="24"/>
          <w:lang w:eastAsia="zh-CN"/>
        </w:rPr>
        <w:t>，成交服务费参照“计价格【2002】1980 号”规定收取</w:t>
      </w:r>
      <w:r>
        <w:rPr>
          <w:rFonts w:hint="eastAsia" w:ascii="宋体" w:hAnsi="宋体"/>
          <w:b/>
          <w:sz w:val="24"/>
          <w:shd w:val="clear" w:color="auto" w:fill="FFFFFF"/>
        </w:rPr>
        <w:t>。</w:t>
      </w:r>
    </w:p>
    <w:p w14:paraId="0EF151E8">
      <w:pPr>
        <w:adjustRightInd w:val="0"/>
        <w:snapToGrid w:val="0"/>
        <w:spacing w:line="300" w:lineRule="auto"/>
        <w:ind w:firstLine="480" w:firstLineChars="200"/>
        <w:rPr>
          <w:rFonts w:ascii="宋体"/>
          <w:kern w:val="0"/>
          <w:sz w:val="24"/>
        </w:rPr>
      </w:pPr>
      <w:r>
        <w:rPr>
          <w:rFonts w:hint="eastAsia" w:ascii="宋体"/>
          <w:kern w:val="0"/>
          <w:sz w:val="24"/>
        </w:rPr>
        <w:t>（四）</w:t>
      </w:r>
      <w:r>
        <w:rPr>
          <w:rFonts w:hint="eastAsia" w:ascii="宋体" w:hAnsi="宋体"/>
          <w:sz w:val="24"/>
          <w:shd w:val="clear" w:color="auto" w:fill="FFFFFF"/>
        </w:rPr>
        <w:t>响应文件</w:t>
      </w:r>
      <w:r>
        <w:rPr>
          <w:rFonts w:hint="eastAsia" w:ascii="宋体"/>
          <w:kern w:val="0"/>
          <w:sz w:val="24"/>
        </w:rPr>
        <w:t>的有效期</w:t>
      </w:r>
    </w:p>
    <w:p w14:paraId="1C6956F8">
      <w:pPr>
        <w:adjustRightInd w:val="0"/>
        <w:snapToGrid w:val="0"/>
        <w:spacing w:line="300" w:lineRule="auto"/>
        <w:ind w:firstLine="480" w:firstLineChars="200"/>
        <w:rPr>
          <w:rFonts w:ascii="宋体"/>
          <w:kern w:val="0"/>
          <w:sz w:val="24"/>
        </w:rPr>
      </w:pPr>
      <w:r>
        <w:rPr>
          <w:rFonts w:ascii="宋体"/>
          <w:kern w:val="0"/>
          <w:sz w:val="24"/>
        </w:rPr>
        <w:t xml:space="preserve"> 1</w:t>
      </w:r>
      <w:r>
        <w:rPr>
          <w:rFonts w:hint="eastAsia" w:ascii="宋体"/>
          <w:kern w:val="0"/>
          <w:sz w:val="24"/>
        </w:rPr>
        <w:t>、自磋商之日起90天内，</w:t>
      </w:r>
      <w:r>
        <w:rPr>
          <w:rFonts w:hint="eastAsia" w:ascii="宋体" w:hAnsi="宋体"/>
          <w:sz w:val="24"/>
          <w:shd w:val="clear" w:color="auto" w:fill="FFFFFF"/>
        </w:rPr>
        <w:t>响应文件</w:t>
      </w:r>
      <w:r>
        <w:rPr>
          <w:rFonts w:hint="eastAsia" w:ascii="宋体"/>
          <w:kern w:val="0"/>
          <w:sz w:val="24"/>
        </w:rPr>
        <w:t>应保持有效。有效期短于这个规定期限的</w:t>
      </w:r>
      <w:r>
        <w:rPr>
          <w:rFonts w:hint="eastAsia" w:ascii="宋体" w:hAnsi="宋体"/>
          <w:sz w:val="24"/>
          <w:shd w:val="clear" w:color="auto" w:fill="FFFFFF"/>
        </w:rPr>
        <w:t>竞争性磋商</w:t>
      </w:r>
      <w:r>
        <w:rPr>
          <w:rFonts w:hint="eastAsia" w:ascii="宋体"/>
          <w:kern w:val="0"/>
          <w:sz w:val="24"/>
        </w:rPr>
        <w:t>供应商将被拒绝。</w:t>
      </w:r>
    </w:p>
    <w:p w14:paraId="0BD64C91">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、在特殊情况下，采购人可与</w:t>
      </w:r>
      <w:r>
        <w:rPr>
          <w:rFonts w:hint="eastAsia" w:ascii="宋体" w:hAnsi="宋体"/>
          <w:sz w:val="24"/>
          <w:shd w:val="clear" w:color="auto" w:fill="FFFFFF"/>
        </w:rPr>
        <w:t>竞争性磋商</w:t>
      </w:r>
      <w:r>
        <w:rPr>
          <w:rFonts w:hint="eastAsia" w:ascii="宋体"/>
          <w:kern w:val="0"/>
          <w:sz w:val="24"/>
        </w:rPr>
        <w:t>供应商协商延长投标书的有效期，这种要求和答复均应书面形式进行。</w:t>
      </w:r>
    </w:p>
    <w:p w14:paraId="0CAC889A">
      <w:pPr>
        <w:adjustRightInd w:val="0"/>
        <w:snapToGrid w:val="0"/>
        <w:spacing w:line="300" w:lineRule="auto"/>
        <w:ind w:firstLine="480" w:firstLineChars="200"/>
        <w:rPr>
          <w:rFonts w:ascii="宋体"/>
          <w:kern w:val="0"/>
          <w:sz w:val="24"/>
        </w:rPr>
      </w:pPr>
      <w:r>
        <w:rPr>
          <w:rFonts w:ascii="宋体"/>
          <w:kern w:val="0"/>
          <w:sz w:val="24"/>
        </w:rPr>
        <w:t>3</w:t>
      </w:r>
      <w:r>
        <w:rPr>
          <w:rFonts w:hint="eastAsia" w:ascii="宋体"/>
          <w:kern w:val="0"/>
          <w:sz w:val="24"/>
        </w:rPr>
        <w:t>、</w:t>
      </w:r>
      <w:r>
        <w:rPr>
          <w:rFonts w:hint="eastAsia" w:ascii="宋体" w:hAnsi="宋体"/>
          <w:sz w:val="24"/>
          <w:shd w:val="clear" w:color="auto" w:fill="FFFFFF"/>
        </w:rPr>
        <w:t>竞争性磋商</w:t>
      </w:r>
      <w:r>
        <w:rPr>
          <w:rFonts w:hint="eastAsia" w:ascii="宋体"/>
          <w:kern w:val="0"/>
          <w:sz w:val="24"/>
        </w:rPr>
        <w:t>供应商可拒绝接受延期要求而不会导致</w:t>
      </w:r>
      <w:r>
        <w:rPr>
          <w:rFonts w:hint="eastAsia" w:ascii="宋体" w:hAnsi="宋体"/>
          <w:sz w:val="24"/>
          <w:shd w:val="clear" w:color="auto" w:fill="FFFFFF"/>
        </w:rPr>
        <w:t>竞争性磋商</w:t>
      </w:r>
      <w:r>
        <w:rPr>
          <w:rFonts w:hint="eastAsia" w:ascii="宋体"/>
          <w:kern w:val="0"/>
          <w:sz w:val="24"/>
        </w:rPr>
        <w:t>供应商保证金被没收。同意延长有效期的</w:t>
      </w:r>
      <w:r>
        <w:rPr>
          <w:rFonts w:hint="eastAsia" w:ascii="宋体" w:hAnsi="宋体"/>
          <w:sz w:val="24"/>
          <w:shd w:val="clear" w:color="auto" w:fill="FFFFFF"/>
        </w:rPr>
        <w:t>竞争性磋商</w:t>
      </w:r>
      <w:r>
        <w:rPr>
          <w:rFonts w:hint="eastAsia" w:ascii="宋体"/>
          <w:kern w:val="0"/>
          <w:sz w:val="24"/>
        </w:rPr>
        <w:t>供应商不能修改响应文件。</w:t>
      </w:r>
    </w:p>
    <w:p w14:paraId="47C29690">
      <w:pPr>
        <w:adjustRightInd w:val="0"/>
        <w:snapToGrid w:val="0"/>
        <w:spacing w:line="300" w:lineRule="auto"/>
        <w:ind w:firstLine="482" w:firstLineChars="200"/>
        <w:rPr>
          <w:rFonts w:ascii="宋体"/>
          <w:b/>
          <w:kern w:val="0"/>
          <w:sz w:val="24"/>
        </w:rPr>
      </w:pPr>
      <w:r>
        <w:rPr>
          <w:rFonts w:hint="eastAsia" w:ascii="宋体"/>
          <w:b/>
          <w:kern w:val="0"/>
          <w:sz w:val="24"/>
        </w:rPr>
        <w:t>四、</w:t>
      </w:r>
      <w:r>
        <w:rPr>
          <w:rFonts w:hint="eastAsia" w:ascii="宋体" w:hAnsi="宋体"/>
          <w:b/>
          <w:sz w:val="24"/>
          <w:shd w:val="clear" w:color="auto" w:fill="FFFFFF"/>
        </w:rPr>
        <w:t>响应文件</w:t>
      </w:r>
      <w:r>
        <w:rPr>
          <w:rFonts w:hint="eastAsia" w:ascii="宋体"/>
          <w:b/>
          <w:kern w:val="0"/>
          <w:sz w:val="24"/>
        </w:rPr>
        <w:t>的递交</w:t>
      </w:r>
    </w:p>
    <w:p w14:paraId="227F7D8D">
      <w:pPr>
        <w:adjustRightInd w:val="0"/>
        <w:snapToGrid w:val="0"/>
        <w:spacing w:line="300" w:lineRule="auto"/>
        <w:ind w:firstLine="480" w:firstLineChars="200"/>
        <w:rPr>
          <w:rFonts w:ascii="宋体"/>
          <w:kern w:val="0"/>
          <w:sz w:val="24"/>
        </w:rPr>
      </w:pPr>
      <w:r>
        <w:rPr>
          <w:rFonts w:hint="eastAsia" w:ascii="宋体" w:hAnsi="宋体"/>
          <w:sz w:val="24"/>
          <w:shd w:val="clear" w:color="auto" w:fill="FFFFFF"/>
        </w:rPr>
        <w:t>响应文件</w:t>
      </w:r>
      <w:r>
        <w:rPr>
          <w:rFonts w:hint="eastAsia" w:ascii="宋体"/>
          <w:kern w:val="0"/>
          <w:sz w:val="24"/>
        </w:rPr>
        <w:t>应按以下方法分别装袋密封</w:t>
      </w:r>
      <w:r>
        <w:rPr>
          <w:rFonts w:hint="eastAsia" w:ascii="宋体" w:hAnsi="宋体"/>
          <w:sz w:val="24"/>
        </w:rPr>
        <w:t>（不作为实质性要求）</w:t>
      </w:r>
    </w:p>
    <w:p w14:paraId="01466A64">
      <w:pPr>
        <w:snapToGrid w:val="0"/>
        <w:spacing w:line="360" w:lineRule="auto"/>
        <w:ind w:firstLine="480" w:firstLineChars="200"/>
        <w:rPr>
          <w:rFonts w:ascii="宋体" w:hAnsi="宋体" w:cs="宋体"/>
          <w:sz w:val="24"/>
        </w:rPr>
      </w:pPr>
      <w:r>
        <w:rPr>
          <w:rFonts w:hint="eastAsia" w:ascii="宋体"/>
          <w:kern w:val="0"/>
          <w:sz w:val="24"/>
        </w:rPr>
        <w:t>（1）所有“正本”“副本”响应文件资料按以上所列内容装订成册，并在封面上标明“正本”和 “副本”字样。</w:t>
      </w:r>
      <w:r>
        <w:rPr>
          <w:rFonts w:hint="eastAsia" w:ascii="宋体" w:hAnsi="宋体" w:cs="宋体"/>
          <w:sz w:val="24"/>
        </w:rPr>
        <w:t>“正本”和“副本”具有同等的法律效力；“正本”和“副本”之间如有差异，以正本为准。</w:t>
      </w:r>
    </w:p>
    <w:p w14:paraId="0894927B">
      <w:pPr>
        <w:ind w:firstLine="480"/>
        <w:rPr>
          <w:rFonts w:ascii="宋体"/>
          <w:kern w:val="0"/>
          <w:sz w:val="24"/>
        </w:rPr>
      </w:pPr>
      <w:r>
        <w:rPr>
          <w:rFonts w:hint="eastAsia" w:ascii="宋体"/>
          <w:kern w:val="0"/>
          <w:sz w:val="24"/>
        </w:rPr>
        <w:t>（</w:t>
      </w:r>
      <w:r>
        <w:rPr>
          <w:rFonts w:ascii="宋体"/>
          <w:kern w:val="0"/>
          <w:sz w:val="24"/>
        </w:rPr>
        <w:t>2</w:t>
      </w:r>
      <w:r>
        <w:rPr>
          <w:rFonts w:hint="eastAsia" w:ascii="宋体"/>
          <w:kern w:val="0"/>
          <w:sz w:val="24"/>
        </w:rPr>
        <w:t>）响应文件的正本须经法定代表人或授权代表签署和加盖公司公章，并逐页加盖公司公章。响应文件的副本可以按正本要求签署盖章或正本签署盖章后的复印件封面加盖公司公章和骑缝章。</w:t>
      </w:r>
    </w:p>
    <w:p w14:paraId="0B5E2B15">
      <w:pPr>
        <w:adjustRightInd w:val="0"/>
        <w:snapToGrid w:val="0"/>
        <w:spacing w:line="300" w:lineRule="auto"/>
        <w:ind w:firstLine="480" w:firstLineChars="200"/>
        <w:rPr>
          <w:rFonts w:ascii="宋体"/>
          <w:kern w:val="0"/>
          <w:sz w:val="24"/>
        </w:rPr>
      </w:pPr>
      <w:r>
        <w:rPr>
          <w:rFonts w:hint="eastAsia" w:ascii="宋体"/>
          <w:kern w:val="0"/>
          <w:sz w:val="24"/>
        </w:rPr>
        <w:t>（3）竞争性磋商响应文件密封袋内正本一份、副本</w:t>
      </w:r>
      <w:r>
        <w:rPr>
          <w:rFonts w:hint="eastAsia" w:ascii="宋体"/>
          <w:kern w:val="0"/>
          <w:sz w:val="24"/>
          <w:lang w:val="en-US" w:eastAsia="zh-CN"/>
        </w:rPr>
        <w:t>两</w:t>
      </w:r>
      <w:r>
        <w:rPr>
          <w:rFonts w:hint="eastAsia" w:ascii="宋体"/>
          <w:kern w:val="0"/>
          <w:sz w:val="24"/>
        </w:rPr>
        <w:t>份。封口处有供应商公章。封面上写明项目编号、项目名称、供应商名称，并注明“响应文件”、“开启截止时间前请勿启封”字样。</w:t>
      </w:r>
    </w:p>
    <w:p w14:paraId="192CD0C1">
      <w:pPr>
        <w:adjustRightInd w:val="0"/>
        <w:snapToGrid w:val="0"/>
        <w:spacing w:line="300" w:lineRule="auto"/>
        <w:ind w:firstLine="480" w:firstLineChars="200"/>
        <w:rPr>
          <w:rFonts w:ascii="宋体"/>
          <w:kern w:val="0"/>
          <w:sz w:val="24"/>
        </w:rPr>
      </w:pPr>
      <w:r>
        <w:rPr>
          <w:rFonts w:hint="eastAsia" w:ascii="宋体"/>
          <w:kern w:val="0"/>
          <w:sz w:val="24"/>
        </w:rPr>
        <w:t>（4）</w:t>
      </w:r>
      <w:r>
        <w:rPr>
          <w:rFonts w:hint="eastAsia" w:ascii="宋体" w:hAnsi="宋体"/>
          <w:sz w:val="24"/>
          <w:shd w:val="clear" w:color="auto" w:fill="FFFFFF"/>
        </w:rPr>
        <w:t>响应文件</w:t>
      </w:r>
      <w:r>
        <w:rPr>
          <w:rFonts w:hint="eastAsia" w:ascii="宋体"/>
          <w:kern w:val="0"/>
          <w:sz w:val="24"/>
        </w:rPr>
        <w:t>自制部分必须打印，每页按顺序加注页码，装订牢固且不会轻易脱落</w:t>
      </w:r>
      <w:r>
        <w:rPr>
          <w:rFonts w:hint="eastAsia" w:ascii="宋体"/>
          <w:b/>
          <w:bCs/>
          <w:kern w:val="0"/>
          <w:sz w:val="24"/>
        </w:rPr>
        <w:t>（注：胶装）</w:t>
      </w:r>
      <w:r>
        <w:rPr>
          <w:rFonts w:hint="eastAsia" w:ascii="宋体"/>
          <w:kern w:val="0"/>
          <w:sz w:val="24"/>
        </w:rPr>
        <w:t>。如因装订问题而出现漏页或缺页，由此产生的一切后果由供应商自行承担。</w:t>
      </w:r>
    </w:p>
    <w:p w14:paraId="63507955">
      <w:pPr>
        <w:adjustRightInd w:val="0"/>
        <w:snapToGrid w:val="0"/>
        <w:spacing w:line="300" w:lineRule="auto"/>
        <w:ind w:firstLine="480" w:firstLineChars="200"/>
        <w:rPr>
          <w:rFonts w:ascii="宋体"/>
          <w:kern w:val="0"/>
          <w:sz w:val="24"/>
        </w:rPr>
      </w:pPr>
      <w:r>
        <w:rPr>
          <w:rFonts w:hint="eastAsia" w:ascii="宋体"/>
          <w:kern w:val="0"/>
          <w:sz w:val="24"/>
        </w:rPr>
        <w:t>（</w:t>
      </w:r>
      <w:r>
        <w:rPr>
          <w:rFonts w:hint="eastAsia" w:ascii="宋体"/>
          <w:kern w:val="0"/>
          <w:sz w:val="24"/>
          <w:lang w:val="en-US" w:eastAsia="zh-CN"/>
        </w:rPr>
        <w:t>5</w:t>
      </w:r>
      <w:r>
        <w:rPr>
          <w:rFonts w:hint="eastAsia" w:ascii="宋体"/>
          <w:kern w:val="0"/>
          <w:sz w:val="24"/>
        </w:rPr>
        <w:t>）供应商的授权代表须携带《法定代表人授权书》及个人身份证原件亲临开标会现场以备查验。其现场所签署确认的文件均代表供应商单位的决定，并作为</w:t>
      </w:r>
      <w:r>
        <w:rPr>
          <w:rFonts w:hint="eastAsia" w:ascii="宋体" w:hAnsi="宋体"/>
          <w:sz w:val="24"/>
          <w:shd w:val="clear" w:color="auto" w:fill="FFFFFF"/>
        </w:rPr>
        <w:t>响应文件</w:t>
      </w:r>
      <w:r>
        <w:rPr>
          <w:rFonts w:hint="eastAsia" w:ascii="宋体"/>
          <w:kern w:val="0"/>
          <w:sz w:val="24"/>
        </w:rPr>
        <w:t>的补充内容，具有同等法律效力。</w:t>
      </w:r>
    </w:p>
    <w:p w14:paraId="2E81A833">
      <w:pPr>
        <w:pStyle w:val="30"/>
        <w:adjustRightInd w:val="0"/>
        <w:snapToGrid w:val="0"/>
        <w:spacing w:line="300" w:lineRule="auto"/>
        <w:ind w:firstLine="480" w:firstLineChars="200"/>
        <w:rPr>
          <w:sz w:val="24"/>
          <w:szCs w:val="24"/>
        </w:rPr>
      </w:pPr>
      <w:r>
        <w:rPr>
          <w:rFonts w:hint="eastAsia" w:ascii="宋体"/>
          <w:kern w:val="0"/>
          <w:sz w:val="24"/>
          <w:szCs w:val="24"/>
        </w:rPr>
        <w:t>（</w:t>
      </w:r>
      <w:r>
        <w:rPr>
          <w:rFonts w:hint="eastAsia" w:ascii="宋体"/>
          <w:b/>
          <w:kern w:val="0"/>
          <w:sz w:val="24"/>
          <w:szCs w:val="24"/>
          <w:lang w:val="en-US" w:eastAsia="zh-CN"/>
        </w:rPr>
        <w:t>6</w:t>
      </w:r>
      <w:r>
        <w:rPr>
          <w:rFonts w:hint="eastAsia" w:ascii="宋体"/>
          <w:b/>
          <w:kern w:val="0"/>
          <w:sz w:val="24"/>
          <w:szCs w:val="24"/>
        </w:rPr>
        <w:t>）</w:t>
      </w:r>
      <w:r>
        <w:rPr>
          <w:rFonts w:hint="eastAsia"/>
          <w:b/>
          <w:sz w:val="24"/>
          <w:szCs w:val="24"/>
        </w:rPr>
        <w:t>供应商应当在磋商文件要求的截止时间前，将响应文件密封送达指定地点。在截止时间后送达的响应文件为无效文件，采购人、采购代理机构或者磋商小组将被拒收。</w:t>
      </w:r>
    </w:p>
    <w:p w14:paraId="46A3E60E">
      <w:pPr>
        <w:pStyle w:val="30"/>
        <w:adjustRightInd w:val="0"/>
        <w:snapToGrid w:val="0"/>
        <w:spacing w:line="300" w:lineRule="auto"/>
        <w:ind w:firstLine="480" w:firstLineChars="200"/>
        <w:rPr>
          <w:rFonts w:ascii="宋体"/>
          <w:kern w:val="0"/>
          <w:sz w:val="24"/>
        </w:rPr>
      </w:pPr>
      <w:r>
        <w:rPr>
          <w:rFonts w:hint="eastAsia" w:ascii="宋体"/>
          <w:kern w:val="0"/>
          <w:sz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1D7D68EE">
      <w:pPr>
        <w:adjustRightInd w:val="0"/>
        <w:snapToGrid w:val="0"/>
        <w:spacing w:line="300" w:lineRule="auto"/>
        <w:ind w:firstLine="482" w:firstLineChars="200"/>
        <w:rPr>
          <w:rFonts w:ascii="宋体"/>
          <w:b/>
          <w:kern w:val="0"/>
          <w:sz w:val="24"/>
        </w:rPr>
      </w:pPr>
      <w:r>
        <w:rPr>
          <w:rFonts w:hint="eastAsia" w:ascii="宋体"/>
          <w:b/>
          <w:kern w:val="0"/>
          <w:sz w:val="24"/>
        </w:rPr>
        <w:t>五、磋商和评审</w:t>
      </w:r>
    </w:p>
    <w:p w14:paraId="5427D69C">
      <w:pPr>
        <w:adjustRightInd w:val="0"/>
        <w:snapToGrid w:val="0"/>
        <w:spacing w:line="300" w:lineRule="auto"/>
        <w:ind w:firstLine="480" w:firstLineChars="200"/>
        <w:rPr>
          <w:rFonts w:ascii="宋体"/>
          <w:kern w:val="0"/>
          <w:sz w:val="24"/>
        </w:rPr>
      </w:pPr>
      <w:r>
        <w:rPr>
          <w:rFonts w:hint="eastAsia" w:ascii="宋体"/>
          <w:kern w:val="0"/>
          <w:sz w:val="24"/>
        </w:rPr>
        <w:t>（一）磋商小组</w:t>
      </w:r>
    </w:p>
    <w:p w14:paraId="30FB9492">
      <w:pPr>
        <w:adjustRightInd w:val="0"/>
        <w:snapToGrid w:val="0"/>
        <w:spacing w:line="300" w:lineRule="auto"/>
        <w:ind w:firstLine="480" w:firstLineChars="200"/>
        <w:rPr>
          <w:rFonts w:ascii="宋体"/>
          <w:kern w:val="0"/>
          <w:sz w:val="24"/>
        </w:rPr>
      </w:pPr>
      <w:r>
        <w:rPr>
          <w:rFonts w:hint="eastAsia" w:ascii="宋体"/>
          <w:kern w:val="0"/>
          <w:sz w:val="24"/>
        </w:rPr>
        <w:t>采购人将根据本次竞争性磋商采购的特点，按照《中华人民共和国政府采购法》、《政府采购竞争性磋商采购方式管理暂行办法》和其他相关法律法规规定成立磋商小组。磋商小组对响应文件进行审查、质疑、评估和比较，并进行磋商。</w:t>
      </w:r>
      <w:r>
        <w:rPr>
          <w:rFonts w:hint="eastAsia" w:ascii="宋体" w:hAnsi="宋体"/>
          <w:sz w:val="24"/>
        </w:rPr>
        <w:t>磋商小组判断“响应文件”的响应性，仅基于“响应文件”本身而不靠外部证据。</w:t>
      </w:r>
    </w:p>
    <w:p w14:paraId="43D336DB">
      <w:pPr>
        <w:adjustRightInd w:val="0"/>
        <w:snapToGrid w:val="0"/>
        <w:spacing w:line="300" w:lineRule="auto"/>
        <w:ind w:firstLine="480" w:firstLineChars="200"/>
        <w:rPr>
          <w:rFonts w:ascii="宋体"/>
          <w:kern w:val="0"/>
          <w:sz w:val="24"/>
        </w:rPr>
      </w:pPr>
      <w:r>
        <w:rPr>
          <w:rFonts w:hint="eastAsia" w:ascii="宋体"/>
          <w:kern w:val="0"/>
          <w:sz w:val="24"/>
        </w:rPr>
        <w:t>（二）磋商</w:t>
      </w:r>
    </w:p>
    <w:p w14:paraId="57462808">
      <w:pPr>
        <w:adjustRightInd w:val="0"/>
        <w:snapToGrid w:val="0"/>
        <w:spacing w:line="300" w:lineRule="auto"/>
        <w:ind w:firstLine="480" w:firstLineChars="200"/>
        <w:rPr>
          <w:rFonts w:ascii="宋体"/>
          <w:kern w:val="0"/>
          <w:sz w:val="24"/>
        </w:rPr>
      </w:pPr>
      <w:r>
        <w:rPr>
          <w:rFonts w:hint="eastAsia" w:ascii="宋体"/>
          <w:kern w:val="0"/>
          <w:sz w:val="24"/>
        </w:rPr>
        <w:t>1、磋商小组成员按照客观、公正、审慎的原则，根据磋商文件规定的评审程序、评审方法和评审标准进行独立评审。未实质性响应磋商文件的响应文件按无效响应处理，磋商小组应当告知提交响应文件的供应商。</w:t>
      </w:r>
      <w:r>
        <w:rPr>
          <w:rFonts w:hint="eastAsia" w:ascii="MS Mincho" w:hAnsi="MS Mincho" w:eastAsia="MS Mincho" w:cs="MS Mincho"/>
          <w:kern w:val="0"/>
          <w:sz w:val="24"/>
        </w:rPr>
        <w:t> </w:t>
      </w:r>
      <w:r>
        <w:rPr>
          <w:rFonts w:hint="eastAsia" w:ascii="宋体"/>
          <w:kern w:val="0"/>
          <w:sz w:val="24"/>
        </w:rPr>
        <w:t>磋商文件内容违反国家有关强制性规定的，磋商小组应当停止评审并向采购人或者采购代理机构说明情况</w:t>
      </w:r>
    </w:p>
    <w:p w14:paraId="3FAA0EAC">
      <w:pPr>
        <w:adjustRightInd w:val="0"/>
        <w:snapToGrid w:val="0"/>
        <w:spacing w:line="300" w:lineRule="auto"/>
        <w:ind w:firstLine="480" w:firstLineChars="200"/>
        <w:rPr>
          <w:rFonts w:ascii="宋体"/>
          <w:kern w:val="0"/>
          <w:sz w:val="24"/>
        </w:rPr>
      </w:pPr>
      <w:r>
        <w:rPr>
          <w:rFonts w:hint="eastAsia" w:ascii="宋体"/>
          <w:kern w:val="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1740A8">
      <w:pPr>
        <w:adjustRightInd w:val="0"/>
        <w:snapToGrid w:val="0"/>
        <w:spacing w:line="300" w:lineRule="auto"/>
        <w:ind w:firstLine="480" w:firstLineChars="200"/>
        <w:rPr>
          <w:rFonts w:ascii="宋体"/>
          <w:kern w:val="0"/>
          <w:sz w:val="24"/>
        </w:rPr>
      </w:pPr>
      <w:r>
        <w:rPr>
          <w:rFonts w:hint="eastAsia" w:ascii="宋体"/>
          <w:kern w:val="0"/>
          <w:sz w:val="24"/>
        </w:rPr>
        <w:t>3、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9070366">
      <w:pPr>
        <w:adjustRightInd w:val="0"/>
        <w:snapToGrid w:val="0"/>
        <w:spacing w:line="300" w:lineRule="auto"/>
        <w:ind w:firstLine="120" w:firstLineChars="50"/>
        <w:rPr>
          <w:rFonts w:ascii="宋体"/>
          <w:kern w:val="0"/>
          <w:sz w:val="24"/>
        </w:rPr>
      </w:pPr>
      <w:r>
        <w:rPr>
          <w:rFonts w:hint="eastAsia" w:ascii="宋体"/>
          <w:kern w:val="0"/>
          <w:sz w:val="24"/>
        </w:rPr>
        <w:t>　</w:t>
      </w:r>
      <w:r>
        <w:rPr>
          <w:rFonts w:hint="eastAsia" w:ascii="宋体"/>
          <w:kern w:val="0"/>
          <w:sz w:val="24"/>
          <w:lang w:val="en-US" w:eastAsia="zh-CN"/>
        </w:rPr>
        <w:t xml:space="preserve"> </w:t>
      </w:r>
      <w:r>
        <w:rPr>
          <w:rFonts w:hint="eastAsia" w:ascii="宋体"/>
          <w:kern w:val="0"/>
          <w:sz w:val="24"/>
        </w:rPr>
        <w:t>4、磋商小组所有成员应当集中与单一供应商分别进行磋商，并给予所有参加磋商的供应商平等的磋商机会。</w:t>
      </w:r>
    </w:p>
    <w:p w14:paraId="6A152836">
      <w:pPr>
        <w:adjustRightInd w:val="0"/>
        <w:snapToGrid w:val="0"/>
        <w:spacing w:line="300" w:lineRule="auto"/>
        <w:ind w:firstLine="480" w:firstLineChars="200"/>
        <w:rPr>
          <w:rFonts w:ascii="宋体"/>
          <w:kern w:val="0"/>
          <w:sz w:val="24"/>
        </w:rPr>
      </w:pPr>
      <w:r>
        <w:rPr>
          <w:rFonts w:hint="eastAsia" w:ascii="宋体"/>
          <w:kern w:val="0"/>
          <w:sz w:val="24"/>
        </w:rPr>
        <w:t>5、在磋商过程中，磋商小组可以根据磋商文件和磋商情况实质性变动采购需求中的技术、服务要求以及合同草案条款，但不得变动磋商文件中的其他内容。实质性变动的内容，须经采购人代表确认。</w:t>
      </w:r>
    </w:p>
    <w:p w14:paraId="3403223A">
      <w:pPr>
        <w:adjustRightInd w:val="0"/>
        <w:snapToGrid w:val="0"/>
        <w:spacing w:line="300" w:lineRule="auto"/>
        <w:ind w:firstLine="480" w:firstLineChars="200"/>
        <w:rPr>
          <w:rFonts w:ascii="宋体"/>
          <w:kern w:val="0"/>
          <w:sz w:val="24"/>
        </w:rPr>
      </w:pPr>
      <w:r>
        <w:rPr>
          <w:rFonts w:hint="eastAsia" w:ascii="宋体"/>
          <w:kern w:val="0"/>
          <w:sz w:val="24"/>
        </w:rPr>
        <w:t>对磋商文件作出的实质性变动是磋商文件的有效组成部分，磋商小组应当及时以书面形式同时通知所有参加磋商的供应商。</w:t>
      </w:r>
    </w:p>
    <w:p w14:paraId="267ACF19">
      <w:pPr>
        <w:adjustRightInd w:val="0"/>
        <w:snapToGrid w:val="0"/>
        <w:spacing w:line="300" w:lineRule="auto"/>
        <w:ind w:firstLine="480" w:firstLineChars="200"/>
        <w:rPr>
          <w:rFonts w:ascii="宋体"/>
          <w:kern w:val="0"/>
          <w:sz w:val="24"/>
        </w:rPr>
      </w:pPr>
      <w:r>
        <w:rPr>
          <w:rFonts w:hint="eastAsia" w:ascii="宋体"/>
          <w:kern w:val="0"/>
          <w:sz w:val="24"/>
        </w:rPr>
        <w:t>6、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827C26F">
      <w:pPr>
        <w:adjustRightInd w:val="0"/>
        <w:snapToGrid w:val="0"/>
        <w:spacing w:line="300" w:lineRule="auto"/>
        <w:ind w:firstLine="480" w:firstLineChars="200"/>
        <w:rPr>
          <w:rFonts w:ascii="宋体"/>
          <w:kern w:val="0"/>
          <w:sz w:val="24"/>
        </w:rPr>
      </w:pPr>
      <w:r>
        <w:rPr>
          <w:rFonts w:hint="eastAsia" w:ascii="宋体"/>
          <w:kern w:val="0"/>
          <w:sz w:val="24"/>
        </w:rPr>
        <w:t>7、磋商文件能够详细列明采购标的的技术、服务要求的，磋商结束后，磋商小组应当要求所有实质性响应的供应商在规定时间内提交最后报价，提交最后报价的供应商不得少于3家。</w:t>
      </w:r>
    </w:p>
    <w:p w14:paraId="3F0CF39E">
      <w:pPr>
        <w:adjustRightInd w:val="0"/>
        <w:snapToGrid w:val="0"/>
        <w:spacing w:line="300" w:lineRule="auto"/>
        <w:ind w:firstLine="480" w:firstLineChars="200"/>
        <w:rPr>
          <w:rFonts w:ascii="宋体"/>
          <w:kern w:val="0"/>
          <w:sz w:val="24"/>
        </w:rPr>
      </w:pPr>
      <w:r>
        <w:rPr>
          <w:rFonts w:hint="eastAsia" w:ascii="宋体"/>
          <w:kern w:val="0"/>
          <w:sz w:val="24"/>
        </w:rPr>
        <w:t>8、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8EE49E8">
      <w:pPr>
        <w:adjustRightInd w:val="0"/>
        <w:snapToGrid w:val="0"/>
        <w:spacing w:line="300" w:lineRule="auto"/>
        <w:rPr>
          <w:rFonts w:ascii="宋体"/>
          <w:kern w:val="0"/>
          <w:sz w:val="24"/>
        </w:rPr>
      </w:pPr>
      <w:r>
        <w:rPr>
          <w:rFonts w:hint="eastAsia" w:ascii="宋体"/>
          <w:kern w:val="0"/>
          <w:sz w:val="24"/>
        </w:rPr>
        <w:t>　最后报价是供应商响应文件的有效组成部分。</w:t>
      </w:r>
      <w:r>
        <w:rPr>
          <w:rFonts w:ascii="宋体"/>
          <w:kern w:val="0"/>
          <w:sz w:val="24"/>
        </w:rPr>
        <w:t>采用竞争性磋商采购方式采购的政府购买服务项目（含政府和社会资本合作项目），在采购过程中符合要求的供应商（社会资本）只有2家的，竞争性磋商采购活动可以继续进行。</w:t>
      </w:r>
    </w:p>
    <w:p w14:paraId="203C0324">
      <w:pPr>
        <w:adjustRightInd w:val="0"/>
        <w:snapToGrid w:val="0"/>
        <w:spacing w:line="300" w:lineRule="auto"/>
        <w:ind w:firstLine="120" w:firstLineChars="50"/>
        <w:rPr>
          <w:rFonts w:ascii="宋体"/>
          <w:kern w:val="0"/>
          <w:sz w:val="24"/>
        </w:rPr>
      </w:pPr>
      <w:r>
        <w:rPr>
          <w:rFonts w:hint="eastAsia" w:ascii="宋体"/>
          <w:kern w:val="0"/>
          <w:sz w:val="24"/>
        </w:rPr>
        <w:t>　</w:t>
      </w:r>
      <w:r>
        <w:rPr>
          <w:rFonts w:hint="eastAsia" w:ascii="宋体"/>
          <w:kern w:val="0"/>
          <w:sz w:val="24"/>
          <w:lang w:val="en-US" w:eastAsia="zh-CN"/>
        </w:rPr>
        <w:t xml:space="preserve"> </w:t>
      </w:r>
      <w:r>
        <w:rPr>
          <w:rFonts w:hint="eastAsia" w:ascii="宋体"/>
          <w:kern w:val="0"/>
          <w:sz w:val="24"/>
        </w:rPr>
        <w:t>9、已提交响应文件的供应商，在提交最后报价之前，可以根据磋商情况退出磋商。采购人、采购代理机构应当退还退出磋商的供应商的磋商保证金。</w:t>
      </w:r>
    </w:p>
    <w:p w14:paraId="1EDC024C">
      <w:pPr>
        <w:adjustRightInd w:val="0"/>
        <w:snapToGrid w:val="0"/>
        <w:spacing w:line="300" w:lineRule="auto"/>
        <w:ind w:firstLine="480" w:firstLineChars="200"/>
        <w:rPr>
          <w:rFonts w:ascii="宋体"/>
          <w:kern w:val="0"/>
          <w:sz w:val="24"/>
        </w:rPr>
      </w:pPr>
      <w:r>
        <w:rPr>
          <w:rFonts w:hint="eastAsia" w:ascii="宋体"/>
          <w:kern w:val="0"/>
          <w:sz w:val="24"/>
        </w:rPr>
        <w:t>10、经磋商确定最终采购需求和提交最后报价的供应商后，由磋商小组采用综合评分法对提交最后报价的供应商的响应文件和最后报价进行综合评分。</w:t>
      </w:r>
    </w:p>
    <w:p w14:paraId="750F95ED">
      <w:pPr>
        <w:adjustRightInd w:val="0"/>
        <w:snapToGrid w:val="0"/>
        <w:spacing w:line="300" w:lineRule="auto"/>
        <w:ind w:firstLine="480" w:firstLineChars="200"/>
        <w:rPr>
          <w:rFonts w:ascii="宋体"/>
          <w:kern w:val="0"/>
          <w:sz w:val="24"/>
        </w:rPr>
      </w:pPr>
      <w:r>
        <w:rPr>
          <w:rFonts w:hint="eastAsia" w:ascii="宋体"/>
          <w:kern w:val="0"/>
          <w:sz w:val="24"/>
        </w:rPr>
        <w:t>11、评审时，磋商小组各成员应当独立对每个有效响应的文件进行评价、打分，然后汇总每个供应商每项评分因素的得分。</w:t>
      </w:r>
    </w:p>
    <w:p w14:paraId="2DE71F88">
      <w:pPr>
        <w:adjustRightInd w:val="0"/>
        <w:snapToGrid w:val="0"/>
        <w:spacing w:line="300" w:lineRule="auto"/>
        <w:ind w:firstLine="480" w:firstLineChars="200"/>
        <w:rPr>
          <w:rFonts w:ascii="MS Mincho" w:hAnsi="MS Mincho" w:cs="MS Mincho" w:eastAsiaTheme="minorEastAsia"/>
          <w:kern w:val="0"/>
          <w:sz w:val="24"/>
        </w:rPr>
      </w:pPr>
      <w:r>
        <w:rPr>
          <w:rFonts w:hint="eastAsia" w:ascii="宋体"/>
          <w:kern w:val="0"/>
          <w:sz w:val="24"/>
        </w:rPr>
        <w:t>12、综合评分法中的价格分统一采用低价优先法计算，即满足磋商文件要求且最后报价最低的供应商的价格为磋商基准价，其价格分为满分。</w:t>
      </w:r>
      <w:r>
        <w:rPr>
          <w:rFonts w:hint="eastAsia" w:ascii="MS Mincho" w:hAnsi="MS Mincho" w:eastAsia="MS Mincho" w:cs="MS Mincho"/>
          <w:kern w:val="0"/>
          <w:sz w:val="24"/>
        </w:rPr>
        <w:t> </w:t>
      </w:r>
    </w:p>
    <w:p w14:paraId="4CCBE8F8">
      <w:pPr>
        <w:adjustRightInd w:val="0"/>
        <w:snapToGrid w:val="0"/>
        <w:spacing w:line="300" w:lineRule="auto"/>
        <w:ind w:firstLine="480" w:firstLineChars="200"/>
        <w:rPr>
          <w:rFonts w:ascii="宋体"/>
          <w:kern w:val="0"/>
          <w:sz w:val="24"/>
        </w:rPr>
      </w:pPr>
      <w:r>
        <w:rPr>
          <w:rFonts w:hint="eastAsia" w:ascii="宋体"/>
          <w:kern w:val="0"/>
          <w:sz w:val="24"/>
        </w:rPr>
        <w:t>磋商报价得分＝（磋商基准价/最后磋商报价）×价格权值×100</w:t>
      </w:r>
      <w:r>
        <w:rPr>
          <w:rFonts w:hint="eastAsia" w:ascii="MS Mincho" w:hAnsi="MS Mincho" w:eastAsia="MS Mincho" w:cs="MS Mincho"/>
          <w:kern w:val="0"/>
          <w:sz w:val="24"/>
        </w:rPr>
        <w:t> </w:t>
      </w:r>
    </w:p>
    <w:p w14:paraId="2068CB9F">
      <w:pPr>
        <w:adjustRightInd w:val="0"/>
        <w:snapToGrid w:val="0"/>
        <w:spacing w:line="300" w:lineRule="auto"/>
        <w:ind w:firstLine="480" w:firstLineChars="200"/>
        <w:rPr>
          <w:rFonts w:ascii="宋体"/>
          <w:kern w:val="0"/>
          <w:sz w:val="24"/>
        </w:rPr>
      </w:pPr>
      <w:r>
        <w:rPr>
          <w:rFonts w:hint="eastAsia" w:ascii="宋体"/>
          <w:kern w:val="0"/>
          <w:sz w:val="24"/>
        </w:rPr>
        <w:t>13、磋商小组根据综合评分情况，按照评审得分由高到低顺序推荐成交候选供应商</w:t>
      </w:r>
    </w:p>
    <w:p w14:paraId="359DADEC">
      <w:pPr>
        <w:adjustRightInd w:val="0"/>
        <w:snapToGrid w:val="0"/>
        <w:spacing w:line="300" w:lineRule="auto"/>
        <w:ind w:firstLine="482" w:firstLineChars="200"/>
        <w:rPr>
          <w:rFonts w:ascii="宋体"/>
          <w:b/>
          <w:kern w:val="0"/>
          <w:sz w:val="24"/>
        </w:rPr>
      </w:pPr>
      <w:r>
        <w:rPr>
          <w:rFonts w:hint="eastAsia" w:ascii="宋体"/>
          <w:b/>
          <w:kern w:val="0"/>
          <w:sz w:val="24"/>
        </w:rPr>
        <w:t>六、成交通知书授予合同</w:t>
      </w:r>
    </w:p>
    <w:p w14:paraId="575390B0">
      <w:pPr>
        <w:adjustRightInd w:val="0"/>
        <w:snapToGrid w:val="0"/>
        <w:spacing w:line="380" w:lineRule="exact"/>
        <w:ind w:firstLine="480" w:firstLineChars="200"/>
        <w:rPr>
          <w:rFonts w:ascii="宋体"/>
          <w:kern w:val="0"/>
          <w:sz w:val="24"/>
        </w:rPr>
      </w:pPr>
      <w:r>
        <w:rPr>
          <w:rFonts w:hint="eastAsia" w:ascii="宋体"/>
          <w:kern w:val="0"/>
          <w:sz w:val="24"/>
        </w:rPr>
        <w:t>（二）成交通知书</w:t>
      </w:r>
    </w:p>
    <w:p w14:paraId="52AB08D8">
      <w:pPr>
        <w:adjustRightInd w:val="0"/>
        <w:snapToGrid w:val="0"/>
        <w:spacing w:line="380" w:lineRule="exact"/>
        <w:ind w:firstLine="480" w:firstLineChars="200"/>
        <w:rPr>
          <w:rFonts w:ascii="宋体"/>
          <w:kern w:val="0"/>
          <w:sz w:val="24"/>
        </w:rPr>
      </w:pPr>
      <w:r>
        <w:rPr>
          <w:rFonts w:hint="eastAsia" w:ascii="宋体"/>
          <w:kern w:val="0"/>
          <w:sz w:val="24"/>
        </w:rPr>
        <w:t>采购人或者采购代理机构应当在成交供应商确定后1个工作日内，采购信息发布媒体上公告成交结果，同时向成交供应商发出成交通知书。</w:t>
      </w:r>
    </w:p>
    <w:p w14:paraId="06DE7824">
      <w:pPr>
        <w:adjustRightInd w:val="0"/>
        <w:snapToGrid w:val="0"/>
        <w:spacing w:line="300" w:lineRule="auto"/>
        <w:ind w:firstLine="480" w:firstLineChars="200"/>
        <w:rPr>
          <w:rFonts w:ascii="宋体"/>
          <w:kern w:val="0"/>
          <w:sz w:val="24"/>
        </w:rPr>
      </w:pPr>
      <w:r>
        <w:rPr>
          <w:rFonts w:hint="eastAsia" w:ascii="宋体"/>
          <w:kern w:val="0"/>
          <w:sz w:val="24"/>
        </w:rPr>
        <w:t>（四）签订合同</w:t>
      </w:r>
    </w:p>
    <w:p w14:paraId="5543F37A">
      <w:pPr>
        <w:adjustRightInd w:val="0"/>
        <w:snapToGrid w:val="0"/>
        <w:spacing w:line="380" w:lineRule="exact"/>
        <w:ind w:firstLine="480" w:firstLineChars="200"/>
        <w:rPr>
          <w:rFonts w:ascii="宋体"/>
          <w:kern w:val="0"/>
          <w:sz w:val="24"/>
        </w:rPr>
      </w:pPr>
      <w:r>
        <w:rPr>
          <w:rFonts w:ascii="宋体"/>
          <w:kern w:val="0"/>
          <w:sz w:val="24"/>
        </w:rPr>
        <w:t>1</w:t>
      </w:r>
      <w:r>
        <w:rPr>
          <w:rFonts w:hint="eastAsia" w:ascii="宋体"/>
          <w:kern w:val="0"/>
          <w:sz w:val="24"/>
        </w:rPr>
        <w:t>、成交方应按规定签订合同。</w:t>
      </w:r>
    </w:p>
    <w:p w14:paraId="1DB7ED1C">
      <w:pPr>
        <w:adjustRightInd w:val="0"/>
        <w:snapToGrid w:val="0"/>
        <w:spacing w:line="380" w:lineRule="exact"/>
        <w:ind w:firstLine="480" w:firstLineChars="200"/>
        <w:rPr>
          <w:rFonts w:ascii="宋体"/>
          <w:kern w:val="0"/>
          <w:sz w:val="24"/>
        </w:rPr>
      </w:pPr>
      <w:r>
        <w:rPr>
          <w:rFonts w:ascii="宋体"/>
          <w:kern w:val="0"/>
          <w:sz w:val="24"/>
        </w:rPr>
        <w:t>2</w:t>
      </w:r>
      <w:r>
        <w:rPr>
          <w:rFonts w:hint="eastAsia" w:ascii="宋体"/>
          <w:kern w:val="0"/>
          <w:sz w:val="24"/>
        </w:rPr>
        <w:t>、磋商文件、成交方的响应文件及修改文件、磋商过程中有关澄清文件及经双方签字的询标纪要和成交通知书均作为合同附件。</w:t>
      </w:r>
    </w:p>
    <w:p w14:paraId="75F32807">
      <w:pPr>
        <w:adjustRightInd w:val="0"/>
        <w:snapToGrid w:val="0"/>
        <w:spacing w:line="380" w:lineRule="exact"/>
        <w:ind w:firstLine="480" w:firstLineChars="200"/>
        <w:rPr>
          <w:rFonts w:ascii="宋体"/>
          <w:kern w:val="0"/>
          <w:sz w:val="24"/>
        </w:rPr>
      </w:pPr>
      <w:r>
        <w:rPr>
          <w:rFonts w:ascii="宋体"/>
          <w:kern w:val="0"/>
          <w:sz w:val="24"/>
        </w:rPr>
        <w:t>3</w:t>
      </w:r>
      <w:r>
        <w:rPr>
          <w:rFonts w:hint="eastAsia" w:ascii="宋体"/>
          <w:kern w:val="0"/>
          <w:sz w:val="24"/>
        </w:rPr>
        <w:t>、拒签合同的责任，成交方拒收成交通知书或接到成交通知书后，在规定时间内借故否认已经承诺的条件而拒签合同，以违约处理，其保证金不予退回，并赔偿由此造成的经济损失。</w:t>
      </w:r>
    </w:p>
    <w:p w14:paraId="76332998">
      <w:pPr>
        <w:adjustRightInd w:val="0"/>
        <w:snapToGrid w:val="0"/>
        <w:spacing w:line="300" w:lineRule="auto"/>
        <w:ind w:firstLine="480" w:firstLineChars="200"/>
        <w:rPr>
          <w:rFonts w:ascii="宋体"/>
          <w:b/>
          <w:bCs/>
          <w:kern w:val="0"/>
          <w:sz w:val="30"/>
          <w:szCs w:val="20"/>
        </w:rPr>
      </w:pPr>
      <w:r>
        <w:rPr>
          <w:rFonts w:hint="eastAsia" w:ascii="宋体"/>
          <w:kern w:val="0"/>
          <w:sz w:val="24"/>
        </w:rPr>
        <w:t>4、 成交供应商拒绝签订政府采购合同的，采购人可以按照</w:t>
      </w:r>
      <w:r>
        <w:rPr>
          <w:rFonts w:hint="eastAsia"/>
          <w:kern w:val="0"/>
          <w:sz w:val="24"/>
        </w:rPr>
        <w:t>《政府采购竞争性磋商采购方式管理暂行办法》</w:t>
      </w:r>
      <w:r>
        <w:rPr>
          <w:rFonts w:hint="eastAsia" w:ascii="宋体"/>
          <w:kern w:val="0"/>
          <w:sz w:val="24"/>
        </w:rPr>
        <w:t>第二十八条第二款规定的原则确定其他供应商作为成交供应商并签订政府采购合同，也可以重新开展采购活动。拒绝签订政府采购合同的成交供应商不得参加对该项目重新开展的采购活动。</w:t>
      </w:r>
    </w:p>
    <w:p w14:paraId="63D363A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firstLine="3213" w:firstLineChars="1000"/>
        <w:rPr>
          <w:rFonts w:ascii="宋体"/>
          <w:b/>
          <w:bCs/>
          <w:kern w:val="0"/>
          <w:sz w:val="32"/>
          <w:szCs w:val="32"/>
        </w:rPr>
      </w:pPr>
      <w:r>
        <w:rPr>
          <w:rFonts w:ascii="宋体"/>
          <w:b/>
          <w:bCs/>
          <w:kern w:val="0"/>
          <w:sz w:val="32"/>
          <w:szCs w:val="32"/>
        </w:rPr>
        <w:br w:type="page"/>
      </w:r>
      <w:r>
        <w:rPr>
          <w:rFonts w:hint="eastAsia" w:ascii="宋体"/>
          <w:b/>
          <w:bCs/>
          <w:kern w:val="0"/>
          <w:sz w:val="32"/>
          <w:szCs w:val="32"/>
        </w:rPr>
        <w:t>第四部分   评审办法</w:t>
      </w:r>
    </w:p>
    <w:p w14:paraId="0B097732">
      <w:pPr>
        <w:spacing w:line="520" w:lineRule="exact"/>
        <w:ind w:firstLine="480" w:firstLineChars="200"/>
        <w:rPr>
          <w:rFonts w:ascii="宋体"/>
          <w:kern w:val="0"/>
          <w:sz w:val="24"/>
        </w:rPr>
      </w:pPr>
      <w:r>
        <w:rPr>
          <w:rFonts w:hint="eastAsia" w:ascii="宋体"/>
          <w:kern w:val="0"/>
          <w:sz w:val="24"/>
        </w:rPr>
        <w:t>一、采购人将组织磋商小组，对响应供应商提供价格的合理性、方案的先进性、服务的可靠性及售后服务进行评审。</w:t>
      </w:r>
    </w:p>
    <w:p w14:paraId="244CEB7A">
      <w:pPr>
        <w:spacing w:line="520" w:lineRule="exact"/>
        <w:ind w:firstLine="480" w:firstLineChars="200"/>
        <w:rPr>
          <w:rFonts w:ascii="宋体"/>
          <w:kern w:val="0"/>
          <w:sz w:val="24"/>
        </w:rPr>
      </w:pPr>
      <w:r>
        <w:rPr>
          <w:rFonts w:hint="eastAsia" w:ascii="宋体"/>
          <w:kern w:val="0"/>
          <w:sz w:val="24"/>
        </w:rPr>
        <w:t>二、决标办法</w:t>
      </w:r>
    </w:p>
    <w:p w14:paraId="58DAF609">
      <w:pPr>
        <w:spacing w:line="520" w:lineRule="exact"/>
        <w:ind w:firstLine="720" w:firstLineChars="300"/>
        <w:rPr>
          <w:rFonts w:ascii="宋体"/>
          <w:bCs/>
          <w:kern w:val="0"/>
          <w:sz w:val="24"/>
        </w:rPr>
      </w:pPr>
      <w:r>
        <w:rPr>
          <w:rFonts w:hint="eastAsia" w:ascii="宋体"/>
          <w:kern w:val="0"/>
          <w:sz w:val="24"/>
        </w:rPr>
        <w:t>本项目为竞争性磋商，故有</w:t>
      </w:r>
      <w:r>
        <w:rPr>
          <w:rFonts w:hint="eastAsia" w:ascii="宋体"/>
          <w:kern w:val="0"/>
          <w:sz w:val="24"/>
          <w:lang w:val="en-US" w:eastAsia="zh-CN"/>
        </w:rPr>
        <w:t>磋商和</w:t>
      </w:r>
      <w:r>
        <w:rPr>
          <w:rFonts w:hint="eastAsia" w:ascii="宋体"/>
          <w:kern w:val="0"/>
          <w:sz w:val="24"/>
        </w:rPr>
        <w:t>二次报价</w:t>
      </w:r>
      <w:r>
        <w:rPr>
          <w:rFonts w:hint="eastAsia" w:ascii="宋体"/>
          <w:kern w:val="0"/>
          <w:sz w:val="24"/>
          <w:lang w:val="en-US" w:eastAsia="zh-CN"/>
        </w:rPr>
        <w:t>环节</w:t>
      </w:r>
      <w:r>
        <w:rPr>
          <w:rFonts w:hint="eastAsia" w:ascii="宋体"/>
          <w:kern w:val="0"/>
          <w:sz w:val="24"/>
        </w:rPr>
        <w:t>，第二次报价后，</w:t>
      </w:r>
      <w:r>
        <w:rPr>
          <w:rFonts w:hint="eastAsia" w:ascii="宋体"/>
          <w:bCs/>
          <w:kern w:val="0"/>
          <w:sz w:val="24"/>
        </w:rPr>
        <w:t>经磋商确定最终采购需求和提交最后报价的供应商后，由磋商小组采用综合评分法对提交最后报价的供应商的响应文件和最后报价进行综合评分。综合得分最高的投标人为第一</w:t>
      </w:r>
      <w:r>
        <w:rPr>
          <w:rFonts w:hint="eastAsia" w:ascii="宋体"/>
          <w:bCs/>
          <w:kern w:val="0"/>
          <w:sz w:val="24"/>
          <w:lang w:eastAsia="zh-CN"/>
        </w:rPr>
        <w:t>成交</w:t>
      </w:r>
      <w:r>
        <w:rPr>
          <w:rFonts w:hint="eastAsia" w:ascii="宋体"/>
          <w:bCs/>
          <w:kern w:val="0"/>
          <w:sz w:val="24"/>
        </w:rPr>
        <w:t>候选供应商，综合得分次高的投标人为第二</w:t>
      </w:r>
      <w:r>
        <w:rPr>
          <w:rFonts w:hint="eastAsia" w:ascii="宋体"/>
          <w:bCs/>
          <w:kern w:val="0"/>
          <w:sz w:val="24"/>
          <w:lang w:eastAsia="zh-CN"/>
        </w:rPr>
        <w:t>成交</w:t>
      </w:r>
      <w:r>
        <w:rPr>
          <w:rFonts w:hint="eastAsia" w:ascii="宋体"/>
          <w:bCs/>
          <w:kern w:val="0"/>
          <w:sz w:val="24"/>
        </w:rPr>
        <w:t>候选供应商。</w:t>
      </w:r>
    </w:p>
    <w:p w14:paraId="6E112841">
      <w:pPr>
        <w:spacing w:line="360" w:lineRule="exact"/>
        <w:jc w:val="center"/>
        <w:rPr>
          <w:rFonts w:ascii="宋体"/>
          <w:b/>
          <w:bCs/>
          <w:kern w:val="0"/>
          <w:sz w:val="30"/>
          <w:szCs w:val="30"/>
        </w:rPr>
      </w:pPr>
      <w:r>
        <w:rPr>
          <w:rFonts w:hint="eastAsia" w:ascii="宋体"/>
          <w:b/>
          <w:bCs/>
          <w:kern w:val="0"/>
          <w:sz w:val="30"/>
          <w:szCs w:val="30"/>
        </w:rPr>
        <w:t>初步审查表</w:t>
      </w:r>
    </w:p>
    <w:p w14:paraId="06758C76">
      <w:pPr>
        <w:spacing w:line="360" w:lineRule="exact"/>
        <w:rPr>
          <w:rFonts w:hint="eastAsia" w:ascii="宋体" w:eastAsia="宋体"/>
          <w:bCs/>
          <w:kern w:val="0"/>
          <w:sz w:val="24"/>
          <w:lang w:eastAsia="zh-CN"/>
        </w:rPr>
      </w:pPr>
      <w:r>
        <w:rPr>
          <w:rFonts w:hint="eastAsia" w:ascii="宋体"/>
          <w:bCs/>
          <w:kern w:val="0"/>
          <w:sz w:val="24"/>
        </w:rPr>
        <w:t>项目名称：</w:t>
      </w:r>
      <w:r>
        <w:rPr>
          <w:rFonts w:hint="eastAsia" w:ascii="宋体"/>
          <w:bCs/>
          <w:kern w:val="0"/>
          <w:sz w:val="24"/>
          <w:lang w:eastAsia="zh-CN"/>
        </w:rPr>
        <w:t>海南政法职业学院网站群平台建设项目</w:t>
      </w:r>
    </w:p>
    <w:p w14:paraId="3F0BA84A">
      <w:pPr>
        <w:spacing w:line="360" w:lineRule="exact"/>
        <w:rPr>
          <w:rFonts w:hint="eastAsia" w:ascii="宋体" w:eastAsia="宋体"/>
          <w:bCs/>
          <w:kern w:val="0"/>
          <w:sz w:val="24"/>
          <w:lang w:eastAsia="zh-CN"/>
        </w:rPr>
      </w:pPr>
      <w:r>
        <w:rPr>
          <w:rFonts w:hint="eastAsia" w:ascii="宋体"/>
          <w:bCs/>
          <w:kern w:val="0"/>
          <w:sz w:val="24"/>
        </w:rPr>
        <w:t>项目编号：</w:t>
      </w:r>
      <w:r>
        <w:rPr>
          <w:rFonts w:hint="eastAsia" w:ascii="宋体"/>
          <w:bCs/>
          <w:kern w:val="0"/>
          <w:sz w:val="24"/>
          <w:lang w:eastAsia="zh-CN"/>
        </w:rPr>
        <w:t>HNJY2025-14-8</w:t>
      </w:r>
    </w:p>
    <w:tbl>
      <w:tblPr>
        <w:tblStyle w:val="37"/>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47"/>
        <w:gridCol w:w="3476"/>
        <w:gridCol w:w="1134"/>
        <w:gridCol w:w="992"/>
        <w:gridCol w:w="993"/>
        <w:gridCol w:w="1069"/>
      </w:tblGrid>
      <w:tr w14:paraId="0C9B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20A2A973">
            <w:pPr>
              <w:spacing w:line="360" w:lineRule="exact"/>
              <w:jc w:val="center"/>
              <w:rPr>
                <w:rFonts w:ascii="宋体" w:hAnsi="宋体"/>
                <w:sz w:val="24"/>
              </w:rPr>
            </w:pPr>
            <w:r>
              <w:rPr>
                <w:rFonts w:hint="eastAsia" w:ascii="宋体" w:hAnsi="宋体"/>
                <w:sz w:val="24"/>
              </w:rPr>
              <w:t>序号</w:t>
            </w:r>
          </w:p>
        </w:tc>
        <w:tc>
          <w:tcPr>
            <w:tcW w:w="1547" w:type="dxa"/>
            <w:tcBorders>
              <w:top w:val="single" w:color="auto" w:sz="4" w:space="0"/>
              <w:left w:val="single" w:color="auto" w:sz="4" w:space="0"/>
              <w:bottom w:val="single" w:color="auto" w:sz="4" w:space="0"/>
              <w:right w:val="single" w:color="auto" w:sz="4" w:space="0"/>
            </w:tcBorders>
            <w:noWrap/>
            <w:vAlign w:val="center"/>
          </w:tcPr>
          <w:p w14:paraId="1A99DCBC">
            <w:pPr>
              <w:spacing w:line="360" w:lineRule="exact"/>
              <w:jc w:val="center"/>
              <w:rPr>
                <w:rFonts w:ascii="宋体" w:hAnsi="宋体"/>
                <w:sz w:val="24"/>
              </w:rPr>
            </w:pPr>
            <w:r>
              <w:rPr>
                <w:rFonts w:hint="eastAsia" w:ascii="宋体" w:hAnsi="宋体"/>
                <w:sz w:val="24"/>
              </w:rPr>
              <w:t>审查项目</w:t>
            </w:r>
          </w:p>
        </w:tc>
        <w:tc>
          <w:tcPr>
            <w:tcW w:w="3476" w:type="dxa"/>
            <w:tcBorders>
              <w:top w:val="single" w:color="auto" w:sz="4" w:space="0"/>
              <w:left w:val="single" w:color="auto" w:sz="4" w:space="0"/>
              <w:bottom w:val="single" w:color="auto" w:sz="4" w:space="0"/>
              <w:right w:val="single" w:color="auto" w:sz="4" w:space="0"/>
            </w:tcBorders>
            <w:noWrap/>
            <w:vAlign w:val="center"/>
          </w:tcPr>
          <w:p w14:paraId="7F77888B">
            <w:pPr>
              <w:spacing w:line="360" w:lineRule="exact"/>
              <w:jc w:val="center"/>
              <w:rPr>
                <w:rFonts w:ascii="宋体" w:hAnsi="宋体"/>
                <w:sz w:val="24"/>
              </w:rPr>
            </w:pPr>
            <w:r>
              <w:rPr>
                <w:rFonts w:hint="eastAsia" w:ascii="宋体" w:hAnsi="宋体"/>
                <w:sz w:val="24"/>
              </w:rPr>
              <w:t>评议内容（投标认定条件）</w:t>
            </w:r>
          </w:p>
        </w:tc>
        <w:tc>
          <w:tcPr>
            <w:tcW w:w="1134" w:type="dxa"/>
            <w:tcBorders>
              <w:top w:val="single" w:color="auto" w:sz="4" w:space="0"/>
              <w:left w:val="single" w:color="auto" w:sz="4" w:space="0"/>
              <w:bottom w:val="single" w:color="auto" w:sz="4" w:space="0"/>
              <w:right w:val="single" w:color="auto" w:sz="4" w:space="0"/>
            </w:tcBorders>
            <w:noWrap/>
            <w:vAlign w:val="center"/>
          </w:tcPr>
          <w:p w14:paraId="7694175A">
            <w:pPr>
              <w:spacing w:line="360" w:lineRule="exact"/>
              <w:jc w:val="center"/>
              <w:rPr>
                <w:rFonts w:ascii="宋体" w:hAnsi="宋体"/>
                <w:b/>
              </w:rPr>
            </w:pPr>
            <w:r>
              <w:rPr>
                <w:rFonts w:hint="eastAsia" w:ascii="宋体" w:hAnsi="宋体"/>
                <w:b/>
              </w:rPr>
              <w:t>供应商1</w:t>
            </w:r>
          </w:p>
        </w:tc>
        <w:tc>
          <w:tcPr>
            <w:tcW w:w="992" w:type="dxa"/>
            <w:tcBorders>
              <w:top w:val="single" w:color="auto" w:sz="4" w:space="0"/>
              <w:left w:val="single" w:color="auto" w:sz="4" w:space="0"/>
              <w:bottom w:val="single" w:color="auto" w:sz="4" w:space="0"/>
              <w:right w:val="single" w:color="auto" w:sz="4" w:space="0"/>
            </w:tcBorders>
            <w:noWrap/>
            <w:vAlign w:val="center"/>
          </w:tcPr>
          <w:p w14:paraId="2E5F8943">
            <w:pPr>
              <w:spacing w:line="360" w:lineRule="exact"/>
              <w:jc w:val="center"/>
              <w:rPr>
                <w:rFonts w:ascii="宋体" w:hAnsi="宋体"/>
                <w:b/>
              </w:rPr>
            </w:pPr>
            <w:r>
              <w:rPr>
                <w:rFonts w:hint="eastAsia" w:ascii="宋体" w:hAnsi="宋体"/>
                <w:b/>
              </w:rPr>
              <w:t>供应商2</w:t>
            </w:r>
          </w:p>
        </w:tc>
        <w:tc>
          <w:tcPr>
            <w:tcW w:w="993" w:type="dxa"/>
            <w:tcBorders>
              <w:top w:val="single" w:color="auto" w:sz="4" w:space="0"/>
              <w:left w:val="single" w:color="auto" w:sz="4" w:space="0"/>
              <w:bottom w:val="single" w:color="auto" w:sz="4" w:space="0"/>
              <w:right w:val="single" w:color="auto" w:sz="4" w:space="0"/>
            </w:tcBorders>
            <w:noWrap/>
            <w:vAlign w:val="center"/>
          </w:tcPr>
          <w:p w14:paraId="27A46EB9">
            <w:pPr>
              <w:spacing w:line="360" w:lineRule="exact"/>
              <w:jc w:val="center"/>
              <w:rPr>
                <w:rFonts w:ascii="宋体" w:hAnsi="宋体"/>
                <w:b/>
              </w:rPr>
            </w:pPr>
            <w:r>
              <w:rPr>
                <w:rFonts w:hint="eastAsia" w:ascii="宋体" w:hAnsi="宋体"/>
                <w:b/>
              </w:rPr>
              <w:t>供应商3</w:t>
            </w:r>
          </w:p>
        </w:tc>
        <w:tc>
          <w:tcPr>
            <w:tcW w:w="1069" w:type="dxa"/>
            <w:tcBorders>
              <w:top w:val="single" w:color="auto" w:sz="4" w:space="0"/>
              <w:left w:val="single" w:color="auto" w:sz="4" w:space="0"/>
              <w:bottom w:val="single" w:color="auto" w:sz="4" w:space="0"/>
              <w:right w:val="single" w:color="auto" w:sz="4" w:space="0"/>
            </w:tcBorders>
            <w:noWrap/>
            <w:vAlign w:val="center"/>
          </w:tcPr>
          <w:p w14:paraId="32A55988">
            <w:pPr>
              <w:spacing w:line="360" w:lineRule="exact"/>
              <w:jc w:val="center"/>
              <w:rPr>
                <w:rFonts w:ascii="宋体" w:hAnsi="宋体"/>
                <w:b/>
              </w:rPr>
            </w:pPr>
            <w:r>
              <w:rPr>
                <w:rFonts w:hint="eastAsia" w:ascii="宋体" w:hAnsi="宋体"/>
                <w:b/>
              </w:rPr>
              <w:t>供应商4</w:t>
            </w:r>
          </w:p>
        </w:tc>
      </w:tr>
      <w:tr w14:paraId="0DEB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668F79E7">
            <w:pPr>
              <w:spacing w:line="360" w:lineRule="exact"/>
              <w:jc w:val="center"/>
              <w:rPr>
                <w:rFonts w:ascii="宋体" w:hAnsi="宋体"/>
                <w:sz w:val="24"/>
              </w:rPr>
            </w:pPr>
            <w:r>
              <w:rPr>
                <w:rFonts w:hint="eastAsia" w:ascii="宋体" w:hAnsi="宋体"/>
                <w:sz w:val="24"/>
              </w:rPr>
              <w:t>1</w:t>
            </w:r>
          </w:p>
        </w:tc>
        <w:tc>
          <w:tcPr>
            <w:tcW w:w="1547" w:type="dxa"/>
            <w:tcBorders>
              <w:top w:val="single" w:color="auto" w:sz="4" w:space="0"/>
              <w:left w:val="single" w:color="auto" w:sz="4" w:space="0"/>
              <w:bottom w:val="single" w:color="auto" w:sz="4" w:space="0"/>
              <w:right w:val="single" w:color="auto" w:sz="4" w:space="0"/>
            </w:tcBorders>
            <w:noWrap/>
            <w:vAlign w:val="center"/>
          </w:tcPr>
          <w:p w14:paraId="6DF05860">
            <w:pPr>
              <w:spacing w:line="360" w:lineRule="exact"/>
              <w:jc w:val="center"/>
              <w:rPr>
                <w:rFonts w:ascii="宋体" w:hAnsi="宋体"/>
                <w:sz w:val="24"/>
              </w:rPr>
            </w:pPr>
            <w:r>
              <w:rPr>
                <w:rFonts w:hint="eastAsia" w:ascii="宋体" w:hAnsi="宋体"/>
                <w:sz w:val="24"/>
              </w:rPr>
              <w:t>供应商资格</w:t>
            </w:r>
          </w:p>
        </w:tc>
        <w:tc>
          <w:tcPr>
            <w:tcW w:w="3476" w:type="dxa"/>
            <w:tcBorders>
              <w:top w:val="single" w:color="auto" w:sz="4" w:space="0"/>
              <w:left w:val="single" w:color="auto" w:sz="4" w:space="0"/>
              <w:bottom w:val="single" w:color="auto" w:sz="4" w:space="0"/>
              <w:right w:val="single" w:color="auto" w:sz="4" w:space="0"/>
            </w:tcBorders>
            <w:noWrap/>
            <w:vAlign w:val="center"/>
          </w:tcPr>
          <w:p w14:paraId="09F023AE">
            <w:pPr>
              <w:spacing w:line="360" w:lineRule="exact"/>
              <w:rPr>
                <w:rFonts w:ascii="宋体" w:hAnsi="宋体"/>
                <w:sz w:val="24"/>
              </w:rPr>
            </w:pPr>
            <w:r>
              <w:rPr>
                <w:rFonts w:hint="eastAsia" w:ascii="宋体" w:hAnsi="宋体"/>
                <w:sz w:val="24"/>
              </w:rPr>
              <w:t>是否按供应商资格要求提供合格的证件</w:t>
            </w:r>
          </w:p>
        </w:tc>
        <w:tc>
          <w:tcPr>
            <w:tcW w:w="1134" w:type="dxa"/>
            <w:tcBorders>
              <w:top w:val="single" w:color="auto" w:sz="4" w:space="0"/>
              <w:left w:val="single" w:color="auto" w:sz="4" w:space="0"/>
              <w:bottom w:val="single" w:color="auto" w:sz="4" w:space="0"/>
              <w:right w:val="single" w:color="auto" w:sz="4" w:space="0"/>
            </w:tcBorders>
            <w:noWrap/>
            <w:vAlign w:val="center"/>
          </w:tcPr>
          <w:p w14:paraId="1DDFA7AE">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FB44FD6">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02E31AB">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06E3C3BA">
            <w:pPr>
              <w:spacing w:line="360" w:lineRule="exact"/>
              <w:jc w:val="center"/>
              <w:rPr>
                <w:rFonts w:ascii="宋体" w:hAnsi="宋体"/>
                <w:sz w:val="24"/>
              </w:rPr>
            </w:pPr>
          </w:p>
        </w:tc>
      </w:tr>
      <w:tr w14:paraId="3C69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412FF58D">
            <w:pPr>
              <w:spacing w:line="360" w:lineRule="exact"/>
              <w:jc w:val="center"/>
              <w:rPr>
                <w:rFonts w:ascii="宋体" w:hAnsi="宋体"/>
                <w:sz w:val="24"/>
              </w:rPr>
            </w:pPr>
            <w:r>
              <w:rPr>
                <w:rFonts w:hint="eastAsia" w:ascii="宋体" w:hAnsi="宋体"/>
                <w:sz w:val="24"/>
              </w:rPr>
              <w:t>2</w:t>
            </w:r>
          </w:p>
        </w:tc>
        <w:tc>
          <w:tcPr>
            <w:tcW w:w="1547" w:type="dxa"/>
            <w:tcBorders>
              <w:top w:val="single" w:color="auto" w:sz="4" w:space="0"/>
              <w:left w:val="single" w:color="auto" w:sz="4" w:space="0"/>
              <w:bottom w:val="single" w:color="auto" w:sz="4" w:space="0"/>
              <w:right w:val="single" w:color="auto" w:sz="4" w:space="0"/>
            </w:tcBorders>
            <w:noWrap/>
            <w:vAlign w:val="center"/>
          </w:tcPr>
          <w:p w14:paraId="54168877">
            <w:pPr>
              <w:spacing w:line="360" w:lineRule="exact"/>
              <w:jc w:val="center"/>
              <w:rPr>
                <w:rFonts w:ascii="宋体" w:hAnsi="宋体"/>
                <w:sz w:val="24"/>
              </w:rPr>
            </w:pPr>
            <w:r>
              <w:rPr>
                <w:rFonts w:hint="eastAsia" w:ascii="宋体" w:hAnsi="宋体"/>
                <w:sz w:val="24"/>
              </w:rPr>
              <w:t>响应文件的有效性</w:t>
            </w:r>
          </w:p>
        </w:tc>
        <w:tc>
          <w:tcPr>
            <w:tcW w:w="3476" w:type="dxa"/>
            <w:tcBorders>
              <w:top w:val="single" w:color="auto" w:sz="4" w:space="0"/>
              <w:left w:val="single" w:color="auto" w:sz="4" w:space="0"/>
              <w:bottom w:val="single" w:color="auto" w:sz="4" w:space="0"/>
              <w:right w:val="single" w:color="auto" w:sz="4" w:space="0"/>
            </w:tcBorders>
            <w:noWrap/>
            <w:vAlign w:val="center"/>
          </w:tcPr>
          <w:p w14:paraId="3865EB63">
            <w:pPr>
              <w:spacing w:line="360" w:lineRule="exact"/>
              <w:rPr>
                <w:rFonts w:ascii="宋体" w:hAnsi="宋体"/>
                <w:sz w:val="24"/>
              </w:rPr>
            </w:pPr>
            <w:r>
              <w:rPr>
                <w:rFonts w:hint="eastAsia" w:ascii="宋体" w:hAnsi="宋体"/>
                <w:sz w:val="24"/>
              </w:rPr>
              <w:t>是否符合响应文件的式样和签署要求且内容完整无缺漏、无错误</w:t>
            </w:r>
          </w:p>
        </w:tc>
        <w:tc>
          <w:tcPr>
            <w:tcW w:w="1134" w:type="dxa"/>
            <w:tcBorders>
              <w:top w:val="single" w:color="auto" w:sz="4" w:space="0"/>
              <w:left w:val="single" w:color="auto" w:sz="4" w:space="0"/>
              <w:bottom w:val="single" w:color="auto" w:sz="4" w:space="0"/>
              <w:right w:val="single" w:color="auto" w:sz="4" w:space="0"/>
            </w:tcBorders>
            <w:noWrap/>
            <w:vAlign w:val="center"/>
          </w:tcPr>
          <w:p w14:paraId="0F44CA2A">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7F48A92">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FD225A4">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42FA10E4">
            <w:pPr>
              <w:spacing w:line="360" w:lineRule="exact"/>
              <w:jc w:val="center"/>
              <w:rPr>
                <w:rFonts w:ascii="宋体" w:hAnsi="宋体"/>
                <w:sz w:val="24"/>
              </w:rPr>
            </w:pPr>
          </w:p>
        </w:tc>
      </w:tr>
      <w:tr w14:paraId="4D8E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1505D81C">
            <w:pPr>
              <w:spacing w:line="360" w:lineRule="exact"/>
              <w:jc w:val="center"/>
              <w:rPr>
                <w:rFonts w:hint="eastAsia" w:ascii="宋体" w:hAnsi="宋体" w:eastAsia="宋体"/>
                <w:sz w:val="24"/>
                <w:lang w:eastAsia="zh-CN"/>
              </w:rPr>
            </w:pPr>
            <w:r>
              <w:rPr>
                <w:rFonts w:hint="eastAsia" w:ascii="宋体" w:hAnsi="宋体"/>
                <w:sz w:val="24"/>
                <w:lang w:val="en-US" w:eastAsia="zh-CN"/>
              </w:rPr>
              <w:t>3</w:t>
            </w:r>
          </w:p>
        </w:tc>
        <w:tc>
          <w:tcPr>
            <w:tcW w:w="1547" w:type="dxa"/>
            <w:tcBorders>
              <w:top w:val="single" w:color="auto" w:sz="4" w:space="0"/>
              <w:left w:val="single" w:color="auto" w:sz="4" w:space="0"/>
              <w:bottom w:val="single" w:color="auto" w:sz="4" w:space="0"/>
              <w:right w:val="single" w:color="auto" w:sz="4" w:space="0"/>
            </w:tcBorders>
            <w:noWrap/>
            <w:vAlign w:val="center"/>
          </w:tcPr>
          <w:p w14:paraId="096A7649">
            <w:pPr>
              <w:spacing w:line="360" w:lineRule="exact"/>
              <w:jc w:val="center"/>
              <w:rPr>
                <w:rFonts w:ascii="宋体" w:hAnsi="宋体"/>
                <w:sz w:val="24"/>
              </w:rPr>
            </w:pPr>
            <w:r>
              <w:rPr>
                <w:rFonts w:hint="eastAsia" w:ascii="宋体" w:hAnsi="宋体"/>
                <w:sz w:val="24"/>
              </w:rPr>
              <w:t>响应有效期</w:t>
            </w:r>
          </w:p>
        </w:tc>
        <w:tc>
          <w:tcPr>
            <w:tcW w:w="3476" w:type="dxa"/>
            <w:tcBorders>
              <w:top w:val="single" w:color="auto" w:sz="4" w:space="0"/>
              <w:left w:val="single" w:color="auto" w:sz="4" w:space="0"/>
              <w:bottom w:val="single" w:color="auto" w:sz="4" w:space="0"/>
              <w:right w:val="single" w:color="auto" w:sz="4" w:space="0"/>
            </w:tcBorders>
            <w:noWrap/>
            <w:vAlign w:val="center"/>
          </w:tcPr>
          <w:p w14:paraId="7F49112E">
            <w:pPr>
              <w:spacing w:line="360" w:lineRule="exact"/>
              <w:rPr>
                <w:rFonts w:ascii="宋体" w:hAnsi="宋体"/>
                <w:sz w:val="24"/>
              </w:rPr>
            </w:pPr>
            <w:r>
              <w:rPr>
                <w:rFonts w:hint="eastAsia" w:ascii="宋体" w:hAnsi="宋体"/>
                <w:sz w:val="24"/>
              </w:rPr>
              <w:t>响应有效期是否满足90天</w:t>
            </w:r>
          </w:p>
        </w:tc>
        <w:tc>
          <w:tcPr>
            <w:tcW w:w="1134" w:type="dxa"/>
            <w:tcBorders>
              <w:top w:val="single" w:color="auto" w:sz="4" w:space="0"/>
              <w:left w:val="single" w:color="auto" w:sz="4" w:space="0"/>
              <w:bottom w:val="single" w:color="auto" w:sz="4" w:space="0"/>
              <w:right w:val="single" w:color="auto" w:sz="4" w:space="0"/>
            </w:tcBorders>
            <w:noWrap/>
            <w:vAlign w:val="center"/>
          </w:tcPr>
          <w:p w14:paraId="4F0E51C3">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003B3FF">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FC1B5FA">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5B1A9445">
            <w:pPr>
              <w:spacing w:line="360" w:lineRule="exact"/>
              <w:jc w:val="center"/>
              <w:rPr>
                <w:rFonts w:ascii="宋体" w:hAnsi="宋体"/>
                <w:sz w:val="24"/>
              </w:rPr>
            </w:pPr>
          </w:p>
        </w:tc>
      </w:tr>
      <w:tr w14:paraId="0FC1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6AD4C1C7">
            <w:pPr>
              <w:spacing w:line="360" w:lineRule="exact"/>
              <w:jc w:val="center"/>
              <w:rPr>
                <w:rFonts w:hint="eastAsia" w:ascii="宋体" w:hAnsi="宋体" w:eastAsia="宋体"/>
                <w:sz w:val="24"/>
                <w:lang w:eastAsia="zh-CN"/>
              </w:rPr>
            </w:pPr>
            <w:r>
              <w:rPr>
                <w:rFonts w:hint="eastAsia" w:ascii="宋体" w:hAnsi="宋体"/>
                <w:sz w:val="24"/>
                <w:lang w:val="en-US" w:eastAsia="zh-CN"/>
              </w:rPr>
              <w:t>4</w:t>
            </w:r>
          </w:p>
        </w:tc>
        <w:tc>
          <w:tcPr>
            <w:tcW w:w="1547" w:type="dxa"/>
            <w:tcBorders>
              <w:top w:val="single" w:color="auto" w:sz="4" w:space="0"/>
              <w:left w:val="single" w:color="auto" w:sz="4" w:space="0"/>
              <w:bottom w:val="single" w:color="auto" w:sz="4" w:space="0"/>
              <w:right w:val="single" w:color="auto" w:sz="4" w:space="0"/>
            </w:tcBorders>
            <w:noWrap/>
            <w:vAlign w:val="center"/>
          </w:tcPr>
          <w:p w14:paraId="0B7B9A7C">
            <w:pPr>
              <w:spacing w:line="360" w:lineRule="exact"/>
              <w:jc w:val="center"/>
              <w:rPr>
                <w:rFonts w:ascii="宋体" w:hAnsi="宋体"/>
                <w:sz w:val="24"/>
              </w:rPr>
            </w:pPr>
            <w:r>
              <w:rPr>
                <w:rFonts w:hint="eastAsia" w:ascii="宋体" w:hAnsi="宋体"/>
                <w:sz w:val="24"/>
                <w:lang w:val="en-US" w:eastAsia="zh-CN"/>
              </w:rPr>
              <w:t>交付</w:t>
            </w:r>
            <w:r>
              <w:rPr>
                <w:rFonts w:hint="eastAsia" w:ascii="宋体" w:hAnsi="宋体"/>
                <w:sz w:val="24"/>
              </w:rPr>
              <w:t>期</w:t>
            </w:r>
          </w:p>
        </w:tc>
        <w:tc>
          <w:tcPr>
            <w:tcW w:w="3476" w:type="dxa"/>
            <w:tcBorders>
              <w:top w:val="single" w:color="auto" w:sz="4" w:space="0"/>
              <w:left w:val="single" w:color="auto" w:sz="4" w:space="0"/>
              <w:bottom w:val="single" w:color="auto" w:sz="4" w:space="0"/>
              <w:right w:val="single" w:color="auto" w:sz="4" w:space="0"/>
            </w:tcBorders>
            <w:noWrap/>
            <w:vAlign w:val="center"/>
          </w:tcPr>
          <w:p w14:paraId="679BCC5C">
            <w:pPr>
              <w:spacing w:line="360" w:lineRule="exact"/>
              <w:rPr>
                <w:rFonts w:ascii="宋体" w:hAnsi="宋体"/>
                <w:sz w:val="24"/>
              </w:rPr>
            </w:pPr>
            <w:r>
              <w:rPr>
                <w:rFonts w:hint="eastAsia" w:ascii="宋体" w:hAnsi="宋体"/>
                <w:sz w:val="24"/>
              </w:rPr>
              <w:t>是否按照</w:t>
            </w:r>
            <w:r>
              <w:rPr>
                <w:rFonts w:hint="eastAsia" w:ascii="宋体" w:hAnsi="宋体"/>
                <w:sz w:val="24"/>
                <w:lang w:eastAsia="zh-CN"/>
              </w:rPr>
              <w:t>采购文件</w:t>
            </w:r>
            <w:r>
              <w:rPr>
                <w:rFonts w:hint="eastAsia" w:ascii="宋体" w:hAnsi="宋体"/>
                <w:sz w:val="24"/>
              </w:rPr>
              <w:t>规定时间</w:t>
            </w:r>
          </w:p>
        </w:tc>
        <w:tc>
          <w:tcPr>
            <w:tcW w:w="1134" w:type="dxa"/>
            <w:tcBorders>
              <w:top w:val="single" w:color="auto" w:sz="4" w:space="0"/>
              <w:left w:val="single" w:color="auto" w:sz="4" w:space="0"/>
              <w:bottom w:val="single" w:color="auto" w:sz="4" w:space="0"/>
              <w:right w:val="single" w:color="auto" w:sz="4" w:space="0"/>
            </w:tcBorders>
            <w:noWrap/>
            <w:vAlign w:val="center"/>
          </w:tcPr>
          <w:p w14:paraId="7DCF8A9B">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675275C">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58E21C2">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600C0EFF">
            <w:pPr>
              <w:spacing w:line="360" w:lineRule="exact"/>
              <w:jc w:val="center"/>
              <w:rPr>
                <w:rFonts w:ascii="宋体" w:hAnsi="宋体"/>
                <w:sz w:val="24"/>
              </w:rPr>
            </w:pPr>
          </w:p>
        </w:tc>
      </w:tr>
      <w:tr w14:paraId="7B8D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1AD1BB2D">
            <w:pPr>
              <w:spacing w:line="360" w:lineRule="exact"/>
              <w:jc w:val="center"/>
              <w:rPr>
                <w:rFonts w:hint="eastAsia" w:ascii="宋体" w:hAnsi="宋体" w:eastAsia="宋体"/>
                <w:sz w:val="24"/>
                <w:lang w:eastAsia="zh-CN"/>
              </w:rPr>
            </w:pPr>
            <w:r>
              <w:rPr>
                <w:rFonts w:hint="eastAsia" w:ascii="宋体" w:hAnsi="宋体"/>
                <w:sz w:val="24"/>
                <w:lang w:val="en-US" w:eastAsia="zh-CN"/>
              </w:rPr>
              <w:t>5</w:t>
            </w:r>
          </w:p>
        </w:tc>
        <w:tc>
          <w:tcPr>
            <w:tcW w:w="1547" w:type="dxa"/>
            <w:tcBorders>
              <w:top w:val="single" w:color="auto" w:sz="4" w:space="0"/>
              <w:left w:val="single" w:color="auto" w:sz="4" w:space="0"/>
              <w:bottom w:val="single" w:color="auto" w:sz="4" w:space="0"/>
              <w:right w:val="single" w:color="auto" w:sz="4" w:space="0"/>
            </w:tcBorders>
            <w:noWrap/>
            <w:vAlign w:val="center"/>
          </w:tcPr>
          <w:p w14:paraId="729D664D">
            <w:pPr>
              <w:spacing w:line="360" w:lineRule="exact"/>
              <w:jc w:val="center"/>
              <w:rPr>
                <w:rFonts w:ascii="宋体" w:hAnsi="宋体"/>
                <w:sz w:val="24"/>
              </w:rPr>
            </w:pPr>
            <w:r>
              <w:rPr>
                <w:rFonts w:hint="eastAsia" w:ascii="宋体" w:hAnsi="宋体"/>
                <w:sz w:val="24"/>
              </w:rPr>
              <w:t>其它</w:t>
            </w:r>
          </w:p>
        </w:tc>
        <w:tc>
          <w:tcPr>
            <w:tcW w:w="3476" w:type="dxa"/>
            <w:tcBorders>
              <w:top w:val="single" w:color="auto" w:sz="4" w:space="0"/>
              <w:left w:val="single" w:color="auto" w:sz="4" w:space="0"/>
              <w:bottom w:val="single" w:color="auto" w:sz="4" w:space="0"/>
              <w:right w:val="single" w:color="auto" w:sz="4" w:space="0"/>
            </w:tcBorders>
            <w:noWrap/>
            <w:vAlign w:val="center"/>
          </w:tcPr>
          <w:p w14:paraId="1C579130">
            <w:pPr>
              <w:spacing w:line="360" w:lineRule="exact"/>
              <w:rPr>
                <w:rFonts w:ascii="宋体" w:hAnsi="宋体"/>
                <w:sz w:val="24"/>
              </w:rPr>
            </w:pPr>
            <w:r>
              <w:rPr>
                <w:rFonts w:hint="eastAsia" w:ascii="宋体" w:hAnsi="宋体"/>
                <w:sz w:val="24"/>
              </w:rPr>
              <w:t>无其它符合</w:t>
            </w:r>
            <w:r>
              <w:rPr>
                <w:rFonts w:hint="eastAsia" w:ascii="宋体" w:hAnsi="宋体"/>
                <w:sz w:val="24"/>
                <w:lang w:eastAsia="zh-CN"/>
              </w:rPr>
              <w:t>采购文件</w:t>
            </w:r>
            <w:r>
              <w:rPr>
                <w:rFonts w:hint="eastAsia" w:ascii="宋体" w:hAnsi="宋体"/>
                <w:sz w:val="24"/>
              </w:rPr>
              <w:t>中无效投标认定条件</w:t>
            </w:r>
          </w:p>
        </w:tc>
        <w:tc>
          <w:tcPr>
            <w:tcW w:w="1134" w:type="dxa"/>
            <w:tcBorders>
              <w:top w:val="single" w:color="auto" w:sz="4" w:space="0"/>
              <w:left w:val="single" w:color="auto" w:sz="4" w:space="0"/>
              <w:bottom w:val="single" w:color="auto" w:sz="4" w:space="0"/>
              <w:right w:val="single" w:color="auto" w:sz="4" w:space="0"/>
            </w:tcBorders>
            <w:noWrap/>
            <w:vAlign w:val="center"/>
          </w:tcPr>
          <w:p w14:paraId="2E1E581F">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54E01D8">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DE8E27A">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66D0FAD4">
            <w:pPr>
              <w:spacing w:line="360" w:lineRule="exact"/>
              <w:jc w:val="center"/>
              <w:rPr>
                <w:rFonts w:ascii="宋体" w:hAnsi="宋体"/>
                <w:sz w:val="24"/>
              </w:rPr>
            </w:pPr>
          </w:p>
        </w:tc>
      </w:tr>
      <w:tr w14:paraId="70C1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3E6401B2">
            <w:pPr>
              <w:spacing w:line="360" w:lineRule="exact"/>
              <w:jc w:val="center"/>
              <w:rPr>
                <w:rFonts w:hint="eastAsia" w:ascii="宋体" w:hAnsi="宋体" w:eastAsia="宋体"/>
                <w:sz w:val="24"/>
                <w:lang w:eastAsia="zh-CN"/>
              </w:rPr>
            </w:pPr>
            <w:r>
              <w:rPr>
                <w:rFonts w:hint="eastAsia" w:ascii="宋体" w:hAnsi="宋体"/>
                <w:sz w:val="24"/>
                <w:lang w:val="en-US" w:eastAsia="zh-CN"/>
              </w:rPr>
              <w:t>6</w:t>
            </w:r>
          </w:p>
        </w:tc>
        <w:tc>
          <w:tcPr>
            <w:tcW w:w="1547" w:type="dxa"/>
            <w:tcBorders>
              <w:top w:val="single" w:color="auto" w:sz="4" w:space="0"/>
              <w:left w:val="single" w:color="auto" w:sz="4" w:space="0"/>
              <w:bottom w:val="single" w:color="auto" w:sz="4" w:space="0"/>
              <w:right w:val="single" w:color="auto" w:sz="4" w:space="0"/>
            </w:tcBorders>
            <w:noWrap/>
            <w:vAlign w:val="center"/>
          </w:tcPr>
          <w:p w14:paraId="34D084A4">
            <w:pPr>
              <w:spacing w:line="360" w:lineRule="exact"/>
              <w:jc w:val="center"/>
              <w:rPr>
                <w:rFonts w:ascii="宋体" w:hAnsi="宋体"/>
                <w:sz w:val="24"/>
              </w:rPr>
            </w:pPr>
          </w:p>
        </w:tc>
        <w:tc>
          <w:tcPr>
            <w:tcW w:w="3476" w:type="dxa"/>
            <w:tcBorders>
              <w:top w:val="single" w:color="auto" w:sz="4" w:space="0"/>
              <w:left w:val="single" w:color="auto" w:sz="4" w:space="0"/>
              <w:bottom w:val="single" w:color="auto" w:sz="4" w:space="0"/>
              <w:right w:val="single" w:color="auto" w:sz="4" w:space="0"/>
            </w:tcBorders>
            <w:noWrap/>
            <w:vAlign w:val="center"/>
          </w:tcPr>
          <w:p w14:paraId="0F5FB3F8">
            <w:pPr>
              <w:spacing w:line="360" w:lineRule="exact"/>
              <w:rPr>
                <w:rFonts w:ascii="宋体" w:hAnsi="宋体"/>
                <w:sz w:val="24"/>
              </w:rPr>
            </w:pPr>
            <w:r>
              <w:rPr>
                <w:rFonts w:hint="eastAsia" w:ascii="宋体" w:hAnsi="宋体"/>
                <w:sz w:val="24"/>
              </w:rPr>
              <w:t>结论</w:t>
            </w:r>
          </w:p>
        </w:tc>
        <w:tc>
          <w:tcPr>
            <w:tcW w:w="1134" w:type="dxa"/>
            <w:tcBorders>
              <w:top w:val="single" w:color="auto" w:sz="4" w:space="0"/>
              <w:left w:val="single" w:color="auto" w:sz="4" w:space="0"/>
              <w:bottom w:val="single" w:color="auto" w:sz="4" w:space="0"/>
              <w:right w:val="single" w:color="auto" w:sz="4" w:space="0"/>
            </w:tcBorders>
            <w:noWrap/>
            <w:vAlign w:val="center"/>
          </w:tcPr>
          <w:p w14:paraId="6FE9CC0C">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1F18D4D">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D9FD22A">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39AC2805">
            <w:pPr>
              <w:spacing w:line="360" w:lineRule="exact"/>
              <w:jc w:val="center"/>
              <w:rPr>
                <w:rFonts w:ascii="宋体" w:hAnsi="宋体"/>
                <w:sz w:val="24"/>
              </w:rPr>
            </w:pPr>
          </w:p>
        </w:tc>
      </w:tr>
      <w:tr w14:paraId="0CEA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8801" w:type="dxa"/>
            <w:gridSpan w:val="6"/>
            <w:tcBorders>
              <w:top w:val="single" w:color="auto" w:sz="4" w:space="0"/>
              <w:left w:val="single" w:color="auto" w:sz="4" w:space="0"/>
              <w:bottom w:val="single" w:color="auto" w:sz="4" w:space="0"/>
              <w:right w:val="single" w:color="auto" w:sz="4" w:space="0"/>
            </w:tcBorders>
            <w:noWrap/>
            <w:vAlign w:val="center"/>
          </w:tcPr>
          <w:p w14:paraId="37AF1E3C">
            <w:pPr>
              <w:spacing w:line="360" w:lineRule="exact"/>
              <w:jc w:val="left"/>
              <w:rPr>
                <w:rFonts w:ascii="宋体" w:hAnsi="宋体"/>
                <w:sz w:val="24"/>
              </w:rPr>
            </w:pPr>
            <w:r>
              <w:rPr>
                <w:rFonts w:hint="eastAsia" w:ascii="宋体" w:hAnsi="宋体"/>
                <w:sz w:val="24"/>
              </w:rPr>
              <w:t>备注：</w:t>
            </w:r>
          </w:p>
        </w:tc>
        <w:tc>
          <w:tcPr>
            <w:tcW w:w="1069" w:type="dxa"/>
            <w:tcBorders>
              <w:top w:val="single" w:color="auto" w:sz="4" w:space="0"/>
              <w:left w:val="single" w:color="auto" w:sz="4" w:space="0"/>
              <w:bottom w:val="single" w:color="auto" w:sz="4" w:space="0"/>
              <w:right w:val="single" w:color="auto" w:sz="4" w:space="0"/>
            </w:tcBorders>
            <w:noWrap/>
            <w:vAlign w:val="center"/>
          </w:tcPr>
          <w:p w14:paraId="6FF06B07">
            <w:pPr>
              <w:spacing w:line="360" w:lineRule="exact"/>
              <w:jc w:val="left"/>
              <w:rPr>
                <w:rFonts w:ascii="宋体" w:hAnsi="宋体"/>
                <w:sz w:val="24"/>
              </w:rPr>
            </w:pPr>
          </w:p>
        </w:tc>
      </w:tr>
    </w:tbl>
    <w:p w14:paraId="6A89AF41">
      <w:pPr>
        <w:spacing w:line="360" w:lineRule="exact"/>
        <w:rPr>
          <w:rFonts w:ascii="宋体"/>
          <w:kern w:val="0"/>
          <w:sz w:val="24"/>
        </w:rPr>
      </w:pPr>
    </w:p>
    <w:p w14:paraId="5D4A0D2B">
      <w:pPr>
        <w:spacing w:line="240" w:lineRule="atLeast"/>
        <w:rPr>
          <w:rFonts w:ascii="宋体"/>
          <w:kern w:val="0"/>
          <w:sz w:val="24"/>
        </w:rPr>
      </w:pPr>
      <w:r>
        <w:rPr>
          <w:rFonts w:hint="eastAsia" w:ascii="宋体"/>
          <w:kern w:val="0"/>
          <w:sz w:val="24"/>
        </w:rPr>
        <w:t>1、表中只需填写“√/通过”或“×/不通过”。</w:t>
      </w:r>
    </w:p>
    <w:p w14:paraId="5304D0DA">
      <w:pPr>
        <w:spacing w:line="240" w:lineRule="atLeast"/>
        <w:rPr>
          <w:rFonts w:ascii="宋体"/>
          <w:kern w:val="0"/>
          <w:sz w:val="24"/>
        </w:rPr>
      </w:pPr>
      <w:r>
        <w:rPr>
          <w:rFonts w:hint="eastAsia" w:ascii="宋体"/>
          <w:kern w:val="0"/>
          <w:sz w:val="24"/>
        </w:rPr>
        <w:t>2、在结论中按“一项否决”的原则，只有全部是√/通过的，填写“合格”；只要其中有一项是×/不通过的，填写“不合格”。</w:t>
      </w:r>
    </w:p>
    <w:p w14:paraId="75469987">
      <w:pPr>
        <w:spacing w:line="240" w:lineRule="atLeast"/>
        <w:rPr>
          <w:rFonts w:ascii="宋体"/>
          <w:kern w:val="0"/>
          <w:sz w:val="24"/>
        </w:rPr>
      </w:pPr>
      <w:r>
        <w:rPr>
          <w:rFonts w:hint="eastAsia" w:ascii="宋体"/>
          <w:kern w:val="0"/>
          <w:sz w:val="24"/>
        </w:rPr>
        <w:t>3、结论是合格的，才能进入下一轮；不合格的被淘汰。</w:t>
      </w:r>
    </w:p>
    <w:p w14:paraId="0F5D99B4">
      <w:pPr>
        <w:spacing w:line="240" w:lineRule="atLeast"/>
        <w:rPr>
          <w:rFonts w:ascii="宋体"/>
          <w:kern w:val="0"/>
          <w:sz w:val="24"/>
        </w:rPr>
      </w:pPr>
      <w:r>
        <w:rPr>
          <w:rFonts w:hint="eastAsia" w:ascii="宋体"/>
          <w:kern w:val="0"/>
          <w:sz w:val="24"/>
        </w:rPr>
        <w:t>评委：                                                  日期：</w:t>
      </w:r>
    </w:p>
    <w:p w14:paraId="060221CA">
      <w:pPr>
        <w:spacing w:beforeLines="50" w:afterLines="50" w:line="440" w:lineRule="exact"/>
        <w:jc w:val="center"/>
      </w:pPr>
      <w:r>
        <w:rPr>
          <w:rFonts w:ascii="宋体" w:hAnsi="宋体" w:cs="宋体"/>
          <w:b/>
          <w:bCs/>
          <w:sz w:val="32"/>
          <w:szCs w:val="32"/>
          <w:lang w:val="en-GB"/>
        </w:rPr>
        <w:br w:type="page"/>
      </w:r>
      <w:r>
        <w:rPr>
          <w:rFonts w:hint="eastAsia" w:ascii="宋体" w:hAnsi="宋体" w:cs="宋体"/>
          <w:b/>
          <w:bCs/>
          <w:color w:val="auto"/>
          <w:sz w:val="32"/>
          <w:szCs w:val="32"/>
          <w:highlight w:val="none"/>
          <w:lang w:val="en-GB"/>
        </w:rPr>
        <w:t>评分细则表</w:t>
      </w:r>
    </w:p>
    <w:tbl>
      <w:tblPr>
        <w:tblStyle w:val="37"/>
        <w:tblW w:w="509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73"/>
        <w:gridCol w:w="1299"/>
        <w:gridCol w:w="7190"/>
        <w:gridCol w:w="766"/>
      </w:tblGrid>
      <w:tr w14:paraId="759E6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 w:hRule="atLeast"/>
        </w:trPr>
        <w:tc>
          <w:tcPr>
            <w:tcW w:w="993" w:type="pct"/>
            <w:gridSpan w:val="2"/>
            <w:tcBorders>
              <w:tl2br w:val="nil"/>
              <w:tr2bl w:val="nil"/>
            </w:tcBorders>
            <w:shd w:val="clear" w:color="auto" w:fill="auto"/>
            <w:vAlign w:val="bottom"/>
          </w:tcPr>
          <w:p w14:paraId="5FF2D071">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评审项目</w:t>
            </w:r>
          </w:p>
        </w:tc>
        <w:tc>
          <w:tcPr>
            <w:tcW w:w="3621" w:type="pct"/>
            <w:tcBorders>
              <w:tl2br w:val="nil"/>
              <w:tr2bl w:val="nil"/>
            </w:tcBorders>
            <w:shd w:val="clear" w:color="auto" w:fill="auto"/>
            <w:vAlign w:val="bottom"/>
          </w:tcPr>
          <w:p w14:paraId="709F7447">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评分标准</w:t>
            </w:r>
          </w:p>
        </w:tc>
        <w:tc>
          <w:tcPr>
            <w:tcW w:w="385" w:type="pct"/>
            <w:tcBorders>
              <w:tl2br w:val="nil"/>
              <w:tr2bl w:val="nil"/>
            </w:tcBorders>
            <w:shd w:val="clear" w:color="auto" w:fill="auto"/>
            <w:vAlign w:val="bottom"/>
          </w:tcPr>
          <w:p w14:paraId="65DF83CA">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分值</w:t>
            </w:r>
          </w:p>
        </w:tc>
      </w:tr>
      <w:tr w14:paraId="04D17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 w:hRule="atLeast"/>
        </w:trPr>
        <w:tc>
          <w:tcPr>
            <w:tcW w:w="338" w:type="pct"/>
            <w:tcBorders>
              <w:tl2br w:val="nil"/>
              <w:tr2bl w:val="nil"/>
            </w:tcBorders>
            <w:shd w:val="clear" w:color="auto" w:fill="auto"/>
            <w:vAlign w:val="center"/>
          </w:tcPr>
          <w:p w14:paraId="594C66F8">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654" w:type="pct"/>
            <w:tcBorders>
              <w:tl2br w:val="nil"/>
              <w:tr2bl w:val="nil"/>
            </w:tcBorders>
            <w:shd w:val="clear" w:color="auto" w:fill="auto"/>
            <w:vAlign w:val="center"/>
          </w:tcPr>
          <w:p w14:paraId="67B3F541">
            <w:pPr>
              <w:widowControl/>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技术参数</w:t>
            </w:r>
            <w:r>
              <w:rPr>
                <w:rFonts w:hint="eastAsia" w:asciiTheme="minorEastAsia" w:hAnsiTheme="minorEastAsia" w:eastAsiaTheme="minorEastAsia" w:cstheme="minorEastAsia"/>
                <w:sz w:val="24"/>
                <w:lang w:val="en-US" w:eastAsia="zh-CN"/>
              </w:rPr>
              <w:t>响应情况</w:t>
            </w:r>
          </w:p>
        </w:tc>
        <w:tc>
          <w:tcPr>
            <w:tcW w:w="3621" w:type="pct"/>
            <w:tcBorders>
              <w:tl2br w:val="nil"/>
              <w:tr2bl w:val="nil"/>
            </w:tcBorders>
            <w:shd w:val="clear" w:color="auto" w:fill="auto"/>
            <w:vAlign w:val="center"/>
          </w:tcPr>
          <w:p w14:paraId="7626A2C3">
            <w:pPr>
              <w:widowControl/>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评审</w:t>
            </w:r>
            <w:r>
              <w:rPr>
                <w:rFonts w:hint="eastAsia" w:asciiTheme="minorEastAsia" w:hAnsiTheme="minorEastAsia" w:eastAsiaTheme="minorEastAsia" w:cstheme="minorEastAsia"/>
                <w:sz w:val="24"/>
              </w:rPr>
              <w:t>小组根据供应商对</w:t>
            </w:r>
            <w:r>
              <w:rPr>
                <w:rFonts w:hint="eastAsia" w:asciiTheme="minorEastAsia" w:hAnsiTheme="minorEastAsia" w:eastAsiaTheme="minorEastAsia" w:cstheme="minorEastAsia"/>
                <w:sz w:val="24"/>
                <w:lang w:val="en-US" w:eastAsia="zh-CN"/>
              </w:rPr>
              <w:t>采购文件</w:t>
            </w:r>
            <w:r>
              <w:rPr>
                <w:rFonts w:hint="eastAsia" w:asciiTheme="minorEastAsia" w:hAnsiTheme="minorEastAsia" w:eastAsiaTheme="minorEastAsia" w:cstheme="minorEastAsia"/>
                <w:sz w:val="24"/>
              </w:rPr>
              <w:t>中的每条技术参数的响应情况进行评分，具体条款详见“</w:t>
            </w:r>
            <w:r>
              <w:rPr>
                <w:rFonts w:hint="eastAsia" w:asciiTheme="minorEastAsia" w:hAnsiTheme="minorEastAsia" w:eastAsiaTheme="minorEastAsia" w:cstheme="minorEastAsia"/>
                <w:sz w:val="24"/>
                <w:lang w:val="en-US" w:eastAsia="zh-CN"/>
              </w:rPr>
              <w:t>采购需求清单</w:t>
            </w:r>
            <w:r>
              <w:rPr>
                <w:rFonts w:hint="eastAsia" w:asciiTheme="minorEastAsia" w:hAnsiTheme="minorEastAsia" w:eastAsiaTheme="minorEastAsia" w:cstheme="minorEastAsia"/>
                <w:sz w:val="24"/>
              </w:rPr>
              <w:t>”。本项分值为</w:t>
            </w:r>
            <w:r>
              <w:rPr>
                <w:rFonts w:hint="eastAsia" w:asciiTheme="minorEastAsia" w:hAnsiTheme="minorEastAsia" w:eastAsiaTheme="minorEastAsia" w:cstheme="minorEastAsia"/>
                <w:sz w:val="24"/>
                <w:lang w:val="en-US" w:eastAsia="zh-CN"/>
              </w:rPr>
              <w:t>41</w:t>
            </w:r>
            <w:r>
              <w:rPr>
                <w:rFonts w:hint="eastAsia" w:asciiTheme="minorEastAsia" w:hAnsiTheme="minorEastAsia" w:eastAsiaTheme="minorEastAsia" w:cstheme="minorEastAsia"/>
                <w:sz w:val="24"/>
              </w:rPr>
              <w:t>分，其</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注▲（16项）的</w:t>
            </w:r>
            <w:r>
              <w:rPr>
                <w:rFonts w:hint="eastAsia" w:asciiTheme="minorEastAsia" w:hAnsiTheme="minorEastAsia" w:eastAsiaTheme="minorEastAsia" w:cstheme="minorEastAsia"/>
                <w:sz w:val="24"/>
                <w:lang w:val="en-US" w:eastAsia="zh-CN"/>
              </w:rPr>
              <w:t>32</w:t>
            </w:r>
            <w:r>
              <w:rPr>
                <w:rFonts w:hint="eastAsia" w:asciiTheme="minorEastAsia" w:hAnsiTheme="minorEastAsia" w:eastAsiaTheme="minorEastAsia" w:cstheme="minorEastAsia"/>
                <w:sz w:val="24"/>
              </w:rPr>
              <w:t>分，未标注▲（60项）的</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分。投标人提供的设备技术参数与</w:t>
            </w:r>
            <w:r>
              <w:rPr>
                <w:rFonts w:hint="eastAsia" w:asciiTheme="minorEastAsia" w:hAnsiTheme="minorEastAsia" w:eastAsiaTheme="minorEastAsia" w:cstheme="minorEastAsia"/>
                <w:sz w:val="24"/>
                <w:lang w:eastAsia="zh-CN"/>
              </w:rPr>
              <w:t>采购文件</w:t>
            </w:r>
            <w:r>
              <w:rPr>
                <w:rFonts w:hint="eastAsia" w:asciiTheme="minorEastAsia" w:hAnsiTheme="minorEastAsia" w:eastAsiaTheme="minorEastAsia" w:cstheme="minorEastAsia"/>
                <w:sz w:val="24"/>
              </w:rPr>
              <w:t>中的参照参数进行点对点比较：（1）完全满足</w:t>
            </w:r>
            <w:r>
              <w:rPr>
                <w:rFonts w:hint="eastAsia" w:asciiTheme="minorEastAsia" w:hAnsiTheme="minorEastAsia" w:eastAsiaTheme="minorEastAsia" w:cstheme="minorEastAsia"/>
                <w:sz w:val="24"/>
                <w:lang w:eastAsia="zh-CN"/>
              </w:rPr>
              <w:t>采购文件</w:t>
            </w:r>
            <w:r>
              <w:rPr>
                <w:rFonts w:hint="eastAsia" w:asciiTheme="minorEastAsia" w:hAnsiTheme="minorEastAsia" w:eastAsiaTheme="minorEastAsia" w:cstheme="minorEastAsia"/>
                <w:sz w:val="24"/>
                <w:lang w:val="en-US" w:eastAsia="zh-CN"/>
              </w:rPr>
              <w:t>参数</w:t>
            </w:r>
            <w:r>
              <w:rPr>
                <w:rFonts w:hint="eastAsia" w:asciiTheme="minorEastAsia" w:hAnsiTheme="minorEastAsia" w:eastAsiaTheme="minorEastAsia" w:cstheme="minorEastAsia"/>
                <w:sz w:val="24"/>
              </w:rPr>
              <w:t>要求，得</w:t>
            </w:r>
            <w:r>
              <w:rPr>
                <w:rFonts w:hint="eastAsia" w:asciiTheme="minorEastAsia" w:hAnsiTheme="minorEastAsia" w:eastAsiaTheme="minorEastAsia" w:cstheme="minorEastAsia"/>
                <w:sz w:val="24"/>
                <w:lang w:val="en-US" w:eastAsia="zh-CN"/>
              </w:rPr>
              <w:t>41</w:t>
            </w:r>
            <w:r>
              <w:rPr>
                <w:rFonts w:hint="eastAsia" w:asciiTheme="minorEastAsia" w:hAnsiTheme="minorEastAsia" w:eastAsiaTheme="minorEastAsia" w:cstheme="minorEastAsia"/>
                <w:sz w:val="24"/>
              </w:rPr>
              <w:t>分；（2)不能满足带▲</w:t>
            </w:r>
            <w:r>
              <w:rPr>
                <w:rFonts w:hint="eastAsia" w:asciiTheme="minorEastAsia" w:hAnsiTheme="minorEastAsia" w:eastAsiaTheme="minorEastAsia" w:cstheme="minorEastAsia"/>
                <w:sz w:val="24"/>
                <w:lang w:val="en-US" w:eastAsia="zh-CN"/>
              </w:rPr>
              <w:t>参数</w:t>
            </w:r>
            <w:r>
              <w:rPr>
                <w:rFonts w:hint="eastAsia" w:asciiTheme="minorEastAsia" w:hAnsiTheme="minorEastAsia" w:eastAsiaTheme="minorEastAsia" w:cstheme="minorEastAsia"/>
                <w:sz w:val="24"/>
              </w:rPr>
              <w:t>要求的每项扣</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分，扣完为止；（3)不能满足未带▲参数要求的每项扣</w:t>
            </w:r>
            <w:r>
              <w:rPr>
                <w:rFonts w:hint="eastAsia" w:asciiTheme="minorEastAsia" w:hAnsiTheme="minorEastAsia" w:eastAsiaTheme="minorEastAsia" w:cstheme="minorEastAsia"/>
                <w:sz w:val="24"/>
                <w:lang w:val="en-US" w:eastAsia="zh-CN"/>
              </w:rPr>
              <w:t>0.15</w:t>
            </w:r>
            <w:r>
              <w:rPr>
                <w:rFonts w:hint="eastAsia" w:asciiTheme="minorEastAsia" w:hAnsiTheme="minorEastAsia" w:eastAsiaTheme="minorEastAsia" w:cstheme="minorEastAsia"/>
                <w:sz w:val="24"/>
              </w:rPr>
              <w:t>分，扣完为止。</w:t>
            </w:r>
          </w:p>
        </w:tc>
        <w:tc>
          <w:tcPr>
            <w:tcW w:w="385" w:type="pct"/>
            <w:tcBorders>
              <w:tl2br w:val="nil"/>
              <w:tr2bl w:val="nil"/>
            </w:tcBorders>
            <w:shd w:val="clear" w:color="auto" w:fill="auto"/>
            <w:vAlign w:val="center"/>
          </w:tcPr>
          <w:p w14:paraId="16E4EFD2">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41</w:t>
            </w:r>
            <w:r>
              <w:rPr>
                <w:rFonts w:hint="eastAsia" w:asciiTheme="minorEastAsia" w:hAnsiTheme="minorEastAsia" w:eastAsiaTheme="minorEastAsia" w:cstheme="minorEastAsia"/>
                <w:sz w:val="24"/>
              </w:rPr>
              <w:t>分</w:t>
            </w:r>
          </w:p>
        </w:tc>
      </w:tr>
      <w:tr w14:paraId="178C0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2" w:hRule="atLeast"/>
        </w:trPr>
        <w:tc>
          <w:tcPr>
            <w:tcW w:w="338" w:type="pct"/>
            <w:tcBorders>
              <w:tl2br w:val="nil"/>
              <w:tr2bl w:val="nil"/>
            </w:tcBorders>
            <w:shd w:val="clear" w:color="auto" w:fill="auto"/>
            <w:vAlign w:val="center"/>
          </w:tcPr>
          <w:p w14:paraId="0A7D2640">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p>
        </w:tc>
        <w:tc>
          <w:tcPr>
            <w:tcW w:w="654" w:type="pct"/>
            <w:tcBorders>
              <w:tl2br w:val="nil"/>
              <w:tr2bl w:val="nil"/>
            </w:tcBorders>
            <w:shd w:val="clear" w:color="auto" w:fill="auto"/>
            <w:vAlign w:val="center"/>
          </w:tcPr>
          <w:p w14:paraId="690C88B5">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系统演示</w:t>
            </w:r>
          </w:p>
        </w:tc>
        <w:tc>
          <w:tcPr>
            <w:tcW w:w="3621" w:type="pct"/>
            <w:tcBorders>
              <w:tl2br w:val="nil"/>
              <w:tr2bl w:val="nil"/>
            </w:tcBorders>
            <w:shd w:val="clear" w:color="auto" w:fill="auto"/>
            <w:vAlign w:val="center"/>
          </w:tcPr>
          <w:p w14:paraId="5AF72F3D">
            <w:pPr>
              <w:widowControl/>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投标人应对本项目中带▲功能进行演示，评委根据现场演示形式进行评分，演示时间不超过15分钟，演示设备需投标人自行准备。不满足功能要求、不提供演示不得分。</w:t>
            </w:r>
          </w:p>
          <w:p w14:paraId="645E0BA3">
            <w:pPr>
              <w:pStyle w:val="2"/>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 xml:space="preserve">演示形式： </w:t>
            </w:r>
          </w:p>
          <w:p w14:paraId="4B5B9985">
            <w:pPr>
              <w:pStyle w:val="2"/>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1、采用真实软件系统进行演示的（非图片、PPT、DEMO或视频形式），得分</w:t>
            </w:r>
            <w:r>
              <w:rPr>
                <w:rFonts w:hint="eastAsia" w:asciiTheme="minorEastAsia" w:hAnsiTheme="minorEastAsia" w:eastAsiaTheme="minorEastAsia" w:cstheme="minorEastAsia"/>
                <w:kern w:val="2"/>
                <w:sz w:val="24"/>
                <w:szCs w:val="24"/>
                <w:lang w:val="en-US" w:eastAsia="zh-CN" w:bidi="ar-SA"/>
              </w:rPr>
              <w:t>9</w:t>
            </w:r>
            <w:r>
              <w:rPr>
                <w:rFonts w:hint="default" w:asciiTheme="minorEastAsia" w:hAnsiTheme="minorEastAsia" w:eastAsiaTheme="minorEastAsia" w:cstheme="minorEastAsia"/>
                <w:kern w:val="2"/>
                <w:sz w:val="24"/>
                <w:szCs w:val="24"/>
                <w:lang w:val="en-US" w:eastAsia="zh-CN" w:bidi="ar-SA"/>
              </w:rPr>
              <w:t xml:space="preserve">； </w:t>
            </w:r>
          </w:p>
          <w:p w14:paraId="03A7371B">
            <w:pPr>
              <w:pStyle w:val="2"/>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2、采用DEMO、视频形式进行演示的，得分</w:t>
            </w:r>
            <w:r>
              <w:rPr>
                <w:rFonts w:hint="eastAsia" w:asciiTheme="minorEastAsia" w:hAnsiTheme="minorEastAsia" w:eastAsiaTheme="minorEastAsia" w:cstheme="minorEastAsia"/>
                <w:kern w:val="2"/>
                <w:sz w:val="24"/>
                <w:szCs w:val="24"/>
                <w:lang w:val="en-US" w:eastAsia="zh-CN" w:bidi="ar-SA"/>
              </w:rPr>
              <w:t>5</w:t>
            </w:r>
            <w:r>
              <w:rPr>
                <w:rFonts w:hint="default" w:asciiTheme="minorEastAsia" w:hAnsiTheme="minorEastAsia" w:eastAsiaTheme="minorEastAsia" w:cstheme="minorEastAsia"/>
                <w:kern w:val="2"/>
                <w:sz w:val="24"/>
                <w:szCs w:val="24"/>
                <w:lang w:val="en-US" w:eastAsia="zh-CN" w:bidi="ar-SA"/>
              </w:rPr>
              <w:t xml:space="preserve">； </w:t>
            </w:r>
          </w:p>
          <w:p w14:paraId="4CE060FC">
            <w:pPr>
              <w:pStyle w:val="2"/>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3、采用图片、PPT式进行演示的，得分</w:t>
            </w:r>
            <w:r>
              <w:rPr>
                <w:rFonts w:hint="eastAsia" w:asciiTheme="minorEastAsia" w:hAnsiTheme="minorEastAsia" w:eastAsiaTheme="minorEastAsia" w:cstheme="minorEastAsia"/>
                <w:kern w:val="2"/>
                <w:sz w:val="24"/>
                <w:szCs w:val="24"/>
                <w:lang w:val="en-US" w:eastAsia="zh-CN" w:bidi="ar-SA"/>
              </w:rPr>
              <w:t>2</w:t>
            </w:r>
            <w:r>
              <w:rPr>
                <w:rFonts w:hint="default" w:asciiTheme="minorEastAsia" w:hAnsiTheme="minorEastAsia" w:eastAsiaTheme="minorEastAsia" w:cstheme="minorEastAsia"/>
                <w:kern w:val="2"/>
                <w:sz w:val="24"/>
                <w:szCs w:val="24"/>
                <w:lang w:val="en-US" w:eastAsia="zh-CN" w:bidi="ar-SA"/>
              </w:rPr>
              <w:t>；</w:t>
            </w:r>
          </w:p>
          <w:p w14:paraId="2FD24C1F">
            <w:pPr>
              <w:pStyle w:val="2"/>
              <w:rPr>
                <w:rFonts w:hint="default"/>
                <w:lang w:val="en-US" w:eastAsia="zh-CN"/>
              </w:rPr>
            </w:pPr>
            <w:r>
              <w:rPr>
                <w:rFonts w:hint="default" w:asciiTheme="minorEastAsia" w:hAnsiTheme="minorEastAsia" w:eastAsiaTheme="minorEastAsia" w:cstheme="minorEastAsia"/>
                <w:kern w:val="2"/>
                <w:sz w:val="24"/>
                <w:szCs w:val="24"/>
                <w:lang w:val="en-US" w:eastAsia="zh-CN" w:bidi="ar-SA"/>
              </w:rPr>
              <w:t>4、两种演示方式得分不累加，不满足演示内容要求或不演示的不得分。</w:t>
            </w:r>
          </w:p>
        </w:tc>
        <w:tc>
          <w:tcPr>
            <w:tcW w:w="385" w:type="pct"/>
            <w:tcBorders>
              <w:tl2br w:val="nil"/>
              <w:tr2bl w:val="nil"/>
            </w:tcBorders>
            <w:shd w:val="clear" w:color="auto" w:fill="auto"/>
            <w:vAlign w:val="center"/>
          </w:tcPr>
          <w:p w14:paraId="37E80EFC">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分</w:t>
            </w:r>
          </w:p>
        </w:tc>
      </w:tr>
      <w:tr w14:paraId="28626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 w:hRule="atLeast"/>
        </w:trPr>
        <w:tc>
          <w:tcPr>
            <w:tcW w:w="338" w:type="pct"/>
            <w:tcBorders>
              <w:tl2br w:val="nil"/>
              <w:tr2bl w:val="nil"/>
            </w:tcBorders>
            <w:shd w:val="clear" w:color="auto" w:fill="auto"/>
            <w:vAlign w:val="center"/>
          </w:tcPr>
          <w:p w14:paraId="3E47F7D2">
            <w:pPr>
              <w:widowControl/>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3</w:t>
            </w:r>
          </w:p>
        </w:tc>
        <w:tc>
          <w:tcPr>
            <w:tcW w:w="654" w:type="pct"/>
            <w:tcBorders>
              <w:tl2br w:val="nil"/>
              <w:tr2bl w:val="nil"/>
            </w:tcBorders>
            <w:shd w:val="clear" w:color="auto" w:fill="auto"/>
            <w:vAlign w:val="center"/>
          </w:tcPr>
          <w:p w14:paraId="34F00533">
            <w:pPr>
              <w:widowControl/>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业绩</w:t>
            </w:r>
          </w:p>
        </w:tc>
        <w:tc>
          <w:tcPr>
            <w:tcW w:w="3621" w:type="pct"/>
            <w:tcBorders>
              <w:tl2br w:val="nil"/>
              <w:tr2bl w:val="nil"/>
            </w:tcBorders>
            <w:shd w:val="clear" w:color="auto" w:fill="auto"/>
            <w:vAlign w:val="center"/>
          </w:tcPr>
          <w:p w14:paraId="29747FBA">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投标供应商提供 202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月1日至今（以合同落款之日为准）网站群系统类的项目合同，每份合同</w:t>
            </w:r>
            <w:r>
              <w:rPr>
                <w:rFonts w:hint="eastAsia" w:asciiTheme="minorEastAsia" w:hAnsiTheme="minorEastAsia" w:eastAsiaTheme="minorEastAsia" w:cstheme="minorEastAsia"/>
                <w:sz w:val="24"/>
                <w:lang w:val="en-US" w:eastAsia="zh-CN"/>
              </w:rPr>
              <w:t>得</w:t>
            </w:r>
            <w:r>
              <w:rPr>
                <w:rFonts w:hint="eastAsia" w:asciiTheme="minorEastAsia" w:hAnsiTheme="minorEastAsia" w:eastAsiaTheme="minorEastAsia" w:cstheme="minorEastAsia"/>
                <w:sz w:val="24"/>
              </w:rPr>
              <w:t>2分，本项最高得</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分。（要求提供合同关键页复印件并加盖供应商公章）</w:t>
            </w:r>
          </w:p>
        </w:tc>
        <w:tc>
          <w:tcPr>
            <w:tcW w:w="385" w:type="pct"/>
            <w:tcBorders>
              <w:tl2br w:val="nil"/>
              <w:tr2bl w:val="nil"/>
            </w:tcBorders>
            <w:shd w:val="clear" w:color="auto" w:fill="auto"/>
            <w:vAlign w:val="center"/>
          </w:tcPr>
          <w:p w14:paraId="69EADBE4">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分</w:t>
            </w:r>
          </w:p>
        </w:tc>
      </w:tr>
      <w:tr w14:paraId="1C5A5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3" w:hRule="atLeast"/>
        </w:trPr>
        <w:tc>
          <w:tcPr>
            <w:tcW w:w="338" w:type="pct"/>
            <w:tcBorders>
              <w:tl2br w:val="nil"/>
              <w:tr2bl w:val="nil"/>
            </w:tcBorders>
            <w:shd w:val="clear" w:color="auto" w:fill="auto"/>
            <w:vAlign w:val="center"/>
          </w:tcPr>
          <w:p w14:paraId="42FEE2FF">
            <w:pPr>
              <w:widowControl/>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4</w:t>
            </w:r>
          </w:p>
        </w:tc>
        <w:tc>
          <w:tcPr>
            <w:tcW w:w="654" w:type="pct"/>
            <w:tcBorders>
              <w:tl2br w:val="nil"/>
              <w:tr2bl w:val="nil"/>
            </w:tcBorders>
            <w:shd w:val="clear" w:color="auto" w:fill="auto"/>
            <w:vAlign w:val="center"/>
          </w:tcPr>
          <w:p w14:paraId="1AB2F7D2">
            <w:pPr>
              <w:widowControl/>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4"/>
              </w:rPr>
              <w:t>实施方案</w:t>
            </w:r>
          </w:p>
        </w:tc>
        <w:tc>
          <w:tcPr>
            <w:tcW w:w="3621" w:type="pct"/>
            <w:tcBorders>
              <w:tl2br w:val="nil"/>
              <w:tr2bl w:val="nil"/>
            </w:tcBorders>
            <w:shd w:val="clear" w:color="auto" w:fill="auto"/>
            <w:vAlign w:val="center"/>
          </w:tcPr>
          <w:p w14:paraId="604B7FB3">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评审小组根据供应商提供的实施方案进行评比赋分，供应商必须制定科学、完整的项目整体执行方案，方案应包含但不限于：①项目管理机制；②实施进度方案；③质量保障方案与项目应急方案；④培训方案。</w:t>
            </w:r>
          </w:p>
          <w:p w14:paraId="79C14248">
            <w:pPr>
              <w:widowControl/>
              <w:numPr>
                <w:ilvl w:val="0"/>
                <w:numId w:val="16"/>
              </w:numPr>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以上每项内容1分，满分4分，方案涵盖上述所有内容且方案内容符合或优于采购需求条件的得4分； </w:t>
            </w:r>
          </w:p>
          <w:p w14:paraId="5B58D716">
            <w:pPr>
              <w:widowControl/>
              <w:numPr>
                <w:ilvl w:val="0"/>
                <w:numId w:val="16"/>
              </w:numPr>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以上内容存在一处缺陷（内容缺陷是指：内容不符合采购需求或不适用项目特性的情形、内容不完整或缺少关键节点、套用其他项目方案、内容前 后矛盾、涉及的规范及标准错误、不利于项目实施、不可能实现的情形等任意一种情形）相应项扣0.5分，扣完为止。</w:t>
            </w:r>
          </w:p>
          <w:p w14:paraId="1A906A36">
            <w:pPr>
              <w:widowControl/>
              <w:numPr>
                <w:ilvl w:val="0"/>
                <w:numId w:val="16"/>
              </w:numPr>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不提供方案的，不得分</w:t>
            </w:r>
          </w:p>
        </w:tc>
        <w:tc>
          <w:tcPr>
            <w:tcW w:w="385" w:type="pct"/>
            <w:tcBorders>
              <w:tl2br w:val="nil"/>
              <w:tr2bl w:val="nil"/>
            </w:tcBorders>
            <w:shd w:val="clear" w:color="auto" w:fill="auto"/>
            <w:vAlign w:val="center"/>
          </w:tcPr>
          <w:p w14:paraId="38ED7790">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4分</w:t>
            </w:r>
          </w:p>
        </w:tc>
      </w:tr>
      <w:tr w14:paraId="55C70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38" w:type="pct"/>
            <w:vMerge w:val="restart"/>
            <w:tcBorders>
              <w:tl2br w:val="nil"/>
              <w:tr2bl w:val="nil"/>
            </w:tcBorders>
            <w:shd w:val="clear" w:color="auto" w:fill="auto"/>
            <w:vAlign w:val="center"/>
          </w:tcPr>
          <w:p w14:paraId="5BB7D3A4">
            <w:pPr>
              <w:widowControl/>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654" w:type="pct"/>
            <w:vMerge w:val="restart"/>
            <w:tcBorders>
              <w:tl2br w:val="nil"/>
              <w:tr2bl w:val="nil"/>
            </w:tcBorders>
            <w:shd w:val="clear" w:color="auto" w:fill="auto"/>
            <w:vAlign w:val="center"/>
          </w:tcPr>
          <w:p w14:paraId="17727E26">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售后服务与相关保障措施</w:t>
            </w:r>
          </w:p>
        </w:tc>
        <w:tc>
          <w:tcPr>
            <w:tcW w:w="3621" w:type="pct"/>
            <w:vMerge w:val="restart"/>
            <w:tcBorders>
              <w:tl2br w:val="nil"/>
              <w:tr2bl w:val="nil"/>
            </w:tcBorders>
            <w:shd w:val="clear" w:color="auto" w:fill="auto"/>
            <w:vAlign w:val="center"/>
          </w:tcPr>
          <w:p w14:paraId="7C753708">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根据供应商提供的售后服务方案进行评比赋分，供应商必须制定科学、完整的售后服务方案，方案应包含不限于：①售后服务体系、②售后服务承诺、③售后工作流程、④售后服务团队配备、⑤售后故障处理、⑥售后业务恢复响应承诺、⑦应急预案处理方式、⑧售后运维管理体系等方案。</w:t>
            </w:r>
          </w:p>
          <w:p w14:paraId="22F1870E">
            <w:pPr>
              <w:widowControl/>
              <w:numPr>
                <w:ilvl w:val="0"/>
                <w:numId w:val="17"/>
              </w:numPr>
              <w:ind w:left="425" w:leftChars="0" w:hanging="425"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以上每项内容</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分，满分</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分，方案涵盖上述所有内容且方案内容符合或优于采购需求条件的得</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 xml:space="preserve">分； </w:t>
            </w:r>
          </w:p>
          <w:p w14:paraId="40221B5C">
            <w:pPr>
              <w:widowControl/>
              <w:numPr>
                <w:ilvl w:val="0"/>
                <w:numId w:val="17"/>
              </w:numPr>
              <w:ind w:left="425" w:leftChars="0" w:hanging="425"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以上内容存在一处缺陷（内容缺陷是指：内容不符合采购需求或不适用项目特性的情形、内容不完整或缺少关键节点、套用其他项目方案、内容前 后矛盾、涉及的规范及标准错误、不利于项目实施、不可能实现的情形等任意一种情形）相应项扣</w:t>
            </w:r>
            <w:r>
              <w:rPr>
                <w:rFonts w:hint="eastAsia" w:asciiTheme="minorEastAsia" w:hAnsiTheme="minorEastAsia" w:eastAsiaTheme="minorEastAsia" w:cstheme="minorEastAsia"/>
                <w:sz w:val="24"/>
                <w:lang w:val="en-US" w:eastAsia="zh-CN"/>
              </w:rPr>
              <w:t>0.5</w:t>
            </w:r>
            <w:r>
              <w:rPr>
                <w:rFonts w:hint="eastAsia" w:asciiTheme="minorEastAsia" w:hAnsiTheme="minorEastAsia" w:eastAsiaTheme="minorEastAsia" w:cstheme="minorEastAsia"/>
                <w:sz w:val="24"/>
              </w:rPr>
              <w:t>分，扣完为止。</w:t>
            </w:r>
          </w:p>
          <w:p w14:paraId="31C7BE7D">
            <w:pPr>
              <w:widowControl/>
              <w:numPr>
                <w:ilvl w:val="0"/>
                <w:numId w:val="17"/>
              </w:numPr>
              <w:ind w:left="425" w:leftChars="0" w:hanging="425"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不提供方案的，不得分。</w:t>
            </w:r>
          </w:p>
        </w:tc>
        <w:tc>
          <w:tcPr>
            <w:tcW w:w="385" w:type="pct"/>
            <w:vMerge w:val="restart"/>
            <w:tcBorders>
              <w:tl2br w:val="nil"/>
              <w:tr2bl w:val="nil"/>
            </w:tcBorders>
            <w:shd w:val="clear" w:color="auto" w:fill="auto"/>
            <w:vAlign w:val="center"/>
          </w:tcPr>
          <w:p w14:paraId="13941596">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分</w:t>
            </w:r>
          </w:p>
        </w:tc>
      </w:tr>
      <w:tr w14:paraId="65659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38" w:type="pct"/>
            <w:vMerge w:val="continue"/>
            <w:tcBorders>
              <w:tl2br w:val="nil"/>
              <w:tr2bl w:val="nil"/>
            </w:tcBorders>
            <w:shd w:val="clear" w:color="auto" w:fill="auto"/>
            <w:vAlign w:val="center"/>
          </w:tcPr>
          <w:p w14:paraId="081919B7">
            <w:pPr>
              <w:jc w:val="center"/>
              <w:rPr>
                <w:rFonts w:hint="eastAsia" w:asciiTheme="minorEastAsia" w:hAnsiTheme="minorEastAsia" w:eastAsiaTheme="minorEastAsia" w:cstheme="minorEastAsia"/>
                <w:sz w:val="24"/>
              </w:rPr>
            </w:pPr>
          </w:p>
        </w:tc>
        <w:tc>
          <w:tcPr>
            <w:tcW w:w="654" w:type="pct"/>
            <w:vMerge w:val="continue"/>
            <w:tcBorders>
              <w:tl2br w:val="nil"/>
              <w:tr2bl w:val="nil"/>
            </w:tcBorders>
            <w:shd w:val="clear" w:color="auto" w:fill="auto"/>
            <w:vAlign w:val="center"/>
          </w:tcPr>
          <w:p w14:paraId="1C63ACC8">
            <w:pPr>
              <w:jc w:val="center"/>
              <w:rPr>
                <w:rFonts w:hint="eastAsia" w:asciiTheme="minorEastAsia" w:hAnsiTheme="minorEastAsia" w:eastAsiaTheme="minorEastAsia" w:cstheme="minorEastAsia"/>
                <w:sz w:val="24"/>
              </w:rPr>
            </w:pPr>
          </w:p>
        </w:tc>
        <w:tc>
          <w:tcPr>
            <w:tcW w:w="3621" w:type="pct"/>
            <w:vMerge w:val="continue"/>
            <w:tcBorders>
              <w:tl2br w:val="nil"/>
              <w:tr2bl w:val="nil"/>
            </w:tcBorders>
            <w:shd w:val="clear" w:color="auto" w:fill="auto"/>
            <w:vAlign w:val="center"/>
          </w:tcPr>
          <w:p w14:paraId="77BE01DD">
            <w:pPr>
              <w:jc w:val="left"/>
              <w:rPr>
                <w:rFonts w:hint="eastAsia" w:asciiTheme="minorEastAsia" w:hAnsiTheme="minorEastAsia" w:eastAsiaTheme="minorEastAsia" w:cstheme="minorEastAsia"/>
                <w:sz w:val="24"/>
              </w:rPr>
            </w:pPr>
          </w:p>
        </w:tc>
        <w:tc>
          <w:tcPr>
            <w:tcW w:w="385" w:type="pct"/>
            <w:vMerge w:val="continue"/>
            <w:tcBorders>
              <w:tl2br w:val="nil"/>
              <w:tr2bl w:val="nil"/>
            </w:tcBorders>
            <w:shd w:val="clear" w:color="auto" w:fill="auto"/>
            <w:vAlign w:val="center"/>
          </w:tcPr>
          <w:p w14:paraId="1B539531">
            <w:pPr>
              <w:jc w:val="center"/>
              <w:rPr>
                <w:rFonts w:hint="eastAsia" w:asciiTheme="minorEastAsia" w:hAnsiTheme="minorEastAsia" w:eastAsiaTheme="minorEastAsia" w:cstheme="minorEastAsia"/>
                <w:sz w:val="24"/>
              </w:rPr>
            </w:pPr>
          </w:p>
        </w:tc>
      </w:tr>
      <w:tr w14:paraId="317A9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38" w:type="pct"/>
            <w:vMerge w:val="continue"/>
            <w:tcBorders>
              <w:tl2br w:val="nil"/>
              <w:tr2bl w:val="nil"/>
            </w:tcBorders>
            <w:shd w:val="clear" w:color="auto" w:fill="auto"/>
            <w:vAlign w:val="center"/>
          </w:tcPr>
          <w:p w14:paraId="76DF45E7">
            <w:pPr>
              <w:jc w:val="center"/>
              <w:rPr>
                <w:rFonts w:hint="eastAsia" w:asciiTheme="minorEastAsia" w:hAnsiTheme="minorEastAsia" w:eastAsiaTheme="minorEastAsia" w:cstheme="minorEastAsia"/>
                <w:sz w:val="24"/>
              </w:rPr>
            </w:pPr>
          </w:p>
        </w:tc>
        <w:tc>
          <w:tcPr>
            <w:tcW w:w="654" w:type="pct"/>
            <w:vMerge w:val="continue"/>
            <w:tcBorders>
              <w:tl2br w:val="nil"/>
              <w:tr2bl w:val="nil"/>
            </w:tcBorders>
            <w:shd w:val="clear" w:color="auto" w:fill="auto"/>
            <w:vAlign w:val="center"/>
          </w:tcPr>
          <w:p w14:paraId="3BEFEDCD">
            <w:pPr>
              <w:jc w:val="center"/>
              <w:rPr>
                <w:rFonts w:hint="eastAsia" w:asciiTheme="minorEastAsia" w:hAnsiTheme="minorEastAsia" w:eastAsiaTheme="minorEastAsia" w:cstheme="minorEastAsia"/>
                <w:sz w:val="24"/>
              </w:rPr>
            </w:pPr>
          </w:p>
        </w:tc>
        <w:tc>
          <w:tcPr>
            <w:tcW w:w="3621" w:type="pct"/>
            <w:vMerge w:val="continue"/>
            <w:tcBorders>
              <w:tl2br w:val="nil"/>
              <w:tr2bl w:val="nil"/>
            </w:tcBorders>
            <w:shd w:val="clear" w:color="auto" w:fill="auto"/>
            <w:vAlign w:val="center"/>
          </w:tcPr>
          <w:p w14:paraId="09ADD3BF">
            <w:pPr>
              <w:jc w:val="left"/>
              <w:rPr>
                <w:rFonts w:hint="eastAsia" w:asciiTheme="minorEastAsia" w:hAnsiTheme="minorEastAsia" w:eastAsiaTheme="minorEastAsia" w:cstheme="minorEastAsia"/>
                <w:sz w:val="24"/>
              </w:rPr>
            </w:pPr>
          </w:p>
        </w:tc>
        <w:tc>
          <w:tcPr>
            <w:tcW w:w="385" w:type="pct"/>
            <w:vMerge w:val="continue"/>
            <w:tcBorders>
              <w:tl2br w:val="nil"/>
              <w:tr2bl w:val="nil"/>
            </w:tcBorders>
            <w:shd w:val="clear" w:color="auto" w:fill="auto"/>
            <w:vAlign w:val="center"/>
          </w:tcPr>
          <w:p w14:paraId="4335F6D8">
            <w:pPr>
              <w:jc w:val="center"/>
              <w:rPr>
                <w:rFonts w:hint="eastAsia" w:asciiTheme="minorEastAsia" w:hAnsiTheme="minorEastAsia" w:eastAsiaTheme="minorEastAsia" w:cstheme="minorEastAsia"/>
                <w:sz w:val="24"/>
              </w:rPr>
            </w:pPr>
          </w:p>
        </w:tc>
      </w:tr>
      <w:tr w14:paraId="1F934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38" w:type="pct"/>
            <w:vMerge w:val="continue"/>
            <w:tcBorders>
              <w:tl2br w:val="nil"/>
              <w:tr2bl w:val="nil"/>
            </w:tcBorders>
            <w:shd w:val="clear" w:color="auto" w:fill="auto"/>
            <w:vAlign w:val="center"/>
          </w:tcPr>
          <w:p w14:paraId="2E34CF2B">
            <w:pPr>
              <w:jc w:val="center"/>
              <w:rPr>
                <w:rFonts w:hint="eastAsia" w:asciiTheme="minorEastAsia" w:hAnsiTheme="minorEastAsia" w:eastAsiaTheme="minorEastAsia" w:cstheme="minorEastAsia"/>
                <w:sz w:val="24"/>
              </w:rPr>
            </w:pPr>
          </w:p>
        </w:tc>
        <w:tc>
          <w:tcPr>
            <w:tcW w:w="654" w:type="pct"/>
            <w:vMerge w:val="continue"/>
            <w:tcBorders>
              <w:tl2br w:val="nil"/>
              <w:tr2bl w:val="nil"/>
            </w:tcBorders>
            <w:shd w:val="clear" w:color="auto" w:fill="auto"/>
            <w:vAlign w:val="center"/>
          </w:tcPr>
          <w:p w14:paraId="4ED0CA99">
            <w:pPr>
              <w:jc w:val="center"/>
              <w:rPr>
                <w:rFonts w:hint="eastAsia" w:asciiTheme="minorEastAsia" w:hAnsiTheme="minorEastAsia" w:eastAsiaTheme="minorEastAsia" w:cstheme="minorEastAsia"/>
                <w:sz w:val="24"/>
              </w:rPr>
            </w:pPr>
          </w:p>
        </w:tc>
        <w:tc>
          <w:tcPr>
            <w:tcW w:w="3621" w:type="pct"/>
            <w:vMerge w:val="continue"/>
            <w:tcBorders>
              <w:tl2br w:val="nil"/>
              <w:tr2bl w:val="nil"/>
            </w:tcBorders>
            <w:shd w:val="clear" w:color="auto" w:fill="auto"/>
            <w:vAlign w:val="center"/>
          </w:tcPr>
          <w:p w14:paraId="5CC0207F">
            <w:pPr>
              <w:jc w:val="left"/>
              <w:rPr>
                <w:rFonts w:hint="eastAsia" w:asciiTheme="minorEastAsia" w:hAnsiTheme="minorEastAsia" w:eastAsiaTheme="minorEastAsia" w:cstheme="minorEastAsia"/>
                <w:sz w:val="24"/>
              </w:rPr>
            </w:pPr>
          </w:p>
        </w:tc>
        <w:tc>
          <w:tcPr>
            <w:tcW w:w="385" w:type="pct"/>
            <w:vMerge w:val="continue"/>
            <w:tcBorders>
              <w:tl2br w:val="nil"/>
              <w:tr2bl w:val="nil"/>
            </w:tcBorders>
            <w:shd w:val="clear" w:color="auto" w:fill="auto"/>
            <w:vAlign w:val="center"/>
          </w:tcPr>
          <w:p w14:paraId="5F299346">
            <w:pPr>
              <w:jc w:val="center"/>
              <w:rPr>
                <w:rFonts w:hint="eastAsia" w:asciiTheme="minorEastAsia" w:hAnsiTheme="minorEastAsia" w:eastAsiaTheme="minorEastAsia" w:cstheme="minorEastAsia"/>
                <w:sz w:val="24"/>
              </w:rPr>
            </w:pPr>
          </w:p>
        </w:tc>
      </w:tr>
      <w:tr w14:paraId="7C0B9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38" w:type="pct"/>
            <w:vMerge w:val="continue"/>
            <w:tcBorders>
              <w:tl2br w:val="nil"/>
              <w:tr2bl w:val="nil"/>
            </w:tcBorders>
            <w:shd w:val="clear" w:color="auto" w:fill="auto"/>
            <w:vAlign w:val="center"/>
          </w:tcPr>
          <w:p w14:paraId="2FA631C4">
            <w:pPr>
              <w:jc w:val="center"/>
              <w:rPr>
                <w:rFonts w:hint="eastAsia" w:asciiTheme="minorEastAsia" w:hAnsiTheme="minorEastAsia" w:eastAsiaTheme="minorEastAsia" w:cstheme="minorEastAsia"/>
                <w:sz w:val="24"/>
              </w:rPr>
            </w:pPr>
          </w:p>
        </w:tc>
        <w:tc>
          <w:tcPr>
            <w:tcW w:w="654" w:type="pct"/>
            <w:vMerge w:val="continue"/>
            <w:tcBorders>
              <w:tl2br w:val="nil"/>
              <w:tr2bl w:val="nil"/>
            </w:tcBorders>
            <w:shd w:val="clear" w:color="auto" w:fill="auto"/>
            <w:vAlign w:val="center"/>
          </w:tcPr>
          <w:p w14:paraId="12C10B6C">
            <w:pPr>
              <w:jc w:val="center"/>
              <w:rPr>
                <w:rFonts w:hint="eastAsia" w:asciiTheme="minorEastAsia" w:hAnsiTheme="minorEastAsia" w:eastAsiaTheme="minorEastAsia" w:cstheme="minorEastAsia"/>
                <w:sz w:val="24"/>
              </w:rPr>
            </w:pPr>
          </w:p>
        </w:tc>
        <w:tc>
          <w:tcPr>
            <w:tcW w:w="3621" w:type="pct"/>
            <w:vMerge w:val="continue"/>
            <w:tcBorders>
              <w:tl2br w:val="nil"/>
              <w:tr2bl w:val="nil"/>
            </w:tcBorders>
            <w:shd w:val="clear" w:color="auto" w:fill="auto"/>
            <w:vAlign w:val="center"/>
          </w:tcPr>
          <w:p w14:paraId="415F87BB">
            <w:pPr>
              <w:jc w:val="left"/>
              <w:rPr>
                <w:rFonts w:hint="eastAsia" w:asciiTheme="minorEastAsia" w:hAnsiTheme="minorEastAsia" w:eastAsiaTheme="minorEastAsia" w:cstheme="minorEastAsia"/>
                <w:sz w:val="24"/>
              </w:rPr>
            </w:pPr>
          </w:p>
        </w:tc>
        <w:tc>
          <w:tcPr>
            <w:tcW w:w="385" w:type="pct"/>
            <w:vMerge w:val="continue"/>
            <w:tcBorders>
              <w:tl2br w:val="nil"/>
              <w:tr2bl w:val="nil"/>
            </w:tcBorders>
            <w:shd w:val="clear" w:color="auto" w:fill="auto"/>
            <w:vAlign w:val="center"/>
          </w:tcPr>
          <w:p w14:paraId="45344820">
            <w:pPr>
              <w:jc w:val="center"/>
              <w:rPr>
                <w:rFonts w:hint="eastAsia" w:asciiTheme="minorEastAsia" w:hAnsiTheme="minorEastAsia" w:eastAsiaTheme="minorEastAsia" w:cstheme="minorEastAsia"/>
                <w:sz w:val="24"/>
              </w:rPr>
            </w:pPr>
          </w:p>
        </w:tc>
      </w:tr>
      <w:tr w14:paraId="14683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2" w:hRule="atLeast"/>
        </w:trPr>
        <w:tc>
          <w:tcPr>
            <w:tcW w:w="338" w:type="pct"/>
            <w:vMerge w:val="continue"/>
            <w:tcBorders>
              <w:tl2br w:val="nil"/>
              <w:tr2bl w:val="nil"/>
            </w:tcBorders>
            <w:shd w:val="clear" w:color="auto" w:fill="auto"/>
            <w:vAlign w:val="center"/>
          </w:tcPr>
          <w:p w14:paraId="6287F764">
            <w:pPr>
              <w:jc w:val="center"/>
              <w:rPr>
                <w:rFonts w:hint="eastAsia" w:asciiTheme="minorEastAsia" w:hAnsiTheme="minorEastAsia" w:eastAsiaTheme="minorEastAsia" w:cstheme="minorEastAsia"/>
                <w:sz w:val="24"/>
              </w:rPr>
            </w:pPr>
          </w:p>
        </w:tc>
        <w:tc>
          <w:tcPr>
            <w:tcW w:w="654" w:type="pct"/>
            <w:vMerge w:val="continue"/>
            <w:tcBorders>
              <w:tl2br w:val="nil"/>
              <w:tr2bl w:val="nil"/>
            </w:tcBorders>
            <w:shd w:val="clear" w:color="auto" w:fill="auto"/>
            <w:vAlign w:val="center"/>
          </w:tcPr>
          <w:p w14:paraId="37A37E55">
            <w:pPr>
              <w:jc w:val="center"/>
              <w:rPr>
                <w:rFonts w:hint="eastAsia" w:asciiTheme="minorEastAsia" w:hAnsiTheme="minorEastAsia" w:eastAsiaTheme="minorEastAsia" w:cstheme="minorEastAsia"/>
                <w:sz w:val="24"/>
              </w:rPr>
            </w:pPr>
          </w:p>
        </w:tc>
        <w:tc>
          <w:tcPr>
            <w:tcW w:w="3621" w:type="pct"/>
            <w:vMerge w:val="continue"/>
            <w:tcBorders>
              <w:tl2br w:val="nil"/>
              <w:tr2bl w:val="nil"/>
            </w:tcBorders>
            <w:shd w:val="clear" w:color="auto" w:fill="auto"/>
            <w:vAlign w:val="center"/>
          </w:tcPr>
          <w:p w14:paraId="4FDDC8ED">
            <w:pPr>
              <w:jc w:val="left"/>
              <w:rPr>
                <w:rFonts w:hint="eastAsia" w:asciiTheme="minorEastAsia" w:hAnsiTheme="minorEastAsia" w:eastAsiaTheme="minorEastAsia" w:cstheme="minorEastAsia"/>
                <w:sz w:val="24"/>
              </w:rPr>
            </w:pPr>
          </w:p>
        </w:tc>
        <w:tc>
          <w:tcPr>
            <w:tcW w:w="385" w:type="pct"/>
            <w:vMerge w:val="continue"/>
            <w:tcBorders>
              <w:tl2br w:val="nil"/>
              <w:tr2bl w:val="nil"/>
            </w:tcBorders>
            <w:shd w:val="clear" w:color="auto" w:fill="auto"/>
            <w:vAlign w:val="center"/>
          </w:tcPr>
          <w:p w14:paraId="7C42DEE6">
            <w:pPr>
              <w:jc w:val="center"/>
              <w:rPr>
                <w:rFonts w:hint="eastAsia" w:asciiTheme="minorEastAsia" w:hAnsiTheme="minorEastAsia" w:eastAsiaTheme="minorEastAsia" w:cstheme="minorEastAsia"/>
                <w:sz w:val="24"/>
              </w:rPr>
            </w:pPr>
          </w:p>
        </w:tc>
      </w:tr>
      <w:tr w14:paraId="031AC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8" w:hRule="atLeast"/>
        </w:trPr>
        <w:tc>
          <w:tcPr>
            <w:tcW w:w="338" w:type="pct"/>
            <w:tcBorders>
              <w:tl2br w:val="nil"/>
              <w:tr2bl w:val="nil"/>
            </w:tcBorders>
            <w:shd w:val="clear" w:color="auto" w:fill="auto"/>
            <w:vAlign w:val="center"/>
          </w:tcPr>
          <w:p w14:paraId="51A845AF">
            <w:pPr>
              <w:widowControl/>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p>
        </w:tc>
        <w:tc>
          <w:tcPr>
            <w:tcW w:w="654" w:type="pct"/>
            <w:tcBorders>
              <w:tl2br w:val="nil"/>
              <w:tr2bl w:val="nil"/>
            </w:tcBorders>
            <w:shd w:val="clear" w:color="auto" w:fill="auto"/>
            <w:vAlign w:val="center"/>
          </w:tcPr>
          <w:p w14:paraId="62A79528">
            <w:pPr>
              <w:widowControl/>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技术方案</w:t>
            </w:r>
          </w:p>
        </w:tc>
        <w:tc>
          <w:tcPr>
            <w:tcW w:w="3621" w:type="pct"/>
            <w:tcBorders>
              <w:tl2br w:val="nil"/>
              <w:tr2bl w:val="nil"/>
            </w:tcBorders>
            <w:shd w:val="clear" w:color="auto" w:fill="auto"/>
            <w:vAlign w:val="center"/>
          </w:tcPr>
          <w:p w14:paraId="5A853177">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根据供应商提供的</w:t>
            </w:r>
            <w:r>
              <w:rPr>
                <w:rFonts w:hint="eastAsia" w:asciiTheme="minorEastAsia" w:hAnsiTheme="minorEastAsia" w:eastAsiaTheme="minorEastAsia" w:cstheme="minorEastAsia"/>
                <w:sz w:val="24"/>
                <w:lang w:val="en-US" w:eastAsia="zh-CN"/>
              </w:rPr>
              <w:t>技术</w:t>
            </w:r>
            <w:r>
              <w:rPr>
                <w:rFonts w:hint="eastAsia" w:asciiTheme="minorEastAsia" w:hAnsiTheme="minorEastAsia" w:eastAsiaTheme="minorEastAsia" w:cstheme="minorEastAsia"/>
                <w:sz w:val="24"/>
              </w:rPr>
              <w:t>方案进行评比赋分，方案应包含不限于：①站群管理、②</w:t>
            </w:r>
            <w:r>
              <w:rPr>
                <w:rFonts w:hint="eastAsia" w:asciiTheme="minorEastAsia" w:hAnsiTheme="minorEastAsia" w:eastAsiaTheme="minorEastAsia" w:cstheme="minorEastAsia"/>
                <w:sz w:val="24"/>
                <w:lang w:val="en-US" w:eastAsia="zh-CN"/>
              </w:rPr>
              <w:t>系统安全体系建设</w:t>
            </w:r>
            <w:r>
              <w:rPr>
                <w:rFonts w:hint="eastAsia" w:asciiTheme="minorEastAsia" w:hAnsiTheme="minorEastAsia" w:eastAsiaTheme="minorEastAsia" w:cstheme="minorEastAsia"/>
                <w:sz w:val="24"/>
              </w:rPr>
              <w:t>、③</w:t>
            </w:r>
            <w:r>
              <w:rPr>
                <w:rFonts w:hint="eastAsia" w:asciiTheme="minorEastAsia" w:hAnsiTheme="minorEastAsia" w:eastAsiaTheme="minorEastAsia" w:cstheme="minorEastAsia"/>
                <w:sz w:val="24"/>
                <w:lang w:val="en-US" w:eastAsia="zh-CN"/>
              </w:rPr>
              <w:t>网站管理</w:t>
            </w:r>
            <w:r>
              <w:rPr>
                <w:rFonts w:hint="eastAsia" w:asciiTheme="minorEastAsia" w:hAnsiTheme="minorEastAsia" w:eastAsiaTheme="minorEastAsia" w:cstheme="minorEastAsia"/>
                <w:sz w:val="24"/>
              </w:rPr>
              <w:t>、④</w:t>
            </w:r>
            <w:r>
              <w:rPr>
                <w:rFonts w:hint="eastAsia" w:asciiTheme="minorEastAsia" w:hAnsiTheme="minorEastAsia" w:eastAsiaTheme="minorEastAsia" w:cstheme="minorEastAsia"/>
                <w:sz w:val="24"/>
                <w:lang w:val="en-US" w:eastAsia="zh-CN"/>
              </w:rPr>
              <w:t>系统集成对接、</w:t>
            </w:r>
            <w:r>
              <w:rPr>
                <w:rFonts w:hint="eastAsia" w:asciiTheme="minorEastAsia" w:hAnsiTheme="minorEastAsia" w:eastAsiaTheme="minorEastAsia" w:cstheme="minorEastAsia"/>
                <w:sz w:val="24"/>
              </w:rPr>
              <w:t>⑤</w:t>
            </w:r>
            <w:r>
              <w:rPr>
                <w:rFonts w:hint="eastAsia" w:asciiTheme="minorEastAsia" w:hAnsiTheme="minorEastAsia" w:eastAsiaTheme="minorEastAsia" w:cstheme="minorEastAsia"/>
                <w:sz w:val="24"/>
                <w:lang w:val="en-US" w:eastAsia="zh-CN"/>
              </w:rPr>
              <w:t>信创适配</w:t>
            </w:r>
            <w:r>
              <w:rPr>
                <w:rFonts w:hint="eastAsia" w:asciiTheme="minorEastAsia" w:hAnsiTheme="minorEastAsia" w:eastAsiaTheme="minorEastAsia" w:cstheme="minorEastAsia"/>
                <w:sz w:val="24"/>
              </w:rPr>
              <w:t>、⑥</w:t>
            </w:r>
            <w:r>
              <w:rPr>
                <w:rFonts w:hint="eastAsia" w:asciiTheme="minorEastAsia" w:hAnsiTheme="minorEastAsia" w:eastAsiaTheme="minorEastAsia" w:cstheme="minorEastAsia"/>
                <w:sz w:val="24"/>
                <w:lang w:val="en-US" w:eastAsia="zh-CN"/>
              </w:rPr>
              <w:t>系统</w:t>
            </w:r>
            <w:r>
              <w:rPr>
                <w:rFonts w:hint="eastAsia" w:asciiTheme="minorEastAsia" w:hAnsiTheme="minorEastAsia" w:eastAsiaTheme="minorEastAsia" w:cstheme="minorEastAsia"/>
                <w:sz w:val="24"/>
              </w:rPr>
              <w:t>测试等方案。</w:t>
            </w:r>
          </w:p>
          <w:p w14:paraId="088C501B">
            <w:pPr>
              <w:widowControl/>
              <w:numPr>
                <w:ilvl w:val="0"/>
                <w:numId w:val="18"/>
              </w:numPr>
              <w:ind w:left="425" w:leftChars="0" w:hanging="425"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以上每项内容</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分，满分</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分，方案涵盖上述所有内容且方案内容符合或优于采购需求条件的得</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 xml:space="preserve">分； </w:t>
            </w:r>
          </w:p>
          <w:p w14:paraId="5743ABC1">
            <w:pPr>
              <w:widowControl/>
              <w:numPr>
                <w:ilvl w:val="0"/>
                <w:numId w:val="18"/>
              </w:numPr>
              <w:ind w:left="425" w:leftChars="0" w:hanging="425"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以上内容存在一处缺陷（内容缺陷是指：内容不符合采购需求或不适用项目特性的情形、内容不完整或缺少关键节点、套用其他项目方案、内容前 后矛盾、涉及的规范及标准错误、不利于项目实施、不可能实现的情形等任意一种情形）相应项扣</w:t>
            </w:r>
            <w:r>
              <w:rPr>
                <w:rFonts w:hint="eastAsia" w:asciiTheme="minorEastAsia" w:hAnsiTheme="minorEastAsia" w:eastAsiaTheme="minorEastAsia" w:cstheme="minorEastAsia"/>
                <w:sz w:val="24"/>
                <w:lang w:val="en-US" w:eastAsia="zh-CN"/>
              </w:rPr>
              <w:t>0.5</w:t>
            </w:r>
            <w:r>
              <w:rPr>
                <w:rFonts w:hint="eastAsia" w:asciiTheme="minorEastAsia" w:hAnsiTheme="minorEastAsia" w:eastAsiaTheme="minorEastAsia" w:cstheme="minorEastAsia"/>
                <w:sz w:val="24"/>
              </w:rPr>
              <w:t>分，扣完为止。</w:t>
            </w:r>
          </w:p>
          <w:p w14:paraId="30586541">
            <w:pPr>
              <w:widowControl/>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不提供方案的，不得分。</w:t>
            </w:r>
          </w:p>
        </w:tc>
        <w:tc>
          <w:tcPr>
            <w:tcW w:w="385" w:type="pct"/>
            <w:tcBorders>
              <w:tl2br w:val="nil"/>
              <w:tr2bl w:val="nil"/>
            </w:tcBorders>
            <w:shd w:val="clear" w:color="auto" w:fill="auto"/>
            <w:vAlign w:val="center"/>
          </w:tcPr>
          <w:p w14:paraId="14DA8D86">
            <w:pPr>
              <w:widowControl/>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分</w:t>
            </w:r>
          </w:p>
        </w:tc>
      </w:tr>
      <w:tr w14:paraId="7F6D3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 w:hRule="atLeast"/>
        </w:trPr>
        <w:tc>
          <w:tcPr>
            <w:tcW w:w="338" w:type="pct"/>
            <w:tcBorders>
              <w:tl2br w:val="nil"/>
              <w:tr2bl w:val="nil"/>
            </w:tcBorders>
            <w:shd w:val="clear" w:color="auto" w:fill="auto"/>
            <w:vAlign w:val="center"/>
          </w:tcPr>
          <w:p w14:paraId="6CA6390E">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w:t>
            </w:r>
          </w:p>
        </w:tc>
        <w:tc>
          <w:tcPr>
            <w:tcW w:w="654" w:type="pct"/>
            <w:tcBorders>
              <w:tl2br w:val="nil"/>
              <w:tr2bl w:val="nil"/>
            </w:tcBorders>
            <w:shd w:val="clear" w:color="auto" w:fill="auto"/>
            <w:vAlign w:val="center"/>
          </w:tcPr>
          <w:p w14:paraId="31D68346">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等保测评</w:t>
            </w:r>
          </w:p>
        </w:tc>
        <w:tc>
          <w:tcPr>
            <w:tcW w:w="3621" w:type="pct"/>
            <w:tcBorders>
              <w:tl2br w:val="nil"/>
              <w:tr2bl w:val="nil"/>
            </w:tcBorders>
            <w:shd w:val="clear" w:color="auto" w:fill="auto"/>
            <w:vAlign w:val="center"/>
          </w:tcPr>
          <w:p w14:paraId="04D0240A">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为保障本次项目的建设安全符合国家要求，本项目所投产品须提供内容发布类产品安全评估报告。</w:t>
            </w:r>
          </w:p>
          <w:p w14:paraId="313BFC72">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1、提供内容发布类产品保护等级为二级及以上的合规性检查报告，得2分。</w:t>
            </w:r>
          </w:p>
          <w:p w14:paraId="2E935A14">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2、提供明确的渗透测试报告部分，报告内容详尽具体，得4分。</w:t>
            </w:r>
          </w:p>
          <w:p w14:paraId="435030D8">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3、提供源代码审计报告，报告内容详尽具体，得6分。 </w:t>
            </w:r>
          </w:p>
          <w:p w14:paraId="5C42B4AF">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提供并符合要求的相关报告复印件，并加盖公章，未提供者不得分。</w:t>
            </w:r>
          </w:p>
        </w:tc>
        <w:tc>
          <w:tcPr>
            <w:tcW w:w="385" w:type="pct"/>
            <w:tcBorders>
              <w:tl2br w:val="nil"/>
              <w:tr2bl w:val="nil"/>
            </w:tcBorders>
            <w:shd w:val="clear" w:color="auto" w:fill="auto"/>
            <w:vAlign w:val="center"/>
          </w:tcPr>
          <w:p w14:paraId="6C83E149">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6分</w:t>
            </w:r>
          </w:p>
        </w:tc>
      </w:tr>
      <w:tr w14:paraId="490F9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 w:hRule="atLeast"/>
        </w:trPr>
        <w:tc>
          <w:tcPr>
            <w:tcW w:w="338" w:type="pct"/>
            <w:tcBorders>
              <w:tl2br w:val="nil"/>
              <w:tr2bl w:val="nil"/>
            </w:tcBorders>
            <w:shd w:val="clear" w:color="auto" w:fill="auto"/>
            <w:vAlign w:val="center"/>
          </w:tcPr>
          <w:p w14:paraId="1A399022">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w:t>
            </w:r>
          </w:p>
        </w:tc>
        <w:tc>
          <w:tcPr>
            <w:tcW w:w="654" w:type="pct"/>
            <w:tcBorders>
              <w:tl2br w:val="nil"/>
              <w:tr2bl w:val="nil"/>
            </w:tcBorders>
            <w:shd w:val="clear" w:color="auto" w:fill="auto"/>
            <w:vAlign w:val="center"/>
          </w:tcPr>
          <w:p w14:paraId="5C51667E">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支持IPv6网络环境测评证明</w:t>
            </w:r>
          </w:p>
        </w:tc>
        <w:tc>
          <w:tcPr>
            <w:tcW w:w="3621" w:type="pct"/>
            <w:tcBorders>
              <w:tl2br w:val="nil"/>
              <w:tr2bl w:val="nil"/>
            </w:tcBorders>
            <w:shd w:val="clear" w:color="auto" w:fill="auto"/>
            <w:vAlign w:val="center"/>
          </w:tcPr>
          <w:p w14:paraId="140F83A0">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所投产品支持 IPv6 网络环境，须提供第三方测试机构经过测评后的测试报告，得3分，提供符合要求的相关报告复印件，并加盖公章，未提供者不得分，弄虚作假按无效投标处理。</w:t>
            </w:r>
          </w:p>
        </w:tc>
        <w:tc>
          <w:tcPr>
            <w:tcW w:w="385" w:type="pct"/>
            <w:tcBorders>
              <w:tl2br w:val="nil"/>
              <w:tr2bl w:val="nil"/>
            </w:tcBorders>
            <w:shd w:val="clear" w:color="auto" w:fill="auto"/>
            <w:vAlign w:val="center"/>
          </w:tcPr>
          <w:p w14:paraId="3666BCEC">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3分</w:t>
            </w:r>
          </w:p>
        </w:tc>
      </w:tr>
      <w:tr w14:paraId="71D0A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 w:hRule="atLeast"/>
        </w:trPr>
        <w:tc>
          <w:tcPr>
            <w:tcW w:w="338" w:type="pct"/>
            <w:tcBorders>
              <w:tl2br w:val="nil"/>
              <w:tr2bl w:val="nil"/>
            </w:tcBorders>
            <w:shd w:val="clear" w:color="auto" w:fill="auto"/>
            <w:vAlign w:val="center"/>
          </w:tcPr>
          <w:p w14:paraId="4D167641">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654" w:type="pct"/>
            <w:tcBorders>
              <w:tl2br w:val="nil"/>
              <w:tr2bl w:val="nil"/>
            </w:tcBorders>
            <w:shd w:val="clear" w:color="auto" w:fill="auto"/>
            <w:vAlign w:val="center"/>
          </w:tcPr>
          <w:p w14:paraId="15BB966B">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投标人综合实力</w:t>
            </w:r>
          </w:p>
        </w:tc>
        <w:tc>
          <w:tcPr>
            <w:tcW w:w="3621" w:type="pct"/>
            <w:tcBorders>
              <w:tl2br w:val="nil"/>
              <w:tr2bl w:val="nil"/>
            </w:tcBorders>
            <w:shd w:val="clear" w:color="auto" w:fill="auto"/>
            <w:vAlign w:val="center"/>
          </w:tcPr>
          <w:p w14:paraId="445F7C77">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1.投标人所投产品需具备网站群管理类著作权，得2分；</w:t>
            </w:r>
          </w:p>
          <w:p w14:paraId="2A401806">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2.投标人所投产品具有重保安全管理类系统著作权，得2分； </w:t>
            </w:r>
          </w:p>
          <w:p w14:paraId="7F0F4274">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3.投标人所投产品具备在有效期内的ITSS三级或以上证书，得2分；</w:t>
            </w:r>
          </w:p>
          <w:p w14:paraId="1B2975E3">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4.投标人所投产品具有资料云上传导入类系统著作权，且提供拥有CMA、CAL、CNAS、ILAC-MRA中任意一个检测资质的第三方软件检测机构出具的资料云导入功能检测报告，得3分。</w:t>
            </w:r>
          </w:p>
        </w:tc>
        <w:tc>
          <w:tcPr>
            <w:tcW w:w="385" w:type="pct"/>
            <w:tcBorders>
              <w:tl2br w:val="nil"/>
              <w:tr2bl w:val="nil"/>
            </w:tcBorders>
            <w:shd w:val="clear" w:color="auto" w:fill="auto"/>
            <w:vAlign w:val="center"/>
          </w:tcPr>
          <w:p w14:paraId="658D745C">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9分</w:t>
            </w:r>
          </w:p>
        </w:tc>
      </w:tr>
      <w:tr w14:paraId="51F30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 w:hRule="atLeast"/>
        </w:trPr>
        <w:tc>
          <w:tcPr>
            <w:tcW w:w="338" w:type="pct"/>
            <w:tcBorders>
              <w:tl2br w:val="nil"/>
              <w:tr2bl w:val="nil"/>
            </w:tcBorders>
            <w:shd w:val="clear" w:color="auto" w:fill="auto"/>
            <w:vAlign w:val="center"/>
          </w:tcPr>
          <w:p w14:paraId="6220C7BD">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654" w:type="pct"/>
            <w:tcBorders>
              <w:tl2br w:val="nil"/>
              <w:tr2bl w:val="nil"/>
            </w:tcBorders>
            <w:shd w:val="clear" w:color="auto" w:fill="auto"/>
            <w:vAlign w:val="center"/>
          </w:tcPr>
          <w:p w14:paraId="2CCC6F73">
            <w:pPr>
              <w:widowControl/>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w:t>
            </w:r>
          </w:p>
        </w:tc>
        <w:tc>
          <w:tcPr>
            <w:tcW w:w="3621" w:type="pct"/>
            <w:tcBorders>
              <w:tl2br w:val="nil"/>
              <w:tr2bl w:val="nil"/>
            </w:tcBorders>
            <w:shd w:val="clear" w:color="auto" w:fill="auto"/>
            <w:vAlign w:val="center"/>
          </w:tcPr>
          <w:p w14:paraId="134A2CA3">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满足</w:t>
            </w:r>
            <w:r>
              <w:rPr>
                <w:rFonts w:hint="eastAsia" w:asciiTheme="minorEastAsia" w:hAnsiTheme="minorEastAsia" w:eastAsiaTheme="minorEastAsia" w:cstheme="minorEastAsia"/>
                <w:sz w:val="24"/>
                <w:lang w:eastAsia="zh-CN"/>
              </w:rPr>
              <w:t>采购文件</w:t>
            </w:r>
            <w:r>
              <w:rPr>
                <w:rFonts w:hint="eastAsia" w:asciiTheme="minorEastAsia" w:hAnsiTheme="minorEastAsia" w:eastAsiaTheme="minorEastAsia" w:cstheme="minorEastAsia"/>
                <w:sz w:val="24"/>
              </w:rPr>
              <w:t>要求且最后报价最低的供应商的价格为磋商基准价，其价格分为满分。其他供应商的价格分统一按照下列公式计算：</w:t>
            </w:r>
          </w:p>
          <w:p w14:paraId="4808B4A2">
            <w:pPr>
              <w:widowControl/>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投标报价得分=（投标基准价/投标报价）×价格权值×100</w:t>
            </w:r>
          </w:p>
        </w:tc>
        <w:tc>
          <w:tcPr>
            <w:tcW w:w="385" w:type="pct"/>
            <w:tcBorders>
              <w:tl2br w:val="nil"/>
              <w:tr2bl w:val="nil"/>
            </w:tcBorders>
            <w:shd w:val="clear" w:color="auto" w:fill="auto"/>
            <w:vAlign w:val="center"/>
          </w:tcPr>
          <w:p w14:paraId="4905DB0E">
            <w:pPr>
              <w:widowControl/>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10分</w:t>
            </w:r>
          </w:p>
        </w:tc>
      </w:tr>
    </w:tbl>
    <w:p w14:paraId="78A0BFA5">
      <w:pPr>
        <w:ind w:firstLine="0" w:firstLineChars="0"/>
        <w:jc w:val="center"/>
        <w:rPr>
          <w:b/>
          <w:sz w:val="32"/>
          <w:szCs w:val="32"/>
        </w:rPr>
      </w:pPr>
      <w:r>
        <w:rPr>
          <w:rFonts w:hint="eastAsia"/>
          <w:b/>
          <w:sz w:val="32"/>
          <w:szCs w:val="32"/>
        </w:rPr>
        <w:t>正文部分</w:t>
      </w:r>
    </w:p>
    <w:p w14:paraId="721DEE00">
      <w:pPr>
        <w:spacing w:line="36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、评标原则和方法</w:t>
      </w:r>
    </w:p>
    <w:p w14:paraId="07B4211C">
      <w:pPr>
        <w:spacing w:line="360" w:lineRule="exact"/>
        <w:ind w:firstLine="480" w:firstLineChars="200"/>
        <w:rPr>
          <w:rFonts w:ascii="宋体" w:hAnsi="宋体"/>
          <w:sz w:val="24"/>
        </w:rPr>
      </w:pPr>
      <w:r>
        <w:rPr>
          <w:rFonts w:hint="eastAsia" w:ascii="宋体" w:hAnsi="宋体"/>
          <w:sz w:val="24"/>
        </w:rPr>
        <w:t xml:space="preserve">    1.1 评标基本原则：评标工作应依据《中华人民共和国政府采购法》以及国家及地方政府有关政府采购的有关规定，按照客观、公正、审慎的原则进行，评委会对所有投标人的投标评估，都采用相同的程序和标准。本次综合评分的主要因素是：价格、技术、信誉、服务、对</w:t>
      </w:r>
      <w:r>
        <w:rPr>
          <w:rFonts w:hint="eastAsia" w:ascii="宋体" w:hAnsi="宋体"/>
          <w:sz w:val="24"/>
          <w:lang w:eastAsia="zh-CN"/>
        </w:rPr>
        <w:t>采购文件</w:t>
      </w:r>
      <w:r>
        <w:rPr>
          <w:rFonts w:hint="eastAsia" w:ascii="宋体" w:hAnsi="宋体"/>
          <w:sz w:val="24"/>
        </w:rPr>
        <w:t>的响应程度以及环保、节能等。</w:t>
      </w:r>
    </w:p>
    <w:p w14:paraId="3316AF49">
      <w:pPr>
        <w:spacing w:line="36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评委会对每个“投标文件”的投标报价进行比较。</w:t>
      </w:r>
    </w:p>
    <w:p w14:paraId="3FA6FAA0">
      <w:pPr>
        <w:spacing w:line="360" w:lineRule="exact"/>
        <w:ind w:firstLine="480"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对各投标者所报技术性能进行比较。</w:t>
      </w:r>
    </w:p>
    <w:p w14:paraId="2539E189">
      <w:pPr>
        <w:spacing w:line="360" w:lineRule="exact"/>
        <w:ind w:firstLine="480" w:firstLineChars="200"/>
        <w:rPr>
          <w:rFonts w:ascii="宋体" w:hAnsi="宋体"/>
          <w:sz w:val="24"/>
        </w:rPr>
      </w:pPr>
      <w:r>
        <w:rPr>
          <w:rFonts w:hint="eastAsia" w:ascii="宋体" w:hAnsi="宋体"/>
          <w:sz w:val="24"/>
        </w:rPr>
        <w:t>1.4对其他内容进行分析比较</w:t>
      </w:r>
    </w:p>
    <w:p w14:paraId="2467E143">
      <w:pPr>
        <w:spacing w:line="360" w:lineRule="exact"/>
        <w:ind w:firstLine="480" w:firstLineChars="200"/>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采用综合评分法，以不公开方式进行评标。评委会成员应依据投标文件规定的评分标准和方法独立对其他因素进行比较打分。评标过程中不允许投标人与评委之间有可能影响到评标结果公正性的会面和谈话，以体现公平、公正的基本原则。</w:t>
      </w:r>
    </w:p>
    <w:p w14:paraId="41F5861D">
      <w:pPr>
        <w:spacing w:line="360" w:lineRule="exact"/>
        <w:ind w:firstLine="480" w:firstLineChars="200"/>
        <w:rPr>
          <w:rFonts w:ascii="宋体" w:hAnsi="宋体"/>
          <w:sz w:val="24"/>
        </w:rPr>
      </w:pPr>
      <w:r>
        <w:rPr>
          <w:rFonts w:hint="eastAsia" w:ascii="宋体" w:hAnsi="宋体"/>
          <w:sz w:val="24"/>
        </w:rPr>
        <w:t>1.6分值权重分配（具体见评分细则）评标委员会按得分高低顺序确定候</w:t>
      </w:r>
      <w:r>
        <w:rPr>
          <w:rFonts w:hint="eastAsia" w:ascii="宋体" w:hAnsi="宋体"/>
          <w:sz w:val="24"/>
          <w:lang w:eastAsia="zh-CN"/>
        </w:rPr>
        <w:t>成交</w:t>
      </w:r>
      <w:r>
        <w:rPr>
          <w:rFonts w:hint="eastAsia" w:ascii="宋体" w:hAnsi="宋体"/>
          <w:sz w:val="24"/>
        </w:rPr>
        <w:t>人。</w:t>
      </w:r>
    </w:p>
    <w:p w14:paraId="6E72F804">
      <w:pPr>
        <w:spacing w:line="360" w:lineRule="exact"/>
        <w:ind w:firstLine="480" w:firstLineChars="200"/>
        <w:rPr>
          <w:rFonts w:ascii="宋体" w:hAnsi="宋体"/>
          <w:sz w:val="24"/>
        </w:rPr>
      </w:pPr>
      <w:r>
        <w:rPr>
          <w:rFonts w:hint="eastAsia" w:ascii="宋体" w:hAnsi="宋体"/>
          <w:sz w:val="24"/>
        </w:rPr>
        <w:t>1.7综合以上分析比较最后做出评标结论。</w:t>
      </w:r>
    </w:p>
    <w:p w14:paraId="6056C3C6">
      <w:pPr>
        <w:spacing w:line="360" w:lineRule="exact"/>
        <w:ind w:firstLine="480" w:firstLineChars="200"/>
        <w:rPr>
          <w:rFonts w:ascii="宋体" w:hAnsi="宋体"/>
          <w:sz w:val="24"/>
        </w:rPr>
      </w:pPr>
      <w:r>
        <w:rPr>
          <w:rFonts w:hint="eastAsia" w:ascii="宋体" w:hAnsi="宋体"/>
          <w:sz w:val="24"/>
        </w:rPr>
        <w:t>2、保密及其它注意事项</w:t>
      </w:r>
    </w:p>
    <w:p w14:paraId="62C030DD">
      <w:pPr>
        <w:spacing w:line="360" w:lineRule="exact"/>
        <w:ind w:firstLine="480" w:firstLineChars="200"/>
        <w:rPr>
          <w:rFonts w:ascii="宋体" w:hAnsi="宋体"/>
          <w:sz w:val="24"/>
        </w:rPr>
      </w:pPr>
      <w:r>
        <w:rPr>
          <w:rFonts w:hint="eastAsia" w:ascii="宋体" w:hAnsi="宋体"/>
          <w:sz w:val="24"/>
        </w:rPr>
        <w:t>2.1评标是招标工作的重要环节，评标工作在评委会内独立进行。评委会将遵照评标原则，客观、公正、审慎地对待所有投标人。</w:t>
      </w:r>
    </w:p>
    <w:p w14:paraId="394CA05B">
      <w:pPr>
        <w:spacing w:line="360" w:lineRule="exact"/>
        <w:ind w:firstLine="480" w:firstLineChars="200"/>
        <w:rPr>
          <w:rFonts w:ascii="宋体" w:hAnsi="宋体"/>
          <w:sz w:val="24"/>
        </w:rPr>
      </w:pPr>
      <w:r>
        <w:rPr>
          <w:rFonts w:hint="eastAsia" w:ascii="宋体" w:hAnsi="宋体"/>
          <w:sz w:val="24"/>
        </w:rPr>
        <w:t>2.2评标后，评委会可能对投标文件中有关问题分别向投标人进行询问。各投标人应予以认真答复。重要或复杂问题的答复需以书面形式，并经法定代表人或授权人签署。澄清文件将作为“投标文件”的组成部份。</w:t>
      </w:r>
    </w:p>
    <w:p w14:paraId="4E324356">
      <w:pPr>
        <w:spacing w:line="360" w:lineRule="exact"/>
        <w:ind w:firstLine="480" w:firstLineChars="200"/>
        <w:rPr>
          <w:rFonts w:ascii="宋体" w:hAnsi="宋体"/>
          <w:sz w:val="24"/>
        </w:rPr>
      </w:pPr>
      <w:r>
        <w:rPr>
          <w:rFonts w:hint="eastAsia" w:ascii="宋体" w:hAnsi="宋体"/>
          <w:sz w:val="24"/>
        </w:rPr>
        <w:t>2.3在开标、评标期间，投标人不得向评委询问评标情况，不得进行旨在影响评标结果的活动。</w:t>
      </w:r>
    </w:p>
    <w:p w14:paraId="2AD49EA3">
      <w:pPr>
        <w:spacing w:line="360" w:lineRule="exact"/>
        <w:ind w:firstLine="480" w:firstLineChars="200"/>
        <w:rPr>
          <w:rFonts w:ascii="宋体" w:hAnsi="宋体"/>
          <w:sz w:val="24"/>
        </w:rPr>
      </w:pPr>
      <w:r>
        <w:rPr>
          <w:rFonts w:hint="eastAsia" w:ascii="宋体" w:hAnsi="宋体"/>
          <w:sz w:val="24"/>
        </w:rPr>
        <w:t>2.4为保证定标的公正性，在评标过程中，评委不得与投标人私下交换意见。在招标工作结束后，凡与评标情况有接触的任何人，不得也不应将评标情况扩散出评委人员之外。</w:t>
      </w:r>
    </w:p>
    <w:p w14:paraId="4295232D">
      <w:pPr>
        <w:spacing w:line="360" w:lineRule="exact"/>
        <w:ind w:firstLine="480" w:firstLineChars="200"/>
        <w:rPr>
          <w:rFonts w:ascii="宋体" w:hAnsi="宋体"/>
          <w:sz w:val="24"/>
        </w:rPr>
      </w:pPr>
      <w:r>
        <w:rPr>
          <w:rFonts w:hint="eastAsia" w:ascii="宋体" w:hAnsi="宋体"/>
          <w:sz w:val="24"/>
        </w:rPr>
        <w:t>2</w:t>
      </w:r>
      <w:r>
        <w:rPr>
          <w:rFonts w:ascii="宋体" w:hAnsi="宋体"/>
          <w:sz w:val="24"/>
        </w:rPr>
        <w:t xml:space="preserve">.5 </w:t>
      </w:r>
      <w:r>
        <w:rPr>
          <w:rFonts w:hint="eastAsia" w:ascii="宋体" w:hAnsi="宋体"/>
          <w:sz w:val="24"/>
        </w:rPr>
        <w:t>评委会不向落标方解释落标原因，不退还投标文件。</w:t>
      </w:r>
    </w:p>
    <w:p w14:paraId="2B99643C">
      <w:pPr>
        <w:spacing w:line="360" w:lineRule="exact"/>
        <w:ind w:firstLine="480" w:firstLineChars="200"/>
        <w:rPr>
          <w:rFonts w:ascii="宋体" w:hAnsi="宋体"/>
          <w:sz w:val="24"/>
        </w:rPr>
      </w:pPr>
      <w:r>
        <w:rPr>
          <w:rFonts w:hint="eastAsia" w:ascii="宋体" w:hAnsi="宋体"/>
          <w:sz w:val="24"/>
        </w:rPr>
        <w:t>3、评标步骤及评标方法</w:t>
      </w:r>
    </w:p>
    <w:p w14:paraId="3575581B">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1评标步骤：先进行投标人初步评审，再进行技术、商务及价格的详细评审。只有通过初步评审的投标人才能进入详细的评审。</w:t>
      </w:r>
    </w:p>
    <w:p w14:paraId="2FD09DD4">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2本项目评标采用综合评分法。</w:t>
      </w:r>
    </w:p>
    <w:p w14:paraId="222ADCE3">
      <w:pPr>
        <w:spacing w:line="360" w:lineRule="exact"/>
        <w:ind w:firstLine="480" w:firstLineChars="200"/>
        <w:rPr>
          <w:rFonts w:ascii="宋体" w:hAnsi="宋体"/>
          <w:sz w:val="24"/>
        </w:rPr>
      </w:pPr>
      <w:r>
        <w:rPr>
          <w:rFonts w:hint="eastAsia" w:ascii="宋体" w:hAnsi="宋体"/>
          <w:sz w:val="24"/>
        </w:rPr>
        <w:t>综合得分按由高到低顺序排列。综合得分相同时，按投标报价由低到高顺序排列。综合得分和投标报价均相同的，按技术指标由优至劣顺序排列。综合得分最高的投标人为第一</w:t>
      </w:r>
      <w:r>
        <w:rPr>
          <w:rFonts w:hint="eastAsia" w:ascii="宋体" w:hAnsi="宋体"/>
          <w:sz w:val="24"/>
          <w:lang w:eastAsia="zh-CN"/>
        </w:rPr>
        <w:t>成交</w:t>
      </w:r>
      <w:r>
        <w:rPr>
          <w:rFonts w:hint="eastAsia" w:ascii="宋体" w:hAnsi="宋体"/>
          <w:sz w:val="24"/>
        </w:rPr>
        <w:t>候选供应商，综合得分次高的投标人为第二</w:t>
      </w:r>
      <w:r>
        <w:rPr>
          <w:rFonts w:hint="eastAsia" w:ascii="宋体" w:hAnsi="宋体"/>
          <w:sz w:val="24"/>
          <w:lang w:eastAsia="zh-CN"/>
        </w:rPr>
        <w:t>成交</w:t>
      </w:r>
      <w:r>
        <w:rPr>
          <w:rFonts w:hint="eastAsia" w:ascii="宋体" w:hAnsi="宋体"/>
          <w:sz w:val="24"/>
        </w:rPr>
        <w:t>候选供应商。本项目仅推荐3名</w:t>
      </w:r>
      <w:r>
        <w:rPr>
          <w:rFonts w:hint="eastAsia" w:ascii="宋体" w:hAnsi="宋体"/>
          <w:sz w:val="24"/>
          <w:lang w:eastAsia="zh-CN"/>
        </w:rPr>
        <w:t>成交</w:t>
      </w:r>
      <w:r>
        <w:rPr>
          <w:rFonts w:hint="eastAsia" w:ascii="宋体" w:hAnsi="宋体"/>
          <w:sz w:val="24"/>
        </w:rPr>
        <w:t>候选供应商。</w:t>
      </w:r>
    </w:p>
    <w:p w14:paraId="1D88298B">
      <w:pPr>
        <w:spacing w:line="360" w:lineRule="exact"/>
        <w:ind w:firstLine="480" w:firstLineChars="200"/>
        <w:rPr>
          <w:rFonts w:ascii="宋体" w:hAnsi="宋体"/>
          <w:b/>
          <w:sz w:val="24"/>
        </w:rPr>
      </w:pPr>
      <w:r>
        <w:rPr>
          <w:rFonts w:hint="eastAsia" w:ascii="宋体" w:hAnsi="宋体"/>
          <w:sz w:val="24"/>
        </w:rPr>
        <w:t>4、初步评审</w:t>
      </w:r>
    </w:p>
    <w:p w14:paraId="2D0E3D1B">
      <w:pPr>
        <w:spacing w:line="360" w:lineRule="exact"/>
        <w:ind w:left="1"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1采购人和代理机构根据资格性审查表对投标人的资格进行审查。</w:t>
      </w:r>
    </w:p>
    <w:p w14:paraId="24DE13DF">
      <w:pPr>
        <w:spacing w:line="500" w:lineRule="exact"/>
        <w:ind w:left="1" w:firstLine="480" w:firstLineChars="200"/>
        <w:jc w:val="left"/>
        <w:rPr>
          <w:rFonts w:ascii="宋体" w:hAnsi="宋体"/>
          <w:sz w:val="24"/>
        </w:rPr>
      </w:pPr>
      <w:r>
        <w:rPr>
          <w:rFonts w:hint="eastAsia" w:ascii="宋体" w:hAnsi="宋体"/>
          <w:sz w:val="24"/>
        </w:rPr>
        <w:t>4.2评标委员会根据符合性审查表对投标文件符合性进行评审，以确定其是否满足</w:t>
      </w:r>
      <w:r>
        <w:rPr>
          <w:rFonts w:hint="eastAsia" w:ascii="宋体" w:hAnsi="宋体"/>
          <w:sz w:val="24"/>
          <w:lang w:eastAsia="zh-CN"/>
        </w:rPr>
        <w:t>采购文件</w:t>
      </w:r>
      <w:r>
        <w:rPr>
          <w:rFonts w:hint="eastAsia" w:ascii="宋体" w:hAnsi="宋体"/>
          <w:sz w:val="24"/>
        </w:rPr>
        <w:t>中的实质性要求。</w:t>
      </w:r>
    </w:p>
    <w:p w14:paraId="1E9BF6FB">
      <w:pPr>
        <w:spacing w:line="50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3无效投标的认定</w:t>
      </w:r>
    </w:p>
    <w:p w14:paraId="0D3E8830">
      <w:pPr>
        <w:spacing w:line="360" w:lineRule="exact"/>
        <w:ind w:firstLine="480" w:firstLineChars="200"/>
        <w:rPr>
          <w:rFonts w:hint="eastAsia" w:ascii="宋体" w:hAnsi="宋体"/>
          <w:sz w:val="24"/>
        </w:rPr>
      </w:pPr>
      <w:r>
        <w:rPr>
          <w:rFonts w:hint="eastAsia" w:ascii="宋体" w:hAnsi="宋体"/>
          <w:sz w:val="24"/>
        </w:rPr>
        <w:t>投标文件出现但不限于下列情况的将被认定为无效投标：</w:t>
      </w:r>
    </w:p>
    <w:p w14:paraId="705256EB">
      <w:pPr>
        <w:spacing w:line="360" w:lineRule="exact"/>
        <w:ind w:firstLine="480" w:firstLineChars="200"/>
        <w:rPr>
          <w:rFonts w:hint="eastAsia" w:ascii="宋体" w:hAnsi="宋体"/>
          <w:sz w:val="24"/>
        </w:rPr>
      </w:pPr>
      <w:r>
        <w:rPr>
          <w:rFonts w:hint="eastAsia" w:ascii="宋体" w:hAnsi="宋体"/>
          <w:sz w:val="24"/>
        </w:rPr>
        <w:t>1）未按照</w:t>
      </w:r>
      <w:r>
        <w:rPr>
          <w:rFonts w:hint="eastAsia" w:ascii="宋体" w:hAnsi="宋体"/>
          <w:sz w:val="24"/>
          <w:lang w:eastAsia="zh-CN"/>
        </w:rPr>
        <w:t>采购文件</w:t>
      </w:r>
      <w:r>
        <w:rPr>
          <w:rFonts w:hint="eastAsia" w:ascii="宋体" w:hAnsi="宋体"/>
          <w:sz w:val="24"/>
        </w:rPr>
        <w:t>的规定提交投标保证金的；</w:t>
      </w:r>
    </w:p>
    <w:p w14:paraId="57A11711">
      <w:pPr>
        <w:spacing w:line="360" w:lineRule="exact"/>
        <w:ind w:firstLine="480" w:firstLineChars="200"/>
        <w:rPr>
          <w:rFonts w:hint="eastAsia" w:ascii="宋体" w:hAnsi="宋体"/>
          <w:sz w:val="24"/>
        </w:rPr>
      </w:pPr>
      <w:r>
        <w:rPr>
          <w:rFonts w:hint="eastAsia" w:ascii="宋体" w:hAnsi="宋体"/>
          <w:sz w:val="24"/>
        </w:rPr>
        <w:t>2）投标文件未按</w:t>
      </w:r>
      <w:r>
        <w:rPr>
          <w:rFonts w:hint="eastAsia" w:ascii="宋体" w:hAnsi="宋体"/>
          <w:sz w:val="24"/>
          <w:lang w:eastAsia="zh-CN"/>
        </w:rPr>
        <w:t>采购文件</w:t>
      </w:r>
      <w:r>
        <w:rPr>
          <w:rFonts w:hint="eastAsia" w:ascii="宋体" w:hAnsi="宋体"/>
          <w:sz w:val="24"/>
        </w:rPr>
        <w:t>要求签署、盖章的；</w:t>
      </w:r>
    </w:p>
    <w:p w14:paraId="31136F53">
      <w:pPr>
        <w:spacing w:line="360" w:lineRule="exact"/>
        <w:ind w:firstLine="480" w:firstLineChars="200"/>
        <w:rPr>
          <w:rFonts w:hint="eastAsia" w:ascii="宋体" w:hAnsi="宋体"/>
          <w:sz w:val="24"/>
        </w:rPr>
      </w:pPr>
      <w:r>
        <w:rPr>
          <w:rFonts w:hint="eastAsia" w:ascii="宋体" w:hAnsi="宋体"/>
          <w:sz w:val="24"/>
        </w:rPr>
        <w:t>3）不具备</w:t>
      </w:r>
      <w:r>
        <w:rPr>
          <w:rFonts w:hint="eastAsia" w:ascii="宋体" w:hAnsi="宋体"/>
          <w:sz w:val="24"/>
          <w:lang w:eastAsia="zh-CN"/>
        </w:rPr>
        <w:t>采购文件</w:t>
      </w:r>
      <w:r>
        <w:rPr>
          <w:rFonts w:hint="eastAsia" w:ascii="宋体" w:hAnsi="宋体"/>
          <w:sz w:val="24"/>
        </w:rPr>
        <w:t>中规定的资格要求的；</w:t>
      </w:r>
    </w:p>
    <w:p w14:paraId="4DE9F30E">
      <w:pPr>
        <w:spacing w:line="360" w:lineRule="exact"/>
        <w:ind w:firstLine="480" w:firstLineChars="200"/>
        <w:rPr>
          <w:rFonts w:hint="eastAsia" w:ascii="宋体" w:hAnsi="宋体"/>
          <w:sz w:val="24"/>
        </w:rPr>
      </w:pPr>
      <w:r>
        <w:rPr>
          <w:rFonts w:hint="eastAsia" w:ascii="宋体" w:hAnsi="宋体"/>
          <w:sz w:val="24"/>
        </w:rPr>
        <w:t>4）报价超过</w:t>
      </w:r>
      <w:r>
        <w:rPr>
          <w:rFonts w:hint="eastAsia" w:ascii="宋体" w:hAnsi="宋体"/>
          <w:sz w:val="24"/>
          <w:lang w:eastAsia="zh-CN"/>
        </w:rPr>
        <w:t>采购文件</w:t>
      </w:r>
      <w:r>
        <w:rPr>
          <w:rFonts w:hint="eastAsia" w:ascii="宋体" w:hAnsi="宋体"/>
          <w:sz w:val="24"/>
        </w:rPr>
        <w:t>中规定的预算金额或者最高限价的；</w:t>
      </w:r>
    </w:p>
    <w:p w14:paraId="49532A97">
      <w:pPr>
        <w:spacing w:line="360" w:lineRule="exact"/>
        <w:ind w:firstLine="480" w:firstLineChars="200"/>
        <w:rPr>
          <w:rFonts w:hint="eastAsia" w:ascii="宋体" w:hAnsi="宋体"/>
          <w:sz w:val="24"/>
        </w:rPr>
      </w:pPr>
      <w:r>
        <w:rPr>
          <w:rFonts w:hint="eastAsia" w:ascii="宋体" w:hAnsi="宋体"/>
          <w:sz w:val="24"/>
        </w:rPr>
        <w:t>5）投标文件含有采购人不能接受的附加条件的;</w:t>
      </w:r>
    </w:p>
    <w:p w14:paraId="486E62F0">
      <w:pPr>
        <w:spacing w:line="360" w:lineRule="exact"/>
        <w:ind w:firstLine="480" w:firstLineChars="200"/>
        <w:rPr>
          <w:rFonts w:hint="eastAsia" w:ascii="宋体" w:hAnsi="宋体"/>
          <w:sz w:val="24"/>
        </w:rPr>
      </w:pPr>
      <w:r>
        <w:rPr>
          <w:rFonts w:hint="eastAsia" w:ascii="宋体" w:hAnsi="宋体"/>
          <w:sz w:val="24"/>
        </w:rPr>
        <w:t>6）法律、法规和</w:t>
      </w:r>
      <w:r>
        <w:rPr>
          <w:rFonts w:hint="eastAsia" w:ascii="宋体" w:hAnsi="宋体"/>
          <w:sz w:val="24"/>
          <w:lang w:eastAsia="zh-CN"/>
        </w:rPr>
        <w:t>采购文件</w:t>
      </w:r>
      <w:r>
        <w:rPr>
          <w:rFonts w:hint="eastAsia" w:ascii="宋体" w:hAnsi="宋体"/>
          <w:sz w:val="24"/>
        </w:rPr>
        <w:t>规定的其他无效情形。</w:t>
      </w:r>
    </w:p>
    <w:p w14:paraId="009C77EF">
      <w:pPr>
        <w:spacing w:line="360" w:lineRule="exact"/>
        <w:ind w:firstLine="480" w:firstLineChars="200"/>
        <w:rPr>
          <w:rFonts w:hint="eastAsia" w:ascii="宋体" w:hAnsi="宋体"/>
          <w:sz w:val="24"/>
        </w:rPr>
      </w:pPr>
      <w:r>
        <w:rPr>
          <w:rFonts w:hint="eastAsia" w:ascii="宋体" w:hAnsi="宋体"/>
          <w:sz w:val="24"/>
        </w:rPr>
        <w:t>7）投标报价明显低于其他投标报价而投标人不能合理说明的。</w:t>
      </w:r>
    </w:p>
    <w:p w14:paraId="373642E0">
      <w:pPr>
        <w:spacing w:line="360" w:lineRule="exact"/>
        <w:ind w:firstLine="480" w:firstLineChars="200"/>
        <w:rPr>
          <w:rFonts w:hint="eastAsia" w:ascii="宋体" w:hAnsi="宋体"/>
          <w:sz w:val="24"/>
        </w:rPr>
      </w:pPr>
      <w:r>
        <w:rPr>
          <w:rFonts w:hint="eastAsia" w:ascii="宋体" w:hAnsi="宋体"/>
          <w:sz w:val="24"/>
        </w:rPr>
        <w:t>8）不同投标人的投标文件由同一单位或者个人编制；</w:t>
      </w:r>
    </w:p>
    <w:p w14:paraId="41F0B666">
      <w:pPr>
        <w:spacing w:line="360" w:lineRule="exact"/>
        <w:ind w:firstLine="480" w:firstLineChars="200"/>
        <w:rPr>
          <w:rFonts w:hint="eastAsia" w:ascii="宋体" w:hAnsi="宋体"/>
          <w:sz w:val="24"/>
        </w:rPr>
      </w:pPr>
      <w:r>
        <w:rPr>
          <w:rFonts w:hint="eastAsia" w:ascii="宋体" w:hAnsi="宋体"/>
          <w:sz w:val="24"/>
        </w:rPr>
        <w:t>9）不同投标人委托同一单位或者个人办理投标事宜；</w:t>
      </w:r>
    </w:p>
    <w:p w14:paraId="4C4DF66C">
      <w:pPr>
        <w:spacing w:line="360" w:lineRule="exact"/>
        <w:ind w:firstLine="480" w:firstLineChars="200"/>
        <w:rPr>
          <w:rFonts w:hint="eastAsia" w:ascii="宋体" w:hAnsi="宋体"/>
          <w:sz w:val="24"/>
        </w:rPr>
      </w:pPr>
      <w:r>
        <w:rPr>
          <w:rFonts w:hint="eastAsia" w:ascii="宋体" w:hAnsi="宋体"/>
          <w:sz w:val="24"/>
        </w:rPr>
        <w:t>10）不同投标人的投标文件载明的项目管理成员或者联系人员为同一人；</w:t>
      </w:r>
    </w:p>
    <w:p w14:paraId="1D820988">
      <w:pPr>
        <w:spacing w:line="360" w:lineRule="exact"/>
        <w:ind w:firstLine="480" w:firstLineChars="200"/>
        <w:rPr>
          <w:rFonts w:hint="eastAsia" w:ascii="宋体" w:hAnsi="宋体"/>
          <w:sz w:val="24"/>
        </w:rPr>
      </w:pPr>
      <w:r>
        <w:rPr>
          <w:rFonts w:hint="eastAsia" w:ascii="宋体" w:hAnsi="宋体"/>
          <w:sz w:val="24"/>
        </w:rPr>
        <w:t>11）不同投标人的投标文件异常一致或者投标报价呈规律性差异；</w:t>
      </w:r>
    </w:p>
    <w:p w14:paraId="48302F79">
      <w:pPr>
        <w:spacing w:line="360" w:lineRule="exact"/>
        <w:ind w:firstLine="480" w:firstLineChars="200"/>
        <w:rPr>
          <w:rFonts w:hint="eastAsia" w:ascii="宋体" w:hAnsi="宋体"/>
          <w:sz w:val="24"/>
        </w:rPr>
      </w:pPr>
      <w:r>
        <w:rPr>
          <w:rFonts w:hint="eastAsia" w:ascii="宋体" w:hAnsi="宋体"/>
          <w:sz w:val="24"/>
        </w:rPr>
        <w:t>12）不同投标人的投标文件相互混装；</w:t>
      </w:r>
    </w:p>
    <w:p w14:paraId="0583ECAA">
      <w:pPr>
        <w:spacing w:line="360" w:lineRule="exact"/>
        <w:ind w:firstLine="480" w:firstLineChars="200"/>
        <w:rPr>
          <w:rFonts w:hint="eastAsia" w:ascii="宋体" w:hAnsi="宋体"/>
          <w:sz w:val="24"/>
        </w:rPr>
      </w:pPr>
      <w:r>
        <w:rPr>
          <w:rFonts w:hint="eastAsia" w:ascii="宋体" w:hAnsi="宋体"/>
          <w:sz w:val="24"/>
        </w:rPr>
        <w:t>13）不同投标人的投标保证金从同一单位或者个人的账户转出。</w:t>
      </w:r>
    </w:p>
    <w:p w14:paraId="14896AB5">
      <w:pPr>
        <w:spacing w:line="360" w:lineRule="exact"/>
        <w:ind w:firstLine="480" w:firstLineChars="200"/>
        <w:rPr>
          <w:rFonts w:hint="eastAsia" w:ascii="宋体" w:hAnsi="宋体"/>
          <w:sz w:val="24"/>
        </w:rPr>
      </w:pPr>
      <w:r>
        <w:rPr>
          <w:rFonts w:hint="eastAsia" w:ascii="宋体" w:hAnsi="宋体"/>
          <w:sz w:val="24"/>
        </w:rPr>
        <w:t>14）如投标人提交的投标文件为虚假材料的，按无效标处理</w:t>
      </w:r>
    </w:p>
    <w:p w14:paraId="7D06D63E">
      <w:pPr>
        <w:spacing w:line="360" w:lineRule="exact"/>
        <w:ind w:firstLine="480" w:firstLineChars="200"/>
        <w:rPr>
          <w:rFonts w:hint="eastAsia" w:ascii="宋体" w:hAnsi="宋体"/>
          <w:sz w:val="24"/>
        </w:rPr>
      </w:pPr>
      <w:r>
        <w:rPr>
          <w:rFonts w:hint="eastAsia" w:ascii="宋体" w:hAnsi="宋体"/>
          <w:sz w:val="24"/>
        </w:rPr>
        <w:t>5、详细评审</w:t>
      </w:r>
    </w:p>
    <w:p w14:paraId="5E296828">
      <w:pPr>
        <w:spacing w:line="360" w:lineRule="exact"/>
        <w:ind w:left="1"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1详细评审是对通过初步评审的投标进行技术、商务（授权）、售后服务及信誉、价格的评审。</w:t>
      </w:r>
    </w:p>
    <w:p w14:paraId="44C1F4D7">
      <w:pPr>
        <w:spacing w:line="360" w:lineRule="exact"/>
        <w:ind w:firstLine="477" w:firstLineChars="199"/>
        <w:jc w:val="left"/>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2价格评分标准：价格分采用低价优先法计算，即满足</w:t>
      </w:r>
      <w:r>
        <w:rPr>
          <w:rFonts w:hint="eastAsia" w:ascii="宋体" w:hAnsi="宋体"/>
          <w:sz w:val="24"/>
          <w:lang w:eastAsia="zh-CN"/>
        </w:rPr>
        <w:t>采购文件</w:t>
      </w:r>
      <w:r>
        <w:rPr>
          <w:rFonts w:hint="eastAsia" w:ascii="宋体" w:hAnsi="宋体"/>
          <w:sz w:val="24"/>
        </w:rPr>
        <w:t>要求且投标价格最低的投标报价为评标基准价，其价格分为满分。其他投标人的价格分统一按：投标报价得分＝（评标基准价/投标报价）×价格权值。小数点后保留两位。</w:t>
      </w:r>
    </w:p>
    <w:p w14:paraId="35B5B3EF">
      <w:pPr>
        <w:spacing w:line="360" w:lineRule="auto"/>
        <w:ind w:firstLine="480" w:firstLineChars="200"/>
        <w:jc w:val="left"/>
        <w:outlineLvl w:val="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3根据评审方法计算进入详细评审的各投标人的综合得分，计算得分保留小数点后两位（两位后四舍五入）并按得分从高到低排名。综合得分相同的，按投标报价由低到高顺序排列。综合得分且投标报价相同的，按技术指标优劣顺序排列。</w:t>
      </w:r>
    </w:p>
    <w:p w14:paraId="548DE258">
      <w:pPr>
        <w:spacing w:line="360" w:lineRule="auto"/>
        <w:ind w:firstLine="470" w:firstLineChars="196"/>
        <w:rPr>
          <w:rFonts w:hint="eastAsia" w:ascii="宋体" w:eastAsia="宋体"/>
          <w:sz w:val="24"/>
          <w:lang w:eastAsia="zh-CN"/>
        </w:rPr>
      </w:pPr>
      <w:r>
        <w:rPr>
          <w:rFonts w:hint="eastAsia" w:ascii="宋体" w:hAnsi="宋体"/>
          <w:sz w:val="24"/>
        </w:rPr>
        <w:t>5</w:t>
      </w:r>
      <w:r>
        <w:rPr>
          <w:rFonts w:ascii="宋体" w:hAnsi="宋体"/>
          <w:sz w:val="24"/>
        </w:rPr>
        <w:t>.</w:t>
      </w:r>
      <w:r>
        <w:rPr>
          <w:rFonts w:hint="eastAsia" w:ascii="宋体" w:hAnsi="宋体"/>
          <w:sz w:val="24"/>
        </w:rPr>
        <w:t>4</w:t>
      </w:r>
      <w:r>
        <w:rPr>
          <w:rFonts w:hint="eastAsia" w:ascii="宋体"/>
          <w:sz w:val="24"/>
        </w:rPr>
        <w:t>评标委员会认为投标人的报价明显低于其他通过符合性审查投标人，有可能影响产品质量或者不能诚信履约的，且投标人不能按评标委员会的要求证明其报价合理性的；根据《关于在相关自由贸易试验区和自由贸易港开展推动解决政府采购异常低价问题试点工作的通知》，试点地区政府采购评审中出现的异常低价情形如下：（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宋体"/>
          <w:sz w:val="24"/>
          <w:lang w:eastAsia="zh-CN"/>
        </w:rPr>
        <w:t>。</w:t>
      </w:r>
    </w:p>
    <w:p w14:paraId="258EA138">
      <w:pPr>
        <w:spacing w:line="360" w:lineRule="auto"/>
        <w:ind w:firstLine="470" w:firstLineChars="196"/>
        <w:rPr>
          <w:rFonts w:hint="eastAsia" w:ascii="宋体" w:hAnsi="宋体"/>
          <w:b/>
          <w:sz w:val="32"/>
          <w:szCs w:val="32"/>
        </w:rPr>
      </w:pPr>
      <w:r>
        <w:rPr>
          <w:rFonts w:hint="eastAsia" w:ascii="宋体" w:hAnsi="宋体"/>
          <w:sz w:val="24"/>
        </w:rPr>
        <w:t>5</w:t>
      </w:r>
      <w:r>
        <w:rPr>
          <w:rFonts w:ascii="宋体" w:hAnsi="宋体"/>
          <w:sz w:val="24"/>
        </w:rPr>
        <w:t>.</w:t>
      </w:r>
      <w:r>
        <w:rPr>
          <w:rFonts w:hint="eastAsia" w:ascii="宋体" w:hAnsi="宋体"/>
          <w:sz w:val="24"/>
        </w:rPr>
        <w:t>5</w:t>
      </w:r>
      <w:r>
        <w:rPr>
          <w:rFonts w:hint="eastAsia" w:ascii="宋体"/>
          <w:kern w:val="0"/>
          <w:sz w:val="24"/>
        </w:rPr>
        <w:t>供应商应在投标（响应）文件中如实描述技术商务情况，真实填写响应（偏离）情况。除采购文件有特殊规定外，对主要技术商务或响应（偏离）情况不如实描述的，可按无效投标（响应）处理，涉及提供虚假材料谋取</w:t>
      </w:r>
      <w:r>
        <w:rPr>
          <w:rFonts w:hint="eastAsia" w:ascii="宋体"/>
          <w:kern w:val="0"/>
          <w:sz w:val="24"/>
          <w:lang w:eastAsia="zh-CN"/>
        </w:rPr>
        <w:t>成交成交</w:t>
      </w:r>
      <w:r>
        <w:rPr>
          <w:rFonts w:hint="eastAsia" w:ascii="宋体"/>
          <w:kern w:val="0"/>
          <w:sz w:val="24"/>
        </w:rPr>
        <w:t>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供应商的同一评审项，评审专家的评分分值偏离幅度不得超过该评审项平均分值的30%，否则，该项评审意见无效。</w:t>
      </w:r>
    </w:p>
    <w:p w14:paraId="78B48D7E">
      <w:pPr>
        <w:spacing w:beforeLines="50" w:afterLines="50" w:line="440" w:lineRule="exact"/>
        <w:jc w:val="center"/>
        <w:rPr>
          <w:rFonts w:ascii="宋体" w:hAnsi="宋体"/>
          <w:b/>
          <w:sz w:val="30"/>
          <w:szCs w:val="30"/>
        </w:rPr>
      </w:pPr>
      <w:r>
        <w:rPr>
          <w:rFonts w:ascii="宋体" w:hAnsi="宋体"/>
          <w:b/>
          <w:sz w:val="32"/>
          <w:szCs w:val="32"/>
        </w:rPr>
        <w:br w:type="page"/>
      </w:r>
      <w:r>
        <w:rPr>
          <w:rFonts w:hint="eastAsia" w:ascii="宋体" w:hAnsi="宋体"/>
          <w:b/>
          <w:sz w:val="32"/>
          <w:szCs w:val="32"/>
        </w:rPr>
        <w:t>第五部分　</w:t>
      </w:r>
      <w:r>
        <w:rPr>
          <w:rFonts w:ascii="宋体" w:hAnsi="宋体"/>
          <w:b/>
          <w:sz w:val="30"/>
          <w:szCs w:val="30"/>
        </w:rPr>
        <w:t>合同</w:t>
      </w:r>
      <w:r>
        <w:rPr>
          <w:rFonts w:hint="eastAsia" w:ascii="宋体" w:hAnsi="宋体"/>
          <w:b/>
          <w:sz w:val="30"/>
          <w:szCs w:val="30"/>
        </w:rPr>
        <w:t>条款格式</w:t>
      </w:r>
    </w:p>
    <w:p w14:paraId="147B9A5B">
      <w:pPr>
        <w:keepNext w:val="0"/>
        <w:keepLines w:val="0"/>
        <w:pageBreakBefore w:val="0"/>
        <w:tabs>
          <w:tab w:val="left" w:pos="720"/>
        </w:tabs>
        <w:kinsoku/>
        <w:wordWrap/>
        <w:topLinePunct w:val="0"/>
        <w:autoSpaceDE/>
        <w:autoSpaceDN/>
        <w:bidi w:val="0"/>
        <w:snapToGrid/>
        <w:spacing w:line="360" w:lineRule="auto"/>
        <w:jc w:val="center"/>
        <w:rPr>
          <w:rFonts w:hint="eastAsia" w:ascii="黑体" w:hAnsi="黑体" w:eastAsia="黑体" w:cs="黑体"/>
          <w:b/>
          <w:sz w:val="60"/>
          <w:szCs w:val="60"/>
          <w:highlight w:val="none"/>
        </w:rPr>
      </w:pPr>
      <w:r>
        <w:rPr>
          <w:rFonts w:hint="eastAsia" w:ascii="黑体" w:hAnsi="黑体" w:eastAsia="黑体" w:cs="黑体"/>
          <w:b/>
          <w:sz w:val="60"/>
          <w:szCs w:val="60"/>
          <w:highlight w:val="none"/>
          <w:lang w:val="en-US" w:eastAsia="zh-CN"/>
        </w:rPr>
        <w:t>海南政法职业学院网站群平台建设项目</w:t>
      </w:r>
      <w:r>
        <w:rPr>
          <w:rFonts w:hint="eastAsia" w:ascii="黑体" w:hAnsi="黑体" w:eastAsia="黑体" w:cs="黑体"/>
          <w:b w:val="0"/>
          <w:bCs/>
          <w:sz w:val="60"/>
          <w:szCs w:val="60"/>
          <w:highlight w:val="none"/>
        </w:rPr>
        <w:t>合同书</w:t>
      </w:r>
    </w:p>
    <w:p w14:paraId="18BEF045">
      <w:pPr>
        <w:tabs>
          <w:tab w:val="left" w:pos="720"/>
        </w:tabs>
        <w:spacing w:line="360" w:lineRule="auto"/>
        <w:ind w:left="2354" w:leftChars="197" w:hanging="1940" w:hangingChars="690"/>
        <w:rPr>
          <w:rFonts w:hint="eastAsia" w:ascii="黑体" w:hAnsi="黑体" w:eastAsia="黑体" w:cs="黑体"/>
          <w:b/>
          <w:sz w:val="28"/>
          <w:szCs w:val="28"/>
          <w:highlight w:val="none"/>
        </w:rPr>
      </w:pPr>
    </w:p>
    <w:p w14:paraId="7FCC7EEC">
      <w:pPr>
        <w:tabs>
          <w:tab w:val="left" w:pos="720"/>
        </w:tabs>
        <w:spacing w:line="360" w:lineRule="auto"/>
        <w:ind w:left="2354" w:leftChars="197" w:hanging="1940" w:hangingChars="690"/>
        <w:rPr>
          <w:rFonts w:hint="eastAsia" w:ascii="黑体" w:hAnsi="黑体" w:eastAsia="黑体" w:cs="黑体"/>
          <w:b/>
          <w:sz w:val="28"/>
          <w:szCs w:val="28"/>
          <w:highlight w:val="none"/>
        </w:rPr>
      </w:pPr>
    </w:p>
    <w:p w14:paraId="359877B6">
      <w:pPr>
        <w:pStyle w:val="185"/>
        <w:rPr>
          <w:rFonts w:hint="eastAsia"/>
        </w:rPr>
      </w:pPr>
    </w:p>
    <w:p w14:paraId="421468EE">
      <w:pPr>
        <w:tabs>
          <w:tab w:val="left" w:pos="720"/>
        </w:tabs>
        <w:spacing w:line="360" w:lineRule="auto"/>
        <w:ind w:left="2354" w:leftChars="197" w:hanging="1940" w:hangingChars="690"/>
        <w:rPr>
          <w:rFonts w:hint="eastAsia" w:ascii="黑体" w:hAnsi="黑体" w:eastAsia="黑体" w:cs="黑体"/>
          <w:b/>
          <w:sz w:val="28"/>
          <w:szCs w:val="28"/>
          <w:highlight w:val="none"/>
        </w:rPr>
      </w:pPr>
    </w:p>
    <w:p w14:paraId="1365929C">
      <w:pPr>
        <w:keepNext w:val="0"/>
        <w:keepLines w:val="0"/>
        <w:pageBreakBefore w:val="0"/>
        <w:tabs>
          <w:tab w:val="left" w:pos="720"/>
        </w:tabs>
        <w:kinsoku/>
        <w:wordWrap/>
        <w:topLinePunct w:val="0"/>
        <w:autoSpaceDE/>
        <w:autoSpaceDN/>
        <w:bidi w:val="0"/>
        <w:snapToGrid/>
        <w:spacing w:line="360" w:lineRule="auto"/>
        <w:ind w:left="2076" w:leftChars="197" w:hanging="1662" w:hangingChars="69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项目名称：</w:t>
      </w:r>
      <w:r>
        <w:rPr>
          <w:rFonts w:hint="eastAsia" w:ascii="宋体" w:hAnsi="宋体" w:cs="宋体"/>
          <w:b/>
          <w:sz w:val="24"/>
          <w:szCs w:val="24"/>
          <w:highlight w:val="none"/>
          <w:lang w:eastAsia="zh-CN"/>
        </w:rPr>
        <w:t>海南政法职业学院网站群平台建设项目</w:t>
      </w:r>
    </w:p>
    <w:p w14:paraId="183DE1BB">
      <w:pPr>
        <w:keepNext w:val="0"/>
        <w:keepLines w:val="0"/>
        <w:pageBreakBefore w:val="0"/>
        <w:tabs>
          <w:tab w:val="left" w:pos="720"/>
        </w:tabs>
        <w:kinsoku/>
        <w:wordWrap/>
        <w:topLinePunct w:val="0"/>
        <w:autoSpaceDE/>
        <w:autoSpaceDN/>
        <w:bidi w:val="0"/>
        <w:snapToGrid/>
        <w:spacing w:line="360" w:lineRule="auto"/>
        <w:ind w:left="2076" w:leftChars="197" w:hanging="1662" w:hangingChars="69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项目</w:t>
      </w:r>
      <w:r>
        <w:rPr>
          <w:rFonts w:hint="eastAsia" w:ascii="宋体" w:hAnsi="宋体" w:eastAsia="宋体" w:cs="宋体"/>
          <w:b/>
          <w:sz w:val="24"/>
          <w:szCs w:val="24"/>
          <w:highlight w:val="none"/>
          <w:lang w:val="en-US" w:eastAsia="zh-CN"/>
        </w:rPr>
        <w:t>编号</w:t>
      </w:r>
      <w:r>
        <w:rPr>
          <w:rFonts w:hint="eastAsia" w:ascii="宋体" w:hAnsi="宋体" w:eastAsia="宋体" w:cs="宋体"/>
          <w:b/>
          <w:sz w:val="24"/>
          <w:szCs w:val="24"/>
          <w:highlight w:val="none"/>
        </w:rPr>
        <w:t>：</w:t>
      </w:r>
    </w:p>
    <w:p w14:paraId="01D3C839">
      <w:pPr>
        <w:keepNext w:val="0"/>
        <w:keepLines w:val="0"/>
        <w:pageBreakBefore w:val="0"/>
        <w:tabs>
          <w:tab w:val="left" w:pos="720"/>
        </w:tabs>
        <w:kinsoku/>
        <w:wordWrap/>
        <w:topLinePunct w:val="0"/>
        <w:autoSpaceDE/>
        <w:autoSpaceDN/>
        <w:bidi w:val="0"/>
        <w:snapToGrid/>
        <w:spacing w:line="360" w:lineRule="auto"/>
        <w:ind w:left="2076" w:leftChars="197" w:hanging="1662" w:hangingChars="690"/>
        <w:rPr>
          <w:rFonts w:hint="eastAsia" w:ascii="黑体" w:hAnsi="黑体" w:eastAsia="黑体" w:cs="黑体"/>
          <w:b/>
          <w:sz w:val="28"/>
          <w:szCs w:val="28"/>
          <w:highlight w:val="none"/>
          <w:lang w:val="en-US" w:eastAsia="zh-CN"/>
        </w:rPr>
      </w:pPr>
      <w:r>
        <w:rPr>
          <w:rFonts w:hint="eastAsia" w:ascii="宋体" w:hAnsi="宋体" w:eastAsia="宋体" w:cs="宋体"/>
          <w:b/>
          <w:sz w:val="24"/>
          <w:szCs w:val="24"/>
          <w:highlight w:val="none"/>
          <w:lang w:eastAsia="zh-CN"/>
        </w:rPr>
        <w:t>签订</w:t>
      </w:r>
      <w:r>
        <w:rPr>
          <w:rFonts w:hint="eastAsia" w:ascii="宋体" w:hAnsi="宋体" w:eastAsia="宋体" w:cs="宋体"/>
          <w:b/>
          <w:sz w:val="24"/>
          <w:szCs w:val="24"/>
          <w:highlight w:val="none"/>
        </w:rPr>
        <w:t>地点：</w:t>
      </w:r>
    </w:p>
    <w:p w14:paraId="31C7536E">
      <w:pPr>
        <w:spacing w:line="360" w:lineRule="auto"/>
        <w:rPr>
          <w:rFonts w:hint="eastAsia" w:ascii="仿宋" w:hAnsi="仿宋" w:eastAsia="仿宋" w:cs="仿宋"/>
          <w:b/>
          <w:sz w:val="28"/>
          <w:szCs w:val="28"/>
          <w:highlight w:val="none"/>
        </w:rPr>
      </w:pPr>
    </w:p>
    <w:p w14:paraId="536BE134">
      <w:pPr>
        <w:tabs>
          <w:tab w:val="left" w:pos="8277"/>
        </w:tabs>
        <w:spacing w:line="440" w:lineRule="exact"/>
        <w:jc w:val="center"/>
        <w:rPr>
          <w:rFonts w:hint="eastAsia" w:ascii="仿宋" w:hAnsi="仿宋" w:eastAsia="仿宋" w:cs="仿宋"/>
          <w:b/>
          <w:bCs/>
          <w:sz w:val="44"/>
          <w:szCs w:val="44"/>
          <w:highlight w:val="none"/>
        </w:rPr>
        <w:sectPr>
          <w:headerReference r:id="rId4" w:type="first"/>
          <w:headerReference r:id="rId3" w:type="default"/>
          <w:pgSz w:w="11906" w:h="16838"/>
          <w:pgMar w:top="1440" w:right="1134" w:bottom="1440" w:left="1236"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14:paraId="0B9F14CF">
      <w:pPr>
        <w:pStyle w:val="185"/>
        <w:rPr>
          <w:rFonts w:hint="eastAsia" w:ascii="宋体" w:hAnsi="宋体" w:eastAsia="宋体" w:cs="宋体"/>
          <w:sz w:val="24"/>
          <w:szCs w:val="24"/>
        </w:rPr>
      </w:pPr>
    </w:p>
    <w:tbl>
      <w:tblPr>
        <w:tblStyle w:val="37"/>
        <w:tblW w:w="0" w:type="auto"/>
        <w:jc w:val="center"/>
        <w:tblLayout w:type="fixed"/>
        <w:tblCellMar>
          <w:top w:w="0" w:type="dxa"/>
          <w:left w:w="108" w:type="dxa"/>
          <w:bottom w:w="0" w:type="dxa"/>
          <w:right w:w="108" w:type="dxa"/>
        </w:tblCellMar>
      </w:tblPr>
      <w:tblGrid>
        <w:gridCol w:w="5357"/>
        <w:gridCol w:w="5230"/>
      </w:tblGrid>
      <w:tr w14:paraId="4B9E0955">
        <w:tblPrEx>
          <w:tblCellMar>
            <w:top w:w="0" w:type="dxa"/>
            <w:left w:w="108" w:type="dxa"/>
            <w:bottom w:w="0" w:type="dxa"/>
            <w:right w:w="108" w:type="dxa"/>
          </w:tblCellMar>
        </w:tblPrEx>
        <w:trPr>
          <w:trHeight w:val="907" w:hRule="atLeast"/>
          <w:jc w:val="center"/>
        </w:trPr>
        <w:tc>
          <w:tcPr>
            <w:tcW w:w="5357" w:type="dxa"/>
            <w:noWrap w:val="0"/>
            <w:vAlign w:val="center"/>
          </w:tcPr>
          <w:p w14:paraId="1ABB597C">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甲方（采购人）：</w:t>
            </w:r>
          </w:p>
        </w:tc>
        <w:tc>
          <w:tcPr>
            <w:tcW w:w="5230" w:type="dxa"/>
            <w:noWrap w:val="0"/>
            <w:vAlign w:val="center"/>
          </w:tcPr>
          <w:p w14:paraId="277CD6C5">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单位地址：</w:t>
            </w:r>
          </w:p>
        </w:tc>
      </w:tr>
      <w:tr w14:paraId="2E8639C5">
        <w:tblPrEx>
          <w:tblCellMar>
            <w:top w:w="0" w:type="dxa"/>
            <w:left w:w="108" w:type="dxa"/>
            <w:bottom w:w="0" w:type="dxa"/>
            <w:right w:w="108" w:type="dxa"/>
          </w:tblCellMar>
        </w:tblPrEx>
        <w:trPr>
          <w:trHeight w:val="907" w:hRule="atLeast"/>
          <w:jc w:val="center"/>
        </w:trPr>
        <w:tc>
          <w:tcPr>
            <w:tcW w:w="5357" w:type="dxa"/>
            <w:noWrap w:val="0"/>
            <w:vAlign w:val="center"/>
          </w:tcPr>
          <w:p w14:paraId="454F5088">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乙方（供应商）：</w:t>
            </w:r>
          </w:p>
        </w:tc>
        <w:tc>
          <w:tcPr>
            <w:tcW w:w="5230" w:type="dxa"/>
            <w:noWrap w:val="0"/>
            <w:vAlign w:val="center"/>
          </w:tcPr>
          <w:p w14:paraId="5C4863B4">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单位地址：</w:t>
            </w:r>
          </w:p>
        </w:tc>
      </w:tr>
      <w:tr w14:paraId="572F9C2E">
        <w:tblPrEx>
          <w:tblCellMar>
            <w:top w:w="0" w:type="dxa"/>
            <w:left w:w="108" w:type="dxa"/>
            <w:bottom w:w="0" w:type="dxa"/>
            <w:right w:w="108" w:type="dxa"/>
          </w:tblCellMar>
        </w:tblPrEx>
        <w:trPr>
          <w:trHeight w:val="543" w:hRule="atLeast"/>
          <w:jc w:val="center"/>
        </w:trPr>
        <w:tc>
          <w:tcPr>
            <w:tcW w:w="5357" w:type="dxa"/>
            <w:noWrap w:val="0"/>
            <w:vAlign w:val="center"/>
          </w:tcPr>
          <w:p w14:paraId="1A30A168">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签订日期：</w:t>
            </w:r>
          </w:p>
        </w:tc>
        <w:tc>
          <w:tcPr>
            <w:tcW w:w="5230" w:type="dxa"/>
            <w:noWrap w:val="0"/>
            <w:vAlign w:val="center"/>
          </w:tcPr>
          <w:p w14:paraId="1DA3E286">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签订地点：</w:t>
            </w:r>
          </w:p>
        </w:tc>
      </w:tr>
    </w:tbl>
    <w:p w14:paraId="0B8EE7D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根据友好协商结果，甲方确定乙方为本次</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现依照</w:t>
      </w:r>
      <w:r>
        <w:rPr>
          <w:rFonts w:hint="eastAsia" w:ascii="宋体" w:hAnsi="宋体" w:eastAsia="宋体" w:cs="宋体"/>
          <w:sz w:val="24"/>
          <w:szCs w:val="24"/>
          <w:highlight w:val="none"/>
          <w:lang w:val="en-US" w:eastAsia="zh-CN"/>
        </w:rPr>
        <w:t>磋商内容</w:t>
      </w:r>
      <w:r>
        <w:rPr>
          <w:rFonts w:hint="eastAsia" w:ascii="宋体" w:hAnsi="宋体" w:eastAsia="宋体" w:cs="宋体"/>
          <w:sz w:val="24"/>
          <w:szCs w:val="24"/>
          <w:highlight w:val="none"/>
        </w:rPr>
        <w:t>及相关文件的内容，签订本合同书。</w:t>
      </w:r>
    </w:p>
    <w:tbl>
      <w:tblPr>
        <w:tblStyle w:val="37"/>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32" w:type="dxa"/>
          <w:left w:w="64" w:type="dxa"/>
          <w:bottom w:w="32" w:type="dxa"/>
          <w:right w:w="64" w:type="dxa"/>
        </w:tblCellMar>
      </w:tblPr>
      <w:tblGrid>
        <w:gridCol w:w="741"/>
        <w:gridCol w:w="1330"/>
        <w:gridCol w:w="2431"/>
        <w:gridCol w:w="941"/>
        <w:gridCol w:w="939"/>
        <w:gridCol w:w="2431"/>
        <w:gridCol w:w="947"/>
      </w:tblGrid>
      <w:tr w14:paraId="196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41" w:type="dxa"/>
            <w:shd w:val="clear" w:color="auto" w:fill="FFFFFF" w:themeFill="background1"/>
            <w:vAlign w:val="center"/>
          </w:tcPr>
          <w:p w14:paraId="69330408">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序号</w:t>
            </w:r>
          </w:p>
        </w:tc>
        <w:tc>
          <w:tcPr>
            <w:tcW w:w="1330" w:type="dxa"/>
            <w:shd w:val="clear" w:color="auto" w:fill="FFFFFF" w:themeFill="background1"/>
            <w:vAlign w:val="center"/>
          </w:tcPr>
          <w:p w14:paraId="24AED17E">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rPr>
            </w:pPr>
            <w:r>
              <w:rPr>
                <w:rFonts w:hint="eastAsia" w:ascii="宋体" w:hAnsi="宋体" w:cs="宋体"/>
                <w:b/>
                <w:bCs/>
                <w:strike w:val="0"/>
                <w:dstrike w:val="0"/>
                <w:sz w:val="24"/>
                <w:szCs w:val="24"/>
                <w:highlight w:val="none"/>
                <w:lang w:val="en-US" w:eastAsia="zh-CN"/>
              </w:rPr>
              <w:t>服务名称</w:t>
            </w:r>
          </w:p>
        </w:tc>
        <w:tc>
          <w:tcPr>
            <w:tcW w:w="2431" w:type="dxa"/>
            <w:shd w:val="clear" w:color="auto" w:fill="FFFFFF" w:themeFill="background1"/>
            <w:vAlign w:val="center"/>
          </w:tcPr>
          <w:p w14:paraId="476494AC">
            <w:pPr>
              <w:keepNext w:val="0"/>
              <w:keepLines w:val="0"/>
              <w:pageBreakBefore w:val="0"/>
              <w:kinsoku/>
              <w:wordWrap/>
              <w:topLinePunct w:val="0"/>
              <w:autoSpaceDE/>
              <w:autoSpaceDN/>
              <w:bidi w:val="0"/>
              <w:snapToGrid w:val="0"/>
              <w:spacing w:line="360" w:lineRule="auto"/>
              <w:jc w:val="center"/>
              <w:rPr>
                <w:rFonts w:hint="default" w:ascii="宋体" w:hAnsi="宋体" w:eastAsia="宋体" w:cs="宋体"/>
                <w:b/>
                <w:bCs/>
                <w:strike w:val="0"/>
                <w:dstrike w:val="0"/>
                <w:sz w:val="24"/>
                <w:szCs w:val="24"/>
                <w:highlight w:val="none"/>
                <w:lang w:val="en-US" w:eastAsia="zh-CN"/>
              </w:rPr>
            </w:pPr>
            <w:r>
              <w:rPr>
                <w:rFonts w:hint="eastAsia" w:ascii="宋体" w:hAnsi="宋体" w:cs="宋体"/>
                <w:b/>
                <w:bCs/>
                <w:strike w:val="0"/>
                <w:dstrike w:val="0"/>
                <w:sz w:val="24"/>
                <w:szCs w:val="24"/>
                <w:highlight w:val="none"/>
                <w:lang w:val="en-US" w:eastAsia="zh-CN"/>
              </w:rPr>
              <w:t>服务内容</w:t>
            </w:r>
          </w:p>
        </w:tc>
        <w:tc>
          <w:tcPr>
            <w:tcW w:w="941" w:type="dxa"/>
            <w:shd w:val="clear" w:color="auto" w:fill="FFFFFF" w:themeFill="background1"/>
            <w:vAlign w:val="center"/>
          </w:tcPr>
          <w:p w14:paraId="12D48C2A">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单位</w:t>
            </w:r>
          </w:p>
        </w:tc>
        <w:tc>
          <w:tcPr>
            <w:tcW w:w="939" w:type="dxa"/>
            <w:shd w:val="clear" w:color="auto" w:fill="FFFFFF" w:themeFill="background1"/>
            <w:vAlign w:val="center"/>
          </w:tcPr>
          <w:p w14:paraId="3C2BC878">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数量</w:t>
            </w:r>
          </w:p>
        </w:tc>
        <w:tc>
          <w:tcPr>
            <w:tcW w:w="2431" w:type="dxa"/>
            <w:shd w:val="clear" w:color="auto" w:fill="FFFFFF" w:themeFill="background1"/>
            <w:vAlign w:val="center"/>
          </w:tcPr>
          <w:p w14:paraId="0522171A">
            <w:pPr>
              <w:keepNext w:val="0"/>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合价（万元）</w:t>
            </w:r>
          </w:p>
        </w:tc>
        <w:tc>
          <w:tcPr>
            <w:tcW w:w="947" w:type="dxa"/>
            <w:shd w:val="clear" w:color="auto" w:fill="FFFFFF" w:themeFill="background1"/>
            <w:vAlign w:val="center"/>
          </w:tcPr>
          <w:p w14:paraId="2D9759ED">
            <w:pPr>
              <w:keepNext w:val="0"/>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val="en-US" w:eastAsia="zh-CN"/>
              </w:rPr>
            </w:pPr>
            <w:r>
              <w:rPr>
                <w:rFonts w:hint="eastAsia" w:ascii="宋体" w:hAnsi="宋体" w:cs="宋体"/>
                <w:b/>
                <w:bCs/>
                <w:strike w:val="0"/>
                <w:dstrike w:val="0"/>
                <w:sz w:val="24"/>
                <w:szCs w:val="24"/>
                <w:highlight w:val="none"/>
                <w:lang w:val="en-US" w:eastAsia="zh-CN"/>
              </w:rPr>
              <w:t>备注</w:t>
            </w:r>
          </w:p>
        </w:tc>
      </w:tr>
      <w:tr w14:paraId="1F54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191634D">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4BD6C41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BF9207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6CC1654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CAF6F4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4916C12">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27D12DA7">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1A2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58380E97">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2DB2AE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0A73951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3E8688F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855B09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44E373D9">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C170F1A">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80C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54BB2C80">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DFC078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B5E873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506E0927">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36B81BA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570CDA3">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1B845AEA">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D6A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F57E177">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06CDE2A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13598DA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5FB3924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257BC77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4A83DFD">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2FCB0C77">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075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DA991DE">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392FF5B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CD5523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507853D8">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7C6C5F9C">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98CB4AB">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61CF7F28">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5E71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7D46EBC5">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515E1DE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2CDAB9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27A4E63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961940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F3AD744">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780F9906">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33F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03DAD9F3">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365DF4E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A04773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12DB2F5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496DC50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4F8EA4D">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6AF9C8DE">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027B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D593656">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4755A8B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CBFBE3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23177AE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77918AC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48DAAB1E">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B35C49D">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612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3D083E67">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3370027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4C96C35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25224BC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343D20E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14077644">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1E4EF8D4">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23F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67E63BD">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0F322EC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1D1967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4E5AFF4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7308528">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4C3C834">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7FD00750">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E86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169B2FC3">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21984FC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E2F538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0487C2A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0BCDFBA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1F0CB62A">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9D6D1E9">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4A2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3B233EC5">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1ACC857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C9C1A2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4DDF85E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30A1373C">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E8C6C74">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1D42976A">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3B1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521EF02F">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D7F79D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07E124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745D78A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0F6FA4C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74AAB26">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2F88BC5D">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098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EE79C8F">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2E80A78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504277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6B87C0F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2D8A597">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3F2A271">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40D5F96E">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99F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388F929E">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18EA33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052F01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5B44CC3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2E7D38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4037B29">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699D3D9C">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219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E330486">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23EEA47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F4E395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7D5355A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C4B343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63794F5">
            <w:pPr>
              <w:pStyle w:val="5"/>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8D36BC6">
            <w:pPr>
              <w:pStyle w:val="5"/>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997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30" w:type="dxa"/>
            <w:gridSpan w:val="2"/>
            <w:shd w:val="clear" w:color="auto" w:fill="FFFFFF" w:themeFill="background1"/>
            <w:vAlign w:val="center"/>
          </w:tcPr>
          <w:p w14:paraId="06545B96">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strike w:val="0"/>
                <w:dstrike w:val="0"/>
                <w:sz w:val="24"/>
                <w:szCs w:val="24"/>
                <w:highlight w:val="none"/>
                <w:lang w:val="en-US" w:eastAsia="zh-CN"/>
              </w:rPr>
            </w:pPr>
            <w:r>
              <w:rPr>
                <w:rFonts w:hint="eastAsia" w:ascii="宋体" w:hAnsi="宋体" w:eastAsia="宋体" w:cs="宋体"/>
                <w:b/>
                <w:strike w:val="0"/>
                <w:dstrike w:val="0"/>
                <w:sz w:val="24"/>
                <w:szCs w:val="24"/>
                <w:highlight w:val="none"/>
                <w:lang w:val="en-US" w:eastAsia="zh-CN"/>
              </w:rPr>
              <w:t>合计</w:t>
            </w:r>
          </w:p>
        </w:tc>
        <w:tc>
          <w:tcPr>
            <w:tcW w:w="947" w:type="dxa"/>
            <w:gridSpan w:val="5"/>
            <w:shd w:val="clear" w:color="auto" w:fill="FFFFFF" w:themeFill="background1"/>
            <w:vAlign w:val="center"/>
          </w:tcPr>
          <w:p w14:paraId="531FF70A">
            <w:pPr>
              <w:pStyle w:val="185"/>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b/>
                <w:strike w:val="0"/>
                <w:dstrike w:val="0"/>
                <w:color w:val="FF0000"/>
                <w:kern w:val="2"/>
                <w:sz w:val="24"/>
                <w:szCs w:val="24"/>
                <w:highlight w:val="none"/>
                <w:lang w:val="en-US" w:eastAsia="zh-CN" w:bidi="ar-SA"/>
              </w:rPr>
            </w:pPr>
            <w:r>
              <w:rPr>
                <w:rFonts w:hint="eastAsia" w:ascii="宋体" w:hAnsi="宋体" w:eastAsia="宋体" w:cs="宋体"/>
                <w:b/>
                <w:strike w:val="0"/>
                <w:dstrike w:val="0"/>
                <w:sz w:val="24"/>
                <w:szCs w:val="24"/>
                <w:highlight w:val="none"/>
              </w:rPr>
              <w:t>合同价格（大写）人民币</w:t>
            </w:r>
            <w:r>
              <w:rPr>
                <w:rFonts w:hint="eastAsia" w:ascii="宋体" w:hAnsi="宋体" w:eastAsia="宋体" w:cs="宋体"/>
                <w:b/>
                <w:bCs/>
                <w:strike w:val="0"/>
                <w:dstrike w:val="0"/>
                <w:sz w:val="24"/>
                <w:szCs w:val="24"/>
                <w:highlight w:val="none"/>
                <w:u w:val="single"/>
                <w:lang w:val="en-US" w:eastAsia="zh-CN"/>
              </w:rPr>
              <w:t xml:space="preserve">       </w:t>
            </w:r>
            <w:r>
              <w:rPr>
                <w:rFonts w:hint="eastAsia" w:ascii="宋体" w:hAnsi="宋体" w:eastAsia="宋体" w:cs="宋体"/>
                <w:b/>
                <w:strike w:val="0"/>
                <w:dstrike w:val="0"/>
                <w:sz w:val="24"/>
                <w:szCs w:val="24"/>
                <w:highlight w:val="none"/>
                <w:lang w:val="en-US" w:eastAsia="zh-CN"/>
              </w:rPr>
              <w:t>元</w:t>
            </w:r>
            <w:r>
              <w:rPr>
                <w:rFonts w:hint="eastAsia" w:ascii="宋体" w:hAnsi="宋体" w:eastAsia="宋体" w:cs="宋体"/>
                <w:b/>
                <w:strike w:val="0"/>
                <w:dstrike w:val="0"/>
                <w:sz w:val="24"/>
                <w:szCs w:val="24"/>
                <w:highlight w:val="none"/>
              </w:rPr>
              <w:t>整</w:t>
            </w:r>
            <w:r>
              <w:rPr>
                <w:rFonts w:hint="eastAsia" w:ascii="宋体" w:hAnsi="宋体" w:eastAsia="宋体" w:cs="宋体"/>
                <w:b/>
                <w:strike w:val="0"/>
                <w:dstrike w:val="0"/>
                <w:sz w:val="24"/>
                <w:szCs w:val="24"/>
                <w:highlight w:val="none"/>
                <w:lang w:eastAsia="zh-CN"/>
              </w:rPr>
              <w:t>，</w:t>
            </w:r>
            <w:r>
              <w:rPr>
                <w:rFonts w:hint="eastAsia" w:ascii="宋体" w:hAnsi="宋体" w:eastAsia="宋体" w:cs="宋体"/>
                <w:b/>
                <w:strike w:val="0"/>
                <w:dstrike w:val="0"/>
                <w:sz w:val="24"/>
                <w:szCs w:val="24"/>
                <w:highlight w:val="none"/>
              </w:rPr>
              <w:t>（￥：</w:t>
            </w:r>
            <w:r>
              <w:rPr>
                <w:rFonts w:hint="eastAsia" w:ascii="宋体" w:hAnsi="宋体" w:eastAsia="宋体" w:cs="宋体"/>
                <w:b/>
                <w:bCs/>
                <w:strike w:val="0"/>
                <w:dstrike w:val="0"/>
                <w:sz w:val="24"/>
                <w:szCs w:val="24"/>
                <w:highlight w:val="none"/>
                <w:u w:val="single"/>
                <w:lang w:val="en-US" w:eastAsia="zh-CN"/>
              </w:rPr>
              <w:t xml:space="preserve">     </w:t>
            </w:r>
            <w:r>
              <w:rPr>
                <w:rFonts w:hint="eastAsia" w:ascii="宋体" w:hAnsi="宋体" w:eastAsia="宋体" w:cs="宋体"/>
                <w:b/>
                <w:strike w:val="0"/>
                <w:dstrike w:val="0"/>
                <w:sz w:val="24"/>
                <w:szCs w:val="24"/>
                <w:highlight w:val="none"/>
              </w:rPr>
              <w:t>）</w:t>
            </w:r>
            <w:r>
              <w:rPr>
                <w:rFonts w:hint="eastAsia" w:ascii="宋体" w:hAnsi="宋体" w:eastAsia="宋体" w:cs="宋体"/>
                <w:b/>
                <w:strike w:val="0"/>
                <w:dstrike w:val="0"/>
                <w:sz w:val="24"/>
                <w:szCs w:val="24"/>
                <w:highlight w:val="none"/>
                <w:lang w:eastAsia="zh-CN"/>
              </w:rPr>
              <w:t>；</w:t>
            </w:r>
          </w:p>
        </w:tc>
      </w:tr>
    </w:tbl>
    <w:p w14:paraId="003D9731">
      <w:pPr>
        <w:pStyle w:val="185"/>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宋体" w:hAnsi="宋体" w:eastAsia="宋体" w:cs="宋体"/>
          <w:sz w:val="24"/>
          <w:szCs w:val="24"/>
        </w:rPr>
      </w:pPr>
    </w:p>
    <w:p w14:paraId="391DDADA">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0" w:leftChars="0" w:right="0" w:firstLine="0" w:firstLineChars="0"/>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合同内容</w:t>
      </w:r>
      <w:r>
        <w:rPr>
          <w:rFonts w:hint="eastAsia" w:ascii="宋体" w:hAnsi="宋体" w:eastAsia="宋体" w:cs="宋体"/>
          <w:b/>
          <w:sz w:val="24"/>
          <w:szCs w:val="24"/>
          <w:highlight w:val="none"/>
          <w:lang w:eastAsia="zh-CN"/>
        </w:rPr>
        <w:t>：</w:t>
      </w:r>
    </w:p>
    <w:p w14:paraId="0D81D88E">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sz w:val="24"/>
          <w:szCs w:val="24"/>
          <w:highlight w:val="none"/>
        </w:rPr>
        <w:t>本合同价格包括上述标的物，包括系统开发费、实施服务费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税费</w:t>
      </w:r>
      <w:r>
        <w:rPr>
          <w:rFonts w:hint="eastAsia" w:ascii="宋体" w:hAnsi="宋体" w:eastAsia="宋体" w:cs="宋体"/>
          <w:sz w:val="24"/>
          <w:szCs w:val="24"/>
          <w:highlight w:val="none"/>
          <w:lang w:eastAsia="zh-CN"/>
        </w:rPr>
        <w:t>等费用</w:t>
      </w:r>
      <w:r>
        <w:rPr>
          <w:rFonts w:hint="eastAsia" w:ascii="宋体" w:hAnsi="宋体" w:eastAsia="宋体" w:cs="宋体"/>
          <w:sz w:val="24"/>
          <w:szCs w:val="24"/>
          <w:highlight w:val="none"/>
        </w:rPr>
        <w:t>。</w:t>
      </w:r>
    </w:p>
    <w:p w14:paraId="642D65F0">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范围以合同内容为准；</w:t>
      </w:r>
      <w:r>
        <w:rPr>
          <w:rFonts w:hint="eastAsia" w:ascii="宋体" w:hAnsi="宋体" w:eastAsia="宋体" w:cs="宋体"/>
          <w:bCs/>
          <w:color w:val="auto"/>
          <w:kern w:val="2"/>
          <w:sz w:val="24"/>
          <w:szCs w:val="24"/>
          <w:highlight w:val="none"/>
          <w:lang w:val="en-US" w:eastAsia="zh-CN" w:bidi="ar-SA"/>
        </w:rPr>
        <w:t>若有变动，双方签订补充协议，以最终约定范围</w:t>
      </w:r>
      <w:r>
        <w:rPr>
          <w:rFonts w:hint="eastAsia" w:ascii="宋体" w:hAnsi="宋体" w:eastAsia="宋体" w:cs="宋体"/>
          <w:bCs/>
          <w:color w:val="auto"/>
          <w:sz w:val="24"/>
          <w:szCs w:val="24"/>
          <w:highlight w:val="none"/>
        </w:rPr>
        <w:t>为</w:t>
      </w:r>
      <w:r>
        <w:rPr>
          <w:rFonts w:hint="eastAsia" w:ascii="宋体" w:hAnsi="宋体" w:eastAsia="宋体" w:cs="宋体"/>
          <w:bCs/>
          <w:color w:val="auto"/>
          <w:sz w:val="24"/>
          <w:szCs w:val="24"/>
          <w:highlight w:val="none"/>
          <w:lang w:val="en-US" w:eastAsia="zh-CN"/>
        </w:rPr>
        <w:t>交付标准</w:t>
      </w:r>
      <w:r>
        <w:rPr>
          <w:rFonts w:hint="eastAsia" w:ascii="宋体" w:hAnsi="宋体" w:eastAsia="宋体" w:cs="宋体"/>
          <w:bCs/>
          <w:kern w:val="2"/>
          <w:sz w:val="24"/>
          <w:szCs w:val="24"/>
          <w:highlight w:val="none"/>
          <w:lang w:val="en-US" w:eastAsia="zh-CN" w:bidi="ar-SA"/>
        </w:rPr>
        <w:t>。</w:t>
      </w:r>
    </w:p>
    <w:p w14:paraId="304C1D88">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交付</w:t>
      </w:r>
      <w:r>
        <w:rPr>
          <w:rFonts w:hint="eastAsia" w:ascii="宋体" w:hAnsi="宋体" w:eastAsia="宋体" w:cs="宋体"/>
          <w:b/>
          <w:sz w:val="24"/>
          <w:szCs w:val="24"/>
          <w:highlight w:val="none"/>
        </w:rPr>
        <w:t>：</w:t>
      </w:r>
    </w:p>
    <w:p w14:paraId="4E6A0452">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交付内容：合同清单所约定的内容。</w:t>
      </w:r>
    </w:p>
    <w:p w14:paraId="1B654E1C">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合同工期：</w:t>
      </w:r>
      <w:r>
        <w:rPr>
          <w:rFonts w:hint="eastAsia" w:ascii="宋体" w:hAnsi="宋体" w:cs="宋体"/>
          <w:color w:val="auto"/>
          <w:kern w:val="0"/>
          <w:sz w:val="24"/>
          <w:highlight w:val="none"/>
        </w:rPr>
        <w:t>合同签订之日起</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内</w:t>
      </w:r>
      <w:r>
        <w:rPr>
          <w:rFonts w:hint="eastAsia" w:ascii="宋体" w:hAnsi="宋体" w:cs="宋体"/>
          <w:color w:val="auto"/>
          <w:kern w:val="0"/>
          <w:sz w:val="24"/>
          <w:highlight w:val="none"/>
        </w:rPr>
        <w:t>完成项目交付</w:t>
      </w:r>
      <w:r>
        <w:rPr>
          <w:rFonts w:hint="eastAsia" w:ascii="宋体" w:hAnsi="宋体" w:eastAsia="宋体" w:cs="宋体"/>
          <w:bCs/>
          <w:kern w:val="2"/>
          <w:sz w:val="24"/>
          <w:szCs w:val="24"/>
          <w:highlight w:val="none"/>
          <w:lang w:val="en-US" w:eastAsia="zh-CN" w:bidi="ar-SA"/>
        </w:rPr>
        <w:t>。</w:t>
      </w:r>
    </w:p>
    <w:p w14:paraId="73CE06C9">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kern w:val="2"/>
          <w:sz w:val="24"/>
          <w:szCs w:val="24"/>
          <w:highlight w:val="none"/>
          <w:lang w:val="en-US" w:eastAsia="zh-CN" w:bidi="ar-SA"/>
        </w:rPr>
        <w:t>甲方需积极配合乙方对系统需求做确认，如果需求确认延误导致工期滞后，时间顺延。</w:t>
      </w:r>
    </w:p>
    <w:p w14:paraId="52EF2A30">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系统的试运行期</w:t>
      </w:r>
      <w:r>
        <w:rPr>
          <w:rFonts w:hint="eastAsia" w:ascii="宋体" w:hAnsi="宋体" w:eastAsia="宋体" w:cs="宋体"/>
          <w:color w:val="auto"/>
          <w:sz w:val="24"/>
          <w:szCs w:val="24"/>
          <w:highlight w:val="none"/>
          <w:lang w:val="en-US" w:eastAsia="zh-CN"/>
        </w:rPr>
        <w:t>满八个月后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试运行期间无重大事故，系统运行稳定，试运行期结束则启动验收</w:t>
      </w:r>
      <w:r>
        <w:rPr>
          <w:rFonts w:hint="eastAsia" w:ascii="宋体" w:hAnsi="宋体" w:eastAsia="宋体" w:cs="宋体"/>
          <w:color w:val="auto"/>
          <w:sz w:val="24"/>
          <w:szCs w:val="24"/>
          <w:highlight w:val="none"/>
        </w:rPr>
        <w:t>。购买软件使用权，</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方需提供程序及数据库的超管用户，方便校方数据维护。</w:t>
      </w:r>
    </w:p>
    <w:p w14:paraId="6FE2415D">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交付地点：甲方指定地点。</w:t>
      </w:r>
    </w:p>
    <w:p w14:paraId="411650B9">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0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付款方式：</w:t>
      </w:r>
    </w:p>
    <w:p w14:paraId="746C4D73">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本次合同含税总金额为人民币</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元整；（￥：     ）。</w:t>
      </w:r>
    </w:p>
    <w:p w14:paraId="5DBC76B3">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预付款：</w:t>
      </w:r>
    </w:p>
    <w:p w14:paraId="5333F6ED">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进度款：</w:t>
      </w:r>
    </w:p>
    <w:p w14:paraId="6B50A0C0">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尾款：</w:t>
      </w:r>
    </w:p>
    <w:p w14:paraId="1D850C66">
      <w:pPr>
        <w:pStyle w:val="185"/>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5、乙方未按照合同时间开具合法有效发票时，采购人有权拒绝付款。</w:t>
      </w:r>
    </w:p>
    <w:p w14:paraId="15F546E7">
      <w:pPr>
        <w:pStyle w:val="185"/>
        <w:rPr>
          <w:rFonts w:hint="eastAsia" w:ascii="宋体" w:hAnsi="宋体" w:eastAsia="宋体" w:cs="宋体"/>
          <w:color w:val="auto"/>
          <w:sz w:val="24"/>
          <w:szCs w:val="24"/>
          <w:lang w:val="en-US" w:eastAsia="zh-CN"/>
        </w:rPr>
      </w:pPr>
    </w:p>
    <w:p w14:paraId="3DFCBC24">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甲方开票信息：</w:t>
      </w:r>
    </w:p>
    <w:p w14:paraId="4D93AE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抬头：</w:t>
      </w:r>
    </w:p>
    <w:p w14:paraId="08DD1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税号： </w:t>
      </w:r>
    </w:p>
    <w:p w14:paraId="424C6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账号：</w:t>
      </w:r>
    </w:p>
    <w:p w14:paraId="2A3EC8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color w:val="auto"/>
          <w:sz w:val="24"/>
          <w:szCs w:val="24"/>
          <w:highlight w:val="none"/>
          <w:lang w:val="en-US" w:eastAsia="zh-CN"/>
        </w:rPr>
        <w:t>开户行：</w:t>
      </w:r>
    </w:p>
    <w:p w14:paraId="115452F6">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合同要求：</w:t>
      </w:r>
    </w:p>
    <w:p w14:paraId="02D58EE2">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乙方应遵守项目进度要求，按照本合同的约定向甲方提供相关产品，乙方保证其所提供的系统功能满足甲方招标要求且运行正常，</w:t>
      </w:r>
      <w:r>
        <w:rPr>
          <w:rFonts w:hint="eastAsia" w:ascii="宋体" w:hAnsi="宋体" w:eastAsia="宋体" w:cs="宋体"/>
          <w:bCs/>
          <w:sz w:val="24"/>
          <w:highlight w:val="none"/>
          <w:lang w:val="en-US" w:eastAsia="zh-CN"/>
        </w:rPr>
        <w:t>甲方购买软件使用权，乙方需提供软件的底层管理数据，方便甲方数据维护。</w:t>
      </w:r>
    </w:p>
    <w:p w14:paraId="27236372">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乙方进行整个系统全面的测试，测试方案提交给甲方认定，认定后由乙方负责组织实施，甲方协助和提供配合。</w:t>
      </w:r>
    </w:p>
    <w:p w14:paraId="44CF093D">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bCs/>
          <w:kern w:val="2"/>
          <w:sz w:val="24"/>
          <w:szCs w:val="24"/>
          <w:highlight w:val="none"/>
          <w:lang w:val="en-US" w:eastAsia="zh-CN" w:bidi="ar-SA"/>
        </w:rPr>
        <w:t>乙方应确保甲方需求的实现，系统投入运行后能达到预定的功能要求和技术指标。</w:t>
      </w:r>
    </w:p>
    <w:p w14:paraId="7ECD1958">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w:t>
      </w:r>
      <w:r>
        <w:rPr>
          <w:rFonts w:hint="eastAsia" w:ascii="宋体" w:hAnsi="宋体" w:eastAsia="宋体" w:cs="宋体"/>
          <w:color w:val="auto"/>
          <w:sz w:val="24"/>
          <w:szCs w:val="24"/>
          <w:highlight w:val="none"/>
        </w:rPr>
        <w:t>方在</w:t>
      </w:r>
      <w:r>
        <w:rPr>
          <w:rFonts w:hint="eastAsia" w:ascii="宋体" w:hAnsi="宋体" w:eastAsia="宋体" w:cs="宋体"/>
          <w:color w:val="auto"/>
          <w:sz w:val="24"/>
          <w:szCs w:val="24"/>
          <w:highlight w:val="none"/>
          <w:lang w:val="en-US" w:eastAsia="zh-CN"/>
        </w:rPr>
        <w:t>实施过程中</w:t>
      </w:r>
      <w:r>
        <w:rPr>
          <w:rFonts w:hint="eastAsia" w:ascii="宋体" w:hAnsi="宋体" w:eastAsia="宋体" w:cs="宋体"/>
          <w:color w:val="auto"/>
          <w:sz w:val="24"/>
          <w:szCs w:val="24"/>
          <w:highlight w:val="none"/>
        </w:rPr>
        <w:t>，应及时向甲方沟通，如有需求变更，经双方</w:t>
      </w:r>
      <w:r>
        <w:rPr>
          <w:rFonts w:hint="eastAsia" w:ascii="宋体" w:hAnsi="宋体" w:eastAsia="宋体" w:cs="宋体"/>
          <w:color w:val="auto"/>
          <w:sz w:val="24"/>
          <w:szCs w:val="24"/>
          <w:highlight w:val="none"/>
          <w:lang w:val="en-US" w:eastAsia="zh-CN"/>
        </w:rPr>
        <w:t>协商</w:t>
      </w:r>
      <w:r>
        <w:rPr>
          <w:rFonts w:hint="eastAsia" w:ascii="宋体" w:hAnsi="宋体" w:eastAsia="宋体" w:cs="宋体"/>
          <w:color w:val="auto"/>
          <w:sz w:val="24"/>
          <w:szCs w:val="24"/>
          <w:highlight w:val="none"/>
        </w:rPr>
        <w:t>确认后应及时进行内容的调整。</w:t>
      </w:r>
    </w:p>
    <w:p w14:paraId="443E0E54">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在系统</w:t>
      </w:r>
      <w:r>
        <w:rPr>
          <w:rFonts w:hint="eastAsia" w:ascii="宋体" w:hAnsi="宋体" w:eastAsia="宋体" w:cs="宋体"/>
          <w:color w:val="000000"/>
          <w:sz w:val="24"/>
          <w:szCs w:val="24"/>
          <w:highlight w:val="none"/>
          <w:lang w:val="en-US" w:eastAsia="zh-CN"/>
        </w:rPr>
        <w:t>实施</w:t>
      </w:r>
      <w:r>
        <w:rPr>
          <w:rFonts w:hint="eastAsia" w:ascii="宋体" w:hAnsi="宋体" w:eastAsia="宋体" w:cs="宋体"/>
          <w:color w:val="000000"/>
          <w:sz w:val="24"/>
          <w:szCs w:val="24"/>
          <w:highlight w:val="none"/>
        </w:rPr>
        <w:t>过程中，乙方必须遵守甲方的所有安全管理规定，应保障系统内人员信息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消息等</w:t>
      </w:r>
      <w:r>
        <w:rPr>
          <w:rFonts w:hint="eastAsia" w:ascii="宋体" w:hAnsi="宋体" w:eastAsia="宋体" w:cs="宋体"/>
          <w:color w:val="000000"/>
          <w:sz w:val="24"/>
          <w:szCs w:val="24"/>
          <w:highlight w:val="none"/>
        </w:rPr>
        <w:t>数据安全，确保系统内的数据信息不会</w:t>
      </w:r>
      <w:r>
        <w:rPr>
          <w:rFonts w:hint="eastAsia" w:ascii="宋体" w:hAnsi="宋体" w:eastAsia="宋体" w:cs="宋体"/>
          <w:color w:val="000000"/>
          <w:sz w:val="24"/>
          <w:szCs w:val="24"/>
          <w:highlight w:val="none"/>
          <w:lang w:val="en-US" w:eastAsia="zh-CN"/>
        </w:rPr>
        <w:t>因</w:t>
      </w:r>
      <w:r>
        <w:rPr>
          <w:rFonts w:hint="eastAsia" w:ascii="宋体" w:hAnsi="宋体" w:eastAsia="宋体" w:cs="宋体"/>
          <w:color w:val="000000"/>
          <w:sz w:val="24"/>
          <w:szCs w:val="24"/>
          <w:highlight w:val="none"/>
        </w:rPr>
        <w:t>非人为因素导致数据丢失、变更或泄露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如违反则责任由乙方承担。</w:t>
      </w:r>
    </w:p>
    <w:p w14:paraId="17D691E0">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乙方保证其开发完成的软件系统不侵犯任何第三方的知识产权。若甲方因使用乙方提供的软件及相关产品而受到侵权指控，由乙方承担责任和费用，同时赔偿因此给甲方造成的全部损失。</w:t>
      </w:r>
    </w:p>
    <w:p w14:paraId="20227D32">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项目验收前，乙方应对甲方有关人员分别进行系统的技术指导。包括</w:t>
      </w:r>
      <w:r>
        <w:rPr>
          <w:rFonts w:hint="eastAsia" w:ascii="宋体" w:hAnsi="宋体" w:eastAsia="宋体" w:cs="宋体"/>
          <w:color w:val="000000"/>
          <w:sz w:val="24"/>
          <w:szCs w:val="24"/>
          <w:highlight w:val="none"/>
          <w:lang w:val="en-US" w:eastAsia="zh-CN"/>
        </w:rPr>
        <w:t>并不限于</w:t>
      </w:r>
      <w:r>
        <w:rPr>
          <w:rFonts w:hint="eastAsia" w:ascii="宋体" w:hAnsi="宋体" w:eastAsia="宋体" w:cs="宋体"/>
          <w:color w:val="000000"/>
          <w:sz w:val="24"/>
          <w:szCs w:val="24"/>
          <w:highlight w:val="none"/>
        </w:rPr>
        <w:t>：系统架构、常见故障诊断和排除技术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系统环境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系统操作、系统设计思想和功能现状日常维护管理相关注意事项、操作步骤</w:t>
      </w:r>
      <w:r>
        <w:rPr>
          <w:rFonts w:hint="eastAsia" w:ascii="宋体" w:hAnsi="宋体" w:eastAsia="宋体" w:cs="宋体"/>
          <w:color w:val="000000"/>
          <w:sz w:val="24"/>
          <w:szCs w:val="24"/>
          <w:highlight w:val="none"/>
          <w:lang w:val="en-US" w:eastAsia="zh-CN"/>
        </w:rPr>
        <w:t>等</w:t>
      </w:r>
      <w:r>
        <w:rPr>
          <w:rFonts w:hint="eastAsia" w:ascii="宋体" w:hAnsi="宋体" w:eastAsia="宋体" w:cs="宋体"/>
          <w:color w:val="000000"/>
          <w:sz w:val="24"/>
          <w:szCs w:val="24"/>
          <w:highlight w:val="none"/>
        </w:rPr>
        <w:t>。</w:t>
      </w:r>
    </w:p>
    <w:p w14:paraId="2E389C91">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系统上线后运行维护过程中如发现有安全漏洞，则乙方应</w:t>
      </w:r>
      <w:r>
        <w:rPr>
          <w:rFonts w:hint="eastAsia" w:ascii="宋体" w:hAnsi="宋体" w:eastAsia="宋体" w:cs="宋体"/>
          <w:color w:val="000000"/>
          <w:sz w:val="24"/>
          <w:szCs w:val="24"/>
          <w:highlight w:val="none"/>
          <w:lang w:val="en-US" w:eastAsia="zh-CN"/>
        </w:rPr>
        <w:t>第一时间</w:t>
      </w:r>
      <w:r>
        <w:rPr>
          <w:rFonts w:hint="eastAsia" w:ascii="宋体" w:hAnsi="宋体" w:eastAsia="宋体" w:cs="宋体"/>
          <w:color w:val="000000"/>
          <w:sz w:val="24"/>
          <w:szCs w:val="24"/>
          <w:highlight w:val="none"/>
        </w:rPr>
        <w:t>远程或前往甲方现场进行修复。</w:t>
      </w:r>
    </w:p>
    <w:p w14:paraId="24889F85">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trike w:val="0"/>
          <w:color w:val="auto"/>
          <w:sz w:val="24"/>
          <w:szCs w:val="24"/>
          <w:highlight w:val="none"/>
          <w:lang w:val="en-US" w:eastAsia="zh-CN"/>
        </w:rPr>
        <w:t>供应商应交付</w:t>
      </w:r>
      <w:r>
        <w:rPr>
          <w:rFonts w:hint="eastAsia" w:ascii="宋体" w:hAnsi="宋体" w:eastAsia="宋体" w:cs="宋体"/>
          <w:color w:val="auto"/>
          <w:sz w:val="24"/>
          <w:szCs w:val="24"/>
          <w:highlight w:val="none"/>
        </w:rPr>
        <w:t>符合中华人民共和国</w:t>
      </w:r>
      <w:r>
        <w:rPr>
          <w:rFonts w:hint="eastAsia" w:ascii="宋体" w:hAnsi="宋体" w:eastAsia="宋体" w:cs="宋体"/>
          <w:color w:val="auto"/>
          <w:sz w:val="24"/>
          <w:szCs w:val="24"/>
          <w:highlight w:val="none"/>
          <w:lang w:val="en-US" w:eastAsia="zh-CN"/>
        </w:rPr>
        <w:t>信息系统集成、信息系统安全保护相关</w:t>
      </w:r>
      <w:r>
        <w:rPr>
          <w:rFonts w:hint="eastAsia" w:ascii="宋体" w:hAnsi="宋体" w:eastAsia="宋体" w:cs="宋体"/>
          <w:color w:val="auto"/>
          <w:sz w:val="24"/>
          <w:szCs w:val="24"/>
          <w:highlight w:val="none"/>
        </w:rPr>
        <w:t>国家标准或行业标准。</w:t>
      </w:r>
    </w:p>
    <w:p w14:paraId="55CF0F51">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安装调试及验收：</w:t>
      </w:r>
    </w:p>
    <w:p w14:paraId="0634FC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highlight w:val="none"/>
          <w:lang w:val="en-US" w:eastAsia="zh-CN"/>
        </w:rPr>
        <w:t>在合同签订后，双方需要明确项目负责人，项目负责人需对项目全过程进行负责，协调双方人员有序推动项目进度。如甲乙双方任意一方未明确项目负责人，且导致项目延期或需求不明确，责任由相关方负责。</w:t>
      </w:r>
    </w:p>
    <w:p w14:paraId="294FE8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highlight w:val="none"/>
          <w:lang w:val="en-US" w:eastAsia="zh-CN"/>
        </w:rPr>
        <w:t>部署实施期间，如因甲方现场网络问题或其他非乙方原因导致工期延长，项目期限顺延。</w:t>
      </w:r>
    </w:p>
    <w:p w14:paraId="77BD5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highlight w:val="none"/>
          <w:lang w:val="en-US" w:eastAsia="zh-CN"/>
        </w:rPr>
        <w:t>甲方需要积极配合乙方实施部署工作，包括现场环境确认、资源协调等。</w:t>
      </w:r>
    </w:p>
    <w:p w14:paraId="4495F2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highlight w:val="none"/>
          <w:lang w:val="en-US" w:eastAsia="zh-CN"/>
        </w:rPr>
        <w:t>甲方需要积极配合乙方做系统培训，组织有关人员、培训场地和设备设施，组织开展系统培训。</w:t>
      </w:r>
    </w:p>
    <w:p w14:paraId="0EC55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000000"/>
          <w:sz w:val="24"/>
          <w:szCs w:val="24"/>
          <w:highlight w:val="none"/>
          <w:lang w:val="en-US" w:eastAsia="zh-CN"/>
        </w:rPr>
        <w:t>实施部</w:t>
      </w:r>
      <w:r>
        <w:rPr>
          <w:rFonts w:hint="eastAsia" w:ascii="宋体" w:hAnsi="宋体" w:eastAsia="宋体" w:cs="宋体"/>
          <w:color w:val="auto"/>
          <w:sz w:val="24"/>
          <w:szCs w:val="24"/>
          <w:highlight w:val="none"/>
          <w:lang w:val="en-US" w:eastAsia="zh-CN"/>
        </w:rPr>
        <w:t>署及培训完毕后，系统上线试运行，试运行期满八个月后，试运行期内系统无重大事故，且系统运行稳定，乙方可申请对项目进行验收。</w:t>
      </w:r>
    </w:p>
    <w:p w14:paraId="6F447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lang w:val="en-US" w:eastAsia="zh-CN"/>
        </w:rPr>
        <w:t>乙方按照合同约定内容建设完成且通过试运行后，向甲方提起验收申请，双方对建设成果共同评定、确认验收。如果存在约定建设内容不符合验收要求，由乙方按</w:t>
      </w:r>
      <w:r>
        <w:rPr>
          <w:rFonts w:hint="eastAsia" w:ascii="宋体" w:hAnsi="宋体" w:eastAsia="宋体" w:cs="宋体"/>
          <w:strike w:val="0"/>
          <w:color w:val="auto"/>
          <w:sz w:val="24"/>
          <w:szCs w:val="24"/>
          <w:highlight w:val="none"/>
          <w:lang w:val="en-US" w:eastAsia="zh-CN"/>
        </w:rPr>
        <w:t>《功能确认单》</w:t>
      </w:r>
      <w:r>
        <w:rPr>
          <w:rFonts w:hint="eastAsia" w:ascii="宋体" w:hAnsi="宋体" w:eastAsia="宋体" w:cs="宋体"/>
          <w:color w:val="auto"/>
          <w:sz w:val="24"/>
          <w:szCs w:val="24"/>
          <w:highlight w:val="none"/>
          <w:lang w:val="en-US" w:eastAsia="zh-CN"/>
        </w:rPr>
        <w:t>约定内容对系统进行调整优化，完成调整后重新提交验收。验收以双方签字盖章生效。</w:t>
      </w:r>
    </w:p>
    <w:p w14:paraId="33473099">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highlight w:val="none"/>
          <w:lang w:val="en-US" w:eastAsia="zh-CN"/>
        </w:rPr>
        <w:t>质量保证和售后服务：</w:t>
      </w:r>
    </w:p>
    <w:p w14:paraId="54CF2026">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本合同货物（包括软件）免费服务期为</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年，维保开始日期以系统验收通过之日开始计算；在免费服务期内，乙方不收取所提供的维护服务费用。</w:t>
      </w:r>
    </w:p>
    <w:p w14:paraId="26581F4B">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维保内容包括：</w:t>
      </w:r>
    </w:p>
    <w:p w14:paraId="2794B6F6">
      <w:pPr>
        <w:numPr>
          <w:ilvl w:val="-1"/>
          <w:numId w:val="0"/>
        </w:numPr>
        <w:adjustRightInd w:val="0"/>
        <w:snapToGrid w:val="0"/>
        <w:spacing w:line="360" w:lineRule="auto"/>
        <w:ind w:firstLine="720" w:firstLineChars="300"/>
        <w:rPr>
          <w:rFonts w:hint="eastAsia" w:asciiTheme="minorEastAsia" w:hAnsiTheme="minorEastAsia" w:eastAsiaTheme="minorEastAsia" w:cstheme="minorEastAsia"/>
          <w:b/>
          <w:color w:val="auto"/>
          <w:sz w:val="24"/>
          <w:szCs w:val="24"/>
          <w:lang w:val="en-US" w:eastAsia="zh-CN"/>
        </w:rPr>
      </w:pPr>
      <w:r>
        <w:rPr>
          <w:rFonts w:hint="eastAsia" w:ascii="宋体" w:hAnsi="宋体" w:eastAsia="宋体" w:cs="宋体"/>
          <w:color w:val="auto"/>
          <w:sz w:val="24"/>
          <w:szCs w:val="24"/>
          <w:highlight w:val="none"/>
          <w:lang w:val="en-US" w:eastAsia="zh-CN"/>
        </w:rPr>
        <w:t>咨询：</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服务期内，乙方提供各种与产品相关的免费技术咨询服务，包括热线电话、电子邮件（7×24）、传真等方式。承诺</w:t>
      </w:r>
      <w:r>
        <w:rPr>
          <w:rFonts w:hint="eastAsia" w:ascii="宋体" w:hAnsi="宋体" w:eastAsia="宋体" w:cs="宋体"/>
          <w:color w:val="auto"/>
          <w:sz w:val="24"/>
          <w:szCs w:val="24"/>
          <w:highlight w:val="none"/>
        </w:rPr>
        <w:t>紧急问题（比如系统无法访问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系统发现安全漏洞、系统被病毒攻击、系统遭受人为破坏、服务器或其他硬件故障、应用软件故障、数据被篡改、假冒、泄漏等</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b/>
          <w:color w:val="auto"/>
          <w:sz w:val="24"/>
          <w:szCs w:val="24"/>
          <w:lang w:val="en-US" w:eastAsia="zh-CN"/>
        </w:rPr>
        <w:t>提供7*24小时电话服务，如需现场处理在1小时内到达现场。故障处理原则上不能超过3小时。如3小时内无法处理，则需处具书面说明，报采购人备案。</w:t>
      </w:r>
    </w:p>
    <w:p w14:paraId="4A68F312">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迁移与二次安装：主要针对硬件环境变更或其他原因需要重新安装、软件迁移时，乙方实施人员可在异地通过远程访问的方式完成所供应软件的二次安装；也可以经双方协商达成共识后，由乙方派出技术工程师作现场技术指导安装或直接安装。</w:t>
      </w:r>
    </w:p>
    <w:p w14:paraId="279150F6">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软件升级：在</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服务期内，无偿提供版本升级、产品换代更新。</w:t>
      </w:r>
    </w:p>
    <w:p w14:paraId="76017B3A">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状态报告和故障预测：在</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服务期内，在征得甲方同意的条件下，乙方工程师可定期通过远程方式检测用户系统的运行状况，或现场对系统进行检查，对应用系统现状做出评估，预测可能出现的故障，并提出预防策略以及提高系统软件性能的优化建议。对于发现的系统本身的故障，乙方需要进行优化处理，对于环境等其他非系统问题，乙方需配合甲方协助处理。</w:t>
      </w:r>
    </w:p>
    <w:p w14:paraId="276F2059">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优化系统：虽然在系统安装调试时做过性能优化，但在实际运行时，乙方还将根据业务运行情况、网络情况继续对应用软件平台的系统参数提供优化建议，确保系统随着业务的发展能够持续、稳定、高效地运行。</w:t>
      </w:r>
    </w:p>
    <w:p w14:paraId="7467EAD2">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扩容与改造建议：当甲方软件功能扩充或网络性能、应用系统性能下降时，乙方会主动或根据甲方要求，分析系统现状或故障情况，在深入了解甲方目前及未来几年内的需求后，对网络扩容和改造、应用系统平台建设、应用系统改造提出合理化建议，并协助甲方完成优化。</w:t>
      </w:r>
    </w:p>
    <w:p w14:paraId="27E3832E">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服务期期间，乙方有责任指导和培训甲方相关人员系统的使用及常用维修操作，重大问题需安排工程师现场解决。</w:t>
      </w:r>
    </w:p>
    <w:p w14:paraId="16E29C27">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合同外需求：合同外的超额新需求，根据实际需求评估工作量，按照2000元/人天的计费标准核计费用。</w:t>
      </w:r>
    </w:p>
    <w:p w14:paraId="54A4A8B3">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免费服务期届满后为有偿服务期，乙方收取不超过合同总金额10%的年化运维服务费用。</w:t>
      </w:r>
    </w:p>
    <w:p w14:paraId="1A002D0E">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技术资料：</w:t>
      </w:r>
    </w:p>
    <w:p w14:paraId="65A7EFA5">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乙方应在供货同时向甲方提供所有有关本项目执行的技术文件。技术文件可以是手册、说明书或其他形式的文件资料。</w:t>
      </w:r>
    </w:p>
    <w:p w14:paraId="7977A0AA">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上述技术文件应包含保证甲方能够正确使用系统。</w:t>
      </w:r>
    </w:p>
    <w:p w14:paraId="271FD449">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乙方提供的技术文件的全部费用已包含在本项目货物价格中。</w:t>
      </w:r>
    </w:p>
    <w:p w14:paraId="13DF0485">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知识产权：</w:t>
      </w:r>
    </w:p>
    <w:p w14:paraId="4CF0FED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乙</w:t>
      </w:r>
      <w:r>
        <w:rPr>
          <w:rFonts w:hint="eastAsia" w:ascii="宋体" w:hAnsi="宋体" w:eastAsia="宋体" w:cs="宋体"/>
          <w:color w:val="000000"/>
          <w:sz w:val="24"/>
          <w:szCs w:val="24"/>
          <w:highlight w:val="none"/>
          <w:lang w:val="en-US" w:eastAsia="zh-CN"/>
        </w:rPr>
        <w:t>方应保证，甲方在中华人民共和国使用乙方所供货物时，免受第三方提出的任何权利要求（包括但不限于第三方提出的侵犯其专利权、商标权或其他知识产权的起诉）。如发生此类纠纷，由乙方承担一切责任。</w:t>
      </w:r>
    </w:p>
    <w:p w14:paraId="0D040D13">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报价应包含所有应向所有权人支付的专利权、商标权或其他知识产权的有关费用及税费。</w:t>
      </w:r>
    </w:p>
    <w:p w14:paraId="06AD31C5">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产权与风险转移：</w:t>
      </w:r>
    </w:p>
    <w:p w14:paraId="55DFE3E2">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本合同软件系统的使用权，在验收合格并移交交付后由乙方转移至甲方，甲方具有软件的永久使用权。</w:t>
      </w:r>
    </w:p>
    <w:p w14:paraId="57F606B0">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highlight w:val="none"/>
          <w:lang w:val="en-US" w:eastAsia="zh-CN"/>
        </w:rPr>
        <w:t>如</w:t>
      </w:r>
      <w:r>
        <w:rPr>
          <w:rFonts w:hint="eastAsia" w:ascii="宋体" w:hAnsi="宋体" w:eastAsia="宋体" w:cs="宋体"/>
          <w:color w:val="auto"/>
          <w:sz w:val="24"/>
          <w:szCs w:val="24"/>
          <w:highlight w:val="none"/>
          <w:lang w:val="en-US" w:eastAsia="zh-CN"/>
        </w:rPr>
        <w:t>系统不符合合同约定，甲方可以拒绝验收</w:t>
      </w:r>
      <w:r>
        <w:rPr>
          <w:rFonts w:hint="eastAsia" w:ascii="宋体" w:hAnsi="宋体" w:eastAsia="宋体" w:cs="宋体"/>
          <w:color w:val="auto"/>
          <w:sz w:val="24"/>
          <w:szCs w:val="24"/>
          <w:highlight w:val="none"/>
        </w:rPr>
        <w:t>。</w:t>
      </w:r>
    </w:p>
    <w:p w14:paraId="08C168CD">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违约责任：</w:t>
      </w:r>
    </w:p>
    <w:p w14:paraId="214963BD">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方交付的系统存在以下三种情形时构成违约并应承担相应违约责任：</w:t>
      </w:r>
    </w:p>
    <w:p w14:paraId="53963011">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存在质量问题，无法满足合同约定的要求；</w:t>
      </w:r>
    </w:p>
    <w:p w14:paraId="1C11BEDD">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未按合同约定的时间交付软件产品；</w:t>
      </w:r>
    </w:p>
    <w:p w14:paraId="65D5B7D4">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在合同履行过程中泄露了甲方的商业秘密。</w:t>
      </w:r>
    </w:p>
    <w:p w14:paraId="5CC0BBC2">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以上三类违约情形甲方有权拒收及单方面解除合同，并要求乙方返还预付款及进度款，并按照合同的10%赔偿违约金。</w:t>
      </w:r>
    </w:p>
    <w:p w14:paraId="4946A7F3">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甲方无正当理由拖延支付部分或全部货款超过60个自然日或无正当理由拒收货物，乙方有权向甲方提出解除合同，甲方已向乙方支付的合同预付款，乙方不予退还且有权自行支配、处分为履行本合同而准备的货物。</w:t>
      </w:r>
    </w:p>
    <w:p w14:paraId="3F5BDB87">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争议的解决：</w:t>
      </w:r>
    </w:p>
    <w:p w14:paraId="131A95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合同执行过程中发生的任何争议，如双方不能通过友好协商解决，提交甲方所在地人民法院诉讼解决，按相关法律法规处理。</w:t>
      </w:r>
    </w:p>
    <w:p w14:paraId="1A479558">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不可抗力：</w:t>
      </w:r>
    </w:p>
    <w:p w14:paraId="7B20BB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3D9C17A">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其它：</w:t>
      </w:r>
    </w:p>
    <w:p w14:paraId="24356B3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本合同所有附件、双方确认结果、</w:t>
      </w:r>
      <w:r>
        <w:rPr>
          <w:rFonts w:hint="eastAsia" w:ascii="宋体" w:hAnsi="宋体" w:cs="宋体"/>
          <w:color w:val="000000"/>
          <w:sz w:val="24"/>
          <w:szCs w:val="24"/>
          <w:highlight w:val="none"/>
          <w:lang w:val="en-US" w:eastAsia="zh-CN"/>
        </w:rPr>
        <w:t>成交</w:t>
      </w:r>
      <w:r>
        <w:rPr>
          <w:rFonts w:hint="eastAsia" w:ascii="宋体" w:hAnsi="宋体" w:eastAsia="宋体" w:cs="宋体"/>
          <w:color w:val="000000"/>
          <w:sz w:val="24"/>
          <w:szCs w:val="24"/>
          <w:highlight w:val="none"/>
          <w:lang w:val="en-US" w:eastAsia="zh-CN"/>
        </w:rPr>
        <w:t>通知书均为合同的有效组成部分，与本合同具有同等法律效力。</w:t>
      </w:r>
    </w:p>
    <w:p w14:paraId="6DC25A6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在执行本合同的过程中，所有经双方签署确认的文件（包括会议纪要、补充协议、往来信函）即成为本合同的有效组成部分。</w:t>
      </w:r>
    </w:p>
    <w:p w14:paraId="5CB7A59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除甲方事先书面同意外，乙方不得部分或全部转让其应履行的合同项下的义务。</w:t>
      </w:r>
    </w:p>
    <w:p w14:paraId="407AD771">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保密责任：</w:t>
      </w:r>
    </w:p>
    <w:p w14:paraId="3840BA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14:paraId="2D33EE1E">
      <w:pPr>
        <w:keepNext w:val="0"/>
        <w:keepLines w:val="0"/>
        <w:pageBreakBefore w:val="0"/>
        <w:widowControl w:val="0"/>
        <w:numPr>
          <w:ilvl w:val="0"/>
          <w:numId w:val="19"/>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合同生效：</w:t>
      </w:r>
    </w:p>
    <w:p w14:paraId="6B9DD89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本合同自甲乙双方代表签字盖章之日起生效。</w:t>
      </w:r>
    </w:p>
    <w:p w14:paraId="2EBADE4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本合同一式伍份，合同各方各执贰份，招标代理机构留存壹份。各份合同文本具有同等法律效力。</w:t>
      </w:r>
    </w:p>
    <w:p w14:paraId="042E5733">
      <w:pPr>
        <w:numPr>
          <w:ilvl w:val="0"/>
          <w:numId w:val="19"/>
        </w:numPr>
        <w:tabs>
          <w:tab w:val="left" w:pos="0"/>
          <w:tab w:val="left" w:pos="567"/>
        </w:tabs>
        <w:spacing w:line="360" w:lineRule="auto"/>
        <w:ind w:left="255" w:hanging="255"/>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通知与送达</w:t>
      </w:r>
    </w:p>
    <w:p w14:paraId="5C6EB8AD">
      <w:pPr>
        <w:numPr>
          <w:ilvl w:val="0"/>
          <w:numId w:val="33"/>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甲乙双方确认以下为各自的通知送达方式：</w:t>
      </w:r>
    </w:p>
    <w:p w14:paraId="6378B3BB">
      <w:pPr>
        <w:numPr>
          <w:ilvl w:val="0"/>
          <w:numId w:val="33"/>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w:t>
      </w:r>
    </w:p>
    <w:p w14:paraId="0BEEF9A9">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w:t>
      </w:r>
    </w:p>
    <w:p w14:paraId="7EFC23A2">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p>
    <w:p w14:paraId="7243CAA8">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p w14:paraId="73B87197">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w:t>
      </w:r>
    </w:p>
    <w:p w14:paraId="658C28EF">
      <w:pPr>
        <w:numPr>
          <w:ilvl w:val="0"/>
          <w:numId w:val="33"/>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w:t>
      </w:r>
    </w:p>
    <w:p w14:paraId="07191321">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w:t>
      </w:r>
    </w:p>
    <w:p w14:paraId="1EDC8F0C">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ab/>
      </w:r>
    </w:p>
    <w:p w14:paraId="0F5D7846">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p w14:paraId="71520DCF">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w:t>
      </w:r>
    </w:p>
    <w:p w14:paraId="3EB026FD">
      <w:pPr>
        <w:numPr>
          <w:ilvl w:val="0"/>
          <w:numId w:val="33"/>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本条约定的通知送达方式用于接收与本合同有关的通知、文件，同时也为双方发生争议时人民法院的诉讼法律文书之送达地址。</w:t>
      </w:r>
    </w:p>
    <w:p w14:paraId="79F3B454">
      <w:pPr>
        <w:numPr>
          <w:ilvl w:val="0"/>
          <w:numId w:val="33"/>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甲乙双方承诺，上述确认的通知送达方式真实有效，如因确认的送达方式不准确或通知送达方式变更后未通知对方或拒绝签收等原因导致通知文件或司法机关法律文书被退回的，邮件退回之日即视为送达之日。</w:t>
      </w:r>
    </w:p>
    <w:p w14:paraId="2DC11E08">
      <w:pPr>
        <w:numPr>
          <w:ilvl w:val="0"/>
          <w:numId w:val="33"/>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任何一方如变更通知送达方式的，需提前3日书面通知对方，变更通知送达对方前仍以本条约定的为准。</w:t>
      </w:r>
    </w:p>
    <w:p w14:paraId="5ADDBBB1">
      <w:pPr>
        <w:pStyle w:val="185"/>
        <w:rPr>
          <w:rFonts w:hint="eastAsia" w:ascii="宋体" w:hAnsi="宋体" w:eastAsia="宋体" w:cs="宋体"/>
          <w:sz w:val="24"/>
          <w:szCs w:val="24"/>
          <w:lang w:val="en-US" w:eastAsia="zh-CN"/>
        </w:rPr>
      </w:pPr>
    </w:p>
    <w:p w14:paraId="0200BCED">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br w:type="page"/>
      </w:r>
    </w:p>
    <w:p w14:paraId="5DB8A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p>
    <w:p w14:paraId="1AE25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p>
    <w:tbl>
      <w:tblPr>
        <w:tblStyle w:val="37"/>
        <w:tblW w:w="93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0"/>
        <w:gridCol w:w="4793"/>
      </w:tblGrid>
      <w:tr w14:paraId="2462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45B26540">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公章</w:t>
            </w:r>
            <w:r>
              <w:rPr>
                <w:rFonts w:hint="eastAsia" w:ascii="宋体" w:hAnsi="宋体" w:eastAsia="宋体" w:cs="宋体"/>
                <w:sz w:val="24"/>
                <w:szCs w:val="24"/>
                <w:highlight w:val="none"/>
              </w:rPr>
              <w:t>）：</w:t>
            </w:r>
          </w:p>
        </w:tc>
        <w:tc>
          <w:tcPr>
            <w:tcW w:w="4793" w:type="dxa"/>
            <w:noWrap w:val="0"/>
            <w:vAlign w:val="center"/>
          </w:tcPr>
          <w:p w14:paraId="20EE1079">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公</w:t>
            </w:r>
            <w:r>
              <w:rPr>
                <w:rFonts w:hint="eastAsia" w:ascii="宋体" w:hAnsi="宋体" w:eastAsia="宋体" w:cs="宋体"/>
                <w:sz w:val="24"/>
                <w:szCs w:val="24"/>
                <w:highlight w:val="none"/>
              </w:rPr>
              <w:t>章）：</w:t>
            </w:r>
          </w:p>
        </w:tc>
      </w:tr>
      <w:tr w14:paraId="37CC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4550" w:type="dxa"/>
            <w:noWrap w:val="0"/>
            <w:vAlign w:val="center"/>
          </w:tcPr>
          <w:p w14:paraId="68E5005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统一社会信用代码</w:t>
            </w:r>
            <w:r>
              <w:rPr>
                <w:rFonts w:hint="eastAsia" w:ascii="宋体" w:hAnsi="宋体" w:eastAsia="宋体" w:cs="宋体"/>
                <w:sz w:val="24"/>
                <w:szCs w:val="24"/>
                <w:highlight w:val="none"/>
              </w:rPr>
              <w:t>：</w:t>
            </w:r>
          </w:p>
        </w:tc>
        <w:tc>
          <w:tcPr>
            <w:tcW w:w="4793" w:type="dxa"/>
            <w:shd w:val="clear" w:color="auto" w:fill="auto"/>
            <w:noWrap w:val="0"/>
            <w:vAlign w:val="center"/>
          </w:tcPr>
          <w:p w14:paraId="22862F92">
            <w:pPr>
              <w:spacing w:line="440" w:lineRule="exact"/>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en-US" w:eastAsia="zh-CN"/>
              </w:rPr>
              <w:t>统一社会信用代码</w:t>
            </w:r>
            <w:r>
              <w:rPr>
                <w:rFonts w:hint="eastAsia" w:ascii="宋体" w:hAnsi="宋体" w:eastAsia="宋体" w:cs="宋体"/>
                <w:sz w:val="24"/>
                <w:szCs w:val="24"/>
                <w:highlight w:val="none"/>
              </w:rPr>
              <w:t>：</w:t>
            </w:r>
          </w:p>
        </w:tc>
      </w:tr>
      <w:tr w14:paraId="094C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0665C481">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办公地址</w:t>
            </w:r>
            <w:r>
              <w:rPr>
                <w:rFonts w:hint="eastAsia" w:ascii="宋体" w:hAnsi="宋体" w:eastAsia="宋体" w:cs="宋体"/>
                <w:sz w:val="24"/>
                <w:szCs w:val="24"/>
                <w:highlight w:val="none"/>
              </w:rPr>
              <w:t>：</w:t>
            </w:r>
          </w:p>
        </w:tc>
        <w:tc>
          <w:tcPr>
            <w:tcW w:w="4793" w:type="dxa"/>
            <w:shd w:val="clear" w:color="auto" w:fill="auto"/>
            <w:noWrap w:val="0"/>
            <w:vAlign w:val="center"/>
          </w:tcPr>
          <w:p w14:paraId="35469959">
            <w:pPr>
              <w:spacing w:line="440" w:lineRule="exact"/>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en-US" w:eastAsia="zh-CN"/>
              </w:rPr>
              <w:t>办公地址：</w:t>
            </w:r>
          </w:p>
        </w:tc>
      </w:tr>
      <w:tr w14:paraId="49A4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36508F92">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法定代表人或项目负责人（签字）：</w:t>
            </w:r>
          </w:p>
        </w:tc>
        <w:tc>
          <w:tcPr>
            <w:tcW w:w="4793" w:type="dxa"/>
            <w:shd w:val="clear" w:color="auto" w:fill="auto"/>
            <w:noWrap w:val="0"/>
            <w:vAlign w:val="center"/>
          </w:tcPr>
          <w:p w14:paraId="750C4086">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法定代表人或项目负责人（签字）：</w:t>
            </w:r>
          </w:p>
        </w:tc>
      </w:tr>
      <w:tr w14:paraId="66E3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60FFBFB5">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p>
        </w:tc>
        <w:tc>
          <w:tcPr>
            <w:tcW w:w="4793" w:type="dxa"/>
            <w:shd w:val="clear" w:color="auto" w:fill="auto"/>
            <w:noWrap w:val="0"/>
            <w:vAlign w:val="center"/>
          </w:tcPr>
          <w:p w14:paraId="5D2A9C4D">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联系人：</w:t>
            </w:r>
          </w:p>
        </w:tc>
      </w:tr>
      <w:tr w14:paraId="5357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4550" w:type="dxa"/>
            <w:noWrap w:val="0"/>
            <w:vAlign w:val="center"/>
          </w:tcPr>
          <w:p w14:paraId="63B3DB3F">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w:t>
            </w:r>
          </w:p>
        </w:tc>
        <w:tc>
          <w:tcPr>
            <w:tcW w:w="4793" w:type="dxa"/>
            <w:shd w:val="clear" w:color="auto" w:fill="auto"/>
            <w:noWrap w:val="0"/>
            <w:vAlign w:val="center"/>
          </w:tcPr>
          <w:p w14:paraId="3720355B">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电话：</w:t>
            </w:r>
          </w:p>
        </w:tc>
      </w:tr>
      <w:tr w14:paraId="7C2C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2929DCF3">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电子邮箱：</w:t>
            </w:r>
          </w:p>
        </w:tc>
        <w:tc>
          <w:tcPr>
            <w:tcW w:w="4793" w:type="dxa"/>
            <w:shd w:val="clear" w:color="auto" w:fill="auto"/>
            <w:noWrap w:val="0"/>
            <w:vAlign w:val="center"/>
          </w:tcPr>
          <w:p w14:paraId="15D6C8E7">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电子邮箱：</w:t>
            </w:r>
          </w:p>
        </w:tc>
      </w:tr>
      <w:tr w14:paraId="7BD7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14239D82">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开户银行：</w:t>
            </w:r>
          </w:p>
        </w:tc>
        <w:tc>
          <w:tcPr>
            <w:tcW w:w="4793" w:type="dxa"/>
            <w:shd w:val="clear" w:color="auto" w:fill="auto"/>
            <w:noWrap w:val="0"/>
            <w:vAlign w:val="center"/>
          </w:tcPr>
          <w:p w14:paraId="49CA75C2">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开户银行：</w:t>
            </w:r>
          </w:p>
        </w:tc>
      </w:tr>
      <w:tr w14:paraId="418E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77D67DCA">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开户名称：</w:t>
            </w:r>
          </w:p>
        </w:tc>
        <w:tc>
          <w:tcPr>
            <w:tcW w:w="4793" w:type="dxa"/>
            <w:shd w:val="clear" w:color="auto" w:fill="auto"/>
            <w:noWrap w:val="0"/>
            <w:vAlign w:val="center"/>
          </w:tcPr>
          <w:p w14:paraId="68A0916F">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开户名称：</w:t>
            </w:r>
          </w:p>
        </w:tc>
      </w:tr>
      <w:tr w14:paraId="5542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7B217047">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开户账号：</w:t>
            </w:r>
          </w:p>
        </w:tc>
        <w:tc>
          <w:tcPr>
            <w:tcW w:w="4793" w:type="dxa"/>
            <w:shd w:val="clear" w:color="auto" w:fill="auto"/>
            <w:noWrap w:val="0"/>
            <w:vAlign w:val="center"/>
          </w:tcPr>
          <w:p w14:paraId="3B27AF28">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开户账号：</w:t>
            </w:r>
          </w:p>
        </w:tc>
      </w:tr>
      <w:tr w14:paraId="5BAE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078384C4">
            <w:pPr>
              <w:spacing w:line="440" w:lineRule="exact"/>
              <w:rPr>
                <w:rFonts w:hint="eastAsia" w:ascii="宋体" w:hAnsi="宋体" w:eastAsia="宋体" w:cs="宋体"/>
                <w:sz w:val="24"/>
                <w:szCs w:val="24"/>
                <w:highlight w:val="none"/>
              </w:rPr>
            </w:pPr>
          </w:p>
        </w:tc>
        <w:tc>
          <w:tcPr>
            <w:tcW w:w="4793" w:type="dxa"/>
            <w:noWrap w:val="0"/>
            <w:vAlign w:val="center"/>
          </w:tcPr>
          <w:p w14:paraId="64EA8CFD">
            <w:pPr>
              <w:spacing w:line="440" w:lineRule="exact"/>
              <w:rPr>
                <w:rFonts w:hint="eastAsia" w:ascii="宋体" w:hAnsi="宋体" w:eastAsia="宋体" w:cs="宋体"/>
                <w:sz w:val="24"/>
                <w:szCs w:val="24"/>
                <w:highlight w:val="none"/>
              </w:rPr>
            </w:pPr>
          </w:p>
        </w:tc>
      </w:tr>
      <w:tr w14:paraId="0B4C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4550" w:type="dxa"/>
            <w:noWrap w:val="0"/>
            <w:vAlign w:val="center"/>
          </w:tcPr>
          <w:p w14:paraId="7184D83F">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招标代理机构（公章）：</w:t>
            </w:r>
          </w:p>
        </w:tc>
        <w:tc>
          <w:tcPr>
            <w:tcW w:w="4793" w:type="dxa"/>
            <w:noWrap w:val="0"/>
            <w:vAlign w:val="center"/>
          </w:tcPr>
          <w:p w14:paraId="36EEBB7A">
            <w:pPr>
              <w:spacing w:line="440" w:lineRule="exact"/>
              <w:rPr>
                <w:rFonts w:hint="eastAsia" w:ascii="宋体" w:hAnsi="宋体" w:eastAsia="宋体" w:cs="宋体"/>
                <w:sz w:val="24"/>
                <w:szCs w:val="24"/>
                <w:highlight w:val="none"/>
              </w:rPr>
            </w:pPr>
          </w:p>
        </w:tc>
      </w:tr>
      <w:tr w14:paraId="5F7E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4550" w:type="dxa"/>
            <w:noWrap w:val="0"/>
            <w:vAlign w:val="center"/>
          </w:tcPr>
          <w:p w14:paraId="0BD355CC">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签订日期：</w:t>
            </w:r>
          </w:p>
        </w:tc>
        <w:tc>
          <w:tcPr>
            <w:tcW w:w="4793" w:type="dxa"/>
            <w:noWrap w:val="0"/>
            <w:vAlign w:val="center"/>
          </w:tcPr>
          <w:p w14:paraId="343FEEBC">
            <w:pPr>
              <w:spacing w:line="440" w:lineRule="exact"/>
              <w:rPr>
                <w:rFonts w:hint="eastAsia" w:ascii="宋体" w:hAnsi="宋体" w:eastAsia="宋体" w:cs="宋体"/>
                <w:sz w:val="24"/>
                <w:szCs w:val="24"/>
                <w:highlight w:val="none"/>
              </w:rPr>
            </w:pPr>
          </w:p>
        </w:tc>
      </w:tr>
    </w:tbl>
    <w:p w14:paraId="157EDEBC">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p>
    <w:p w14:paraId="007C0646">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本项目经海南省教学仪器设备招标中心有限公司依政府采购程序组织招标，合同主要条款内容与招、投标文件的内容一致。</w:t>
      </w:r>
    </w:p>
    <w:p w14:paraId="36AFD105">
      <w:pPr>
        <w:spacing w:line="360" w:lineRule="auto"/>
        <w:ind w:firstLine="480" w:firstLineChars="200"/>
        <w:rPr>
          <w:rFonts w:ascii="宋体" w:hAnsi="宋体" w:cs="宋体"/>
          <w:sz w:val="24"/>
        </w:rPr>
      </w:pPr>
    </w:p>
    <w:p w14:paraId="58507965"/>
    <w:p w14:paraId="53582B0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265" w:firstLineChars="525"/>
        <w:jc w:val="left"/>
        <w:rPr>
          <w:rFonts w:hint="eastAsia" w:ascii="宋体" w:hAnsi="宋体" w:cs="Arial"/>
          <w:b/>
          <w:bCs/>
          <w:sz w:val="24"/>
        </w:rPr>
      </w:pPr>
    </w:p>
    <w:p w14:paraId="148B8B0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265" w:firstLineChars="525"/>
        <w:jc w:val="left"/>
        <w:rPr>
          <w:rFonts w:hint="eastAsia" w:ascii="宋体" w:hAnsi="宋体" w:cs="Arial"/>
          <w:b/>
          <w:bCs/>
          <w:sz w:val="24"/>
        </w:rPr>
      </w:pPr>
    </w:p>
    <w:p w14:paraId="7D57EECC">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265" w:firstLineChars="525"/>
        <w:jc w:val="left"/>
        <w:rPr>
          <w:rFonts w:hint="eastAsia" w:ascii="宋体" w:hAnsi="宋体" w:cs="Arial"/>
          <w:b/>
          <w:bCs/>
          <w:sz w:val="24"/>
        </w:rPr>
      </w:pPr>
    </w:p>
    <w:p w14:paraId="1ECC6E8C">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265" w:firstLineChars="525"/>
        <w:jc w:val="left"/>
        <w:rPr>
          <w:rFonts w:ascii="宋体" w:hAnsi="宋体" w:cs="Arial"/>
          <w:b/>
          <w:bCs/>
          <w:sz w:val="24"/>
        </w:rPr>
      </w:pPr>
    </w:p>
    <w:p w14:paraId="4BAE8099">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r>
        <w:rPr>
          <w:rFonts w:hint="eastAsia" w:ascii="宋体"/>
          <w:b/>
          <w:bCs/>
          <w:kern w:val="0"/>
          <w:sz w:val="32"/>
          <w:szCs w:val="32"/>
        </w:rPr>
        <w:t>第六部分  响应文件格式</w:t>
      </w:r>
    </w:p>
    <w:p w14:paraId="2306F48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3D627E4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6E71295E">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34BF3714">
      <w:pPr>
        <w:snapToGrid w:val="0"/>
        <w:spacing w:line="240" w:lineRule="atLeast"/>
        <w:jc w:val="center"/>
        <w:rPr>
          <w:rStyle w:val="168"/>
          <w:rFonts w:hAnsi="宋体"/>
          <w:b/>
          <w:kern w:val="0"/>
          <w:sz w:val="32"/>
          <w:szCs w:val="32"/>
        </w:rPr>
      </w:pPr>
      <w:r>
        <w:rPr>
          <w:rStyle w:val="168"/>
          <w:rFonts w:hAnsi="宋体"/>
          <w:b/>
          <w:kern w:val="0"/>
          <w:sz w:val="32"/>
          <w:szCs w:val="32"/>
        </w:rPr>
        <w:t>项目名称：</w:t>
      </w:r>
    </w:p>
    <w:p w14:paraId="3E8B8CFC">
      <w:pPr>
        <w:snapToGrid w:val="0"/>
        <w:spacing w:line="240" w:lineRule="atLeast"/>
        <w:rPr>
          <w:rStyle w:val="168"/>
          <w:rFonts w:hAnsi="宋体"/>
          <w:b/>
          <w:kern w:val="0"/>
          <w:sz w:val="32"/>
          <w:szCs w:val="32"/>
        </w:rPr>
      </w:pPr>
    </w:p>
    <w:p w14:paraId="36696D61">
      <w:pPr>
        <w:snapToGrid w:val="0"/>
        <w:spacing w:line="240" w:lineRule="atLeast"/>
        <w:jc w:val="center"/>
        <w:rPr>
          <w:rStyle w:val="168"/>
          <w:rFonts w:hAnsi="宋体"/>
          <w:b/>
          <w:kern w:val="0"/>
          <w:sz w:val="32"/>
          <w:szCs w:val="32"/>
        </w:rPr>
      </w:pPr>
      <w:r>
        <w:rPr>
          <w:rStyle w:val="168"/>
          <w:rFonts w:hAnsi="宋体"/>
          <w:b/>
          <w:kern w:val="0"/>
          <w:sz w:val="32"/>
          <w:szCs w:val="32"/>
        </w:rPr>
        <w:t>项目编号: HNJY202</w:t>
      </w:r>
      <w:r>
        <w:rPr>
          <w:rStyle w:val="168"/>
          <w:rFonts w:hint="eastAsia" w:hAnsi="宋体"/>
          <w:b/>
          <w:kern w:val="0"/>
          <w:sz w:val="32"/>
          <w:szCs w:val="32"/>
          <w:lang w:val="en-US" w:eastAsia="zh-CN"/>
        </w:rPr>
        <w:t>5</w:t>
      </w:r>
      <w:r>
        <w:rPr>
          <w:rStyle w:val="168"/>
          <w:rFonts w:hAnsi="宋体"/>
          <w:b/>
          <w:kern w:val="0"/>
          <w:sz w:val="32"/>
          <w:szCs w:val="32"/>
        </w:rPr>
        <w:t>-</w:t>
      </w:r>
    </w:p>
    <w:p w14:paraId="6C5720FE">
      <w:pPr>
        <w:pStyle w:val="167"/>
        <w:snapToGrid w:val="0"/>
        <w:rPr>
          <w:rStyle w:val="168"/>
          <w:rFonts w:hAnsi="宋体"/>
          <w:b/>
          <w:kern w:val="0"/>
          <w:sz w:val="32"/>
          <w:szCs w:val="32"/>
        </w:rPr>
      </w:pPr>
    </w:p>
    <w:p w14:paraId="6158D428">
      <w:pPr>
        <w:pStyle w:val="167"/>
        <w:snapToGrid w:val="0"/>
        <w:rPr>
          <w:rStyle w:val="168"/>
          <w:rFonts w:hAnsi="宋体"/>
          <w:b/>
          <w:kern w:val="0"/>
          <w:sz w:val="32"/>
          <w:szCs w:val="32"/>
        </w:rPr>
      </w:pPr>
    </w:p>
    <w:p w14:paraId="7CFC7352">
      <w:pPr>
        <w:snapToGrid w:val="0"/>
        <w:spacing w:line="320" w:lineRule="exact"/>
        <w:ind w:right="2278"/>
        <w:rPr>
          <w:rStyle w:val="168"/>
          <w:rFonts w:hAnsi="宋体"/>
          <w:b/>
          <w:kern w:val="0"/>
          <w:sz w:val="32"/>
          <w:szCs w:val="32"/>
        </w:rPr>
      </w:pPr>
    </w:p>
    <w:p w14:paraId="2602C37E">
      <w:pPr>
        <w:snapToGrid w:val="0"/>
        <w:ind w:right="2279"/>
        <w:rPr>
          <w:rStyle w:val="168"/>
          <w:rFonts w:hAnsi="宋体"/>
          <w:b/>
          <w:kern w:val="0"/>
          <w:sz w:val="32"/>
          <w:szCs w:val="32"/>
        </w:rPr>
      </w:pPr>
    </w:p>
    <w:p w14:paraId="7EA2CAA1">
      <w:pPr>
        <w:snapToGrid w:val="0"/>
        <w:ind w:right="2279"/>
        <w:jc w:val="center"/>
        <w:rPr>
          <w:rStyle w:val="168"/>
          <w:rFonts w:hAnsi="宋体"/>
          <w:b/>
          <w:kern w:val="0"/>
          <w:sz w:val="32"/>
          <w:szCs w:val="32"/>
        </w:rPr>
      </w:pPr>
      <w:r>
        <w:rPr>
          <w:rStyle w:val="168"/>
          <w:rFonts w:hint="eastAsia" w:hAnsi="宋体"/>
          <w:b/>
          <w:kern w:val="0"/>
          <w:sz w:val="32"/>
          <w:szCs w:val="32"/>
        </w:rPr>
        <w:t xml:space="preserve">     </w:t>
      </w:r>
      <w:r>
        <w:rPr>
          <w:rStyle w:val="168"/>
          <w:rFonts w:hAnsi="宋体"/>
          <w:b/>
          <w:kern w:val="0"/>
          <w:sz w:val="32"/>
          <w:szCs w:val="32"/>
        </w:rPr>
        <w:t>竞争性磋商响应文件</w:t>
      </w:r>
    </w:p>
    <w:p w14:paraId="710E5D3F">
      <w:pPr>
        <w:snapToGrid w:val="0"/>
        <w:spacing w:line="320" w:lineRule="exact"/>
        <w:ind w:right="2278"/>
        <w:rPr>
          <w:rStyle w:val="168"/>
          <w:rFonts w:hAnsi="宋体"/>
          <w:b/>
          <w:sz w:val="30"/>
          <w:szCs w:val="30"/>
        </w:rPr>
      </w:pPr>
    </w:p>
    <w:p w14:paraId="6FFAF84B">
      <w:pPr>
        <w:snapToGrid w:val="0"/>
        <w:spacing w:line="320" w:lineRule="exact"/>
        <w:ind w:right="2278"/>
        <w:rPr>
          <w:rStyle w:val="168"/>
          <w:rFonts w:hAnsi="宋体"/>
          <w:b/>
          <w:sz w:val="30"/>
          <w:szCs w:val="30"/>
        </w:rPr>
      </w:pPr>
    </w:p>
    <w:p w14:paraId="5F127C76">
      <w:pPr>
        <w:snapToGrid w:val="0"/>
        <w:spacing w:line="320" w:lineRule="exact"/>
        <w:ind w:right="2278"/>
        <w:rPr>
          <w:rStyle w:val="168"/>
          <w:rFonts w:hAnsi="宋体"/>
          <w:b/>
          <w:sz w:val="30"/>
          <w:szCs w:val="30"/>
        </w:rPr>
      </w:pPr>
    </w:p>
    <w:p w14:paraId="42A28656">
      <w:pPr>
        <w:snapToGrid w:val="0"/>
        <w:spacing w:line="320" w:lineRule="exact"/>
        <w:ind w:right="2278"/>
        <w:rPr>
          <w:rStyle w:val="168"/>
          <w:rFonts w:hAnsi="宋体"/>
          <w:b/>
          <w:sz w:val="30"/>
          <w:szCs w:val="30"/>
        </w:rPr>
      </w:pPr>
    </w:p>
    <w:p w14:paraId="0A59A54B">
      <w:pPr>
        <w:snapToGrid w:val="0"/>
        <w:spacing w:line="320" w:lineRule="exact"/>
        <w:ind w:right="2278"/>
        <w:rPr>
          <w:rStyle w:val="168"/>
          <w:rFonts w:hAnsi="宋体"/>
          <w:b/>
          <w:sz w:val="30"/>
          <w:szCs w:val="30"/>
        </w:rPr>
      </w:pPr>
    </w:p>
    <w:p w14:paraId="45A100F4">
      <w:pPr>
        <w:snapToGrid w:val="0"/>
        <w:spacing w:line="320" w:lineRule="exact"/>
        <w:ind w:right="2278"/>
        <w:rPr>
          <w:rStyle w:val="168"/>
          <w:rFonts w:hAnsi="宋体"/>
          <w:b/>
          <w:sz w:val="30"/>
          <w:szCs w:val="30"/>
        </w:rPr>
      </w:pPr>
    </w:p>
    <w:p w14:paraId="5F458F42">
      <w:pPr>
        <w:snapToGrid w:val="0"/>
        <w:spacing w:line="320" w:lineRule="exact"/>
        <w:ind w:right="2278"/>
        <w:rPr>
          <w:rStyle w:val="168"/>
          <w:rFonts w:hAnsi="宋体"/>
          <w:b/>
          <w:sz w:val="30"/>
          <w:szCs w:val="30"/>
        </w:rPr>
      </w:pPr>
    </w:p>
    <w:p w14:paraId="3386F351">
      <w:pPr>
        <w:snapToGrid w:val="0"/>
        <w:spacing w:line="320" w:lineRule="exact"/>
        <w:ind w:right="2278"/>
        <w:rPr>
          <w:rStyle w:val="168"/>
          <w:rFonts w:hAnsi="宋体"/>
          <w:b/>
          <w:sz w:val="30"/>
          <w:szCs w:val="30"/>
        </w:rPr>
      </w:pPr>
    </w:p>
    <w:p w14:paraId="70D7B2B3">
      <w:pPr>
        <w:snapToGrid w:val="0"/>
        <w:spacing w:line="320" w:lineRule="exact"/>
        <w:ind w:right="2278"/>
        <w:rPr>
          <w:rStyle w:val="168"/>
          <w:rFonts w:hAnsi="宋体"/>
          <w:b/>
          <w:sz w:val="30"/>
          <w:szCs w:val="30"/>
        </w:rPr>
      </w:pPr>
    </w:p>
    <w:p w14:paraId="53D7732F">
      <w:pPr>
        <w:snapToGrid w:val="0"/>
        <w:spacing w:line="320" w:lineRule="exact"/>
        <w:ind w:right="2278"/>
        <w:rPr>
          <w:rStyle w:val="168"/>
          <w:rFonts w:hAnsi="宋体"/>
          <w:b/>
          <w:sz w:val="30"/>
          <w:szCs w:val="30"/>
        </w:rPr>
      </w:pPr>
    </w:p>
    <w:p w14:paraId="5309631E">
      <w:pPr>
        <w:snapToGrid w:val="0"/>
        <w:ind w:right="2279"/>
        <w:rPr>
          <w:rStyle w:val="168"/>
          <w:rFonts w:hAnsi="宋体"/>
          <w:b/>
          <w:sz w:val="30"/>
          <w:szCs w:val="30"/>
        </w:rPr>
      </w:pPr>
      <w:r>
        <w:rPr>
          <w:rStyle w:val="168"/>
          <w:rFonts w:hAnsi="宋体"/>
          <w:b/>
          <w:sz w:val="30"/>
          <w:szCs w:val="30"/>
        </w:rPr>
        <w:t>供应商名称：（盖章）</w:t>
      </w:r>
    </w:p>
    <w:p w14:paraId="6E389F5C">
      <w:pPr>
        <w:snapToGrid w:val="0"/>
        <w:ind w:right="2279"/>
        <w:rPr>
          <w:rStyle w:val="168"/>
          <w:rFonts w:hAnsi="宋体"/>
          <w:b/>
          <w:sz w:val="30"/>
          <w:szCs w:val="30"/>
        </w:rPr>
      </w:pPr>
      <w:r>
        <w:rPr>
          <w:rStyle w:val="168"/>
          <w:rFonts w:hAnsi="宋体"/>
          <w:b/>
          <w:sz w:val="30"/>
          <w:szCs w:val="30"/>
        </w:rPr>
        <w:t>公司地址：</w:t>
      </w:r>
    </w:p>
    <w:p w14:paraId="6BF214DB">
      <w:pPr>
        <w:snapToGrid w:val="0"/>
        <w:ind w:right="2279"/>
        <w:rPr>
          <w:rStyle w:val="168"/>
          <w:rFonts w:hAnsi="宋体"/>
          <w:b/>
          <w:sz w:val="30"/>
          <w:szCs w:val="30"/>
        </w:rPr>
      </w:pPr>
      <w:r>
        <w:rPr>
          <w:rStyle w:val="168"/>
          <w:rFonts w:hAnsi="宋体"/>
          <w:b/>
          <w:sz w:val="30"/>
          <w:szCs w:val="30"/>
        </w:rPr>
        <w:t>联系人：</w:t>
      </w:r>
    </w:p>
    <w:p w14:paraId="11052F84">
      <w:pPr>
        <w:snapToGrid w:val="0"/>
        <w:ind w:right="2279"/>
        <w:rPr>
          <w:rStyle w:val="168"/>
          <w:rFonts w:hAnsi="宋体"/>
          <w:b/>
          <w:sz w:val="30"/>
          <w:szCs w:val="30"/>
        </w:rPr>
      </w:pPr>
      <w:r>
        <w:rPr>
          <w:rStyle w:val="168"/>
          <w:rFonts w:hAnsi="宋体"/>
          <w:b/>
          <w:sz w:val="30"/>
          <w:szCs w:val="30"/>
        </w:rPr>
        <w:t>联系电话：</w:t>
      </w:r>
    </w:p>
    <w:p w14:paraId="3BE76F28">
      <w:pPr>
        <w:snapToGrid w:val="0"/>
        <w:spacing w:line="320" w:lineRule="exact"/>
        <w:ind w:right="2278"/>
        <w:rPr>
          <w:rStyle w:val="168"/>
          <w:rFonts w:hAnsi="宋体"/>
          <w:b/>
          <w:sz w:val="30"/>
          <w:szCs w:val="30"/>
        </w:rPr>
      </w:pPr>
      <w:r>
        <w:rPr>
          <w:rStyle w:val="168"/>
          <w:rFonts w:hAnsi="宋体"/>
          <w:b/>
          <w:sz w:val="30"/>
          <w:szCs w:val="30"/>
        </w:rPr>
        <w:t>日期：</w:t>
      </w:r>
    </w:p>
    <w:p w14:paraId="3A7BE213">
      <w:pPr>
        <w:snapToGrid w:val="0"/>
        <w:spacing w:line="320" w:lineRule="exact"/>
        <w:ind w:right="2278"/>
        <w:rPr>
          <w:rStyle w:val="168"/>
          <w:rFonts w:hAnsi="宋体"/>
          <w:b/>
          <w:sz w:val="30"/>
          <w:szCs w:val="30"/>
        </w:rPr>
      </w:pPr>
    </w:p>
    <w:p w14:paraId="6A576190">
      <w:pPr>
        <w:pStyle w:val="167"/>
      </w:pPr>
    </w:p>
    <w:p w14:paraId="226A3D6F">
      <w:pPr>
        <w:pStyle w:val="167"/>
      </w:pPr>
    </w:p>
    <w:p w14:paraId="6CDF8A6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kern w:val="0"/>
          <w:sz w:val="32"/>
          <w:szCs w:val="32"/>
        </w:rPr>
      </w:pPr>
    </w:p>
    <w:p w14:paraId="05D2E827">
      <w:pPr>
        <w:rPr>
          <w:rFonts w:hint="eastAsia" w:ascii="宋体" w:hAnsi="宋体"/>
          <w:b/>
          <w:sz w:val="24"/>
        </w:rPr>
      </w:pPr>
      <w:r>
        <w:rPr>
          <w:rFonts w:hint="eastAsia" w:ascii="宋体" w:hAnsi="宋体"/>
          <w:b/>
          <w:sz w:val="24"/>
        </w:rPr>
        <w:br w:type="page"/>
      </w:r>
    </w:p>
    <w:p w14:paraId="4960AFBF">
      <w:pPr>
        <w:spacing w:line="320" w:lineRule="exact"/>
        <w:ind w:right="2278"/>
        <w:outlineLvl w:val="0"/>
        <w:rPr>
          <w:rFonts w:ascii="宋体" w:hAnsi="宋体"/>
          <w:b/>
          <w:sz w:val="24"/>
        </w:rPr>
      </w:pPr>
      <w:r>
        <w:rPr>
          <w:rFonts w:hint="eastAsia" w:ascii="宋体" w:hAnsi="宋体"/>
          <w:b/>
          <w:sz w:val="24"/>
        </w:rPr>
        <w:t>附件1</w:t>
      </w:r>
    </w:p>
    <w:p w14:paraId="6BEAA7B5">
      <w:pPr>
        <w:spacing w:line="360" w:lineRule="exact"/>
        <w:jc w:val="center"/>
        <w:outlineLvl w:val="0"/>
        <w:rPr>
          <w:rFonts w:ascii="宋体" w:hAnsi="宋体"/>
          <w:b/>
          <w:sz w:val="24"/>
        </w:rPr>
      </w:pPr>
      <w:r>
        <w:rPr>
          <w:rFonts w:hint="eastAsia" w:ascii="宋体" w:hAnsi="宋体"/>
          <w:b/>
          <w:sz w:val="24"/>
        </w:rPr>
        <w:t>响应函</w:t>
      </w:r>
    </w:p>
    <w:p w14:paraId="4ABCC822">
      <w:pPr>
        <w:spacing w:line="360" w:lineRule="exact"/>
        <w:ind w:firstLine="3510"/>
        <w:outlineLvl w:val="0"/>
        <w:rPr>
          <w:rFonts w:ascii="宋体" w:hAnsi="宋体"/>
          <w:b/>
          <w:sz w:val="24"/>
        </w:rPr>
      </w:pPr>
    </w:p>
    <w:p w14:paraId="2B5352E0">
      <w:pPr>
        <w:spacing w:line="360" w:lineRule="exact"/>
        <w:outlineLvl w:val="0"/>
        <w:rPr>
          <w:rFonts w:ascii="宋体" w:hAnsi="宋体"/>
          <w:sz w:val="24"/>
        </w:rPr>
      </w:pPr>
      <w:r>
        <w:rPr>
          <w:rFonts w:hint="eastAsia" w:ascii="宋体" w:hAnsi="宋体"/>
          <w:sz w:val="24"/>
        </w:rPr>
        <w:t>致：海南省教学仪器设备招标中心有限公司：</w:t>
      </w:r>
    </w:p>
    <w:p w14:paraId="6A7D66AC">
      <w:pPr>
        <w:spacing w:line="360" w:lineRule="exact"/>
        <w:outlineLvl w:val="0"/>
        <w:rPr>
          <w:rFonts w:ascii="宋体" w:hAnsi="宋体"/>
          <w:sz w:val="24"/>
        </w:rPr>
      </w:pPr>
    </w:p>
    <w:p w14:paraId="69600DA8">
      <w:pPr>
        <w:spacing w:line="360" w:lineRule="exact"/>
        <w:ind w:firstLine="480"/>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369pt;margin-top:16.85pt;height:0pt;width:0.05pt;z-index:251659264;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NDS11QAAAAkBAAAPAAAAAAAAAAEAIAAAACIA&#10;AABkcnMvZG93bnJldi54bWxQSwECFAAUAAAACACHTuJARLEQPdMBAADXAwAADgAAAAAAAAABACAA&#10;AAAkAQAAZHJzL2Uyb0RvYy54bWxQSwUGAAAAAAYABgBZAQAAaQUAAAAA&#10;">
                <v:fill on="f" focussize="0,0"/>
                <v:stroke color="#000000" joinstyle="round"/>
                <v:imagedata o:title=""/>
                <o:lock v:ext="edit" aspectratio="f"/>
              </v:line>
            </w:pict>
          </mc:Fallback>
        </mc:AlternateContent>
      </w:r>
      <w:r>
        <w:rPr>
          <w:rFonts w:hint="eastAsia" w:ascii="宋体" w:hAnsi="宋体"/>
          <w:sz w:val="24"/>
        </w:rPr>
        <w:t>根据贵方为“”项目的邀请（项目编号：HNJY202</w:t>
      </w:r>
      <w:r>
        <w:rPr>
          <w:rFonts w:hint="eastAsia" w:ascii="宋体" w:hAnsi="宋体"/>
          <w:sz w:val="24"/>
          <w:lang w:val="en-US" w:eastAsia="zh-CN"/>
        </w:rPr>
        <w:t>5</w:t>
      </w:r>
      <w:r>
        <w:rPr>
          <w:rFonts w:hint="eastAsia" w:ascii="宋体" w:hAnsi="宋体"/>
          <w:sz w:val="24"/>
        </w:rPr>
        <w:t>- - ），正式授权下签字代表（全名、职务）代表响应供应商（供应商名称、地址）提交下述文件正本壹份和副本</w:t>
      </w:r>
      <w:r>
        <w:rPr>
          <w:rFonts w:hint="eastAsia" w:ascii="宋体" w:hAnsi="宋体"/>
          <w:sz w:val="24"/>
          <w:lang w:val="en-US" w:eastAsia="zh-CN"/>
        </w:rPr>
        <w:t>贰</w:t>
      </w:r>
      <w:r>
        <w:rPr>
          <w:rFonts w:hint="eastAsia" w:ascii="宋体" w:hAnsi="宋体"/>
          <w:sz w:val="24"/>
        </w:rPr>
        <w:t>份。</w:t>
      </w:r>
    </w:p>
    <w:p w14:paraId="63DEBA3E">
      <w:pPr>
        <w:snapToGrid w:val="0"/>
        <w:spacing w:line="480" w:lineRule="exact"/>
        <w:ind w:firstLine="480" w:firstLineChars="200"/>
        <w:rPr>
          <w:rFonts w:ascii="宋体" w:hAnsi="宋体"/>
          <w:sz w:val="24"/>
        </w:rPr>
      </w:pPr>
      <w:r>
        <w:rPr>
          <w:rFonts w:hint="eastAsia" w:ascii="宋体" w:hAnsi="宋体"/>
          <w:sz w:val="24"/>
        </w:rPr>
        <w:t>根据此函，我们宣布同意如下：</w:t>
      </w:r>
    </w:p>
    <w:p w14:paraId="4E49A92D">
      <w:pPr>
        <w:snapToGrid w:val="0"/>
        <w:spacing w:line="480" w:lineRule="exact"/>
        <w:rPr>
          <w:rFonts w:ascii="宋体" w:hAnsi="宋体"/>
          <w:sz w:val="24"/>
        </w:rPr>
      </w:pPr>
      <w:r>
        <w:rPr>
          <w:rFonts w:hint="eastAsia" w:ascii="宋体" w:hAnsi="宋体"/>
          <w:sz w:val="24"/>
        </w:rPr>
        <w:t xml:space="preserve">    1、我方接受采购文件包括修改文件（如有的话）以及全部参考资料和有关附件的所有的条款和规定。我们完全理解并同意放弃对这方面有不明及误解的权利。</w:t>
      </w:r>
    </w:p>
    <w:p w14:paraId="4A861F27">
      <w:pPr>
        <w:snapToGrid w:val="0"/>
        <w:spacing w:line="480" w:lineRule="exact"/>
        <w:ind w:firstLine="480" w:firstLineChars="200"/>
        <w:rPr>
          <w:rFonts w:ascii="宋体" w:hAnsi="宋体"/>
          <w:sz w:val="24"/>
        </w:rPr>
      </w:pPr>
      <w:r>
        <w:rPr>
          <w:rFonts w:hint="eastAsia" w:ascii="宋体" w:hAnsi="宋体"/>
          <w:sz w:val="24"/>
        </w:rPr>
        <w:t>2、我方同意按照磋商文件第三部分 “供应商须知”的规定，本响应文件的有效期为自递交响应文件截止日期起计算的</w:t>
      </w:r>
      <w:r>
        <w:rPr>
          <w:rFonts w:hint="eastAsia" w:ascii="宋体" w:hAnsi="宋体"/>
          <w:sz w:val="24"/>
          <w:u w:val="single"/>
        </w:rPr>
        <w:t>90天</w:t>
      </w:r>
      <w:r>
        <w:rPr>
          <w:rFonts w:hint="eastAsia" w:ascii="宋体" w:hAnsi="宋体"/>
          <w:sz w:val="24"/>
        </w:rPr>
        <w:t>，在此期间，本响应文件将始终对我方具有约束力，并可随时被接受。</w:t>
      </w:r>
    </w:p>
    <w:p w14:paraId="5E76B7EE">
      <w:pPr>
        <w:snapToGrid w:val="0"/>
        <w:spacing w:line="480" w:lineRule="exact"/>
        <w:ind w:firstLine="480"/>
        <w:rPr>
          <w:rFonts w:ascii="宋体" w:hAnsi="宋体"/>
          <w:sz w:val="24"/>
        </w:rPr>
      </w:pPr>
      <w:r>
        <w:rPr>
          <w:rFonts w:hint="eastAsia" w:ascii="宋体" w:hAnsi="宋体"/>
          <w:sz w:val="24"/>
        </w:rPr>
        <w:t xml:space="preserve">3、我们同意提供贵单位要求的有关本次响应的所有资料或证据，并保证资料、证据的真实有效性。    </w:t>
      </w:r>
    </w:p>
    <w:p w14:paraId="336E8E80">
      <w:pPr>
        <w:snapToGrid w:val="0"/>
        <w:spacing w:line="480" w:lineRule="exact"/>
        <w:ind w:firstLine="480"/>
        <w:rPr>
          <w:rFonts w:ascii="宋体" w:hAnsi="宋体"/>
          <w:sz w:val="24"/>
        </w:rPr>
      </w:pPr>
      <w:r>
        <w:rPr>
          <w:rFonts w:hint="eastAsia" w:ascii="宋体" w:hAnsi="宋体"/>
          <w:sz w:val="24"/>
        </w:rPr>
        <w:t>4、如果我方成交，我们将根据采购文件的规定严格履行自己的责任和义务。</w:t>
      </w:r>
    </w:p>
    <w:p w14:paraId="0F0E008C">
      <w:pPr>
        <w:snapToGrid w:val="0"/>
        <w:spacing w:line="480" w:lineRule="exact"/>
        <w:ind w:firstLine="480" w:firstLineChars="200"/>
        <w:rPr>
          <w:rFonts w:ascii="宋体" w:hAnsi="宋体"/>
          <w:sz w:val="24"/>
        </w:rPr>
      </w:pPr>
      <w:r>
        <w:rPr>
          <w:rFonts w:hint="eastAsia" w:ascii="宋体" w:hAnsi="宋体"/>
          <w:sz w:val="24"/>
        </w:rPr>
        <w:t>5、如果我方成交，我方将支付本次采购活动的代理服务费。</w:t>
      </w:r>
    </w:p>
    <w:p w14:paraId="4C84A4A7">
      <w:pPr>
        <w:snapToGrid w:val="0"/>
        <w:spacing w:line="480" w:lineRule="exact"/>
        <w:ind w:firstLine="570"/>
        <w:rPr>
          <w:rFonts w:hint="default" w:ascii="宋体" w:hAnsi="宋体" w:eastAsia="宋体"/>
          <w:sz w:val="24"/>
          <w:lang w:val="en-US" w:eastAsia="zh-CN"/>
        </w:rPr>
      </w:pPr>
      <w:r>
        <w:rPr>
          <w:rFonts w:hint="eastAsia" w:ascii="宋体" w:hAnsi="宋体"/>
          <w:sz w:val="24"/>
          <w:lang w:val="en-US" w:eastAsia="zh-CN"/>
        </w:rPr>
        <w:t>6、</w:t>
      </w:r>
      <w:r>
        <w:rPr>
          <w:rFonts w:hint="eastAsia" w:ascii="宋体" w:hAnsi="宋体"/>
          <w:sz w:val="24"/>
        </w:rPr>
        <w:t>如果我方成交</w:t>
      </w:r>
      <w:r>
        <w:rPr>
          <w:rFonts w:hint="eastAsia" w:ascii="宋体" w:hAnsi="宋体"/>
          <w:sz w:val="24"/>
          <w:lang w:eastAsia="zh-CN"/>
        </w:rPr>
        <w:t>，</w:t>
      </w:r>
      <w:r>
        <w:rPr>
          <w:rFonts w:hint="eastAsia" w:ascii="宋体" w:hAnsi="宋体"/>
          <w:sz w:val="24"/>
          <w:lang w:val="en-US" w:eastAsia="zh-CN"/>
        </w:rPr>
        <w:t>我方将按照采购人指定地点服务（交付）。</w:t>
      </w:r>
    </w:p>
    <w:p w14:paraId="0AF54D2B">
      <w:pPr>
        <w:snapToGrid w:val="0"/>
        <w:spacing w:line="480" w:lineRule="exact"/>
        <w:rPr>
          <w:rFonts w:ascii="宋体" w:hAnsi="宋体"/>
          <w:sz w:val="24"/>
        </w:rPr>
      </w:pPr>
      <w:r>
        <w:rPr>
          <w:rFonts w:hint="eastAsia" w:ascii="宋体" w:hAnsi="宋体"/>
          <w:sz w:val="24"/>
        </w:rPr>
        <w:t xml:space="preserve">        供应商名称：</w:t>
      </w:r>
      <w:r>
        <w:rPr>
          <w:rFonts w:hint="eastAsia" w:ascii="宋体" w:hAnsi="宋体"/>
          <w:sz w:val="24"/>
          <w:u w:val="single"/>
        </w:rPr>
        <w:t xml:space="preserve">              （公章）</w:t>
      </w:r>
    </w:p>
    <w:p w14:paraId="3E8C47B4">
      <w:pPr>
        <w:snapToGrid w:val="0"/>
        <w:spacing w:line="480" w:lineRule="exact"/>
        <w:rPr>
          <w:rFonts w:ascii="宋体" w:hAnsi="宋体"/>
          <w:sz w:val="24"/>
          <w:u w:val="single"/>
        </w:rPr>
      </w:pPr>
      <w:r>
        <w:rPr>
          <w:rFonts w:hint="eastAsia" w:ascii="宋体" w:hAnsi="宋体"/>
          <w:sz w:val="24"/>
        </w:rPr>
        <w:t xml:space="preserve">        地址：邮编：</w:t>
      </w:r>
    </w:p>
    <w:p w14:paraId="05BE1E1C">
      <w:pPr>
        <w:snapToGrid w:val="0"/>
        <w:spacing w:line="480" w:lineRule="exact"/>
        <w:rPr>
          <w:rFonts w:ascii="宋体" w:hAnsi="宋体"/>
          <w:sz w:val="24"/>
          <w:u w:val="single"/>
        </w:rPr>
      </w:pPr>
      <w:r>
        <w:rPr>
          <w:rFonts w:hint="eastAsia" w:ascii="宋体" w:hAnsi="宋体"/>
          <w:sz w:val="24"/>
        </w:rPr>
        <w:t xml:space="preserve">        电话：传真：</w:t>
      </w:r>
    </w:p>
    <w:p w14:paraId="69962A63">
      <w:pPr>
        <w:snapToGrid w:val="0"/>
        <w:spacing w:line="480" w:lineRule="exact"/>
        <w:rPr>
          <w:rFonts w:ascii="宋体" w:hAnsi="宋体"/>
          <w:sz w:val="24"/>
          <w:u w:val="single"/>
        </w:rPr>
      </w:pPr>
      <w:r>
        <w:rPr>
          <w:rFonts w:hint="eastAsia" w:ascii="宋体" w:hAnsi="宋体"/>
          <w:sz w:val="24"/>
        </w:rPr>
        <w:t xml:space="preserve">        授权代表签字：   职务：</w:t>
      </w:r>
    </w:p>
    <w:p w14:paraId="0EE03781">
      <w:pPr>
        <w:snapToGrid w:val="0"/>
        <w:spacing w:line="480" w:lineRule="exact"/>
        <w:rPr>
          <w:rFonts w:ascii="宋体" w:hAnsi="宋体"/>
          <w:sz w:val="24"/>
          <w:u w:val="single"/>
        </w:rPr>
      </w:pPr>
      <w:r>
        <w:rPr>
          <w:rFonts w:hint="eastAsia" w:ascii="宋体" w:hAnsi="宋体"/>
          <w:sz w:val="24"/>
        </w:rPr>
        <w:t xml:space="preserve">        日期：</w:t>
      </w:r>
    </w:p>
    <w:p w14:paraId="61D86D8E">
      <w:pPr>
        <w:spacing w:line="360" w:lineRule="exact"/>
        <w:rPr>
          <w:rFonts w:ascii="宋体" w:hAnsi="宋体"/>
          <w:sz w:val="24"/>
        </w:rPr>
      </w:pPr>
    </w:p>
    <w:p w14:paraId="3A93D720">
      <w:pPr>
        <w:spacing w:line="360" w:lineRule="exact"/>
        <w:rPr>
          <w:rFonts w:ascii="宋体" w:hAnsi="宋体"/>
          <w:sz w:val="24"/>
        </w:rPr>
      </w:pPr>
    </w:p>
    <w:p w14:paraId="60925228">
      <w:pPr>
        <w:spacing w:line="360" w:lineRule="exact"/>
        <w:rPr>
          <w:rFonts w:hint="eastAsia" w:ascii="宋体" w:hAnsi="宋体"/>
          <w:sz w:val="24"/>
        </w:rPr>
      </w:pPr>
    </w:p>
    <w:p w14:paraId="7482C8A7">
      <w:pPr>
        <w:spacing w:line="360" w:lineRule="exact"/>
        <w:rPr>
          <w:rFonts w:hint="eastAsia" w:ascii="宋体" w:hAnsi="宋体"/>
          <w:sz w:val="24"/>
        </w:rPr>
      </w:pPr>
    </w:p>
    <w:p w14:paraId="1F6E4B3C">
      <w:pPr>
        <w:spacing w:line="360" w:lineRule="exact"/>
        <w:rPr>
          <w:rFonts w:hint="eastAsia" w:ascii="宋体" w:hAnsi="宋体"/>
          <w:sz w:val="24"/>
        </w:rPr>
      </w:pPr>
    </w:p>
    <w:p w14:paraId="32E96F49">
      <w:pPr>
        <w:spacing w:line="360" w:lineRule="exact"/>
        <w:rPr>
          <w:rFonts w:hint="eastAsia" w:ascii="宋体" w:hAnsi="宋体"/>
          <w:sz w:val="24"/>
        </w:rPr>
      </w:pPr>
    </w:p>
    <w:p w14:paraId="25788AF7">
      <w:pPr>
        <w:spacing w:line="360" w:lineRule="exact"/>
        <w:rPr>
          <w:rFonts w:hint="eastAsia" w:ascii="宋体" w:hAnsi="宋体"/>
          <w:sz w:val="24"/>
        </w:rPr>
      </w:pPr>
    </w:p>
    <w:p w14:paraId="241EB9AE">
      <w:pPr>
        <w:spacing w:line="360" w:lineRule="exact"/>
        <w:rPr>
          <w:rFonts w:hint="eastAsia" w:ascii="宋体" w:hAnsi="宋体"/>
          <w:sz w:val="24"/>
        </w:rPr>
      </w:pPr>
    </w:p>
    <w:p w14:paraId="3B94E284">
      <w:pPr>
        <w:spacing w:line="360" w:lineRule="exact"/>
        <w:rPr>
          <w:rFonts w:hint="eastAsia" w:ascii="宋体" w:hAnsi="宋体"/>
          <w:sz w:val="24"/>
        </w:rPr>
      </w:pPr>
    </w:p>
    <w:p w14:paraId="2209CD01">
      <w:pPr>
        <w:spacing w:line="360" w:lineRule="exact"/>
        <w:rPr>
          <w:rFonts w:hint="eastAsia" w:ascii="宋体" w:hAnsi="宋体"/>
          <w:sz w:val="24"/>
        </w:rPr>
      </w:pPr>
    </w:p>
    <w:p w14:paraId="197DFCE3">
      <w:pPr>
        <w:spacing w:line="360" w:lineRule="exact"/>
        <w:rPr>
          <w:rFonts w:hint="eastAsia" w:ascii="宋体" w:hAnsi="宋体"/>
          <w:sz w:val="24"/>
        </w:rPr>
      </w:pPr>
    </w:p>
    <w:p w14:paraId="7B642917">
      <w:pPr>
        <w:spacing w:line="360" w:lineRule="exact"/>
        <w:rPr>
          <w:rFonts w:hint="eastAsia" w:ascii="宋体" w:hAnsi="宋体"/>
          <w:sz w:val="24"/>
        </w:rPr>
      </w:pPr>
    </w:p>
    <w:p w14:paraId="15277CB3">
      <w:pPr>
        <w:pStyle w:val="21"/>
        <w:spacing w:line="360" w:lineRule="exact"/>
        <w:ind w:left="480" w:right="508" w:hanging="480"/>
        <w:jc w:val="both"/>
        <w:outlineLvl w:val="0"/>
        <w:rPr>
          <w:b/>
          <w:kern w:val="2"/>
          <w:szCs w:val="24"/>
        </w:rPr>
      </w:pPr>
      <w:r>
        <w:rPr>
          <w:rFonts w:hint="eastAsia"/>
          <w:b/>
          <w:kern w:val="2"/>
          <w:szCs w:val="24"/>
        </w:rPr>
        <w:t>附件2</w:t>
      </w:r>
    </w:p>
    <w:p w14:paraId="0B1142AD">
      <w:pPr>
        <w:spacing w:line="360" w:lineRule="exact"/>
        <w:ind w:right="2278"/>
        <w:jc w:val="center"/>
        <w:outlineLvl w:val="0"/>
        <w:rPr>
          <w:rFonts w:ascii="宋体" w:hAnsi="宋体"/>
          <w:sz w:val="28"/>
          <w:szCs w:val="28"/>
        </w:rPr>
      </w:pPr>
      <w:bookmarkStart w:id="57" w:name="_Toc373100990"/>
      <w:r>
        <w:rPr>
          <w:rFonts w:hint="eastAsia" w:ascii="宋体" w:hAnsi="宋体"/>
          <w:b/>
          <w:sz w:val="28"/>
          <w:szCs w:val="28"/>
        </w:rPr>
        <w:t>报价一览表</w:t>
      </w:r>
      <w:bookmarkEnd w:id="57"/>
    </w:p>
    <w:p w14:paraId="51754651">
      <w:pPr>
        <w:spacing w:line="360" w:lineRule="exact"/>
        <w:outlineLvl w:val="0"/>
        <w:rPr>
          <w:rFonts w:ascii="宋体" w:hAnsi="宋体"/>
          <w:sz w:val="24"/>
        </w:rPr>
      </w:pPr>
      <w:r>
        <w:rPr>
          <w:rFonts w:hint="eastAsia" w:ascii="宋体" w:hAnsi="宋体"/>
          <w:sz w:val="24"/>
        </w:rPr>
        <w:t>项目名称：</w:t>
      </w:r>
    </w:p>
    <w:p w14:paraId="4EE53138">
      <w:pPr>
        <w:spacing w:line="360" w:lineRule="exact"/>
        <w:rPr>
          <w:rFonts w:ascii="宋体" w:hAnsi="宋体"/>
          <w:sz w:val="24"/>
        </w:rPr>
      </w:pPr>
      <w:r>
        <w:rPr>
          <w:rFonts w:hint="eastAsia" w:ascii="宋体" w:hAnsi="宋体"/>
          <w:sz w:val="24"/>
        </w:rPr>
        <w:t xml:space="preserve">供应商名称： （盖章）                           </w:t>
      </w:r>
    </w:p>
    <w:p w14:paraId="4F0E9D15">
      <w:pPr>
        <w:spacing w:line="360" w:lineRule="exact"/>
        <w:rPr>
          <w:rFonts w:ascii="宋体" w:hAnsi="宋体"/>
          <w:sz w:val="24"/>
        </w:rPr>
      </w:pPr>
    </w:p>
    <w:tbl>
      <w:tblPr>
        <w:tblStyle w:val="37"/>
        <w:tblW w:w="8380" w:type="dxa"/>
        <w:jc w:val="center"/>
        <w:tblLayout w:type="fixed"/>
        <w:tblCellMar>
          <w:top w:w="0" w:type="dxa"/>
          <w:left w:w="54" w:type="dxa"/>
          <w:bottom w:w="0" w:type="dxa"/>
          <w:right w:w="54" w:type="dxa"/>
        </w:tblCellMar>
      </w:tblPr>
      <w:tblGrid>
        <w:gridCol w:w="597"/>
        <w:gridCol w:w="1224"/>
        <w:gridCol w:w="2396"/>
        <w:gridCol w:w="724"/>
        <w:gridCol w:w="724"/>
        <w:gridCol w:w="905"/>
        <w:gridCol w:w="905"/>
        <w:gridCol w:w="905"/>
      </w:tblGrid>
      <w:tr w14:paraId="2E261A25">
        <w:tblPrEx>
          <w:tblCellMar>
            <w:top w:w="0" w:type="dxa"/>
            <w:left w:w="54" w:type="dxa"/>
            <w:bottom w:w="0" w:type="dxa"/>
            <w:right w:w="54" w:type="dxa"/>
          </w:tblCellMar>
        </w:tblPrEx>
        <w:trPr>
          <w:cantSplit/>
          <w:trHeight w:val="499" w:hRule="atLeast"/>
          <w:jc w:val="center"/>
        </w:trPr>
        <w:tc>
          <w:tcPr>
            <w:tcW w:w="597" w:type="dxa"/>
            <w:tcBorders>
              <w:top w:val="single" w:color="auto" w:sz="6" w:space="0"/>
              <w:left w:val="single" w:color="auto" w:sz="6" w:space="0"/>
              <w:bottom w:val="single" w:color="auto" w:sz="6" w:space="0"/>
              <w:right w:val="single" w:color="auto" w:sz="6" w:space="0"/>
            </w:tcBorders>
            <w:noWrap/>
            <w:vAlign w:val="center"/>
          </w:tcPr>
          <w:p w14:paraId="11C2D7E8">
            <w:pPr>
              <w:spacing w:line="360" w:lineRule="exact"/>
              <w:jc w:val="center"/>
              <w:rPr>
                <w:rFonts w:ascii="宋体" w:hAnsi="宋体"/>
                <w:sz w:val="24"/>
              </w:rPr>
            </w:pPr>
            <w:r>
              <w:rPr>
                <w:rFonts w:hint="eastAsia" w:ascii="宋体" w:hAnsi="宋体"/>
                <w:sz w:val="24"/>
              </w:rPr>
              <w:t>1</w:t>
            </w:r>
          </w:p>
        </w:tc>
        <w:tc>
          <w:tcPr>
            <w:tcW w:w="1224" w:type="dxa"/>
            <w:tcBorders>
              <w:top w:val="single" w:color="auto" w:sz="6" w:space="0"/>
              <w:left w:val="single" w:color="auto" w:sz="6" w:space="0"/>
              <w:bottom w:val="single" w:color="auto" w:sz="6" w:space="0"/>
              <w:right w:val="single" w:color="auto" w:sz="6" w:space="0"/>
            </w:tcBorders>
            <w:noWrap/>
            <w:vAlign w:val="center"/>
          </w:tcPr>
          <w:p w14:paraId="7D298719">
            <w:pPr>
              <w:spacing w:line="360" w:lineRule="exact"/>
              <w:jc w:val="center"/>
              <w:rPr>
                <w:rFonts w:ascii="宋体" w:hAnsi="宋体"/>
                <w:sz w:val="24"/>
              </w:rPr>
            </w:pPr>
            <w:r>
              <w:rPr>
                <w:rFonts w:hint="eastAsia" w:ascii="宋体" w:hAnsi="宋体"/>
                <w:sz w:val="24"/>
              </w:rPr>
              <w:t>2</w:t>
            </w:r>
          </w:p>
        </w:tc>
        <w:tc>
          <w:tcPr>
            <w:tcW w:w="2396" w:type="dxa"/>
            <w:tcBorders>
              <w:top w:val="single" w:color="auto" w:sz="6" w:space="0"/>
              <w:left w:val="single" w:color="auto" w:sz="6" w:space="0"/>
              <w:bottom w:val="single" w:color="auto" w:sz="6" w:space="0"/>
              <w:right w:val="single" w:color="auto" w:sz="6" w:space="0"/>
            </w:tcBorders>
            <w:noWrap/>
            <w:vAlign w:val="center"/>
          </w:tcPr>
          <w:p w14:paraId="07106412">
            <w:pPr>
              <w:spacing w:line="360" w:lineRule="exact"/>
              <w:jc w:val="center"/>
              <w:rPr>
                <w:rFonts w:ascii="宋体" w:hAnsi="宋体"/>
                <w:sz w:val="24"/>
              </w:rPr>
            </w:pPr>
            <w:r>
              <w:rPr>
                <w:rFonts w:hint="eastAsia" w:ascii="宋体" w:hAnsi="宋体"/>
                <w:sz w:val="24"/>
              </w:rPr>
              <w:t>3</w:t>
            </w:r>
          </w:p>
        </w:tc>
        <w:tc>
          <w:tcPr>
            <w:tcW w:w="724" w:type="dxa"/>
            <w:tcBorders>
              <w:top w:val="single" w:color="auto" w:sz="6" w:space="0"/>
              <w:left w:val="single" w:color="auto" w:sz="6" w:space="0"/>
              <w:bottom w:val="single" w:color="auto" w:sz="6" w:space="0"/>
              <w:right w:val="single" w:color="auto" w:sz="4" w:space="0"/>
            </w:tcBorders>
            <w:noWrap/>
            <w:vAlign w:val="center"/>
          </w:tcPr>
          <w:p w14:paraId="32FC04C3">
            <w:pPr>
              <w:spacing w:line="360" w:lineRule="exact"/>
              <w:jc w:val="center"/>
              <w:rPr>
                <w:rFonts w:ascii="宋体" w:hAnsi="宋体"/>
                <w:sz w:val="24"/>
              </w:rPr>
            </w:pPr>
            <w:r>
              <w:rPr>
                <w:rFonts w:hint="eastAsia" w:ascii="宋体" w:hAnsi="宋体"/>
                <w:sz w:val="24"/>
              </w:rPr>
              <w:t>4</w:t>
            </w:r>
          </w:p>
        </w:tc>
        <w:tc>
          <w:tcPr>
            <w:tcW w:w="724" w:type="dxa"/>
            <w:tcBorders>
              <w:top w:val="single" w:color="auto" w:sz="6" w:space="0"/>
              <w:left w:val="single" w:color="auto" w:sz="4" w:space="0"/>
              <w:bottom w:val="single" w:color="auto" w:sz="6" w:space="0"/>
              <w:right w:val="single" w:color="auto" w:sz="4" w:space="0"/>
            </w:tcBorders>
            <w:noWrap/>
            <w:vAlign w:val="center"/>
          </w:tcPr>
          <w:p w14:paraId="12DE3E61">
            <w:pPr>
              <w:spacing w:line="360" w:lineRule="exact"/>
              <w:jc w:val="center"/>
              <w:rPr>
                <w:rFonts w:ascii="宋体" w:hAnsi="宋体"/>
                <w:sz w:val="24"/>
              </w:rPr>
            </w:pPr>
            <w:r>
              <w:rPr>
                <w:rFonts w:hint="eastAsia" w:ascii="宋体" w:hAnsi="宋体"/>
                <w:sz w:val="24"/>
              </w:rPr>
              <w:t>5</w:t>
            </w:r>
          </w:p>
        </w:tc>
        <w:tc>
          <w:tcPr>
            <w:tcW w:w="905" w:type="dxa"/>
            <w:tcBorders>
              <w:top w:val="single" w:color="auto" w:sz="6" w:space="0"/>
              <w:left w:val="single" w:color="auto" w:sz="4" w:space="0"/>
              <w:bottom w:val="single" w:color="auto" w:sz="6" w:space="0"/>
              <w:right w:val="single" w:color="auto" w:sz="6" w:space="0"/>
            </w:tcBorders>
            <w:noWrap/>
            <w:vAlign w:val="center"/>
          </w:tcPr>
          <w:p w14:paraId="4DC92E9F">
            <w:pPr>
              <w:spacing w:line="360" w:lineRule="exact"/>
              <w:jc w:val="center"/>
              <w:rPr>
                <w:rFonts w:ascii="宋体" w:hAnsi="宋体"/>
                <w:sz w:val="24"/>
              </w:rPr>
            </w:pPr>
            <w:r>
              <w:rPr>
                <w:rFonts w:hint="eastAsia" w:ascii="宋体" w:hAnsi="宋体"/>
                <w:sz w:val="24"/>
              </w:rPr>
              <w:t>6</w:t>
            </w:r>
          </w:p>
        </w:tc>
        <w:tc>
          <w:tcPr>
            <w:tcW w:w="905" w:type="dxa"/>
            <w:tcBorders>
              <w:top w:val="single" w:color="auto" w:sz="6" w:space="0"/>
              <w:left w:val="single" w:color="auto" w:sz="6" w:space="0"/>
              <w:bottom w:val="single" w:color="auto" w:sz="6" w:space="0"/>
              <w:right w:val="single" w:color="auto" w:sz="4" w:space="0"/>
            </w:tcBorders>
            <w:noWrap/>
            <w:vAlign w:val="center"/>
          </w:tcPr>
          <w:p w14:paraId="64E58A0A">
            <w:pPr>
              <w:spacing w:line="360" w:lineRule="exact"/>
              <w:jc w:val="center"/>
              <w:rPr>
                <w:rFonts w:ascii="宋体" w:hAnsi="宋体"/>
                <w:sz w:val="24"/>
              </w:rPr>
            </w:pPr>
            <w:r>
              <w:rPr>
                <w:rFonts w:hint="eastAsia" w:ascii="宋体" w:hAnsi="宋体"/>
                <w:sz w:val="24"/>
              </w:rPr>
              <w:t>7</w:t>
            </w:r>
          </w:p>
        </w:tc>
        <w:tc>
          <w:tcPr>
            <w:tcW w:w="905" w:type="dxa"/>
            <w:tcBorders>
              <w:top w:val="single" w:color="auto" w:sz="6" w:space="0"/>
              <w:left w:val="single" w:color="auto" w:sz="6" w:space="0"/>
              <w:bottom w:val="single" w:color="auto" w:sz="6" w:space="0"/>
              <w:right w:val="single" w:color="auto" w:sz="4" w:space="0"/>
            </w:tcBorders>
            <w:noWrap/>
            <w:vAlign w:val="center"/>
          </w:tcPr>
          <w:p w14:paraId="3FF1611B">
            <w:pPr>
              <w:spacing w:line="360" w:lineRule="exact"/>
              <w:jc w:val="center"/>
              <w:rPr>
                <w:rFonts w:hint="eastAsia" w:ascii="宋体" w:hAnsi="宋体" w:eastAsia="宋体"/>
                <w:sz w:val="24"/>
                <w:lang w:val="en-US" w:eastAsia="zh-CN"/>
              </w:rPr>
            </w:pPr>
            <w:r>
              <w:rPr>
                <w:rFonts w:hint="eastAsia" w:ascii="宋体" w:hAnsi="宋体"/>
                <w:sz w:val="24"/>
                <w:lang w:val="en-US" w:eastAsia="zh-CN"/>
              </w:rPr>
              <w:t>8</w:t>
            </w:r>
          </w:p>
        </w:tc>
      </w:tr>
      <w:tr w14:paraId="2A876777">
        <w:tblPrEx>
          <w:tblCellMar>
            <w:top w:w="0" w:type="dxa"/>
            <w:left w:w="54" w:type="dxa"/>
            <w:bottom w:w="0" w:type="dxa"/>
            <w:right w:w="54" w:type="dxa"/>
          </w:tblCellMar>
        </w:tblPrEx>
        <w:trPr>
          <w:cantSplit/>
          <w:trHeight w:val="499" w:hRule="atLeast"/>
          <w:jc w:val="center"/>
        </w:trPr>
        <w:tc>
          <w:tcPr>
            <w:tcW w:w="597" w:type="dxa"/>
            <w:tcBorders>
              <w:top w:val="single" w:color="auto" w:sz="6" w:space="0"/>
              <w:left w:val="single" w:color="auto" w:sz="6" w:space="0"/>
              <w:bottom w:val="single" w:color="auto" w:sz="6" w:space="0"/>
              <w:right w:val="single" w:color="auto" w:sz="6" w:space="0"/>
            </w:tcBorders>
            <w:noWrap/>
            <w:vAlign w:val="center"/>
          </w:tcPr>
          <w:p w14:paraId="6CF4E379">
            <w:pPr>
              <w:spacing w:line="360" w:lineRule="exact"/>
              <w:jc w:val="center"/>
              <w:rPr>
                <w:rFonts w:ascii="宋体" w:hAnsi="宋体"/>
                <w:sz w:val="24"/>
              </w:rPr>
            </w:pPr>
            <w:r>
              <w:rPr>
                <w:rFonts w:hint="eastAsia" w:ascii="宋体" w:hAnsi="宋体"/>
                <w:sz w:val="24"/>
              </w:rPr>
              <w:t>序号</w:t>
            </w:r>
          </w:p>
        </w:tc>
        <w:tc>
          <w:tcPr>
            <w:tcW w:w="1224" w:type="dxa"/>
            <w:tcBorders>
              <w:top w:val="single" w:color="auto" w:sz="6" w:space="0"/>
              <w:left w:val="single" w:color="auto" w:sz="6" w:space="0"/>
              <w:bottom w:val="single" w:color="auto" w:sz="6" w:space="0"/>
              <w:right w:val="single" w:color="auto" w:sz="6" w:space="0"/>
            </w:tcBorders>
            <w:noWrap/>
            <w:vAlign w:val="center"/>
          </w:tcPr>
          <w:p w14:paraId="52418908">
            <w:pPr>
              <w:spacing w:line="360" w:lineRule="exact"/>
              <w:jc w:val="center"/>
              <w:rPr>
                <w:rFonts w:ascii="宋体" w:hAnsi="宋体"/>
                <w:sz w:val="24"/>
              </w:rPr>
            </w:pPr>
            <w:r>
              <w:rPr>
                <w:rFonts w:hint="eastAsia" w:ascii="宋体" w:hAnsi="宋体"/>
                <w:sz w:val="24"/>
                <w:lang w:val="en-US" w:eastAsia="zh-CN"/>
              </w:rPr>
              <w:t>服务</w:t>
            </w:r>
            <w:r>
              <w:rPr>
                <w:rFonts w:hint="eastAsia" w:ascii="宋体" w:hAnsi="宋体"/>
                <w:sz w:val="24"/>
              </w:rPr>
              <w:t>名称</w:t>
            </w:r>
          </w:p>
        </w:tc>
        <w:tc>
          <w:tcPr>
            <w:tcW w:w="2396" w:type="dxa"/>
            <w:tcBorders>
              <w:top w:val="single" w:color="auto" w:sz="6" w:space="0"/>
              <w:left w:val="single" w:color="auto" w:sz="6" w:space="0"/>
              <w:bottom w:val="single" w:color="auto" w:sz="6" w:space="0"/>
              <w:right w:val="single" w:color="auto" w:sz="6" w:space="0"/>
            </w:tcBorders>
            <w:noWrap/>
            <w:vAlign w:val="center"/>
          </w:tcPr>
          <w:p w14:paraId="6E1A4EA2">
            <w:pPr>
              <w:spacing w:line="360" w:lineRule="exact"/>
              <w:jc w:val="center"/>
              <w:rPr>
                <w:rFonts w:hint="eastAsia" w:ascii="宋体" w:hAnsi="宋体" w:eastAsia="宋体"/>
                <w:sz w:val="24"/>
                <w:lang w:eastAsia="zh-CN"/>
              </w:rPr>
            </w:pPr>
            <w:r>
              <w:rPr>
                <w:rFonts w:hint="eastAsia" w:ascii="宋体" w:hAnsi="宋体"/>
                <w:sz w:val="24"/>
                <w:lang w:val="en-US" w:eastAsia="zh-CN"/>
              </w:rPr>
              <w:t>服务内容</w:t>
            </w:r>
          </w:p>
        </w:tc>
        <w:tc>
          <w:tcPr>
            <w:tcW w:w="724" w:type="dxa"/>
            <w:tcBorders>
              <w:top w:val="single" w:color="auto" w:sz="6" w:space="0"/>
              <w:left w:val="single" w:color="auto" w:sz="6" w:space="0"/>
              <w:bottom w:val="single" w:color="auto" w:sz="6" w:space="0"/>
              <w:right w:val="single" w:color="auto" w:sz="4" w:space="0"/>
            </w:tcBorders>
            <w:noWrap/>
            <w:vAlign w:val="center"/>
          </w:tcPr>
          <w:p w14:paraId="5245E7E9">
            <w:pPr>
              <w:spacing w:line="360" w:lineRule="exact"/>
              <w:jc w:val="center"/>
              <w:rPr>
                <w:rFonts w:ascii="宋体" w:hAnsi="宋体"/>
                <w:sz w:val="24"/>
              </w:rPr>
            </w:pPr>
            <w:r>
              <w:rPr>
                <w:rFonts w:hint="eastAsia" w:ascii="宋体" w:hAnsi="宋体"/>
                <w:sz w:val="24"/>
              </w:rPr>
              <w:t>数量</w:t>
            </w:r>
          </w:p>
        </w:tc>
        <w:tc>
          <w:tcPr>
            <w:tcW w:w="724" w:type="dxa"/>
            <w:tcBorders>
              <w:top w:val="single" w:color="auto" w:sz="6" w:space="0"/>
              <w:left w:val="single" w:color="auto" w:sz="4" w:space="0"/>
              <w:bottom w:val="single" w:color="auto" w:sz="6" w:space="0"/>
              <w:right w:val="single" w:color="auto" w:sz="4" w:space="0"/>
            </w:tcBorders>
            <w:noWrap/>
            <w:vAlign w:val="center"/>
          </w:tcPr>
          <w:p w14:paraId="7F56E887">
            <w:pPr>
              <w:spacing w:line="360" w:lineRule="exact"/>
              <w:jc w:val="center"/>
              <w:rPr>
                <w:rFonts w:ascii="宋体" w:hAnsi="宋体"/>
                <w:sz w:val="24"/>
              </w:rPr>
            </w:pPr>
            <w:r>
              <w:rPr>
                <w:rFonts w:hint="eastAsia" w:ascii="宋体" w:hAnsi="宋体"/>
                <w:sz w:val="24"/>
              </w:rPr>
              <w:t>单位</w:t>
            </w:r>
          </w:p>
        </w:tc>
        <w:tc>
          <w:tcPr>
            <w:tcW w:w="905" w:type="dxa"/>
            <w:tcBorders>
              <w:top w:val="single" w:color="auto" w:sz="6" w:space="0"/>
              <w:left w:val="single" w:color="auto" w:sz="4" w:space="0"/>
              <w:bottom w:val="single" w:color="auto" w:sz="6" w:space="0"/>
              <w:right w:val="single" w:color="auto" w:sz="6" w:space="0"/>
            </w:tcBorders>
            <w:noWrap/>
            <w:vAlign w:val="center"/>
          </w:tcPr>
          <w:p w14:paraId="4E741FF5">
            <w:pPr>
              <w:spacing w:line="360" w:lineRule="exact"/>
              <w:jc w:val="center"/>
              <w:rPr>
                <w:rFonts w:ascii="宋体" w:hAnsi="宋体"/>
                <w:sz w:val="24"/>
              </w:rPr>
            </w:pPr>
            <w:r>
              <w:rPr>
                <w:rFonts w:hint="eastAsia" w:ascii="宋体" w:hAnsi="宋体"/>
                <w:sz w:val="24"/>
              </w:rPr>
              <w:t>单价</w:t>
            </w:r>
          </w:p>
        </w:tc>
        <w:tc>
          <w:tcPr>
            <w:tcW w:w="905" w:type="dxa"/>
            <w:tcBorders>
              <w:top w:val="single" w:color="auto" w:sz="6" w:space="0"/>
              <w:left w:val="single" w:color="auto" w:sz="6" w:space="0"/>
              <w:bottom w:val="single" w:color="auto" w:sz="6" w:space="0"/>
              <w:right w:val="single" w:color="auto" w:sz="4" w:space="0"/>
            </w:tcBorders>
            <w:noWrap/>
            <w:vAlign w:val="center"/>
          </w:tcPr>
          <w:p w14:paraId="66C88A17">
            <w:pPr>
              <w:spacing w:line="360" w:lineRule="exact"/>
              <w:jc w:val="center"/>
              <w:rPr>
                <w:rFonts w:ascii="宋体" w:hAnsi="宋体"/>
                <w:sz w:val="24"/>
              </w:rPr>
            </w:pPr>
            <w:r>
              <w:rPr>
                <w:rFonts w:hint="eastAsia" w:ascii="宋体" w:hAnsi="宋体"/>
                <w:sz w:val="24"/>
              </w:rPr>
              <w:t>投标单项总价</w:t>
            </w:r>
          </w:p>
        </w:tc>
        <w:tc>
          <w:tcPr>
            <w:tcW w:w="905" w:type="dxa"/>
            <w:tcBorders>
              <w:top w:val="single" w:color="auto" w:sz="6" w:space="0"/>
              <w:left w:val="single" w:color="auto" w:sz="6" w:space="0"/>
              <w:bottom w:val="single" w:color="auto" w:sz="6" w:space="0"/>
              <w:right w:val="single" w:color="auto" w:sz="4" w:space="0"/>
            </w:tcBorders>
            <w:noWrap/>
            <w:vAlign w:val="center"/>
          </w:tcPr>
          <w:p w14:paraId="01ADAA8F">
            <w:pPr>
              <w:spacing w:line="360" w:lineRule="exact"/>
              <w:jc w:val="center"/>
              <w:rPr>
                <w:rFonts w:hint="eastAsia" w:ascii="宋体" w:hAnsi="宋体" w:eastAsia="宋体"/>
                <w:sz w:val="24"/>
                <w:lang w:eastAsia="zh-CN"/>
              </w:rPr>
            </w:pPr>
            <w:r>
              <w:rPr>
                <w:rFonts w:hint="eastAsia" w:ascii="宋体" w:hAnsi="宋体"/>
                <w:sz w:val="24"/>
                <w:lang w:eastAsia="zh-CN"/>
              </w:rPr>
              <w:t>交付期（</w:t>
            </w:r>
            <w:r>
              <w:rPr>
                <w:rFonts w:hint="eastAsia" w:ascii="宋体" w:hAnsi="宋体" w:cs="宋体"/>
                <w:color w:val="auto"/>
                <w:kern w:val="0"/>
                <w:sz w:val="24"/>
                <w:highlight w:val="none"/>
              </w:rPr>
              <w:t>合同履行期限</w:t>
            </w:r>
            <w:r>
              <w:rPr>
                <w:rFonts w:hint="eastAsia" w:ascii="宋体" w:hAnsi="宋体"/>
                <w:sz w:val="24"/>
                <w:lang w:eastAsia="zh-CN"/>
              </w:rPr>
              <w:t>）</w:t>
            </w:r>
          </w:p>
        </w:tc>
      </w:tr>
      <w:tr w14:paraId="1EC7A281">
        <w:tblPrEx>
          <w:tblCellMar>
            <w:top w:w="0" w:type="dxa"/>
            <w:left w:w="54" w:type="dxa"/>
            <w:bottom w:w="0" w:type="dxa"/>
            <w:right w:w="54" w:type="dxa"/>
          </w:tblCellMar>
        </w:tblPrEx>
        <w:trPr>
          <w:cantSplit/>
          <w:trHeight w:val="120" w:hRule="atLeast"/>
          <w:jc w:val="center"/>
        </w:trPr>
        <w:tc>
          <w:tcPr>
            <w:tcW w:w="597" w:type="dxa"/>
            <w:tcBorders>
              <w:top w:val="single" w:color="auto" w:sz="6" w:space="0"/>
              <w:left w:val="single" w:color="auto" w:sz="6" w:space="0"/>
              <w:bottom w:val="single" w:color="auto" w:sz="4" w:space="0"/>
              <w:right w:val="single" w:color="auto" w:sz="6" w:space="0"/>
            </w:tcBorders>
            <w:noWrap/>
          </w:tcPr>
          <w:p w14:paraId="6EA5812F">
            <w:pPr>
              <w:spacing w:line="360" w:lineRule="exact"/>
              <w:rPr>
                <w:rFonts w:ascii="宋体" w:hAnsi="宋体"/>
                <w:sz w:val="24"/>
              </w:rPr>
            </w:pPr>
          </w:p>
        </w:tc>
        <w:tc>
          <w:tcPr>
            <w:tcW w:w="1224" w:type="dxa"/>
            <w:tcBorders>
              <w:top w:val="single" w:color="auto" w:sz="6" w:space="0"/>
              <w:left w:val="single" w:color="auto" w:sz="6" w:space="0"/>
              <w:bottom w:val="single" w:color="auto" w:sz="4" w:space="0"/>
              <w:right w:val="single" w:color="auto" w:sz="6" w:space="0"/>
            </w:tcBorders>
            <w:noWrap/>
          </w:tcPr>
          <w:p w14:paraId="4B83DAA8">
            <w:pPr>
              <w:spacing w:line="360" w:lineRule="exact"/>
              <w:rPr>
                <w:rFonts w:ascii="宋体" w:hAnsi="宋体"/>
                <w:sz w:val="24"/>
              </w:rPr>
            </w:pPr>
          </w:p>
        </w:tc>
        <w:tc>
          <w:tcPr>
            <w:tcW w:w="2396" w:type="dxa"/>
            <w:tcBorders>
              <w:top w:val="single" w:color="auto" w:sz="6" w:space="0"/>
              <w:left w:val="single" w:color="auto" w:sz="6" w:space="0"/>
              <w:bottom w:val="single" w:color="auto" w:sz="4" w:space="0"/>
              <w:right w:val="single" w:color="auto" w:sz="6" w:space="0"/>
            </w:tcBorders>
            <w:noWrap/>
          </w:tcPr>
          <w:p w14:paraId="378ED047">
            <w:pPr>
              <w:spacing w:line="360" w:lineRule="exact"/>
              <w:rPr>
                <w:rFonts w:ascii="宋体" w:hAnsi="宋体"/>
                <w:sz w:val="24"/>
              </w:rPr>
            </w:pPr>
          </w:p>
        </w:tc>
        <w:tc>
          <w:tcPr>
            <w:tcW w:w="724" w:type="dxa"/>
            <w:tcBorders>
              <w:top w:val="single" w:color="auto" w:sz="6" w:space="0"/>
              <w:left w:val="single" w:color="auto" w:sz="6" w:space="0"/>
              <w:bottom w:val="single" w:color="auto" w:sz="4" w:space="0"/>
              <w:right w:val="single" w:color="auto" w:sz="4" w:space="0"/>
            </w:tcBorders>
            <w:noWrap/>
          </w:tcPr>
          <w:p w14:paraId="7ADCC541">
            <w:pPr>
              <w:spacing w:line="360" w:lineRule="exact"/>
              <w:rPr>
                <w:rFonts w:ascii="宋体" w:hAnsi="宋体"/>
                <w:sz w:val="24"/>
              </w:rPr>
            </w:pPr>
          </w:p>
        </w:tc>
        <w:tc>
          <w:tcPr>
            <w:tcW w:w="724" w:type="dxa"/>
            <w:tcBorders>
              <w:top w:val="single" w:color="auto" w:sz="6" w:space="0"/>
              <w:left w:val="single" w:color="auto" w:sz="4" w:space="0"/>
              <w:bottom w:val="single" w:color="auto" w:sz="4" w:space="0"/>
              <w:right w:val="single" w:color="auto" w:sz="4" w:space="0"/>
            </w:tcBorders>
            <w:noWrap/>
          </w:tcPr>
          <w:p w14:paraId="700B9131">
            <w:pPr>
              <w:spacing w:line="360" w:lineRule="exact"/>
              <w:rPr>
                <w:rFonts w:ascii="宋体" w:hAnsi="宋体"/>
                <w:sz w:val="24"/>
              </w:rPr>
            </w:pPr>
          </w:p>
        </w:tc>
        <w:tc>
          <w:tcPr>
            <w:tcW w:w="905" w:type="dxa"/>
            <w:tcBorders>
              <w:top w:val="single" w:color="auto" w:sz="6" w:space="0"/>
              <w:left w:val="single" w:color="auto" w:sz="4" w:space="0"/>
              <w:bottom w:val="single" w:color="auto" w:sz="4" w:space="0"/>
              <w:right w:val="single" w:color="auto" w:sz="6" w:space="0"/>
            </w:tcBorders>
            <w:noWrap/>
          </w:tcPr>
          <w:p w14:paraId="5823FCCC">
            <w:pPr>
              <w:spacing w:line="360" w:lineRule="exact"/>
              <w:rPr>
                <w:rFonts w:ascii="宋体" w:hAnsi="宋体"/>
                <w:sz w:val="24"/>
              </w:rPr>
            </w:pPr>
          </w:p>
        </w:tc>
        <w:tc>
          <w:tcPr>
            <w:tcW w:w="905" w:type="dxa"/>
            <w:tcBorders>
              <w:top w:val="single" w:color="auto" w:sz="6" w:space="0"/>
              <w:left w:val="single" w:color="auto" w:sz="6" w:space="0"/>
              <w:bottom w:val="single" w:color="auto" w:sz="4" w:space="0"/>
              <w:right w:val="single" w:color="auto" w:sz="4" w:space="0"/>
            </w:tcBorders>
            <w:noWrap/>
          </w:tcPr>
          <w:p w14:paraId="5D7C485F">
            <w:pPr>
              <w:spacing w:line="360" w:lineRule="exact"/>
              <w:rPr>
                <w:rFonts w:ascii="宋体" w:hAnsi="宋体"/>
                <w:sz w:val="24"/>
              </w:rPr>
            </w:pPr>
          </w:p>
        </w:tc>
        <w:tc>
          <w:tcPr>
            <w:tcW w:w="905" w:type="dxa"/>
            <w:tcBorders>
              <w:top w:val="single" w:color="auto" w:sz="6" w:space="0"/>
              <w:left w:val="single" w:color="auto" w:sz="6" w:space="0"/>
              <w:bottom w:val="single" w:color="auto" w:sz="4" w:space="0"/>
              <w:right w:val="single" w:color="auto" w:sz="4" w:space="0"/>
            </w:tcBorders>
            <w:noWrap/>
          </w:tcPr>
          <w:p w14:paraId="7A7E58FD">
            <w:pPr>
              <w:spacing w:line="360" w:lineRule="exact"/>
              <w:rPr>
                <w:rFonts w:ascii="宋体" w:hAnsi="宋体"/>
                <w:sz w:val="24"/>
              </w:rPr>
            </w:pPr>
          </w:p>
        </w:tc>
      </w:tr>
      <w:tr w14:paraId="27B568B2">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01854D61">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31D870E5">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3594B1B5">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6062EA41">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768BBC3F">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521430F5">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28C49105">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138B5092">
            <w:pPr>
              <w:spacing w:line="360" w:lineRule="exact"/>
              <w:rPr>
                <w:rFonts w:ascii="宋体" w:hAnsi="宋体"/>
                <w:sz w:val="24"/>
              </w:rPr>
            </w:pPr>
          </w:p>
        </w:tc>
      </w:tr>
      <w:tr w14:paraId="1DE5A58E">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11C4BFFD">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7D2DD689">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21C65E84">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542E2EBB">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68FECDC4">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54D1E66F">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1BA5A608">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3DD2FFD9">
            <w:pPr>
              <w:spacing w:line="360" w:lineRule="exact"/>
              <w:rPr>
                <w:rFonts w:ascii="宋体" w:hAnsi="宋体"/>
                <w:sz w:val="24"/>
              </w:rPr>
            </w:pPr>
          </w:p>
        </w:tc>
      </w:tr>
      <w:tr w14:paraId="013C7002">
        <w:tblPrEx>
          <w:tblCellMar>
            <w:top w:w="0" w:type="dxa"/>
            <w:left w:w="54" w:type="dxa"/>
            <w:bottom w:w="0" w:type="dxa"/>
            <w:right w:w="54" w:type="dxa"/>
          </w:tblCellMar>
        </w:tblPrEx>
        <w:trPr>
          <w:cantSplit/>
          <w:trHeight w:val="195"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53E5FC0A">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50E8C408">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08049904">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63C0A0A2">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3C5A9A89">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4EA6B0D1">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74E095A9">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22DE739A">
            <w:pPr>
              <w:spacing w:line="360" w:lineRule="exact"/>
              <w:rPr>
                <w:rFonts w:ascii="宋体" w:hAnsi="宋体"/>
                <w:sz w:val="24"/>
              </w:rPr>
            </w:pPr>
          </w:p>
        </w:tc>
      </w:tr>
      <w:tr w14:paraId="272C6925">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5F4D76A2">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4FFC405D">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20016015">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4D852AF1">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4FD070AE">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0D538E83">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7C482F8E">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3589E255">
            <w:pPr>
              <w:spacing w:line="360" w:lineRule="exact"/>
              <w:rPr>
                <w:rFonts w:ascii="宋体" w:hAnsi="宋体"/>
                <w:sz w:val="24"/>
              </w:rPr>
            </w:pPr>
          </w:p>
        </w:tc>
      </w:tr>
      <w:tr w14:paraId="7D80CE5E">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380A100F">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540695C3">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0AB46D81">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758FDEB2">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7F599830">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7674F112">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7AA69A2A">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0154E8A2">
            <w:pPr>
              <w:spacing w:line="360" w:lineRule="exact"/>
              <w:rPr>
                <w:rFonts w:ascii="宋体" w:hAnsi="宋体"/>
                <w:sz w:val="24"/>
              </w:rPr>
            </w:pPr>
          </w:p>
        </w:tc>
      </w:tr>
    </w:tbl>
    <w:p w14:paraId="6B467EF3">
      <w:pPr>
        <w:spacing w:line="360" w:lineRule="exact"/>
        <w:rPr>
          <w:rFonts w:ascii="宋体" w:hAnsi="宋体"/>
          <w:sz w:val="24"/>
        </w:rPr>
      </w:pPr>
    </w:p>
    <w:p w14:paraId="4C3E3311">
      <w:pPr>
        <w:spacing w:line="360" w:lineRule="exact"/>
        <w:rPr>
          <w:rFonts w:ascii="宋体" w:hAnsi="宋体"/>
          <w:sz w:val="24"/>
        </w:rPr>
      </w:pPr>
      <w:r>
        <w:rPr>
          <w:rFonts w:hint="eastAsia" w:ascii="宋体" w:hAnsi="宋体"/>
          <w:sz w:val="24"/>
        </w:rPr>
        <w:t>1、供应商是否小微型企业产品:是（   ）；否（   ）。</w:t>
      </w:r>
    </w:p>
    <w:p w14:paraId="712F5638">
      <w:pPr>
        <w:spacing w:line="360" w:lineRule="exact"/>
        <w:rPr>
          <w:rFonts w:ascii="宋体" w:hAnsi="宋体"/>
          <w:sz w:val="24"/>
        </w:rPr>
      </w:pPr>
      <w:r>
        <w:rPr>
          <w:rFonts w:hint="eastAsia" w:ascii="宋体" w:hAnsi="宋体"/>
          <w:sz w:val="24"/>
        </w:rPr>
        <w:t>2、供应商是否为监狱企业：是（    ）    否（    ）</w:t>
      </w:r>
    </w:p>
    <w:p w14:paraId="6894EEA1">
      <w:pPr>
        <w:spacing w:line="360" w:lineRule="exact"/>
        <w:rPr>
          <w:rFonts w:ascii="宋体" w:hAnsi="宋体"/>
          <w:sz w:val="24"/>
        </w:rPr>
      </w:pPr>
      <w:r>
        <w:rPr>
          <w:rFonts w:hint="eastAsia" w:ascii="宋体" w:hAnsi="宋体"/>
          <w:sz w:val="24"/>
        </w:rPr>
        <w:t>3、供应商是否为残疾人福利性单位：是（    ）    否（    ）</w:t>
      </w:r>
    </w:p>
    <w:p w14:paraId="629DAD99">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1CB2A435">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 xml:space="preserve">总价：                              大写：                         </w:t>
      </w:r>
    </w:p>
    <w:p w14:paraId="625CFD6D">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4B34917F">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优惠政策产品扣除后总价：            大写：</w:t>
      </w:r>
    </w:p>
    <w:p w14:paraId="40338D7B">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4850F4A0">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供应商代表签名：             职务：         联系电话：           日期：</w:t>
      </w:r>
    </w:p>
    <w:p w14:paraId="5637F40A">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358D2187">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ascii="宋体" w:hAnsi="宋体"/>
          <w:bCs/>
          <w:sz w:val="24"/>
        </w:rPr>
      </w:pPr>
      <w:r>
        <w:rPr>
          <w:rFonts w:hint="eastAsia" w:ascii="宋体" w:hAnsi="宋体"/>
          <w:b/>
          <w:sz w:val="24"/>
        </w:rPr>
        <w:t>注：</w:t>
      </w:r>
      <w:r>
        <w:rPr>
          <w:rFonts w:hint="eastAsia" w:ascii="宋体" w:hAnsi="宋体"/>
          <w:bCs/>
          <w:sz w:val="24"/>
        </w:rPr>
        <w:t>1、设备用人民币报价。</w:t>
      </w:r>
    </w:p>
    <w:p w14:paraId="750A3402">
      <w:pPr>
        <w:spacing w:line="360" w:lineRule="exact"/>
        <w:ind w:firstLine="480" w:firstLineChars="200"/>
        <w:rPr>
          <w:rFonts w:ascii="宋体" w:hAnsi="宋体"/>
          <w:bCs/>
          <w:sz w:val="24"/>
        </w:rPr>
      </w:pPr>
      <w:r>
        <w:rPr>
          <w:rFonts w:hint="eastAsia" w:ascii="宋体" w:hAnsi="宋体"/>
          <w:bCs/>
          <w:sz w:val="24"/>
        </w:rPr>
        <w:t>2、第6栏的单价应包括全部安装、调试、培训、技术服务、必不可少的部件、标准备件、专用工具等费用。</w:t>
      </w:r>
    </w:p>
    <w:p w14:paraId="173DA096">
      <w:pPr>
        <w:spacing w:line="360" w:lineRule="exact"/>
        <w:ind w:firstLine="480" w:firstLineChars="200"/>
        <w:rPr>
          <w:rFonts w:ascii="宋体" w:hAnsi="宋体"/>
          <w:bCs/>
          <w:sz w:val="24"/>
        </w:rPr>
      </w:pPr>
      <w:r>
        <w:rPr>
          <w:rFonts w:hint="eastAsia" w:ascii="宋体" w:hAnsi="宋体"/>
          <w:bCs/>
          <w:sz w:val="24"/>
        </w:rPr>
        <w:t>3、单价{单价=（货价+运抵用户指定地点运、保、税、）}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2A7D8434">
      <w:pPr>
        <w:spacing w:line="360" w:lineRule="exact"/>
        <w:ind w:firstLine="480" w:firstLineChars="200"/>
        <w:rPr>
          <w:rFonts w:ascii="宋体" w:hAnsi="宋体"/>
          <w:bCs/>
          <w:sz w:val="24"/>
        </w:rPr>
      </w:pPr>
      <w:r>
        <w:rPr>
          <w:rFonts w:hint="eastAsia" w:ascii="宋体" w:hAnsi="宋体"/>
          <w:bCs/>
          <w:sz w:val="24"/>
        </w:rPr>
        <w:t>4、供应商企业类型、是否监狱企业栏和是否残疾人福利性单位栏，供应商须在相应的括弧里打勾（√），否则承担不利后果。</w:t>
      </w:r>
    </w:p>
    <w:p w14:paraId="743C78A7">
      <w:pPr>
        <w:snapToGrid w:val="0"/>
        <w:spacing w:line="360" w:lineRule="auto"/>
        <w:ind w:firstLine="472" w:firstLineChars="196"/>
        <w:rPr>
          <w:rFonts w:ascii="宋体" w:hAnsi="宋体"/>
          <w:b/>
          <w:sz w:val="24"/>
        </w:rPr>
      </w:pPr>
    </w:p>
    <w:p w14:paraId="17BFE64A">
      <w:pPr>
        <w:spacing w:line="360" w:lineRule="exact"/>
        <w:rPr>
          <w:rFonts w:ascii="宋体" w:hAnsi="宋体"/>
          <w:sz w:val="24"/>
        </w:rPr>
      </w:pPr>
    </w:p>
    <w:p w14:paraId="7EE19194">
      <w:pPr>
        <w:spacing w:line="360" w:lineRule="exact"/>
        <w:rPr>
          <w:rFonts w:ascii="宋体" w:hAnsi="宋体"/>
          <w:sz w:val="24"/>
        </w:rPr>
      </w:pPr>
    </w:p>
    <w:p w14:paraId="67C02CAE">
      <w:pPr>
        <w:spacing w:line="360" w:lineRule="exact"/>
        <w:rPr>
          <w:rFonts w:ascii="宋体" w:hAnsi="宋体"/>
          <w:sz w:val="24"/>
        </w:rPr>
      </w:pPr>
    </w:p>
    <w:p w14:paraId="3F8030CF">
      <w:pPr>
        <w:spacing w:line="360" w:lineRule="exact"/>
        <w:rPr>
          <w:rFonts w:ascii="宋体" w:hAnsi="宋体"/>
          <w:b/>
          <w:sz w:val="24"/>
        </w:rPr>
      </w:pPr>
      <w:r>
        <w:rPr>
          <w:rFonts w:hint="eastAsia" w:ascii="宋体" w:hAnsi="宋体"/>
          <w:b/>
          <w:sz w:val="24"/>
        </w:rPr>
        <w:t>附件3</w:t>
      </w:r>
    </w:p>
    <w:p w14:paraId="387F9C3D">
      <w:pPr>
        <w:spacing w:line="360" w:lineRule="exact"/>
        <w:jc w:val="center"/>
        <w:rPr>
          <w:rFonts w:ascii="宋体" w:hAnsi="宋体"/>
          <w:b/>
          <w:sz w:val="24"/>
        </w:rPr>
      </w:pPr>
      <w:r>
        <w:rPr>
          <w:rFonts w:hint="eastAsia" w:ascii="宋体" w:hAnsi="宋体"/>
          <w:b/>
          <w:sz w:val="24"/>
        </w:rPr>
        <w:t>规格响应表</w:t>
      </w:r>
    </w:p>
    <w:p w14:paraId="29CE343E">
      <w:pPr>
        <w:tabs>
          <w:tab w:val="left" w:pos="9654"/>
        </w:tabs>
        <w:spacing w:line="360" w:lineRule="exact"/>
        <w:rPr>
          <w:rFonts w:ascii="宋体" w:hAnsi="宋体"/>
          <w:sz w:val="24"/>
        </w:rPr>
      </w:pPr>
      <w:r>
        <w:rPr>
          <w:rFonts w:hint="eastAsia" w:ascii="宋体" w:hAnsi="宋体"/>
          <w:sz w:val="24"/>
        </w:rPr>
        <w:t>供应商名称</w:t>
      </w:r>
      <w:r>
        <w:rPr>
          <w:rFonts w:ascii="宋体" w:hAnsi="宋体"/>
          <w:sz w:val="24"/>
        </w:rPr>
        <w:t>:</w:t>
      </w:r>
      <w:r>
        <w:rPr>
          <w:rFonts w:hint="eastAsia" w:ascii="宋体" w:hAnsi="宋体"/>
          <w:sz w:val="24"/>
        </w:rPr>
        <w:t xml:space="preserve"> （盖章）</w:t>
      </w:r>
    </w:p>
    <w:p w14:paraId="2066F3F8">
      <w:pPr>
        <w:spacing w:line="320" w:lineRule="exact"/>
        <w:jc w:val="center"/>
        <w:rPr>
          <w:rFonts w:ascii="宋体" w:hAnsi="宋体"/>
          <w:b/>
          <w:sz w:val="28"/>
          <w:szCs w:val="28"/>
        </w:rPr>
      </w:pPr>
    </w:p>
    <w:p w14:paraId="7EEED6DA">
      <w:pPr>
        <w:spacing w:line="320" w:lineRule="exact"/>
        <w:jc w:val="left"/>
        <w:rPr>
          <w:rFonts w:ascii="宋体" w:hAnsi="宋体"/>
          <w:sz w:val="24"/>
        </w:rPr>
      </w:pPr>
      <w:r>
        <w:rPr>
          <w:rFonts w:hint="eastAsia" w:ascii="宋体" w:hAnsi="宋体"/>
          <w:sz w:val="24"/>
        </w:rPr>
        <w:t>说明：响应供应商必须仔细阅读磋商文件中所有技术规范条款和相关功能要求，并对所有技术规范和功能偏离的条目列入下表，未列入下表的视作响应供应商不响应。响应供应商</w:t>
      </w:r>
      <w:r>
        <w:rPr>
          <w:rFonts w:hint="eastAsia" w:ascii="宋体" w:hAnsi="宋体"/>
          <w:sz w:val="24"/>
          <w:u w:val="single"/>
        </w:rPr>
        <w:t>必须根据所投产品的实际情况如实填写，评委会如发现有虚假描述，</w:t>
      </w:r>
      <w:r>
        <w:rPr>
          <w:rFonts w:ascii="宋体" w:hAnsi="宋体"/>
          <w:sz w:val="24"/>
          <w:u w:val="single"/>
        </w:rPr>
        <w:t>提供虚假材料谋取成交的</w:t>
      </w:r>
      <w:r>
        <w:rPr>
          <w:rFonts w:hint="eastAsia" w:ascii="宋体" w:hAnsi="宋体"/>
          <w:sz w:val="24"/>
          <w:u w:val="single"/>
        </w:rPr>
        <w:t>，属违反政府采购法相关规定，该响应文件作废标处理。</w:t>
      </w:r>
      <w:r>
        <w:rPr>
          <w:rFonts w:ascii="宋体" w:hAnsi="宋体"/>
          <w:sz w:val="24"/>
        </w:rPr>
        <w:tab/>
      </w:r>
    </w:p>
    <w:p w14:paraId="13B6B921">
      <w:pPr>
        <w:tabs>
          <w:tab w:val="left" w:pos="9654"/>
        </w:tabs>
        <w:spacing w:line="320" w:lineRule="exact"/>
        <w:rPr>
          <w:rFonts w:ascii="宋体" w:hAnsi="宋体"/>
          <w:sz w:val="24"/>
        </w:rPr>
      </w:pPr>
    </w:p>
    <w:p w14:paraId="5F104844">
      <w:pPr>
        <w:tabs>
          <w:tab w:val="left" w:pos="635"/>
          <w:tab w:val="left" w:pos="2852"/>
          <w:tab w:val="left" w:pos="5260"/>
          <w:tab w:val="left" w:pos="9654"/>
        </w:tabs>
        <w:spacing w:line="320" w:lineRule="exact"/>
        <w:rPr>
          <w:rFonts w:ascii="宋体" w:hAnsi="宋体"/>
          <w:sz w:val="24"/>
        </w:rPr>
      </w:pPr>
    </w:p>
    <w:tbl>
      <w:tblPr>
        <w:tblStyle w:val="37"/>
        <w:tblW w:w="0" w:type="auto"/>
        <w:tblInd w:w="-66" w:type="dxa"/>
        <w:tblLayout w:type="fixed"/>
        <w:tblCellMar>
          <w:top w:w="0" w:type="dxa"/>
          <w:left w:w="54" w:type="dxa"/>
          <w:bottom w:w="0" w:type="dxa"/>
          <w:right w:w="54" w:type="dxa"/>
        </w:tblCellMar>
      </w:tblPr>
      <w:tblGrid>
        <w:gridCol w:w="660"/>
        <w:gridCol w:w="3300"/>
        <w:gridCol w:w="3300"/>
        <w:gridCol w:w="2552"/>
      </w:tblGrid>
      <w:tr w14:paraId="0124AF94">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ign w:val="center"/>
          </w:tcPr>
          <w:p w14:paraId="0CF7070D">
            <w:pPr>
              <w:spacing w:line="320" w:lineRule="exact"/>
              <w:jc w:val="center"/>
              <w:rPr>
                <w:rFonts w:ascii="宋体" w:hAnsi="宋体"/>
                <w:sz w:val="24"/>
              </w:rPr>
            </w:pPr>
            <w:r>
              <w:rPr>
                <w:rFonts w:hint="eastAsia" w:ascii="宋体" w:hAnsi="宋体"/>
                <w:sz w:val="24"/>
              </w:rPr>
              <w:t>序号</w:t>
            </w:r>
          </w:p>
        </w:tc>
        <w:tc>
          <w:tcPr>
            <w:tcW w:w="3300" w:type="dxa"/>
            <w:tcBorders>
              <w:top w:val="single" w:color="auto" w:sz="6" w:space="0"/>
              <w:left w:val="single" w:color="auto" w:sz="4" w:space="0"/>
              <w:bottom w:val="single" w:color="auto" w:sz="6" w:space="0"/>
              <w:right w:val="single" w:color="auto" w:sz="6" w:space="0"/>
            </w:tcBorders>
            <w:noWrap/>
            <w:vAlign w:val="center"/>
          </w:tcPr>
          <w:p w14:paraId="18DF988D">
            <w:pPr>
              <w:spacing w:line="320" w:lineRule="exact"/>
              <w:jc w:val="center"/>
              <w:rPr>
                <w:rFonts w:hint="eastAsia" w:ascii="宋体" w:hAnsi="宋体" w:eastAsia="宋体"/>
                <w:sz w:val="24"/>
                <w:lang w:eastAsia="zh-CN"/>
              </w:rPr>
            </w:pPr>
            <w:r>
              <w:rPr>
                <w:rFonts w:hint="eastAsia" w:ascii="宋体" w:hAnsi="宋体"/>
                <w:sz w:val="24"/>
              </w:rPr>
              <w:t>采购</w:t>
            </w:r>
            <w:r>
              <w:rPr>
                <w:rFonts w:hint="eastAsia" w:ascii="宋体" w:hAnsi="宋体"/>
                <w:sz w:val="24"/>
                <w:lang w:val="en-US" w:eastAsia="zh-CN"/>
              </w:rPr>
              <w:t>服务要求</w:t>
            </w:r>
          </w:p>
        </w:tc>
        <w:tc>
          <w:tcPr>
            <w:tcW w:w="3300" w:type="dxa"/>
            <w:tcBorders>
              <w:top w:val="single" w:color="auto" w:sz="6" w:space="0"/>
              <w:left w:val="single" w:color="auto" w:sz="6" w:space="0"/>
              <w:bottom w:val="single" w:color="auto" w:sz="6" w:space="0"/>
              <w:right w:val="single" w:color="auto" w:sz="6" w:space="0"/>
            </w:tcBorders>
            <w:noWrap/>
            <w:vAlign w:val="center"/>
          </w:tcPr>
          <w:p w14:paraId="1219087B">
            <w:pPr>
              <w:spacing w:line="320" w:lineRule="exact"/>
              <w:jc w:val="center"/>
              <w:rPr>
                <w:rFonts w:hint="default" w:ascii="宋体" w:hAnsi="宋体" w:eastAsia="宋体"/>
                <w:sz w:val="24"/>
                <w:lang w:val="en-US" w:eastAsia="zh-CN"/>
              </w:rPr>
            </w:pPr>
            <w:r>
              <w:rPr>
                <w:rFonts w:hint="eastAsia" w:ascii="宋体" w:hAnsi="宋体"/>
                <w:sz w:val="24"/>
              </w:rPr>
              <w:t>响应</w:t>
            </w:r>
            <w:r>
              <w:rPr>
                <w:rFonts w:hint="eastAsia" w:ascii="宋体" w:hAnsi="宋体"/>
                <w:sz w:val="24"/>
                <w:lang w:val="en-US" w:eastAsia="zh-CN"/>
              </w:rPr>
              <w:t>服务内容</w:t>
            </w:r>
          </w:p>
        </w:tc>
        <w:tc>
          <w:tcPr>
            <w:tcW w:w="2552" w:type="dxa"/>
            <w:tcBorders>
              <w:top w:val="single" w:color="auto" w:sz="6" w:space="0"/>
              <w:left w:val="single" w:color="auto" w:sz="4" w:space="0"/>
              <w:bottom w:val="single" w:color="auto" w:sz="6" w:space="0"/>
              <w:right w:val="single" w:color="auto" w:sz="6" w:space="0"/>
            </w:tcBorders>
            <w:noWrap/>
            <w:vAlign w:val="center"/>
          </w:tcPr>
          <w:p w14:paraId="344A0887">
            <w:pPr>
              <w:spacing w:line="320" w:lineRule="exact"/>
              <w:jc w:val="center"/>
              <w:rPr>
                <w:rFonts w:ascii="宋体" w:hAnsi="宋体"/>
                <w:sz w:val="24"/>
              </w:rPr>
            </w:pPr>
            <w:r>
              <w:rPr>
                <w:rFonts w:ascii="宋体" w:hAnsi="宋体"/>
                <w:sz w:val="24"/>
              </w:rPr>
              <w:t>偏离情况</w:t>
            </w:r>
          </w:p>
          <w:p w14:paraId="45E92305">
            <w:pPr>
              <w:spacing w:line="320" w:lineRule="exact"/>
              <w:jc w:val="center"/>
              <w:rPr>
                <w:rFonts w:ascii="宋体" w:hAnsi="宋体"/>
                <w:sz w:val="24"/>
              </w:rPr>
            </w:pPr>
            <w:r>
              <w:rPr>
                <w:rFonts w:ascii="宋体" w:hAnsi="宋体"/>
                <w:sz w:val="24"/>
              </w:rPr>
              <w:t>（无偏离，正/负偏离）</w:t>
            </w:r>
          </w:p>
          <w:p w14:paraId="0CD2F12D">
            <w:pPr>
              <w:spacing w:line="320" w:lineRule="exact"/>
              <w:jc w:val="center"/>
              <w:rPr>
                <w:rFonts w:ascii="宋体" w:hAnsi="宋体"/>
                <w:sz w:val="24"/>
              </w:rPr>
            </w:pPr>
            <w:r>
              <w:rPr>
                <w:rFonts w:hint="eastAsia" w:ascii="宋体" w:hAnsi="宋体"/>
                <w:sz w:val="24"/>
              </w:rPr>
              <w:t>证明材料页码</w:t>
            </w:r>
          </w:p>
        </w:tc>
      </w:tr>
      <w:tr w14:paraId="572D98A3">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4C54D0A9">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tcPr>
          <w:p w14:paraId="79E1222E">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tcPr>
          <w:p w14:paraId="4C3FCE5C">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tcPr>
          <w:p w14:paraId="743BBDF1">
            <w:pPr>
              <w:spacing w:line="320" w:lineRule="exact"/>
              <w:rPr>
                <w:rFonts w:ascii="宋体" w:hAnsi="宋体"/>
                <w:sz w:val="24"/>
              </w:rPr>
            </w:pPr>
          </w:p>
        </w:tc>
      </w:tr>
      <w:tr w14:paraId="46806B44">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76C3C056">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tcPr>
          <w:p w14:paraId="3ABE783E">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tcPr>
          <w:p w14:paraId="6FBF6D1A">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tcPr>
          <w:p w14:paraId="70D6BE68">
            <w:pPr>
              <w:spacing w:line="320" w:lineRule="exact"/>
              <w:rPr>
                <w:rFonts w:ascii="宋体" w:hAnsi="宋体"/>
                <w:sz w:val="24"/>
              </w:rPr>
            </w:pPr>
          </w:p>
        </w:tc>
      </w:tr>
      <w:tr w14:paraId="059F6CD7">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tcPr>
          <w:p w14:paraId="70127B38">
            <w:pPr>
              <w:spacing w:line="320" w:lineRule="exact"/>
              <w:rPr>
                <w:rFonts w:ascii="宋体" w:hAnsi="宋体"/>
                <w:sz w:val="24"/>
              </w:rPr>
            </w:pPr>
          </w:p>
        </w:tc>
        <w:tc>
          <w:tcPr>
            <w:tcW w:w="3300" w:type="dxa"/>
            <w:tcBorders>
              <w:top w:val="single" w:color="auto" w:sz="4" w:space="0"/>
              <w:left w:val="single" w:color="auto" w:sz="4" w:space="0"/>
              <w:bottom w:val="single" w:color="auto" w:sz="6" w:space="0"/>
              <w:right w:val="single" w:color="auto" w:sz="6" w:space="0"/>
            </w:tcBorders>
            <w:noWrap/>
          </w:tcPr>
          <w:p w14:paraId="4951E777">
            <w:pPr>
              <w:spacing w:line="320" w:lineRule="exact"/>
              <w:rPr>
                <w:rFonts w:ascii="宋体" w:hAnsi="宋体"/>
                <w:sz w:val="24"/>
              </w:rPr>
            </w:pPr>
          </w:p>
        </w:tc>
        <w:tc>
          <w:tcPr>
            <w:tcW w:w="3300" w:type="dxa"/>
            <w:tcBorders>
              <w:top w:val="single" w:color="auto" w:sz="4" w:space="0"/>
              <w:left w:val="single" w:color="auto" w:sz="6" w:space="0"/>
              <w:bottom w:val="single" w:color="auto" w:sz="6" w:space="0"/>
              <w:right w:val="single" w:color="auto" w:sz="6" w:space="0"/>
            </w:tcBorders>
            <w:noWrap/>
          </w:tcPr>
          <w:p w14:paraId="621D83BA">
            <w:pPr>
              <w:spacing w:line="320" w:lineRule="exact"/>
              <w:rPr>
                <w:rFonts w:ascii="宋体" w:hAnsi="宋体"/>
                <w:sz w:val="24"/>
              </w:rPr>
            </w:pPr>
          </w:p>
        </w:tc>
        <w:tc>
          <w:tcPr>
            <w:tcW w:w="2552" w:type="dxa"/>
            <w:tcBorders>
              <w:top w:val="single" w:color="auto" w:sz="4" w:space="0"/>
              <w:left w:val="single" w:color="auto" w:sz="4" w:space="0"/>
              <w:bottom w:val="single" w:color="auto" w:sz="6" w:space="0"/>
              <w:right w:val="single" w:color="auto" w:sz="6" w:space="0"/>
            </w:tcBorders>
            <w:noWrap/>
          </w:tcPr>
          <w:p w14:paraId="4DE6E0E5">
            <w:pPr>
              <w:spacing w:line="320" w:lineRule="exact"/>
              <w:rPr>
                <w:rFonts w:ascii="宋体" w:hAnsi="宋体"/>
                <w:sz w:val="24"/>
              </w:rPr>
            </w:pPr>
          </w:p>
        </w:tc>
      </w:tr>
      <w:tr w14:paraId="33BAF6F0">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0E2B945B">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tcPr>
          <w:p w14:paraId="0A98C1E7">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tcPr>
          <w:p w14:paraId="29B1F03F">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tcPr>
          <w:p w14:paraId="608EE5B3">
            <w:pPr>
              <w:spacing w:line="320" w:lineRule="exact"/>
              <w:rPr>
                <w:rFonts w:ascii="宋体" w:hAnsi="宋体"/>
                <w:sz w:val="24"/>
              </w:rPr>
            </w:pPr>
          </w:p>
        </w:tc>
      </w:tr>
      <w:tr w14:paraId="2D42C9C3">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4D1AC0E1">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tcPr>
          <w:p w14:paraId="4ED76E00">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tcPr>
          <w:p w14:paraId="73ED7274">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tcPr>
          <w:p w14:paraId="3D8A9E0A">
            <w:pPr>
              <w:spacing w:line="320" w:lineRule="exact"/>
              <w:rPr>
                <w:rFonts w:ascii="宋体" w:hAnsi="宋体"/>
                <w:sz w:val="24"/>
              </w:rPr>
            </w:pPr>
          </w:p>
        </w:tc>
      </w:tr>
    </w:tbl>
    <w:p w14:paraId="1D5BB4D1">
      <w:pPr>
        <w:spacing w:line="320" w:lineRule="exact"/>
        <w:outlineLvl w:val="0"/>
        <w:rPr>
          <w:rFonts w:ascii="宋体" w:hAnsi="宋体"/>
          <w:b/>
          <w:sz w:val="24"/>
        </w:rPr>
      </w:pPr>
    </w:p>
    <w:p w14:paraId="30F61022">
      <w:pPr>
        <w:spacing w:line="320" w:lineRule="exact"/>
        <w:outlineLvl w:val="0"/>
        <w:rPr>
          <w:rFonts w:ascii="宋体" w:hAnsi="宋体"/>
          <w:b/>
          <w:sz w:val="24"/>
        </w:rPr>
      </w:pPr>
      <w:r>
        <w:rPr>
          <w:rFonts w:hint="eastAsia" w:ascii="宋体" w:hAnsi="宋体"/>
          <w:b/>
          <w:sz w:val="24"/>
        </w:rPr>
        <w:t>注：1、采购规格按磋商采购文件</w:t>
      </w:r>
      <w:r>
        <w:rPr>
          <w:rFonts w:hint="eastAsia" w:ascii="宋体" w:hAnsi="宋体"/>
          <w:b/>
          <w:sz w:val="24"/>
          <w:lang w:eastAsia="zh-CN"/>
        </w:rPr>
        <w:t>（采购需求清单）</w:t>
      </w:r>
      <w:r>
        <w:rPr>
          <w:rFonts w:hint="eastAsia" w:ascii="宋体" w:hAnsi="宋体"/>
          <w:b/>
          <w:sz w:val="24"/>
        </w:rPr>
        <w:t>要求填写。</w:t>
      </w:r>
    </w:p>
    <w:p w14:paraId="7FDE8C0E">
      <w:pPr>
        <w:numPr>
          <w:ilvl w:val="0"/>
          <w:numId w:val="1"/>
        </w:numPr>
        <w:spacing w:line="320" w:lineRule="exact"/>
        <w:ind w:firstLine="482" w:firstLineChars="200"/>
        <w:outlineLvl w:val="0"/>
        <w:rPr>
          <w:rFonts w:ascii="宋体" w:hAnsi="宋体"/>
          <w:b/>
          <w:sz w:val="24"/>
        </w:rPr>
      </w:pPr>
      <w:r>
        <w:rPr>
          <w:rFonts w:hint="eastAsia" w:ascii="宋体" w:hAnsi="宋体"/>
          <w:b/>
          <w:bCs/>
          <w:sz w:val="24"/>
        </w:rPr>
        <w:t>响应规格按所投产品规格填写</w:t>
      </w:r>
      <w:r>
        <w:rPr>
          <w:rFonts w:hint="eastAsia" w:ascii="宋体" w:hAnsi="宋体"/>
          <w:b/>
          <w:sz w:val="24"/>
        </w:rPr>
        <w:t>。不接受有选择性的参数。</w:t>
      </w:r>
    </w:p>
    <w:p w14:paraId="1E8CD461">
      <w:pPr>
        <w:spacing w:line="320" w:lineRule="exact"/>
        <w:jc w:val="left"/>
        <w:outlineLvl w:val="0"/>
        <w:rPr>
          <w:rFonts w:ascii="宋体" w:hAnsi="宋体"/>
          <w:b/>
          <w:sz w:val="24"/>
        </w:rPr>
      </w:pPr>
    </w:p>
    <w:p w14:paraId="39CF6879">
      <w:pPr>
        <w:spacing w:line="320" w:lineRule="exact"/>
        <w:ind w:left="420" w:leftChars="200"/>
        <w:jc w:val="left"/>
        <w:outlineLvl w:val="0"/>
        <w:rPr>
          <w:rFonts w:ascii="宋体" w:hAnsi="宋体"/>
          <w:b/>
          <w:sz w:val="24"/>
        </w:rPr>
      </w:pPr>
      <w:r>
        <w:rPr>
          <w:rFonts w:hint="eastAsia" w:ascii="宋体" w:hAnsi="宋体"/>
          <w:b/>
          <w:sz w:val="24"/>
        </w:rPr>
        <w:t xml:space="preserve"> 供应商代表签名：</w:t>
      </w:r>
    </w:p>
    <w:p w14:paraId="21A4CD68">
      <w:pPr>
        <w:spacing w:line="360" w:lineRule="exact"/>
        <w:rPr>
          <w:rFonts w:ascii="宋体" w:hAnsi="宋体"/>
          <w:sz w:val="24"/>
        </w:rPr>
      </w:pPr>
    </w:p>
    <w:p w14:paraId="569D3FEA">
      <w:pPr>
        <w:spacing w:line="360" w:lineRule="exact"/>
        <w:outlineLvl w:val="0"/>
        <w:rPr>
          <w:rFonts w:ascii="宋体" w:hAnsi="宋体"/>
          <w:b/>
          <w:sz w:val="24"/>
        </w:rPr>
      </w:pPr>
    </w:p>
    <w:p w14:paraId="7A978F2F">
      <w:pPr>
        <w:spacing w:line="360" w:lineRule="exact"/>
        <w:outlineLvl w:val="0"/>
        <w:rPr>
          <w:rFonts w:ascii="宋体" w:hAnsi="宋体"/>
          <w:b/>
          <w:sz w:val="24"/>
        </w:rPr>
      </w:pPr>
    </w:p>
    <w:p w14:paraId="561EDCF0">
      <w:pPr>
        <w:spacing w:line="360" w:lineRule="exact"/>
        <w:outlineLvl w:val="0"/>
        <w:rPr>
          <w:rFonts w:ascii="宋体" w:hAnsi="宋体"/>
          <w:b/>
          <w:sz w:val="24"/>
        </w:rPr>
      </w:pPr>
    </w:p>
    <w:p w14:paraId="4699AD64">
      <w:pPr>
        <w:spacing w:line="360" w:lineRule="exact"/>
        <w:outlineLvl w:val="0"/>
        <w:rPr>
          <w:rFonts w:ascii="宋体" w:hAnsi="宋体"/>
          <w:b/>
          <w:sz w:val="24"/>
        </w:rPr>
      </w:pPr>
    </w:p>
    <w:p w14:paraId="230218E3">
      <w:pPr>
        <w:spacing w:line="360" w:lineRule="exact"/>
        <w:outlineLvl w:val="0"/>
        <w:rPr>
          <w:rFonts w:ascii="宋体" w:hAnsi="宋体"/>
          <w:b/>
          <w:sz w:val="24"/>
        </w:rPr>
      </w:pPr>
      <w:r>
        <w:rPr>
          <w:rFonts w:hint="eastAsia" w:ascii="宋体" w:hAnsi="宋体"/>
          <w:b/>
          <w:sz w:val="24"/>
        </w:rPr>
        <w:t>附件4</w:t>
      </w:r>
    </w:p>
    <w:p w14:paraId="1C13EA12">
      <w:pPr>
        <w:spacing w:line="360" w:lineRule="exact"/>
        <w:outlineLvl w:val="0"/>
        <w:rPr>
          <w:rFonts w:ascii="宋体" w:hAnsi="宋体"/>
          <w:b/>
          <w:sz w:val="24"/>
        </w:rPr>
      </w:pPr>
    </w:p>
    <w:p w14:paraId="3594DDC0">
      <w:pPr>
        <w:spacing w:line="360" w:lineRule="exact"/>
        <w:jc w:val="center"/>
        <w:rPr>
          <w:rFonts w:ascii="宋体" w:hAnsi="宋体"/>
          <w:b/>
          <w:sz w:val="24"/>
        </w:rPr>
      </w:pPr>
      <w:r>
        <w:rPr>
          <w:rFonts w:hint="eastAsia" w:ascii="宋体" w:hAnsi="宋体"/>
          <w:b/>
          <w:sz w:val="24"/>
        </w:rPr>
        <w:t>服务计划</w:t>
      </w:r>
    </w:p>
    <w:p w14:paraId="00AA431D">
      <w:pPr>
        <w:spacing w:line="360" w:lineRule="exact"/>
        <w:jc w:val="center"/>
        <w:rPr>
          <w:rFonts w:ascii="宋体" w:hAnsi="宋体"/>
          <w:b/>
          <w:sz w:val="24"/>
        </w:rPr>
      </w:pPr>
    </w:p>
    <w:p w14:paraId="0225372E">
      <w:pPr>
        <w:spacing w:before="240" w:line="360" w:lineRule="exact"/>
        <w:ind w:firstLine="480" w:firstLineChars="200"/>
        <w:rPr>
          <w:rFonts w:ascii="宋体" w:hAnsi="宋体"/>
          <w:sz w:val="24"/>
        </w:rPr>
      </w:pPr>
      <w:r>
        <w:rPr>
          <w:rFonts w:hint="eastAsia" w:ascii="宋体" w:hAnsi="宋体"/>
          <w:sz w:val="24"/>
        </w:rPr>
        <w:t xml:space="preserve">                             （自拟）</w:t>
      </w:r>
    </w:p>
    <w:p w14:paraId="69927975">
      <w:pPr>
        <w:spacing w:line="360" w:lineRule="exact"/>
        <w:rPr>
          <w:rFonts w:ascii="宋体" w:hAnsi="宋体"/>
          <w:sz w:val="24"/>
        </w:rPr>
      </w:pPr>
    </w:p>
    <w:p w14:paraId="077AB4F8">
      <w:pPr>
        <w:spacing w:line="360" w:lineRule="exact"/>
        <w:rPr>
          <w:rFonts w:ascii="宋体" w:hAnsi="宋体"/>
          <w:sz w:val="24"/>
        </w:rPr>
      </w:pPr>
      <w:r>
        <w:rPr>
          <w:rFonts w:ascii="宋体" w:hAnsi="宋体"/>
          <w:sz w:val="24"/>
        </w:rPr>
        <w:br w:type="page"/>
      </w:r>
    </w:p>
    <w:p w14:paraId="57991389">
      <w:pPr>
        <w:pStyle w:val="4"/>
        <w:rPr>
          <w:rFonts w:ascii="宋体" w:hAnsi="宋体" w:eastAsia="宋体"/>
          <w:b w:val="0"/>
          <w:szCs w:val="24"/>
        </w:rPr>
      </w:pPr>
      <w:bookmarkStart w:id="58" w:name="_Toc520356224"/>
      <w:bookmarkStart w:id="59" w:name="_Ref467988543"/>
      <w:bookmarkStart w:id="60" w:name="_Toc480942355"/>
      <w:bookmarkStart w:id="61" w:name="_Toc183588702"/>
      <w:r>
        <w:rPr>
          <w:rFonts w:hint="eastAsia" w:ascii="宋体" w:hAnsi="宋体" w:eastAsia="宋体"/>
          <w:b w:val="0"/>
          <w:szCs w:val="24"/>
        </w:rPr>
        <w:t>附件6 资格证明文件（格式</w:t>
      </w:r>
      <w:bookmarkEnd w:id="58"/>
      <w:bookmarkEnd w:id="59"/>
      <w:bookmarkEnd w:id="60"/>
      <w:r>
        <w:rPr>
          <w:rFonts w:hint="eastAsia" w:ascii="宋体" w:hAnsi="宋体" w:eastAsia="宋体"/>
          <w:b w:val="0"/>
          <w:szCs w:val="24"/>
        </w:rPr>
        <w:t>）</w:t>
      </w:r>
      <w:bookmarkEnd w:id="61"/>
      <w:r>
        <w:rPr>
          <w:rFonts w:ascii="宋体" w:hAnsi="宋体" w:eastAsia="宋体"/>
          <w:b w:val="0"/>
          <w:szCs w:val="24"/>
        </w:rPr>
        <w:cr/>
      </w:r>
    </w:p>
    <w:p w14:paraId="2B10D7C0">
      <w:pPr>
        <w:pStyle w:val="20"/>
        <w:tabs>
          <w:tab w:val="left" w:pos="5160"/>
        </w:tabs>
        <w:ind w:left="2820" w:firstLine="241"/>
        <w:rPr>
          <w:rFonts w:hAnsi="宋体"/>
          <w:szCs w:val="24"/>
        </w:rPr>
      </w:pPr>
      <w:r>
        <w:rPr>
          <w:rFonts w:hint="eastAsia" w:hAnsi="宋体"/>
          <w:szCs w:val="24"/>
        </w:rPr>
        <w:t>目     录</w:t>
      </w:r>
      <w:r>
        <w:rPr>
          <w:rFonts w:hAnsi="宋体"/>
          <w:szCs w:val="24"/>
        </w:rPr>
        <w:tab/>
      </w:r>
    </w:p>
    <w:p w14:paraId="7D110C42">
      <w:pPr>
        <w:pStyle w:val="20"/>
        <w:tabs>
          <w:tab w:val="left" w:pos="5160"/>
        </w:tabs>
        <w:ind w:left="2820" w:firstLine="241"/>
        <w:rPr>
          <w:rFonts w:hAnsi="宋体"/>
          <w:szCs w:val="24"/>
        </w:rPr>
      </w:pPr>
    </w:p>
    <w:p w14:paraId="7D2E1BC8">
      <w:pPr>
        <w:spacing w:line="360" w:lineRule="auto"/>
        <w:rPr>
          <w:rFonts w:ascii="宋体" w:hAnsi="宋体"/>
          <w:bCs/>
          <w:sz w:val="24"/>
        </w:rPr>
      </w:pPr>
      <w:r>
        <w:rPr>
          <w:rFonts w:hint="eastAsia" w:ascii="宋体" w:hAnsi="宋体"/>
          <w:sz w:val="24"/>
        </w:rPr>
        <w:t xml:space="preserve">6.1 </w:t>
      </w:r>
      <w:r>
        <w:rPr>
          <w:rFonts w:hint="eastAsia" w:ascii="宋体" w:hAnsi="宋体"/>
          <w:bCs/>
          <w:sz w:val="24"/>
        </w:rPr>
        <w:t>法人营业执照的复印件（须加盖本单位公章）</w:t>
      </w:r>
    </w:p>
    <w:p w14:paraId="60528572">
      <w:pPr>
        <w:spacing w:line="360" w:lineRule="auto"/>
        <w:rPr>
          <w:rFonts w:ascii="宋体" w:hAnsi="宋体"/>
          <w:bCs/>
          <w:sz w:val="24"/>
        </w:rPr>
      </w:pPr>
      <w:r>
        <w:rPr>
          <w:rFonts w:hint="eastAsia" w:ascii="宋体" w:hAnsi="宋体"/>
          <w:bCs/>
          <w:sz w:val="24"/>
        </w:rPr>
        <w:t>6.2法定代表人授权书（格式）</w:t>
      </w:r>
    </w:p>
    <w:p w14:paraId="2753761C">
      <w:pPr>
        <w:spacing w:line="360" w:lineRule="auto"/>
        <w:rPr>
          <w:rFonts w:ascii="宋体" w:hAnsi="宋体"/>
          <w:bCs/>
          <w:sz w:val="24"/>
        </w:rPr>
      </w:pPr>
      <w:r>
        <w:rPr>
          <w:rFonts w:hint="eastAsia" w:ascii="宋体" w:hAnsi="宋体"/>
          <w:bCs/>
          <w:sz w:val="24"/>
        </w:rPr>
        <w:t>6.3供应商的基本情况 （格式）</w:t>
      </w:r>
    </w:p>
    <w:p w14:paraId="72743AC5">
      <w:pPr>
        <w:spacing w:line="360" w:lineRule="auto"/>
        <w:rPr>
          <w:rFonts w:ascii="宋体" w:hAnsi="宋体"/>
          <w:bCs/>
          <w:sz w:val="24"/>
        </w:rPr>
      </w:pPr>
      <w:r>
        <w:rPr>
          <w:rFonts w:hint="eastAsia" w:ascii="宋体" w:hAnsi="宋体"/>
          <w:bCs/>
          <w:sz w:val="24"/>
        </w:rPr>
        <w:t>6.4具有良好的商业信誉和健全的财务会计制度（提供承诺函加盖公章）</w:t>
      </w:r>
    </w:p>
    <w:p w14:paraId="4683890F">
      <w:pPr>
        <w:spacing w:line="360" w:lineRule="auto"/>
        <w:rPr>
          <w:rFonts w:ascii="宋体" w:hAnsi="宋体"/>
          <w:bCs/>
          <w:sz w:val="24"/>
        </w:rPr>
      </w:pPr>
      <w:r>
        <w:rPr>
          <w:rFonts w:hint="eastAsia" w:ascii="宋体" w:hAnsi="宋体"/>
          <w:bCs/>
          <w:sz w:val="24"/>
        </w:rPr>
        <w:t>6.5</w:t>
      </w:r>
      <w:r>
        <w:rPr>
          <w:rFonts w:ascii="宋体" w:hAnsi="宋体"/>
          <w:bCs/>
          <w:sz w:val="24"/>
        </w:rPr>
        <w:t>具有履行合同所必需的设备和专业技术能力</w:t>
      </w:r>
      <w:r>
        <w:rPr>
          <w:rFonts w:hint="eastAsia" w:ascii="宋体" w:hAnsi="宋体"/>
          <w:bCs/>
          <w:sz w:val="24"/>
        </w:rPr>
        <w:t>(提供</w:t>
      </w:r>
      <w:r>
        <w:rPr>
          <w:rFonts w:ascii="宋体" w:hAnsi="宋体"/>
          <w:bCs/>
          <w:sz w:val="24"/>
        </w:rPr>
        <w:t>承诺书</w:t>
      </w:r>
      <w:r>
        <w:rPr>
          <w:rFonts w:hint="eastAsia" w:ascii="宋体" w:hAnsi="宋体"/>
          <w:bCs/>
          <w:sz w:val="24"/>
          <w:lang w:eastAsia="zh-CN"/>
        </w:rPr>
        <w:t>加盖公章</w:t>
      </w:r>
      <w:r>
        <w:rPr>
          <w:rFonts w:hint="eastAsia" w:ascii="宋体" w:hAnsi="宋体"/>
          <w:bCs/>
          <w:sz w:val="24"/>
        </w:rPr>
        <w:t>)</w:t>
      </w:r>
    </w:p>
    <w:p w14:paraId="7B3E45E0">
      <w:pPr>
        <w:spacing w:line="360" w:lineRule="auto"/>
        <w:rPr>
          <w:rFonts w:ascii="宋体" w:hAnsi="宋体"/>
          <w:bCs/>
          <w:sz w:val="24"/>
        </w:rPr>
      </w:pPr>
      <w:r>
        <w:rPr>
          <w:rFonts w:hint="eastAsia" w:ascii="宋体" w:hAnsi="宋体"/>
          <w:bCs/>
          <w:sz w:val="24"/>
        </w:rPr>
        <w:t>6.6有依法缴纳税收和社会保障资金的良好记录（提供承诺函加盖公章）</w:t>
      </w:r>
    </w:p>
    <w:p w14:paraId="2B46EDC4">
      <w:pPr>
        <w:spacing w:line="360" w:lineRule="auto"/>
        <w:rPr>
          <w:rFonts w:ascii="宋体" w:hAnsi="宋体"/>
          <w:bCs/>
          <w:sz w:val="24"/>
        </w:rPr>
      </w:pPr>
      <w:r>
        <w:rPr>
          <w:rFonts w:hint="eastAsia" w:ascii="宋体" w:hAnsi="宋体"/>
          <w:bCs/>
          <w:sz w:val="24"/>
        </w:rPr>
        <w:t>6.7供应商参加政府采购活动近三年内，在经营活动中没有重大事故、违法记录的声明</w:t>
      </w:r>
    </w:p>
    <w:p w14:paraId="3AF97448">
      <w:pPr>
        <w:spacing w:line="360" w:lineRule="auto"/>
        <w:rPr>
          <w:rFonts w:ascii="宋体" w:hAnsi="宋体"/>
          <w:bCs/>
          <w:sz w:val="24"/>
        </w:rPr>
      </w:pPr>
      <w:r>
        <w:rPr>
          <w:rFonts w:hint="eastAsia" w:ascii="宋体" w:hAnsi="宋体"/>
          <w:bCs/>
          <w:sz w:val="24"/>
        </w:rPr>
        <w:t>6.8供应商参加政府采购活动前三年内，在经营活动中没有环保类行政处罚记录</w:t>
      </w:r>
    </w:p>
    <w:p w14:paraId="0713E991">
      <w:pPr>
        <w:spacing w:line="360" w:lineRule="auto"/>
        <w:rPr>
          <w:rFonts w:ascii="宋体" w:hAnsi="宋体"/>
          <w:b/>
          <w:bCs/>
          <w:sz w:val="24"/>
        </w:rPr>
      </w:pPr>
      <w:r>
        <w:rPr>
          <w:rFonts w:hint="eastAsia" w:ascii="宋体" w:hAnsi="宋体"/>
          <w:b/>
          <w:bCs/>
          <w:sz w:val="24"/>
        </w:rPr>
        <w:t>6.</w:t>
      </w:r>
      <w:r>
        <w:rPr>
          <w:rFonts w:hint="eastAsia" w:ascii="宋体" w:hAnsi="宋体"/>
          <w:b/>
          <w:bCs/>
          <w:sz w:val="24"/>
          <w:lang w:val="en-US" w:eastAsia="zh-CN"/>
        </w:rPr>
        <w:t>9</w:t>
      </w:r>
      <w:r>
        <w:rPr>
          <w:rFonts w:hint="eastAsia" w:ascii="宋体" w:hAnsi="宋体"/>
          <w:b/>
          <w:bCs/>
          <w:sz w:val="24"/>
        </w:rPr>
        <w:t>其他资格证明文件</w:t>
      </w:r>
    </w:p>
    <w:p w14:paraId="64445B15">
      <w:pPr>
        <w:spacing w:line="380" w:lineRule="exact"/>
        <w:rPr>
          <w:rFonts w:ascii="宋体" w:hAnsi="宋体" w:cs="宋体"/>
          <w:bCs/>
          <w:sz w:val="24"/>
        </w:rPr>
      </w:pPr>
    </w:p>
    <w:p w14:paraId="3F1C6A50">
      <w:pPr>
        <w:spacing w:line="360" w:lineRule="exact"/>
        <w:rPr>
          <w:rFonts w:ascii="宋体" w:hAnsi="宋体"/>
          <w:sz w:val="24"/>
          <w:u w:val="single"/>
        </w:rPr>
      </w:pPr>
    </w:p>
    <w:p w14:paraId="15318DDC">
      <w:pPr>
        <w:spacing w:line="360" w:lineRule="exact"/>
        <w:ind w:firstLine="5640" w:firstLineChars="2350"/>
        <w:rPr>
          <w:rFonts w:ascii="宋体" w:hAnsi="宋体"/>
          <w:sz w:val="24"/>
          <w:u w:val="single"/>
        </w:rPr>
      </w:pPr>
    </w:p>
    <w:p w14:paraId="3DC26D24">
      <w:pPr>
        <w:pStyle w:val="4"/>
        <w:keepNext w:val="0"/>
        <w:pageBreakBefore/>
        <w:rPr>
          <w:rFonts w:ascii="宋体" w:hAnsi="宋体" w:eastAsia="宋体"/>
          <w:szCs w:val="24"/>
        </w:rPr>
      </w:pPr>
      <w:bookmarkStart w:id="62" w:name="_Toc183588703"/>
      <w:r>
        <w:rPr>
          <w:rFonts w:hint="eastAsia" w:ascii="宋体" w:hAnsi="宋体" w:eastAsia="宋体"/>
          <w:szCs w:val="24"/>
        </w:rPr>
        <w:t>附件6.1</w:t>
      </w:r>
      <w:bookmarkStart w:id="63" w:name="_Hlt520274911"/>
      <w:bookmarkEnd w:id="63"/>
      <w:r>
        <w:rPr>
          <w:rFonts w:hint="eastAsia" w:ascii="宋体" w:hAnsi="宋体" w:eastAsia="宋体"/>
          <w:szCs w:val="24"/>
        </w:rPr>
        <w:t xml:space="preserve">  法人营业执照的复印件</w:t>
      </w:r>
      <w:bookmarkEnd w:id="62"/>
    </w:p>
    <w:p w14:paraId="1E626030">
      <w:pPr>
        <w:pStyle w:val="20"/>
        <w:tabs>
          <w:tab w:val="left" w:pos="5580"/>
        </w:tabs>
        <w:jc w:val="center"/>
        <w:rPr>
          <w:rFonts w:hAnsi="宋体"/>
          <w:b/>
          <w:szCs w:val="24"/>
        </w:rPr>
      </w:pPr>
    </w:p>
    <w:p w14:paraId="243E33C4">
      <w:pPr>
        <w:pStyle w:val="20"/>
        <w:jc w:val="center"/>
        <w:rPr>
          <w:rFonts w:hAnsi="宋体"/>
          <w:szCs w:val="24"/>
        </w:rPr>
      </w:pPr>
      <w:r>
        <w:rPr>
          <w:rFonts w:hint="eastAsia" w:hAnsi="宋体"/>
          <w:szCs w:val="24"/>
        </w:rPr>
        <w:t>提供工商年检合格的营业执照副本复印件</w:t>
      </w:r>
    </w:p>
    <w:p w14:paraId="25209F66">
      <w:pPr>
        <w:pStyle w:val="20"/>
        <w:tabs>
          <w:tab w:val="left" w:pos="5580"/>
        </w:tabs>
        <w:jc w:val="center"/>
        <w:rPr>
          <w:rFonts w:hAnsi="宋体"/>
          <w:b/>
          <w:szCs w:val="24"/>
        </w:rPr>
      </w:pPr>
    </w:p>
    <w:p w14:paraId="1F7D31E6">
      <w:pPr>
        <w:pStyle w:val="20"/>
        <w:tabs>
          <w:tab w:val="left" w:pos="5580"/>
        </w:tabs>
        <w:jc w:val="center"/>
        <w:rPr>
          <w:rFonts w:hAnsi="宋体"/>
          <w:b/>
          <w:szCs w:val="24"/>
        </w:rPr>
      </w:pPr>
      <w:r>
        <w:rPr>
          <w:rFonts w:hint="eastAsia" w:hAnsi="宋体"/>
          <w:b/>
          <w:szCs w:val="24"/>
        </w:rPr>
        <w:t>（须加盖本单位公章）</w:t>
      </w:r>
    </w:p>
    <w:p w14:paraId="5D7F58C2">
      <w:pPr>
        <w:jc w:val="center"/>
        <w:rPr>
          <w:rFonts w:ascii="宋体" w:hAnsi="宋体"/>
          <w:b/>
          <w:bCs/>
          <w:sz w:val="24"/>
        </w:rPr>
      </w:pPr>
    </w:p>
    <w:p w14:paraId="52AF85E3">
      <w:pPr>
        <w:jc w:val="center"/>
        <w:rPr>
          <w:rFonts w:ascii="宋体" w:hAnsi="宋体"/>
          <w:b/>
          <w:bCs/>
          <w:sz w:val="24"/>
        </w:rPr>
      </w:pPr>
    </w:p>
    <w:p w14:paraId="4C3036C6">
      <w:pPr>
        <w:rPr>
          <w:rFonts w:ascii="宋体" w:hAnsi="宋体"/>
          <w:b/>
          <w:bCs/>
          <w:sz w:val="24"/>
        </w:rPr>
      </w:pPr>
    </w:p>
    <w:p w14:paraId="07F57BA2">
      <w:pPr>
        <w:pStyle w:val="4"/>
        <w:keepNext w:val="0"/>
        <w:keepLines w:val="0"/>
        <w:spacing w:line="415" w:lineRule="auto"/>
        <w:rPr>
          <w:rFonts w:ascii="宋体" w:hAnsi="宋体" w:eastAsia="宋体"/>
          <w:szCs w:val="24"/>
        </w:rPr>
      </w:pPr>
      <w:bookmarkStart w:id="64" w:name="_Toc183588706"/>
      <w:bookmarkStart w:id="65" w:name="_Ref467988485"/>
      <w:bookmarkStart w:id="66" w:name="_Ref467990064"/>
      <w:bookmarkStart w:id="67" w:name="_Toc520356229"/>
      <w:bookmarkStart w:id="68" w:name="_Toc520356228"/>
      <w:bookmarkStart w:id="69" w:name="_Ref467990101"/>
      <w:bookmarkStart w:id="70" w:name="_Ref467990058"/>
      <w:bookmarkStart w:id="71" w:name="_Toc480942358"/>
      <w:bookmarkStart w:id="72" w:name="_Ref467990100"/>
      <w:bookmarkStart w:id="73" w:name="_Ref467988471"/>
      <w:bookmarkStart w:id="74" w:name="_Toc520125062"/>
      <w:bookmarkStart w:id="75" w:name="_Toc520125061"/>
      <w:bookmarkStart w:id="76" w:name="_Ref467988479"/>
      <w:bookmarkStart w:id="77" w:name="_Toc480942357"/>
      <w:r>
        <w:rPr>
          <w:rFonts w:hint="eastAsia" w:ascii="宋体" w:hAnsi="宋体" w:eastAsia="宋体"/>
          <w:szCs w:val="24"/>
        </w:rPr>
        <w:t>附件6.2          法定代表人授权书</w:t>
      </w:r>
      <w:bookmarkEnd w:id="64"/>
    </w:p>
    <w:p w14:paraId="08AD1366">
      <w:pPr>
        <w:pStyle w:val="5"/>
        <w:ind w:firstLine="480"/>
        <w:rPr>
          <w:rFonts w:hAnsi="宋体"/>
        </w:rPr>
      </w:pPr>
    </w:p>
    <w:p w14:paraId="5E38DDAD">
      <w:pPr>
        <w:pStyle w:val="20"/>
        <w:rPr>
          <w:rFonts w:hAnsi="宋体"/>
          <w:szCs w:val="24"/>
        </w:rPr>
      </w:pPr>
      <w:r>
        <w:rPr>
          <w:rFonts w:hint="eastAsia" w:hAnsi="宋体"/>
          <w:szCs w:val="24"/>
        </w:rPr>
        <w:t xml:space="preserve">    本授权书声明：注册于</w:t>
      </w:r>
      <w:r>
        <w:rPr>
          <w:rFonts w:hint="eastAsia" w:hAnsi="宋体"/>
          <w:szCs w:val="24"/>
          <w:u w:val="single"/>
        </w:rPr>
        <w:t>（国家或地区的名称）</w:t>
      </w:r>
      <w:r>
        <w:rPr>
          <w:rFonts w:hint="eastAsia" w:hAnsi="宋体"/>
          <w:szCs w:val="24"/>
        </w:rPr>
        <w:t>的（</w:t>
      </w:r>
      <w:r>
        <w:rPr>
          <w:rFonts w:hint="eastAsia" w:hAnsi="宋体"/>
          <w:i/>
          <w:szCs w:val="24"/>
          <w:u w:val="single"/>
        </w:rPr>
        <w:t>公司名称</w:t>
      </w:r>
      <w:r>
        <w:rPr>
          <w:rFonts w:hint="eastAsia" w:hAnsi="宋体"/>
          <w:szCs w:val="24"/>
        </w:rPr>
        <w:t>）的在下面签字的（</w:t>
      </w:r>
      <w:r>
        <w:rPr>
          <w:rFonts w:hint="eastAsia" w:hAnsi="宋体"/>
          <w:i/>
          <w:szCs w:val="24"/>
          <w:u w:val="single"/>
        </w:rPr>
        <w:t>法人代表姓名、职务</w:t>
      </w:r>
      <w:r>
        <w:rPr>
          <w:rFonts w:hint="eastAsia" w:hAnsi="宋体"/>
          <w:szCs w:val="24"/>
        </w:rPr>
        <w:t>）代表本公司授权（</w:t>
      </w:r>
      <w:r>
        <w:rPr>
          <w:rFonts w:hint="eastAsia" w:hAnsi="宋体"/>
          <w:i/>
          <w:szCs w:val="24"/>
          <w:u w:val="single"/>
        </w:rPr>
        <w:t>单位名称</w:t>
      </w:r>
      <w:r>
        <w:rPr>
          <w:rFonts w:hint="eastAsia" w:hAnsi="宋体"/>
          <w:szCs w:val="24"/>
        </w:rPr>
        <w:t>）的在下面签字的（</w:t>
      </w:r>
      <w:r>
        <w:rPr>
          <w:rFonts w:hint="eastAsia" w:hAnsi="宋体"/>
          <w:i/>
          <w:szCs w:val="24"/>
          <w:u w:val="single"/>
        </w:rPr>
        <w:t>被授权人的姓名、职务</w:t>
      </w:r>
      <w:r>
        <w:rPr>
          <w:rFonts w:hint="eastAsia" w:hAnsi="宋体"/>
          <w:szCs w:val="24"/>
        </w:rPr>
        <w:t>）为本公司的合法代理人，就（</w:t>
      </w:r>
      <w:r>
        <w:rPr>
          <w:rFonts w:hint="eastAsia" w:hAnsi="宋体"/>
          <w:i/>
          <w:szCs w:val="24"/>
          <w:u w:val="single"/>
        </w:rPr>
        <w:t>项目名称</w:t>
      </w:r>
      <w:r>
        <w:rPr>
          <w:rFonts w:hint="eastAsia" w:hAnsi="宋体"/>
          <w:szCs w:val="24"/>
        </w:rPr>
        <w:t>）的投标，以本公司名义处理一切与之有关的事务。</w:t>
      </w:r>
      <w:r>
        <w:rPr>
          <w:rFonts w:hint="eastAsia" w:hAnsi="宋体"/>
          <w:szCs w:val="24"/>
        </w:rPr>
        <w:cr/>
      </w:r>
      <w:r>
        <w:rPr>
          <w:rFonts w:hint="eastAsia" w:hAnsi="宋体"/>
          <w:szCs w:val="24"/>
        </w:rPr>
        <w:t>　　</w:t>
      </w:r>
    </w:p>
    <w:p w14:paraId="524A3966">
      <w:pPr>
        <w:pStyle w:val="20"/>
        <w:tabs>
          <w:tab w:val="left" w:pos="5580"/>
        </w:tabs>
        <w:ind w:firstLine="480"/>
        <w:rPr>
          <w:rFonts w:hAnsi="宋体"/>
          <w:szCs w:val="24"/>
        </w:rPr>
      </w:pPr>
      <w:r>
        <w:rPr>
          <w:rFonts w:hint="eastAsia" w:hAnsi="宋体"/>
          <w:szCs w:val="24"/>
        </w:rPr>
        <w:t>本授权书于__________年_____月______日签字生效,特此声明。</w:t>
      </w:r>
      <w:r>
        <w:rPr>
          <w:rFonts w:hint="eastAsia" w:hAnsi="宋体"/>
          <w:szCs w:val="24"/>
        </w:rPr>
        <w:cr/>
      </w:r>
      <w:r>
        <w:rPr>
          <w:rFonts w:hint="eastAsia" w:hAnsi="宋体"/>
          <w:szCs w:val="24"/>
        </w:rPr>
        <w:t>法定代表人签字或盖章_______________________________</w:t>
      </w:r>
    </w:p>
    <w:p w14:paraId="3AF934A0">
      <w:pPr>
        <w:pStyle w:val="20"/>
        <w:tabs>
          <w:tab w:val="left" w:pos="5580"/>
        </w:tabs>
        <w:rPr>
          <w:rFonts w:hAnsi="宋体"/>
          <w:szCs w:val="24"/>
        </w:rPr>
      </w:pPr>
      <w:r>
        <w:rPr>
          <w:rFonts w:hint="eastAsia" w:hAnsi="宋体"/>
          <w:szCs w:val="24"/>
        </w:rPr>
        <w:cr/>
      </w:r>
      <w:r>
        <w:rPr>
          <w:rFonts w:hint="eastAsia" w:hAnsi="宋体"/>
          <w:szCs w:val="24"/>
        </w:rPr>
        <w:t>被授权人签字_______________________________</w:t>
      </w:r>
    </w:p>
    <w:p w14:paraId="544E9AF6">
      <w:pPr>
        <w:pStyle w:val="20"/>
        <w:tabs>
          <w:tab w:val="left" w:pos="5580"/>
        </w:tabs>
        <w:rPr>
          <w:rFonts w:hAnsi="宋体"/>
          <w:szCs w:val="24"/>
        </w:rPr>
      </w:pPr>
      <w:r>
        <w:rPr>
          <w:rFonts w:hint="eastAsia" w:hAnsi="宋体"/>
          <w:szCs w:val="24"/>
        </w:rPr>
        <w:t xml:space="preserve">公司盖章：                                 </w:t>
      </w:r>
    </w:p>
    <w:p w14:paraId="2BEE3DAD">
      <w:pPr>
        <w:pStyle w:val="20"/>
        <w:tabs>
          <w:tab w:val="left" w:pos="5580"/>
        </w:tabs>
        <w:rPr>
          <w:rFonts w:hAnsi="宋体"/>
          <w:szCs w:val="24"/>
        </w:rPr>
      </w:pPr>
      <w:r>
        <w:rPr>
          <w:rFonts w:hint="eastAsia" w:hAnsi="宋体"/>
          <w:szCs w:val="24"/>
        </w:rPr>
        <w:t>附：</w:t>
      </w:r>
    </w:p>
    <w:p w14:paraId="53718EC6">
      <w:pPr>
        <w:pStyle w:val="20"/>
        <w:tabs>
          <w:tab w:val="left" w:pos="5580"/>
        </w:tabs>
        <w:rPr>
          <w:rFonts w:hAnsi="宋体"/>
          <w:szCs w:val="24"/>
        </w:rPr>
      </w:pPr>
      <w:r>
        <w:rPr>
          <w:rFonts w:hint="eastAsia" w:hAnsi="宋体"/>
          <w:szCs w:val="24"/>
        </w:rPr>
        <w:t>被授权人姓名：</w:t>
      </w:r>
    </w:p>
    <w:p w14:paraId="36BCE97F">
      <w:pPr>
        <w:pStyle w:val="20"/>
        <w:tabs>
          <w:tab w:val="left" w:pos="5580"/>
        </w:tabs>
        <w:rPr>
          <w:rFonts w:hAnsi="宋体"/>
          <w:szCs w:val="24"/>
        </w:rPr>
      </w:pPr>
      <w:r>
        <w:rPr>
          <w:rFonts w:hint="eastAsia" w:hAnsi="宋体"/>
          <w:szCs w:val="24"/>
        </w:rPr>
        <w:t>职　　　　务：</w:t>
      </w:r>
    </w:p>
    <w:p w14:paraId="1AC7BC79">
      <w:pPr>
        <w:pStyle w:val="20"/>
        <w:tabs>
          <w:tab w:val="left" w:pos="5580"/>
        </w:tabs>
        <w:rPr>
          <w:rFonts w:hAnsi="宋体"/>
          <w:szCs w:val="24"/>
        </w:rPr>
      </w:pPr>
      <w:r>
        <w:rPr>
          <w:rFonts w:hint="eastAsia" w:hAnsi="宋体"/>
          <w:szCs w:val="24"/>
        </w:rPr>
        <w:t>详细通讯地址：</w:t>
      </w:r>
    </w:p>
    <w:p w14:paraId="0DE0B981">
      <w:pPr>
        <w:pStyle w:val="20"/>
        <w:tabs>
          <w:tab w:val="left" w:pos="5580"/>
        </w:tabs>
        <w:rPr>
          <w:rFonts w:hAnsi="宋体"/>
          <w:szCs w:val="24"/>
        </w:rPr>
      </w:pPr>
      <w:r>
        <w:rPr>
          <w:rFonts w:hint="eastAsia" w:hAnsi="宋体"/>
          <w:szCs w:val="24"/>
        </w:rPr>
        <w:t>邮政编码　　：</w:t>
      </w:r>
    </w:p>
    <w:p w14:paraId="621C8538">
      <w:pPr>
        <w:pStyle w:val="20"/>
        <w:tabs>
          <w:tab w:val="left" w:pos="5580"/>
        </w:tabs>
        <w:rPr>
          <w:rFonts w:hAnsi="宋体"/>
          <w:szCs w:val="24"/>
        </w:rPr>
      </w:pPr>
      <w:r>
        <w:rPr>
          <w:rFonts w:hint="eastAsia" w:hAnsi="宋体"/>
          <w:szCs w:val="24"/>
        </w:rPr>
        <w:t>传　　　　真：</w:t>
      </w:r>
    </w:p>
    <w:p w14:paraId="3F3AEDF5">
      <w:pPr>
        <w:pStyle w:val="20"/>
        <w:tabs>
          <w:tab w:val="left" w:pos="5580"/>
        </w:tabs>
        <w:rPr>
          <w:rFonts w:hAnsi="宋体"/>
          <w:szCs w:val="24"/>
        </w:rPr>
      </w:pPr>
      <w:r>
        <w:rPr>
          <w:rFonts w:hint="eastAsia" w:hAnsi="宋体"/>
          <w:szCs w:val="24"/>
        </w:rPr>
        <w:t>电　　　　话：</w:t>
      </w:r>
    </w:p>
    <w:tbl>
      <w:tblPr>
        <w:tblStyle w:val="37"/>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4B42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992" w:type="dxa"/>
            <w:noWrap/>
            <w:vAlign w:val="center"/>
          </w:tcPr>
          <w:p w14:paraId="5565BC36">
            <w:pPr>
              <w:spacing w:line="360" w:lineRule="exact"/>
              <w:jc w:val="center"/>
              <w:rPr>
                <w:rFonts w:ascii="宋体" w:hAnsi="宋体"/>
                <w:sz w:val="24"/>
              </w:rPr>
            </w:pPr>
            <w:r>
              <w:rPr>
                <w:rFonts w:hint="eastAsia" w:ascii="宋体" w:hAnsi="宋体"/>
                <w:sz w:val="24"/>
              </w:rPr>
              <w:t>粘贴</w:t>
            </w:r>
          </w:p>
          <w:p w14:paraId="5A38BA61">
            <w:pPr>
              <w:spacing w:line="360" w:lineRule="exact"/>
              <w:jc w:val="center"/>
              <w:rPr>
                <w:rFonts w:ascii="宋体" w:hAnsi="宋体"/>
                <w:sz w:val="24"/>
              </w:rPr>
            </w:pPr>
            <w:r>
              <w:rPr>
                <w:rFonts w:hint="eastAsia" w:ascii="宋体" w:hAnsi="宋体"/>
                <w:sz w:val="24"/>
              </w:rPr>
              <w:t>法人及投标方代表身份证复印件</w:t>
            </w:r>
          </w:p>
        </w:tc>
      </w:tr>
    </w:tbl>
    <w:p w14:paraId="3E98D79E">
      <w:pPr>
        <w:pStyle w:val="20"/>
        <w:tabs>
          <w:tab w:val="left" w:pos="5580"/>
        </w:tabs>
        <w:rPr>
          <w:rFonts w:hAnsi="宋体"/>
          <w:szCs w:val="24"/>
        </w:rPr>
      </w:pPr>
    </w:p>
    <w:p w14:paraId="6FAD6D05">
      <w:pPr>
        <w:pStyle w:val="20"/>
        <w:tabs>
          <w:tab w:val="left" w:pos="5580"/>
        </w:tabs>
        <w:rPr>
          <w:rFonts w:hAnsi="宋体"/>
          <w:szCs w:val="24"/>
        </w:rPr>
      </w:pPr>
    </w:p>
    <w:p w14:paraId="3D068BC4">
      <w:pPr>
        <w:pStyle w:val="20"/>
        <w:tabs>
          <w:tab w:val="left" w:pos="5580"/>
        </w:tabs>
        <w:rPr>
          <w:rFonts w:hAnsi="宋体"/>
          <w:szCs w:val="24"/>
        </w:rPr>
      </w:pPr>
    </w:p>
    <w:p w14:paraId="3E227107">
      <w:pPr>
        <w:pStyle w:val="4"/>
        <w:rPr>
          <w:rFonts w:ascii="宋体" w:hAnsi="宋体" w:eastAsia="宋体"/>
          <w:bCs/>
          <w:szCs w:val="24"/>
        </w:rPr>
      </w:pPr>
      <w:bookmarkStart w:id="78" w:name="_Toc183588707"/>
    </w:p>
    <w:p w14:paraId="5052EAAB">
      <w:pPr>
        <w:pStyle w:val="4"/>
        <w:rPr>
          <w:rFonts w:ascii="宋体" w:hAnsi="宋体" w:eastAsia="宋体"/>
          <w:bCs/>
          <w:szCs w:val="24"/>
        </w:rPr>
      </w:pPr>
    </w:p>
    <w:p w14:paraId="2C597935">
      <w:pPr>
        <w:pStyle w:val="4"/>
        <w:rPr>
          <w:rFonts w:ascii="宋体" w:hAnsi="宋体" w:eastAsia="宋体"/>
          <w:bCs/>
          <w:szCs w:val="24"/>
        </w:rPr>
      </w:pPr>
      <w:r>
        <w:rPr>
          <w:rFonts w:hint="eastAsia" w:ascii="宋体" w:hAnsi="宋体" w:eastAsia="宋体"/>
          <w:bCs/>
          <w:szCs w:val="24"/>
        </w:rPr>
        <w:t xml:space="preserve">附件6.3  </w:t>
      </w:r>
      <w:r>
        <w:rPr>
          <w:rFonts w:hint="eastAsia" w:ascii="宋体" w:hAnsi="宋体" w:eastAsia="宋体"/>
          <w:szCs w:val="24"/>
        </w:rPr>
        <w:t>供应商的</w:t>
      </w:r>
      <w:r>
        <w:rPr>
          <w:rFonts w:hint="eastAsia" w:ascii="宋体" w:hAnsi="宋体" w:eastAsia="宋体"/>
          <w:szCs w:val="24"/>
          <w:lang w:val="en-US" w:eastAsia="zh-CN"/>
        </w:rPr>
        <w:t>基本情况</w:t>
      </w:r>
      <w:r>
        <w:rPr>
          <w:rFonts w:hint="eastAsia" w:ascii="宋体" w:hAnsi="宋体" w:eastAsia="宋体"/>
          <w:bCs/>
          <w:szCs w:val="24"/>
        </w:rPr>
        <w:t xml:space="preserve"> （格式）</w:t>
      </w:r>
      <w:bookmarkEnd w:id="78"/>
    </w:p>
    <w:bookmarkEnd w:id="65"/>
    <w:bookmarkEnd w:id="66"/>
    <w:bookmarkEnd w:id="67"/>
    <w:bookmarkEnd w:id="68"/>
    <w:bookmarkEnd w:id="69"/>
    <w:bookmarkEnd w:id="70"/>
    <w:bookmarkEnd w:id="71"/>
    <w:bookmarkEnd w:id="72"/>
    <w:bookmarkEnd w:id="73"/>
    <w:bookmarkEnd w:id="74"/>
    <w:bookmarkEnd w:id="75"/>
    <w:bookmarkEnd w:id="76"/>
    <w:bookmarkEnd w:id="77"/>
    <w:tbl>
      <w:tblPr>
        <w:tblStyle w:val="37"/>
        <w:tblW w:w="9465" w:type="dxa"/>
        <w:tblInd w:w="5" w:type="dxa"/>
        <w:tblLayout w:type="autofit"/>
        <w:tblCellMar>
          <w:top w:w="14" w:type="dxa"/>
          <w:left w:w="108" w:type="dxa"/>
          <w:bottom w:w="14" w:type="dxa"/>
          <w:right w:w="0" w:type="dxa"/>
        </w:tblCellMar>
      </w:tblPr>
      <w:tblGrid>
        <w:gridCol w:w="1702"/>
        <w:gridCol w:w="1241"/>
        <w:gridCol w:w="1135"/>
        <w:gridCol w:w="845"/>
        <w:gridCol w:w="149"/>
        <w:gridCol w:w="283"/>
        <w:gridCol w:w="1133"/>
        <w:gridCol w:w="284"/>
        <w:gridCol w:w="307"/>
        <w:gridCol w:w="667"/>
        <w:gridCol w:w="1719"/>
      </w:tblGrid>
      <w:tr w14:paraId="5B9C5E6C">
        <w:tblPrEx>
          <w:tblCellMar>
            <w:top w:w="14" w:type="dxa"/>
            <w:left w:w="108" w:type="dxa"/>
            <w:bottom w:w="14" w:type="dxa"/>
            <w:right w:w="0" w:type="dxa"/>
          </w:tblCellMar>
        </w:tblPrEx>
        <w:trPr>
          <w:trHeight w:val="569" w:hRule="atLeast"/>
        </w:trPr>
        <w:tc>
          <w:tcPr>
            <w:tcW w:w="1702" w:type="dxa"/>
            <w:tcBorders>
              <w:top w:val="single" w:color="000000" w:sz="4" w:space="0"/>
              <w:left w:val="single" w:color="000000" w:sz="4" w:space="0"/>
              <w:bottom w:val="single" w:color="000000" w:sz="6" w:space="0"/>
              <w:right w:val="single" w:color="000000" w:sz="6" w:space="0"/>
            </w:tcBorders>
            <w:vAlign w:val="center"/>
          </w:tcPr>
          <w:p w14:paraId="34738635">
            <w:pPr>
              <w:spacing w:line="360" w:lineRule="auto"/>
              <w:ind w:left="216"/>
            </w:pPr>
            <w:r>
              <w:rPr>
                <w:rFonts w:ascii="宋体" w:hAnsi="宋体" w:cs="宋体"/>
              </w:rPr>
              <w:t xml:space="preserve">投标人名称 </w:t>
            </w:r>
          </w:p>
        </w:tc>
        <w:tc>
          <w:tcPr>
            <w:tcW w:w="1241" w:type="dxa"/>
            <w:tcBorders>
              <w:top w:val="single" w:color="000000" w:sz="4" w:space="0"/>
              <w:left w:val="single" w:color="000000" w:sz="6" w:space="0"/>
              <w:bottom w:val="single" w:color="000000" w:sz="6" w:space="0"/>
              <w:right w:val="nil"/>
            </w:tcBorders>
          </w:tcPr>
          <w:p w14:paraId="39436EAE">
            <w:pPr>
              <w:spacing w:line="360" w:lineRule="auto"/>
            </w:pPr>
          </w:p>
        </w:tc>
        <w:tc>
          <w:tcPr>
            <w:tcW w:w="6522" w:type="dxa"/>
            <w:gridSpan w:val="9"/>
            <w:tcBorders>
              <w:top w:val="single" w:color="000000" w:sz="4" w:space="0"/>
              <w:left w:val="nil"/>
              <w:bottom w:val="single" w:color="000000" w:sz="6" w:space="0"/>
              <w:right w:val="single" w:color="000000" w:sz="4" w:space="0"/>
            </w:tcBorders>
            <w:vAlign w:val="center"/>
          </w:tcPr>
          <w:p w14:paraId="1349B1E3">
            <w:pPr>
              <w:spacing w:line="360" w:lineRule="auto"/>
              <w:ind w:left="2532"/>
            </w:pPr>
          </w:p>
        </w:tc>
      </w:tr>
      <w:tr w14:paraId="16B500E3">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45996857">
            <w:pPr>
              <w:spacing w:line="360" w:lineRule="auto"/>
              <w:ind w:right="109"/>
              <w:jc w:val="center"/>
            </w:pPr>
            <w:r>
              <w:rPr>
                <w:rFonts w:ascii="宋体" w:hAnsi="宋体" w:cs="宋体"/>
              </w:rPr>
              <w:t xml:space="preserve">注册地址 </w:t>
            </w:r>
          </w:p>
        </w:tc>
        <w:tc>
          <w:tcPr>
            <w:tcW w:w="1241" w:type="dxa"/>
            <w:tcBorders>
              <w:top w:val="single" w:color="000000" w:sz="6" w:space="0"/>
              <w:left w:val="single" w:color="000000" w:sz="6" w:space="0"/>
              <w:bottom w:val="single" w:color="000000" w:sz="6" w:space="0"/>
              <w:right w:val="nil"/>
            </w:tcBorders>
          </w:tcPr>
          <w:p w14:paraId="04D3C201">
            <w:pPr>
              <w:spacing w:line="360" w:lineRule="auto"/>
            </w:pPr>
          </w:p>
        </w:tc>
        <w:tc>
          <w:tcPr>
            <w:tcW w:w="1980" w:type="dxa"/>
            <w:gridSpan w:val="2"/>
            <w:tcBorders>
              <w:top w:val="single" w:color="000000" w:sz="6" w:space="0"/>
              <w:left w:val="nil"/>
              <w:bottom w:val="single" w:color="000000" w:sz="6" w:space="0"/>
              <w:right w:val="single" w:color="000000" w:sz="6" w:space="0"/>
            </w:tcBorders>
            <w:vAlign w:val="center"/>
          </w:tcPr>
          <w:p w14:paraId="3DF5CAA9">
            <w:pPr>
              <w:spacing w:line="360" w:lineRule="auto"/>
              <w:ind w:left="262"/>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357B9F99">
            <w:pPr>
              <w:spacing w:line="360" w:lineRule="auto"/>
              <w:ind w:left="254"/>
            </w:pPr>
            <w:r>
              <w:rPr>
                <w:rFonts w:ascii="宋体" w:hAnsi="宋体" w:cs="宋体"/>
              </w:rPr>
              <w:t xml:space="preserve">邮政编码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4D8BA051">
            <w:pPr>
              <w:spacing w:line="360" w:lineRule="auto"/>
              <w:ind w:right="3"/>
              <w:jc w:val="center"/>
            </w:pPr>
          </w:p>
        </w:tc>
      </w:tr>
      <w:tr w14:paraId="79E6088E">
        <w:tblPrEx>
          <w:tblCellMar>
            <w:top w:w="14" w:type="dxa"/>
            <w:left w:w="108" w:type="dxa"/>
            <w:bottom w:w="14" w:type="dxa"/>
            <w:right w:w="0" w:type="dxa"/>
          </w:tblCellMar>
        </w:tblPrEx>
        <w:trPr>
          <w:trHeight w:val="566" w:hRule="atLeast"/>
        </w:trPr>
        <w:tc>
          <w:tcPr>
            <w:tcW w:w="1702" w:type="dxa"/>
            <w:vMerge w:val="restart"/>
            <w:tcBorders>
              <w:top w:val="single" w:color="000000" w:sz="6" w:space="0"/>
              <w:left w:val="single" w:color="000000" w:sz="4" w:space="0"/>
              <w:bottom w:val="single" w:color="000000" w:sz="6" w:space="0"/>
              <w:right w:val="single" w:color="000000" w:sz="6" w:space="0"/>
            </w:tcBorders>
            <w:vAlign w:val="center"/>
          </w:tcPr>
          <w:p w14:paraId="7027E0D8">
            <w:pPr>
              <w:spacing w:line="360" w:lineRule="auto"/>
              <w:ind w:right="109"/>
              <w:jc w:val="center"/>
            </w:pPr>
            <w:r>
              <w:rPr>
                <w:rFonts w:ascii="宋体" w:hAnsi="宋体" w:cs="宋体"/>
              </w:rPr>
              <w:t xml:space="preserve">联系方式 </w:t>
            </w:r>
          </w:p>
        </w:tc>
        <w:tc>
          <w:tcPr>
            <w:tcW w:w="1241" w:type="dxa"/>
            <w:tcBorders>
              <w:top w:val="single" w:color="000000" w:sz="6" w:space="0"/>
              <w:left w:val="single" w:color="000000" w:sz="6" w:space="0"/>
              <w:bottom w:val="single" w:color="000000" w:sz="6" w:space="0"/>
              <w:right w:val="single" w:color="000000" w:sz="6" w:space="0"/>
            </w:tcBorders>
            <w:vAlign w:val="center"/>
          </w:tcPr>
          <w:p w14:paraId="0F30C268">
            <w:pPr>
              <w:spacing w:line="360" w:lineRule="auto"/>
              <w:ind w:left="197"/>
            </w:pPr>
            <w:r>
              <w:rPr>
                <w:rFonts w:ascii="宋体" w:hAnsi="宋体" w:cs="宋体"/>
              </w:rPr>
              <w:t xml:space="preserve">联系人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03F4A4A3">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44743759">
            <w:pPr>
              <w:spacing w:line="360" w:lineRule="auto"/>
              <w:ind w:right="109"/>
              <w:jc w:val="center"/>
            </w:pPr>
            <w:r>
              <w:rPr>
                <w:rFonts w:ascii="宋体" w:hAnsi="宋体" w:cs="宋体"/>
              </w:rPr>
              <w:t xml:space="preserve">电话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0BA15C35">
            <w:pPr>
              <w:spacing w:line="360" w:lineRule="auto"/>
              <w:ind w:right="3"/>
              <w:jc w:val="center"/>
            </w:pPr>
          </w:p>
        </w:tc>
      </w:tr>
      <w:tr w14:paraId="5FA2FD97">
        <w:tblPrEx>
          <w:tblCellMar>
            <w:top w:w="14" w:type="dxa"/>
            <w:left w:w="108" w:type="dxa"/>
            <w:bottom w:w="14" w:type="dxa"/>
            <w:right w:w="0" w:type="dxa"/>
          </w:tblCellMar>
        </w:tblPrEx>
        <w:trPr>
          <w:trHeight w:val="569" w:hRule="atLeast"/>
        </w:trPr>
        <w:tc>
          <w:tcPr>
            <w:tcW w:w="0" w:type="auto"/>
            <w:vMerge w:val="continue"/>
            <w:tcBorders>
              <w:top w:val="nil"/>
              <w:left w:val="single" w:color="000000" w:sz="4" w:space="0"/>
              <w:bottom w:val="single" w:color="000000" w:sz="6" w:space="0"/>
              <w:right w:val="single" w:color="000000" w:sz="6" w:space="0"/>
            </w:tcBorders>
          </w:tcPr>
          <w:p w14:paraId="2BA9291A">
            <w:pPr>
              <w:spacing w:line="360" w:lineRule="auto"/>
            </w:pPr>
          </w:p>
        </w:tc>
        <w:tc>
          <w:tcPr>
            <w:tcW w:w="1241" w:type="dxa"/>
            <w:tcBorders>
              <w:top w:val="single" w:color="000000" w:sz="6" w:space="0"/>
              <w:left w:val="single" w:color="000000" w:sz="6" w:space="0"/>
              <w:bottom w:val="single" w:color="000000" w:sz="6" w:space="0"/>
              <w:right w:val="single" w:color="000000" w:sz="6" w:space="0"/>
            </w:tcBorders>
            <w:vAlign w:val="center"/>
          </w:tcPr>
          <w:p w14:paraId="1B324494">
            <w:pPr>
              <w:spacing w:line="360" w:lineRule="auto"/>
              <w:ind w:right="106"/>
              <w:jc w:val="center"/>
            </w:pPr>
            <w:r>
              <w:rPr>
                <w:rFonts w:ascii="宋体" w:hAnsi="宋体" w:cs="宋体"/>
              </w:rPr>
              <w:t xml:space="preserve">传真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7FA4F1CD">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1CC89261">
            <w:pPr>
              <w:spacing w:line="360" w:lineRule="auto"/>
              <w:ind w:right="109"/>
              <w:jc w:val="center"/>
            </w:pPr>
            <w:r>
              <w:rPr>
                <w:rFonts w:ascii="宋体" w:hAnsi="宋体" w:cs="宋体"/>
              </w:rPr>
              <w:t xml:space="preserve">网址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125B3FD9">
            <w:pPr>
              <w:spacing w:line="360" w:lineRule="auto"/>
              <w:ind w:right="3"/>
              <w:jc w:val="center"/>
            </w:pPr>
          </w:p>
        </w:tc>
      </w:tr>
      <w:tr w14:paraId="03D369BC">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758CE57">
            <w:pPr>
              <w:spacing w:line="360" w:lineRule="auto"/>
              <w:ind w:right="109"/>
              <w:jc w:val="center"/>
            </w:pPr>
            <w:r>
              <w:rPr>
                <w:rFonts w:ascii="宋体" w:hAnsi="宋体" w:cs="宋体"/>
              </w:rPr>
              <w:t xml:space="preserve">组织结构 </w:t>
            </w:r>
          </w:p>
        </w:tc>
        <w:tc>
          <w:tcPr>
            <w:tcW w:w="1241" w:type="dxa"/>
            <w:tcBorders>
              <w:top w:val="single" w:color="000000" w:sz="6" w:space="0"/>
              <w:left w:val="single" w:color="000000" w:sz="6" w:space="0"/>
              <w:bottom w:val="single" w:color="000000" w:sz="6" w:space="0"/>
              <w:right w:val="nil"/>
            </w:tcBorders>
          </w:tcPr>
          <w:p w14:paraId="7CFE55C2">
            <w:pPr>
              <w:spacing w:line="360" w:lineRule="auto"/>
            </w:pPr>
          </w:p>
        </w:tc>
        <w:tc>
          <w:tcPr>
            <w:tcW w:w="6522" w:type="dxa"/>
            <w:gridSpan w:val="9"/>
            <w:tcBorders>
              <w:top w:val="single" w:color="000000" w:sz="6" w:space="0"/>
              <w:left w:val="nil"/>
              <w:bottom w:val="single" w:color="000000" w:sz="6" w:space="0"/>
              <w:right w:val="single" w:color="000000" w:sz="4" w:space="0"/>
            </w:tcBorders>
            <w:vAlign w:val="center"/>
          </w:tcPr>
          <w:p w14:paraId="19CCDCB6">
            <w:pPr>
              <w:spacing w:line="360" w:lineRule="auto"/>
              <w:ind w:left="2324"/>
            </w:pPr>
            <w:r>
              <w:rPr>
                <w:rFonts w:ascii="宋体" w:hAnsi="宋体" w:cs="宋体"/>
              </w:rPr>
              <w:t xml:space="preserve">附后 </w:t>
            </w:r>
          </w:p>
        </w:tc>
      </w:tr>
      <w:tr w14:paraId="1D698097">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B21DD4B">
            <w:pPr>
              <w:spacing w:line="360" w:lineRule="auto"/>
              <w:ind w:left="216"/>
            </w:pPr>
            <w:r>
              <w:rPr>
                <w:rFonts w:ascii="宋体" w:hAnsi="宋体" w:cs="宋体"/>
              </w:rPr>
              <w:t xml:space="preserve">法定代表人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07FE0706">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4E143C7E">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0FFDC055">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754A329F">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13DA5C89">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3BDEE8E4">
            <w:pPr>
              <w:spacing w:line="360" w:lineRule="auto"/>
              <w:ind w:right="3"/>
              <w:jc w:val="center"/>
            </w:pPr>
          </w:p>
        </w:tc>
      </w:tr>
      <w:tr w14:paraId="60F52EAB">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7A171299">
            <w:pPr>
              <w:spacing w:line="360" w:lineRule="auto"/>
              <w:ind w:left="216"/>
            </w:pPr>
            <w:r>
              <w:rPr>
                <w:rFonts w:ascii="宋体" w:hAnsi="宋体" w:cs="宋体"/>
              </w:rPr>
              <w:t xml:space="preserve">技术负责人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4102EEA8">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11D88DF7">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7EB658CB">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27C9C609">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5271A033">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0A18D087">
            <w:pPr>
              <w:spacing w:line="360" w:lineRule="auto"/>
              <w:ind w:right="3"/>
              <w:jc w:val="center"/>
            </w:pPr>
          </w:p>
        </w:tc>
      </w:tr>
      <w:tr w14:paraId="2D50B07A">
        <w:tblPrEx>
          <w:tblCellMar>
            <w:top w:w="14" w:type="dxa"/>
            <w:left w:w="108" w:type="dxa"/>
            <w:bottom w:w="14" w:type="dxa"/>
            <w:right w:w="0" w:type="dxa"/>
          </w:tblCellMar>
        </w:tblPrEx>
        <w:trPr>
          <w:trHeight w:val="569"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6399B430">
            <w:pPr>
              <w:spacing w:line="360" w:lineRule="auto"/>
              <w:ind w:right="109"/>
              <w:jc w:val="center"/>
            </w:pPr>
            <w:r>
              <w:rPr>
                <w:rFonts w:ascii="宋体" w:hAnsi="宋体" w:cs="宋体"/>
              </w:rPr>
              <w:t xml:space="preserve">成立时间 </w:t>
            </w:r>
          </w:p>
        </w:tc>
        <w:tc>
          <w:tcPr>
            <w:tcW w:w="1241" w:type="dxa"/>
            <w:tcBorders>
              <w:top w:val="single" w:color="000000" w:sz="6" w:space="0"/>
              <w:left w:val="single" w:color="000000" w:sz="6" w:space="0"/>
              <w:bottom w:val="single" w:color="000000" w:sz="6" w:space="0"/>
              <w:right w:val="nil"/>
            </w:tcBorders>
            <w:vAlign w:val="center"/>
          </w:tcPr>
          <w:p w14:paraId="48B7F951">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4C6AF54F">
            <w:pPr>
              <w:spacing w:line="360" w:lineRule="auto"/>
            </w:pPr>
          </w:p>
        </w:tc>
        <w:tc>
          <w:tcPr>
            <w:tcW w:w="5387" w:type="dxa"/>
            <w:gridSpan w:val="8"/>
            <w:tcBorders>
              <w:top w:val="single" w:color="000000" w:sz="6" w:space="0"/>
              <w:left w:val="single" w:color="000000" w:sz="6" w:space="0"/>
              <w:bottom w:val="single" w:color="000000" w:sz="6" w:space="0"/>
              <w:right w:val="single" w:color="000000" w:sz="4" w:space="0"/>
            </w:tcBorders>
            <w:vAlign w:val="center"/>
          </w:tcPr>
          <w:p w14:paraId="0D966709">
            <w:pPr>
              <w:spacing w:line="360" w:lineRule="auto"/>
              <w:ind w:right="104"/>
              <w:jc w:val="center"/>
            </w:pPr>
            <w:r>
              <w:rPr>
                <w:rFonts w:ascii="宋体" w:hAnsi="宋体" w:cs="宋体"/>
              </w:rPr>
              <w:t xml:space="preserve">员工总人数： </w:t>
            </w:r>
          </w:p>
        </w:tc>
      </w:tr>
      <w:tr w14:paraId="52257990">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73E413C4">
            <w:pPr>
              <w:spacing w:line="360" w:lineRule="auto"/>
              <w:ind w:left="113"/>
            </w:pPr>
            <w:r>
              <w:rPr>
                <w:rFonts w:ascii="宋体" w:hAnsi="宋体" w:cs="宋体"/>
              </w:rPr>
              <w:t xml:space="preserve">企业资质等级 </w:t>
            </w:r>
          </w:p>
        </w:tc>
        <w:tc>
          <w:tcPr>
            <w:tcW w:w="1241" w:type="dxa"/>
            <w:tcBorders>
              <w:top w:val="single" w:color="000000" w:sz="6" w:space="0"/>
              <w:left w:val="single" w:color="000000" w:sz="6" w:space="0"/>
              <w:bottom w:val="single" w:color="000000" w:sz="6" w:space="0"/>
              <w:right w:val="nil"/>
            </w:tcBorders>
            <w:vAlign w:val="center"/>
          </w:tcPr>
          <w:p w14:paraId="48360C57">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684F0FD0">
            <w:pPr>
              <w:spacing w:line="360" w:lineRule="auto"/>
            </w:pPr>
          </w:p>
        </w:tc>
        <w:tc>
          <w:tcPr>
            <w:tcW w:w="994" w:type="dxa"/>
            <w:gridSpan w:val="2"/>
            <w:vMerge w:val="restart"/>
            <w:tcBorders>
              <w:top w:val="single" w:color="000000" w:sz="6" w:space="0"/>
              <w:left w:val="single" w:color="000000" w:sz="6" w:space="0"/>
              <w:bottom w:val="nil"/>
              <w:right w:val="single" w:color="000000" w:sz="6" w:space="0"/>
            </w:tcBorders>
            <w:vAlign w:val="bottom"/>
          </w:tcPr>
          <w:p w14:paraId="0238A1B1">
            <w:pPr>
              <w:spacing w:after="95" w:line="360" w:lineRule="auto"/>
              <w:ind w:right="108"/>
              <w:jc w:val="center"/>
            </w:pPr>
            <w:r>
              <w:rPr>
                <w:rFonts w:ascii="宋体" w:hAnsi="宋体" w:cs="宋体"/>
              </w:rPr>
              <w:t xml:space="preserve">其 </w:t>
            </w:r>
          </w:p>
          <w:p w14:paraId="0741DF31">
            <w:pPr>
              <w:spacing w:after="92" w:line="360" w:lineRule="auto"/>
              <w:ind w:right="2"/>
              <w:jc w:val="center"/>
            </w:pPr>
          </w:p>
          <w:p w14:paraId="6478F3BA">
            <w:pPr>
              <w:spacing w:line="360" w:lineRule="auto"/>
              <w:ind w:right="108"/>
              <w:jc w:val="center"/>
            </w:pPr>
            <w:r>
              <w:rPr>
                <w:rFonts w:ascii="宋体" w:hAnsi="宋体" w:cs="宋体"/>
              </w:rPr>
              <w:t xml:space="preserve">中 </w:t>
            </w: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7BC9AC40">
            <w:pPr>
              <w:spacing w:line="360" w:lineRule="auto"/>
              <w:ind w:right="106"/>
              <w:jc w:val="center"/>
            </w:pPr>
            <w:r>
              <w:rPr>
                <w:rFonts w:ascii="宋体" w:hAnsi="宋体" w:cs="宋体"/>
              </w:rPr>
              <w:t xml:space="preserve">注册工程师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08862121">
            <w:pPr>
              <w:spacing w:line="360" w:lineRule="auto"/>
              <w:ind w:right="3"/>
              <w:jc w:val="center"/>
            </w:pPr>
          </w:p>
        </w:tc>
      </w:tr>
      <w:tr w14:paraId="0FEC4D7A">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67D08F03">
            <w:pPr>
              <w:spacing w:line="360" w:lineRule="auto"/>
              <w:ind w:left="216"/>
            </w:pPr>
            <w:r>
              <w:rPr>
                <w:rFonts w:ascii="宋体" w:hAnsi="宋体" w:cs="宋体"/>
              </w:rPr>
              <w:t xml:space="preserve">营业执照号 </w:t>
            </w:r>
          </w:p>
        </w:tc>
        <w:tc>
          <w:tcPr>
            <w:tcW w:w="1241" w:type="dxa"/>
            <w:tcBorders>
              <w:top w:val="single" w:color="000000" w:sz="6" w:space="0"/>
              <w:left w:val="single" w:color="000000" w:sz="6" w:space="0"/>
              <w:bottom w:val="single" w:color="000000" w:sz="6" w:space="0"/>
              <w:right w:val="nil"/>
            </w:tcBorders>
            <w:vAlign w:val="center"/>
          </w:tcPr>
          <w:p w14:paraId="79888682">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56507D61">
            <w:pPr>
              <w:spacing w:line="360" w:lineRule="auto"/>
            </w:pPr>
          </w:p>
        </w:tc>
        <w:tc>
          <w:tcPr>
            <w:tcW w:w="0" w:type="auto"/>
            <w:gridSpan w:val="2"/>
            <w:vMerge w:val="continue"/>
            <w:tcBorders>
              <w:top w:val="nil"/>
              <w:left w:val="single" w:color="000000" w:sz="6" w:space="0"/>
              <w:bottom w:val="nil"/>
              <w:right w:val="single" w:color="000000" w:sz="6" w:space="0"/>
            </w:tcBorders>
          </w:tcPr>
          <w:p w14:paraId="1DA9DF17">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142390D3">
            <w:pPr>
              <w:spacing w:line="360" w:lineRule="auto"/>
              <w:ind w:left="264"/>
            </w:pPr>
            <w:r>
              <w:rPr>
                <w:rFonts w:ascii="宋体" w:hAnsi="宋体" w:cs="宋体"/>
              </w:rPr>
              <w:t xml:space="preserve">高级职称人员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07DB065F">
            <w:pPr>
              <w:spacing w:line="360" w:lineRule="auto"/>
              <w:ind w:right="3"/>
              <w:jc w:val="center"/>
            </w:pPr>
          </w:p>
        </w:tc>
      </w:tr>
      <w:tr w14:paraId="2678299F">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60DA5A8E">
            <w:pPr>
              <w:spacing w:line="360" w:lineRule="auto"/>
              <w:ind w:right="109"/>
              <w:jc w:val="center"/>
            </w:pPr>
            <w:r>
              <w:rPr>
                <w:rFonts w:ascii="宋体" w:hAnsi="宋体" w:cs="宋体"/>
              </w:rPr>
              <w:t xml:space="preserve">注册资金 </w:t>
            </w:r>
          </w:p>
        </w:tc>
        <w:tc>
          <w:tcPr>
            <w:tcW w:w="1241" w:type="dxa"/>
            <w:tcBorders>
              <w:top w:val="single" w:color="000000" w:sz="6" w:space="0"/>
              <w:left w:val="single" w:color="000000" w:sz="6" w:space="0"/>
              <w:bottom w:val="single" w:color="000000" w:sz="6" w:space="0"/>
              <w:right w:val="nil"/>
            </w:tcBorders>
            <w:vAlign w:val="center"/>
          </w:tcPr>
          <w:p w14:paraId="41FEF5FC">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7E4BC8E0">
            <w:pPr>
              <w:spacing w:line="360" w:lineRule="auto"/>
            </w:pPr>
          </w:p>
        </w:tc>
        <w:tc>
          <w:tcPr>
            <w:tcW w:w="0" w:type="auto"/>
            <w:gridSpan w:val="2"/>
            <w:vMerge w:val="continue"/>
            <w:tcBorders>
              <w:top w:val="nil"/>
              <w:left w:val="single" w:color="000000" w:sz="6" w:space="0"/>
              <w:bottom w:val="nil"/>
              <w:right w:val="single" w:color="000000" w:sz="6" w:space="0"/>
            </w:tcBorders>
          </w:tcPr>
          <w:p w14:paraId="31BEDF37">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7132C019">
            <w:pPr>
              <w:spacing w:line="360" w:lineRule="auto"/>
              <w:ind w:left="264"/>
            </w:pPr>
            <w:r>
              <w:rPr>
                <w:rFonts w:ascii="宋体" w:hAnsi="宋体" w:cs="宋体"/>
              </w:rPr>
              <w:t xml:space="preserve">中级职称人员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20A59D5C">
            <w:pPr>
              <w:spacing w:line="360" w:lineRule="auto"/>
              <w:ind w:right="3"/>
              <w:jc w:val="center"/>
            </w:pPr>
          </w:p>
        </w:tc>
      </w:tr>
      <w:tr w14:paraId="47F51E7B">
        <w:tblPrEx>
          <w:tblCellMar>
            <w:top w:w="14" w:type="dxa"/>
            <w:left w:w="108" w:type="dxa"/>
            <w:bottom w:w="14" w:type="dxa"/>
            <w:right w:w="0" w:type="dxa"/>
          </w:tblCellMar>
        </w:tblPrEx>
        <w:trPr>
          <w:trHeight w:val="301" w:hRule="atLeast"/>
        </w:trPr>
        <w:tc>
          <w:tcPr>
            <w:tcW w:w="1702" w:type="dxa"/>
            <w:tcBorders>
              <w:top w:val="single" w:color="000000" w:sz="6" w:space="0"/>
              <w:left w:val="single" w:color="000000" w:sz="4" w:space="0"/>
              <w:bottom w:val="nil"/>
              <w:right w:val="single" w:color="000000" w:sz="6" w:space="0"/>
            </w:tcBorders>
          </w:tcPr>
          <w:p w14:paraId="609F024C">
            <w:pPr>
              <w:spacing w:line="360" w:lineRule="auto"/>
            </w:pPr>
          </w:p>
        </w:tc>
        <w:tc>
          <w:tcPr>
            <w:tcW w:w="1241" w:type="dxa"/>
            <w:tcBorders>
              <w:top w:val="single" w:color="000000" w:sz="6" w:space="0"/>
              <w:left w:val="single" w:color="000000" w:sz="6" w:space="0"/>
              <w:bottom w:val="nil"/>
              <w:right w:val="nil"/>
            </w:tcBorders>
          </w:tcPr>
          <w:p w14:paraId="0E54C912">
            <w:pPr>
              <w:spacing w:line="360" w:lineRule="auto"/>
            </w:pPr>
          </w:p>
        </w:tc>
        <w:tc>
          <w:tcPr>
            <w:tcW w:w="1135" w:type="dxa"/>
            <w:tcBorders>
              <w:top w:val="single" w:color="000000" w:sz="6" w:space="0"/>
              <w:left w:val="nil"/>
              <w:bottom w:val="nil"/>
              <w:right w:val="single" w:color="000000" w:sz="6" w:space="0"/>
            </w:tcBorders>
          </w:tcPr>
          <w:p w14:paraId="7F9C3CAD">
            <w:pPr>
              <w:spacing w:line="360" w:lineRule="auto"/>
            </w:pPr>
          </w:p>
        </w:tc>
        <w:tc>
          <w:tcPr>
            <w:tcW w:w="0" w:type="auto"/>
            <w:gridSpan w:val="2"/>
            <w:vMerge w:val="continue"/>
            <w:tcBorders>
              <w:top w:val="nil"/>
              <w:left w:val="single" w:color="000000" w:sz="6" w:space="0"/>
              <w:bottom w:val="nil"/>
              <w:right w:val="single" w:color="000000" w:sz="6" w:space="0"/>
            </w:tcBorders>
          </w:tcPr>
          <w:p w14:paraId="18618B75">
            <w:pPr>
              <w:spacing w:line="360" w:lineRule="auto"/>
            </w:pPr>
          </w:p>
        </w:tc>
        <w:tc>
          <w:tcPr>
            <w:tcW w:w="2007" w:type="dxa"/>
            <w:gridSpan w:val="4"/>
            <w:tcBorders>
              <w:top w:val="single" w:color="000000" w:sz="6" w:space="0"/>
              <w:left w:val="single" w:color="000000" w:sz="6" w:space="0"/>
              <w:bottom w:val="nil"/>
              <w:right w:val="single" w:color="000000" w:sz="6" w:space="0"/>
            </w:tcBorders>
          </w:tcPr>
          <w:p w14:paraId="06BEE11A">
            <w:pPr>
              <w:spacing w:line="360" w:lineRule="auto"/>
            </w:pPr>
          </w:p>
        </w:tc>
        <w:tc>
          <w:tcPr>
            <w:tcW w:w="2386" w:type="dxa"/>
            <w:gridSpan w:val="2"/>
            <w:tcBorders>
              <w:top w:val="single" w:color="000000" w:sz="6" w:space="0"/>
              <w:left w:val="single" w:color="000000" w:sz="6" w:space="0"/>
              <w:bottom w:val="nil"/>
              <w:right w:val="single" w:color="000000" w:sz="4" w:space="0"/>
            </w:tcBorders>
          </w:tcPr>
          <w:p w14:paraId="734AF2D1">
            <w:pPr>
              <w:spacing w:line="360" w:lineRule="auto"/>
            </w:pPr>
          </w:p>
        </w:tc>
      </w:tr>
      <w:tr w14:paraId="1AF2C0AA">
        <w:tblPrEx>
          <w:tblCellMar>
            <w:top w:w="14" w:type="dxa"/>
            <w:left w:w="108" w:type="dxa"/>
            <w:bottom w:w="14" w:type="dxa"/>
            <w:right w:w="0" w:type="dxa"/>
          </w:tblCellMar>
        </w:tblPrEx>
        <w:trPr>
          <w:trHeight w:val="539" w:hRule="atLeast"/>
        </w:trPr>
        <w:tc>
          <w:tcPr>
            <w:tcW w:w="1702" w:type="dxa"/>
            <w:tcBorders>
              <w:top w:val="nil"/>
              <w:left w:val="single" w:color="000000" w:sz="4" w:space="0"/>
              <w:bottom w:val="single" w:color="000000" w:sz="6" w:space="0"/>
              <w:right w:val="single" w:color="000000" w:sz="6" w:space="0"/>
            </w:tcBorders>
          </w:tcPr>
          <w:p w14:paraId="18CEC2C7">
            <w:pPr>
              <w:spacing w:line="360" w:lineRule="auto"/>
              <w:ind w:right="109"/>
              <w:jc w:val="center"/>
            </w:pPr>
            <w:r>
              <w:rPr>
                <w:rFonts w:ascii="宋体" w:hAnsi="宋体" w:cs="宋体"/>
              </w:rPr>
              <w:t xml:space="preserve">开户银行 </w:t>
            </w:r>
          </w:p>
        </w:tc>
        <w:tc>
          <w:tcPr>
            <w:tcW w:w="1241" w:type="dxa"/>
            <w:tcBorders>
              <w:top w:val="nil"/>
              <w:left w:val="single" w:color="000000" w:sz="6" w:space="0"/>
              <w:bottom w:val="single" w:color="000000" w:sz="6" w:space="0"/>
              <w:right w:val="nil"/>
            </w:tcBorders>
          </w:tcPr>
          <w:p w14:paraId="5C766DB8">
            <w:pPr>
              <w:spacing w:line="360" w:lineRule="auto"/>
              <w:ind w:right="-53"/>
              <w:jc w:val="right"/>
            </w:pPr>
          </w:p>
        </w:tc>
        <w:tc>
          <w:tcPr>
            <w:tcW w:w="1135" w:type="dxa"/>
            <w:tcBorders>
              <w:top w:val="nil"/>
              <w:left w:val="nil"/>
              <w:bottom w:val="single" w:color="000000" w:sz="6" w:space="0"/>
              <w:right w:val="single" w:color="000000" w:sz="6" w:space="0"/>
            </w:tcBorders>
          </w:tcPr>
          <w:p w14:paraId="5E08BCDE">
            <w:pPr>
              <w:spacing w:line="360" w:lineRule="auto"/>
            </w:pPr>
          </w:p>
        </w:tc>
        <w:tc>
          <w:tcPr>
            <w:tcW w:w="994" w:type="dxa"/>
            <w:gridSpan w:val="2"/>
            <w:vMerge w:val="restart"/>
            <w:tcBorders>
              <w:top w:val="nil"/>
              <w:left w:val="single" w:color="000000" w:sz="6" w:space="0"/>
              <w:bottom w:val="single" w:color="000000" w:sz="6" w:space="0"/>
              <w:right w:val="single" w:color="000000" w:sz="6" w:space="0"/>
            </w:tcBorders>
          </w:tcPr>
          <w:p w14:paraId="07F5C4D2">
            <w:pPr>
              <w:spacing w:line="360" w:lineRule="auto"/>
              <w:ind w:right="2"/>
              <w:jc w:val="center"/>
            </w:pPr>
          </w:p>
        </w:tc>
        <w:tc>
          <w:tcPr>
            <w:tcW w:w="2007" w:type="dxa"/>
            <w:gridSpan w:val="4"/>
            <w:tcBorders>
              <w:top w:val="nil"/>
              <w:left w:val="single" w:color="000000" w:sz="6" w:space="0"/>
              <w:bottom w:val="single" w:color="000000" w:sz="6" w:space="0"/>
              <w:right w:val="single" w:color="000000" w:sz="6" w:space="0"/>
            </w:tcBorders>
          </w:tcPr>
          <w:p w14:paraId="36D93FDA">
            <w:pPr>
              <w:spacing w:line="360" w:lineRule="auto"/>
              <w:ind w:left="264"/>
            </w:pPr>
            <w:r>
              <w:rPr>
                <w:rFonts w:ascii="宋体" w:hAnsi="宋体" w:cs="宋体"/>
              </w:rPr>
              <w:t xml:space="preserve">初级职称人员 </w:t>
            </w:r>
          </w:p>
        </w:tc>
        <w:tc>
          <w:tcPr>
            <w:tcW w:w="2386" w:type="dxa"/>
            <w:gridSpan w:val="2"/>
            <w:tcBorders>
              <w:top w:val="nil"/>
              <w:left w:val="single" w:color="000000" w:sz="6" w:space="0"/>
              <w:bottom w:val="single" w:color="000000" w:sz="6" w:space="0"/>
              <w:right w:val="single" w:color="000000" w:sz="4" w:space="0"/>
            </w:tcBorders>
          </w:tcPr>
          <w:p w14:paraId="46A47F66">
            <w:pPr>
              <w:spacing w:line="360" w:lineRule="auto"/>
              <w:ind w:right="3"/>
              <w:jc w:val="center"/>
            </w:pPr>
          </w:p>
        </w:tc>
      </w:tr>
      <w:tr w14:paraId="012CFAD0">
        <w:tblPrEx>
          <w:tblCellMar>
            <w:top w:w="14" w:type="dxa"/>
            <w:left w:w="108" w:type="dxa"/>
            <w:bottom w:w="14" w:type="dxa"/>
            <w:right w:w="0" w:type="dxa"/>
          </w:tblCellMar>
        </w:tblPrEx>
        <w:trPr>
          <w:trHeight w:val="830"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4207BD7">
            <w:pPr>
              <w:spacing w:line="360" w:lineRule="auto"/>
              <w:ind w:right="106"/>
              <w:jc w:val="center"/>
            </w:pPr>
            <w:r>
              <w:rPr>
                <w:rFonts w:ascii="宋体" w:hAnsi="宋体" w:cs="宋体"/>
              </w:rPr>
              <w:t xml:space="preserve">账号 </w:t>
            </w:r>
          </w:p>
        </w:tc>
        <w:tc>
          <w:tcPr>
            <w:tcW w:w="1241" w:type="dxa"/>
            <w:tcBorders>
              <w:top w:val="single" w:color="000000" w:sz="6" w:space="0"/>
              <w:left w:val="single" w:color="000000" w:sz="6" w:space="0"/>
              <w:bottom w:val="single" w:color="000000" w:sz="6" w:space="0"/>
              <w:right w:val="nil"/>
            </w:tcBorders>
            <w:vAlign w:val="center"/>
          </w:tcPr>
          <w:p w14:paraId="3B8AD529">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1C72BC7B">
            <w:pPr>
              <w:spacing w:line="360" w:lineRule="auto"/>
            </w:pPr>
          </w:p>
        </w:tc>
        <w:tc>
          <w:tcPr>
            <w:tcW w:w="0" w:type="auto"/>
            <w:gridSpan w:val="2"/>
            <w:vMerge w:val="continue"/>
            <w:tcBorders>
              <w:top w:val="nil"/>
              <w:left w:val="single" w:color="000000" w:sz="6" w:space="0"/>
              <w:bottom w:val="single" w:color="000000" w:sz="6" w:space="0"/>
              <w:right w:val="single" w:color="000000" w:sz="6" w:space="0"/>
            </w:tcBorders>
          </w:tcPr>
          <w:p w14:paraId="7D2AF583">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5B4C1E60">
            <w:pPr>
              <w:spacing w:line="360" w:lineRule="auto"/>
              <w:ind w:right="109"/>
              <w:jc w:val="center"/>
            </w:pPr>
            <w:r>
              <w:rPr>
                <w:rFonts w:ascii="宋体" w:hAnsi="宋体" w:cs="宋体"/>
              </w:rPr>
              <w:t xml:space="preserve">技工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501C1A3B">
            <w:pPr>
              <w:spacing w:line="360" w:lineRule="auto"/>
              <w:ind w:right="3"/>
              <w:jc w:val="center"/>
            </w:pPr>
          </w:p>
        </w:tc>
      </w:tr>
      <w:tr w14:paraId="5259D2E5">
        <w:tblPrEx>
          <w:tblCellMar>
            <w:top w:w="14" w:type="dxa"/>
            <w:left w:w="108" w:type="dxa"/>
            <w:bottom w:w="14" w:type="dxa"/>
            <w:right w:w="0" w:type="dxa"/>
          </w:tblCellMar>
        </w:tblPrEx>
        <w:trPr>
          <w:trHeight w:val="2005"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BBEAD92">
            <w:pPr>
              <w:spacing w:line="360" w:lineRule="auto"/>
              <w:ind w:right="109"/>
              <w:jc w:val="center"/>
            </w:pPr>
            <w:r>
              <w:rPr>
                <w:rFonts w:ascii="宋体" w:hAnsi="宋体" w:cs="宋体"/>
              </w:rPr>
              <w:t xml:space="preserve">经营范围 </w:t>
            </w:r>
          </w:p>
        </w:tc>
        <w:tc>
          <w:tcPr>
            <w:tcW w:w="1241" w:type="dxa"/>
            <w:tcBorders>
              <w:top w:val="single" w:color="000000" w:sz="6" w:space="0"/>
              <w:left w:val="single" w:color="000000" w:sz="6" w:space="0"/>
              <w:bottom w:val="single" w:color="000000" w:sz="6" w:space="0"/>
              <w:right w:val="nil"/>
            </w:tcBorders>
          </w:tcPr>
          <w:p w14:paraId="192EB44E">
            <w:pPr>
              <w:spacing w:line="360" w:lineRule="auto"/>
              <w:ind w:left="127"/>
              <w:jc w:val="center"/>
            </w:pPr>
          </w:p>
        </w:tc>
        <w:tc>
          <w:tcPr>
            <w:tcW w:w="6522" w:type="dxa"/>
            <w:gridSpan w:val="9"/>
            <w:tcBorders>
              <w:top w:val="single" w:color="000000" w:sz="6" w:space="0"/>
              <w:left w:val="nil"/>
              <w:bottom w:val="single" w:color="000000" w:sz="6" w:space="0"/>
              <w:right w:val="single" w:color="000000" w:sz="4" w:space="0"/>
            </w:tcBorders>
          </w:tcPr>
          <w:p w14:paraId="012CE843">
            <w:pPr>
              <w:spacing w:line="360" w:lineRule="auto"/>
            </w:pPr>
          </w:p>
        </w:tc>
      </w:tr>
      <w:tr w14:paraId="1BE65E82">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4" w:space="0"/>
              <w:right w:val="single" w:color="000000" w:sz="6" w:space="0"/>
            </w:tcBorders>
            <w:vAlign w:val="center"/>
          </w:tcPr>
          <w:p w14:paraId="1AFCDA3B">
            <w:pPr>
              <w:spacing w:line="360" w:lineRule="auto"/>
              <w:ind w:right="106"/>
              <w:jc w:val="center"/>
            </w:pPr>
            <w:r>
              <w:rPr>
                <w:rFonts w:ascii="宋体" w:hAnsi="宋体" w:cs="宋体"/>
              </w:rPr>
              <w:t xml:space="preserve">备注 </w:t>
            </w:r>
          </w:p>
        </w:tc>
        <w:tc>
          <w:tcPr>
            <w:tcW w:w="1241" w:type="dxa"/>
            <w:tcBorders>
              <w:top w:val="single" w:color="000000" w:sz="6" w:space="0"/>
              <w:left w:val="single" w:color="000000" w:sz="6" w:space="0"/>
              <w:bottom w:val="single" w:color="000000" w:sz="4" w:space="0"/>
              <w:right w:val="nil"/>
            </w:tcBorders>
          </w:tcPr>
          <w:p w14:paraId="017914B3">
            <w:pPr>
              <w:spacing w:line="360" w:lineRule="auto"/>
            </w:pPr>
          </w:p>
        </w:tc>
        <w:tc>
          <w:tcPr>
            <w:tcW w:w="6522" w:type="dxa"/>
            <w:gridSpan w:val="9"/>
            <w:tcBorders>
              <w:top w:val="single" w:color="000000" w:sz="6" w:space="0"/>
              <w:left w:val="nil"/>
              <w:bottom w:val="single" w:color="000000" w:sz="4" w:space="0"/>
              <w:right w:val="single" w:color="000000" w:sz="4" w:space="0"/>
            </w:tcBorders>
          </w:tcPr>
          <w:p w14:paraId="02154EBE">
            <w:pPr>
              <w:spacing w:line="360" w:lineRule="auto"/>
            </w:pPr>
          </w:p>
        </w:tc>
      </w:tr>
    </w:tbl>
    <w:p w14:paraId="2C17D7F0">
      <w:pPr>
        <w:spacing w:line="360" w:lineRule="auto"/>
        <w:ind w:left="876" w:leftChars="417" w:firstLine="360" w:firstLineChars="150"/>
        <w:rPr>
          <w:rFonts w:ascii="宋体" w:hAnsi="宋体"/>
          <w:sz w:val="24"/>
        </w:rPr>
      </w:pPr>
      <w:r>
        <w:rPr>
          <w:rFonts w:ascii="宋体" w:hAnsi="宋体"/>
          <w:sz w:val="24"/>
        </w:rPr>
        <w:br w:type="page"/>
      </w:r>
    </w:p>
    <w:p w14:paraId="6E84AA5D">
      <w:pPr>
        <w:spacing w:line="360" w:lineRule="exact"/>
        <w:rPr>
          <w:rFonts w:ascii="宋体" w:hAnsi="宋体" w:cs="宋体"/>
          <w:b/>
          <w:color w:val="000000" w:themeColor="text1"/>
          <w:kern w:val="0"/>
          <w:sz w:val="24"/>
          <w14:textFill>
            <w14:solidFill>
              <w14:schemeClr w14:val="tx1"/>
            </w14:solidFill>
          </w14:textFill>
        </w:rPr>
      </w:pPr>
      <w:bookmarkStart w:id="79" w:name="_Toc183588711"/>
      <w:r>
        <w:rPr>
          <w:rFonts w:hint="eastAsia" w:ascii="宋体" w:hAnsi="宋体"/>
          <w:b/>
          <w:color w:val="000000" w:themeColor="text1"/>
          <w:sz w:val="24"/>
          <w14:textFill>
            <w14:solidFill>
              <w14:schemeClr w14:val="tx1"/>
            </w14:solidFill>
          </w14:textFill>
        </w:rPr>
        <w:t xml:space="preserve">附件6.4  </w:t>
      </w:r>
      <w:r>
        <w:rPr>
          <w:rFonts w:hint="eastAsia" w:ascii="宋体" w:hAnsi="宋体" w:cs="宋体"/>
          <w:b/>
          <w:color w:val="000000" w:themeColor="text1"/>
          <w:kern w:val="0"/>
          <w:sz w:val="24"/>
          <w14:textFill>
            <w14:solidFill>
              <w14:schemeClr w14:val="tx1"/>
            </w14:solidFill>
          </w14:textFill>
        </w:rPr>
        <w:t>具有良好的商业信誉和健全的财务会计制度（承诺函）</w:t>
      </w:r>
    </w:p>
    <w:p w14:paraId="51268915">
      <w:pPr>
        <w:adjustRightInd w:val="0"/>
        <w:snapToGrid w:val="0"/>
        <w:spacing w:line="300" w:lineRule="auto"/>
        <w:rPr>
          <w:rFonts w:hAnsi="宋体"/>
          <w:color w:val="000000" w:themeColor="text1"/>
          <w:sz w:val="24"/>
          <w14:textFill>
            <w14:solidFill>
              <w14:schemeClr w14:val="tx1"/>
            </w14:solidFill>
          </w14:textFill>
        </w:rPr>
      </w:pPr>
    </w:p>
    <w:p w14:paraId="118FE043">
      <w:pPr>
        <w:adjustRightInd w:val="0"/>
        <w:snapToGrid w:val="0"/>
        <w:spacing w:line="300" w:lineRule="auto"/>
        <w:rPr>
          <w:rFonts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海南省教学仪器设备招标中心有限公司：</w:t>
      </w:r>
    </w:p>
    <w:p w14:paraId="2C016E02">
      <w:pPr>
        <w:pStyle w:val="4"/>
        <w:jc w:val="left"/>
        <w:rPr>
          <w:rFonts w:ascii="宋体" w:hAnsi="宋体" w:eastAsia="宋体" w:cs="宋体"/>
          <w:b w:val="0"/>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ascii="宋体" w:hAnsi="宋体" w:eastAsia="宋体" w:cs="宋体"/>
          <w:b w:val="0"/>
          <w:color w:val="000000" w:themeColor="text1"/>
          <w14:textFill>
            <w14:solidFill>
              <w14:schemeClr w14:val="tx1"/>
            </w14:solidFill>
          </w14:textFill>
        </w:rPr>
        <w:t>我</w:t>
      </w:r>
      <w:r>
        <w:rPr>
          <w:rFonts w:hint="eastAsia" w:ascii="宋体" w:hAnsi="宋体" w:eastAsia="宋体"/>
          <w:b w:val="0"/>
          <w:color w:val="000000" w:themeColor="text1"/>
          <w14:textFill>
            <w14:solidFill>
              <w14:schemeClr w14:val="tx1"/>
            </w14:solidFill>
          </w14:textFill>
        </w:rPr>
        <w:t>单位在贵公司组织的（项目名称：     ），（项目编号：</w:t>
      </w:r>
      <w:r>
        <w:rPr>
          <w:rFonts w:ascii="宋体" w:hAnsi="宋体" w:eastAsia="宋体"/>
          <w:b w:val="0"/>
          <w:color w:val="000000" w:themeColor="text1"/>
          <w14:textFill>
            <w14:solidFill>
              <w14:schemeClr w14:val="tx1"/>
            </w14:solidFill>
          </w14:textFill>
        </w:rPr>
        <w:tab/>
      </w:r>
      <w:r>
        <w:rPr>
          <w:rFonts w:ascii="宋体" w:hAnsi="宋体" w:eastAsia="宋体"/>
          <w:b w:val="0"/>
          <w:color w:val="000000" w:themeColor="text1"/>
          <w14:textFill>
            <w14:solidFill>
              <w14:schemeClr w14:val="tx1"/>
            </w14:solidFill>
          </w14:textFill>
        </w:rPr>
        <w:tab/>
      </w:r>
      <w:r>
        <w:rPr>
          <w:rFonts w:hint="eastAsia" w:ascii="宋体" w:hAnsi="宋体" w:eastAsia="宋体"/>
          <w:b w:val="0"/>
          <w:color w:val="000000" w:themeColor="text1"/>
          <w14:textFill>
            <w14:solidFill>
              <w14:schemeClr w14:val="tx1"/>
            </w14:solidFill>
          </w14:textFill>
        </w:rPr>
        <w:t>）采购活动中郑重承诺</w:t>
      </w:r>
      <w:r>
        <w:rPr>
          <w:rFonts w:hint="eastAsia" w:ascii="宋体" w:hAnsi="宋体" w:eastAsia="宋体" w:cs="宋体"/>
          <w:b w:val="0"/>
          <w:color w:val="000000" w:themeColor="text1"/>
          <w14:textFill>
            <w14:solidFill>
              <w14:schemeClr w14:val="tx1"/>
            </w14:solidFill>
          </w14:textFill>
        </w:rPr>
        <w:t>具有良好的商业信誉和健全的财务会计制度。</w:t>
      </w:r>
      <w:r>
        <w:rPr>
          <w:rFonts w:ascii="宋体" w:hAnsi="宋体" w:eastAsia="宋体" w:cs="宋体"/>
          <w:b w:val="0"/>
          <w:color w:val="000000" w:themeColor="text1"/>
          <w14:textFill>
            <w14:solidFill>
              <w14:schemeClr w14:val="tx1"/>
            </w14:solidFill>
          </w14:textFill>
        </w:rPr>
        <w:t>如有虚假承诺</w:t>
      </w:r>
      <w:r>
        <w:rPr>
          <w:rFonts w:hint="eastAsia" w:ascii="宋体" w:hAnsi="宋体" w:eastAsia="宋体" w:cs="宋体"/>
          <w:b w:val="0"/>
          <w:color w:val="000000" w:themeColor="text1"/>
          <w14:textFill>
            <w14:solidFill>
              <w14:schemeClr w14:val="tx1"/>
            </w14:solidFill>
          </w14:textFill>
        </w:rPr>
        <w:t>，我们愿承担相应的法律责任。</w:t>
      </w:r>
    </w:p>
    <w:p w14:paraId="1CDEAF2B">
      <w:pPr>
        <w:adjustRightInd w:val="0"/>
        <w:spacing w:line="360" w:lineRule="auto"/>
        <w:ind w:firstLine="2880" w:firstLineChars="1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    （填写名称并加盖公章）</w:t>
      </w:r>
    </w:p>
    <w:p w14:paraId="2F63DA05">
      <w:pPr>
        <w:adjustRightInd w:val="0"/>
        <w:spacing w:line="360" w:lineRule="auto"/>
        <w:ind w:firstLine="2400" w:firstLineChars="10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18B6FEC4">
      <w:pPr>
        <w:adjustRightInd w:val="0"/>
        <w:spacing w:line="360" w:lineRule="auto"/>
        <w:rPr>
          <w:rFonts w:ascii="宋体" w:hAnsi="宋体"/>
          <w:bCs/>
          <w:color w:val="000000" w:themeColor="text1"/>
          <w:sz w:val="24"/>
          <w14:textFill>
            <w14:solidFill>
              <w14:schemeClr w14:val="tx1"/>
            </w14:solidFill>
          </w14:textFill>
        </w:rPr>
      </w:pPr>
    </w:p>
    <w:p w14:paraId="7453F6C9">
      <w:pPr>
        <w:ind w:firstLine="2880" w:firstLineChars="1200"/>
        <w:rPr>
          <w:rStyle w:val="62"/>
          <w:rFonts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hint="eastAsia" w:ascii="宋体" w:hAnsi="宋体"/>
          <w:bCs/>
          <w:color w:val="000000" w:themeColor="text1"/>
          <w:sz w:val="24"/>
          <w:lang w:eastAsia="zh-CN"/>
          <w14:textFill>
            <w14:solidFill>
              <w14:schemeClr w14:val="tx1"/>
            </w14:solidFill>
          </w14:textFill>
        </w:rPr>
        <w:t>2025年</w:t>
      </w:r>
      <w:r>
        <w:rPr>
          <w:rFonts w:hint="eastAsia" w:ascii="宋体" w:hAnsi="宋体"/>
          <w:bCs/>
          <w:color w:val="000000" w:themeColor="text1"/>
          <w:sz w:val="24"/>
          <w14:textFill>
            <w14:solidFill>
              <w14:schemeClr w14:val="tx1"/>
            </w14:solidFill>
          </w14:textFill>
        </w:rPr>
        <w:t xml:space="preserve">  月  日</w:t>
      </w:r>
    </w:p>
    <w:p w14:paraId="6EE2EAC3">
      <w:pPr>
        <w:rPr>
          <w:rFonts w:ascii="宋体" w:hAnsi="宋体"/>
          <w:color w:val="FF0000"/>
          <w:sz w:val="24"/>
        </w:rPr>
      </w:pPr>
    </w:p>
    <w:p w14:paraId="63B845D7">
      <w:pPr>
        <w:rPr>
          <w:rFonts w:ascii="宋体" w:hAnsi="宋体"/>
          <w:color w:val="FF0000"/>
          <w:sz w:val="24"/>
        </w:rPr>
      </w:pPr>
    </w:p>
    <w:p w14:paraId="7E7620B6">
      <w:pPr>
        <w:rPr>
          <w:rFonts w:hint="eastAsia" w:ascii="宋体" w:hAnsi="宋体"/>
          <w:b/>
          <w:bCs/>
          <w:color w:val="000000"/>
          <w:sz w:val="24"/>
        </w:rPr>
      </w:pPr>
      <w:r>
        <w:rPr>
          <w:rFonts w:hint="eastAsia" w:ascii="宋体" w:hAnsi="宋体"/>
          <w:b/>
          <w:bCs/>
          <w:color w:val="000000"/>
          <w:sz w:val="24"/>
        </w:rPr>
        <w:br w:type="page"/>
      </w:r>
    </w:p>
    <w:p w14:paraId="6EDB17A7">
      <w:pPr>
        <w:rPr>
          <w:rFonts w:ascii="宋体" w:hAnsi="宋体"/>
          <w:b/>
          <w:bCs/>
          <w:color w:val="000000"/>
          <w:sz w:val="24"/>
        </w:rPr>
      </w:pPr>
      <w:r>
        <w:rPr>
          <w:rFonts w:hint="eastAsia" w:ascii="宋体" w:hAnsi="宋体"/>
          <w:b/>
          <w:bCs/>
          <w:color w:val="000000"/>
          <w:sz w:val="24"/>
        </w:rPr>
        <w:t>附件6.5</w:t>
      </w:r>
      <w:r>
        <w:rPr>
          <w:rFonts w:hint="eastAsia" w:ascii="宋体" w:hAnsi="宋体"/>
          <w:b/>
          <w:bCs/>
          <w:color w:val="000000"/>
          <w:sz w:val="24"/>
          <w:lang w:val="en-US" w:eastAsia="zh-CN"/>
        </w:rPr>
        <w:t xml:space="preserve"> </w:t>
      </w:r>
      <w:r>
        <w:rPr>
          <w:rFonts w:ascii="宋体" w:hAnsi="宋体"/>
          <w:b/>
          <w:bCs/>
          <w:color w:val="000000"/>
          <w:sz w:val="24"/>
        </w:rPr>
        <w:t>具有履行合同所必需的设备和专业技术能力承诺书</w:t>
      </w:r>
    </w:p>
    <w:p w14:paraId="3DFD07B8">
      <w:pPr>
        <w:spacing w:line="360" w:lineRule="auto"/>
        <w:rPr>
          <w:rFonts w:ascii="宋体" w:hAnsi="宋体"/>
          <w:sz w:val="24"/>
        </w:rPr>
      </w:pPr>
    </w:p>
    <w:p w14:paraId="111830CA">
      <w:pPr>
        <w:spacing w:line="360" w:lineRule="auto"/>
        <w:rPr>
          <w:rFonts w:ascii="宋体" w:hAnsi="宋体"/>
          <w:sz w:val="24"/>
          <w:u w:val="single"/>
        </w:rPr>
      </w:pPr>
      <w:r>
        <w:rPr>
          <w:rFonts w:hint="eastAsia"/>
          <w:sz w:val="24"/>
        </w:rPr>
        <w:t>致</w:t>
      </w:r>
      <w:r>
        <w:rPr>
          <w:rFonts w:hint="eastAsia" w:ascii="宋体" w:hAnsi="宋体"/>
          <w:sz w:val="24"/>
        </w:rPr>
        <w:t>：</w:t>
      </w:r>
      <w:r>
        <w:rPr>
          <w:rFonts w:hint="eastAsia" w:ascii="宋体" w:hAnsi="宋体"/>
          <w:sz w:val="24"/>
          <w:u w:val="single"/>
        </w:rPr>
        <w:t>海南省教学仪器设备招标中心有限公司</w:t>
      </w:r>
    </w:p>
    <w:p w14:paraId="481E18EE">
      <w:pPr>
        <w:spacing w:line="360" w:lineRule="auto"/>
        <w:ind w:firstLine="480" w:firstLineChars="200"/>
        <w:rPr>
          <w:rFonts w:ascii="宋体" w:hAnsi="宋体"/>
          <w:sz w:val="24"/>
        </w:rPr>
      </w:pPr>
      <w:r>
        <w:rPr>
          <w:rFonts w:ascii="宋体" w:hAnsi="宋体"/>
          <w:sz w:val="24"/>
        </w:rPr>
        <w:t>我单位参与你公司组织的</w:t>
      </w:r>
      <w:r>
        <w:rPr>
          <w:rFonts w:ascii="宋体" w:hAnsi="宋体"/>
          <w:sz w:val="24"/>
          <w:u w:val="single"/>
        </w:rPr>
        <w:t xml:space="preserve">（项目名称） </w:t>
      </w:r>
      <w:r>
        <w:rPr>
          <w:rFonts w:ascii="宋体" w:hAnsi="宋体"/>
          <w:sz w:val="24"/>
        </w:rPr>
        <w:t>采购活动，现承诺具有履行合同所必需的人员</w:t>
      </w:r>
      <w:r>
        <w:rPr>
          <w:rFonts w:hint="eastAsia" w:ascii="宋体" w:hAnsi="宋体"/>
          <w:sz w:val="24"/>
        </w:rPr>
        <w:t>、</w:t>
      </w:r>
      <w:r>
        <w:rPr>
          <w:rFonts w:ascii="宋体" w:hAnsi="宋体"/>
          <w:sz w:val="24"/>
        </w:rPr>
        <w:t>设备和专业技术能力，如有虚假承诺，愿承担一切法律责任。</w:t>
      </w:r>
    </w:p>
    <w:p w14:paraId="08750829">
      <w:pPr>
        <w:spacing w:line="360" w:lineRule="auto"/>
        <w:rPr>
          <w:rFonts w:ascii="宋体" w:hAnsi="宋体"/>
          <w:sz w:val="24"/>
        </w:rPr>
      </w:pPr>
      <w:r>
        <w:rPr>
          <w:rFonts w:ascii="宋体" w:hAnsi="宋体"/>
          <w:sz w:val="24"/>
        </w:rPr>
        <w:t>特此承诺</w:t>
      </w:r>
      <w:r>
        <w:rPr>
          <w:rFonts w:hint="eastAsia" w:ascii="宋体" w:hAnsi="宋体"/>
          <w:sz w:val="24"/>
        </w:rPr>
        <w:t>。</w:t>
      </w:r>
    </w:p>
    <w:p w14:paraId="695B0953">
      <w:pPr>
        <w:spacing w:line="360" w:lineRule="auto"/>
        <w:rPr>
          <w:rFonts w:ascii="宋体" w:hAnsi="宋体"/>
          <w:sz w:val="24"/>
        </w:rPr>
      </w:pPr>
    </w:p>
    <w:p w14:paraId="140AD835">
      <w:pPr>
        <w:spacing w:line="360" w:lineRule="auto"/>
        <w:rPr>
          <w:rFonts w:ascii="宋体" w:hAnsi="宋体"/>
          <w:iCs/>
          <w:sz w:val="24"/>
        </w:rPr>
      </w:pPr>
      <w:r>
        <w:rPr>
          <w:rFonts w:hint="eastAsia" w:ascii="宋体" w:hAnsi="宋体"/>
          <w:sz w:val="24"/>
        </w:rPr>
        <w:t>供应商</w:t>
      </w:r>
      <w:r>
        <w:rPr>
          <w:rFonts w:ascii="宋体" w:hAnsi="宋体"/>
          <w:sz w:val="24"/>
        </w:rPr>
        <w:t>：（填写名称并盖章）</w:t>
      </w:r>
    </w:p>
    <w:p w14:paraId="3B6E5FAC">
      <w:pPr>
        <w:spacing w:line="360" w:lineRule="auto"/>
        <w:rPr>
          <w:rFonts w:ascii="宋体" w:hAnsi="宋体"/>
          <w:sz w:val="24"/>
        </w:rPr>
      </w:pPr>
    </w:p>
    <w:p w14:paraId="46ABA9D2">
      <w:pPr>
        <w:spacing w:line="360" w:lineRule="auto"/>
        <w:rPr>
          <w:rFonts w:ascii="宋体" w:hAnsi="宋体"/>
          <w:sz w:val="24"/>
        </w:rPr>
      </w:pPr>
      <w:r>
        <w:rPr>
          <w:rFonts w:ascii="宋体" w:hAnsi="宋体"/>
          <w:sz w:val="24"/>
        </w:rPr>
        <w:t>法定代表人或其授权委托人：</w:t>
      </w:r>
      <w:r>
        <w:rPr>
          <w:rFonts w:ascii="宋体" w:hAnsi="宋体"/>
          <w:iCs/>
          <w:sz w:val="24"/>
        </w:rPr>
        <w:t>（签字或盖章）</w:t>
      </w:r>
    </w:p>
    <w:p w14:paraId="5EBA43EE">
      <w:pPr>
        <w:spacing w:line="360" w:lineRule="auto"/>
        <w:rPr>
          <w:rFonts w:ascii="宋体" w:hAnsi="宋体"/>
          <w:sz w:val="24"/>
        </w:rPr>
      </w:pPr>
    </w:p>
    <w:p w14:paraId="353C1CD3">
      <w:pPr>
        <w:rPr>
          <w:rFonts w:ascii="宋体" w:hAnsi="宋体"/>
          <w:sz w:val="24"/>
        </w:rPr>
      </w:pPr>
      <w:r>
        <w:rPr>
          <w:rFonts w:ascii="宋体" w:hAnsi="宋体"/>
          <w:sz w:val="24"/>
        </w:rPr>
        <w:t>日期：</w:t>
      </w:r>
      <w:r>
        <w:rPr>
          <w:rFonts w:hint="eastAsia" w:ascii="宋体" w:hAnsi="宋体"/>
          <w:sz w:val="24"/>
          <w:lang w:eastAsia="zh-CN"/>
        </w:rPr>
        <w:t>2025年</w:t>
      </w:r>
      <w:r>
        <w:rPr>
          <w:rFonts w:hint="eastAsia" w:ascii="宋体" w:hAnsi="宋体"/>
          <w:sz w:val="24"/>
        </w:rPr>
        <w:t xml:space="preserve">   月   日</w:t>
      </w:r>
    </w:p>
    <w:p w14:paraId="799BEC0F">
      <w:pPr>
        <w:adjustRightInd w:val="0"/>
        <w:snapToGrid w:val="0"/>
        <w:spacing w:line="360" w:lineRule="auto"/>
        <w:ind w:firstLine="480" w:firstLineChars="200"/>
        <w:rPr>
          <w:color w:val="FF0000"/>
          <w:sz w:val="24"/>
        </w:rPr>
      </w:pPr>
    </w:p>
    <w:p w14:paraId="67472A74">
      <w:pPr>
        <w:pStyle w:val="4"/>
        <w:snapToGrid w:val="0"/>
        <w:spacing w:line="300" w:lineRule="auto"/>
        <w:rPr>
          <w:rFonts w:ascii="宋体" w:hAnsi="宋体" w:eastAsia="宋体"/>
          <w:color w:val="000000" w:themeColor="text1"/>
          <w:szCs w:val="24"/>
          <w14:textFill>
            <w14:solidFill>
              <w14:schemeClr w14:val="tx1"/>
            </w14:solidFill>
          </w14:textFill>
        </w:rPr>
      </w:pPr>
    </w:p>
    <w:p w14:paraId="0E608CA9">
      <w:pPr>
        <w:rPr>
          <w:rFonts w:hint="eastAsia" w:ascii="宋体" w:hAnsi="宋体" w:eastAsia="宋体"/>
          <w:color w:val="000000" w:themeColor="text1"/>
          <w:szCs w:val="24"/>
          <w14:textFill>
            <w14:solidFill>
              <w14:schemeClr w14:val="tx1"/>
            </w14:solidFill>
          </w14:textFill>
        </w:rPr>
      </w:pPr>
      <w:r>
        <w:rPr>
          <w:rFonts w:hint="eastAsia" w:ascii="宋体" w:hAnsi="宋体" w:eastAsia="宋体"/>
          <w:color w:val="000000" w:themeColor="text1"/>
          <w:szCs w:val="24"/>
          <w14:textFill>
            <w14:solidFill>
              <w14:schemeClr w14:val="tx1"/>
            </w14:solidFill>
          </w14:textFill>
        </w:rPr>
        <w:br w:type="page"/>
      </w:r>
    </w:p>
    <w:p w14:paraId="06900C98">
      <w:pPr>
        <w:pStyle w:val="4"/>
        <w:snapToGrid w:val="0"/>
        <w:spacing w:line="300" w:lineRule="auto"/>
        <w:jc w:val="both"/>
        <w:rPr>
          <w:rFonts w:ascii="宋体" w:hAnsi="宋体" w:eastAsia="宋体"/>
          <w:bCs/>
          <w:color w:val="000000" w:themeColor="text1"/>
          <w:szCs w:val="24"/>
          <w14:textFill>
            <w14:solidFill>
              <w14:schemeClr w14:val="tx1"/>
            </w14:solidFill>
          </w14:textFill>
        </w:rPr>
      </w:pPr>
      <w:r>
        <w:rPr>
          <w:rFonts w:hint="eastAsia" w:ascii="宋体" w:hAnsi="宋体" w:eastAsia="宋体"/>
          <w:color w:val="000000" w:themeColor="text1"/>
          <w:szCs w:val="24"/>
          <w14:textFill>
            <w14:solidFill>
              <w14:schemeClr w14:val="tx1"/>
            </w14:solidFill>
          </w14:textFill>
        </w:rPr>
        <w:t>附件6.6</w:t>
      </w:r>
      <w:r>
        <w:rPr>
          <w:rFonts w:hint="eastAsia" w:ascii="宋体" w:hAnsi="宋体" w:cs="宋体"/>
          <w:color w:val="000000" w:themeColor="text1"/>
          <w14:textFill>
            <w14:solidFill>
              <w14:schemeClr w14:val="tx1"/>
            </w14:solidFill>
          </w14:textFill>
        </w:rPr>
        <w:t>具有依法缴纳税收和社会保障资金的良好记录（承诺函）</w:t>
      </w:r>
    </w:p>
    <w:p w14:paraId="1920E111">
      <w:pPr>
        <w:adjustRightInd w:val="0"/>
        <w:snapToGrid w:val="0"/>
        <w:spacing w:line="300" w:lineRule="auto"/>
        <w:rPr>
          <w:rFonts w:hAnsi="宋体"/>
          <w:color w:val="000000" w:themeColor="text1"/>
          <w:sz w:val="24"/>
          <w14:textFill>
            <w14:solidFill>
              <w14:schemeClr w14:val="tx1"/>
            </w14:solidFill>
          </w14:textFill>
        </w:rPr>
      </w:pPr>
    </w:p>
    <w:p w14:paraId="04AB957B">
      <w:pPr>
        <w:adjustRightInd w:val="0"/>
        <w:snapToGrid w:val="0"/>
        <w:spacing w:line="300" w:lineRule="auto"/>
        <w:rPr>
          <w:rFonts w:ascii="宋体" w:hAnsi="宋体"/>
          <w:color w:val="000000" w:themeColor="text1"/>
          <w:sz w:val="24"/>
          <w14:textFill>
            <w14:solidFill>
              <w14:schemeClr w14:val="tx1"/>
            </w14:solidFill>
          </w14:textFill>
        </w:rPr>
      </w:pPr>
      <w:r>
        <w:rPr>
          <w:rFonts w:hint="eastAsia"/>
          <w:sz w:val="24"/>
        </w:rPr>
        <w:t>致</w:t>
      </w:r>
      <w:r>
        <w:rPr>
          <w:rFonts w:hint="eastAsia" w:ascii="宋体"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海南省教学仪器设备招标中心有限公司：</w:t>
      </w:r>
    </w:p>
    <w:p w14:paraId="197D9591">
      <w:pPr>
        <w:pStyle w:val="4"/>
        <w:jc w:val="left"/>
        <w:rPr>
          <w:rFonts w:ascii="宋体" w:hAnsi="宋体" w:eastAsia="宋体" w:cs="宋体"/>
          <w:b w:val="0"/>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ascii="宋体" w:hAnsi="宋体" w:eastAsia="宋体"/>
          <w:b w:val="0"/>
          <w:color w:val="000000" w:themeColor="text1"/>
          <w14:textFill>
            <w14:solidFill>
              <w14:schemeClr w14:val="tx1"/>
            </w14:solidFill>
          </w14:textFill>
        </w:rPr>
        <w:t xml:space="preserve"> 我单位在贵公司组织的（项目名称：     ），（项目编号：</w:t>
      </w:r>
      <w:r>
        <w:rPr>
          <w:rFonts w:ascii="宋体" w:hAnsi="宋体" w:eastAsia="宋体"/>
          <w:b w:val="0"/>
          <w:color w:val="000000" w:themeColor="text1"/>
          <w14:textFill>
            <w14:solidFill>
              <w14:schemeClr w14:val="tx1"/>
            </w14:solidFill>
          </w14:textFill>
        </w:rPr>
        <w:tab/>
      </w:r>
      <w:r>
        <w:rPr>
          <w:rFonts w:ascii="宋体" w:hAnsi="宋体" w:eastAsia="宋体"/>
          <w:b w:val="0"/>
          <w:color w:val="000000" w:themeColor="text1"/>
          <w14:textFill>
            <w14:solidFill>
              <w14:schemeClr w14:val="tx1"/>
            </w14:solidFill>
          </w14:textFill>
        </w:rPr>
        <w:tab/>
      </w:r>
      <w:r>
        <w:rPr>
          <w:rFonts w:hint="eastAsia" w:ascii="宋体" w:hAnsi="宋体" w:eastAsia="宋体"/>
          <w:b w:val="0"/>
          <w:color w:val="000000" w:themeColor="text1"/>
          <w14:textFill>
            <w14:solidFill>
              <w14:schemeClr w14:val="tx1"/>
            </w14:solidFill>
          </w14:textFill>
        </w:rPr>
        <w:t>）采购活动中郑重承诺</w:t>
      </w:r>
      <w:r>
        <w:rPr>
          <w:rFonts w:hint="eastAsia" w:ascii="宋体" w:hAnsi="宋体" w:eastAsia="宋体" w:cs="宋体"/>
          <w:b w:val="0"/>
          <w:color w:val="000000" w:themeColor="text1"/>
          <w14:textFill>
            <w14:solidFill>
              <w14:schemeClr w14:val="tx1"/>
            </w14:solidFill>
          </w14:textFill>
        </w:rPr>
        <w:t>具有依法缴纳税收和社会保障资金的良好记录。</w:t>
      </w:r>
      <w:r>
        <w:rPr>
          <w:rFonts w:ascii="宋体" w:hAnsi="宋体" w:eastAsia="宋体" w:cs="宋体"/>
          <w:b w:val="0"/>
          <w:color w:val="000000" w:themeColor="text1"/>
          <w14:textFill>
            <w14:solidFill>
              <w14:schemeClr w14:val="tx1"/>
            </w14:solidFill>
          </w14:textFill>
        </w:rPr>
        <w:t>如有虚假承诺</w:t>
      </w:r>
      <w:r>
        <w:rPr>
          <w:rFonts w:hint="eastAsia" w:ascii="宋体" w:hAnsi="宋体" w:eastAsia="宋体" w:cs="宋体"/>
          <w:b w:val="0"/>
          <w:color w:val="000000" w:themeColor="text1"/>
          <w14:textFill>
            <w14:solidFill>
              <w14:schemeClr w14:val="tx1"/>
            </w14:solidFill>
          </w14:textFill>
        </w:rPr>
        <w:t>，我们愿承担相应的法律责任。</w:t>
      </w:r>
    </w:p>
    <w:p w14:paraId="5468CB6B">
      <w:pPr>
        <w:pStyle w:val="4"/>
        <w:ind w:firstLine="3386" w:firstLineChars="1176"/>
        <w:rPr>
          <w:rFonts w:asciiTheme="majorEastAsia" w:hAnsiTheme="majorEastAsia" w:eastAsiaTheme="majorEastAsia"/>
          <w:b w:val="0"/>
          <w:bCs/>
          <w:color w:val="000000" w:themeColor="text1"/>
          <w14:textFill>
            <w14:solidFill>
              <w14:schemeClr w14:val="tx1"/>
            </w14:solidFill>
          </w14:textFill>
        </w:rPr>
      </w:pPr>
      <w:r>
        <w:rPr>
          <w:rFonts w:hint="eastAsia" w:asciiTheme="majorEastAsia" w:hAnsiTheme="majorEastAsia" w:eastAsiaTheme="majorEastAsia"/>
          <w:b w:val="0"/>
          <w:color w:val="000000" w:themeColor="text1"/>
          <w14:textFill>
            <w14:solidFill>
              <w14:schemeClr w14:val="tx1"/>
            </w14:solidFill>
          </w14:textFill>
        </w:rPr>
        <w:t>承诺人：    （填写名称并加盖公章）</w:t>
      </w:r>
    </w:p>
    <w:p w14:paraId="2DA8DD05">
      <w:pPr>
        <w:adjustRightInd w:val="0"/>
        <w:spacing w:line="360" w:lineRule="auto"/>
        <w:ind w:firstLine="2640" w:firstLineChars="11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70850D0D">
      <w:pPr>
        <w:adjustRightInd w:val="0"/>
        <w:spacing w:line="360" w:lineRule="auto"/>
        <w:ind w:firstLine="480" w:firstLineChars="200"/>
        <w:rPr>
          <w:rFonts w:ascii="宋体" w:hAnsi="宋体"/>
          <w:bCs/>
          <w:color w:val="FF0000"/>
          <w:sz w:val="24"/>
        </w:rPr>
      </w:pPr>
    </w:p>
    <w:p w14:paraId="410A683C">
      <w:pPr>
        <w:ind w:firstLine="3240" w:firstLineChars="1350"/>
        <w:rPr>
          <w:rStyle w:val="62"/>
          <w:rFonts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hint="eastAsia" w:ascii="宋体" w:hAnsi="宋体"/>
          <w:bCs/>
          <w:color w:val="000000" w:themeColor="text1"/>
          <w:sz w:val="24"/>
          <w:lang w:eastAsia="zh-CN"/>
          <w14:textFill>
            <w14:solidFill>
              <w14:schemeClr w14:val="tx1"/>
            </w14:solidFill>
          </w14:textFill>
        </w:rPr>
        <w:t>2025年</w:t>
      </w:r>
      <w:r>
        <w:rPr>
          <w:rFonts w:hint="eastAsia" w:ascii="宋体" w:hAnsi="宋体"/>
          <w:bCs/>
          <w:color w:val="000000" w:themeColor="text1"/>
          <w:sz w:val="24"/>
          <w14:textFill>
            <w14:solidFill>
              <w14:schemeClr w14:val="tx1"/>
            </w14:solidFill>
          </w14:textFill>
        </w:rPr>
        <w:t xml:space="preserve">  月  日</w:t>
      </w:r>
    </w:p>
    <w:p w14:paraId="22741F4A">
      <w:pPr>
        <w:pStyle w:val="4"/>
        <w:snapToGrid w:val="0"/>
        <w:spacing w:line="300" w:lineRule="auto"/>
        <w:rPr>
          <w:rFonts w:ascii="宋体" w:hAnsi="宋体" w:eastAsia="宋体"/>
          <w:bCs/>
          <w:color w:val="000000" w:themeColor="text1"/>
          <w:szCs w:val="24"/>
          <w14:textFill>
            <w14:solidFill>
              <w14:schemeClr w14:val="tx1"/>
            </w14:solidFill>
          </w14:textFill>
        </w:rPr>
      </w:pPr>
    </w:p>
    <w:p w14:paraId="3ADBD0BD">
      <w:pPr>
        <w:rPr>
          <w:rFonts w:hint="eastAsia" w:ascii="宋体" w:hAnsi="宋体" w:eastAsia="宋体"/>
          <w:bCs/>
          <w:szCs w:val="24"/>
        </w:rPr>
      </w:pPr>
      <w:r>
        <w:rPr>
          <w:rFonts w:hint="eastAsia" w:ascii="宋体" w:hAnsi="宋体" w:eastAsia="宋体"/>
          <w:bCs/>
          <w:szCs w:val="24"/>
        </w:rPr>
        <w:br w:type="page"/>
      </w:r>
    </w:p>
    <w:p w14:paraId="15FCEB81">
      <w:pPr>
        <w:pStyle w:val="4"/>
        <w:keepNext w:val="0"/>
        <w:keepLines w:val="0"/>
        <w:rPr>
          <w:rFonts w:ascii="宋体" w:hAnsi="宋体" w:eastAsia="宋体"/>
          <w:bCs/>
          <w:szCs w:val="24"/>
        </w:rPr>
      </w:pPr>
      <w:r>
        <w:rPr>
          <w:rFonts w:hint="eastAsia" w:ascii="宋体" w:hAnsi="宋体" w:eastAsia="宋体"/>
          <w:bCs/>
          <w:szCs w:val="24"/>
        </w:rPr>
        <w:t>附件6.7 响应</w:t>
      </w:r>
      <w:r>
        <w:rPr>
          <w:rFonts w:hint="eastAsia" w:ascii="宋体" w:hAnsi="宋体" w:eastAsia="宋体"/>
          <w:szCs w:val="24"/>
        </w:rPr>
        <w:t>供应商</w:t>
      </w:r>
      <w:r>
        <w:rPr>
          <w:rFonts w:hint="eastAsia" w:ascii="宋体" w:hAnsi="宋体" w:eastAsia="宋体"/>
          <w:bCs/>
          <w:szCs w:val="24"/>
        </w:rPr>
        <w:t>参加政府采购活动近三年内，在经营活动中没有重大事故、违法记录的声明</w:t>
      </w:r>
      <w:bookmarkEnd w:id="79"/>
    </w:p>
    <w:p w14:paraId="2FDB4335">
      <w:pPr>
        <w:spacing w:line="360" w:lineRule="auto"/>
        <w:jc w:val="center"/>
        <w:rPr>
          <w:rFonts w:ascii="宋体" w:hAnsi="宋体"/>
          <w:sz w:val="24"/>
        </w:rPr>
      </w:pPr>
      <w:r>
        <w:rPr>
          <w:rFonts w:hint="eastAsia" w:ascii="宋体" w:hAnsi="宋体"/>
          <w:sz w:val="24"/>
        </w:rPr>
        <w:t>（须加盖本单位公章）</w:t>
      </w:r>
    </w:p>
    <w:p w14:paraId="2D612614">
      <w:pPr>
        <w:rPr>
          <w:rFonts w:ascii="宋体" w:hAnsi="宋体"/>
          <w:sz w:val="24"/>
        </w:rPr>
      </w:pPr>
      <w:r>
        <w:rPr>
          <w:rFonts w:hint="eastAsia" w:ascii="宋体" w:hAnsi="宋体"/>
          <w:sz w:val="24"/>
        </w:rPr>
        <w:t>海南省教学仪器设备招标中心有限公司：</w:t>
      </w:r>
    </w:p>
    <w:p w14:paraId="2D5CB5F4">
      <w:pPr>
        <w:rPr>
          <w:rFonts w:ascii="宋体" w:hAnsi="宋体"/>
          <w:sz w:val="24"/>
        </w:rPr>
      </w:pPr>
    </w:p>
    <w:p w14:paraId="01A0064A">
      <w:pPr>
        <w:ind w:firstLine="480" w:firstLineChars="200"/>
        <w:rPr>
          <w:rFonts w:ascii="宋体" w:hAnsi="宋体"/>
          <w:sz w:val="24"/>
        </w:rPr>
      </w:pPr>
      <w:r>
        <w:rPr>
          <w:rFonts w:hint="eastAsia" w:ascii="宋体" w:hAnsi="宋体"/>
          <w:sz w:val="24"/>
        </w:rPr>
        <w:t>我公司在参加本次政府采购活动前三年内，在经营活动中没有重大事故、违法记录。</w:t>
      </w:r>
    </w:p>
    <w:p w14:paraId="16A1147E">
      <w:pPr>
        <w:rPr>
          <w:rFonts w:ascii="宋体" w:hAnsi="宋体"/>
          <w:sz w:val="24"/>
        </w:rPr>
      </w:pPr>
    </w:p>
    <w:p w14:paraId="6344EC8D">
      <w:pPr>
        <w:ind w:firstLine="480" w:firstLineChars="200"/>
        <w:rPr>
          <w:rFonts w:ascii="宋体" w:hAnsi="宋体"/>
          <w:sz w:val="24"/>
        </w:rPr>
      </w:pPr>
      <w:r>
        <w:rPr>
          <w:rFonts w:hint="eastAsia" w:ascii="宋体" w:hAnsi="宋体"/>
          <w:sz w:val="24"/>
        </w:rPr>
        <w:t>特此声明。</w:t>
      </w:r>
    </w:p>
    <w:p w14:paraId="12CE3DC2">
      <w:pPr>
        <w:ind w:firstLine="480" w:firstLineChars="200"/>
        <w:rPr>
          <w:rFonts w:ascii="宋体" w:hAnsi="宋体"/>
          <w:sz w:val="24"/>
        </w:rPr>
      </w:pPr>
    </w:p>
    <w:p w14:paraId="25746A03">
      <w:pPr>
        <w:ind w:firstLine="480" w:firstLineChars="200"/>
        <w:rPr>
          <w:rFonts w:ascii="宋体" w:hAnsi="宋体"/>
          <w:sz w:val="24"/>
        </w:rPr>
      </w:pPr>
    </w:p>
    <w:p w14:paraId="5913B747">
      <w:pPr>
        <w:ind w:firstLine="480" w:firstLineChars="200"/>
        <w:rPr>
          <w:rFonts w:ascii="宋体" w:hAnsi="宋体"/>
          <w:sz w:val="24"/>
        </w:rPr>
      </w:pPr>
    </w:p>
    <w:p w14:paraId="3FD5FA6C">
      <w:pPr>
        <w:ind w:firstLine="480" w:firstLineChars="200"/>
        <w:rPr>
          <w:rFonts w:ascii="宋体" w:hAnsi="宋体"/>
          <w:sz w:val="24"/>
        </w:rPr>
      </w:pPr>
    </w:p>
    <w:p w14:paraId="4A4B9DC5">
      <w:pPr>
        <w:ind w:firstLine="480" w:firstLineChars="200"/>
        <w:rPr>
          <w:rFonts w:ascii="宋体" w:hAnsi="宋体"/>
          <w:sz w:val="24"/>
        </w:rPr>
      </w:pPr>
    </w:p>
    <w:p w14:paraId="31029A5B">
      <w:pPr>
        <w:ind w:firstLine="480" w:firstLineChars="200"/>
        <w:rPr>
          <w:rFonts w:ascii="宋体" w:hAnsi="宋体"/>
          <w:sz w:val="24"/>
        </w:rPr>
      </w:pPr>
    </w:p>
    <w:p w14:paraId="3106E871">
      <w:pPr>
        <w:ind w:firstLine="480" w:firstLineChars="200"/>
        <w:rPr>
          <w:rFonts w:ascii="宋体" w:hAnsi="宋体"/>
          <w:sz w:val="24"/>
        </w:rPr>
      </w:pPr>
    </w:p>
    <w:p w14:paraId="6E743A5C">
      <w:pPr>
        <w:ind w:firstLine="3600" w:firstLineChars="1500"/>
        <w:rPr>
          <w:rFonts w:ascii="宋体" w:hAnsi="宋体"/>
          <w:sz w:val="24"/>
        </w:rPr>
      </w:pPr>
      <w:r>
        <w:rPr>
          <w:rFonts w:hint="eastAsia" w:ascii="宋体" w:hAnsi="宋体"/>
          <w:sz w:val="24"/>
        </w:rPr>
        <w:t>法定代表人或被授权人签字：</w:t>
      </w:r>
    </w:p>
    <w:p w14:paraId="6F46CA86">
      <w:pPr>
        <w:ind w:firstLine="3600" w:firstLineChars="1500"/>
        <w:rPr>
          <w:rFonts w:ascii="宋体" w:hAnsi="宋体"/>
          <w:sz w:val="24"/>
        </w:rPr>
      </w:pPr>
    </w:p>
    <w:p w14:paraId="34710BC1">
      <w:pPr>
        <w:ind w:firstLine="3600" w:firstLineChars="1500"/>
        <w:rPr>
          <w:rFonts w:ascii="宋体" w:hAnsi="宋体"/>
          <w:sz w:val="24"/>
        </w:rPr>
      </w:pPr>
    </w:p>
    <w:p w14:paraId="125B6F14">
      <w:pPr>
        <w:ind w:firstLine="3600" w:firstLineChars="1500"/>
        <w:rPr>
          <w:rFonts w:ascii="宋体" w:hAnsi="宋体"/>
          <w:sz w:val="24"/>
        </w:rPr>
      </w:pPr>
    </w:p>
    <w:p w14:paraId="2345B2FA">
      <w:pPr>
        <w:ind w:firstLine="3840" w:firstLineChars="1600"/>
        <w:rPr>
          <w:rFonts w:ascii="宋体" w:hAnsi="宋体"/>
          <w:sz w:val="24"/>
        </w:rPr>
      </w:pPr>
      <w:r>
        <w:rPr>
          <w:rFonts w:hint="eastAsia" w:ascii="宋体" w:hAnsi="宋体"/>
          <w:sz w:val="24"/>
        </w:rPr>
        <w:t>供应商名称：（盖公章）：</w:t>
      </w:r>
    </w:p>
    <w:p w14:paraId="49C14112">
      <w:pPr>
        <w:ind w:firstLine="5280" w:firstLineChars="2200"/>
        <w:rPr>
          <w:rFonts w:ascii="宋体" w:hAnsi="宋体"/>
          <w:sz w:val="24"/>
        </w:rPr>
      </w:pPr>
    </w:p>
    <w:p w14:paraId="17696BDB">
      <w:pPr>
        <w:ind w:firstLine="3600" w:firstLineChars="1500"/>
        <w:rPr>
          <w:rFonts w:ascii="宋体" w:hAnsi="宋体"/>
          <w:sz w:val="24"/>
        </w:rPr>
      </w:pPr>
    </w:p>
    <w:p w14:paraId="757BE8AC">
      <w:pPr>
        <w:ind w:firstLine="3600" w:firstLineChars="1500"/>
        <w:rPr>
          <w:rFonts w:ascii="宋体" w:hAnsi="宋体"/>
          <w:sz w:val="24"/>
        </w:rPr>
      </w:pPr>
    </w:p>
    <w:p w14:paraId="7CFE9FF9">
      <w:pPr>
        <w:ind w:firstLine="6360" w:firstLineChars="2650"/>
        <w:rPr>
          <w:rFonts w:ascii="仿宋_GB2312" w:eastAsia="仿宋_GB2312"/>
          <w:sz w:val="24"/>
        </w:rPr>
      </w:pPr>
      <w:r>
        <w:rPr>
          <w:rFonts w:hint="eastAsia" w:ascii="宋体" w:hAnsi="宋体"/>
          <w:sz w:val="24"/>
        </w:rPr>
        <w:t>年    月    日</w:t>
      </w:r>
    </w:p>
    <w:p w14:paraId="0B3CDDA6">
      <w:pPr>
        <w:tabs>
          <w:tab w:val="left" w:pos="5580"/>
        </w:tabs>
        <w:spacing w:line="360" w:lineRule="auto"/>
        <w:rPr>
          <w:rFonts w:ascii="宋体" w:hAnsi="宋体"/>
          <w:sz w:val="24"/>
        </w:rPr>
      </w:pPr>
    </w:p>
    <w:p w14:paraId="6435ADA7">
      <w:pPr>
        <w:pStyle w:val="4"/>
        <w:jc w:val="both"/>
        <w:rPr>
          <w:rFonts w:ascii="宋体" w:hAnsi="宋体"/>
          <w:szCs w:val="24"/>
        </w:rPr>
      </w:pPr>
      <w:bookmarkStart w:id="80" w:name="_Toc183588717"/>
    </w:p>
    <w:p w14:paraId="501657F4"/>
    <w:p w14:paraId="3B7611BA">
      <w:pPr>
        <w:rPr>
          <w:rFonts w:hint="eastAsia" w:ascii="宋体" w:hAnsi="宋体" w:eastAsia="宋体"/>
          <w:szCs w:val="24"/>
        </w:rPr>
      </w:pPr>
      <w:r>
        <w:rPr>
          <w:rFonts w:hint="eastAsia" w:ascii="宋体" w:hAnsi="宋体" w:eastAsia="宋体"/>
          <w:szCs w:val="24"/>
        </w:rPr>
        <w:br w:type="page"/>
      </w:r>
    </w:p>
    <w:p w14:paraId="70323112">
      <w:pPr>
        <w:pStyle w:val="4"/>
        <w:jc w:val="both"/>
        <w:rPr>
          <w:rStyle w:val="62"/>
          <w:rFonts w:hAnsi="宋体"/>
        </w:rPr>
      </w:pPr>
      <w:r>
        <w:rPr>
          <w:rFonts w:hint="eastAsia" w:ascii="宋体" w:hAnsi="宋体" w:eastAsia="宋体"/>
          <w:szCs w:val="24"/>
        </w:rPr>
        <w:t>附件6.8 参加政府采购活动前三年内，在经营活动中没有环保类行政处罚记录</w:t>
      </w:r>
    </w:p>
    <w:p w14:paraId="2AB5F417">
      <w:pPr>
        <w:pStyle w:val="5"/>
        <w:overflowPunct w:val="0"/>
        <w:spacing w:line="560" w:lineRule="exact"/>
        <w:ind w:firstLine="0"/>
        <w:jc w:val="center"/>
        <w:rPr>
          <w:b/>
          <w:sz w:val="32"/>
          <w:szCs w:val="32"/>
        </w:rPr>
      </w:pPr>
      <w:r>
        <w:rPr>
          <w:b/>
          <w:sz w:val="32"/>
          <w:szCs w:val="32"/>
        </w:rPr>
        <w:t>环保类行政处罚记录声明函</w:t>
      </w:r>
    </w:p>
    <w:p w14:paraId="09421977">
      <w:pPr>
        <w:spacing w:line="480" w:lineRule="auto"/>
        <w:rPr>
          <w:sz w:val="24"/>
        </w:rPr>
      </w:pPr>
      <w:r>
        <w:rPr>
          <w:rFonts w:hint="eastAsia"/>
          <w:sz w:val="24"/>
        </w:rPr>
        <w:t>致：</w:t>
      </w:r>
      <w:r>
        <w:rPr>
          <w:rFonts w:hint="eastAsia"/>
          <w:sz w:val="24"/>
          <w:u w:val="single"/>
        </w:rPr>
        <w:t>（采购人名称）</w:t>
      </w:r>
    </w:p>
    <w:p w14:paraId="7AB7068A">
      <w:pPr>
        <w:spacing w:line="480" w:lineRule="auto"/>
        <w:ind w:firstLine="480" w:firstLineChars="200"/>
        <w:rPr>
          <w:sz w:val="24"/>
        </w:rPr>
      </w:pPr>
      <w:r>
        <w:rPr>
          <w:rFonts w:hint="eastAsia"/>
          <w:sz w:val="24"/>
        </w:rPr>
        <w:t>我单位（供应商名称）郑重声明：</w:t>
      </w:r>
    </w:p>
    <w:p w14:paraId="0E09B058">
      <w:pPr>
        <w:spacing w:line="480" w:lineRule="auto"/>
        <w:ind w:firstLine="480" w:firstLineChars="200"/>
      </w:pPr>
      <w:r>
        <w:rPr>
          <w:rFonts w:hint="eastAsia"/>
          <w:sz w:val="24"/>
        </w:rPr>
        <w:t>我单位参加政府采购活动前三年内，在经营活动中</w:t>
      </w:r>
      <w:r>
        <w:rPr>
          <w:rFonts w:hint="eastAsia"/>
          <w:b/>
          <w:bCs/>
          <w:sz w:val="24"/>
          <w:u w:val="single"/>
        </w:rPr>
        <w:t>没有</w:t>
      </w:r>
      <w:r>
        <w:rPr>
          <w:rFonts w:hint="eastAsia"/>
          <w:sz w:val="24"/>
        </w:rPr>
        <w:t>（在下划线上如实填写：有或没有）环保类行政处罚记录，特此声明。</w:t>
      </w:r>
    </w:p>
    <w:p w14:paraId="0ADB658B">
      <w:pPr>
        <w:adjustRightInd w:val="0"/>
        <w:spacing w:line="360" w:lineRule="auto"/>
        <w:ind w:firstLine="3240" w:firstLineChars="1350"/>
        <w:rPr>
          <w:bCs/>
          <w:sz w:val="24"/>
        </w:rPr>
      </w:pPr>
      <w:r>
        <w:rPr>
          <w:rFonts w:hint="eastAsia"/>
          <w:sz w:val="24"/>
        </w:rPr>
        <w:t>声明人：（填写名称并盖章）</w:t>
      </w:r>
    </w:p>
    <w:p w14:paraId="04B3E61C">
      <w:pPr>
        <w:adjustRightInd w:val="0"/>
        <w:spacing w:line="360" w:lineRule="auto"/>
        <w:ind w:firstLine="480" w:firstLineChars="200"/>
        <w:rPr>
          <w:sz w:val="24"/>
        </w:rPr>
      </w:pPr>
    </w:p>
    <w:p w14:paraId="43E0127B">
      <w:pPr>
        <w:adjustRightInd w:val="0"/>
        <w:spacing w:line="360" w:lineRule="auto"/>
        <w:ind w:firstLine="3240" w:firstLineChars="1350"/>
        <w:rPr>
          <w:bCs/>
          <w:sz w:val="24"/>
        </w:rPr>
      </w:pPr>
      <w:r>
        <w:rPr>
          <w:rFonts w:hint="eastAsia"/>
          <w:sz w:val="24"/>
        </w:rPr>
        <w:t>法定代表人或授权代表</w:t>
      </w:r>
      <w:r>
        <w:rPr>
          <w:rFonts w:hint="eastAsia"/>
          <w:bCs/>
          <w:sz w:val="24"/>
        </w:rPr>
        <w:t>：</w:t>
      </w:r>
      <w:r>
        <w:rPr>
          <w:rFonts w:hint="eastAsia"/>
          <w:iCs/>
          <w:sz w:val="24"/>
          <w:szCs w:val="21"/>
        </w:rPr>
        <w:t>（签字或盖章）</w:t>
      </w:r>
    </w:p>
    <w:p w14:paraId="649DA6CC">
      <w:pPr>
        <w:adjustRightInd w:val="0"/>
        <w:spacing w:line="360" w:lineRule="auto"/>
        <w:ind w:firstLine="480" w:firstLineChars="200"/>
        <w:rPr>
          <w:bCs/>
          <w:sz w:val="24"/>
        </w:rPr>
      </w:pPr>
    </w:p>
    <w:p w14:paraId="22C65366">
      <w:pPr>
        <w:ind w:firstLine="4320" w:firstLineChars="1800"/>
        <w:rPr>
          <w:rFonts w:ascii="宋体" w:hAnsi="宋体"/>
          <w:b/>
        </w:rPr>
      </w:pPr>
      <w:r>
        <w:rPr>
          <w:rFonts w:hint="eastAsia"/>
          <w:bCs/>
          <w:sz w:val="24"/>
        </w:rPr>
        <w:t>日期：</w:t>
      </w:r>
      <w:r>
        <w:rPr>
          <w:rFonts w:hint="eastAsia"/>
          <w:bCs/>
          <w:sz w:val="24"/>
          <w:lang w:eastAsia="zh-CN"/>
        </w:rPr>
        <w:t>2025年</w:t>
      </w:r>
      <w:r>
        <w:rPr>
          <w:rFonts w:hint="eastAsia"/>
          <w:bCs/>
          <w:sz w:val="24"/>
        </w:rPr>
        <w:t>月日</w:t>
      </w:r>
    </w:p>
    <w:p w14:paraId="1F8068AC">
      <w:pPr>
        <w:ind w:firstLine="527" w:firstLineChars="250"/>
        <w:rPr>
          <w:rFonts w:ascii="宋体" w:hAnsi="宋体"/>
          <w:b/>
        </w:rPr>
      </w:pPr>
    </w:p>
    <w:p w14:paraId="4D1CE1CE">
      <w:pPr>
        <w:rPr>
          <w:rFonts w:hint="eastAsia" w:ascii="宋体" w:hAnsi="宋体"/>
          <w:b/>
          <w:spacing w:val="24"/>
          <w:kern w:val="0"/>
          <w:sz w:val="24"/>
        </w:rPr>
      </w:pPr>
      <w:r>
        <w:rPr>
          <w:rFonts w:hint="eastAsia" w:ascii="宋体" w:hAnsi="宋体"/>
          <w:b/>
          <w:spacing w:val="24"/>
          <w:kern w:val="0"/>
          <w:sz w:val="24"/>
        </w:rPr>
        <w:br w:type="page"/>
      </w:r>
    </w:p>
    <w:p w14:paraId="19DD26C6">
      <w:pPr>
        <w:jc w:val="left"/>
        <w:rPr>
          <w:rFonts w:ascii="宋体" w:hAnsi="宋体"/>
          <w:b/>
          <w:spacing w:val="24"/>
          <w:kern w:val="0"/>
          <w:sz w:val="24"/>
        </w:rPr>
      </w:pPr>
      <w:r>
        <w:rPr>
          <w:rFonts w:hint="eastAsia" w:ascii="宋体" w:hAnsi="宋体"/>
          <w:b/>
          <w:spacing w:val="24"/>
          <w:kern w:val="0"/>
          <w:sz w:val="24"/>
        </w:rPr>
        <w:t>附件</w:t>
      </w:r>
      <w:bookmarkEnd w:id="80"/>
      <w:bookmarkStart w:id="81" w:name="_Toc183588718"/>
      <w:r>
        <w:rPr>
          <w:rFonts w:hint="eastAsia" w:ascii="宋体" w:hAnsi="宋体"/>
          <w:b/>
          <w:spacing w:val="24"/>
          <w:kern w:val="0"/>
          <w:sz w:val="24"/>
        </w:rPr>
        <w:t>7、 代理服务费承诺书（格式）</w:t>
      </w:r>
      <w:bookmarkEnd w:id="81"/>
    </w:p>
    <w:p w14:paraId="6E21CDE4">
      <w:pPr>
        <w:pStyle w:val="20"/>
        <w:ind w:firstLine="448" w:firstLineChars="200"/>
        <w:rPr>
          <w:rFonts w:hAnsi="宋体"/>
          <w:szCs w:val="24"/>
        </w:rPr>
      </w:pPr>
      <w:r>
        <w:rPr>
          <w:rFonts w:hint="eastAsia" w:hAnsi="宋体"/>
          <w:szCs w:val="24"/>
        </w:rPr>
        <w:t>致：海南省教学仪器设备招标中心有限公司：</w:t>
      </w:r>
    </w:p>
    <w:p w14:paraId="68C6BAF7">
      <w:pPr>
        <w:pStyle w:val="20"/>
        <w:ind w:firstLine="448" w:firstLineChars="200"/>
        <w:rPr>
          <w:rFonts w:hAnsi="宋体"/>
          <w:szCs w:val="24"/>
        </w:rPr>
      </w:pPr>
      <w:r>
        <w:rPr>
          <w:rFonts w:hAnsi="宋体"/>
          <w:szCs w:val="24"/>
        </w:rPr>
        <w:tab/>
      </w:r>
      <w:r>
        <w:rPr>
          <w:rFonts w:hint="eastAsia" w:hAnsi="宋体"/>
          <w:szCs w:val="24"/>
        </w:rPr>
        <w:t>我们在贵公司组织的</w:t>
      </w:r>
      <w:r>
        <w:rPr>
          <w:rFonts w:hAnsi="宋体"/>
          <w:szCs w:val="24"/>
          <w:u w:val="single"/>
        </w:rPr>
        <w:tab/>
      </w:r>
      <w:r>
        <w:rPr>
          <w:rFonts w:hAnsi="宋体"/>
          <w:szCs w:val="24"/>
          <w:u w:val="single"/>
        </w:rPr>
        <w:tab/>
      </w:r>
      <w:r>
        <w:rPr>
          <w:rFonts w:hint="eastAsia" w:hAnsi="宋体"/>
          <w:szCs w:val="24"/>
        </w:rPr>
        <w:t>项目（设备）采购活动中若获成交（项目文件编号：</w:t>
      </w:r>
      <w:r>
        <w:rPr>
          <w:rFonts w:hAnsi="宋体"/>
          <w:szCs w:val="24"/>
          <w:u w:val="single"/>
        </w:rPr>
        <w:tab/>
      </w:r>
      <w:r>
        <w:rPr>
          <w:rFonts w:hAnsi="宋体"/>
          <w:szCs w:val="24"/>
          <w:u w:val="single"/>
        </w:rPr>
        <w:tab/>
      </w:r>
      <w:r>
        <w:rPr>
          <w:rFonts w:hint="eastAsia" w:hAnsi="宋体"/>
          <w:szCs w:val="24"/>
        </w:rPr>
        <w:t>），我们保证在签订合同的同时按采购文件的规定，以支票、汇票或现金方式，向贵公司一次性支付应该交纳的代理服务费用。</w:t>
      </w:r>
    </w:p>
    <w:p w14:paraId="7A939570">
      <w:pPr>
        <w:pStyle w:val="20"/>
        <w:ind w:firstLine="448" w:firstLineChars="200"/>
        <w:rPr>
          <w:rFonts w:hAnsi="宋体"/>
          <w:szCs w:val="24"/>
        </w:rPr>
      </w:pPr>
    </w:p>
    <w:p w14:paraId="6ABB9F71">
      <w:pPr>
        <w:pStyle w:val="20"/>
        <w:ind w:firstLine="448" w:firstLineChars="200"/>
        <w:rPr>
          <w:rFonts w:hAnsi="宋体"/>
          <w:szCs w:val="24"/>
        </w:rPr>
      </w:pPr>
      <w:r>
        <w:rPr>
          <w:rFonts w:hAnsi="宋体"/>
          <w:szCs w:val="24"/>
        </w:rPr>
        <w:tab/>
      </w:r>
      <w:r>
        <w:rPr>
          <w:rFonts w:hAnsi="宋体"/>
          <w:szCs w:val="24"/>
        </w:rPr>
        <w:tab/>
      </w:r>
      <w:r>
        <w:rPr>
          <w:rFonts w:hint="eastAsia" w:hAnsi="宋体"/>
          <w:szCs w:val="24"/>
        </w:rPr>
        <w:t>特此承诺！</w:t>
      </w:r>
    </w:p>
    <w:p w14:paraId="61497F4A">
      <w:pPr>
        <w:pStyle w:val="20"/>
        <w:ind w:firstLine="448" w:firstLineChars="200"/>
        <w:rPr>
          <w:rFonts w:hAnsi="宋体"/>
          <w:szCs w:val="24"/>
        </w:rPr>
      </w:pPr>
    </w:p>
    <w:p w14:paraId="79D9A1FA">
      <w:pPr>
        <w:pStyle w:val="20"/>
        <w:ind w:firstLine="448" w:firstLineChars="200"/>
        <w:rPr>
          <w:rFonts w:hAnsi="宋体"/>
          <w:szCs w:val="24"/>
        </w:rPr>
      </w:pPr>
      <w:r>
        <w:rPr>
          <w:rFonts w:hAnsi="宋体"/>
          <w:szCs w:val="24"/>
        </w:rPr>
        <w:tab/>
      </w:r>
      <w:r>
        <w:rPr>
          <w:rFonts w:hint="eastAsia" w:hAnsi="宋体"/>
          <w:szCs w:val="24"/>
        </w:rPr>
        <w:t>承诺方法定名称：</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13DA7E6D">
      <w:pPr>
        <w:pStyle w:val="20"/>
        <w:ind w:firstLine="448" w:firstLineChars="200"/>
        <w:rPr>
          <w:rFonts w:hAnsi="宋体"/>
          <w:szCs w:val="24"/>
        </w:rPr>
      </w:pPr>
      <w:r>
        <w:rPr>
          <w:rFonts w:hAnsi="宋体"/>
          <w:szCs w:val="24"/>
        </w:rPr>
        <w:tab/>
      </w:r>
      <w:r>
        <w:rPr>
          <w:rFonts w:hint="eastAsia" w:hAnsi="宋体"/>
          <w:szCs w:val="24"/>
        </w:rPr>
        <w:t>地址：</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0CEDD4B5">
      <w:pPr>
        <w:pStyle w:val="20"/>
        <w:ind w:firstLine="448" w:firstLineChars="200"/>
        <w:rPr>
          <w:rFonts w:hAnsi="宋体"/>
          <w:szCs w:val="24"/>
        </w:rPr>
      </w:pPr>
      <w:r>
        <w:rPr>
          <w:rFonts w:hAnsi="宋体"/>
          <w:szCs w:val="24"/>
        </w:rPr>
        <w:tab/>
      </w:r>
      <w:r>
        <w:rPr>
          <w:rFonts w:hint="eastAsia" w:hAnsi="宋体"/>
          <w:szCs w:val="24"/>
        </w:rPr>
        <w:t>电话：</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int="eastAsia" w:hAnsi="宋体"/>
          <w:szCs w:val="24"/>
        </w:rPr>
        <w:t>传真：</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460A51E5">
      <w:pPr>
        <w:pStyle w:val="20"/>
        <w:ind w:firstLine="448" w:firstLineChars="200"/>
        <w:rPr>
          <w:rFonts w:hAnsi="宋体"/>
          <w:szCs w:val="24"/>
        </w:rPr>
      </w:pPr>
      <w:r>
        <w:rPr>
          <w:rFonts w:hAnsi="宋体"/>
          <w:szCs w:val="24"/>
        </w:rPr>
        <w:tab/>
      </w:r>
      <w:r>
        <w:rPr>
          <w:rFonts w:hint="eastAsia" w:hAnsi="宋体"/>
          <w:szCs w:val="24"/>
        </w:rPr>
        <w:t>电传：</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int="eastAsia" w:hAnsi="宋体"/>
          <w:szCs w:val="24"/>
        </w:rPr>
        <w:t>邮编：</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552872EB">
      <w:pPr>
        <w:pStyle w:val="20"/>
        <w:ind w:firstLine="448" w:firstLineChars="200"/>
        <w:rPr>
          <w:rFonts w:hAnsi="宋体"/>
          <w:szCs w:val="24"/>
        </w:rPr>
      </w:pPr>
      <w:r>
        <w:rPr>
          <w:rFonts w:hAnsi="宋体"/>
          <w:szCs w:val="24"/>
        </w:rPr>
        <w:tab/>
      </w:r>
      <w:r>
        <w:rPr>
          <w:rFonts w:hint="eastAsia" w:hAnsi="宋体"/>
          <w:szCs w:val="24"/>
        </w:rPr>
        <w:t>承诺方授权代表签字：</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int="eastAsia" w:hAnsi="宋体"/>
          <w:szCs w:val="24"/>
        </w:rPr>
        <w:t>（承诺方盖章）</w:t>
      </w:r>
    </w:p>
    <w:p w14:paraId="5413B723">
      <w:pPr>
        <w:pStyle w:val="20"/>
        <w:ind w:firstLine="448" w:firstLineChars="200"/>
        <w:rPr>
          <w:rFonts w:hAnsi="宋体"/>
          <w:szCs w:val="24"/>
        </w:rPr>
      </w:pPr>
      <w:r>
        <w:rPr>
          <w:rFonts w:hAnsi="宋体"/>
          <w:szCs w:val="24"/>
        </w:rPr>
        <w:tab/>
      </w:r>
      <w:r>
        <w:rPr>
          <w:rFonts w:hint="eastAsia" w:hAnsi="宋体"/>
          <w:szCs w:val="24"/>
        </w:rPr>
        <w:t>承诺日期：</w:t>
      </w:r>
      <w:r>
        <w:rPr>
          <w:rFonts w:hAnsi="宋体"/>
          <w:szCs w:val="24"/>
        </w:rPr>
        <w:tab/>
      </w:r>
      <w:r>
        <w:rPr>
          <w:rFonts w:hAnsi="宋体"/>
          <w:szCs w:val="24"/>
        </w:rPr>
        <w:tab/>
      </w:r>
      <w:r>
        <w:rPr>
          <w:rFonts w:hAnsi="宋体"/>
          <w:szCs w:val="24"/>
        </w:rPr>
        <w:tab/>
      </w:r>
      <w:r>
        <w:rPr>
          <w:rFonts w:hAnsi="宋体"/>
          <w:szCs w:val="24"/>
        </w:rPr>
        <w:tab/>
      </w:r>
    </w:p>
    <w:p w14:paraId="7247605B">
      <w:pPr>
        <w:rPr>
          <w:rFonts w:hint="eastAsia" w:ascii="宋体" w:hAnsi="宋体" w:eastAsia="宋体"/>
          <w:bCs/>
          <w:szCs w:val="24"/>
        </w:rPr>
      </w:pPr>
      <w:bookmarkStart w:id="82" w:name="_Toc183588719"/>
      <w:r>
        <w:rPr>
          <w:rFonts w:hint="eastAsia" w:ascii="宋体" w:hAnsi="宋体" w:eastAsia="宋体"/>
          <w:bCs/>
          <w:szCs w:val="24"/>
        </w:rPr>
        <w:br w:type="page"/>
      </w:r>
    </w:p>
    <w:p w14:paraId="5D43EB65">
      <w:pPr>
        <w:pStyle w:val="4"/>
        <w:keepNext w:val="0"/>
        <w:keepLines w:val="0"/>
        <w:spacing w:line="415" w:lineRule="auto"/>
        <w:jc w:val="both"/>
        <w:rPr>
          <w:rFonts w:ascii="宋体" w:hAnsi="宋体" w:eastAsia="宋体"/>
          <w:bCs/>
          <w:szCs w:val="24"/>
        </w:rPr>
      </w:pPr>
      <w:r>
        <w:rPr>
          <w:rFonts w:hint="eastAsia" w:ascii="宋体" w:hAnsi="宋体" w:eastAsia="宋体"/>
          <w:bCs/>
          <w:szCs w:val="24"/>
        </w:rPr>
        <w:t>附件8、 响应</w:t>
      </w:r>
      <w:r>
        <w:rPr>
          <w:rFonts w:hint="eastAsia" w:ascii="宋体" w:hAnsi="宋体" w:eastAsia="宋体"/>
          <w:szCs w:val="24"/>
        </w:rPr>
        <w:t>供应商</w:t>
      </w:r>
      <w:r>
        <w:rPr>
          <w:rFonts w:hint="eastAsia" w:ascii="宋体" w:hAnsi="宋体" w:eastAsia="宋体"/>
          <w:bCs/>
          <w:szCs w:val="24"/>
        </w:rPr>
        <w:t>认为需要提供的用于参与评审其他相关资料</w:t>
      </w:r>
      <w:bookmarkEnd w:id="82"/>
    </w:p>
    <w:p w14:paraId="77FE4AF1">
      <w:pPr>
        <w:rPr>
          <w:rFonts w:hint="eastAsia" w:ascii="宋体" w:hAnsi="宋体" w:cs="仿宋"/>
          <w:b/>
          <w:kern w:val="0"/>
          <w:sz w:val="24"/>
        </w:rPr>
      </w:pPr>
      <w:r>
        <w:rPr>
          <w:rFonts w:hint="eastAsia" w:ascii="宋体" w:hAnsi="宋体" w:cs="仿宋"/>
          <w:b/>
          <w:kern w:val="0"/>
          <w:sz w:val="24"/>
        </w:rPr>
        <w:br w:type="page"/>
      </w:r>
    </w:p>
    <w:p w14:paraId="31724068">
      <w:pPr>
        <w:autoSpaceDE w:val="0"/>
        <w:autoSpaceDN w:val="0"/>
        <w:adjustRightInd w:val="0"/>
        <w:jc w:val="left"/>
        <w:rPr>
          <w:rFonts w:ascii="宋体" w:hAnsi="宋体" w:cs="仿宋"/>
          <w:b/>
          <w:kern w:val="0"/>
          <w:sz w:val="24"/>
        </w:rPr>
      </w:pPr>
      <w:r>
        <w:rPr>
          <w:rFonts w:hint="eastAsia" w:ascii="宋体" w:hAnsi="宋体" w:cs="仿宋"/>
          <w:b/>
          <w:kern w:val="0"/>
          <w:sz w:val="24"/>
        </w:rPr>
        <w:t>附件9、  中小型、微型企业声明函</w:t>
      </w:r>
    </w:p>
    <w:p w14:paraId="5FBE0AEE">
      <w:pPr>
        <w:spacing w:line="360" w:lineRule="auto"/>
        <w:rPr>
          <w:rFonts w:hint="eastAsia" w:ascii="宋体" w:hAnsi="宋体" w:cs="宋体"/>
          <w:kern w:val="0"/>
          <w:sz w:val="24"/>
        </w:rPr>
      </w:pPr>
    </w:p>
    <w:p w14:paraId="3B5A72AB">
      <w:pPr>
        <w:spacing w:line="360" w:lineRule="auto"/>
        <w:rPr>
          <w:rFonts w:ascii="宋体" w:hAnsi="宋体" w:cs="宋体"/>
          <w:kern w:val="0"/>
          <w:sz w:val="24"/>
        </w:rPr>
      </w:pPr>
      <w:r>
        <w:rPr>
          <w:rFonts w:hint="eastAsia" w:ascii="宋体" w:hAnsi="宋体" w:cs="宋体"/>
          <w:kern w:val="0"/>
          <w:sz w:val="24"/>
        </w:rPr>
        <w:t>中小企业声明函（服务）</w:t>
      </w:r>
    </w:p>
    <w:p w14:paraId="56E291C4">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本公司郑重声明，根据《政府采购促进中小企业发展管理办法》（财库﹝2020﹞46 号）的规定，本公司参加（单位名称）的（项目名称）采购活动，服务全部由符合政策要求的中小企业承接相关企业的具体情况如下：</w:t>
      </w:r>
    </w:p>
    <w:p w14:paraId="2A4A4033">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 xml:space="preserve">1. </w:t>
      </w:r>
      <w:r>
        <w:rPr>
          <w:rFonts w:hint="eastAsia" w:ascii="宋体" w:hAnsi="宋体" w:cs="宋体"/>
          <w:kern w:val="0"/>
          <w:sz w:val="24"/>
          <w:u w:val="single"/>
          <w:lang w:bidi="ar"/>
        </w:rPr>
        <w:t xml:space="preserve">（标的名称） </w:t>
      </w:r>
      <w:r>
        <w:rPr>
          <w:rFonts w:hint="eastAsia" w:ascii="宋体" w:hAnsi="宋体" w:cs="宋体"/>
          <w:kern w:val="0"/>
          <w:sz w:val="24"/>
          <w:lang w:bidi="ar"/>
        </w:rPr>
        <w:t>，属于</w:t>
      </w:r>
      <w:r>
        <w:rPr>
          <w:rFonts w:hint="eastAsia" w:ascii="宋体" w:hAnsi="宋体" w:cs="宋体"/>
          <w:kern w:val="0"/>
          <w:sz w:val="24"/>
          <w:u w:val="single"/>
          <w:lang w:bidi="ar"/>
        </w:rPr>
        <w:t>（采购文件中明确的所属行业）</w:t>
      </w:r>
      <w:r>
        <w:rPr>
          <w:rFonts w:hint="eastAsia" w:ascii="宋体" w:hAnsi="宋体" w:cs="宋体"/>
          <w:kern w:val="0"/>
          <w:sz w:val="24"/>
          <w:lang w:bidi="ar"/>
        </w:rPr>
        <w:t>；承接企业为</w:t>
      </w:r>
      <w:r>
        <w:rPr>
          <w:rFonts w:hint="eastAsia" w:ascii="宋体" w:hAnsi="宋体" w:cs="宋体"/>
          <w:kern w:val="0"/>
          <w:sz w:val="24"/>
          <w:u w:val="single"/>
          <w:lang w:bidi="ar"/>
        </w:rPr>
        <w:t>（企业名称）</w:t>
      </w:r>
      <w:r>
        <w:rPr>
          <w:rFonts w:hint="eastAsia" w:ascii="宋体" w:hAnsi="宋体" w:cs="宋体"/>
          <w:kern w:val="0"/>
          <w:sz w:val="24"/>
          <w:lang w:bidi="ar"/>
        </w:rPr>
        <w:t>，从业人员</w:t>
      </w:r>
      <w:r>
        <w:rPr>
          <w:rFonts w:hint="eastAsia" w:ascii="宋体" w:hAnsi="宋体" w:cs="宋体"/>
          <w:kern w:val="0"/>
          <w:sz w:val="24"/>
          <w:u w:val="single"/>
          <w:lang w:bidi="ar"/>
        </w:rPr>
        <w:t xml:space="preserve">   </w:t>
      </w:r>
      <w:r>
        <w:rPr>
          <w:rFonts w:hint="eastAsia" w:ascii="宋体" w:hAnsi="宋体" w:cs="宋体"/>
          <w:kern w:val="0"/>
          <w:sz w:val="24"/>
          <w:lang w:bidi="ar"/>
        </w:rPr>
        <w:t>人，营业收入为</w:t>
      </w:r>
      <w:r>
        <w:rPr>
          <w:rFonts w:hint="eastAsia" w:ascii="宋体" w:hAnsi="宋体" w:cs="宋体"/>
          <w:kern w:val="0"/>
          <w:sz w:val="24"/>
          <w:u w:val="single"/>
          <w:lang w:bidi="ar"/>
        </w:rPr>
        <w:t xml:space="preserve">   </w:t>
      </w:r>
      <w:r>
        <w:rPr>
          <w:rFonts w:hint="eastAsia" w:ascii="宋体" w:hAnsi="宋体" w:cs="宋体"/>
          <w:kern w:val="0"/>
          <w:sz w:val="24"/>
          <w:lang w:bidi="ar"/>
        </w:rPr>
        <w:t>万元，资产总额为</w:t>
      </w:r>
      <w:r>
        <w:rPr>
          <w:rFonts w:hint="eastAsia" w:ascii="宋体" w:hAnsi="宋体" w:cs="宋体"/>
          <w:kern w:val="0"/>
          <w:sz w:val="24"/>
          <w:u w:val="single"/>
          <w:lang w:bidi="ar"/>
        </w:rPr>
        <w:t xml:space="preserve">    </w:t>
      </w:r>
      <w:r>
        <w:rPr>
          <w:rFonts w:hint="eastAsia" w:ascii="宋体" w:hAnsi="宋体" w:cs="宋体"/>
          <w:kern w:val="0"/>
          <w:sz w:val="24"/>
          <w:lang w:bidi="ar"/>
        </w:rPr>
        <w:t>万元</w:t>
      </w:r>
      <w:r>
        <w:rPr>
          <w:rFonts w:hint="eastAsia" w:ascii="宋体" w:hAnsi="宋体" w:cs="宋体"/>
          <w:kern w:val="0"/>
          <w:sz w:val="24"/>
          <w:vertAlign w:val="superscript"/>
          <w:lang w:bidi="ar"/>
        </w:rPr>
        <w:t>1</w:t>
      </w:r>
      <w:r>
        <w:rPr>
          <w:rFonts w:hint="eastAsia" w:ascii="宋体" w:hAnsi="宋体" w:cs="宋体"/>
          <w:kern w:val="0"/>
          <w:sz w:val="24"/>
          <w:lang w:bidi="ar"/>
        </w:rPr>
        <w:t>，属于</w:t>
      </w:r>
      <w:r>
        <w:rPr>
          <w:rFonts w:hint="eastAsia" w:ascii="宋体" w:hAnsi="宋体" w:cs="宋体"/>
          <w:kern w:val="0"/>
          <w:sz w:val="24"/>
          <w:u w:val="single"/>
          <w:lang w:bidi="ar"/>
        </w:rPr>
        <w:t xml:space="preserve">    （中型企业、小型企业、微型企业）</w:t>
      </w:r>
      <w:r>
        <w:rPr>
          <w:rFonts w:hint="eastAsia" w:ascii="宋体" w:hAnsi="宋体" w:cs="宋体"/>
          <w:kern w:val="0"/>
          <w:sz w:val="24"/>
          <w:lang w:bidi="ar"/>
        </w:rPr>
        <w:t>；</w:t>
      </w:r>
    </w:p>
    <w:p w14:paraId="13E621AC">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 xml:space="preserve">2. </w:t>
      </w:r>
      <w:r>
        <w:rPr>
          <w:rFonts w:hint="eastAsia" w:ascii="宋体" w:hAnsi="宋体" w:cs="宋体"/>
          <w:kern w:val="0"/>
          <w:sz w:val="24"/>
          <w:u w:val="single"/>
          <w:lang w:bidi="ar"/>
        </w:rPr>
        <w:t xml:space="preserve">（标的名称） </w:t>
      </w:r>
      <w:r>
        <w:rPr>
          <w:rFonts w:hint="eastAsia" w:ascii="宋体" w:hAnsi="宋体" w:cs="宋体"/>
          <w:kern w:val="0"/>
          <w:sz w:val="24"/>
          <w:lang w:bidi="ar"/>
        </w:rPr>
        <w:t>，属于</w:t>
      </w:r>
      <w:r>
        <w:rPr>
          <w:rFonts w:hint="eastAsia" w:ascii="宋体" w:hAnsi="宋体" w:cs="宋体"/>
          <w:kern w:val="0"/>
          <w:sz w:val="24"/>
          <w:u w:val="single"/>
          <w:lang w:bidi="ar"/>
        </w:rPr>
        <w:t>（采购文件中明确的所属行业）</w:t>
      </w:r>
      <w:r>
        <w:rPr>
          <w:rFonts w:hint="eastAsia" w:ascii="宋体" w:hAnsi="宋体" w:cs="宋体"/>
          <w:kern w:val="0"/>
          <w:sz w:val="24"/>
          <w:lang w:bidi="ar"/>
        </w:rPr>
        <w:t>；承接企业为</w:t>
      </w:r>
      <w:r>
        <w:rPr>
          <w:rFonts w:hint="eastAsia" w:ascii="宋体" w:hAnsi="宋体" w:cs="宋体"/>
          <w:kern w:val="0"/>
          <w:sz w:val="24"/>
          <w:u w:val="single"/>
          <w:lang w:bidi="ar"/>
        </w:rPr>
        <w:t>（企业名称）</w:t>
      </w:r>
      <w:r>
        <w:rPr>
          <w:rFonts w:hint="eastAsia" w:ascii="宋体" w:hAnsi="宋体" w:cs="宋体"/>
          <w:kern w:val="0"/>
          <w:sz w:val="24"/>
          <w:lang w:bidi="ar"/>
        </w:rPr>
        <w:t>，从业人员</w:t>
      </w:r>
      <w:r>
        <w:rPr>
          <w:rFonts w:hint="eastAsia" w:ascii="宋体" w:hAnsi="宋体" w:cs="宋体"/>
          <w:kern w:val="0"/>
          <w:sz w:val="24"/>
          <w:u w:val="single"/>
          <w:lang w:bidi="ar"/>
        </w:rPr>
        <w:t xml:space="preserve">   </w:t>
      </w:r>
      <w:r>
        <w:rPr>
          <w:rFonts w:hint="eastAsia" w:ascii="宋体" w:hAnsi="宋体" w:cs="宋体"/>
          <w:kern w:val="0"/>
          <w:sz w:val="24"/>
          <w:lang w:bidi="ar"/>
        </w:rPr>
        <w:t>人，营业收入为</w:t>
      </w:r>
      <w:r>
        <w:rPr>
          <w:rFonts w:hint="eastAsia" w:ascii="宋体" w:hAnsi="宋体" w:cs="宋体"/>
          <w:kern w:val="0"/>
          <w:sz w:val="24"/>
          <w:u w:val="single"/>
          <w:lang w:bidi="ar"/>
        </w:rPr>
        <w:t xml:space="preserve">   </w:t>
      </w:r>
      <w:r>
        <w:rPr>
          <w:rFonts w:hint="eastAsia" w:ascii="宋体" w:hAnsi="宋体" w:cs="宋体"/>
          <w:kern w:val="0"/>
          <w:sz w:val="24"/>
          <w:lang w:bidi="ar"/>
        </w:rPr>
        <w:t>万元，资产总额为</w:t>
      </w:r>
      <w:r>
        <w:rPr>
          <w:rFonts w:hint="eastAsia" w:ascii="宋体" w:hAnsi="宋体" w:cs="宋体"/>
          <w:kern w:val="0"/>
          <w:sz w:val="24"/>
          <w:u w:val="single"/>
          <w:lang w:bidi="ar"/>
        </w:rPr>
        <w:t xml:space="preserve">    </w:t>
      </w:r>
      <w:r>
        <w:rPr>
          <w:rFonts w:hint="eastAsia" w:ascii="宋体" w:hAnsi="宋体" w:cs="宋体"/>
          <w:kern w:val="0"/>
          <w:sz w:val="24"/>
          <w:lang w:bidi="ar"/>
        </w:rPr>
        <w:t>万元</w:t>
      </w:r>
      <w:r>
        <w:rPr>
          <w:rFonts w:hint="eastAsia" w:ascii="宋体" w:hAnsi="宋体" w:cs="宋体"/>
          <w:kern w:val="0"/>
          <w:sz w:val="24"/>
          <w:vertAlign w:val="superscript"/>
          <w:lang w:bidi="ar"/>
        </w:rPr>
        <w:t>1</w:t>
      </w:r>
      <w:r>
        <w:rPr>
          <w:rFonts w:hint="eastAsia" w:ascii="宋体" w:hAnsi="宋体" w:cs="宋体"/>
          <w:kern w:val="0"/>
          <w:sz w:val="24"/>
          <w:lang w:bidi="ar"/>
        </w:rPr>
        <w:t>，属于</w:t>
      </w:r>
      <w:r>
        <w:rPr>
          <w:rFonts w:hint="eastAsia" w:ascii="宋体" w:hAnsi="宋体" w:cs="宋体"/>
          <w:kern w:val="0"/>
          <w:sz w:val="24"/>
          <w:u w:val="single"/>
          <w:lang w:bidi="ar"/>
        </w:rPr>
        <w:t xml:space="preserve">    （中型企业、小型企业、微型企业）</w:t>
      </w:r>
      <w:r>
        <w:rPr>
          <w:rFonts w:hint="eastAsia" w:ascii="宋体" w:hAnsi="宋体" w:cs="宋体"/>
          <w:kern w:val="0"/>
          <w:sz w:val="24"/>
          <w:lang w:bidi="ar"/>
        </w:rPr>
        <w:t>；</w:t>
      </w:r>
    </w:p>
    <w:p w14:paraId="1A0BD35E">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w:t>
      </w:r>
    </w:p>
    <w:p w14:paraId="17DA429E">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以上企业，不属于大企业的分支机构，不存在控股股东为大企业的情形，也不存在与大企业的负责人为同一人的情形。</w:t>
      </w:r>
    </w:p>
    <w:p w14:paraId="018864AF">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本企业对上述声明内容的真实性负责。如有虚假，将依法承担相应责任。</w:t>
      </w:r>
    </w:p>
    <w:p w14:paraId="1F0472EF">
      <w:pPr>
        <w:widowControl/>
        <w:spacing w:line="360" w:lineRule="auto"/>
        <w:ind w:firstLine="3840" w:firstLineChars="1600"/>
        <w:jc w:val="left"/>
        <w:rPr>
          <w:rFonts w:hint="eastAsia" w:ascii="宋体" w:hAnsi="宋体" w:cs="宋体"/>
          <w:kern w:val="0"/>
          <w:sz w:val="24"/>
          <w:lang w:bidi="ar"/>
        </w:rPr>
      </w:pPr>
      <w:r>
        <w:rPr>
          <w:rFonts w:hint="eastAsia" w:ascii="宋体" w:hAnsi="宋体" w:cs="宋体"/>
          <w:kern w:val="0"/>
          <w:sz w:val="24"/>
          <w:lang w:bidi="ar"/>
        </w:rPr>
        <w:t>企业名称（盖章）：</w:t>
      </w:r>
    </w:p>
    <w:p w14:paraId="02F1376E">
      <w:pPr>
        <w:spacing w:line="360" w:lineRule="auto"/>
        <w:rPr>
          <w:rFonts w:hint="eastAsia" w:ascii="宋体" w:hAnsi="宋体" w:cs="宋体"/>
          <w:kern w:val="0"/>
          <w:sz w:val="24"/>
          <w:lang w:bidi="ar"/>
        </w:rPr>
      </w:pPr>
      <w:r>
        <w:rPr>
          <w:rFonts w:hint="eastAsia" w:ascii="宋体" w:hAnsi="宋体" w:cs="宋体"/>
          <w:kern w:val="0"/>
          <w:sz w:val="24"/>
          <w:lang w:bidi="ar"/>
        </w:rPr>
        <w:t>日 期：</w:t>
      </w:r>
    </w:p>
    <w:p w14:paraId="55F92181">
      <w:pPr>
        <w:spacing w:line="460" w:lineRule="exact"/>
        <w:rPr>
          <w:rFonts w:ascii="宋体" w:hAnsi="宋体"/>
          <w:sz w:val="24"/>
        </w:rPr>
      </w:pPr>
    </w:p>
    <w:p w14:paraId="50A76316">
      <w:pPr>
        <w:rPr>
          <w:rFonts w:hint="eastAsia" w:ascii="宋体" w:hAnsi="宋体"/>
          <w:b/>
          <w:sz w:val="24"/>
          <w:szCs w:val="20"/>
        </w:rPr>
      </w:pPr>
      <w:r>
        <w:rPr>
          <w:rFonts w:hint="eastAsia" w:ascii="宋体" w:hAnsi="宋体"/>
          <w:b/>
          <w:sz w:val="24"/>
          <w:szCs w:val="20"/>
        </w:rPr>
        <w:br w:type="page"/>
      </w:r>
    </w:p>
    <w:p w14:paraId="0DF9BB0C">
      <w:pPr>
        <w:adjustRightInd w:val="0"/>
        <w:snapToGrid w:val="0"/>
        <w:spacing w:line="460" w:lineRule="exact"/>
        <w:rPr>
          <w:rFonts w:ascii="宋体" w:hAnsi="宋体"/>
          <w:b/>
          <w:sz w:val="24"/>
          <w:szCs w:val="20"/>
        </w:rPr>
      </w:pPr>
      <w:r>
        <w:rPr>
          <w:rFonts w:hint="eastAsia" w:ascii="宋体" w:hAnsi="宋体"/>
          <w:b/>
          <w:sz w:val="24"/>
          <w:szCs w:val="20"/>
        </w:rPr>
        <w:t>附件10残疾人福利性单位声明函</w:t>
      </w:r>
    </w:p>
    <w:p w14:paraId="59DB862F">
      <w:pPr>
        <w:adjustRightInd w:val="0"/>
        <w:snapToGrid w:val="0"/>
        <w:spacing w:line="480" w:lineRule="exact"/>
        <w:ind w:firstLine="480" w:firstLineChars="200"/>
        <w:rPr>
          <w:rFonts w:ascii="宋体" w:hAnsi="宋体"/>
          <w:sz w:val="24"/>
          <w:szCs w:val="20"/>
        </w:rPr>
      </w:pPr>
      <w:r>
        <w:rPr>
          <w:rFonts w:hint="eastAsia" w:ascii="宋体" w:hAnsi="宋体"/>
          <w:sz w:val="24"/>
          <w:szCs w:val="2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B94238">
      <w:pPr>
        <w:adjustRightInd w:val="0"/>
        <w:snapToGrid w:val="0"/>
        <w:spacing w:line="480" w:lineRule="exact"/>
        <w:ind w:firstLine="480" w:firstLineChars="200"/>
        <w:rPr>
          <w:rFonts w:ascii="宋体" w:hAnsi="宋体"/>
          <w:sz w:val="24"/>
          <w:szCs w:val="20"/>
        </w:rPr>
      </w:pPr>
      <w:r>
        <w:rPr>
          <w:rFonts w:hint="eastAsia" w:ascii="宋体" w:hAnsi="宋体"/>
          <w:sz w:val="24"/>
          <w:szCs w:val="20"/>
        </w:rPr>
        <w:t>本单位对上述声明的真实性负责。如有虚假，将依法承担相应责任。</w:t>
      </w:r>
    </w:p>
    <w:p w14:paraId="7AE3BEF7">
      <w:pPr>
        <w:adjustRightInd w:val="0"/>
        <w:snapToGrid w:val="0"/>
        <w:spacing w:line="480" w:lineRule="exact"/>
        <w:ind w:firstLine="480" w:firstLineChars="200"/>
        <w:rPr>
          <w:rFonts w:ascii="宋体" w:hAnsi="宋体"/>
          <w:sz w:val="24"/>
          <w:szCs w:val="20"/>
        </w:rPr>
        <w:sectPr>
          <w:footerReference r:id="rId5" w:type="default"/>
          <w:pgSz w:w="11906" w:h="16838"/>
          <w:pgMar w:top="777" w:right="1469" w:bottom="1089" w:left="1440" w:header="851" w:footer="992" w:gutter="0"/>
          <w:cols w:space="720" w:num="1"/>
          <w:docGrid w:type="lines" w:linePitch="312" w:charSpace="0"/>
        </w:sectPr>
      </w:pPr>
      <w:r>
        <w:rPr>
          <w:rFonts w:hint="eastAsia" w:ascii="宋体" w:hAnsi="宋体"/>
          <w:sz w:val="24"/>
          <w:szCs w:val="20"/>
        </w:rPr>
        <w:t>                                单位名称（盖章）</w:t>
      </w:r>
    </w:p>
    <w:p w14:paraId="3BFDCCE1">
      <w:pPr>
        <w:adjustRightInd w:val="0"/>
        <w:snapToGrid w:val="0"/>
        <w:rPr>
          <w:rFonts w:ascii="宋体" w:hAnsi="宋体"/>
          <w:b/>
          <w:sz w:val="24"/>
        </w:rPr>
      </w:pPr>
      <w:r>
        <w:rPr>
          <w:rFonts w:hint="eastAsia" w:ascii="宋体" w:hAnsi="宋体"/>
          <w:b/>
          <w:sz w:val="24"/>
        </w:rPr>
        <w:t>附件11</w:t>
      </w:r>
      <w:r>
        <w:rPr>
          <w:rFonts w:hint="eastAsia" w:ascii="宋体" w:hAnsi="宋体"/>
          <w:b/>
          <w:bCs/>
          <w:sz w:val="24"/>
          <w:szCs w:val="20"/>
        </w:rPr>
        <w:t>供应商响应承诺书</w:t>
      </w:r>
    </w:p>
    <w:p w14:paraId="020EC26A">
      <w:pPr>
        <w:adjustRightInd w:val="0"/>
        <w:snapToGrid w:val="0"/>
        <w:rPr>
          <w:rFonts w:ascii="宋体" w:hAnsi="宋体"/>
          <w:sz w:val="24"/>
        </w:rPr>
      </w:pPr>
      <w:r>
        <w:rPr>
          <w:rFonts w:hint="eastAsia" w:ascii="宋体" w:hAnsi="宋体"/>
          <w:sz w:val="24"/>
        </w:rPr>
        <w:t>致：海南省教学仪器设备招标中心有限公司：</w:t>
      </w:r>
    </w:p>
    <w:p w14:paraId="59259E12">
      <w:pPr>
        <w:rPr>
          <w:rFonts w:ascii="宋体" w:hAnsi="宋体"/>
          <w:sz w:val="24"/>
        </w:rPr>
      </w:pPr>
      <w:r>
        <w:rPr>
          <w:rFonts w:hint="eastAsia" w:ascii="宋体" w:hAnsi="宋体"/>
          <w:sz w:val="24"/>
        </w:rPr>
        <w:t>我单位在参加项目的采购活动中，郑重承诺如下：</w:t>
      </w:r>
    </w:p>
    <w:p w14:paraId="0B0DBAFC">
      <w:pPr>
        <w:ind w:firstLine="480" w:firstLineChars="200"/>
        <w:rPr>
          <w:rFonts w:ascii="宋体" w:hAnsi="宋体"/>
          <w:sz w:val="24"/>
        </w:rPr>
      </w:pPr>
      <w:r>
        <w:rPr>
          <w:rFonts w:hint="eastAsia" w:ascii="宋体" w:hAnsi="宋体"/>
          <w:sz w:val="24"/>
        </w:rPr>
        <w:t>1、我方在此声明，本次采购活动中提交的所有资料都是真实、准确完整的，如发现提供虚假资料，或与事实不符而导致响应无效，甚至造成任何法律和经济责任，完全由我方负责；</w:t>
      </w:r>
    </w:p>
    <w:p w14:paraId="6943C1D7">
      <w:pPr>
        <w:ind w:firstLine="480" w:firstLineChars="200"/>
        <w:rPr>
          <w:rFonts w:ascii="宋体" w:hAnsi="宋体"/>
          <w:sz w:val="24"/>
        </w:rPr>
      </w:pPr>
      <w:r>
        <w:rPr>
          <w:rFonts w:hint="eastAsia" w:ascii="宋体" w:hAnsi="宋体"/>
          <w:sz w:val="24"/>
        </w:rPr>
        <w:t xml:space="preserve">2、我公司在参加本次政府采购活动前三年内，在经营活动中没有重大事故、违法记录；我方人员针对本项目没有重大违法记录； </w:t>
      </w:r>
    </w:p>
    <w:p w14:paraId="1F5D2162">
      <w:pPr>
        <w:ind w:firstLine="480" w:firstLineChars="200"/>
        <w:rPr>
          <w:rFonts w:ascii="宋体" w:hAnsi="宋体"/>
          <w:sz w:val="24"/>
        </w:rPr>
      </w:pPr>
      <w:r>
        <w:rPr>
          <w:rFonts w:hint="eastAsia" w:ascii="宋体" w:hAnsi="宋体"/>
          <w:sz w:val="24"/>
        </w:rPr>
        <w:t>3、我方未被地市级及其以上行政主管部门做出取消投标资格的处罚且该处罚在有效期内的；</w:t>
      </w:r>
    </w:p>
    <w:p w14:paraId="59FC2611">
      <w:pPr>
        <w:ind w:firstLine="480" w:firstLineChars="200"/>
        <w:rPr>
          <w:rFonts w:ascii="宋体" w:hAnsi="宋体"/>
          <w:sz w:val="24"/>
        </w:rPr>
      </w:pPr>
      <w:r>
        <w:rPr>
          <w:rFonts w:hint="eastAsia" w:ascii="宋体" w:hAnsi="宋体"/>
          <w:sz w:val="24"/>
        </w:rPr>
        <w:t>4、我方一旦成交，将严格按照采购文件中所承诺的报价、质量、工期、措施、项目负责人等内容组织实施；</w:t>
      </w:r>
    </w:p>
    <w:p w14:paraId="5EB1C852">
      <w:pPr>
        <w:ind w:firstLine="480" w:firstLineChars="200"/>
        <w:rPr>
          <w:rFonts w:ascii="宋体" w:hAnsi="宋体"/>
          <w:sz w:val="24"/>
        </w:rPr>
      </w:pPr>
      <w:r>
        <w:rPr>
          <w:rFonts w:hint="eastAsia" w:ascii="宋体" w:hAnsi="宋体"/>
          <w:sz w:val="24"/>
        </w:rPr>
        <w:t>5、我方一旦成交，将按规定及时与采购人签订合同。</w:t>
      </w:r>
    </w:p>
    <w:p w14:paraId="41BCB09F">
      <w:pPr>
        <w:ind w:firstLine="480" w:firstLineChars="200"/>
        <w:rPr>
          <w:rFonts w:ascii="宋体" w:hAnsi="宋体"/>
          <w:sz w:val="24"/>
        </w:rPr>
      </w:pPr>
      <w:r>
        <w:rPr>
          <w:rFonts w:hint="eastAsia" w:ascii="宋体" w:hAnsi="宋体"/>
          <w:sz w:val="24"/>
        </w:rPr>
        <w:t>6、</w:t>
      </w:r>
      <w:r>
        <w:rPr>
          <w:rFonts w:hint="eastAsia" w:ascii="宋体" w:hAnsi="宋体"/>
          <w:sz w:val="24"/>
          <w:szCs w:val="20"/>
        </w:rPr>
        <w:t>我公司如果成交本项目，对本项目提供的所有货物保证货源全新正品，保质保量，按时供货，否则按合同赔偿违约金，并自愿接受省财政部门的相关处罚。</w:t>
      </w:r>
    </w:p>
    <w:p w14:paraId="619C8474">
      <w:pPr>
        <w:ind w:firstLine="480" w:firstLineChars="200"/>
        <w:rPr>
          <w:rFonts w:ascii="宋体" w:hAnsi="宋体"/>
          <w:sz w:val="24"/>
        </w:rPr>
      </w:pPr>
      <w:r>
        <w:rPr>
          <w:rFonts w:hint="eastAsia" w:ascii="宋体" w:hAnsi="宋体"/>
          <w:sz w:val="24"/>
        </w:rPr>
        <w:t>7、我方在本次采购活动中绝无资质挂靠、串标、围标情形，若出现下列情形，立即取消我方投标资格并承担相应的法律责任；</w:t>
      </w:r>
    </w:p>
    <w:p w14:paraId="2285FF17">
      <w:pPr>
        <w:ind w:firstLine="480" w:firstLineChars="200"/>
        <w:rPr>
          <w:rFonts w:ascii="宋体" w:hAnsi="宋体"/>
          <w:sz w:val="24"/>
        </w:rPr>
      </w:pPr>
      <w:r>
        <w:rPr>
          <w:rFonts w:hint="eastAsia" w:ascii="宋体" w:hAnsi="宋体"/>
          <w:sz w:val="24"/>
        </w:rPr>
        <w:t>（1）不同供应商的响应文件由同一单位或者个人编制；</w:t>
      </w:r>
    </w:p>
    <w:p w14:paraId="00CBE3E6">
      <w:pPr>
        <w:ind w:firstLine="480" w:firstLineChars="200"/>
        <w:rPr>
          <w:rFonts w:ascii="宋体" w:hAnsi="宋体"/>
          <w:sz w:val="24"/>
        </w:rPr>
      </w:pPr>
      <w:r>
        <w:rPr>
          <w:rFonts w:hint="eastAsia" w:ascii="宋体" w:hAnsi="宋体"/>
          <w:sz w:val="24"/>
        </w:rPr>
        <w:t>（2）不同供应商委托同一单位或者个人办理投标事宜；</w:t>
      </w:r>
    </w:p>
    <w:p w14:paraId="17A13B7A">
      <w:pPr>
        <w:ind w:firstLine="480" w:firstLineChars="200"/>
        <w:rPr>
          <w:rFonts w:ascii="宋体" w:hAnsi="宋体"/>
          <w:sz w:val="24"/>
        </w:rPr>
      </w:pPr>
      <w:r>
        <w:rPr>
          <w:rFonts w:hint="eastAsia" w:ascii="宋体" w:hAnsi="宋体"/>
          <w:sz w:val="24"/>
        </w:rPr>
        <w:t>（3）不同供应商的响应文件载明的项目管理成员或者联系人员为同一人；</w:t>
      </w:r>
    </w:p>
    <w:p w14:paraId="0F8744C0">
      <w:pPr>
        <w:ind w:firstLine="480" w:firstLineChars="200"/>
        <w:rPr>
          <w:rFonts w:ascii="宋体" w:hAnsi="宋体"/>
          <w:sz w:val="24"/>
        </w:rPr>
      </w:pPr>
      <w:r>
        <w:rPr>
          <w:rFonts w:hint="eastAsia" w:ascii="宋体" w:hAnsi="宋体"/>
          <w:sz w:val="24"/>
        </w:rPr>
        <w:t>（4）不同供应商的响应文件异常一致或者响应报价呈规律性差异；</w:t>
      </w:r>
    </w:p>
    <w:p w14:paraId="2E85379B">
      <w:pPr>
        <w:ind w:firstLine="480" w:firstLineChars="200"/>
        <w:rPr>
          <w:rFonts w:ascii="宋体" w:hAnsi="宋体"/>
          <w:sz w:val="24"/>
        </w:rPr>
      </w:pPr>
      <w:r>
        <w:rPr>
          <w:rFonts w:hint="eastAsia" w:ascii="宋体" w:hAnsi="宋体"/>
          <w:sz w:val="24"/>
        </w:rPr>
        <w:t>（5）不同供应商的响应文件相互混装；</w:t>
      </w:r>
    </w:p>
    <w:p w14:paraId="0EEEAC70">
      <w:pPr>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）单位负责人为同一人或者存在直接控股、管理关系的不同供应商，同时参加本项目采购活动；</w:t>
      </w:r>
    </w:p>
    <w:p w14:paraId="15FF4605">
      <w:pPr>
        <w:ind w:firstLine="480" w:firstLineChars="200"/>
        <w:rPr>
          <w:rFonts w:ascii="宋体" w:hAnsi="宋体"/>
          <w:sz w:val="24"/>
        </w:rPr>
      </w:pPr>
      <w:r>
        <w:rPr>
          <w:rFonts w:hint="eastAsia" w:ascii="宋体" w:hAnsi="宋体"/>
          <w:sz w:val="24"/>
        </w:rPr>
        <w:t>根据国家企业信用信息公示系统（</w:t>
      </w:r>
      <w:r>
        <w:fldChar w:fldCharType="begin"/>
      </w:r>
      <w:r>
        <w:instrText xml:space="preserve"> HYPERLINK "http://www.gsxt.gov.cn/" </w:instrText>
      </w:r>
      <w:r>
        <w:fldChar w:fldCharType="separate"/>
      </w:r>
      <w:r>
        <w:rPr>
          <w:rFonts w:ascii="宋体" w:hAnsi="宋体"/>
          <w:sz w:val="24"/>
        </w:rPr>
        <w:t>http://www.gsxt.gov.cn/</w:t>
      </w:r>
      <w:r>
        <w:rPr>
          <w:rFonts w:ascii="宋体" w:hAnsi="宋体"/>
          <w:sz w:val="24"/>
        </w:rPr>
        <w:fldChar w:fldCharType="end"/>
      </w:r>
      <w:r>
        <w:rPr>
          <w:rFonts w:hint="eastAsia" w:ascii="宋体" w:hAnsi="宋体"/>
          <w:sz w:val="24"/>
        </w:rPr>
        <w:t>）登记信息提供以下内容：</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445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5FE9957A">
            <w:pPr>
              <w:spacing w:line="400" w:lineRule="exact"/>
              <w:jc w:val="center"/>
              <w:rPr>
                <w:rFonts w:ascii="宋体" w:hAnsi="宋体"/>
                <w:szCs w:val="21"/>
              </w:rPr>
            </w:pPr>
            <w:r>
              <w:rPr>
                <w:rFonts w:hint="eastAsia" w:ascii="宋体" w:hAnsi="宋体"/>
                <w:szCs w:val="21"/>
              </w:rPr>
              <w:t>序号</w:t>
            </w:r>
          </w:p>
        </w:tc>
        <w:tc>
          <w:tcPr>
            <w:tcW w:w="2319" w:type="dxa"/>
            <w:noWrap/>
            <w:vAlign w:val="center"/>
          </w:tcPr>
          <w:p w14:paraId="0C3C58AA">
            <w:pPr>
              <w:jc w:val="center"/>
              <w:rPr>
                <w:rFonts w:ascii="宋体" w:hAnsi="宋体"/>
                <w:szCs w:val="21"/>
              </w:rPr>
            </w:pPr>
            <w:r>
              <w:rPr>
                <w:rFonts w:hint="eastAsia" w:ascii="宋体" w:hAnsi="宋体"/>
                <w:szCs w:val="21"/>
              </w:rPr>
              <w:t>股东名称</w:t>
            </w:r>
          </w:p>
        </w:tc>
        <w:tc>
          <w:tcPr>
            <w:tcW w:w="2410" w:type="dxa"/>
            <w:noWrap/>
            <w:vAlign w:val="center"/>
          </w:tcPr>
          <w:p w14:paraId="749075CE">
            <w:pPr>
              <w:jc w:val="center"/>
              <w:rPr>
                <w:rFonts w:ascii="宋体" w:hAnsi="宋体"/>
                <w:szCs w:val="21"/>
              </w:rPr>
            </w:pPr>
            <w:r>
              <w:rPr>
                <w:rFonts w:hint="eastAsia" w:ascii="宋体" w:hAnsi="宋体"/>
                <w:szCs w:val="21"/>
              </w:rPr>
              <w:t>股东类型</w:t>
            </w:r>
          </w:p>
        </w:tc>
        <w:tc>
          <w:tcPr>
            <w:tcW w:w="1559" w:type="dxa"/>
            <w:noWrap/>
          </w:tcPr>
          <w:p w14:paraId="4663358F">
            <w:pPr>
              <w:spacing w:line="400" w:lineRule="exact"/>
              <w:jc w:val="center"/>
              <w:rPr>
                <w:rFonts w:ascii="宋体" w:hAnsi="宋体"/>
                <w:szCs w:val="21"/>
              </w:rPr>
            </w:pPr>
            <w:r>
              <w:rPr>
                <w:rFonts w:hint="eastAsia" w:ascii="宋体" w:hAnsi="宋体"/>
                <w:szCs w:val="21"/>
              </w:rPr>
              <w:t>占股比例</w:t>
            </w:r>
          </w:p>
        </w:tc>
        <w:tc>
          <w:tcPr>
            <w:tcW w:w="1468" w:type="dxa"/>
            <w:noWrap/>
            <w:vAlign w:val="center"/>
          </w:tcPr>
          <w:p w14:paraId="7A4FE8D3">
            <w:pPr>
              <w:spacing w:line="400" w:lineRule="exact"/>
              <w:jc w:val="center"/>
              <w:rPr>
                <w:rFonts w:ascii="宋体" w:hAnsi="宋体"/>
                <w:szCs w:val="21"/>
              </w:rPr>
            </w:pPr>
            <w:r>
              <w:rPr>
                <w:rFonts w:hint="eastAsia" w:ascii="宋体" w:hAnsi="宋体"/>
                <w:szCs w:val="21"/>
              </w:rPr>
              <w:t>备注</w:t>
            </w:r>
          </w:p>
        </w:tc>
      </w:tr>
      <w:tr w14:paraId="32F5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53FF2977">
            <w:pPr>
              <w:jc w:val="center"/>
              <w:rPr>
                <w:rFonts w:ascii="宋体" w:hAnsi="宋体"/>
                <w:szCs w:val="21"/>
              </w:rPr>
            </w:pPr>
            <w:r>
              <w:rPr>
                <w:rFonts w:hint="eastAsia" w:ascii="宋体" w:hAnsi="宋体"/>
                <w:szCs w:val="21"/>
              </w:rPr>
              <w:t>1</w:t>
            </w:r>
          </w:p>
        </w:tc>
        <w:tc>
          <w:tcPr>
            <w:tcW w:w="2319" w:type="dxa"/>
            <w:noWrap/>
            <w:vAlign w:val="center"/>
          </w:tcPr>
          <w:p w14:paraId="7E6A338E">
            <w:pPr>
              <w:jc w:val="center"/>
              <w:rPr>
                <w:rFonts w:ascii="宋体" w:hAnsi="宋体"/>
                <w:szCs w:val="21"/>
              </w:rPr>
            </w:pPr>
          </w:p>
        </w:tc>
        <w:tc>
          <w:tcPr>
            <w:tcW w:w="2410" w:type="dxa"/>
            <w:noWrap/>
            <w:vAlign w:val="center"/>
          </w:tcPr>
          <w:p w14:paraId="161AB9AF">
            <w:pPr>
              <w:jc w:val="center"/>
              <w:rPr>
                <w:rFonts w:ascii="宋体" w:hAnsi="宋体"/>
                <w:szCs w:val="21"/>
              </w:rPr>
            </w:pPr>
          </w:p>
        </w:tc>
        <w:tc>
          <w:tcPr>
            <w:tcW w:w="1559" w:type="dxa"/>
            <w:noWrap/>
          </w:tcPr>
          <w:p w14:paraId="39F8E900">
            <w:pPr>
              <w:jc w:val="center"/>
              <w:rPr>
                <w:rFonts w:ascii="宋体" w:hAnsi="宋体"/>
                <w:szCs w:val="21"/>
              </w:rPr>
            </w:pPr>
          </w:p>
        </w:tc>
        <w:tc>
          <w:tcPr>
            <w:tcW w:w="1468" w:type="dxa"/>
            <w:noWrap/>
            <w:vAlign w:val="center"/>
          </w:tcPr>
          <w:p w14:paraId="3F19DF2C">
            <w:pPr>
              <w:jc w:val="center"/>
              <w:rPr>
                <w:rFonts w:ascii="宋体" w:hAnsi="宋体"/>
                <w:szCs w:val="21"/>
              </w:rPr>
            </w:pPr>
          </w:p>
        </w:tc>
      </w:tr>
      <w:tr w14:paraId="55F5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7B576F06">
            <w:pPr>
              <w:jc w:val="center"/>
              <w:rPr>
                <w:rFonts w:ascii="宋体" w:hAnsi="宋体"/>
                <w:szCs w:val="21"/>
              </w:rPr>
            </w:pPr>
            <w:r>
              <w:rPr>
                <w:rFonts w:hint="eastAsia" w:ascii="宋体" w:hAnsi="宋体"/>
                <w:szCs w:val="21"/>
              </w:rPr>
              <w:t>2</w:t>
            </w:r>
          </w:p>
        </w:tc>
        <w:tc>
          <w:tcPr>
            <w:tcW w:w="2319" w:type="dxa"/>
            <w:noWrap/>
            <w:vAlign w:val="center"/>
          </w:tcPr>
          <w:p w14:paraId="554F7E3C">
            <w:pPr>
              <w:jc w:val="center"/>
              <w:rPr>
                <w:rFonts w:ascii="宋体" w:hAnsi="宋体"/>
                <w:szCs w:val="21"/>
              </w:rPr>
            </w:pPr>
          </w:p>
        </w:tc>
        <w:tc>
          <w:tcPr>
            <w:tcW w:w="2410" w:type="dxa"/>
            <w:noWrap/>
            <w:vAlign w:val="center"/>
          </w:tcPr>
          <w:p w14:paraId="4CF0880B">
            <w:pPr>
              <w:jc w:val="center"/>
              <w:rPr>
                <w:rFonts w:ascii="宋体" w:hAnsi="宋体"/>
                <w:szCs w:val="21"/>
              </w:rPr>
            </w:pPr>
          </w:p>
        </w:tc>
        <w:tc>
          <w:tcPr>
            <w:tcW w:w="1559" w:type="dxa"/>
            <w:noWrap/>
          </w:tcPr>
          <w:p w14:paraId="5CF4897F">
            <w:pPr>
              <w:jc w:val="center"/>
              <w:rPr>
                <w:rFonts w:ascii="宋体" w:hAnsi="宋体"/>
                <w:szCs w:val="21"/>
              </w:rPr>
            </w:pPr>
          </w:p>
        </w:tc>
        <w:tc>
          <w:tcPr>
            <w:tcW w:w="1468" w:type="dxa"/>
            <w:noWrap/>
            <w:vAlign w:val="center"/>
          </w:tcPr>
          <w:p w14:paraId="79D6A0F9">
            <w:pPr>
              <w:jc w:val="center"/>
              <w:rPr>
                <w:rFonts w:ascii="宋体" w:hAnsi="宋体"/>
                <w:szCs w:val="21"/>
              </w:rPr>
            </w:pPr>
          </w:p>
        </w:tc>
      </w:tr>
      <w:tr w14:paraId="75B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09562378">
            <w:pPr>
              <w:jc w:val="center"/>
              <w:rPr>
                <w:rFonts w:ascii="宋体" w:hAnsi="宋体"/>
                <w:szCs w:val="21"/>
              </w:rPr>
            </w:pPr>
            <w:r>
              <w:rPr>
                <w:rFonts w:hint="eastAsia" w:ascii="宋体" w:hAnsi="宋体"/>
                <w:szCs w:val="21"/>
              </w:rPr>
              <w:t>……</w:t>
            </w:r>
          </w:p>
        </w:tc>
        <w:tc>
          <w:tcPr>
            <w:tcW w:w="2319" w:type="dxa"/>
            <w:noWrap/>
            <w:vAlign w:val="center"/>
          </w:tcPr>
          <w:p w14:paraId="27D53051">
            <w:pPr>
              <w:jc w:val="center"/>
              <w:rPr>
                <w:rFonts w:ascii="宋体" w:hAnsi="宋体"/>
                <w:szCs w:val="21"/>
              </w:rPr>
            </w:pPr>
          </w:p>
        </w:tc>
        <w:tc>
          <w:tcPr>
            <w:tcW w:w="2410" w:type="dxa"/>
            <w:noWrap/>
            <w:vAlign w:val="center"/>
          </w:tcPr>
          <w:p w14:paraId="1425072D">
            <w:pPr>
              <w:jc w:val="center"/>
              <w:rPr>
                <w:rFonts w:ascii="宋体" w:hAnsi="宋体"/>
                <w:szCs w:val="21"/>
              </w:rPr>
            </w:pPr>
          </w:p>
        </w:tc>
        <w:tc>
          <w:tcPr>
            <w:tcW w:w="1559" w:type="dxa"/>
            <w:noWrap/>
          </w:tcPr>
          <w:p w14:paraId="3AB3AAC3">
            <w:pPr>
              <w:jc w:val="center"/>
              <w:rPr>
                <w:rFonts w:ascii="宋体" w:hAnsi="宋体"/>
                <w:szCs w:val="21"/>
              </w:rPr>
            </w:pPr>
          </w:p>
        </w:tc>
        <w:tc>
          <w:tcPr>
            <w:tcW w:w="1468" w:type="dxa"/>
            <w:noWrap/>
            <w:vAlign w:val="center"/>
          </w:tcPr>
          <w:p w14:paraId="6D10B158">
            <w:pPr>
              <w:jc w:val="center"/>
              <w:rPr>
                <w:rFonts w:ascii="宋体" w:hAnsi="宋体"/>
                <w:szCs w:val="21"/>
              </w:rPr>
            </w:pPr>
          </w:p>
        </w:tc>
      </w:tr>
    </w:tbl>
    <w:p w14:paraId="65C9C1A9">
      <w:pPr>
        <w:rPr>
          <w:rFonts w:ascii="宋体" w:hAnsi="宋体"/>
          <w:sz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773"/>
      </w:tblGrid>
      <w:tr w14:paraId="7CEF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69D6003B">
            <w:pPr>
              <w:jc w:val="center"/>
              <w:rPr>
                <w:rFonts w:ascii="宋体" w:hAnsi="宋体"/>
                <w:szCs w:val="21"/>
              </w:rPr>
            </w:pPr>
            <w:r>
              <w:rPr>
                <w:rFonts w:hint="eastAsia" w:ascii="宋体" w:hAnsi="宋体"/>
                <w:szCs w:val="21"/>
              </w:rPr>
              <w:t>序号</w:t>
            </w:r>
          </w:p>
        </w:tc>
        <w:tc>
          <w:tcPr>
            <w:tcW w:w="2340" w:type="dxa"/>
            <w:noWrap/>
            <w:vAlign w:val="center"/>
          </w:tcPr>
          <w:p w14:paraId="567355CE">
            <w:pPr>
              <w:jc w:val="center"/>
              <w:rPr>
                <w:rFonts w:ascii="宋体" w:hAnsi="宋体"/>
                <w:szCs w:val="21"/>
              </w:rPr>
            </w:pPr>
            <w:r>
              <w:rPr>
                <w:rFonts w:hint="eastAsia" w:ascii="宋体" w:hAnsi="宋体"/>
                <w:szCs w:val="21"/>
              </w:rPr>
              <w:t>主要人员姓名</w:t>
            </w:r>
          </w:p>
        </w:tc>
        <w:tc>
          <w:tcPr>
            <w:tcW w:w="1440" w:type="dxa"/>
            <w:noWrap/>
            <w:vAlign w:val="center"/>
          </w:tcPr>
          <w:p w14:paraId="0D917DF7">
            <w:pPr>
              <w:jc w:val="center"/>
              <w:rPr>
                <w:rFonts w:ascii="宋体" w:hAnsi="宋体"/>
                <w:szCs w:val="21"/>
              </w:rPr>
            </w:pPr>
            <w:r>
              <w:rPr>
                <w:rFonts w:hint="eastAsia" w:ascii="宋体" w:hAnsi="宋体"/>
                <w:szCs w:val="21"/>
              </w:rPr>
              <w:t>职务</w:t>
            </w:r>
          </w:p>
        </w:tc>
        <w:tc>
          <w:tcPr>
            <w:tcW w:w="3773" w:type="dxa"/>
            <w:noWrap/>
            <w:vAlign w:val="center"/>
          </w:tcPr>
          <w:p w14:paraId="78B5FEFB">
            <w:pPr>
              <w:jc w:val="center"/>
              <w:rPr>
                <w:rFonts w:ascii="宋体" w:hAnsi="宋体"/>
                <w:szCs w:val="21"/>
              </w:rPr>
            </w:pPr>
            <w:r>
              <w:rPr>
                <w:rFonts w:hint="eastAsia" w:ascii="宋体" w:hAnsi="宋体"/>
                <w:szCs w:val="21"/>
              </w:rPr>
              <w:t>身份证号</w:t>
            </w:r>
          </w:p>
        </w:tc>
      </w:tr>
      <w:tr w14:paraId="7946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24D2DB01">
            <w:pPr>
              <w:jc w:val="center"/>
              <w:rPr>
                <w:rFonts w:ascii="宋体" w:hAnsi="宋体"/>
                <w:szCs w:val="21"/>
              </w:rPr>
            </w:pPr>
            <w:r>
              <w:rPr>
                <w:rFonts w:hint="eastAsia" w:ascii="宋体" w:hAnsi="宋体"/>
                <w:szCs w:val="21"/>
              </w:rPr>
              <w:t>1</w:t>
            </w:r>
          </w:p>
        </w:tc>
        <w:tc>
          <w:tcPr>
            <w:tcW w:w="2340" w:type="dxa"/>
            <w:noWrap/>
            <w:vAlign w:val="center"/>
          </w:tcPr>
          <w:p w14:paraId="5ACBE549">
            <w:pPr>
              <w:jc w:val="center"/>
              <w:rPr>
                <w:rFonts w:ascii="宋体" w:hAnsi="宋体"/>
                <w:szCs w:val="21"/>
              </w:rPr>
            </w:pPr>
          </w:p>
        </w:tc>
        <w:tc>
          <w:tcPr>
            <w:tcW w:w="1440" w:type="dxa"/>
            <w:noWrap/>
            <w:vAlign w:val="center"/>
          </w:tcPr>
          <w:p w14:paraId="3DC8E15D">
            <w:pPr>
              <w:jc w:val="center"/>
              <w:rPr>
                <w:rFonts w:ascii="宋体" w:hAnsi="宋体"/>
                <w:szCs w:val="21"/>
              </w:rPr>
            </w:pPr>
          </w:p>
        </w:tc>
        <w:tc>
          <w:tcPr>
            <w:tcW w:w="3773" w:type="dxa"/>
            <w:noWrap/>
            <w:vAlign w:val="center"/>
          </w:tcPr>
          <w:p w14:paraId="68E1399F">
            <w:pPr>
              <w:jc w:val="center"/>
              <w:rPr>
                <w:rFonts w:ascii="宋体" w:hAnsi="宋体"/>
                <w:szCs w:val="21"/>
              </w:rPr>
            </w:pPr>
          </w:p>
        </w:tc>
      </w:tr>
      <w:tr w14:paraId="6797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233C5FEB">
            <w:pPr>
              <w:jc w:val="center"/>
              <w:rPr>
                <w:rFonts w:ascii="宋体" w:hAnsi="宋体"/>
                <w:szCs w:val="21"/>
              </w:rPr>
            </w:pPr>
            <w:r>
              <w:rPr>
                <w:rFonts w:hint="eastAsia" w:ascii="宋体" w:hAnsi="宋体"/>
                <w:szCs w:val="21"/>
              </w:rPr>
              <w:t>2</w:t>
            </w:r>
          </w:p>
        </w:tc>
        <w:tc>
          <w:tcPr>
            <w:tcW w:w="2340" w:type="dxa"/>
            <w:noWrap/>
            <w:vAlign w:val="center"/>
          </w:tcPr>
          <w:p w14:paraId="011446F3">
            <w:pPr>
              <w:jc w:val="center"/>
              <w:rPr>
                <w:rFonts w:ascii="宋体" w:hAnsi="宋体"/>
                <w:szCs w:val="21"/>
              </w:rPr>
            </w:pPr>
          </w:p>
        </w:tc>
        <w:tc>
          <w:tcPr>
            <w:tcW w:w="1440" w:type="dxa"/>
            <w:noWrap/>
            <w:vAlign w:val="center"/>
          </w:tcPr>
          <w:p w14:paraId="14A1B2F8">
            <w:pPr>
              <w:jc w:val="center"/>
              <w:rPr>
                <w:rFonts w:ascii="宋体" w:hAnsi="宋体"/>
                <w:szCs w:val="21"/>
              </w:rPr>
            </w:pPr>
          </w:p>
        </w:tc>
        <w:tc>
          <w:tcPr>
            <w:tcW w:w="3773" w:type="dxa"/>
            <w:noWrap/>
            <w:vAlign w:val="center"/>
          </w:tcPr>
          <w:p w14:paraId="44BBF0F8">
            <w:pPr>
              <w:jc w:val="center"/>
              <w:rPr>
                <w:rFonts w:ascii="宋体" w:hAnsi="宋体"/>
                <w:szCs w:val="21"/>
              </w:rPr>
            </w:pPr>
          </w:p>
        </w:tc>
      </w:tr>
      <w:tr w14:paraId="3397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6E819C5A">
            <w:pPr>
              <w:jc w:val="center"/>
              <w:rPr>
                <w:rFonts w:ascii="宋体" w:hAnsi="宋体"/>
                <w:szCs w:val="21"/>
              </w:rPr>
            </w:pPr>
            <w:r>
              <w:rPr>
                <w:rFonts w:hint="eastAsia" w:ascii="宋体" w:hAnsi="宋体"/>
                <w:szCs w:val="21"/>
              </w:rPr>
              <w:t>……</w:t>
            </w:r>
          </w:p>
        </w:tc>
        <w:tc>
          <w:tcPr>
            <w:tcW w:w="2340" w:type="dxa"/>
            <w:noWrap/>
            <w:vAlign w:val="center"/>
          </w:tcPr>
          <w:p w14:paraId="1F017B4D">
            <w:pPr>
              <w:jc w:val="center"/>
              <w:rPr>
                <w:rFonts w:ascii="宋体" w:hAnsi="宋体"/>
                <w:szCs w:val="21"/>
              </w:rPr>
            </w:pPr>
          </w:p>
        </w:tc>
        <w:tc>
          <w:tcPr>
            <w:tcW w:w="1440" w:type="dxa"/>
            <w:noWrap/>
            <w:vAlign w:val="center"/>
          </w:tcPr>
          <w:p w14:paraId="346791D1">
            <w:pPr>
              <w:jc w:val="center"/>
              <w:rPr>
                <w:rFonts w:ascii="宋体" w:hAnsi="宋体"/>
                <w:szCs w:val="21"/>
              </w:rPr>
            </w:pPr>
          </w:p>
        </w:tc>
        <w:tc>
          <w:tcPr>
            <w:tcW w:w="3773" w:type="dxa"/>
            <w:noWrap/>
            <w:vAlign w:val="center"/>
          </w:tcPr>
          <w:p w14:paraId="65FFD802">
            <w:pPr>
              <w:jc w:val="center"/>
              <w:rPr>
                <w:rFonts w:ascii="宋体" w:hAnsi="宋体"/>
                <w:szCs w:val="21"/>
              </w:rPr>
            </w:pPr>
          </w:p>
        </w:tc>
      </w:tr>
    </w:tbl>
    <w:p w14:paraId="5090FC21">
      <w:pPr>
        <w:rPr>
          <w:rFonts w:ascii="宋体" w:hAnsi="宋体"/>
          <w:sz w:val="24"/>
        </w:rPr>
      </w:pPr>
    </w:p>
    <w:p w14:paraId="41EB1111">
      <w:pPr>
        <w:ind w:left="2698" w:leftChars="1285"/>
        <w:rPr>
          <w:rFonts w:ascii="宋体" w:hAnsi="宋体"/>
          <w:sz w:val="24"/>
        </w:rPr>
      </w:pPr>
      <w:r>
        <w:rPr>
          <w:rFonts w:hint="eastAsia" w:ascii="宋体" w:hAnsi="宋体"/>
          <w:sz w:val="24"/>
        </w:rPr>
        <w:t>供应商名称： （盖公章）</w:t>
      </w:r>
    </w:p>
    <w:p w14:paraId="10476BA6">
      <w:pPr>
        <w:ind w:left="2698" w:leftChars="1285"/>
        <w:rPr>
          <w:rFonts w:ascii="宋体" w:hAnsi="宋体"/>
          <w:sz w:val="24"/>
        </w:rPr>
      </w:pPr>
      <w:r>
        <w:rPr>
          <w:rFonts w:hint="eastAsia" w:ascii="宋体" w:hAnsi="宋体"/>
          <w:sz w:val="24"/>
        </w:rPr>
        <w:t>法定代表人（或授权代理人）： （签字或盖章）</w:t>
      </w:r>
    </w:p>
    <w:p w14:paraId="60C50828">
      <w:pPr>
        <w:adjustRightInd w:val="0"/>
        <w:snapToGrid w:val="0"/>
        <w:spacing w:line="300" w:lineRule="auto"/>
        <w:rPr>
          <w:rFonts w:ascii="宋体" w:hAnsi="宋体"/>
          <w:sz w:val="24"/>
        </w:rPr>
      </w:pPr>
      <w:r>
        <w:rPr>
          <w:rFonts w:hint="eastAsia" w:ascii="宋体" w:hAnsi="宋体"/>
          <w:sz w:val="24"/>
        </w:rPr>
        <w:t>日期： 年 月 日</w:t>
      </w:r>
    </w:p>
    <w:p w14:paraId="131B06ED">
      <w:pPr>
        <w:adjustRightInd w:val="0"/>
        <w:snapToGrid w:val="0"/>
        <w:spacing w:line="300" w:lineRule="auto"/>
        <w:ind w:firstLine="6960" w:firstLineChars="2900"/>
        <w:rPr>
          <w:rFonts w:ascii="宋体" w:hAnsi="宋体"/>
          <w:sz w:val="24"/>
        </w:rPr>
      </w:pPr>
    </w:p>
    <w:p w14:paraId="1444E94B">
      <w:pPr>
        <w:spacing w:line="500" w:lineRule="exact"/>
        <w:jc w:val="left"/>
        <w:rPr>
          <w:rFonts w:ascii="宋体" w:hAnsi="宋体"/>
          <w:sz w:val="24"/>
        </w:rPr>
      </w:pPr>
    </w:p>
    <w:p w14:paraId="3938F5BD"/>
    <w:sectPr>
      <w:headerReference r:id="rId6" w:type="default"/>
      <w:footerReference r:id="rId7" w:type="default"/>
      <w:footerReference r:id="rId8" w:type="even"/>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F3066A-B728-46AB-AD63-9906369FBC33}"/>
  </w:font>
  <w:font w:name="黑体">
    <w:panose1 w:val="02010609060101010101"/>
    <w:charset w:val="86"/>
    <w:family w:val="auto"/>
    <w:pitch w:val="default"/>
    <w:sig w:usb0="800002BF" w:usb1="38CF7CFA" w:usb2="00000016" w:usb3="00000000" w:csb0="00040001" w:csb1="00000000"/>
    <w:embedRegular r:id="rId2" w:fontKey="{4D9ED6AE-C37C-4E34-A598-3856B3992D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B404B00-06F6-4CAC-8DF7-B50EA8AD8485}"/>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A9542616-DE55-4697-9A59-E93683E4442A}"/>
  </w:font>
  <w:font w:name="MS Mincho">
    <w:panose1 w:val="02020609040205080304"/>
    <w:charset w:val="80"/>
    <w:family w:val="modern"/>
    <w:pitch w:val="default"/>
    <w:sig w:usb0="A00002BF" w:usb1="68C7FCFB" w:usb2="00000010" w:usb3="00000000" w:csb0="4002009F" w:csb1="DFD70000"/>
    <w:embedRegular r:id="rId5" w:fontKey="{BF003B4B-D20B-4EF2-AE94-FB425DD4125C}"/>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9D51">
    <w:pPr>
      <w:pStyle w:val="24"/>
      <w:jc w:val="center"/>
    </w:pPr>
    <w:r>
      <w:fldChar w:fldCharType="begin"/>
    </w:r>
    <w:r>
      <w:instrText xml:space="preserve"> PAGE   \* MERGEFORMAT </w:instrText>
    </w:r>
    <w:r>
      <w:fldChar w:fldCharType="separate"/>
    </w:r>
    <w:r>
      <w:t>22</w:t>
    </w:r>
    <w:r>
      <w:fldChar w:fldCharType="end"/>
    </w:r>
  </w:p>
  <w:p w14:paraId="66F90E16">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9B478">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47</w:t>
    </w:r>
    <w:r>
      <w:fldChar w:fldCharType="end"/>
    </w:r>
  </w:p>
  <w:p w14:paraId="6A880CB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A3E8">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14:paraId="17CD55A2">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C4BF">
    <w:pPr>
      <w:pStyle w:val="25"/>
      <w:pBdr>
        <w:bottom w:val="single" w:color="auto" w:sz="4" w:space="1"/>
      </w:pBdr>
      <w:tabs>
        <w:tab w:val="left" w:pos="3082"/>
      </w:tabs>
      <w:jc w:val="right"/>
      <w:rPr>
        <w:rFonts w:hint="eastAsia" w:ascii="仿宋" w:hAnsi="仿宋" w:eastAsia="仿宋" w:cs="仿宋"/>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1B34">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F03">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58848"/>
    <w:multiLevelType w:val="singleLevel"/>
    <w:tmpl w:val="87858848"/>
    <w:lvl w:ilvl="0" w:tentative="0">
      <w:start w:val="1"/>
      <w:numFmt w:val="decimal"/>
      <w:suff w:val="nothing"/>
      <w:lvlText w:val="%1、"/>
      <w:lvlJc w:val="left"/>
    </w:lvl>
  </w:abstractNum>
  <w:abstractNum w:abstractNumId="1">
    <w:nsid w:val="8E4FF74D"/>
    <w:multiLevelType w:val="singleLevel"/>
    <w:tmpl w:val="8E4FF74D"/>
    <w:lvl w:ilvl="0" w:tentative="0">
      <w:start w:val="1"/>
      <w:numFmt w:val="decimal"/>
      <w:suff w:val="nothing"/>
      <w:lvlText w:val="(%1)"/>
      <w:lvlJc w:val="left"/>
      <w:pPr>
        <w:ind w:left="425" w:hanging="425"/>
      </w:pPr>
      <w:rPr>
        <w:rFonts w:hint="default"/>
      </w:rPr>
    </w:lvl>
  </w:abstractNum>
  <w:abstractNum w:abstractNumId="2">
    <w:nsid w:val="9BF1DC8A"/>
    <w:multiLevelType w:val="singleLevel"/>
    <w:tmpl w:val="9BF1DC8A"/>
    <w:lvl w:ilvl="0" w:tentative="0">
      <w:start w:val="1"/>
      <w:numFmt w:val="decimal"/>
      <w:suff w:val="nothing"/>
      <w:lvlText w:val="（%1）"/>
      <w:lvlJc w:val="left"/>
    </w:lvl>
  </w:abstractNum>
  <w:abstractNum w:abstractNumId="3">
    <w:nsid w:val="9FDCF791"/>
    <w:multiLevelType w:val="singleLevel"/>
    <w:tmpl w:val="9FDCF791"/>
    <w:lvl w:ilvl="0" w:tentative="0">
      <w:start w:val="1"/>
      <w:numFmt w:val="decimal"/>
      <w:suff w:val="nothing"/>
      <w:lvlText w:val="%1、"/>
      <w:lvlJc w:val="left"/>
    </w:lvl>
  </w:abstractNum>
  <w:abstractNum w:abstractNumId="4">
    <w:nsid w:val="A29F77C0"/>
    <w:multiLevelType w:val="singleLevel"/>
    <w:tmpl w:val="A29F77C0"/>
    <w:lvl w:ilvl="0" w:tentative="0">
      <w:start w:val="1"/>
      <w:numFmt w:val="decimal"/>
      <w:suff w:val="nothing"/>
      <w:lvlText w:val="(%1)"/>
      <w:lvlJc w:val="left"/>
      <w:pPr>
        <w:ind w:left="425" w:hanging="425"/>
      </w:pPr>
      <w:rPr>
        <w:rFonts w:hint="default"/>
      </w:rPr>
    </w:lvl>
  </w:abstractNum>
  <w:abstractNum w:abstractNumId="5">
    <w:nsid w:val="B7A1107E"/>
    <w:multiLevelType w:val="singleLevel"/>
    <w:tmpl w:val="B7A1107E"/>
    <w:lvl w:ilvl="0" w:tentative="0">
      <w:start w:val="1"/>
      <w:numFmt w:val="decimal"/>
      <w:suff w:val="nothing"/>
      <w:lvlText w:val="(%1)"/>
      <w:lvlJc w:val="left"/>
      <w:pPr>
        <w:ind w:left="425" w:hanging="425"/>
      </w:pPr>
      <w:rPr>
        <w:rFonts w:hint="default"/>
      </w:rPr>
    </w:lvl>
  </w:abstractNum>
  <w:abstractNum w:abstractNumId="6">
    <w:nsid w:val="C33FEA97"/>
    <w:multiLevelType w:val="singleLevel"/>
    <w:tmpl w:val="C33FEA97"/>
    <w:lvl w:ilvl="0" w:tentative="0">
      <w:start w:val="1"/>
      <w:numFmt w:val="decimal"/>
      <w:suff w:val="nothing"/>
      <w:lvlText w:val="%1、"/>
      <w:lvlJc w:val="left"/>
    </w:lvl>
  </w:abstractNum>
  <w:abstractNum w:abstractNumId="7">
    <w:nsid w:val="CA8A21F8"/>
    <w:multiLevelType w:val="singleLevel"/>
    <w:tmpl w:val="CA8A21F8"/>
    <w:lvl w:ilvl="0" w:tentative="0">
      <w:start w:val="1"/>
      <w:numFmt w:val="decimal"/>
      <w:lvlText w:val="(%1)"/>
      <w:lvlJc w:val="left"/>
      <w:pPr>
        <w:ind w:left="425" w:hanging="425"/>
      </w:pPr>
      <w:rPr>
        <w:rFonts w:hint="default"/>
      </w:rPr>
    </w:lvl>
  </w:abstractNum>
  <w:abstractNum w:abstractNumId="8">
    <w:nsid w:val="D50F34DB"/>
    <w:multiLevelType w:val="multilevel"/>
    <w:tmpl w:val="D50F34DB"/>
    <w:lvl w:ilvl="0" w:tentative="0">
      <w:start w:val="1"/>
      <w:numFmt w:val="decimal"/>
      <w:suff w:val="nothing"/>
      <w:lvlText w:val="(%1)"/>
      <w:lvlJc w:val="left"/>
      <w:pPr>
        <w:ind w:left="630" w:hanging="4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D570AA80"/>
    <w:multiLevelType w:val="singleLevel"/>
    <w:tmpl w:val="D570AA80"/>
    <w:lvl w:ilvl="0" w:tentative="0">
      <w:start w:val="1"/>
      <w:numFmt w:val="decimal"/>
      <w:suff w:val="nothing"/>
      <w:lvlText w:val="（%1）"/>
      <w:lvlJc w:val="left"/>
    </w:lvl>
  </w:abstractNum>
  <w:abstractNum w:abstractNumId="10">
    <w:nsid w:val="D5BC1F1F"/>
    <w:multiLevelType w:val="singleLevel"/>
    <w:tmpl w:val="D5BC1F1F"/>
    <w:lvl w:ilvl="0" w:tentative="0">
      <w:start w:val="1"/>
      <w:numFmt w:val="decimal"/>
      <w:suff w:val="nothing"/>
      <w:lvlText w:val="%1、"/>
      <w:lvlJc w:val="left"/>
    </w:lvl>
  </w:abstractNum>
  <w:abstractNum w:abstractNumId="11">
    <w:nsid w:val="E26304F0"/>
    <w:multiLevelType w:val="singleLevel"/>
    <w:tmpl w:val="E26304F0"/>
    <w:lvl w:ilvl="0" w:tentative="0">
      <w:start w:val="1"/>
      <w:numFmt w:val="decimal"/>
      <w:suff w:val="nothing"/>
      <w:lvlText w:val="%1、"/>
      <w:lvlJc w:val="left"/>
      <w:pPr>
        <w:ind w:left="150"/>
      </w:pPr>
    </w:lvl>
  </w:abstractNum>
  <w:abstractNum w:abstractNumId="12">
    <w:nsid w:val="E8E844B2"/>
    <w:multiLevelType w:val="singleLevel"/>
    <w:tmpl w:val="E8E844B2"/>
    <w:lvl w:ilvl="0" w:tentative="0">
      <w:start w:val="1"/>
      <w:numFmt w:val="decimal"/>
      <w:suff w:val="nothing"/>
      <w:lvlText w:val="(%1)"/>
      <w:lvlJc w:val="left"/>
      <w:pPr>
        <w:ind w:left="425" w:hanging="425"/>
      </w:pPr>
      <w:rPr>
        <w:rFonts w:hint="default"/>
      </w:rPr>
    </w:lvl>
  </w:abstractNum>
  <w:abstractNum w:abstractNumId="13">
    <w:nsid w:val="ED8E3FE9"/>
    <w:multiLevelType w:val="singleLevel"/>
    <w:tmpl w:val="ED8E3FE9"/>
    <w:lvl w:ilvl="0" w:tentative="0">
      <w:start w:val="1"/>
      <w:numFmt w:val="decimal"/>
      <w:suff w:val="nothing"/>
      <w:lvlText w:val="(%1)"/>
      <w:lvlJc w:val="left"/>
      <w:pPr>
        <w:ind w:left="425" w:hanging="425"/>
      </w:pPr>
      <w:rPr>
        <w:rFonts w:hint="default"/>
      </w:rPr>
    </w:lvl>
  </w:abstractNum>
  <w:abstractNum w:abstractNumId="14">
    <w:nsid w:val="EE3F6EA5"/>
    <w:multiLevelType w:val="singleLevel"/>
    <w:tmpl w:val="EE3F6EA5"/>
    <w:lvl w:ilvl="0" w:tentative="0">
      <w:start w:val="1"/>
      <w:numFmt w:val="decimal"/>
      <w:suff w:val="nothing"/>
      <w:lvlText w:val="（%1）"/>
      <w:lvlJc w:val="left"/>
    </w:lvl>
  </w:abstractNum>
  <w:abstractNum w:abstractNumId="15">
    <w:nsid w:val="F361EA5B"/>
    <w:multiLevelType w:val="singleLevel"/>
    <w:tmpl w:val="F361EA5B"/>
    <w:lvl w:ilvl="0" w:tentative="0">
      <w:start w:val="1"/>
      <w:numFmt w:val="decimal"/>
      <w:pStyle w:val="85"/>
      <w:lvlText w:val="%1."/>
      <w:lvlJc w:val="left"/>
      <w:pPr>
        <w:tabs>
          <w:tab w:val="left" w:pos="312"/>
        </w:tabs>
      </w:pPr>
    </w:lvl>
  </w:abstractNum>
  <w:abstractNum w:abstractNumId="16">
    <w:nsid w:val="F41FBC58"/>
    <w:multiLevelType w:val="singleLevel"/>
    <w:tmpl w:val="F41FBC58"/>
    <w:lvl w:ilvl="0" w:tentative="0">
      <w:start w:val="1"/>
      <w:numFmt w:val="decimal"/>
      <w:suff w:val="nothing"/>
      <w:lvlText w:val="%1、"/>
      <w:lvlJc w:val="left"/>
    </w:lvl>
  </w:abstractNum>
  <w:abstractNum w:abstractNumId="17">
    <w:nsid w:val="FEBE863A"/>
    <w:multiLevelType w:val="singleLevel"/>
    <w:tmpl w:val="FEBE863A"/>
    <w:lvl w:ilvl="0" w:tentative="0">
      <w:start w:val="1"/>
      <w:numFmt w:val="decimal"/>
      <w:lvlText w:val="(%1)"/>
      <w:lvlJc w:val="left"/>
      <w:pPr>
        <w:ind w:left="425" w:hanging="425"/>
      </w:pPr>
      <w:rPr>
        <w:rFonts w:hint="default"/>
      </w:rPr>
    </w:lvl>
  </w:abstractNum>
  <w:abstractNum w:abstractNumId="18">
    <w:nsid w:val="05A11A21"/>
    <w:multiLevelType w:val="singleLevel"/>
    <w:tmpl w:val="05A11A21"/>
    <w:lvl w:ilvl="0" w:tentative="0">
      <w:start w:val="1"/>
      <w:numFmt w:val="decimal"/>
      <w:suff w:val="nothing"/>
      <w:lvlText w:val="%1、"/>
      <w:lvlJc w:val="left"/>
    </w:lvl>
  </w:abstractNum>
  <w:abstractNum w:abstractNumId="19">
    <w:nsid w:val="07EB746B"/>
    <w:multiLevelType w:val="multilevel"/>
    <w:tmpl w:val="07EB746B"/>
    <w:lvl w:ilvl="0" w:tentative="0">
      <w:start w:val="1"/>
      <w:numFmt w:val="chineseCountingThousand"/>
      <w:suff w:val="nothing"/>
      <w:lvlText w:val="%1、"/>
      <w:lvlJc w:val="left"/>
      <w:pPr>
        <w:ind w:left="680" w:hanging="680"/>
      </w:pPr>
      <w:rPr>
        <w:rFonts w:hint="eastAsia"/>
        <w:b/>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suff w:val="nothing"/>
      <w:lvlText w:val="%4、"/>
      <w:lvlJc w:val="left"/>
      <w:pPr>
        <w:ind w:left="624" w:hanging="624"/>
      </w:pPr>
      <w:rPr>
        <w:rFonts w:hint="eastAsia"/>
        <w:b w:val="0"/>
        <w:lang w:val="en-US"/>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1A36BD0D"/>
    <w:multiLevelType w:val="singleLevel"/>
    <w:tmpl w:val="1A36BD0D"/>
    <w:lvl w:ilvl="0" w:tentative="0">
      <w:start w:val="1"/>
      <w:numFmt w:val="decimal"/>
      <w:lvlText w:val="%1."/>
      <w:lvlJc w:val="left"/>
      <w:pPr>
        <w:ind w:left="425" w:hanging="425"/>
      </w:pPr>
      <w:rPr>
        <w:rFonts w:hint="default"/>
      </w:rPr>
    </w:lvl>
  </w:abstractNum>
  <w:abstractNum w:abstractNumId="21">
    <w:nsid w:val="318774D8"/>
    <w:multiLevelType w:val="singleLevel"/>
    <w:tmpl w:val="318774D8"/>
    <w:lvl w:ilvl="0" w:tentative="0">
      <w:start w:val="1"/>
      <w:numFmt w:val="decimal"/>
      <w:suff w:val="nothing"/>
      <w:lvlText w:val="%1、"/>
      <w:lvlJc w:val="left"/>
    </w:lvl>
  </w:abstractNum>
  <w:abstractNum w:abstractNumId="22">
    <w:nsid w:val="3B1A7025"/>
    <w:multiLevelType w:val="singleLevel"/>
    <w:tmpl w:val="3B1A7025"/>
    <w:lvl w:ilvl="0" w:tentative="0">
      <w:start w:val="1"/>
      <w:numFmt w:val="decimal"/>
      <w:lvlText w:val="(%1)"/>
      <w:lvlJc w:val="left"/>
      <w:pPr>
        <w:ind w:left="425" w:hanging="425"/>
      </w:pPr>
      <w:rPr>
        <w:rFonts w:hint="default"/>
      </w:rPr>
    </w:lvl>
  </w:abstractNum>
  <w:abstractNum w:abstractNumId="23">
    <w:nsid w:val="3D7B1657"/>
    <w:multiLevelType w:val="singleLevel"/>
    <w:tmpl w:val="3D7B1657"/>
    <w:lvl w:ilvl="0" w:tentative="0">
      <w:start w:val="1"/>
      <w:numFmt w:val="decimal"/>
      <w:suff w:val="nothing"/>
      <w:lvlText w:val="(%1)"/>
      <w:lvlJc w:val="left"/>
      <w:pPr>
        <w:ind w:left="425" w:hanging="425"/>
      </w:pPr>
      <w:rPr>
        <w:rFonts w:hint="default"/>
      </w:rPr>
    </w:lvl>
  </w:abstractNum>
  <w:abstractNum w:abstractNumId="24">
    <w:nsid w:val="3E6525C4"/>
    <w:multiLevelType w:val="singleLevel"/>
    <w:tmpl w:val="3E6525C4"/>
    <w:lvl w:ilvl="0" w:tentative="0">
      <w:start w:val="1"/>
      <w:numFmt w:val="decimal"/>
      <w:suff w:val="nothing"/>
      <w:lvlText w:val="%1、"/>
      <w:lvlJc w:val="left"/>
    </w:lvl>
  </w:abstractNum>
  <w:abstractNum w:abstractNumId="25">
    <w:nsid w:val="4596187A"/>
    <w:multiLevelType w:val="singleLevel"/>
    <w:tmpl w:val="4596187A"/>
    <w:lvl w:ilvl="0" w:tentative="0">
      <w:start w:val="2"/>
      <w:numFmt w:val="decimal"/>
      <w:lvlText w:val="(%1)"/>
      <w:lvlJc w:val="left"/>
      <w:pPr>
        <w:tabs>
          <w:tab w:val="left" w:pos="312"/>
        </w:tabs>
      </w:pPr>
    </w:lvl>
  </w:abstractNum>
  <w:abstractNum w:abstractNumId="26">
    <w:nsid w:val="4668FE44"/>
    <w:multiLevelType w:val="singleLevel"/>
    <w:tmpl w:val="4668FE44"/>
    <w:lvl w:ilvl="0" w:tentative="0">
      <w:start w:val="1"/>
      <w:numFmt w:val="decimal"/>
      <w:suff w:val="nothing"/>
      <w:lvlText w:val="(%1)"/>
      <w:lvlJc w:val="left"/>
      <w:pPr>
        <w:ind w:left="425" w:hanging="425"/>
      </w:pPr>
      <w:rPr>
        <w:rFonts w:hint="default"/>
      </w:rPr>
    </w:lvl>
  </w:abstractNum>
  <w:abstractNum w:abstractNumId="27">
    <w:nsid w:val="4822C3FA"/>
    <w:multiLevelType w:val="singleLevel"/>
    <w:tmpl w:val="4822C3FA"/>
    <w:lvl w:ilvl="0" w:tentative="0">
      <w:start w:val="1"/>
      <w:numFmt w:val="decimal"/>
      <w:suff w:val="nothing"/>
      <w:lvlText w:val="%1、"/>
      <w:lvlJc w:val="left"/>
    </w:lvl>
  </w:abstractNum>
  <w:abstractNum w:abstractNumId="28">
    <w:nsid w:val="53140583"/>
    <w:multiLevelType w:val="singleLevel"/>
    <w:tmpl w:val="53140583"/>
    <w:lvl w:ilvl="0" w:tentative="0">
      <w:start w:val="1"/>
      <w:numFmt w:val="decimal"/>
      <w:suff w:val="nothing"/>
      <w:lvlText w:val="(%1)"/>
      <w:lvlJc w:val="left"/>
      <w:pPr>
        <w:ind w:left="425" w:hanging="425"/>
      </w:pPr>
      <w:rPr>
        <w:rFonts w:hint="default"/>
      </w:rPr>
    </w:lvl>
  </w:abstractNum>
  <w:abstractNum w:abstractNumId="29">
    <w:nsid w:val="56074524"/>
    <w:multiLevelType w:val="singleLevel"/>
    <w:tmpl w:val="56074524"/>
    <w:lvl w:ilvl="0" w:tentative="0">
      <w:start w:val="1"/>
      <w:numFmt w:val="decimal"/>
      <w:suff w:val="nothing"/>
      <w:lvlText w:val="(%1)"/>
      <w:lvlJc w:val="left"/>
      <w:pPr>
        <w:ind w:left="425" w:hanging="425"/>
      </w:pPr>
      <w:rPr>
        <w:rFonts w:hint="default"/>
      </w:rPr>
    </w:lvl>
  </w:abstractNum>
  <w:abstractNum w:abstractNumId="30">
    <w:nsid w:val="5FBE05CC"/>
    <w:multiLevelType w:val="singleLevel"/>
    <w:tmpl w:val="5FBE05CC"/>
    <w:lvl w:ilvl="0" w:tentative="0">
      <w:start w:val="1"/>
      <w:numFmt w:val="decimal"/>
      <w:suff w:val="nothing"/>
      <w:lvlText w:val="（%1）"/>
      <w:lvlJc w:val="left"/>
    </w:lvl>
  </w:abstractNum>
  <w:abstractNum w:abstractNumId="31">
    <w:nsid w:val="681DA602"/>
    <w:multiLevelType w:val="singleLevel"/>
    <w:tmpl w:val="681DA602"/>
    <w:lvl w:ilvl="0" w:tentative="0">
      <w:start w:val="1"/>
      <w:numFmt w:val="decimal"/>
      <w:suff w:val="nothing"/>
      <w:lvlText w:val="%1、"/>
      <w:lvlJc w:val="left"/>
    </w:lvl>
  </w:abstractNum>
  <w:abstractNum w:abstractNumId="32">
    <w:nsid w:val="69A33A0F"/>
    <w:multiLevelType w:val="singleLevel"/>
    <w:tmpl w:val="69A33A0F"/>
    <w:lvl w:ilvl="0" w:tentative="0">
      <w:start w:val="1"/>
      <w:numFmt w:val="decimal"/>
      <w:suff w:val="nothing"/>
      <w:lvlText w:val="%1、"/>
      <w:lvlJc w:val="left"/>
    </w:lvl>
  </w:abstractNum>
  <w:num w:numId="1">
    <w:abstractNumId w:val="15"/>
  </w:num>
  <w:num w:numId="2">
    <w:abstractNumId w:val="25"/>
  </w:num>
  <w:num w:numId="3">
    <w:abstractNumId w:val="20"/>
  </w:num>
  <w:num w:numId="4">
    <w:abstractNumId w:val="26"/>
  </w:num>
  <w:num w:numId="5">
    <w:abstractNumId w:val="14"/>
  </w:num>
  <w:num w:numId="6">
    <w:abstractNumId w:val="2"/>
  </w:num>
  <w:num w:numId="7">
    <w:abstractNumId w:val="28"/>
  </w:num>
  <w:num w:numId="8">
    <w:abstractNumId w:val="13"/>
  </w:num>
  <w:num w:numId="9">
    <w:abstractNumId w:val="8"/>
  </w:num>
  <w:num w:numId="10">
    <w:abstractNumId w:val="29"/>
  </w:num>
  <w:num w:numId="11">
    <w:abstractNumId w:val="1"/>
  </w:num>
  <w:num w:numId="12">
    <w:abstractNumId w:val="4"/>
  </w:num>
  <w:num w:numId="13">
    <w:abstractNumId w:val="23"/>
  </w:num>
  <w:num w:numId="14">
    <w:abstractNumId w:val="5"/>
  </w:num>
  <w:num w:numId="15">
    <w:abstractNumId w:val="12"/>
  </w:num>
  <w:num w:numId="16">
    <w:abstractNumId w:val="30"/>
  </w:num>
  <w:num w:numId="17">
    <w:abstractNumId w:val="17"/>
  </w:num>
  <w:num w:numId="18">
    <w:abstractNumId w:val="7"/>
  </w:num>
  <w:num w:numId="19">
    <w:abstractNumId w:val="19"/>
  </w:num>
  <w:num w:numId="20">
    <w:abstractNumId w:val="18"/>
  </w:num>
  <w:num w:numId="21">
    <w:abstractNumId w:val="6"/>
  </w:num>
  <w:num w:numId="22">
    <w:abstractNumId w:val="10"/>
  </w:num>
  <w:num w:numId="23">
    <w:abstractNumId w:val="3"/>
  </w:num>
  <w:num w:numId="24">
    <w:abstractNumId w:val="11"/>
  </w:num>
  <w:num w:numId="25">
    <w:abstractNumId w:val="9"/>
  </w:num>
  <w:num w:numId="26">
    <w:abstractNumId w:val="32"/>
  </w:num>
  <w:num w:numId="27">
    <w:abstractNumId w:val="16"/>
  </w:num>
  <w:num w:numId="28">
    <w:abstractNumId w:val="27"/>
  </w:num>
  <w:num w:numId="29">
    <w:abstractNumId w:val="21"/>
  </w:num>
  <w:num w:numId="30">
    <w:abstractNumId w:val="22"/>
  </w:num>
  <w:num w:numId="31">
    <w:abstractNumId w:val="31"/>
  </w:num>
  <w:num w:numId="32">
    <w:abstractNumId w:val="2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OTQ3ZDQ0YzUwZWM0NzM2Y2YyMDBiMjkwYTA5ZGYifQ=="/>
  </w:docVars>
  <w:rsids>
    <w:rsidRoot w:val="00172A27"/>
    <w:rsid w:val="00004197"/>
    <w:rsid w:val="00010D6B"/>
    <w:rsid w:val="00011053"/>
    <w:rsid w:val="00020B83"/>
    <w:rsid w:val="000312D5"/>
    <w:rsid w:val="000326A0"/>
    <w:rsid w:val="00033873"/>
    <w:rsid w:val="000371AB"/>
    <w:rsid w:val="000436F1"/>
    <w:rsid w:val="000445B9"/>
    <w:rsid w:val="00044704"/>
    <w:rsid w:val="00045337"/>
    <w:rsid w:val="00050091"/>
    <w:rsid w:val="000506D4"/>
    <w:rsid w:val="000545B2"/>
    <w:rsid w:val="00054AED"/>
    <w:rsid w:val="00056153"/>
    <w:rsid w:val="000562FE"/>
    <w:rsid w:val="00056954"/>
    <w:rsid w:val="00056C93"/>
    <w:rsid w:val="000576AF"/>
    <w:rsid w:val="00057EF7"/>
    <w:rsid w:val="000601D9"/>
    <w:rsid w:val="0006403A"/>
    <w:rsid w:val="00066AA1"/>
    <w:rsid w:val="00067DCD"/>
    <w:rsid w:val="00071C9C"/>
    <w:rsid w:val="00072322"/>
    <w:rsid w:val="0007676A"/>
    <w:rsid w:val="00080FF1"/>
    <w:rsid w:val="0008152A"/>
    <w:rsid w:val="00086C3D"/>
    <w:rsid w:val="00087E36"/>
    <w:rsid w:val="0009167D"/>
    <w:rsid w:val="000938EA"/>
    <w:rsid w:val="000953DE"/>
    <w:rsid w:val="00096F8B"/>
    <w:rsid w:val="00097309"/>
    <w:rsid w:val="000979A0"/>
    <w:rsid w:val="000A297D"/>
    <w:rsid w:val="000A4D2D"/>
    <w:rsid w:val="000A5E73"/>
    <w:rsid w:val="000B01CF"/>
    <w:rsid w:val="000B1D44"/>
    <w:rsid w:val="000B26FB"/>
    <w:rsid w:val="000C045F"/>
    <w:rsid w:val="000C1B7F"/>
    <w:rsid w:val="000C46B5"/>
    <w:rsid w:val="000C5A12"/>
    <w:rsid w:val="000D07EC"/>
    <w:rsid w:val="000D205E"/>
    <w:rsid w:val="000D5F87"/>
    <w:rsid w:val="000D67F5"/>
    <w:rsid w:val="000D6CDF"/>
    <w:rsid w:val="000D7801"/>
    <w:rsid w:val="000D7BE8"/>
    <w:rsid w:val="000E0C99"/>
    <w:rsid w:val="000F225D"/>
    <w:rsid w:val="000F33A7"/>
    <w:rsid w:val="000F4E9D"/>
    <w:rsid w:val="000F75FD"/>
    <w:rsid w:val="001012DF"/>
    <w:rsid w:val="00101BCF"/>
    <w:rsid w:val="0010742D"/>
    <w:rsid w:val="00107EFB"/>
    <w:rsid w:val="0011063D"/>
    <w:rsid w:val="00110861"/>
    <w:rsid w:val="00111EAF"/>
    <w:rsid w:val="00116ECD"/>
    <w:rsid w:val="001207F7"/>
    <w:rsid w:val="00121ED3"/>
    <w:rsid w:val="00124521"/>
    <w:rsid w:val="00124ED9"/>
    <w:rsid w:val="00125114"/>
    <w:rsid w:val="00134A8B"/>
    <w:rsid w:val="00135448"/>
    <w:rsid w:val="00135A18"/>
    <w:rsid w:val="0014253C"/>
    <w:rsid w:val="0014304C"/>
    <w:rsid w:val="001476AE"/>
    <w:rsid w:val="00150EF0"/>
    <w:rsid w:val="00152C90"/>
    <w:rsid w:val="001546B2"/>
    <w:rsid w:val="001571D2"/>
    <w:rsid w:val="0015798F"/>
    <w:rsid w:val="001612FE"/>
    <w:rsid w:val="00162EF6"/>
    <w:rsid w:val="0016494A"/>
    <w:rsid w:val="001652DF"/>
    <w:rsid w:val="00165C57"/>
    <w:rsid w:val="001673F4"/>
    <w:rsid w:val="0017182D"/>
    <w:rsid w:val="00172A27"/>
    <w:rsid w:val="00176565"/>
    <w:rsid w:val="00177B34"/>
    <w:rsid w:val="00180483"/>
    <w:rsid w:val="00184D45"/>
    <w:rsid w:val="00185659"/>
    <w:rsid w:val="0018585E"/>
    <w:rsid w:val="00186AC6"/>
    <w:rsid w:val="00186B06"/>
    <w:rsid w:val="00186F54"/>
    <w:rsid w:val="0018749E"/>
    <w:rsid w:val="0019210E"/>
    <w:rsid w:val="00192744"/>
    <w:rsid w:val="00192A9F"/>
    <w:rsid w:val="00195A97"/>
    <w:rsid w:val="00196098"/>
    <w:rsid w:val="001964C0"/>
    <w:rsid w:val="00196E77"/>
    <w:rsid w:val="001A28B5"/>
    <w:rsid w:val="001A36FE"/>
    <w:rsid w:val="001A3B66"/>
    <w:rsid w:val="001A5A11"/>
    <w:rsid w:val="001A5BAB"/>
    <w:rsid w:val="001A7448"/>
    <w:rsid w:val="001B143D"/>
    <w:rsid w:val="001B6990"/>
    <w:rsid w:val="001C3343"/>
    <w:rsid w:val="001C3823"/>
    <w:rsid w:val="001C5556"/>
    <w:rsid w:val="001C63AA"/>
    <w:rsid w:val="001C751F"/>
    <w:rsid w:val="001C7A4B"/>
    <w:rsid w:val="001D613C"/>
    <w:rsid w:val="001E0D10"/>
    <w:rsid w:val="001E2CB4"/>
    <w:rsid w:val="001E4E27"/>
    <w:rsid w:val="001F40CF"/>
    <w:rsid w:val="001F558B"/>
    <w:rsid w:val="001F6512"/>
    <w:rsid w:val="001F6880"/>
    <w:rsid w:val="001F7E23"/>
    <w:rsid w:val="0020170A"/>
    <w:rsid w:val="0020183F"/>
    <w:rsid w:val="00205E3A"/>
    <w:rsid w:val="002062B4"/>
    <w:rsid w:val="0020798F"/>
    <w:rsid w:val="002103B8"/>
    <w:rsid w:val="0021381B"/>
    <w:rsid w:val="002205ED"/>
    <w:rsid w:val="00221252"/>
    <w:rsid w:val="00221A03"/>
    <w:rsid w:val="002220CF"/>
    <w:rsid w:val="00235C30"/>
    <w:rsid w:val="00235E37"/>
    <w:rsid w:val="00235FC6"/>
    <w:rsid w:val="002366AF"/>
    <w:rsid w:val="00247619"/>
    <w:rsid w:val="00251B8C"/>
    <w:rsid w:val="00252529"/>
    <w:rsid w:val="00261526"/>
    <w:rsid w:val="0026269F"/>
    <w:rsid w:val="00263546"/>
    <w:rsid w:val="002657EF"/>
    <w:rsid w:val="00270839"/>
    <w:rsid w:val="0027176F"/>
    <w:rsid w:val="00271B9B"/>
    <w:rsid w:val="002761E2"/>
    <w:rsid w:val="00277007"/>
    <w:rsid w:val="00280521"/>
    <w:rsid w:val="00281AEB"/>
    <w:rsid w:val="00286C29"/>
    <w:rsid w:val="00290AC3"/>
    <w:rsid w:val="00290B4F"/>
    <w:rsid w:val="00291928"/>
    <w:rsid w:val="0029617A"/>
    <w:rsid w:val="00297164"/>
    <w:rsid w:val="002A02AA"/>
    <w:rsid w:val="002A107B"/>
    <w:rsid w:val="002A3604"/>
    <w:rsid w:val="002A486C"/>
    <w:rsid w:val="002A572D"/>
    <w:rsid w:val="002A6228"/>
    <w:rsid w:val="002A7DD9"/>
    <w:rsid w:val="002A7E1E"/>
    <w:rsid w:val="002B040B"/>
    <w:rsid w:val="002B09A7"/>
    <w:rsid w:val="002B2000"/>
    <w:rsid w:val="002B23DF"/>
    <w:rsid w:val="002B4FD1"/>
    <w:rsid w:val="002B77C4"/>
    <w:rsid w:val="002C0896"/>
    <w:rsid w:val="002C43AD"/>
    <w:rsid w:val="002C7C22"/>
    <w:rsid w:val="002D1C63"/>
    <w:rsid w:val="002D3A0E"/>
    <w:rsid w:val="002D5B93"/>
    <w:rsid w:val="002E0D61"/>
    <w:rsid w:val="002E1A4B"/>
    <w:rsid w:val="002E4A9F"/>
    <w:rsid w:val="002E51EE"/>
    <w:rsid w:val="002F65E1"/>
    <w:rsid w:val="00300C01"/>
    <w:rsid w:val="003016D4"/>
    <w:rsid w:val="00301BA8"/>
    <w:rsid w:val="00306B15"/>
    <w:rsid w:val="00306D09"/>
    <w:rsid w:val="003101A9"/>
    <w:rsid w:val="003114BC"/>
    <w:rsid w:val="003127DE"/>
    <w:rsid w:val="00312B08"/>
    <w:rsid w:val="00320D1B"/>
    <w:rsid w:val="00322CBF"/>
    <w:rsid w:val="00324E09"/>
    <w:rsid w:val="00327E03"/>
    <w:rsid w:val="00330206"/>
    <w:rsid w:val="00333BC8"/>
    <w:rsid w:val="0033452E"/>
    <w:rsid w:val="00336B51"/>
    <w:rsid w:val="0034063E"/>
    <w:rsid w:val="00340C02"/>
    <w:rsid w:val="00341705"/>
    <w:rsid w:val="00342FC1"/>
    <w:rsid w:val="00344385"/>
    <w:rsid w:val="0035191F"/>
    <w:rsid w:val="00352DFF"/>
    <w:rsid w:val="0035393B"/>
    <w:rsid w:val="00355252"/>
    <w:rsid w:val="00357C42"/>
    <w:rsid w:val="00360497"/>
    <w:rsid w:val="00362B82"/>
    <w:rsid w:val="00366D50"/>
    <w:rsid w:val="00367E22"/>
    <w:rsid w:val="00373DC8"/>
    <w:rsid w:val="0037524A"/>
    <w:rsid w:val="0037533A"/>
    <w:rsid w:val="00376C28"/>
    <w:rsid w:val="00376CCD"/>
    <w:rsid w:val="003774CE"/>
    <w:rsid w:val="003813AE"/>
    <w:rsid w:val="003846BF"/>
    <w:rsid w:val="0038632D"/>
    <w:rsid w:val="003933ED"/>
    <w:rsid w:val="00393981"/>
    <w:rsid w:val="00395AD9"/>
    <w:rsid w:val="003A0690"/>
    <w:rsid w:val="003A3358"/>
    <w:rsid w:val="003A36CA"/>
    <w:rsid w:val="003A4E7F"/>
    <w:rsid w:val="003A6D85"/>
    <w:rsid w:val="003B2FCA"/>
    <w:rsid w:val="003B4521"/>
    <w:rsid w:val="003B5806"/>
    <w:rsid w:val="003C0897"/>
    <w:rsid w:val="003C4615"/>
    <w:rsid w:val="003C5A71"/>
    <w:rsid w:val="003C5CB8"/>
    <w:rsid w:val="003D23F0"/>
    <w:rsid w:val="003D3DBF"/>
    <w:rsid w:val="003D5341"/>
    <w:rsid w:val="003D57E0"/>
    <w:rsid w:val="003D6011"/>
    <w:rsid w:val="003D71CA"/>
    <w:rsid w:val="003E075B"/>
    <w:rsid w:val="003E529B"/>
    <w:rsid w:val="003E6365"/>
    <w:rsid w:val="003E791F"/>
    <w:rsid w:val="003F11B2"/>
    <w:rsid w:val="003F2306"/>
    <w:rsid w:val="003F3DB3"/>
    <w:rsid w:val="003F6248"/>
    <w:rsid w:val="003F754D"/>
    <w:rsid w:val="0040043D"/>
    <w:rsid w:val="004009D3"/>
    <w:rsid w:val="00410398"/>
    <w:rsid w:val="00413785"/>
    <w:rsid w:val="00415FC8"/>
    <w:rsid w:val="00416D06"/>
    <w:rsid w:val="0042162E"/>
    <w:rsid w:val="00424887"/>
    <w:rsid w:val="0042529A"/>
    <w:rsid w:val="00427025"/>
    <w:rsid w:val="0042715D"/>
    <w:rsid w:val="00430894"/>
    <w:rsid w:val="004308BB"/>
    <w:rsid w:val="004340B0"/>
    <w:rsid w:val="004356CE"/>
    <w:rsid w:val="00443D23"/>
    <w:rsid w:val="0044588F"/>
    <w:rsid w:val="00445FFC"/>
    <w:rsid w:val="004468C0"/>
    <w:rsid w:val="00452595"/>
    <w:rsid w:val="00452BD2"/>
    <w:rsid w:val="00452E92"/>
    <w:rsid w:val="00453C3B"/>
    <w:rsid w:val="00454A19"/>
    <w:rsid w:val="004569EF"/>
    <w:rsid w:val="00456B0C"/>
    <w:rsid w:val="004605E7"/>
    <w:rsid w:val="004662C1"/>
    <w:rsid w:val="00470B04"/>
    <w:rsid w:val="0047283A"/>
    <w:rsid w:val="0047327E"/>
    <w:rsid w:val="004737E8"/>
    <w:rsid w:val="004775F4"/>
    <w:rsid w:val="0048657B"/>
    <w:rsid w:val="0048701C"/>
    <w:rsid w:val="004878EE"/>
    <w:rsid w:val="0049383B"/>
    <w:rsid w:val="00494C20"/>
    <w:rsid w:val="004A23CF"/>
    <w:rsid w:val="004A602D"/>
    <w:rsid w:val="004B02A5"/>
    <w:rsid w:val="004B2207"/>
    <w:rsid w:val="004B24B6"/>
    <w:rsid w:val="004B2595"/>
    <w:rsid w:val="004B3D1B"/>
    <w:rsid w:val="004B447C"/>
    <w:rsid w:val="004B4C75"/>
    <w:rsid w:val="004B6CAF"/>
    <w:rsid w:val="004C1612"/>
    <w:rsid w:val="004C5860"/>
    <w:rsid w:val="004C6012"/>
    <w:rsid w:val="004D17AD"/>
    <w:rsid w:val="004D21A5"/>
    <w:rsid w:val="004D36BD"/>
    <w:rsid w:val="004D46E0"/>
    <w:rsid w:val="004D5CF8"/>
    <w:rsid w:val="004D6142"/>
    <w:rsid w:val="004D66E6"/>
    <w:rsid w:val="004D705D"/>
    <w:rsid w:val="004E1677"/>
    <w:rsid w:val="004E22DE"/>
    <w:rsid w:val="004E3750"/>
    <w:rsid w:val="004E3D2D"/>
    <w:rsid w:val="004E504D"/>
    <w:rsid w:val="004E57D8"/>
    <w:rsid w:val="004E6E5E"/>
    <w:rsid w:val="004F0AF3"/>
    <w:rsid w:val="004F2001"/>
    <w:rsid w:val="004F3490"/>
    <w:rsid w:val="004F5295"/>
    <w:rsid w:val="004F630D"/>
    <w:rsid w:val="0050682B"/>
    <w:rsid w:val="00512137"/>
    <w:rsid w:val="00513D41"/>
    <w:rsid w:val="005205FD"/>
    <w:rsid w:val="00523504"/>
    <w:rsid w:val="00523B92"/>
    <w:rsid w:val="0052564C"/>
    <w:rsid w:val="00525902"/>
    <w:rsid w:val="00525CEA"/>
    <w:rsid w:val="00530197"/>
    <w:rsid w:val="00534000"/>
    <w:rsid w:val="00536A05"/>
    <w:rsid w:val="0054029A"/>
    <w:rsid w:val="005412F8"/>
    <w:rsid w:val="005418AF"/>
    <w:rsid w:val="00543E01"/>
    <w:rsid w:val="00552FF8"/>
    <w:rsid w:val="005546C1"/>
    <w:rsid w:val="00554F1E"/>
    <w:rsid w:val="00557907"/>
    <w:rsid w:val="00560BC7"/>
    <w:rsid w:val="00561200"/>
    <w:rsid w:val="00561A4F"/>
    <w:rsid w:val="005620D0"/>
    <w:rsid w:val="005660E4"/>
    <w:rsid w:val="005661B6"/>
    <w:rsid w:val="00567F7C"/>
    <w:rsid w:val="005712BF"/>
    <w:rsid w:val="005713A3"/>
    <w:rsid w:val="005732F9"/>
    <w:rsid w:val="00576542"/>
    <w:rsid w:val="00576F64"/>
    <w:rsid w:val="005812B8"/>
    <w:rsid w:val="00587CB0"/>
    <w:rsid w:val="00590849"/>
    <w:rsid w:val="00591AC4"/>
    <w:rsid w:val="00593FC5"/>
    <w:rsid w:val="005A029E"/>
    <w:rsid w:val="005A2372"/>
    <w:rsid w:val="005A2389"/>
    <w:rsid w:val="005A351E"/>
    <w:rsid w:val="005B0B0A"/>
    <w:rsid w:val="005B11C9"/>
    <w:rsid w:val="005B11E5"/>
    <w:rsid w:val="005B2AAF"/>
    <w:rsid w:val="005B431B"/>
    <w:rsid w:val="005B455E"/>
    <w:rsid w:val="005B5E8E"/>
    <w:rsid w:val="005B6CDF"/>
    <w:rsid w:val="005C0493"/>
    <w:rsid w:val="005C1812"/>
    <w:rsid w:val="005C25A2"/>
    <w:rsid w:val="005C3810"/>
    <w:rsid w:val="005C46F7"/>
    <w:rsid w:val="005C711D"/>
    <w:rsid w:val="005D100C"/>
    <w:rsid w:val="005D290E"/>
    <w:rsid w:val="005D31EB"/>
    <w:rsid w:val="005D3561"/>
    <w:rsid w:val="005D61E2"/>
    <w:rsid w:val="005D6760"/>
    <w:rsid w:val="005E4081"/>
    <w:rsid w:val="005E77EC"/>
    <w:rsid w:val="005E7C03"/>
    <w:rsid w:val="005F0807"/>
    <w:rsid w:val="005F144D"/>
    <w:rsid w:val="005F20E3"/>
    <w:rsid w:val="005F3EA8"/>
    <w:rsid w:val="005F55B3"/>
    <w:rsid w:val="00600515"/>
    <w:rsid w:val="006030BF"/>
    <w:rsid w:val="006071FC"/>
    <w:rsid w:val="00612396"/>
    <w:rsid w:val="00612632"/>
    <w:rsid w:val="006128B3"/>
    <w:rsid w:val="00615147"/>
    <w:rsid w:val="00616F8F"/>
    <w:rsid w:val="0061701A"/>
    <w:rsid w:val="00617DAD"/>
    <w:rsid w:val="00623507"/>
    <w:rsid w:val="00624511"/>
    <w:rsid w:val="00624DEF"/>
    <w:rsid w:val="0062550E"/>
    <w:rsid w:val="00627E3E"/>
    <w:rsid w:val="006301F9"/>
    <w:rsid w:val="0063683F"/>
    <w:rsid w:val="0064058A"/>
    <w:rsid w:val="00645696"/>
    <w:rsid w:val="00652F61"/>
    <w:rsid w:val="00652FE5"/>
    <w:rsid w:val="00663B91"/>
    <w:rsid w:val="006731F8"/>
    <w:rsid w:val="00674741"/>
    <w:rsid w:val="006818FE"/>
    <w:rsid w:val="00684BD2"/>
    <w:rsid w:val="00690723"/>
    <w:rsid w:val="00693D70"/>
    <w:rsid w:val="0069454F"/>
    <w:rsid w:val="00694889"/>
    <w:rsid w:val="00696A6A"/>
    <w:rsid w:val="006A3A67"/>
    <w:rsid w:val="006A3DC5"/>
    <w:rsid w:val="006A3FF2"/>
    <w:rsid w:val="006A7095"/>
    <w:rsid w:val="006B14C0"/>
    <w:rsid w:val="006B2095"/>
    <w:rsid w:val="006B2BCC"/>
    <w:rsid w:val="006B585F"/>
    <w:rsid w:val="006C7FD2"/>
    <w:rsid w:val="006D021D"/>
    <w:rsid w:val="006D0BC1"/>
    <w:rsid w:val="006D21CD"/>
    <w:rsid w:val="006D38A5"/>
    <w:rsid w:val="006D4DAE"/>
    <w:rsid w:val="006E051C"/>
    <w:rsid w:val="006E0CB2"/>
    <w:rsid w:val="006F029A"/>
    <w:rsid w:val="006F16A3"/>
    <w:rsid w:val="006F220C"/>
    <w:rsid w:val="006F40A3"/>
    <w:rsid w:val="006F6F93"/>
    <w:rsid w:val="00701EA1"/>
    <w:rsid w:val="0070324B"/>
    <w:rsid w:val="007063D1"/>
    <w:rsid w:val="0070705C"/>
    <w:rsid w:val="007111C0"/>
    <w:rsid w:val="0072445D"/>
    <w:rsid w:val="007249B1"/>
    <w:rsid w:val="00724F1F"/>
    <w:rsid w:val="00726C27"/>
    <w:rsid w:val="007352DA"/>
    <w:rsid w:val="00736805"/>
    <w:rsid w:val="00740798"/>
    <w:rsid w:val="0074085A"/>
    <w:rsid w:val="0074276C"/>
    <w:rsid w:val="0074466F"/>
    <w:rsid w:val="0075119B"/>
    <w:rsid w:val="0075136B"/>
    <w:rsid w:val="00754A91"/>
    <w:rsid w:val="00761166"/>
    <w:rsid w:val="00761DA2"/>
    <w:rsid w:val="007634C0"/>
    <w:rsid w:val="00767B62"/>
    <w:rsid w:val="0077047C"/>
    <w:rsid w:val="00770E66"/>
    <w:rsid w:val="00773CF8"/>
    <w:rsid w:val="00777B93"/>
    <w:rsid w:val="00780143"/>
    <w:rsid w:val="007906E0"/>
    <w:rsid w:val="00790B1C"/>
    <w:rsid w:val="0079218D"/>
    <w:rsid w:val="00793675"/>
    <w:rsid w:val="00793BA0"/>
    <w:rsid w:val="00797796"/>
    <w:rsid w:val="007A2B7F"/>
    <w:rsid w:val="007A3381"/>
    <w:rsid w:val="007A75A8"/>
    <w:rsid w:val="007A7D0A"/>
    <w:rsid w:val="007B0396"/>
    <w:rsid w:val="007B20C6"/>
    <w:rsid w:val="007B24D9"/>
    <w:rsid w:val="007C13D4"/>
    <w:rsid w:val="007C4BF7"/>
    <w:rsid w:val="007C4F7B"/>
    <w:rsid w:val="007C6A39"/>
    <w:rsid w:val="007C7DBD"/>
    <w:rsid w:val="007D6EC4"/>
    <w:rsid w:val="007E281C"/>
    <w:rsid w:val="007E2D61"/>
    <w:rsid w:val="007E6251"/>
    <w:rsid w:val="007E784E"/>
    <w:rsid w:val="007F020D"/>
    <w:rsid w:val="007F1A6E"/>
    <w:rsid w:val="007F4596"/>
    <w:rsid w:val="007F470A"/>
    <w:rsid w:val="007F56AD"/>
    <w:rsid w:val="007F659E"/>
    <w:rsid w:val="008048D1"/>
    <w:rsid w:val="0081517D"/>
    <w:rsid w:val="00817D27"/>
    <w:rsid w:val="008204F5"/>
    <w:rsid w:val="0082056F"/>
    <w:rsid w:val="00821650"/>
    <w:rsid w:val="00822C56"/>
    <w:rsid w:val="00822DF2"/>
    <w:rsid w:val="0082418C"/>
    <w:rsid w:val="008243A4"/>
    <w:rsid w:val="008268C4"/>
    <w:rsid w:val="00826ACE"/>
    <w:rsid w:val="008312C0"/>
    <w:rsid w:val="00831360"/>
    <w:rsid w:val="0083332E"/>
    <w:rsid w:val="00834218"/>
    <w:rsid w:val="008343E5"/>
    <w:rsid w:val="00840472"/>
    <w:rsid w:val="008436B5"/>
    <w:rsid w:val="00847C9F"/>
    <w:rsid w:val="008514F6"/>
    <w:rsid w:val="00851A36"/>
    <w:rsid w:val="00852668"/>
    <w:rsid w:val="00852752"/>
    <w:rsid w:val="00854706"/>
    <w:rsid w:val="00856012"/>
    <w:rsid w:val="00872644"/>
    <w:rsid w:val="00874A20"/>
    <w:rsid w:val="00875615"/>
    <w:rsid w:val="00876AA6"/>
    <w:rsid w:val="0088005E"/>
    <w:rsid w:val="0088565D"/>
    <w:rsid w:val="008861E5"/>
    <w:rsid w:val="0089338B"/>
    <w:rsid w:val="00893D5E"/>
    <w:rsid w:val="00895991"/>
    <w:rsid w:val="008979BA"/>
    <w:rsid w:val="008A3ABE"/>
    <w:rsid w:val="008A41F1"/>
    <w:rsid w:val="008A63A0"/>
    <w:rsid w:val="008A78CD"/>
    <w:rsid w:val="008B7729"/>
    <w:rsid w:val="008C3A57"/>
    <w:rsid w:val="008C43CB"/>
    <w:rsid w:val="008C4A94"/>
    <w:rsid w:val="008C4DB5"/>
    <w:rsid w:val="008D44FA"/>
    <w:rsid w:val="008D7537"/>
    <w:rsid w:val="008E2CD4"/>
    <w:rsid w:val="008E395E"/>
    <w:rsid w:val="008E3FCE"/>
    <w:rsid w:val="008F099F"/>
    <w:rsid w:val="008F33B6"/>
    <w:rsid w:val="008F4CDB"/>
    <w:rsid w:val="008F5648"/>
    <w:rsid w:val="008F631E"/>
    <w:rsid w:val="00900FD9"/>
    <w:rsid w:val="00902B9A"/>
    <w:rsid w:val="00906435"/>
    <w:rsid w:val="0090673F"/>
    <w:rsid w:val="00907716"/>
    <w:rsid w:val="00910EDA"/>
    <w:rsid w:val="00912E65"/>
    <w:rsid w:val="00913F7F"/>
    <w:rsid w:val="00920BDE"/>
    <w:rsid w:val="00920E79"/>
    <w:rsid w:val="00922F4D"/>
    <w:rsid w:val="00923367"/>
    <w:rsid w:val="009237F0"/>
    <w:rsid w:val="009305C2"/>
    <w:rsid w:val="009323F4"/>
    <w:rsid w:val="00936F59"/>
    <w:rsid w:val="00937742"/>
    <w:rsid w:val="009443AA"/>
    <w:rsid w:val="009508DD"/>
    <w:rsid w:val="009545C5"/>
    <w:rsid w:val="00956887"/>
    <w:rsid w:val="00966225"/>
    <w:rsid w:val="00971C0D"/>
    <w:rsid w:val="00971DB2"/>
    <w:rsid w:val="0097302F"/>
    <w:rsid w:val="00976B5C"/>
    <w:rsid w:val="009802FB"/>
    <w:rsid w:val="00982510"/>
    <w:rsid w:val="0098566A"/>
    <w:rsid w:val="009859E0"/>
    <w:rsid w:val="00986D37"/>
    <w:rsid w:val="0099058E"/>
    <w:rsid w:val="00993400"/>
    <w:rsid w:val="00993AA0"/>
    <w:rsid w:val="009A2E4C"/>
    <w:rsid w:val="009B0782"/>
    <w:rsid w:val="009B2D0E"/>
    <w:rsid w:val="009B3C3F"/>
    <w:rsid w:val="009B6360"/>
    <w:rsid w:val="009C28D8"/>
    <w:rsid w:val="009C7425"/>
    <w:rsid w:val="009D10B7"/>
    <w:rsid w:val="009D11CB"/>
    <w:rsid w:val="009D1B3E"/>
    <w:rsid w:val="009D2C2B"/>
    <w:rsid w:val="009D38AB"/>
    <w:rsid w:val="009E2819"/>
    <w:rsid w:val="009F289E"/>
    <w:rsid w:val="009F2E0D"/>
    <w:rsid w:val="009F3FD6"/>
    <w:rsid w:val="00A01F77"/>
    <w:rsid w:val="00A028C5"/>
    <w:rsid w:val="00A07490"/>
    <w:rsid w:val="00A07E35"/>
    <w:rsid w:val="00A218AD"/>
    <w:rsid w:val="00A33578"/>
    <w:rsid w:val="00A366D0"/>
    <w:rsid w:val="00A42373"/>
    <w:rsid w:val="00A425A4"/>
    <w:rsid w:val="00A42F1E"/>
    <w:rsid w:val="00A43BA9"/>
    <w:rsid w:val="00A5274D"/>
    <w:rsid w:val="00A5515C"/>
    <w:rsid w:val="00A56480"/>
    <w:rsid w:val="00A56C72"/>
    <w:rsid w:val="00A60108"/>
    <w:rsid w:val="00A60DB7"/>
    <w:rsid w:val="00A61A50"/>
    <w:rsid w:val="00A62AEB"/>
    <w:rsid w:val="00A65525"/>
    <w:rsid w:val="00A6638D"/>
    <w:rsid w:val="00A676FE"/>
    <w:rsid w:val="00A67DB6"/>
    <w:rsid w:val="00A71C16"/>
    <w:rsid w:val="00A7725A"/>
    <w:rsid w:val="00A827AE"/>
    <w:rsid w:val="00A90CFE"/>
    <w:rsid w:val="00A921B7"/>
    <w:rsid w:val="00A9348D"/>
    <w:rsid w:val="00A94FA8"/>
    <w:rsid w:val="00A97137"/>
    <w:rsid w:val="00A975DC"/>
    <w:rsid w:val="00AA48BB"/>
    <w:rsid w:val="00AB04DC"/>
    <w:rsid w:val="00AB1D38"/>
    <w:rsid w:val="00AB1FF7"/>
    <w:rsid w:val="00AB3447"/>
    <w:rsid w:val="00AB3A69"/>
    <w:rsid w:val="00AB7894"/>
    <w:rsid w:val="00AB7A46"/>
    <w:rsid w:val="00AC0573"/>
    <w:rsid w:val="00AC38FF"/>
    <w:rsid w:val="00AC5805"/>
    <w:rsid w:val="00AC6588"/>
    <w:rsid w:val="00AD124C"/>
    <w:rsid w:val="00AD1B15"/>
    <w:rsid w:val="00AD266F"/>
    <w:rsid w:val="00AD529C"/>
    <w:rsid w:val="00AD7A7D"/>
    <w:rsid w:val="00AE344B"/>
    <w:rsid w:val="00AE46EA"/>
    <w:rsid w:val="00AE5BCA"/>
    <w:rsid w:val="00AE63AD"/>
    <w:rsid w:val="00AE6F1C"/>
    <w:rsid w:val="00AE727B"/>
    <w:rsid w:val="00AF0DB7"/>
    <w:rsid w:val="00AF15F6"/>
    <w:rsid w:val="00AF4A7A"/>
    <w:rsid w:val="00AF6B9F"/>
    <w:rsid w:val="00AF7255"/>
    <w:rsid w:val="00B009BD"/>
    <w:rsid w:val="00B06B99"/>
    <w:rsid w:val="00B102E3"/>
    <w:rsid w:val="00B10858"/>
    <w:rsid w:val="00B10CF9"/>
    <w:rsid w:val="00B11F24"/>
    <w:rsid w:val="00B12224"/>
    <w:rsid w:val="00B14B7F"/>
    <w:rsid w:val="00B1638F"/>
    <w:rsid w:val="00B170A6"/>
    <w:rsid w:val="00B17616"/>
    <w:rsid w:val="00B21296"/>
    <w:rsid w:val="00B21A22"/>
    <w:rsid w:val="00B21BA1"/>
    <w:rsid w:val="00B227A3"/>
    <w:rsid w:val="00B229CA"/>
    <w:rsid w:val="00B30863"/>
    <w:rsid w:val="00B358B4"/>
    <w:rsid w:val="00B364EB"/>
    <w:rsid w:val="00B43A03"/>
    <w:rsid w:val="00B44185"/>
    <w:rsid w:val="00B46AA3"/>
    <w:rsid w:val="00B47E41"/>
    <w:rsid w:val="00B50C95"/>
    <w:rsid w:val="00B513BE"/>
    <w:rsid w:val="00B525BC"/>
    <w:rsid w:val="00B61BC0"/>
    <w:rsid w:val="00B643C3"/>
    <w:rsid w:val="00B64EF9"/>
    <w:rsid w:val="00B669B5"/>
    <w:rsid w:val="00B71F44"/>
    <w:rsid w:val="00B72E28"/>
    <w:rsid w:val="00B73420"/>
    <w:rsid w:val="00B73A03"/>
    <w:rsid w:val="00B7507C"/>
    <w:rsid w:val="00B750DD"/>
    <w:rsid w:val="00B80694"/>
    <w:rsid w:val="00B8108A"/>
    <w:rsid w:val="00B816FB"/>
    <w:rsid w:val="00B83E1E"/>
    <w:rsid w:val="00B84B85"/>
    <w:rsid w:val="00B86334"/>
    <w:rsid w:val="00B86816"/>
    <w:rsid w:val="00B879BE"/>
    <w:rsid w:val="00B87E05"/>
    <w:rsid w:val="00B944EE"/>
    <w:rsid w:val="00BA23ED"/>
    <w:rsid w:val="00BA66A1"/>
    <w:rsid w:val="00BA67A8"/>
    <w:rsid w:val="00BA7A40"/>
    <w:rsid w:val="00BB05AC"/>
    <w:rsid w:val="00BB2F1F"/>
    <w:rsid w:val="00BB7C12"/>
    <w:rsid w:val="00BC4A59"/>
    <w:rsid w:val="00BC582E"/>
    <w:rsid w:val="00BC6BF6"/>
    <w:rsid w:val="00BD0786"/>
    <w:rsid w:val="00BD0D65"/>
    <w:rsid w:val="00BD695B"/>
    <w:rsid w:val="00BE3E9E"/>
    <w:rsid w:val="00BE6714"/>
    <w:rsid w:val="00BF1D33"/>
    <w:rsid w:val="00BF5A79"/>
    <w:rsid w:val="00BF5DFE"/>
    <w:rsid w:val="00BF60D1"/>
    <w:rsid w:val="00BF736E"/>
    <w:rsid w:val="00C011AE"/>
    <w:rsid w:val="00C02B36"/>
    <w:rsid w:val="00C11B7B"/>
    <w:rsid w:val="00C12486"/>
    <w:rsid w:val="00C15848"/>
    <w:rsid w:val="00C15C91"/>
    <w:rsid w:val="00C21F29"/>
    <w:rsid w:val="00C222D2"/>
    <w:rsid w:val="00C240E4"/>
    <w:rsid w:val="00C2499F"/>
    <w:rsid w:val="00C271A6"/>
    <w:rsid w:val="00C27708"/>
    <w:rsid w:val="00C338FC"/>
    <w:rsid w:val="00C33C13"/>
    <w:rsid w:val="00C341FA"/>
    <w:rsid w:val="00C36BA3"/>
    <w:rsid w:val="00C374FA"/>
    <w:rsid w:val="00C376EA"/>
    <w:rsid w:val="00C41DB1"/>
    <w:rsid w:val="00C47AB3"/>
    <w:rsid w:val="00C51427"/>
    <w:rsid w:val="00C5239F"/>
    <w:rsid w:val="00C524CB"/>
    <w:rsid w:val="00C52F2A"/>
    <w:rsid w:val="00C559AB"/>
    <w:rsid w:val="00C61955"/>
    <w:rsid w:val="00C65450"/>
    <w:rsid w:val="00C677E4"/>
    <w:rsid w:val="00C716A9"/>
    <w:rsid w:val="00C74505"/>
    <w:rsid w:val="00C75802"/>
    <w:rsid w:val="00C7690F"/>
    <w:rsid w:val="00C83DF6"/>
    <w:rsid w:val="00C849DE"/>
    <w:rsid w:val="00C8594F"/>
    <w:rsid w:val="00C85B6D"/>
    <w:rsid w:val="00CA0DFA"/>
    <w:rsid w:val="00CB41F7"/>
    <w:rsid w:val="00CB4DCC"/>
    <w:rsid w:val="00CB6C4F"/>
    <w:rsid w:val="00CC01ED"/>
    <w:rsid w:val="00CC6B91"/>
    <w:rsid w:val="00CD002D"/>
    <w:rsid w:val="00CD428D"/>
    <w:rsid w:val="00CD5C09"/>
    <w:rsid w:val="00CE0571"/>
    <w:rsid w:val="00CE06DC"/>
    <w:rsid w:val="00CE2DEF"/>
    <w:rsid w:val="00CE6B21"/>
    <w:rsid w:val="00CE6EBD"/>
    <w:rsid w:val="00CE701B"/>
    <w:rsid w:val="00CF0ED5"/>
    <w:rsid w:val="00CF3E33"/>
    <w:rsid w:val="00D019F0"/>
    <w:rsid w:val="00D020D1"/>
    <w:rsid w:val="00D10353"/>
    <w:rsid w:val="00D12B1A"/>
    <w:rsid w:val="00D17023"/>
    <w:rsid w:val="00D2187F"/>
    <w:rsid w:val="00D320BD"/>
    <w:rsid w:val="00D33DD5"/>
    <w:rsid w:val="00D366B7"/>
    <w:rsid w:val="00D40FB3"/>
    <w:rsid w:val="00D426F2"/>
    <w:rsid w:val="00D42942"/>
    <w:rsid w:val="00D42B93"/>
    <w:rsid w:val="00D42E99"/>
    <w:rsid w:val="00D4320F"/>
    <w:rsid w:val="00D44FC3"/>
    <w:rsid w:val="00D44FE3"/>
    <w:rsid w:val="00D51A0B"/>
    <w:rsid w:val="00D52190"/>
    <w:rsid w:val="00D5502F"/>
    <w:rsid w:val="00D55973"/>
    <w:rsid w:val="00D55A39"/>
    <w:rsid w:val="00D6319B"/>
    <w:rsid w:val="00D65BA9"/>
    <w:rsid w:val="00D66087"/>
    <w:rsid w:val="00D679C7"/>
    <w:rsid w:val="00D711A2"/>
    <w:rsid w:val="00D7143E"/>
    <w:rsid w:val="00D72F71"/>
    <w:rsid w:val="00D749FA"/>
    <w:rsid w:val="00D74FA1"/>
    <w:rsid w:val="00D77615"/>
    <w:rsid w:val="00D776DB"/>
    <w:rsid w:val="00D8026C"/>
    <w:rsid w:val="00D816E8"/>
    <w:rsid w:val="00D82B9B"/>
    <w:rsid w:val="00D82F6F"/>
    <w:rsid w:val="00D83691"/>
    <w:rsid w:val="00D83DF5"/>
    <w:rsid w:val="00D85BC7"/>
    <w:rsid w:val="00D87350"/>
    <w:rsid w:val="00D9025F"/>
    <w:rsid w:val="00D93135"/>
    <w:rsid w:val="00D94FCC"/>
    <w:rsid w:val="00D97958"/>
    <w:rsid w:val="00DA20F0"/>
    <w:rsid w:val="00DA2FBC"/>
    <w:rsid w:val="00DA3C7B"/>
    <w:rsid w:val="00DA4BC9"/>
    <w:rsid w:val="00DA6CF8"/>
    <w:rsid w:val="00DB1613"/>
    <w:rsid w:val="00DB1986"/>
    <w:rsid w:val="00DB30B2"/>
    <w:rsid w:val="00DB43A5"/>
    <w:rsid w:val="00DB6345"/>
    <w:rsid w:val="00DB7EB0"/>
    <w:rsid w:val="00DC441D"/>
    <w:rsid w:val="00DC4677"/>
    <w:rsid w:val="00DC4A5B"/>
    <w:rsid w:val="00DC73E7"/>
    <w:rsid w:val="00DC79BE"/>
    <w:rsid w:val="00DD1649"/>
    <w:rsid w:val="00DD1F27"/>
    <w:rsid w:val="00DD4188"/>
    <w:rsid w:val="00DD7342"/>
    <w:rsid w:val="00DE06D6"/>
    <w:rsid w:val="00DE0755"/>
    <w:rsid w:val="00DE086B"/>
    <w:rsid w:val="00DE27F8"/>
    <w:rsid w:val="00DE3FCA"/>
    <w:rsid w:val="00DE6555"/>
    <w:rsid w:val="00DF537E"/>
    <w:rsid w:val="00DF5F8C"/>
    <w:rsid w:val="00E01502"/>
    <w:rsid w:val="00E03DC5"/>
    <w:rsid w:val="00E06AC4"/>
    <w:rsid w:val="00E13915"/>
    <w:rsid w:val="00E13C51"/>
    <w:rsid w:val="00E13EF2"/>
    <w:rsid w:val="00E15079"/>
    <w:rsid w:val="00E248A8"/>
    <w:rsid w:val="00E27BF2"/>
    <w:rsid w:val="00E313F3"/>
    <w:rsid w:val="00E31D32"/>
    <w:rsid w:val="00E37B8A"/>
    <w:rsid w:val="00E41763"/>
    <w:rsid w:val="00E41E24"/>
    <w:rsid w:val="00E42F65"/>
    <w:rsid w:val="00E43B72"/>
    <w:rsid w:val="00E47FD6"/>
    <w:rsid w:val="00E50443"/>
    <w:rsid w:val="00E51368"/>
    <w:rsid w:val="00E514E0"/>
    <w:rsid w:val="00E5433B"/>
    <w:rsid w:val="00E560A7"/>
    <w:rsid w:val="00E57029"/>
    <w:rsid w:val="00E61592"/>
    <w:rsid w:val="00E6422C"/>
    <w:rsid w:val="00E672F5"/>
    <w:rsid w:val="00E673CD"/>
    <w:rsid w:val="00E67880"/>
    <w:rsid w:val="00E70007"/>
    <w:rsid w:val="00E73BFC"/>
    <w:rsid w:val="00E754AE"/>
    <w:rsid w:val="00E846E0"/>
    <w:rsid w:val="00E8551B"/>
    <w:rsid w:val="00E859CF"/>
    <w:rsid w:val="00E866D1"/>
    <w:rsid w:val="00E90033"/>
    <w:rsid w:val="00E930D3"/>
    <w:rsid w:val="00E95437"/>
    <w:rsid w:val="00E9624A"/>
    <w:rsid w:val="00E96406"/>
    <w:rsid w:val="00E96D7D"/>
    <w:rsid w:val="00E9706E"/>
    <w:rsid w:val="00EA1DC2"/>
    <w:rsid w:val="00EA43B7"/>
    <w:rsid w:val="00EB00E1"/>
    <w:rsid w:val="00EB17DE"/>
    <w:rsid w:val="00EB1AD7"/>
    <w:rsid w:val="00EB2155"/>
    <w:rsid w:val="00EB4DBD"/>
    <w:rsid w:val="00EC1359"/>
    <w:rsid w:val="00EC31A6"/>
    <w:rsid w:val="00EC4FA0"/>
    <w:rsid w:val="00EC6294"/>
    <w:rsid w:val="00EC7A22"/>
    <w:rsid w:val="00ED0F1E"/>
    <w:rsid w:val="00EE059F"/>
    <w:rsid w:val="00EE2B63"/>
    <w:rsid w:val="00EF36DA"/>
    <w:rsid w:val="00EF4841"/>
    <w:rsid w:val="00EF49FB"/>
    <w:rsid w:val="00F03BE8"/>
    <w:rsid w:val="00F044EF"/>
    <w:rsid w:val="00F04597"/>
    <w:rsid w:val="00F050E9"/>
    <w:rsid w:val="00F0719B"/>
    <w:rsid w:val="00F073E0"/>
    <w:rsid w:val="00F1200B"/>
    <w:rsid w:val="00F1405D"/>
    <w:rsid w:val="00F17537"/>
    <w:rsid w:val="00F27A9E"/>
    <w:rsid w:val="00F30021"/>
    <w:rsid w:val="00F32082"/>
    <w:rsid w:val="00F32DCA"/>
    <w:rsid w:val="00F33A51"/>
    <w:rsid w:val="00F33BCB"/>
    <w:rsid w:val="00F35386"/>
    <w:rsid w:val="00F361F7"/>
    <w:rsid w:val="00F45784"/>
    <w:rsid w:val="00F467D2"/>
    <w:rsid w:val="00F53B45"/>
    <w:rsid w:val="00F54435"/>
    <w:rsid w:val="00F56C18"/>
    <w:rsid w:val="00F579E6"/>
    <w:rsid w:val="00F606B4"/>
    <w:rsid w:val="00F60A8C"/>
    <w:rsid w:val="00F652A0"/>
    <w:rsid w:val="00F66114"/>
    <w:rsid w:val="00F72B8A"/>
    <w:rsid w:val="00F72C7F"/>
    <w:rsid w:val="00F733D1"/>
    <w:rsid w:val="00F76898"/>
    <w:rsid w:val="00F834A6"/>
    <w:rsid w:val="00F854A2"/>
    <w:rsid w:val="00F90638"/>
    <w:rsid w:val="00F90746"/>
    <w:rsid w:val="00F96644"/>
    <w:rsid w:val="00FA0787"/>
    <w:rsid w:val="00FA33B9"/>
    <w:rsid w:val="00FA3790"/>
    <w:rsid w:val="00FA53AB"/>
    <w:rsid w:val="00FA57C0"/>
    <w:rsid w:val="00FB4FED"/>
    <w:rsid w:val="00FB7444"/>
    <w:rsid w:val="00FC0D5F"/>
    <w:rsid w:val="00FC3285"/>
    <w:rsid w:val="00FD134B"/>
    <w:rsid w:val="00FE4D79"/>
    <w:rsid w:val="00FE50C9"/>
    <w:rsid w:val="00FE6713"/>
    <w:rsid w:val="00FE6A5A"/>
    <w:rsid w:val="00FE7554"/>
    <w:rsid w:val="00FF110F"/>
    <w:rsid w:val="00FF1624"/>
    <w:rsid w:val="00FF1966"/>
    <w:rsid w:val="00FF2545"/>
    <w:rsid w:val="00FF3FEB"/>
    <w:rsid w:val="00FF67AE"/>
    <w:rsid w:val="00FF715E"/>
    <w:rsid w:val="01D4290C"/>
    <w:rsid w:val="02471A55"/>
    <w:rsid w:val="034F0B7A"/>
    <w:rsid w:val="048F5ACF"/>
    <w:rsid w:val="05507641"/>
    <w:rsid w:val="057E28E9"/>
    <w:rsid w:val="05E835C5"/>
    <w:rsid w:val="06707752"/>
    <w:rsid w:val="067659E2"/>
    <w:rsid w:val="079B25E0"/>
    <w:rsid w:val="07AF1BE8"/>
    <w:rsid w:val="09CA440C"/>
    <w:rsid w:val="0A5C1B8B"/>
    <w:rsid w:val="0A8C3D63"/>
    <w:rsid w:val="0D821B4C"/>
    <w:rsid w:val="0EBA04F2"/>
    <w:rsid w:val="0EEA5BFB"/>
    <w:rsid w:val="0EF619F9"/>
    <w:rsid w:val="0F77907D"/>
    <w:rsid w:val="0FFED164"/>
    <w:rsid w:val="10261FFE"/>
    <w:rsid w:val="10BD43A4"/>
    <w:rsid w:val="1240313D"/>
    <w:rsid w:val="125819A7"/>
    <w:rsid w:val="127039FD"/>
    <w:rsid w:val="13BA5B9C"/>
    <w:rsid w:val="14654FDC"/>
    <w:rsid w:val="14FA13B7"/>
    <w:rsid w:val="153C6686"/>
    <w:rsid w:val="164410A1"/>
    <w:rsid w:val="165E1841"/>
    <w:rsid w:val="17740758"/>
    <w:rsid w:val="17896F7F"/>
    <w:rsid w:val="17D85CF7"/>
    <w:rsid w:val="18101208"/>
    <w:rsid w:val="18B9635E"/>
    <w:rsid w:val="193174B2"/>
    <w:rsid w:val="1AA0603E"/>
    <w:rsid w:val="1ABD3CA0"/>
    <w:rsid w:val="1BC11208"/>
    <w:rsid w:val="1BFF5671"/>
    <w:rsid w:val="1D120B58"/>
    <w:rsid w:val="1D333FC5"/>
    <w:rsid w:val="1D695934"/>
    <w:rsid w:val="1F176670"/>
    <w:rsid w:val="1F5F1D4B"/>
    <w:rsid w:val="20B00533"/>
    <w:rsid w:val="21A13378"/>
    <w:rsid w:val="2234120F"/>
    <w:rsid w:val="223D16E6"/>
    <w:rsid w:val="227229A1"/>
    <w:rsid w:val="22BE7324"/>
    <w:rsid w:val="23656FC6"/>
    <w:rsid w:val="23FB282C"/>
    <w:rsid w:val="24780CDE"/>
    <w:rsid w:val="25407BFF"/>
    <w:rsid w:val="25774739"/>
    <w:rsid w:val="26380537"/>
    <w:rsid w:val="269C113F"/>
    <w:rsid w:val="2788146A"/>
    <w:rsid w:val="27DB2255"/>
    <w:rsid w:val="2828530F"/>
    <w:rsid w:val="297A1D54"/>
    <w:rsid w:val="297C0B34"/>
    <w:rsid w:val="29CA4EC1"/>
    <w:rsid w:val="2A5F459B"/>
    <w:rsid w:val="2A692A82"/>
    <w:rsid w:val="2B5725C4"/>
    <w:rsid w:val="2CD55C55"/>
    <w:rsid w:val="2D25260D"/>
    <w:rsid w:val="2E386967"/>
    <w:rsid w:val="2F195A44"/>
    <w:rsid w:val="2F506F74"/>
    <w:rsid w:val="2F701EA4"/>
    <w:rsid w:val="2F9B5EE0"/>
    <w:rsid w:val="2FE735ED"/>
    <w:rsid w:val="30493E12"/>
    <w:rsid w:val="307BF753"/>
    <w:rsid w:val="317C672F"/>
    <w:rsid w:val="31906E85"/>
    <w:rsid w:val="31D65103"/>
    <w:rsid w:val="32E46F73"/>
    <w:rsid w:val="32FC7B27"/>
    <w:rsid w:val="33543E57"/>
    <w:rsid w:val="33FC2363"/>
    <w:rsid w:val="348555E7"/>
    <w:rsid w:val="34A52719"/>
    <w:rsid w:val="34FA0097"/>
    <w:rsid w:val="35380BBF"/>
    <w:rsid w:val="35CC4711"/>
    <w:rsid w:val="36112941"/>
    <w:rsid w:val="36F9612C"/>
    <w:rsid w:val="37B207D1"/>
    <w:rsid w:val="380800CF"/>
    <w:rsid w:val="388259E8"/>
    <w:rsid w:val="3A6A181A"/>
    <w:rsid w:val="3A6F0BDF"/>
    <w:rsid w:val="3B8C6430"/>
    <w:rsid w:val="3CD95388"/>
    <w:rsid w:val="3D0B6A31"/>
    <w:rsid w:val="3DBFF38F"/>
    <w:rsid w:val="3DD05E38"/>
    <w:rsid w:val="3E135D25"/>
    <w:rsid w:val="3E7C195D"/>
    <w:rsid w:val="3E9312F8"/>
    <w:rsid w:val="3EEC3429"/>
    <w:rsid w:val="3F4E170B"/>
    <w:rsid w:val="3FE12A06"/>
    <w:rsid w:val="40245174"/>
    <w:rsid w:val="402C58DA"/>
    <w:rsid w:val="41126AEB"/>
    <w:rsid w:val="41AA4BF2"/>
    <w:rsid w:val="429A0C7E"/>
    <w:rsid w:val="43082452"/>
    <w:rsid w:val="43631727"/>
    <w:rsid w:val="43A304AF"/>
    <w:rsid w:val="447F5EC2"/>
    <w:rsid w:val="44A01D73"/>
    <w:rsid w:val="44F34817"/>
    <w:rsid w:val="45D814A9"/>
    <w:rsid w:val="478332CE"/>
    <w:rsid w:val="47CE4D8B"/>
    <w:rsid w:val="489F2E1F"/>
    <w:rsid w:val="48A17D68"/>
    <w:rsid w:val="49420D57"/>
    <w:rsid w:val="494F3655"/>
    <w:rsid w:val="4B6E6E2D"/>
    <w:rsid w:val="4B7B626D"/>
    <w:rsid w:val="4BB5041C"/>
    <w:rsid w:val="4BEB6533"/>
    <w:rsid w:val="4C15185F"/>
    <w:rsid w:val="4C59524B"/>
    <w:rsid w:val="4C6807BE"/>
    <w:rsid w:val="4CA553C3"/>
    <w:rsid w:val="4D812041"/>
    <w:rsid w:val="4E15356D"/>
    <w:rsid w:val="4EA41E0E"/>
    <w:rsid w:val="4EFD05C8"/>
    <w:rsid w:val="4F71D38B"/>
    <w:rsid w:val="4FFFE2A7"/>
    <w:rsid w:val="508C0DFA"/>
    <w:rsid w:val="50BA42F9"/>
    <w:rsid w:val="50D457E8"/>
    <w:rsid w:val="516A5CC0"/>
    <w:rsid w:val="524C6341"/>
    <w:rsid w:val="52542DCA"/>
    <w:rsid w:val="52B66476"/>
    <w:rsid w:val="52C83E7D"/>
    <w:rsid w:val="53486C36"/>
    <w:rsid w:val="536D4ACC"/>
    <w:rsid w:val="54414F42"/>
    <w:rsid w:val="555420C8"/>
    <w:rsid w:val="55FB249F"/>
    <w:rsid w:val="57B744D9"/>
    <w:rsid w:val="5837517E"/>
    <w:rsid w:val="589E58B3"/>
    <w:rsid w:val="59776C15"/>
    <w:rsid w:val="598F6615"/>
    <w:rsid w:val="59C04B5B"/>
    <w:rsid w:val="5A0C25EE"/>
    <w:rsid w:val="5AA338BB"/>
    <w:rsid w:val="5B1F6511"/>
    <w:rsid w:val="5B8F0C89"/>
    <w:rsid w:val="5B8F2475"/>
    <w:rsid w:val="5C106691"/>
    <w:rsid w:val="5C1222E0"/>
    <w:rsid w:val="5C553D58"/>
    <w:rsid w:val="5CD67C8E"/>
    <w:rsid w:val="5D1DDAD8"/>
    <w:rsid w:val="5DA7A291"/>
    <w:rsid w:val="5E3F5469"/>
    <w:rsid w:val="5FA52401"/>
    <w:rsid w:val="5FBF2CF9"/>
    <w:rsid w:val="5FC20C8C"/>
    <w:rsid w:val="60A30D33"/>
    <w:rsid w:val="61457124"/>
    <w:rsid w:val="61A94127"/>
    <w:rsid w:val="637C38A9"/>
    <w:rsid w:val="638A484C"/>
    <w:rsid w:val="64DF440C"/>
    <w:rsid w:val="650B544D"/>
    <w:rsid w:val="65A00C47"/>
    <w:rsid w:val="668C03FC"/>
    <w:rsid w:val="66E80973"/>
    <w:rsid w:val="67BE7815"/>
    <w:rsid w:val="67E4410B"/>
    <w:rsid w:val="686E5520"/>
    <w:rsid w:val="68DB1D84"/>
    <w:rsid w:val="69F79C19"/>
    <w:rsid w:val="6A875C5B"/>
    <w:rsid w:val="6A8B580E"/>
    <w:rsid w:val="6C7230E4"/>
    <w:rsid w:val="6CFF358A"/>
    <w:rsid w:val="6D016B4F"/>
    <w:rsid w:val="6D5663ED"/>
    <w:rsid w:val="6D7E290C"/>
    <w:rsid w:val="6E536EF1"/>
    <w:rsid w:val="6EB8584F"/>
    <w:rsid w:val="6F744429"/>
    <w:rsid w:val="6FDC1408"/>
    <w:rsid w:val="70A8704E"/>
    <w:rsid w:val="7183295D"/>
    <w:rsid w:val="721540EB"/>
    <w:rsid w:val="72C9287B"/>
    <w:rsid w:val="72D13C9F"/>
    <w:rsid w:val="73CC2623"/>
    <w:rsid w:val="74357737"/>
    <w:rsid w:val="745148D6"/>
    <w:rsid w:val="74B70B38"/>
    <w:rsid w:val="757C4B65"/>
    <w:rsid w:val="761A1C14"/>
    <w:rsid w:val="769734FB"/>
    <w:rsid w:val="76E16C23"/>
    <w:rsid w:val="77CFE998"/>
    <w:rsid w:val="788656CD"/>
    <w:rsid w:val="78D27468"/>
    <w:rsid w:val="79B50E56"/>
    <w:rsid w:val="79FC3536"/>
    <w:rsid w:val="7ABC5CA1"/>
    <w:rsid w:val="7AD78CF1"/>
    <w:rsid w:val="7BAD66A2"/>
    <w:rsid w:val="7BBF27F3"/>
    <w:rsid w:val="7C3C6104"/>
    <w:rsid w:val="7D140B97"/>
    <w:rsid w:val="7E1B24FC"/>
    <w:rsid w:val="7EB47B17"/>
    <w:rsid w:val="7EFE909D"/>
    <w:rsid w:val="7F4938FF"/>
    <w:rsid w:val="7F6E3B3C"/>
    <w:rsid w:val="7FEE92C5"/>
    <w:rsid w:val="7FEFBAF0"/>
    <w:rsid w:val="7FFFE43C"/>
    <w:rsid w:val="BFEF00F0"/>
    <w:rsid w:val="BFF59D5E"/>
    <w:rsid w:val="DEBEB411"/>
    <w:rsid w:val="F5FF1B1B"/>
    <w:rsid w:val="FB6F9374"/>
    <w:rsid w:val="FE7F7159"/>
    <w:rsid w:val="FF85C37B"/>
    <w:rsid w:val="FF9E79F0"/>
    <w:rsid w:val="FFAE783F"/>
    <w:rsid w:val="FFFF51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jc w:val="center"/>
      <w:textAlignment w:val="baseline"/>
      <w:outlineLvl w:val="0"/>
    </w:pPr>
    <w:rPr>
      <w:rFonts w:ascii="宋体" w:hAnsi="宋体"/>
      <w:b/>
      <w:kern w:val="44"/>
      <w:sz w:val="44"/>
      <w:szCs w:val="44"/>
    </w:rPr>
  </w:style>
  <w:style w:type="paragraph" w:styleId="4">
    <w:name w:val="heading 2"/>
    <w:basedOn w:val="1"/>
    <w:next w:val="5"/>
    <w:link w:val="51"/>
    <w:qFormat/>
    <w:uiPriority w:val="0"/>
    <w:pPr>
      <w:keepNext/>
      <w:keepLines/>
      <w:autoSpaceDE w:val="0"/>
      <w:autoSpaceDN w:val="0"/>
      <w:adjustRightInd w:val="0"/>
      <w:spacing w:line="360" w:lineRule="auto"/>
      <w:jc w:val="center"/>
      <w:textAlignment w:val="baseline"/>
      <w:outlineLvl w:val="1"/>
    </w:pPr>
    <w:rPr>
      <w:rFonts w:ascii="Arial" w:hAnsi="Arial" w:eastAsia="黑体"/>
      <w:b/>
      <w:spacing w:val="24"/>
      <w:kern w:val="0"/>
      <w:sz w:val="24"/>
      <w:szCs w:val="20"/>
    </w:rPr>
  </w:style>
  <w:style w:type="paragraph" w:styleId="6">
    <w:name w:val="heading 3"/>
    <w:basedOn w:val="1"/>
    <w:next w:val="1"/>
    <w:qFormat/>
    <w:uiPriority w:val="0"/>
    <w:pPr>
      <w:keepNext/>
      <w:keepLines/>
      <w:autoSpaceDE w:val="0"/>
      <w:autoSpaceDN w:val="0"/>
      <w:adjustRightInd w:val="0"/>
      <w:spacing w:line="360" w:lineRule="auto"/>
      <w:jc w:val="left"/>
      <w:textAlignment w:val="baseline"/>
      <w:outlineLvl w:val="2"/>
    </w:pPr>
    <w:rPr>
      <w:rFonts w:ascii="宋体" w:hAnsi="Arial"/>
      <w:b/>
      <w:sz w:val="28"/>
      <w:szCs w:val="20"/>
    </w:rPr>
  </w:style>
  <w:style w:type="paragraph" w:styleId="7">
    <w:name w:val="heading 4"/>
    <w:basedOn w:val="1"/>
    <w:next w:val="1"/>
    <w:qFormat/>
    <w:uiPriority w:val="0"/>
    <w:pPr>
      <w:widowControl/>
      <w:spacing w:beforeAutospacing="1" w:afterAutospacing="1"/>
      <w:jc w:val="center"/>
      <w:outlineLvl w:val="3"/>
    </w:pPr>
    <w:rPr>
      <w:rFonts w:ascii="宋体" w:hAnsi="宋体" w:cs="宋体"/>
      <w:b/>
      <w:bCs/>
      <w:kern w:val="0"/>
      <w:sz w:val="24"/>
    </w:rPr>
  </w:style>
  <w:style w:type="paragraph" w:styleId="8">
    <w:name w:val="heading 5"/>
    <w:basedOn w:val="1"/>
    <w:next w:val="1"/>
    <w:qFormat/>
    <w:uiPriority w:val="0"/>
    <w:pPr>
      <w:keepNext/>
      <w:keepLines/>
      <w:tabs>
        <w:tab w:val="left" w:pos="312"/>
      </w:tabs>
      <w:spacing w:line="372" w:lineRule="auto"/>
      <w:outlineLvl w:val="4"/>
    </w:pPr>
    <w:rPr>
      <w:b/>
      <w:sz w:val="28"/>
      <w:szCs w:val="20"/>
    </w:rPr>
  </w:style>
  <w:style w:type="paragraph" w:styleId="9">
    <w:name w:val="heading 6"/>
    <w:basedOn w:val="1"/>
    <w:next w:val="5"/>
    <w:qFormat/>
    <w:uiPriority w:val="0"/>
    <w:pPr>
      <w:keepNext/>
      <w:keepLines/>
      <w:tabs>
        <w:tab w:val="left" w:pos="312"/>
      </w:tabs>
      <w:spacing w:line="317" w:lineRule="auto"/>
      <w:outlineLvl w:val="5"/>
    </w:pPr>
    <w:rPr>
      <w:rFonts w:ascii="Arial" w:hAnsi="Arial" w:eastAsia="黑体"/>
      <w:b/>
      <w:sz w:val="24"/>
      <w:szCs w:val="20"/>
    </w:rPr>
  </w:style>
  <w:style w:type="paragraph" w:styleId="10">
    <w:name w:val="heading 7"/>
    <w:basedOn w:val="1"/>
    <w:next w:val="1"/>
    <w:qFormat/>
    <w:uiPriority w:val="0"/>
    <w:pPr>
      <w:keepNext/>
      <w:keepLines/>
      <w:tabs>
        <w:tab w:val="left" w:pos="312"/>
      </w:tabs>
      <w:spacing w:line="317" w:lineRule="auto"/>
      <w:outlineLvl w:val="6"/>
    </w:pPr>
    <w:rPr>
      <w:b/>
      <w:sz w:val="24"/>
      <w:szCs w:val="20"/>
    </w:rPr>
  </w:style>
  <w:style w:type="paragraph" w:styleId="11">
    <w:name w:val="heading 8"/>
    <w:basedOn w:val="1"/>
    <w:next w:val="5"/>
    <w:qFormat/>
    <w:uiPriority w:val="0"/>
    <w:pPr>
      <w:keepNext/>
      <w:keepLines/>
      <w:tabs>
        <w:tab w:val="left" w:pos="312"/>
      </w:tabs>
      <w:spacing w:line="317" w:lineRule="auto"/>
      <w:outlineLvl w:val="7"/>
    </w:pPr>
    <w:rPr>
      <w:rFonts w:ascii="Arial" w:hAnsi="Arial" w:eastAsia="黑体"/>
      <w:sz w:val="24"/>
      <w:szCs w:val="20"/>
    </w:rPr>
  </w:style>
  <w:style w:type="paragraph" w:styleId="12">
    <w:name w:val="heading 9"/>
    <w:basedOn w:val="1"/>
    <w:next w:val="5"/>
    <w:qFormat/>
    <w:uiPriority w:val="0"/>
    <w:pPr>
      <w:keepNext/>
      <w:keepLines/>
      <w:tabs>
        <w:tab w:val="left" w:pos="312"/>
      </w:tabs>
      <w:spacing w:line="317"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link w:val="48"/>
    <w:qFormat/>
    <w:uiPriority w:val="0"/>
    <w:pPr>
      <w:autoSpaceDE w:val="0"/>
      <w:autoSpaceDN w:val="0"/>
      <w:spacing w:line="360" w:lineRule="auto"/>
      <w:ind w:left="181" w:firstLine="420"/>
    </w:pPr>
    <w:rPr>
      <w:sz w:val="24"/>
      <w:szCs w:val="20"/>
    </w:rPr>
  </w:style>
  <w:style w:type="paragraph" w:styleId="13">
    <w:name w:val="caption"/>
    <w:basedOn w:val="1"/>
    <w:next w:val="1"/>
    <w:qFormat/>
    <w:uiPriority w:val="0"/>
    <w:pPr>
      <w:spacing w:line="360" w:lineRule="auto"/>
      <w:jc w:val="center"/>
    </w:pPr>
    <w:rPr>
      <w:rFonts w:ascii="Arial" w:hAnsi="Arial" w:eastAsia="黑体"/>
      <w:sz w:val="24"/>
      <w:szCs w:val="20"/>
    </w:rPr>
  </w:style>
  <w:style w:type="paragraph" w:styleId="14">
    <w:name w:val="Document Map"/>
    <w:basedOn w:val="1"/>
    <w:qFormat/>
    <w:uiPriority w:val="0"/>
    <w:pPr>
      <w:shd w:val="clear" w:color="auto" w:fill="000080"/>
    </w:pPr>
  </w:style>
  <w:style w:type="paragraph" w:styleId="15">
    <w:name w:val="annotation text"/>
    <w:basedOn w:val="1"/>
    <w:link w:val="52"/>
    <w:qFormat/>
    <w:uiPriority w:val="0"/>
    <w:pPr>
      <w:jc w:val="left"/>
    </w:pPr>
  </w:style>
  <w:style w:type="paragraph" w:styleId="16">
    <w:name w:val="Body Text 3"/>
    <w:basedOn w:val="1"/>
    <w:qFormat/>
    <w:uiPriority w:val="0"/>
    <w:pPr>
      <w:spacing w:line="240" w:lineRule="exact"/>
    </w:pPr>
    <w:rPr>
      <w:rFonts w:ascii="宋体" w:hAnsi="宋体"/>
      <w:sz w:val="18"/>
    </w:rPr>
  </w:style>
  <w:style w:type="paragraph" w:styleId="17">
    <w:name w:val="Body Text Indent"/>
    <w:basedOn w:val="1"/>
    <w:link w:val="53"/>
    <w:qFormat/>
    <w:uiPriority w:val="0"/>
    <w:pPr>
      <w:autoSpaceDE w:val="0"/>
      <w:autoSpaceDN w:val="0"/>
      <w:spacing w:line="360" w:lineRule="auto"/>
      <w:ind w:left="181" w:firstLine="539"/>
    </w:pPr>
    <w:rPr>
      <w:sz w:val="24"/>
      <w:szCs w:val="20"/>
    </w:rPr>
  </w:style>
  <w:style w:type="paragraph" w:styleId="18">
    <w:name w:val="Block Text"/>
    <w:basedOn w:val="1"/>
    <w:qFormat/>
    <w:uiPriority w:val="0"/>
    <w:pPr>
      <w:ind w:left="1440" w:leftChars="700" w:right="1440" w:rightChars="700"/>
    </w:pPr>
  </w:style>
  <w:style w:type="paragraph" w:styleId="19">
    <w:name w:val="toc 3"/>
    <w:basedOn w:val="1"/>
    <w:next w:val="1"/>
    <w:qFormat/>
    <w:uiPriority w:val="0"/>
    <w:pPr>
      <w:ind w:left="420"/>
      <w:jc w:val="left"/>
    </w:pPr>
    <w:rPr>
      <w:i/>
      <w:iCs/>
    </w:rPr>
  </w:style>
  <w:style w:type="paragraph" w:styleId="20">
    <w:name w:val="Plain Text"/>
    <w:basedOn w:val="1"/>
    <w:link w:val="54"/>
    <w:qFormat/>
    <w:uiPriority w:val="99"/>
    <w:pPr>
      <w:spacing w:line="360" w:lineRule="auto"/>
    </w:pPr>
    <w:rPr>
      <w:rFonts w:ascii="宋体" w:hAnsi="Courier New"/>
      <w:spacing w:val="-8"/>
      <w:sz w:val="24"/>
      <w:szCs w:val="20"/>
    </w:rPr>
  </w:style>
  <w:style w:type="paragraph" w:styleId="21">
    <w:name w:val="Date"/>
    <w:basedOn w:val="1"/>
    <w:next w:val="1"/>
    <w:link w:val="55"/>
    <w:qFormat/>
    <w:uiPriority w:val="99"/>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22">
    <w:name w:val="Body Text Indent 2"/>
    <w:basedOn w:val="1"/>
    <w:qFormat/>
    <w:uiPriority w:val="0"/>
    <w:pPr>
      <w:ind w:firstLine="540"/>
    </w:pPr>
    <w:rPr>
      <w:szCs w:val="20"/>
    </w:rPr>
  </w:style>
  <w:style w:type="paragraph" w:styleId="23">
    <w:name w:val="Balloon Text"/>
    <w:basedOn w:val="1"/>
    <w:link w:val="56"/>
    <w:qFormat/>
    <w:uiPriority w:val="0"/>
    <w:rPr>
      <w:sz w:val="18"/>
      <w:szCs w:val="18"/>
    </w:rPr>
  </w:style>
  <w:style w:type="paragraph" w:styleId="24">
    <w:name w:val="footer"/>
    <w:basedOn w:val="1"/>
    <w:link w:val="57"/>
    <w:qFormat/>
    <w:uiPriority w:val="99"/>
    <w:pPr>
      <w:tabs>
        <w:tab w:val="center" w:pos="4153"/>
        <w:tab w:val="right" w:pos="8306"/>
      </w:tabs>
      <w:snapToGrid w:val="0"/>
      <w:jc w:val="left"/>
    </w:pPr>
    <w:rPr>
      <w:sz w:val="18"/>
      <w:szCs w:val="20"/>
    </w:rPr>
  </w:style>
  <w:style w:type="paragraph" w:styleId="25">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6">
    <w:name w:val="Signature"/>
    <w:basedOn w:val="1"/>
    <w:qFormat/>
    <w:uiPriority w:val="0"/>
    <w:pPr>
      <w:ind w:left="4320"/>
    </w:pPr>
    <w:rPr>
      <w:rFonts w:eastAsia="楷体_GB2312"/>
      <w:szCs w:val="20"/>
    </w:rPr>
  </w:style>
  <w:style w:type="paragraph" w:styleId="27">
    <w:name w:val="toc 1"/>
    <w:basedOn w:val="1"/>
    <w:next w:val="1"/>
    <w:qFormat/>
    <w:uiPriority w:val="0"/>
    <w:pPr>
      <w:jc w:val="left"/>
    </w:pPr>
    <w:rPr>
      <w:b/>
      <w:bCs/>
      <w:caps/>
    </w:rPr>
  </w:style>
  <w:style w:type="paragraph" w:styleId="28">
    <w:name w:val="footnote text"/>
    <w:basedOn w:val="1"/>
    <w:link w:val="59"/>
    <w:qFormat/>
    <w:uiPriority w:val="0"/>
    <w:pPr>
      <w:snapToGrid w:val="0"/>
      <w:jc w:val="left"/>
    </w:pPr>
    <w:rPr>
      <w:rFonts w:ascii="仿宋_GB2312" w:hAnsi="新宋体" w:eastAsia="仿宋_GB2312"/>
      <w:sz w:val="18"/>
      <w:szCs w:val="18"/>
    </w:rPr>
  </w:style>
  <w:style w:type="paragraph" w:styleId="29">
    <w:name w:val="Body Text Indent 3"/>
    <w:basedOn w:val="1"/>
    <w:qFormat/>
    <w:uiPriority w:val="0"/>
    <w:pPr>
      <w:ind w:firstLine="426"/>
    </w:pPr>
    <w:rPr>
      <w:szCs w:val="20"/>
    </w:rPr>
  </w:style>
  <w:style w:type="paragraph" w:styleId="30">
    <w:name w:val="Body Text 2"/>
    <w:basedOn w:val="1"/>
    <w:qFormat/>
    <w:uiPriority w:val="0"/>
    <w:rPr>
      <w:sz w:val="28"/>
      <w:szCs w:val="20"/>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Autospacing="1" w:afterAutospacing="1"/>
      <w:jc w:val="left"/>
    </w:pPr>
    <w:rPr>
      <w:rFonts w:ascii="宋体" w:hAnsi="宋体"/>
      <w:kern w:val="0"/>
      <w:sz w:val="24"/>
    </w:rPr>
  </w:style>
  <w:style w:type="paragraph" w:styleId="33">
    <w:name w:val="Title"/>
    <w:basedOn w:val="1"/>
    <w:qFormat/>
    <w:uiPriority w:val="0"/>
    <w:pPr>
      <w:pageBreakBefore/>
      <w:tabs>
        <w:tab w:val="left" w:pos="600"/>
        <w:tab w:val="left" w:pos="960"/>
        <w:tab w:val="left" w:pos="1080"/>
      </w:tabs>
      <w:overflowPunct w:val="0"/>
      <w:spacing w:line="360" w:lineRule="auto"/>
      <w:ind w:left="839" w:right="-357" w:firstLine="480"/>
      <w:jc w:val="center"/>
      <w:outlineLvl w:val="0"/>
    </w:pPr>
    <w:rPr>
      <w:rFonts w:ascii="Arial" w:hAnsi="Arial"/>
      <w:b/>
      <w:kern w:val="0"/>
      <w:sz w:val="36"/>
      <w:szCs w:val="20"/>
    </w:rPr>
  </w:style>
  <w:style w:type="paragraph" w:styleId="34">
    <w:name w:val="annotation subject"/>
    <w:basedOn w:val="15"/>
    <w:next w:val="15"/>
    <w:link w:val="60"/>
    <w:qFormat/>
    <w:uiPriority w:val="0"/>
    <w:rPr>
      <w:b/>
      <w:bCs/>
    </w:rPr>
  </w:style>
  <w:style w:type="paragraph" w:styleId="35">
    <w:name w:val="Body Text First Indent"/>
    <w:basedOn w:val="2"/>
    <w:qFormat/>
    <w:uiPriority w:val="0"/>
    <w:pPr>
      <w:ind w:firstLine="420"/>
    </w:pPr>
    <w:rPr>
      <w:szCs w:val="20"/>
    </w:rPr>
  </w:style>
  <w:style w:type="paragraph" w:styleId="36">
    <w:name w:val="Body Text First Indent 2"/>
    <w:basedOn w:val="17"/>
    <w:link w:val="183"/>
    <w:qFormat/>
    <w:uiPriority w:val="0"/>
    <w:pPr>
      <w:autoSpaceDE/>
      <w:autoSpaceDN/>
      <w:spacing w:after="120" w:line="240" w:lineRule="auto"/>
      <w:ind w:left="420" w:leftChars="200" w:firstLine="420" w:firstLineChars="200"/>
    </w:pPr>
    <w:rPr>
      <w:sz w:val="21"/>
      <w:szCs w:val="24"/>
    </w:rPr>
  </w:style>
  <w:style w:type="table" w:styleId="38">
    <w:name w:val="Table Grid"/>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page number"/>
    <w:qFormat/>
    <w:uiPriority w:val="0"/>
  </w:style>
  <w:style w:type="character" w:styleId="42">
    <w:name w:val="Emphasis"/>
    <w:qFormat/>
    <w:uiPriority w:val="20"/>
    <w:rPr>
      <w:i/>
      <w:iCs/>
    </w:rPr>
  </w:style>
  <w:style w:type="character" w:styleId="43">
    <w:name w:val="Hyperlink"/>
    <w:qFormat/>
    <w:uiPriority w:val="99"/>
    <w:rPr>
      <w:rFonts w:eastAsia="宋体"/>
      <w:color w:val="0000FF"/>
      <w:kern w:val="2"/>
      <w:sz w:val="24"/>
      <w:szCs w:val="24"/>
      <w:u w:val="single"/>
      <w:lang w:val="en-US" w:eastAsia="zh-CN" w:bidi="ar-SA"/>
    </w:rPr>
  </w:style>
  <w:style w:type="character" w:styleId="44">
    <w:name w:val="annotation reference"/>
    <w:qFormat/>
    <w:uiPriority w:val="0"/>
    <w:rPr>
      <w:sz w:val="21"/>
      <w:szCs w:val="21"/>
    </w:rPr>
  </w:style>
  <w:style w:type="paragraph" w:customStyle="1" w:styleId="45">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46">
    <w:name w:val="my正文"/>
    <w:basedOn w:val="1"/>
    <w:link w:val="47"/>
    <w:qFormat/>
    <w:uiPriority w:val="0"/>
    <w:pPr>
      <w:spacing w:line="360" w:lineRule="auto"/>
      <w:ind w:firstLine="200" w:firstLineChars="200"/>
    </w:pPr>
    <w:rPr>
      <w:kern w:val="0"/>
      <w:sz w:val="24"/>
    </w:rPr>
  </w:style>
  <w:style w:type="character" w:customStyle="1" w:styleId="47">
    <w:name w:val="my正文 Char"/>
    <w:link w:val="46"/>
    <w:qFormat/>
    <w:uiPriority w:val="0"/>
    <w:rPr>
      <w:sz w:val="24"/>
      <w:szCs w:val="24"/>
    </w:rPr>
  </w:style>
  <w:style w:type="character" w:customStyle="1" w:styleId="48">
    <w:name w:val="正文缩进 Char"/>
    <w:link w:val="5"/>
    <w:qFormat/>
    <w:uiPriority w:val="0"/>
    <w:rPr>
      <w:kern w:val="2"/>
      <w:sz w:val="24"/>
    </w:rPr>
  </w:style>
  <w:style w:type="paragraph" w:customStyle="1" w:styleId="49">
    <w:name w:val="样式1"/>
    <w:basedOn w:val="1"/>
    <w:qFormat/>
    <w:uiPriority w:val="0"/>
    <w:pPr>
      <w:adjustRightInd w:val="0"/>
      <w:snapToGrid w:val="0"/>
      <w:spacing w:line="300" w:lineRule="auto"/>
      <w:ind w:left="425" w:hanging="425"/>
      <w:jc w:val="center"/>
      <w:textAlignment w:val="center"/>
    </w:pPr>
    <w:rPr>
      <w:snapToGrid w:val="0"/>
      <w:spacing w:val="20"/>
      <w:kern w:val="0"/>
      <w:sz w:val="18"/>
      <w:szCs w:val="20"/>
    </w:rPr>
  </w:style>
  <w:style w:type="paragraph" w:customStyle="1" w:styleId="50">
    <w:name w:val="TOC 标题1"/>
    <w:basedOn w:val="3"/>
    <w:next w:val="1"/>
    <w:unhideWhenUsed/>
    <w:qFormat/>
    <w:uiPriority w:val="39"/>
    <w:pPr>
      <w:widowControl/>
      <w:spacing w:before="480" w:line="276" w:lineRule="auto"/>
      <w:jc w:val="left"/>
      <w:outlineLvl w:val="9"/>
    </w:pPr>
    <w:rPr>
      <w:rFonts w:ascii="Cambria" w:hAnsi="Cambria"/>
      <w:color w:val="366091"/>
      <w:kern w:val="0"/>
      <w:sz w:val="28"/>
      <w:szCs w:val="28"/>
    </w:rPr>
  </w:style>
  <w:style w:type="character" w:customStyle="1" w:styleId="51">
    <w:name w:val="标题 2 Char"/>
    <w:link w:val="4"/>
    <w:qFormat/>
    <w:uiPriority w:val="0"/>
    <w:rPr>
      <w:rFonts w:ascii="Arial" w:hAnsi="Arial" w:eastAsia="黑体"/>
      <w:b/>
      <w:spacing w:val="24"/>
      <w:sz w:val="24"/>
      <w:lang w:val="en-US" w:eastAsia="zh-CN" w:bidi="ar-SA"/>
    </w:rPr>
  </w:style>
  <w:style w:type="character" w:customStyle="1" w:styleId="52">
    <w:name w:val="批注文字 Char"/>
    <w:link w:val="15"/>
    <w:qFormat/>
    <w:uiPriority w:val="0"/>
    <w:rPr>
      <w:rFonts w:eastAsia="宋体"/>
      <w:kern w:val="2"/>
      <w:sz w:val="21"/>
      <w:szCs w:val="24"/>
      <w:lang w:val="en-US" w:eastAsia="zh-CN" w:bidi="ar-SA"/>
    </w:rPr>
  </w:style>
  <w:style w:type="character" w:customStyle="1" w:styleId="53">
    <w:name w:val="正文文本缩进 Char"/>
    <w:link w:val="17"/>
    <w:qFormat/>
    <w:uiPriority w:val="0"/>
    <w:rPr>
      <w:kern w:val="2"/>
      <w:sz w:val="24"/>
    </w:rPr>
  </w:style>
  <w:style w:type="character" w:customStyle="1" w:styleId="54">
    <w:name w:val="纯文本 Char1"/>
    <w:link w:val="20"/>
    <w:qFormat/>
    <w:uiPriority w:val="99"/>
    <w:rPr>
      <w:rFonts w:ascii="宋体" w:hAnsi="Courier New"/>
      <w:spacing w:val="-8"/>
      <w:kern w:val="2"/>
      <w:sz w:val="24"/>
    </w:rPr>
  </w:style>
  <w:style w:type="character" w:customStyle="1" w:styleId="55">
    <w:name w:val="日期 Char"/>
    <w:link w:val="21"/>
    <w:qFormat/>
    <w:uiPriority w:val="99"/>
    <w:rPr>
      <w:rFonts w:ascii="宋体" w:hAnsi="宋体"/>
      <w:sz w:val="24"/>
    </w:rPr>
  </w:style>
  <w:style w:type="character" w:customStyle="1" w:styleId="56">
    <w:name w:val="批注框文本 Char"/>
    <w:link w:val="23"/>
    <w:qFormat/>
    <w:uiPriority w:val="0"/>
    <w:rPr>
      <w:kern w:val="2"/>
      <w:sz w:val="18"/>
      <w:szCs w:val="18"/>
    </w:rPr>
  </w:style>
  <w:style w:type="character" w:customStyle="1" w:styleId="57">
    <w:name w:val="页脚 Char"/>
    <w:link w:val="24"/>
    <w:qFormat/>
    <w:uiPriority w:val="99"/>
    <w:rPr>
      <w:kern w:val="2"/>
      <w:sz w:val="18"/>
    </w:rPr>
  </w:style>
  <w:style w:type="character" w:customStyle="1" w:styleId="58">
    <w:name w:val="页眉 Char"/>
    <w:link w:val="25"/>
    <w:qFormat/>
    <w:uiPriority w:val="0"/>
    <w:rPr>
      <w:kern w:val="2"/>
      <w:sz w:val="18"/>
      <w:szCs w:val="18"/>
    </w:rPr>
  </w:style>
  <w:style w:type="character" w:customStyle="1" w:styleId="59">
    <w:name w:val="脚注文本 Char"/>
    <w:link w:val="28"/>
    <w:qFormat/>
    <w:uiPriority w:val="0"/>
    <w:rPr>
      <w:rFonts w:ascii="仿宋_GB2312" w:hAnsi="新宋体" w:eastAsia="仿宋_GB2312"/>
      <w:kern w:val="2"/>
      <w:sz w:val="18"/>
      <w:szCs w:val="18"/>
    </w:rPr>
  </w:style>
  <w:style w:type="character" w:customStyle="1" w:styleId="60">
    <w:name w:val="批注主题 Char"/>
    <w:link w:val="34"/>
    <w:qFormat/>
    <w:uiPriority w:val="0"/>
    <w:rPr>
      <w:rFonts w:eastAsia="宋体"/>
      <w:b/>
      <w:bCs/>
      <w:kern w:val="2"/>
      <w:sz w:val="21"/>
      <w:szCs w:val="24"/>
      <w:lang w:val="en-US" w:eastAsia="zh-CN" w:bidi="ar-SA"/>
    </w:rPr>
  </w:style>
  <w:style w:type="character" w:customStyle="1" w:styleId="61">
    <w:name w:val="Char Char"/>
    <w:qFormat/>
    <w:uiPriority w:val="0"/>
    <w:rPr>
      <w:rFonts w:ascii="宋体" w:hAnsi="Courier New" w:eastAsia="宋体"/>
      <w:kern w:val="2"/>
      <w:sz w:val="21"/>
      <w:lang w:val="en-US" w:eastAsia="zh-CN" w:bidi="ar-SA"/>
    </w:rPr>
  </w:style>
  <w:style w:type="character" w:customStyle="1" w:styleId="62">
    <w:name w:val="纯文本 Char Char"/>
    <w:qFormat/>
    <w:uiPriority w:val="0"/>
    <w:rPr>
      <w:rFonts w:ascii="宋体" w:hAnsi="Courier New" w:eastAsia="宋体"/>
      <w:kern w:val="2"/>
      <w:sz w:val="21"/>
      <w:lang w:val="en-US" w:eastAsia="zh-CN" w:bidi="ar-SA"/>
    </w:rPr>
  </w:style>
  <w:style w:type="character" w:customStyle="1" w:styleId="63">
    <w:name w:val="CSS1级正文 Char"/>
    <w:link w:val="64"/>
    <w:qFormat/>
    <w:uiPriority w:val="0"/>
    <w:rPr>
      <w:kern w:val="2"/>
      <w:sz w:val="21"/>
      <w:lang w:val="zh-CN"/>
    </w:rPr>
  </w:style>
  <w:style w:type="paragraph" w:customStyle="1" w:styleId="64">
    <w:name w:val="CSS1级正文"/>
    <w:basedOn w:val="2"/>
    <w:link w:val="63"/>
    <w:qFormat/>
    <w:uiPriority w:val="0"/>
    <w:pPr>
      <w:widowControl/>
      <w:spacing w:afterLines="100" w:line="360" w:lineRule="auto"/>
      <w:ind w:firstLine="480" w:firstLineChars="200"/>
      <w:jc w:val="left"/>
    </w:pPr>
    <w:rPr>
      <w:szCs w:val="20"/>
      <w:lang w:val="zh-CN"/>
    </w:rPr>
  </w:style>
  <w:style w:type="character" w:customStyle="1" w:styleId="65">
    <w:name w:val="apple-converted-space"/>
    <w:qFormat/>
    <w:uiPriority w:val="0"/>
  </w:style>
  <w:style w:type="character" w:customStyle="1" w:styleId="66">
    <w:name w:val="样式 标准正文 + 宋体 小四 Char"/>
    <w:link w:val="67"/>
    <w:qFormat/>
    <w:uiPriority w:val="0"/>
    <w:rPr>
      <w:rFonts w:ascii="宋体" w:hAnsi="宋体" w:eastAsia="宋体"/>
      <w:kern w:val="2"/>
      <w:sz w:val="24"/>
      <w:lang w:val="en-US" w:eastAsia="zh-CN" w:bidi="ar-SA"/>
    </w:rPr>
  </w:style>
  <w:style w:type="paragraph" w:customStyle="1" w:styleId="67">
    <w:name w:val="样式 标准正文 + 宋体 小四"/>
    <w:basedOn w:val="1"/>
    <w:link w:val="66"/>
    <w:qFormat/>
    <w:uiPriority w:val="0"/>
    <w:pPr>
      <w:spacing w:line="360" w:lineRule="auto"/>
      <w:ind w:firstLine="200" w:firstLineChars="200"/>
    </w:pPr>
    <w:rPr>
      <w:rFonts w:ascii="宋体" w:hAnsi="宋体"/>
      <w:sz w:val="24"/>
      <w:szCs w:val="20"/>
    </w:rPr>
  </w:style>
  <w:style w:type="character" w:customStyle="1" w:styleId="68">
    <w:name w:val="文字 Char"/>
    <w:link w:val="69"/>
    <w:qFormat/>
    <w:uiPriority w:val="0"/>
    <w:rPr>
      <w:rFonts w:ascii="宋体" w:hAnsi="宋体" w:eastAsia="宋体"/>
      <w:kern w:val="2"/>
      <w:sz w:val="28"/>
      <w:lang w:val="en-US" w:eastAsia="zh-CN" w:bidi="ar-SA"/>
    </w:rPr>
  </w:style>
  <w:style w:type="paragraph" w:customStyle="1" w:styleId="69">
    <w:name w:val="文字"/>
    <w:basedOn w:val="1"/>
    <w:link w:val="68"/>
    <w:qFormat/>
    <w:uiPriority w:val="0"/>
    <w:pPr>
      <w:tabs>
        <w:tab w:val="left" w:pos="8520"/>
      </w:tabs>
      <w:spacing w:line="312" w:lineRule="auto"/>
      <w:ind w:right="-210" w:firstLine="556"/>
    </w:pPr>
    <w:rPr>
      <w:rFonts w:ascii="宋体" w:hAnsi="宋体"/>
      <w:sz w:val="28"/>
      <w:szCs w:val="20"/>
    </w:rPr>
  </w:style>
  <w:style w:type="character" w:customStyle="1" w:styleId="70">
    <w:name w:val="纯文本 Char"/>
    <w:qFormat/>
    <w:uiPriority w:val="99"/>
    <w:rPr>
      <w:rFonts w:ascii="宋体" w:hAnsi="Courier New" w:eastAsia="宋体"/>
      <w:kern w:val="2"/>
      <w:sz w:val="21"/>
      <w:szCs w:val="24"/>
      <w:lang w:val="en-US" w:eastAsia="zh-CN" w:bidi="ar-SA"/>
    </w:rPr>
  </w:style>
  <w:style w:type="character" w:customStyle="1" w:styleId="71">
    <w:name w:val="表正文 Char"/>
    <w:qFormat/>
    <w:uiPriority w:val="0"/>
    <w:rPr>
      <w:rFonts w:eastAsia="宋体"/>
      <w:kern w:val="2"/>
      <w:sz w:val="21"/>
      <w:szCs w:val="24"/>
      <w:lang w:val="en-US" w:eastAsia="zh-CN" w:bidi="ar-SA"/>
    </w:rPr>
  </w:style>
  <w:style w:type="character" w:customStyle="1" w:styleId="72">
    <w:name w:val="普通文字 Char Char Char"/>
    <w:qFormat/>
    <w:uiPriority w:val="0"/>
    <w:rPr>
      <w:rFonts w:ascii="宋体" w:hAnsi="Courier New" w:eastAsia="宋体"/>
      <w:kern w:val="2"/>
      <w:sz w:val="21"/>
      <w:lang w:val="en-US" w:eastAsia="zh-CN" w:bidi="ar-SA"/>
    </w:rPr>
  </w:style>
  <w:style w:type="character" w:customStyle="1" w:styleId="73">
    <w:name w:val="style1"/>
    <w:qFormat/>
    <w:uiPriority w:val="0"/>
  </w:style>
  <w:style w:type="character" w:customStyle="1" w:styleId="74">
    <w:name w:val="列出段落 Char1"/>
    <w:link w:val="75"/>
    <w:qFormat/>
    <w:uiPriority w:val="34"/>
    <w:rPr>
      <w:rFonts w:ascii="Calibri" w:hAnsi="Calibri"/>
      <w:kern w:val="2"/>
      <w:sz w:val="21"/>
      <w:szCs w:val="22"/>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列出段落 Char"/>
    <w:link w:val="77"/>
    <w:qFormat/>
    <w:locked/>
    <w:uiPriority w:val="34"/>
    <w:rPr>
      <w:kern w:val="2"/>
      <w:sz w:val="21"/>
      <w:szCs w:val="21"/>
    </w:rPr>
  </w:style>
  <w:style w:type="paragraph" w:customStyle="1" w:styleId="77">
    <w:name w:val="列出段落1"/>
    <w:basedOn w:val="1"/>
    <w:link w:val="76"/>
    <w:qFormat/>
    <w:uiPriority w:val="34"/>
    <w:pPr>
      <w:ind w:firstLine="420" w:firstLineChars="200"/>
    </w:pPr>
    <w:rPr>
      <w:szCs w:val="21"/>
    </w:rPr>
  </w:style>
  <w:style w:type="character" w:customStyle="1" w:styleId="78">
    <w:name w:val="￥正文 Char"/>
    <w:link w:val="79"/>
    <w:qFormat/>
    <w:uiPriority w:val="0"/>
    <w:rPr>
      <w:kern w:val="2"/>
      <w:sz w:val="24"/>
      <w:szCs w:val="22"/>
    </w:rPr>
  </w:style>
  <w:style w:type="paragraph" w:customStyle="1" w:styleId="79">
    <w:name w:val="￥正文"/>
    <w:basedOn w:val="1"/>
    <w:link w:val="78"/>
    <w:qFormat/>
    <w:uiPriority w:val="0"/>
    <w:pPr>
      <w:spacing w:line="360" w:lineRule="auto"/>
      <w:ind w:firstLine="200" w:firstLineChars="200"/>
    </w:pPr>
    <w:rPr>
      <w:sz w:val="24"/>
      <w:szCs w:val="22"/>
    </w:rPr>
  </w:style>
  <w:style w:type="paragraph" w:customStyle="1" w:styleId="80">
    <w:name w:val="xl49"/>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81">
    <w:name w:val="Char Char Char Char Char Char Char Char"/>
    <w:basedOn w:val="1"/>
    <w:qFormat/>
    <w:uiPriority w:val="0"/>
    <w:pPr>
      <w:tabs>
        <w:tab w:val="left" w:pos="360"/>
      </w:tabs>
    </w:pPr>
    <w:rPr>
      <w:sz w:val="24"/>
    </w:rPr>
  </w:style>
  <w:style w:type="paragraph" w:customStyle="1" w:styleId="82">
    <w:name w:val="font8"/>
    <w:basedOn w:val="1"/>
    <w:qFormat/>
    <w:uiPriority w:val="0"/>
    <w:pPr>
      <w:widowControl/>
      <w:spacing w:beforeAutospacing="1" w:afterAutospacing="1"/>
      <w:jc w:val="left"/>
    </w:pPr>
    <w:rPr>
      <w:rFonts w:hint="eastAsia" w:ascii="宋体" w:hAnsi="宋体"/>
      <w:kern w:val="0"/>
      <w:sz w:val="24"/>
    </w:rPr>
  </w:style>
  <w:style w:type="paragraph" w:customStyle="1" w:styleId="8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84">
    <w:name w:val="xl48"/>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85">
    <w:name w:val="表格内容"/>
    <w:basedOn w:val="1"/>
    <w:qFormat/>
    <w:uiPriority w:val="0"/>
    <w:pPr>
      <w:numPr>
        <w:ilvl w:val="0"/>
        <w:numId w:val="1"/>
      </w:numPr>
      <w:spacing w:line="312" w:lineRule="auto"/>
    </w:pPr>
    <w:rPr>
      <w:rFonts w:ascii="宋体"/>
      <w:sz w:val="24"/>
      <w:szCs w:val="20"/>
    </w:rPr>
  </w:style>
  <w:style w:type="paragraph" w:customStyle="1" w:styleId="86">
    <w:name w:val="l2"/>
    <w:basedOn w:val="1"/>
    <w:qFormat/>
    <w:uiPriority w:val="0"/>
    <w:pPr>
      <w:keepLines/>
      <w:widowControl/>
      <w:spacing w:beforeLines="50" w:afterLines="50" w:line="300" w:lineRule="auto"/>
    </w:pPr>
    <w:rPr>
      <w:rFonts w:ascii="Arial" w:hAnsi="Arial"/>
      <w:bCs/>
    </w:rPr>
  </w:style>
  <w:style w:type="paragraph" w:customStyle="1" w:styleId="87">
    <w:name w:val="列表2"/>
    <w:basedOn w:val="1"/>
    <w:next w:val="1"/>
    <w:qFormat/>
    <w:uiPriority w:val="0"/>
    <w:pPr>
      <w:tabs>
        <w:tab w:val="left" w:pos="312"/>
        <w:tab w:val="left" w:pos="1547"/>
      </w:tabs>
      <w:spacing w:line="200" w:lineRule="atLeast"/>
      <w:ind w:left="1547" w:hanging="507"/>
    </w:pPr>
    <w:rPr>
      <w:sz w:val="28"/>
    </w:rPr>
  </w:style>
  <w:style w:type="paragraph" w:customStyle="1" w:styleId="88">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89">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90">
    <w:name w:val="xl51"/>
    <w:basedOn w:val="1"/>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paragraph" w:customStyle="1" w:styleId="91">
    <w:name w:val="xl39"/>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92">
    <w:name w:val="xl46"/>
    <w:basedOn w:val="1"/>
    <w:qFormat/>
    <w:uiPriority w:val="0"/>
    <w:pPr>
      <w:widowControl/>
      <w:spacing w:beforeAutospacing="1" w:afterAutospacing="1"/>
      <w:jc w:val="left"/>
      <w:textAlignment w:val="center"/>
    </w:pPr>
    <w:rPr>
      <w:rFonts w:ascii="宋体" w:hAnsi="宋体"/>
      <w:kern w:val="0"/>
      <w:sz w:val="22"/>
      <w:szCs w:val="22"/>
    </w:rPr>
  </w:style>
  <w:style w:type="paragraph" w:customStyle="1" w:styleId="93">
    <w:name w:val="正文内容"/>
    <w:basedOn w:val="1"/>
    <w:qFormat/>
    <w:uiPriority w:val="0"/>
    <w:rPr>
      <w:rFonts w:ascii="Arial" w:hAnsi="Arial"/>
      <w:spacing w:val="-12"/>
      <w:szCs w:val="20"/>
    </w:rPr>
  </w:style>
  <w:style w:type="paragraph" w:customStyle="1" w:styleId="94">
    <w:name w:val="Table Heading"/>
    <w:basedOn w:val="1"/>
    <w:qFormat/>
    <w:uiPriority w:val="0"/>
    <w:pPr>
      <w:widowControl/>
      <w:jc w:val="center"/>
    </w:pPr>
    <w:rPr>
      <w:rFonts w:ascii="Arial" w:hAnsi="Arial"/>
      <w:b/>
      <w:kern w:val="0"/>
      <w:sz w:val="18"/>
      <w:szCs w:val="20"/>
    </w:rPr>
  </w:style>
  <w:style w:type="paragraph" w:customStyle="1" w:styleId="95">
    <w:name w:val="正文文本缩进 21"/>
    <w:basedOn w:val="1"/>
    <w:qFormat/>
    <w:uiPriority w:val="0"/>
    <w:pPr>
      <w:adjustRightInd w:val="0"/>
      <w:ind w:firstLine="420"/>
      <w:textAlignment w:val="baseline"/>
    </w:pPr>
    <w:rPr>
      <w:sz w:val="24"/>
      <w:szCs w:val="20"/>
    </w:rPr>
  </w:style>
  <w:style w:type="paragraph" w:customStyle="1" w:styleId="96">
    <w:name w:val="样式3"/>
    <w:basedOn w:val="19"/>
    <w:qFormat/>
    <w:uiPriority w:val="0"/>
    <w:pPr>
      <w:tabs>
        <w:tab w:val="right" w:leader="dot" w:pos="9458"/>
      </w:tabs>
    </w:pPr>
    <w:rPr>
      <w:i w:val="0"/>
    </w:rPr>
  </w:style>
  <w:style w:type="paragraph" w:customStyle="1" w:styleId="97">
    <w:name w:val="Table Body"/>
    <w:basedOn w:val="1"/>
    <w:qFormat/>
    <w:uiPriority w:val="0"/>
    <w:pPr>
      <w:widowControl/>
      <w:jc w:val="center"/>
    </w:pPr>
    <w:rPr>
      <w:rFonts w:ascii="Arial" w:hAnsi="Arial"/>
      <w:snapToGrid w:val="0"/>
      <w:kern w:val="0"/>
      <w:sz w:val="18"/>
      <w:szCs w:val="20"/>
    </w:rPr>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99">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4"/>
    </w:rPr>
  </w:style>
  <w:style w:type="paragraph" w:customStyle="1" w:styleId="100">
    <w:name w:val="Char Char1"/>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101">
    <w:name w:val="Char1 Char Char Char Char Char Char"/>
    <w:basedOn w:val="1"/>
    <w:qFormat/>
    <w:uiPriority w:val="0"/>
    <w:pPr>
      <w:tabs>
        <w:tab w:val="left" w:pos="425"/>
      </w:tabs>
      <w:ind w:left="425" w:hanging="425"/>
    </w:pPr>
    <w:rPr>
      <w:sz w:val="24"/>
    </w:rPr>
  </w:style>
  <w:style w:type="paragraph" w:customStyle="1" w:styleId="102">
    <w:name w:val="Normal1"/>
    <w:basedOn w:val="1"/>
    <w:qFormat/>
    <w:uiPriority w:val="0"/>
    <w:pPr>
      <w:widowControl/>
      <w:spacing w:after="200" w:line="300" w:lineRule="atLeast"/>
      <w:jc w:val="left"/>
    </w:pPr>
    <w:rPr>
      <w:rFonts w:ascii="Calibri" w:hAnsi="Calibri" w:cs="宋体"/>
      <w:kern w:val="0"/>
      <w:sz w:val="22"/>
      <w:szCs w:val="22"/>
    </w:rPr>
  </w:style>
  <w:style w:type="paragraph" w:customStyle="1" w:styleId="103">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04">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105">
    <w:name w:val="xl3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06">
    <w:name w:val="Char1 Char Char Char1"/>
    <w:basedOn w:val="1"/>
    <w:qFormat/>
    <w:uiPriority w:val="0"/>
    <w:pPr>
      <w:widowControl/>
      <w:spacing w:line="240" w:lineRule="exact"/>
      <w:jc w:val="left"/>
    </w:pPr>
    <w:rPr>
      <w:rFonts w:ascii="Verdana" w:hAnsi="Verdana" w:eastAsia="仿宋_GB2312"/>
      <w:kern w:val="0"/>
      <w:sz w:val="28"/>
      <w:szCs w:val="20"/>
      <w:lang w:eastAsia="en-US"/>
    </w:rPr>
  </w:style>
  <w:style w:type="paragraph" w:customStyle="1" w:styleId="107">
    <w:name w:val="font7"/>
    <w:basedOn w:val="1"/>
    <w:qFormat/>
    <w:uiPriority w:val="0"/>
    <w:pPr>
      <w:widowControl/>
      <w:spacing w:beforeAutospacing="1" w:afterAutospacing="1"/>
      <w:jc w:val="left"/>
    </w:pPr>
    <w:rPr>
      <w:kern w:val="0"/>
      <w:sz w:val="22"/>
      <w:szCs w:val="22"/>
    </w:rPr>
  </w:style>
  <w:style w:type="paragraph" w:customStyle="1" w:styleId="108">
    <w:name w:val="xl23"/>
    <w:basedOn w:val="1"/>
    <w:qFormat/>
    <w:uiPriority w:val="0"/>
    <w:pPr>
      <w:widowControl/>
      <w:spacing w:beforeAutospacing="1" w:afterAutospacing="1" w:line="360" w:lineRule="auto"/>
      <w:textAlignment w:val="top"/>
    </w:pPr>
    <w:rPr>
      <w:kern w:val="0"/>
      <w:sz w:val="24"/>
    </w:rPr>
  </w:style>
  <w:style w:type="paragraph" w:customStyle="1" w:styleId="109">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10">
    <w:name w:val="签名 - 公司"/>
    <w:basedOn w:val="26"/>
    <w:next w:val="11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11">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112">
    <w:name w:val="List Paragraph1"/>
    <w:basedOn w:val="1"/>
    <w:qFormat/>
    <w:uiPriority w:val="0"/>
    <w:pPr>
      <w:widowControl/>
      <w:ind w:firstLine="420" w:firstLineChars="200"/>
      <w:jc w:val="left"/>
    </w:pPr>
    <w:rPr>
      <w:kern w:val="0"/>
      <w:szCs w:val="20"/>
    </w:rPr>
  </w:style>
  <w:style w:type="paragraph" w:customStyle="1" w:styleId="113">
    <w:name w:val="表格文字"/>
    <w:basedOn w:val="1"/>
    <w:qFormat/>
    <w:uiPriority w:val="0"/>
    <w:pPr>
      <w:jc w:val="left"/>
    </w:pPr>
    <w:rPr>
      <w:spacing w:val="10"/>
      <w:kern w:val="0"/>
      <w:sz w:val="24"/>
    </w:rPr>
  </w:style>
  <w:style w:type="paragraph" w:customStyle="1" w:styleId="114">
    <w:name w:val="样式5"/>
    <w:basedOn w:val="115"/>
    <w:next w:val="115"/>
    <w:qFormat/>
    <w:uiPriority w:val="0"/>
    <w:pPr>
      <w:tabs>
        <w:tab w:val="right" w:leader="dot" w:pos="9458"/>
      </w:tabs>
    </w:pPr>
  </w:style>
  <w:style w:type="paragraph" w:customStyle="1" w:styleId="115">
    <w:name w:val="样式4"/>
    <w:basedOn w:val="27"/>
    <w:qFormat/>
    <w:uiPriority w:val="0"/>
    <w:pPr>
      <w:tabs>
        <w:tab w:val="right" w:leader="dot" w:pos="9458"/>
      </w:tabs>
    </w:pPr>
    <w:rPr>
      <w:b w:val="0"/>
    </w:rPr>
  </w:style>
  <w:style w:type="paragraph" w:customStyle="1" w:styleId="116">
    <w:name w:val="Char Char1 Char Char Char Char Char Char"/>
    <w:basedOn w:val="1"/>
    <w:qFormat/>
    <w:uiPriority w:val="0"/>
    <w:pPr>
      <w:widowControl/>
      <w:adjustRightInd w:val="0"/>
      <w:snapToGrid w:val="0"/>
      <w:spacing w:beforeLines="25" w:afterLines="25" w:line="240" w:lineRule="exact"/>
      <w:ind w:firstLine="560" w:firstLineChars="192"/>
      <w:jc w:val="left"/>
    </w:pPr>
    <w:rPr>
      <w:sz w:val="24"/>
    </w:rPr>
  </w:style>
  <w:style w:type="paragraph" w:customStyle="1" w:styleId="117">
    <w:name w:val="font9"/>
    <w:basedOn w:val="1"/>
    <w:qFormat/>
    <w:uiPriority w:val="0"/>
    <w:pPr>
      <w:widowControl/>
      <w:spacing w:beforeAutospacing="1" w:afterAutospacing="1"/>
      <w:jc w:val="left"/>
    </w:pPr>
    <w:rPr>
      <w:rFonts w:hint="eastAsia" w:ascii="宋体" w:hAnsi="宋体"/>
      <w:kern w:val="0"/>
      <w:sz w:val="22"/>
      <w:szCs w:val="22"/>
    </w:rPr>
  </w:style>
  <w:style w:type="paragraph" w:customStyle="1" w:styleId="118">
    <w:name w:val="Char"/>
    <w:basedOn w:val="1"/>
    <w:qFormat/>
    <w:uiPriority w:val="0"/>
    <w:pPr>
      <w:tabs>
        <w:tab w:val="left" w:pos="425"/>
      </w:tabs>
      <w:ind w:left="425" w:hanging="425"/>
    </w:pPr>
    <w:rPr>
      <w:sz w:val="24"/>
    </w:rPr>
  </w:style>
  <w:style w:type="paragraph" w:customStyle="1" w:styleId="119">
    <w:name w:val="È¡ÀÊ¡ÎÄ¡À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20">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121">
    <w:name w:val="Char Char Char Char Char Char Char Char Char Char Char Char Char"/>
    <w:basedOn w:val="1"/>
    <w:qFormat/>
    <w:uiPriority w:val="0"/>
    <w:pPr>
      <w:widowControl/>
      <w:spacing w:line="240" w:lineRule="exact"/>
      <w:jc w:val="left"/>
    </w:pPr>
    <w:rPr>
      <w:szCs w:val="20"/>
    </w:rPr>
  </w:style>
  <w:style w:type="paragraph" w:customStyle="1" w:styleId="122">
    <w:name w:val="xl43"/>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23">
    <w:name w:val="±í??"/>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124">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25">
    <w:name w:val="样式"/>
    <w:basedOn w:val="1"/>
    <w:next w:val="18"/>
    <w:qFormat/>
    <w:uiPriority w:val="0"/>
    <w:pPr>
      <w:ind w:left="572" w:right="32" w:firstLine="478"/>
    </w:pPr>
    <w:rPr>
      <w:szCs w:val="21"/>
    </w:rPr>
  </w:style>
  <w:style w:type="paragraph" w:customStyle="1" w:styleId="126">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128">
    <w:name w:val="xl45"/>
    <w:basedOn w:val="1"/>
    <w:qFormat/>
    <w:uiPriority w:val="0"/>
    <w:pPr>
      <w:widowControl/>
      <w:pBdr>
        <w:top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29">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130">
    <w:name w:val="日期1"/>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31">
    <w:name w:val="xl47"/>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32">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133">
    <w:name w:val="默认段落字体 Para Char"/>
    <w:basedOn w:val="1"/>
    <w:qFormat/>
    <w:uiPriority w:val="0"/>
    <w:pPr>
      <w:tabs>
        <w:tab w:val="left" w:pos="360"/>
        <w:tab w:val="left" w:pos="1008"/>
      </w:tabs>
      <w:ind w:left="420" w:hanging="420"/>
    </w:pPr>
    <w:rPr>
      <w:rFonts w:ascii="Verdana" w:hAnsi="Verdana"/>
      <w:kern w:val="0"/>
      <w:sz w:val="24"/>
      <w:szCs w:val="20"/>
      <w:lang w:eastAsia="en-US"/>
    </w:rPr>
  </w:style>
  <w:style w:type="paragraph" w:customStyle="1" w:styleId="134">
    <w:name w:val="±í??É"/>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35">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136">
    <w:name w:val="样式2"/>
    <w:basedOn w:val="19"/>
    <w:qFormat/>
    <w:uiPriority w:val="0"/>
    <w:pPr>
      <w:tabs>
        <w:tab w:val="right" w:leader="dot" w:pos="9458"/>
      </w:tabs>
    </w:pPr>
    <w:rPr>
      <w:rFonts w:ascii="Arial" w:cs="Arial"/>
      <w:i w:val="0"/>
    </w:rPr>
  </w:style>
  <w:style w:type="paragraph" w:customStyle="1" w:styleId="137">
    <w:name w:val="正文样式"/>
    <w:basedOn w:val="1"/>
    <w:qFormat/>
    <w:uiPriority w:val="0"/>
    <w:pPr>
      <w:tabs>
        <w:tab w:val="left" w:pos="1560"/>
      </w:tabs>
      <w:spacing w:line="300" w:lineRule="auto"/>
      <w:ind w:left="1560" w:hanging="360"/>
    </w:pPr>
    <w:rPr>
      <w:rFonts w:ascii="宋体"/>
      <w:sz w:val="24"/>
    </w:rPr>
  </w:style>
  <w:style w:type="paragraph" w:customStyle="1" w:styleId="138">
    <w:name w:val="Char Char Char Char Char Char Char Char Char Char Char Char Char Char Char Char"/>
    <w:basedOn w:val="1"/>
    <w:qFormat/>
    <w:uiPriority w:val="0"/>
    <w:pPr>
      <w:tabs>
        <w:tab w:val="left" w:pos="360"/>
      </w:tabs>
    </w:pPr>
    <w:rPr>
      <w:sz w:val="24"/>
    </w:rPr>
  </w:style>
  <w:style w:type="paragraph" w:customStyle="1" w:styleId="139">
    <w:name w:val="xl32"/>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40">
    <w:name w:val="Char Char Char Char Char Char Char Char1"/>
    <w:basedOn w:val="1"/>
    <w:qFormat/>
    <w:uiPriority w:val="0"/>
    <w:pPr>
      <w:tabs>
        <w:tab w:val="left" w:pos="360"/>
      </w:tabs>
    </w:pPr>
    <w:rPr>
      <w:sz w:val="24"/>
    </w:rPr>
  </w:style>
  <w:style w:type="paragraph" w:customStyle="1" w:styleId="141">
    <w:name w:val="Char Char Char Char Char Char Char"/>
    <w:basedOn w:val="1"/>
    <w:qFormat/>
    <w:uiPriority w:val="0"/>
  </w:style>
  <w:style w:type="paragraph" w:customStyle="1" w:styleId="142">
    <w:name w:val="标题5"/>
    <w:basedOn w:val="1"/>
    <w:qFormat/>
    <w:uiPriority w:val="0"/>
    <w:rPr>
      <w:rFonts w:ascii="宋体"/>
      <w:b/>
      <w:sz w:val="28"/>
    </w:rPr>
  </w:style>
  <w:style w:type="paragraph" w:customStyle="1" w:styleId="143">
    <w:name w:val="xl34"/>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44">
    <w:name w:val="p0"/>
    <w:basedOn w:val="1"/>
    <w:qFormat/>
    <w:uiPriority w:val="0"/>
    <w:pPr>
      <w:widowControl/>
    </w:pPr>
    <w:rPr>
      <w:rFonts w:ascii="Calibri" w:hAnsi="Calibri" w:cs="Calibri"/>
      <w:kern w:val="0"/>
      <w:szCs w:val="21"/>
    </w:rPr>
  </w:style>
  <w:style w:type="paragraph" w:customStyle="1" w:styleId="145">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46">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47">
    <w:name w:val="Char Char11"/>
    <w:basedOn w:val="1"/>
    <w:qFormat/>
    <w:uiPriority w:val="0"/>
    <w:pPr>
      <w:widowControl/>
      <w:spacing w:line="240" w:lineRule="exact"/>
      <w:jc w:val="left"/>
    </w:pPr>
    <w:rPr>
      <w:rFonts w:ascii="宋体" w:hAnsi="宋体"/>
      <w:kern w:val="0"/>
      <w:sz w:val="20"/>
      <w:szCs w:val="20"/>
      <w:lang w:eastAsia="en-US"/>
    </w:rPr>
  </w:style>
  <w:style w:type="paragraph" w:customStyle="1" w:styleId="148">
    <w:name w:val="正文缩进1"/>
    <w:basedOn w:val="1"/>
    <w:qFormat/>
    <w:uiPriority w:val="0"/>
    <w:pPr>
      <w:ind w:firstLine="567"/>
    </w:pPr>
    <w:rPr>
      <w:spacing w:val="20"/>
      <w:sz w:val="24"/>
      <w:szCs w:val="20"/>
    </w:rPr>
  </w:style>
  <w:style w:type="paragraph" w:customStyle="1" w:styleId="149">
    <w:name w:val="ÕýÎÄ 1"/>
    <w:basedOn w:val="1"/>
    <w:qFormat/>
    <w:uiPriority w:val="0"/>
    <w:pPr>
      <w:widowControl/>
      <w:overflowPunct w:val="0"/>
      <w:autoSpaceDE w:val="0"/>
      <w:autoSpaceDN w:val="0"/>
      <w:adjustRightInd w:val="0"/>
      <w:spacing w:line="360" w:lineRule="auto"/>
      <w:ind w:left="1417"/>
      <w:textAlignment w:val="baseline"/>
    </w:pPr>
    <w:rPr>
      <w:kern w:val="0"/>
      <w:szCs w:val="20"/>
    </w:rPr>
  </w:style>
  <w:style w:type="paragraph" w:customStyle="1" w:styleId="150">
    <w:name w:val="xl33"/>
    <w:basedOn w:val="1"/>
    <w:qFormat/>
    <w:uiPriority w:val="0"/>
    <w:pPr>
      <w:widowControl/>
      <w:spacing w:beforeAutospacing="1" w:afterAutospacing="1"/>
      <w:jc w:val="left"/>
      <w:textAlignment w:val="center"/>
    </w:pPr>
    <w:rPr>
      <w:rFonts w:ascii="宋体" w:hAnsi="宋体"/>
      <w:b/>
      <w:bCs/>
      <w:kern w:val="0"/>
      <w:sz w:val="28"/>
      <w:szCs w:val="28"/>
    </w:rPr>
  </w:style>
  <w:style w:type="paragraph" w:customStyle="1" w:styleId="151">
    <w:name w:val="xl35"/>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52">
    <w:name w:val="xl42"/>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kern w:val="0"/>
      <w:sz w:val="22"/>
      <w:szCs w:val="22"/>
    </w:rPr>
  </w:style>
  <w:style w:type="paragraph" w:customStyle="1" w:styleId="153">
    <w:name w:val="Default 123  Text1"/>
    <w:basedOn w:val="1"/>
    <w:qFormat/>
    <w:uiPriority w:val="0"/>
    <w:pPr>
      <w:widowControl/>
      <w:overflowPunct w:val="0"/>
      <w:autoSpaceDE w:val="0"/>
      <w:autoSpaceDN w:val="0"/>
      <w:adjustRightInd w:val="0"/>
      <w:jc w:val="left"/>
    </w:pPr>
    <w:rPr>
      <w:rFonts w:hint="eastAsia" w:ascii="宋体"/>
      <w:kern w:val="0"/>
      <w:sz w:val="26"/>
      <w:szCs w:val="20"/>
    </w:rPr>
  </w:style>
  <w:style w:type="paragraph" w:customStyle="1" w:styleId="154">
    <w:name w:val="Char11"/>
    <w:basedOn w:val="1"/>
    <w:qFormat/>
    <w:uiPriority w:val="0"/>
    <w:pPr>
      <w:tabs>
        <w:tab w:val="left" w:pos="825"/>
      </w:tabs>
      <w:ind w:left="825" w:hanging="360"/>
    </w:pPr>
    <w:rPr>
      <w:sz w:val="24"/>
    </w:rPr>
  </w:style>
  <w:style w:type="paragraph" w:customStyle="1" w:styleId="155">
    <w:name w:val="xl24"/>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56">
    <w:name w:val="Char Char Char Char"/>
    <w:basedOn w:val="1"/>
    <w:qFormat/>
    <w:uiPriority w:val="0"/>
    <w:pPr>
      <w:widowControl/>
      <w:spacing w:line="240" w:lineRule="exact"/>
      <w:jc w:val="left"/>
    </w:pPr>
  </w:style>
  <w:style w:type="paragraph" w:customStyle="1" w:styleId="157">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158">
    <w:name w:val="xl44"/>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59">
    <w:name w:val="Char1"/>
    <w:basedOn w:val="1"/>
    <w:qFormat/>
    <w:uiPriority w:val="0"/>
    <w:rPr>
      <w:rFonts w:ascii="Tahoma" w:hAnsi="Tahoma"/>
      <w:sz w:val="24"/>
      <w:szCs w:val="20"/>
    </w:rPr>
  </w:style>
  <w:style w:type="paragraph" w:customStyle="1" w:styleId="160">
    <w:name w:val="Char Char Char Char1"/>
    <w:basedOn w:val="14"/>
    <w:qFormat/>
    <w:uiPriority w:val="0"/>
    <w:rPr>
      <w:rFonts w:ascii="Tahoma" w:hAnsi="Tahoma"/>
      <w:sz w:val="24"/>
    </w:rPr>
  </w:style>
  <w:style w:type="paragraph" w:customStyle="1" w:styleId="161">
    <w:name w:val="4"/>
    <w:basedOn w:val="1"/>
    <w:next w:val="1"/>
    <w:qFormat/>
    <w:uiPriority w:val="0"/>
  </w:style>
  <w:style w:type="paragraph" w:customStyle="1" w:styleId="162">
    <w:name w:val="文档正文"/>
    <w:basedOn w:val="1"/>
    <w:qFormat/>
    <w:uiPriority w:val="0"/>
    <w:rPr>
      <w:rFonts w:ascii="Arial" w:hAnsi="Arial" w:cs="Arial"/>
      <w:bCs/>
      <w:sz w:val="24"/>
    </w:rPr>
  </w:style>
  <w:style w:type="paragraph" w:customStyle="1" w:styleId="163">
    <w:name w:val="font6"/>
    <w:basedOn w:val="1"/>
    <w:qFormat/>
    <w:uiPriority w:val="0"/>
    <w:pPr>
      <w:widowControl/>
      <w:spacing w:beforeAutospacing="1" w:afterAutospacing="1"/>
      <w:jc w:val="left"/>
    </w:pPr>
    <w:rPr>
      <w:rFonts w:hint="eastAsia" w:ascii="宋体" w:hAnsi="宋体"/>
      <w:kern w:val="0"/>
      <w:sz w:val="22"/>
      <w:szCs w:val="22"/>
    </w:rPr>
  </w:style>
  <w:style w:type="paragraph" w:customStyle="1" w:styleId="164">
    <w:name w:val="GP正文(首行缩进)"/>
    <w:basedOn w:val="1"/>
    <w:qFormat/>
    <w:uiPriority w:val="0"/>
    <w:pPr>
      <w:spacing w:line="360" w:lineRule="auto"/>
      <w:ind w:firstLine="200" w:firstLineChars="200"/>
      <w:jc w:val="left"/>
    </w:pPr>
    <w:rPr>
      <w:sz w:val="24"/>
      <w:szCs w:val="21"/>
    </w:rPr>
  </w:style>
  <w:style w:type="paragraph" w:customStyle="1" w:styleId="165">
    <w:name w:val="xl36"/>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character" w:customStyle="1" w:styleId="166">
    <w:name w:val="font11"/>
    <w:qFormat/>
    <w:uiPriority w:val="0"/>
    <w:rPr>
      <w:rFonts w:hint="default" w:ascii="Times New Roman" w:hAnsi="Times New Roman" w:cs="Times New Roman"/>
      <w:color w:val="000000"/>
      <w:sz w:val="24"/>
      <w:szCs w:val="24"/>
      <w:u w:val="none"/>
    </w:rPr>
  </w:style>
  <w:style w:type="paragraph" w:customStyle="1" w:styleId="167">
    <w:name w:val="BodyText"/>
    <w:basedOn w:val="1"/>
    <w:qFormat/>
    <w:uiPriority w:val="0"/>
    <w:pPr>
      <w:widowControl/>
      <w:spacing w:after="120"/>
      <w:textAlignment w:val="baseline"/>
    </w:pPr>
    <w:rPr>
      <w:rFonts w:ascii="Calibri" w:hAnsi="Calibri"/>
    </w:rPr>
  </w:style>
  <w:style w:type="character" w:customStyle="1" w:styleId="168">
    <w:name w:val="NormalCharacter"/>
    <w:qFormat/>
    <w:uiPriority w:val="0"/>
  </w:style>
  <w:style w:type="paragraph" w:customStyle="1" w:styleId="169">
    <w:name w:val="_Style 166"/>
    <w:unhideWhenUsed/>
    <w:qFormat/>
    <w:uiPriority w:val="99"/>
    <w:rPr>
      <w:rFonts w:ascii="Times New Roman" w:hAnsi="Times New Roman" w:eastAsia="宋体" w:cs="Times New Roman"/>
      <w:kern w:val="2"/>
      <w:sz w:val="21"/>
      <w:szCs w:val="24"/>
      <w:lang w:val="en-US" w:eastAsia="zh-CN" w:bidi="ar-SA"/>
    </w:rPr>
  </w:style>
  <w:style w:type="paragraph" w:customStyle="1" w:styleId="170">
    <w:name w:val="Table Paragraph"/>
    <w:basedOn w:val="1"/>
    <w:qFormat/>
    <w:uiPriority w:val="0"/>
    <w:rPr>
      <w:rFonts w:ascii="宋体" w:hAnsi="宋体" w:cs="宋体"/>
      <w:szCs w:val="22"/>
      <w:lang w:val="zh-CN" w:bidi="zh-CN"/>
    </w:rPr>
  </w:style>
  <w:style w:type="character" w:customStyle="1" w:styleId="171">
    <w:name w:val="font171"/>
    <w:qFormat/>
    <w:uiPriority w:val="0"/>
    <w:rPr>
      <w:rFonts w:hint="eastAsia" w:ascii="宋体" w:hAnsi="宋体" w:eastAsia="宋体" w:cs="宋体"/>
      <w:color w:val="000000"/>
      <w:sz w:val="18"/>
      <w:szCs w:val="18"/>
      <w:u w:val="none"/>
    </w:rPr>
  </w:style>
  <w:style w:type="character" w:customStyle="1" w:styleId="172">
    <w:name w:val="font191"/>
    <w:qFormat/>
    <w:uiPriority w:val="0"/>
    <w:rPr>
      <w:rFonts w:ascii="Arial" w:hAnsi="Arial" w:cs="Arial"/>
      <w:color w:val="000000"/>
      <w:sz w:val="18"/>
      <w:szCs w:val="18"/>
      <w:u w:val="none"/>
    </w:rPr>
  </w:style>
  <w:style w:type="paragraph" w:styleId="173">
    <w:name w:val="No Spacing"/>
    <w:qFormat/>
    <w:uiPriority w:val="1"/>
    <w:pPr>
      <w:adjustRightInd w:val="0"/>
      <w:snapToGrid w:val="0"/>
    </w:pPr>
    <w:rPr>
      <w:rFonts w:ascii="Tahoma" w:hAnsi="Tahoma" w:eastAsia="宋体" w:cs="Times New Roman"/>
      <w:sz w:val="22"/>
      <w:szCs w:val="22"/>
      <w:lang w:val="en-US" w:eastAsia="zh-CN" w:bidi="ar-SA"/>
    </w:rPr>
  </w:style>
  <w:style w:type="paragraph" w:customStyle="1" w:styleId="174">
    <w:name w:val="无间隔11"/>
    <w:qFormat/>
    <w:uiPriority w:val="1"/>
    <w:pPr>
      <w:adjustRightInd w:val="0"/>
      <w:snapToGrid w:val="0"/>
    </w:pPr>
    <w:rPr>
      <w:rFonts w:ascii="Tahoma" w:hAnsi="Tahoma" w:eastAsia="宋体" w:cs="Times New Roman"/>
      <w:sz w:val="22"/>
      <w:szCs w:val="22"/>
      <w:lang w:val="en-US" w:eastAsia="zh-CN" w:bidi="ar-SA"/>
    </w:rPr>
  </w:style>
  <w:style w:type="character" w:customStyle="1" w:styleId="175">
    <w:name w:val="font101"/>
    <w:qFormat/>
    <w:uiPriority w:val="0"/>
    <w:rPr>
      <w:rFonts w:hint="eastAsia" w:ascii="宋体" w:hAnsi="宋体" w:eastAsia="宋体" w:cs="宋体"/>
      <w:color w:val="000000"/>
      <w:sz w:val="20"/>
      <w:szCs w:val="20"/>
      <w:u w:val="none"/>
    </w:rPr>
  </w:style>
  <w:style w:type="character" w:customStyle="1" w:styleId="176">
    <w:name w:val="font71"/>
    <w:qFormat/>
    <w:uiPriority w:val="0"/>
    <w:rPr>
      <w:rFonts w:hint="eastAsia" w:ascii="宋体" w:hAnsi="宋体" w:eastAsia="宋体" w:cs="宋体"/>
      <w:b/>
      <w:bCs/>
      <w:color w:val="0070C0"/>
      <w:sz w:val="20"/>
      <w:szCs w:val="20"/>
      <w:u w:val="none"/>
    </w:rPr>
  </w:style>
  <w:style w:type="character" w:customStyle="1" w:styleId="177">
    <w:name w:val="font161"/>
    <w:qFormat/>
    <w:uiPriority w:val="0"/>
    <w:rPr>
      <w:rFonts w:hint="eastAsia" w:ascii="宋体" w:hAnsi="宋体" w:eastAsia="宋体" w:cs="宋体"/>
      <w:color w:val="000000"/>
      <w:sz w:val="20"/>
      <w:szCs w:val="20"/>
      <w:u w:val="none"/>
    </w:rPr>
  </w:style>
  <w:style w:type="character" w:customStyle="1" w:styleId="178">
    <w:name w:val="font291"/>
    <w:qFormat/>
    <w:uiPriority w:val="0"/>
    <w:rPr>
      <w:rFonts w:hint="eastAsia" w:ascii="宋体" w:hAnsi="宋体" w:eastAsia="宋体" w:cs="宋体"/>
      <w:color w:val="FF0000"/>
      <w:sz w:val="20"/>
      <w:szCs w:val="20"/>
      <w:u w:val="none"/>
    </w:rPr>
  </w:style>
  <w:style w:type="character" w:customStyle="1" w:styleId="179">
    <w:name w:val="font121"/>
    <w:qFormat/>
    <w:uiPriority w:val="0"/>
    <w:rPr>
      <w:rFonts w:hint="eastAsia" w:ascii="宋体" w:hAnsi="宋体" w:eastAsia="宋体" w:cs="宋体"/>
      <w:color w:val="000000"/>
      <w:sz w:val="20"/>
      <w:szCs w:val="20"/>
      <w:u w:val="none"/>
    </w:rPr>
  </w:style>
  <w:style w:type="character" w:customStyle="1" w:styleId="180">
    <w:name w:val="font312"/>
    <w:qFormat/>
    <w:uiPriority w:val="0"/>
    <w:rPr>
      <w:rFonts w:hint="eastAsia" w:ascii="宋体" w:hAnsi="宋体" w:eastAsia="宋体" w:cs="宋体"/>
      <w:b/>
      <w:bCs/>
      <w:color w:val="FF0000"/>
      <w:sz w:val="20"/>
      <w:szCs w:val="20"/>
      <w:u w:val="none"/>
    </w:rPr>
  </w:style>
  <w:style w:type="character" w:customStyle="1" w:styleId="181">
    <w:name w:val="font112"/>
    <w:qFormat/>
    <w:uiPriority w:val="0"/>
    <w:rPr>
      <w:rFonts w:hint="default" w:ascii="Times New Roman" w:hAnsi="Times New Roman" w:cs="Times New Roman"/>
      <w:color w:val="000000"/>
      <w:sz w:val="20"/>
      <w:szCs w:val="20"/>
      <w:u w:val="none"/>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3">
    <w:name w:val="正文首行缩进 2 Char"/>
    <w:basedOn w:val="53"/>
    <w:link w:val="36"/>
    <w:qFormat/>
    <w:uiPriority w:val="0"/>
    <w:rPr>
      <w:sz w:val="21"/>
      <w:szCs w:val="24"/>
    </w:rPr>
  </w:style>
  <w:style w:type="paragraph" w:customStyle="1" w:styleId="184">
    <w:name w:val="*正文"/>
    <w:basedOn w:val="1"/>
    <w:qFormat/>
    <w:uiPriority w:val="0"/>
    <w:pPr>
      <w:overflowPunct w:val="0"/>
      <w:snapToGrid w:val="0"/>
    </w:pPr>
    <w:rPr>
      <w:rFonts w:hAnsi="Times New Roman" w:eastAsia="宋体"/>
      <w:kern w:val="0"/>
      <w:sz w:val="21"/>
    </w:rPr>
  </w:style>
  <w:style w:type="paragraph" w:customStyle="1" w:styleId="185">
    <w:name w:val="DAS正文"/>
    <w:basedOn w:val="1"/>
    <w:qFormat/>
    <w:uiPriority w:val="0"/>
    <w:pPr>
      <w:ind w:right="181" w:firstLine="480" w:firstLineChars="200"/>
    </w:pPr>
    <w:rPr>
      <w:rFonts w:ascii="Verdana" w:hAnsi="Verdana" w:eastAsia="宋体" w:cs="Times New Roman"/>
    </w:rPr>
  </w:style>
  <w:style w:type="paragraph" w:customStyle="1" w:styleId="18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8892</Words>
  <Characters>9315</Characters>
  <Lines>232</Lines>
  <Paragraphs>65</Paragraphs>
  <TotalTime>2</TotalTime>
  <ScaleCrop>false</ScaleCrop>
  <LinksUpToDate>false</LinksUpToDate>
  <CharactersWithSpaces>9395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2023-11-19T15:48:00Z</dcterms:created>
  <dc:creator>Lenovo User</dc:creator>
  <cp:lastModifiedBy>               W°</cp:lastModifiedBy>
  <cp:lastPrinted>2025-08-27T18:09:00Z</cp:lastPrinted>
  <dcterms:modified xsi:type="dcterms:W3CDTF">2025-11-06T07:20:16Z</dcterms:modified>
  <dc:title>2017省本级政府设备采购招标项目</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A88C3BC787214D44B1DB225AF8609FCA_13</vt:lpwstr>
  </property>
  <property fmtid="{D5CDD505-2E9C-101B-9397-08002B2CF9AE}" pid="4" name="KSOTemplateDocerSaveRecord">
    <vt:lpwstr>eyJoZGlkIjoiNjBhMGRkMWJjMTQ3NjczMjQ1MzJjODllNmU0NTkyZGQiLCJ1c2VySWQiOiIxNTk1MDQ5MjkwIn0=</vt:lpwstr>
  </property>
</Properties>
</file>